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Times New Roman" w:hAnsi="Times New Roman" w:cs="宋体"/>
          <w:color w:val="auto"/>
          <w:sz w:val="36"/>
          <w:highlight w:val="none"/>
        </w:rPr>
      </w:pPr>
      <w:r>
        <w:rPr>
          <w:rFonts w:hint="eastAsia" w:ascii="Times New Roman" w:hAnsi="Times New Roman" w:cs="宋体"/>
          <w:color w:val="auto"/>
          <w:sz w:val="36"/>
          <w:highlight w:val="none"/>
        </w:rPr>
        <w:t xml:space="preserve"> </w:t>
      </w:r>
      <w:r/>
    </w:p>
    <w:p>
      <w:pPr>
        <w:jc w:val="right"/>
        <w:rPr>
          <w:rFonts w:ascii="Times New Roman" w:hAnsi="Times New Roman" w:cs="宋体"/>
          <w:b/>
          <w:bCs/>
          <w:color w:val="auto"/>
          <w:sz w:val="36"/>
          <w:highlight w:val="none"/>
        </w:rPr>
      </w:pPr>
      <w:r>
        <w:rPr>
          <w:rFonts w:hint="eastAsia" w:ascii="Times New Roman" w:hAnsi="Times New Roman" w:cs="宋体"/>
          <w:b/>
          <w:bCs/>
          <w:color w:val="auto"/>
          <w:sz w:val="36"/>
          <w:highlight w:val="none"/>
        </w:rPr>
        <w:t xml:space="preserve">编号：</w:t>
      </w:r>
      <w:r>
        <w:rPr>
          <w:rFonts w:hint="eastAsia" w:ascii="Times New Roman" w:hAnsi="Times New Roman" w:cs="宋体"/>
          <w:b/>
          <w:bCs/>
          <w:color w:val="auto"/>
          <w:sz w:val="36"/>
          <w:highlight w:val="none"/>
          <w:lang w:eastAsia="zh-CN"/>
        </w:rPr>
        <w:t xml:space="preserve">JSZC-320000-SWGC-G2026-0072</w:t>
      </w:r>
      <w:r>
        <w:rPr>
          <w:rFonts w:hint="eastAsia" w:ascii="Times New Roman" w:hAnsi="Times New Roman" w:cs="宋体"/>
          <w:b/>
          <w:bCs/>
          <w:color w:val="auto"/>
          <w:sz w:val="36"/>
          <w:highlight w:val="none"/>
        </w:rPr>
        <w:t xml:space="preserve">号</w:t>
      </w:r>
      <w:r/>
    </w:p>
    <w:p>
      <w:pPr>
        <w:jc w:val="center"/>
        <w:rPr>
          <w:rFonts w:ascii="Times New Roman" w:hAnsi="Times New Roman" w:cs="宋体"/>
          <w:color w:val="auto"/>
          <w:sz w:val="36"/>
          <w:highlight w:val="none"/>
        </w:rPr>
      </w:pPr>
      <w:r>
        <w:rPr>
          <w:rFonts w:ascii="Times New Roman" w:hAnsi="Times New Roman" w:cs="宋体"/>
          <w:color w:val="auto"/>
          <w:sz w:val="36"/>
          <w:highlight w:val="none"/>
        </w:rPr>
      </w:r>
      <w:r/>
    </w:p>
    <w:p>
      <w:pPr>
        <w:jc w:val="center"/>
        <w:rPr>
          <w:rFonts w:ascii="Times New Roman" w:hAnsi="Times New Roman" w:cs="宋体"/>
          <w:b/>
          <w:bCs/>
          <w:color w:val="auto"/>
          <w:sz w:val="36"/>
          <w:highlight w:val="none"/>
        </w:rPr>
      </w:pPr>
      <w:r/>
      <w:bookmarkStart w:id="126" w:name="_GoBack"/>
      <w:r/>
      <w:bookmarkEnd w:id="126"/>
      <w:r/>
      <w:r/>
    </w:p>
    <w:p>
      <w:pPr>
        <w:jc w:val="center"/>
        <w:spacing w:line="360" w:lineRule="auto"/>
        <w:rPr>
          <w:rFonts w:ascii="Times New Roman" w:hAnsi="Times New Roman" w:cs="宋体"/>
          <w:b/>
          <w:bCs/>
          <w:color w:val="auto"/>
          <w:sz w:val="36"/>
          <w:highlight w:val="none"/>
        </w:rPr>
      </w:pPr>
      <w:r>
        <w:rPr>
          <w:rFonts w:hint="eastAsia" w:ascii="Times New Roman" w:hAnsi="Times New Roman" w:cs="宋体"/>
          <w:b/>
          <w:bCs/>
          <w:color w:val="auto"/>
          <w:sz w:val="36"/>
          <w:highlight w:val="none"/>
        </w:rPr>
        <w:t xml:space="preserve">扬州大学2026年学生公寓家具项目</w:t>
      </w:r>
      <w:r/>
    </w:p>
    <w:p>
      <w:pPr>
        <w:jc w:val="center"/>
        <w:spacing w:line="360" w:lineRule="auto"/>
        <w:rPr>
          <w:rFonts w:ascii="Times New Roman" w:hAnsi="Times New Roman" w:cs="宋体"/>
          <w:b/>
          <w:bCs/>
          <w:color w:val="auto"/>
          <w:sz w:val="36"/>
          <w:highlight w:val="none"/>
        </w:rPr>
      </w:pPr>
      <w:r>
        <w:rPr>
          <w:rFonts w:hint="eastAsia" w:ascii="Times New Roman" w:hAnsi="Times New Roman" w:cs="宋体"/>
          <w:b/>
          <w:bCs/>
          <w:color w:val="auto"/>
          <w:sz w:val="36"/>
          <w:highlight w:val="none"/>
        </w:rPr>
        <w:t xml:space="preserve">公开招标文件</w:t>
      </w:r>
      <w:r/>
    </w:p>
    <w:p>
      <w:pPr>
        <w:pStyle w:val="981"/>
        <w:rPr>
          <w:rFonts w:ascii="Times New Roman" w:hAnsi="Times New Roman" w:eastAsia="宋体" w:cs="宋体"/>
          <w:color w:val="auto"/>
          <w:highlight w:val="none"/>
        </w:rPr>
      </w:pPr>
      <w:r>
        <w:rPr>
          <w:rFonts w:ascii="Times New Roman" w:hAnsi="Times New Roman" w:eastAsia="宋体" w:cs="宋体"/>
          <w:color w:val="auto"/>
          <w:highlight w:val="none"/>
        </w:rPr>
      </w:r>
      <w:r/>
    </w:p>
    <w:p>
      <w:pPr>
        <w:jc w:val="center"/>
        <w:rPr>
          <w:rFonts w:ascii="Times New Roman" w:hAnsi="Times New Roman" w:cs="宋体"/>
          <w:color w:val="auto"/>
          <w:sz w:val="36"/>
          <w:highlight w:val="none"/>
        </w:rPr>
      </w:pPr>
      <w:r>
        <w:rPr>
          <w:rFonts w:ascii="Times New Roman" w:hAnsi="Times New Roman" w:cs="宋体"/>
          <w:color w:val="auto"/>
          <w:sz w:val="36"/>
          <w:highlight w:val="none"/>
        </w:rPr>
      </w:r>
      <w:r/>
    </w:p>
    <w:p>
      <w:pPr>
        <w:jc w:val="center"/>
        <w:rPr>
          <w:rFonts w:ascii="Times New Roman" w:hAnsi="Times New Roman" w:cs="宋体"/>
          <w:color w:val="auto"/>
          <w:sz w:val="36"/>
          <w:highlight w:val="none"/>
        </w:rPr>
      </w:pPr>
      <w:r>
        <w:rPr>
          <w:rFonts w:ascii="Times New Roman" w:hAnsi="Times New Roman"/>
          <w:color w:val="auto"/>
          <w:highlight w:val="none"/>
        </w:rPr>
        <mc:AlternateContent>
          <mc:Choice Requires="wpg">
            <w:drawing>
              <wp:inline xmlns:wp="http://schemas.openxmlformats.org/drawingml/2006/wordprocessingDrawing" distT="0" distB="0" distL="0" distR="0">
                <wp:extent cx="5268595" cy="3594735"/>
                <wp:effectExtent l="0" t="0" r="8255" b="57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
                        <pic:cNvPicPr>
                          <a:picLocks noChangeAspect="1"/>
                        </pic:cNvPicPr>
                        <pic:nvPr/>
                      </pic:nvPicPr>
                      <pic:blipFill>
                        <a:blip r:embed="rId14"/>
                        <a:srcRect l="0" t="0" r="0" b="3920"/>
                        <a:stretch/>
                      </pic:blipFill>
                      <pic:spPr bwMode="auto">
                        <a:xfrm>
                          <a:off x="0" y="0"/>
                          <a:ext cx="5268595" cy="3594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283.1pt;mso-wrap-distance-left:0.0pt;mso-wrap-distance-top:0.0pt;mso-wrap-distance-right:0.0pt;mso-wrap-distance-bottom:0.0pt;" stroked="f">
                <v:path textboxrect="0,0,0,0"/>
                <v:imagedata r:id="rId14" o:title=""/>
              </v:shape>
            </w:pict>
          </mc:Fallback>
        </mc:AlternateContent>
      </w:r>
      <w:r/>
    </w:p>
    <w:p>
      <w:pPr>
        <w:jc w:val="center"/>
        <w:rPr>
          <w:rFonts w:ascii="Times New Roman" w:hAnsi="Times New Roman" w:cs="宋体"/>
          <w:color w:val="auto"/>
          <w:sz w:val="36"/>
          <w:highlight w:val="none"/>
        </w:rPr>
      </w:pPr>
      <w:r>
        <w:rPr>
          <w:rFonts w:ascii="Times New Roman" w:hAnsi="Times New Roman" w:cs="宋体"/>
          <w:color w:val="auto"/>
          <w:sz w:val="36"/>
          <w:highlight w:val="none"/>
        </w:rPr>
      </w:r>
      <w:r/>
    </w:p>
    <w:p>
      <w:pPr>
        <w:jc w:val="center"/>
        <w:rPr>
          <w:rFonts w:ascii="Times New Roman" w:hAnsi="Times New Roman" w:cs="宋体"/>
          <w:b/>
          <w:bCs/>
          <w:color w:val="auto"/>
          <w:sz w:val="36"/>
          <w:highlight w:val="none"/>
        </w:rPr>
      </w:pPr>
      <w:r>
        <w:rPr>
          <w:rFonts w:ascii="Times New Roman" w:hAnsi="Times New Roman" w:cs="宋体"/>
          <w:b/>
          <w:bCs/>
          <w:color w:val="auto"/>
          <w:sz w:val="36"/>
          <w:highlight w:val="none"/>
        </w:rPr>
      </w:r>
      <w:r/>
    </w:p>
    <w:p>
      <w:pPr>
        <w:jc w:val="center"/>
        <w:rPr>
          <w:rFonts w:ascii="Times New Roman" w:hAnsi="Times New Roman" w:cs="宋体"/>
          <w:b/>
          <w:bCs/>
          <w:color w:val="auto"/>
          <w:sz w:val="36"/>
          <w:highlight w:val="none"/>
        </w:rPr>
      </w:pPr>
      <w:r>
        <w:rPr>
          <w:rFonts w:hint="eastAsia" w:ascii="Times New Roman" w:hAnsi="Times New Roman" w:cs="宋体"/>
          <w:b/>
          <w:bCs/>
          <w:color w:val="auto"/>
          <w:sz w:val="36"/>
          <w:highlight w:val="none"/>
        </w:rPr>
        <w:t xml:space="preserve">江苏苏维工程管理有限公司</w:t>
      </w:r>
      <w:r/>
    </w:p>
    <w:p>
      <w:pPr>
        <w:jc w:val="center"/>
        <w:rPr>
          <w:rFonts w:ascii="Times New Roman" w:hAnsi="Times New Roman" w:cs="宋体"/>
          <w:b/>
          <w:bCs/>
          <w:color w:val="auto"/>
          <w:sz w:val="36"/>
          <w:highlight w:val="none"/>
        </w:rPr>
      </w:pPr>
      <w:r>
        <w:rPr>
          <w:rFonts w:hint="eastAsia" w:ascii="Times New Roman" w:hAnsi="Times New Roman" w:cs="宋体"/>
          <w:b/>
          <w:bCs/>
          <w:color w:val="auto"/>
          <w:sz w:val="36"/>
          <w:highlight w:val="none"/>
        </w:rPr>
        <w:t xml:space="preserve">2026年</w:t>
      </w:r>
      <w:r>
        <w:rPr>
          <w:rFonts w:hint="eastAsia" w:ascii="Times New Roman" w:hAnsi="Times New Roman" w:cs="宋体"/>
          <w:b/>
          <w:bCs/>
          <w:color w:val="auto"/>
          <w:sz w:val="36"/>
          <w:highlight w:val="none"/>
          <w:lang w:val="en-US" w:eastAsia="zh-CN"/>
        </w:rPr>
        <w:t xml:space="preserve">6</w:t>
      </w:r>
      <w:r>
        <w:rPr>
          <w:rFonts w:hint="eastAsia" w:ascii="Times New Roman" w:hAnsi="Times New Roman" w:cs="宋体"/>
          <w:b/>
          <w:bCs/>
          <w:color w:val="auto"/>
          <w:sz w:val="36"/>
          <w:highlight w:val="none"/>
        </w:rPr>
        <w:t xml:space="preserve">月</w:t>
      </w:r>
      <w:r>
        <w:rPr>
          <w:rFonts w:hint="eastAsia" w:ascii="Times New Roman" w:hAnsi="Times New Roman" w:cs="宋体"/>
          <w:b/>
          <w:bCs/>
          <w:color w:val="auto"/>
          <w:sz w:val="36"/>
          <w:highlight w:val="none"/>
          <w:lang w:val="en-US" w:eastAsia="zh-CN"/>
        </w:rPr>
        <w:t xml:space="preserve">2</w:t>
      </w:r>
      <w:r>
        <w:rPr>
          <w:rFonts w:hint="eastAsia" w:ascii="Times New Roman" w:hAnsi="Times New Roman" w:cs="宋体"/>
          <w:b/>
          <w:bCs/>
          <w:color w:val="auto"/>
          <w:sz w:val="36"/>
          <w:highlight w:val="none"/>
        </w:rPr>
        <w:t xml:space="preserve">日</w:t>
      </w:r>
      <w:r/>
    </w:p>
    <w:p>
      <w:pPr>
        <w:jc w:val="center"/>
        <w:rPr>
          <w:rFonts w:ascii="Times New Roman" w:hAnsi="Times New Roman" w:cs="宋体"/>
          <w:color w:val="auto"/>
          <w:sz w:val="32"/>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s="宋体"/>
          <w:color w:val="auto"/>
          <w:sz w:val="32"/>
          <w:highlight w:val="none"/>
        </w:rPr>
      </w:r>
      <w:r/>
    </w:p>
    <w:p>
      <w:pPr>
        <w:pStyle w:val="992"/>
        <w:rPr>
          <w:rFonts w:ascii="Times New Roman" w:hAnsi="Times New Roman" w:cs="宋体"/>
          <w:color w:val="auto"/>
          <w:highlight w:val="none"/>
        </w:rPr>
      </w:pPr>
      <w:r>
        <w:rPr>
          <w:rFonts w:ascii="Times New Roman" w:hAnsi="Times New Roman" w:cs="宋体"/>
          <w:color w:val="auto"/>
          <w:highlight w:val="none"/>
        </w:rPr>
      </w:r>
      <w:r/>
    </w:p>
    <w:p>
      <w:pPr>
        <w:jc w:val="center"/>
        <w:spacing w:line="480" w:lineRule="auto"/>
        <w:rPr>
          <w:rFonts w:ascii="Times New Roman" w:hAnsi="Times New Roman" w:cs="宋体"/>
          <w:color w:val="auto"/>
          <w:sz w:val="32"/>
          <w:highlight w:val="none"/>
        </w:rPr>
      </w:pPr>
      <w:r>
        <w:rPr>
          <w:rFonts w:hint="eastAsia" w:ascii="Times New Roman" w:hAnsi="Times New Roman" w:cs="宋体"/>
          <w:color w:val="auto"/>
          <w:sz w:val="32"/>
          <w:highlight w:val="none"/>
        </w:rPr>
        <w:t xml:space="preserve">目 录</w:t>
      </w:r>
      <w:r/>
    </w:p>
    <w:p>
      <w:pPr>
        <w:pStyle w:val="788"/>
        <w:tabs>
          <w:tab w:val="right" w:pos="8306" w:leader="dot"/>
        </w:tabs>
        <w:rPr>
          <w:rFonts w:ascii="Times New Roman" w:hAnsi="Times New Roman"/>
          <w:color w:val="auto"/>
          <w:highlight w:val="none"/>
        </w:rPr>
      </w:pPr>
      <w:r>
        <w:rPr>
          <w:rFonts w:hint="eastAsia" w:ascii="Times New Roman" w:hAnsi="Times New Roman" w:cs="宋体"/>
          <w:color w:val="auto"/>
          <w:szCs w:val="21"/>
          <w:highlight w:val="none"/>
        </w:rPr>
        <w:fldChar w:fldCharType="begin"/>
      </w:r>
      <w:r>
        <w:rPr>
          <w:rFonts w:hint="eastAsia" w:ascii="Times New Roman" w:hAnsi="Times New Roman" w:cs="宋体"/>
          <w:color w:val="auto"/>
          <w:szCs w:val="21"/>
          <w:highlight w:val="none"/>
        </w:rPr>
        <w:instrText xml:space="preserve"> TOC \o "1-3" \f </w:instrText>
      </w:r>
      <w:r>
        <w:rPr>
          <w:rFonts w:hint="eastAsia" w:ascii="Times New Roman" w:hAnsi="Times New Roman" w:cs="宋体"/>
          <w:color w:val="auto"/>
          <w:szCs w:val="21"/>
          <w:highlight w:val="none"/>
        </w:rPr>
        <w:fldChar w:fldCharType="separate"/>
      </w:r>
      <w:r>
        <w:rPr>
          <w:rFonts w:hint="eastAsia" w:ascii="Times New Roman" w:hAnsi="Times New Roman"/>
          <w:color w:val="auto"/>
          <w:highlight w:val="none"/>
        </w:rPr>
        <w:t xml:space="preserve">第一章 采购公告</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_Toc3619 \h </w:instrText>
      </w:r>
      <w:r>
        <w:rPr>
          <w:rFonts w:ascii="Times New Roman" w:hAnsi="Times New Roman"/>
          <w:color w:val="auto"/>
          <w:highlight w:val="none"/>
        </w:rPr>
        <w:fldChar w:fldCharType="separate"/>
      </w:r>
      <w:r>
        <w:rPr>
          <w:rFonts w:ascii="Times New Roman" w:hAnsi="Times New Roman"/>
          <w:color w:val="auto"/>
          <w:highlight w:val="none"/>
        </w:rPr>
        <w:t xml:space="preserve">3</w:t>
      </w:r>
      <w:r>
        <w:rPr>
          <w:rFonts w:ascii="Times New Roman" w:hAnsi="Times New Roman"/>
          <w:color w:val="auto"/>
          <w:highlight w:val="none"/>
        </w:rPr>
        <w:fldChar w:fldCharType="end"/>
      </w:r>
      <w:r/>
    </w:p>
    <w:p>
      <w:pPr>
        <w:pStyle w:val="788"/>
        <w:tabs>
          <w:tab w:val="right" w:pos="8306" w:leader="dot"/>
        </w:tabs>
        <w:rPr>
          <w:rFonts w:ascii="Times New Roman" w:hAnsi="Times New Roman"/>
          <w:color w:val="auto"/>
          <w:highlight w:val="none"/>
        </w:rPr>
      </w:pPr>
      <w:r>
        <w:rPr>
          <w:rFonts w:hint="eastAsia" w:ascii="Times New Roman" w:hAnsi="Times New Roman"/>
          <w:color w:val="auto"/>
          <w:highlight w:val="none"/>
        </w:rPr>
        <w:t xml:space="preserve">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_Toc13371 \h </w:instrText>
      </w:r>
      <w:r>
        <w:rPr>
          <w:rFonts w:ascii="Times New Roman" w:hAnsi="Times New Roman"/>
          <w:color w:val="auto"/>
          <w:highlight w:val="none"/>
        </w:rPr>
        <w:fldChar w:fldCharType="separate"/>
      </w:r>
      <w:r>
        <w:rPr>
          <w:rFonts w:ascii="Times New Roman" w:hAnsi="Times New Roman"/>
          <w:color w:val="auto"/>
          <w:highlight w:val="none"/>
        </w:rPr>
        <w:t xml:space="preserve">7</w:t>
      </w:r>
      <w:r>
        <w:rPr>
          <w:rFonts w:ascii="Times New Roman" w:hAnsi="Times New Roman"/>
          <w:color w:val="auto"/>
          <w:highlight w:val="none"/>
        </w:rPr>
        <w:fldChar w:fldCharType="end"/>
      </w:r>
      <w:r/>
    </w:p>
    <w:p>
      <w:pPr>
        <w:pStyle w:val="788"/>
        <w:tabs>
          <w:tab w:val="right" w:pos="8306" w:leader="dot"/>
        </w:tabs>
        <w:rPr>
          <w:rFonts w:ascii="Times New Roman" w:hAnsi="Times New Roman"/>
          <w:color w:val="auto"/>
          <w:highlight w:val="none"/>
        </w:rPr>
      </w:pPr>
      <w:r>
        <w:rPr>
          <w:rFonts w:hint="eastAsia" w:ascii="Times New Roman" w:hAnsi="Times New Roman"/>
          <w:color w:val="auto"/>
          <w:highlight w:val="none"/>
        </w:rPr>
        <w:t xml:space="preserve">第三章 合同条款及格式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_Toc23141 \h </w:instrText>
      </w:r>
      <w:r>
        <w:rPr>
          <w:rFonts w:ascii="Times New Roman" w:hAnsi="Times New Roman"/>
          <w:color w:val="auto"/>
          <w:highlight w:val="none"/>
        </w:rPr>
        <w:fldChar w:fldCharType="separate"/>
      </w:r>
      <w:r>
        <w:rPr>
          <w:rFonts w:ascii="Times New Roman" w:hAnsi="Times New Roman"/>
          <w:color w:val="auto"/>
          <w:highlight w:val="none"/>
        </w:rPr>
        <w:t xml:space="preserve">19</w:t>
      </w:r>
      <w:r>
        <w:rPr>
          <w:rFonts w:ascii="Times New Roman" w:hAnsi="Times New Roman"/>
          <w:color w:val="auto"/>
          <w:highlight w:val="none"/>
        </w:rPr>
        <w:fldChar w:fldCharType="end"/>
      </w:r>
      <w:r/>
    </w:p>
    <w:p>
      <w:pPr>
        <w:pStyle w:val="788"/>
        <w:tabs>
          <w:tab w:val="right" w:pos="8306" w:leader="dot"/>
        </w:tabs>
        <w:rPr>
          <w:rFonts w:ascii="Times New Roman" w:hAnsi="Times New Roman"/>
          <w:color w:val="auto"/>
          <w:highlight w:val="none"/>
        </w:rPr>
      </w:pPr>
      <w:r>
        <w:rPr>
          <w:rFonts w:hint="eastAsia" w:ascii="Times New Roman" w:hAnsi="Times New Roman"/>
          <w:color w:val="auto"/>
          <w:highlight w:val="none"/>
        </w:rPr>
        <w:t xml:space="preserve">第四章 项目需求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_Toc15957 \h </w:instrText>
      </w:r>
      <w:r>
        <w:rPr>
          <w:rFonts w:ascii="Times New Roman" w:hAnsi="Times New Roman"/>
          <w:color w:val="auto"/>
          <w:highlight w:val="none"/>
        </w:rPr>
        <w:fldChar w:fldCharType="separate"/>
      </w:r>
      <w:r>
        <w:rPr>
          <w:rFonts w:ascii="Times New Roman" w:hAnsi="Times New Roman"/>
          <w:color w:val="auto"/>
          <w:highlight w:val="none"/>
        </w:rPr>
        <w:t xml:space="preserve">21</w:t>
      </w:r>
      <w:r>
        <w:rPr>
          <w:rFonts w:ascii="Times New Roman" w:hAnsi="Times New Roman"/>
          <w:color w:val="auto"/>
          <w:highlight w:val="none"/>
        </w:rPr>
        <w:fldChar w:fldCharType="end"/>
      </w:r>
      <w:r/>
    </w:p>
    <w:p>
      <w:pPr>
        <w:pStyle w:val="788"/>
        <w:tabs>
          <w:tab w:val="right" w:pos="8306" w:leader="dot"/>
        </w:tabs>
        <w:rPr>
          <w:rFonts w:ascii="Times New Roman" w:hAnsi="Times New Roman"/>
          <w:color w:val="auto"/>
          <w:highlight w:val="none"/>
        </w:rPr>
      </w:pPr>
      <w:r>
        <w:rPr>
          <w:rFonts w:hint="eastAsia" w:ascii="Times New Roman" w:hAnsi="Times New Roman"/>
          <w:color w:val="auto"/>
          <w:highlight w:val="none"/>
        </w:rPr>
        <w:t xml:space="preserve">第五章 评标方法及评标标准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_Toc10862 \h </w:instrText>
      </w:r>
      <w:r>
        <w:rPr>
          <w:rFonts w:ascii="Times New Roman" w:hAnsi="Times New Roman"/>
          <w:color w:val="auto"/>
          <w:highlight w:val="none"/>
        </w:rPr>
        <w:fldChar w:fldCharType="separate"/>
      </w:r>
      <w:r>
        <w:rPr>
          <w:rFonts w:ascii="Times New Roman" w:hAnsi="Times New Roman"/>
          <w:color w:val="auto"/>
          <w:highlight w:val="none"/>
        </w:rPr>
        <w:t xml:space="preserve">32</w:t>
      </w:r>
      <w:r>
        <w:rPr>
          <w:rFonts w:ascii="Times New Roman" w:hAnsi="Times New Roman"/>
          <w:color w:val="auto"/>
          <w:highlight w:val="none"/>
        </w:rPr>
        <w:fldChar w:fldCharType="end"/>
      </w:r>
      <w:r/>
    </w:p>
    <w:p>
      <w:pPr>
        <w:pStyle w:val="788"/>
        <w:tabs>
          <w:tab w:val="right" w:pos="8306" w:leader="dot"/>
        </w:tabs>
        <w:rPr>
          <w:rFonts w:ascii="Times New Roman" w:hAnsi="Times New Roman"/>
          <w:color w:val="auto"/>
          <w:highlight w:val="none"/>
        </w:rPr>
      </w:pPr>
      <w:r>
        <w:rPr>
          <w:rFonts w:hint="eastAsia" w:ascii="Times New Roman" w:hAnsi="Times New Roman"/>
          <w:color w:val="auto"/>
          <w:highlight w:val="none"/>
        </w:rPr>
        <w:t xml:space="preserve">第六章 投标文件格式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_Toc3287 \h </w:instrText>
      </w:r>
      <w:r>
        <w:rPr>
          <w:rFonts w:ascii="Times New Roman" w:hAnsi="Times New Roman"/>
          <w:color w:val="auto"/>
          <w:highlight w:val="none"/>
        </w:rPr>
        <w:fldChar w:fldCharType="separate"/>
      </w:r>
      <w:r>
        <w:rPr>
          <w:rFonts w:ascii="Times New Roman" w:hAnsi="Times New Roman"/>
          <w:color w:val="auto"/>
          <w:highlight w:val="none"/>
        </w:rPr>
        <w:t xml:space="preserve">38</w:t>
      </w:r>
      <w:r>
        <w:rPr>
          <w:rFonts w:ascii="Times New Roman" w:hAnsi="Times New Roman"/>
          <w:color w:val="auto"/>
          <w:highlight w:val="none"/>
        </w:rPr>
        <w:fldChar w:fldCharType="end"/>
      </w:r>
      <w:r/>
    </w:p>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fldChar w:fldCharType="end"/>
      </w:r>
      <w:r/>
    </w:p>
    <w:p>
      <w:pPr>
        <w:spacing w:line="360" w:lineRule="auto"/>
        <w:rPr>
          <w:rFonts w:ascii="Times New Roman" w:hAnsi="Times New Roman" w:cs="宋体"/>
          <w:color w:val="auto"/>
          <w:highlight w:val="none"/>
        </w:rPr>
      </w:pPr>
      <w:r>
        <w:rPr>
          <w:rFonts w:hint="eastAsia" w:ascii="Times New Roman" w:hAnsi="Times New Roman" w:cs="宋体"/>
          <w:color w:val="auto"/>
          <w:sz w:val="28"/>
          <w:highlight w:val="none"/>
        </w:rPr>
        <w:br w:type="page" w:clear="all"/>
      </w:r>
      <w:r/>
    </w:p>
    <w:p>
      <w:pPr>
        <w:pStyle w:val="761"/>
        <w:rPr>
          <w:rFonts w:ascii="Times New Roman" w:hAnsi="Times New Roman"/>
          <w:color w:val="auto"/>
          <w:highlight w:val="none"/>
        </w:rPr>
      </w:pPr>
      <w:r/>
      <w:bookmarkStart w:id="0" w:name="_Toc3619"/>
      <w:r/>
      <w:bookmarkStart w:id="1" w:name="_Toc62"/>
      <w:r/>
      <w:bookmarkStart w:id="2" w:name="_Toc55204177"/>
      <w:r>
        <w:rPr>
          <w:rFonts w:hint="eastAsia" w:ascii="Times New Roman" w:hAnsi="Times New Roman"/>
          <w:color w:val="auto"/>
          <w:highlight w:val="none"/>
        </w:rPr>
        <w:t xml:space="preserve">第一章 </w:t>
      </w:r>
      <w:bookmarkEnd w:id="0"/>
      <w:r/>
      <w:bookmarkEnd w:id="1"/>
      <w:r/>
      <w:bookmarkStart w:id="3" w:name="_Toc28446"/>
      <w:r/>
      <w:bookmarkStart w:id="4" w:name="_Toc27417"/>
      <w:r>
        <w:rPr>
          <w:rFonts w:hint="eastAsia" w:ascii="Times New Roman" w:hAnsi="Times New Roman"/>
          <w:color w:val="auto"/>
          <w:highlight w:val="none"/>
        </w:rPr>
        <w:t xml:space="preserve">采购公告</w:t>
      </w:r>
      <w:bookmarkEnd w:id="2"/>
      <w:r/>
      <w:bookmarkEnd w:id="3"/>
      <w:r/>
      <w:bookmarkEnd w:id="4"/>
      <w:r/>
      <w:r/>
    </w:p>
    <w:p>
      <w:pPr>
        <w:ind w:firstLine="420"/>
        <w:jc w:val="left"/>
        <w:spacing w:line="360" w:lineRule="auto"/>
        <w:tabs>
          <w:tab w:val="left" w:pos="266" w:leader="none"/>
        </w:tabs>
        <w:rPr>
          <w:rFonts w:ascii="Times New Roman" w:hAnsi="Times New Roman" w:cs="宋体"/>
          <w:color w:val="auto"/>
          <w:szCs w:val="21"/>
          <w:highlight w:val="none"/>
        </w:rPr>
      </w:pPr>
      <w:r>
        <w:rPr>
          <w:rFonts w:hint="eastAsia" w:ascii="Times New Roman" w:hAnsi="Times New Roman" w:cs="宋体"/>
          <w:color w:val="auto"/>
          <w:highlight w:val="none"/>
        </w:rPr>
        <w:t xml:space="preserve">受扬州大学的委托，江苏苏维工程管理有限公司就扬州大学2026年学生公寓家具项目（</w:t>
      </w:r>
      <w:r>
        <w:rPr>
          <w:rFonts w:hint="eastAsia" w:ascii="Times New Roman" w:hAnsi="Times New Roman" w:cs="宋体"/>
          <w:color w:val="auto"/>
          <w:szCs w:val="21"/>
          <w:highlight w:val="none"/>
          <w:lang w:eastAsia="zh-CN"/>
        </w:rPr>
        <w:t xml:space="preserve">JSZC-320000-SWGC-G2026-0072</w:t>
      </w:r>
      <w:r>
        <w:rPr>
          <w:rFonts w:hint="eastAsia" w:ascii="Times New Roman" w:hAnsi="Times New Roman" w:cs="宋体"/>
          <w:color w:val="auto"/>
          <w:szCs w:val="21"/>
          <w:highlight w:val="none"/>
        </w:rPr>
        <w:t xml:space="preserve">号）</w:t>
      </w:r>
      <w:r>
        <w:rPr>
          <w:rFonts w:hint="eastAsia" w:ascii="Times New Roman" w:hAnsi="Times New Roman" w:cs="宋体"/>
          <w:color w:val="auto"/>
          <w:highlight w:val="none"/>
        </w:rPr>
        <w:t xml:space="preserve">进行公开招标采购，欢迎符合条件的供应商投标。</w:t>
      </w:r>
      <w:r/>
    </w:p>
    <w:p>
      <w:pPr>
        <w:ind w:firstLine="422"/>
        <w:spacing w:line="360" w:lineRule="auto"/>
        <w:rPr>
          <w:rFonts w:ascii="Times New Roman" w:hAnsi="Times New Roman"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b/>
          <w:bCs/>
          <w:color w:val="auto"/>
          <w:highlight w:val="none"/>
        </w:rPr>
        <w:t xml:space="preserve">项目概况</w:t>
      </w:r>
      <w:r/>
    </w:p>
    <w:p>
      <w:pPr>
        <w:ind w:firstLine="420"/>
        <w:spacing w:line="360" w:lineRule="auto"/>
        <w:rPr>
          <w:rFonts w:ascii="Times New Roman" w:hAnsi="Times New Roman" w:cs="宋体"/>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highlight w:val="none"/>
          <w:u w:val="single"/>
        </w:rPr>
        <w:t xml:space="preserve">扬州大学2026年学生公寓家具项目</w:t>
      </w:r>
      <w:r>
        <w:rPr>
          <w:rFonts w:hint="eastAsia" w:ascii="Times New Roman" w:hAnsi="Times New Roman" w:cs="宋体"/>
          <w:color w:val="auto"/>
          <w:highlight w:val="none"/>
        </w:rPr>
        <w:t xml:space="preserve">的潜在投标人可在</w:t>
      </w:r>
      <w:r>
        <w:rPr>
          <w:rFonts w:hint="eastAsia" w:ascii="Times New Roman" w:hAnsi="Times New Roman" w:cs="宋体"/>
          <w:color w:val="auto"/>
          <w:highlight w:val="none"/>
          <w:u w:val="single"/>
        </w:rPr>
        <w:t xml:space="preserve">“江苏省政府采购网”和“中国政府采购网”自行免费下载</w:t>
      </w:r>
      <w:r>
        <w:rPr>
          <w:rFonts w:hint="eastAsia" w:ascii="Times New Roman" w:hAnsi="Times New Roman" w:cs="宋体"/>
          <w:color w:val="auto"/>
          <w:highlight w:val="none"/>
        </w:rPr>
        <w:t xml:space="preserve">招标文件，并于</w:t>
      </w:r>
      <w:r>
        <w:rPr>
          <w:rFonts w:hint="eastAsia" w:ascii="Times New Roman" w:hAnsi="Times New Roman" w:cs="宋体"/>
          <w:bCs/>
          <w:color w:val="auto"/>
          <w:highlight w:val="none"/>
          <w:u w:val="single"/>
        </w:rPr>
        <w:t xml:space="preserve">2026年6月</w:t>
      </w:r>
      <w:r>
        <w:rPr>
          <w:rFonts w:hint="eastAsia" w:ascii="Times New Roman" w:hAnsi="Times New Roman" w:cs="宋体"/>
          <w:bCs/>
          <w:color w:val="auto"/>
          <w:highlight w:val="none"/>
          <w:u w:val="single"/>
          <w:lang w:val="en-US" w:eastAsia="zh-CN"/>
        </w:rPr>
        <w:t xml:space="preserve">25</w:t>
      </w:r>
      <w:r>
        <w:rPr>
          <w:rFonts w:hint="eastAsia" w:ascii="Times New Roman" w:hAnsi="Times New Roman" w:cs="宋体"/>
          <w:bCs/>
          <w:color w:val="auto"/>
          <w:highlight w:val="none"/>
          <w:u w:val="single"/>
        </w:rPr>
        <w:t xml:space="preserve">日</w:t>
      </w:r>
      <w:r>
        <w:rPr>
          <w:rFonts w:hint="eastAsia" w:ascii="Times New Roman" w:hAnsi="Times New Roman" w:cs="宋体"/>
          <w:bCs/>
          <w:color w:val="auto"/>
          <w:highlight w:val="none"/>
          <w:u w:val="single"/>
          <w:lang w:val="en-US" w:eastAsia="zh-CN"/>
        </w:rPr>
        <w:t xml:space="preserve">上</w:t>
      </w:r>
      <w:r>
        <w:rPr>
          <w:rFonts w:hint="eastAsia" w:ascii="Times New Roman" w:hAnsi="Times New Roman" w:cs="宋体"/>
          <w:bCs/>
          <w:color w:val="auto"/>
          <w:highlight w:val="none"/>
          <w:u w:val="single"/>
        </w:rPr>
        <w:t xml:space="preserve">午</w:t>
      </w:r>
      <w:r>
        <w:rPr>
          <w:rFonts w:hint="eastAsia" w:ascii="Times New Roman" w:hAnsi="Times New Roman" w:cs="宋体"/>
          <w:bCs/>
          <w:color w:val="auto"/>
          <w:highlight w:val="none"/>
          <w:u w:val="single"/>
          <w:lang w:val="en-US" w:eastAsia="zh-CN"/>
        </w:rPr>
        <w:t xml:space="preserve">10</w:t>
      </w:r>
      <w:r>
        <w:rPr>
          <w:rFonts w:hint="eastAsia" w:ascii="Times New Roman" w:hAnsi="Times New Roman" w:cs="宋体"/>
          <w:bCs/>
          <w:color w:val="auto"/>
          <w:highlight w:val="none"/>
          <w:u w:val="single"/>
        </w:rPr>
        <w:t xml:space="preserve">：</w:t>
      </w:r>
      <w:r>
        <w:rPr>
          <w:rFonts w:hint="eastAsia" w:ascii="Times New Roman" w:hAnsi="Times New Roman" w:cs="宋体"/>
          <w:bCs/>
          <w:color w:val="auto"/>
          <w:highlight w:val="none"/>
          <w:u w:val="single"/>
          <w:lang w:val="en-US" w:eastAsia="zh-CN"/>
        </w:rPr>
        <w:t xml:space="preserve">0</w:t>
      </w:r>
      <w:r>
        <w:rPr>
          <w:rFonts w:hint="eastAsia" w:ascii="Times New Roman" w:hAnsi="Times New Roman" w:cs="宋体"/>
          <w:bCs/>
          <w:color w:val="auto"/>
          <w:highlight w:val="none"/>
          <w:u w:val="single"/>
        </w:rPr>
        <w:t xml:space="preserve">0 </w:t>
      </w:r>
      <w:r>
        <w:rPr>
          <w:rFonts w:hint="eastAsia" w:ascii="Times New Roman" w:hAnsi="Times New Roman" w:cs="宋体"/>
          <w:bCs/>
          <w:color w:val="auto"/>
          <w:highlight w:val="none"/>
        </w:rPr>
        <w:t xml:space="preserve">（北京时间）前递交投标文件</w:t>
      </w:r>
      <w:r>
        <w:rPr>
          <w:rFonts w:hint="eastAsia" w:ascii="Times New Roman" w:hAnsi="Times New Roman" w:cs="宋体"/>
          <w:color w:val="auto"/>
          <w:highlight w:val="none"/>
        </w:rPr>
        <w:t xml:space="preserve">。</w:t>
      </w:r>
      <w:r/>
    </w:p>
    <w:p>
      <w:pPr>
        <w:ind w:firstLine="422"/>
        <w:spacing w:line="360" w:lineRule="auto"/>
        <w:tabs>
          <w:tab w:val="left" w:pos="266" w:leader="none"/>
        </w:tabs>
        <w:rPr>
          <w:rFonts w:ascii="Times New Roman" w:hAnsi="Times New Roman" w:cs="宋体"/>
          <w:b/>
          <w:bCs/>
          <w:color w:val="auto"/>
          <w:highlight w:val="none"/>
        </w:rPr>
      </w:pPr>
      <w:r/>
      <w:bookmarkStart w:id="5" w:name="_Toc38985263"/>
      <w:r/>
      <w:bookmarkStart w:id="6" w:name="_Toc35393790"/>
      <w:r/>
      <w:bookmarkStart w:id="7" w:name="_Toc35393621"/>
      <w:r/>
      <w:bookmarkStart w:id="8" w:name="_Toc28359079"/>
      <w:r/>
      <w:bookmarkStart w:id="9" w:name="_Toc28359002"/>
      <w:r/>
      <w:bookmarkStart w:id="10" w:name="_Hlk24379207"/>
      <w:r>
        <w:rPr>
          <w:rFonts w:hint="eastAsia" w:ascii="Times New Roman" w:hAnsi="Times New Roman" w:cs="宋体"/>
          <w:b/>
          <w:bCs/>
          <w:color w:val="auto"/>
          <w:highlight w:val="none"/>
        </w:rPr>
        <w:t xml:space="preserve">一、项目基本情况</w:t>
      </w:r>
      <w:bookmarkEnd w:id="5"/>
      <w:r/>
      <w:bookmarkEnd w:id="6"/>
      <w:r/>
      <w:bookmarkEnd w:id="7"/>
      <w:r/>
      <w:bookmarkEnd w:id="8"/>
      <w:r/>
      <w:bookmarkEnd w:id="9"/>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highlight w:val="none"/>
        </w:rPr>
        <w:t xml:space="preserve">1.项目编号：</w:t>
      </w:r>
      <w:r>
        <w:rPr>
          <w:rFonts w:hint="eastAsia" w:ascii="Times New Roman" w:hAnsi="Times New Roman" w:cs="宋体"/>
          <w:color w:val="auto"/>
          <w:szCs w:val="21"/>
          <w:highlight w:val="none"/>
          <w:lang w:eastAsia="zh-CN"/>
        </w:rPr>
        <w:t xml:space="preserve">JSZC-320000-SWGC-G2026-0072</w:t>
      </w:r>
      <w:r>
        <w:rPr>
          <w:rFonts w:hint="eastAsia" w:ascii="Times New Roman" w:hAnsi="Times New Roman" w:cs="宋体"/>
          <w:color w:val="auto"/>
          <w:szCs w:val="21"/>
          <w:highlight w:val="none"/>
        </w:rPr>
        <w:t xml:space="preserve">号</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2.项目名称：</w:t>
      </w:r>
      <w:bookmarkEnd w:id="10"/>
      <w:r>
        <w:rPr>
          <w:rFonts w:hint="eastAsia" w:ascii="Times New Roman" w:hAnsi="Times New Roman" w:cs="宋体"/>
          <w:color w:val="auto"/>
          <w:highlight w:val="none"/>
        </w:rPr>
        <w:t xml:space="preserve">扬州大学2026年学生公寓家具项目</w:t>
      </w:r>
      <w:r/>
    </w:p>
    <w:p>
      <w:pPr>
        <w:ind w:firstLine="420"/>
        <w:spacing w:line="360" w:lineRule="auto"/>
        <w:rPr>
          <w:rFonts w:ascii="Times New Roman" w:hAnsi="Times New Roman"/>
          <w:color w:val="auto"/>
          <w:szCs w:val="21"/>
          <w:highlight w:val="none"/>
        </w:rPr>
      </w:pPr>
      <w:r>
        <w:rPr>
          <w:rFonts w:hint="eastAsia" w:ascii="Times New Roman" w:hAnsi="Times New Roman" w:cs="宋体"/>
          <w:color w:val="auto"/>
          <w:szCs w:val="21"/>
          <w:highlight w:val="none"/>
        </w:rPr>
        <w:t xml:space="preserve">3.预算金额：</w:t>
      </w:r>
      <w:r>
        <w:rPr>
          <w:rFonts w:hint="eastAsia" w:ascii="Times New Roman" w:hAnsi="Times New Roman" w:cs="宋体"/>
          <w:color w:val="auto"/>
          <w:szCs w:val="21"/>
          <w:highlight w:val="none"/>
        </w:rPr>
        <w:t xml:space="preserve">255</w:t>
      </w:r>
      <w:r>
        <w:rPr>
          <w:rFonts w:ascii="Times New Roman" w:hAnsi="Times New Roman"/>
          <w:color w:val="auto"/>
          <w:szCs w:val="21"/>
          <w:highlight w:val="none"/>
        </w:rPr>
        <w:t xml:space="preserve">万元</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w:t>
      </w:r>
      <w:r>
        <w:rPr>
          <w:rFonts w:hint="eastAsia" w:ascii="Times New Roman" w:hAnsi="Times New Roman" w:cs="宋体"/>
          <w:color w:val="auto"/>
          <w:highlight w:val="none"/>
        </w:rPr>
        <w:t xml:space="preserve">最高限价：</w:t>
      </w:r>
      <w:r>
        <w:rPr>
          <w:rFonts w:hint="eastAsia" w:ascii="Times New Roman" w:hAnsi="Times New Roman" w:cs="宋体"/>
          <w:color w:val="auto"/>
          <w:highlight w:val="none"/>
        </w:rPr>
        <w:t xml:space="preserve">255万元</w:t>
      </w:r>
      <w:r>
        <w:rPr>
          <w:rFonts w:hint="eastAsia" w:ascii="Times New Roman" w:hAnsi="Times New Roman" w:cs="宋体"/>
          <w:color w:val="auto"/>
          <w:highlight w:val="none"/>
        </w:rPr>
        <w:t xml:space="preserve">，报价超过最高限价的为无效投标文件。</w:t>
      </w:r>
      <w:r/>
    </w:p>
    <w:p>
      <w:pPr>
        <w:ind w:firstLine="420"/>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5.采购需求：见招标文件第四章。</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6.合同履行期限：见招标文件第四章。 </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7.本项目</w:t>
      </w:r>
      <w:r>
        <w:rPr>
          <w:rFonts w:hint="eastAsia" w:ascii="Times New Roman" w:hAnsi="Times New Roman" w:cs="宋体"/>
          <w:i/>
          <w:iCs/>
          <w:color w:val="auto"/>
          <w:highlight w:val="none"/>
          <w:u w:val="single"/>
        </w:rPr>
        <w:t xml:space="preserve">不接受</w:t>
      </w:r>
      <w:r>
        <w:rPr>
          <w:rFonts w:hint="eastAsia" w:ascii="Times New Roman" w:hAnsi="Times New Roman" w:cs="宋体"/>
          <w:color w:val="auto"/>
          <w:highlight w:val="none"/>
        </w:rPr>
        <w:t xml:space="preserve">进口产品投标。</w:t>
      </w:r>
      <w:r/>
    </w:p>
    <w:p>
      <w:pPr>
        <w:ind w:firstLine="422"/>
        <w:spacing w:line="360" w:lineRule="auto"/>
        <w:tabs>
          <w:tab w:val="left" w:pos="266" w:leader="none"/>
        </w:tabs>
        <w:rPr>
          <w:rFonts w:ascii="Times New Roman" w:hAnsi="Times New Roman" w:cs="宋体"/>
          <w:b/>
          <w:bCs/>
          <w:color w:val="auto"/>
          <w:highlight w:val="none"/>
        </w:rPr>
      </w:pPr>
      <w:r/>
      <w:bookmarkStart w:id="11" w:name="_Toc38985264"/>
      <w:r/>
      <w:bookmarkStart w:id="12" w:name="_Toc35393791"/>
      <w:r/>
      <w:bookmarkStart w:id="13" w:name="_Toc28359080"/>
      <w:r/>
      <w:bookmarkStart w:id="14" w:name="_Toc28359003"/>
      <w:r/>
      <w:bookmarkStart w:id="15" w:name="_Toc35393622"/>
      <w:r>
        <w:rPr>
          <w:rFonts w:hint="eastAsia" w:ascii="Times New Roman" w:hAnsi="Times New Roman" w:cs="宋体"/>
          <w:b/>
          <w:bCs/>
          <w:color w:val="auto"/>
          <w:highlight w:val="none"/>
        </w:rPr>
        <w:t xml:space="preserve">二、申请人的资格要求：</w:t>
      </w:r>
      <w:bookmarkEnd w:id="11"/>
      <w:r/>
      <w:bookmarkEnd w:id="12"/>
      <w:r/>
      <w:bookmarkEnd w:id="13"/>
      <w:r/>
      <w:bookmarkEnd w:id="14"/>
      <w:r/>
      <w:bookmarkEnd w:id="15"/>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（一）通用资格要求</w:t>
      </w:r>
      <w:r/>
    </w:p>
    <w:p>
      <w:pPr>
        <w:ind w:firstLine="420"/>
        <w:spacing w:line="360" w:lineRule="auto"/>
        <w:rPr>
          <w:rFonts w:ascii="Times New Roman" w:hAnsi="Times New Roman" w:cs="宋体"/>
          <w:color w:val="auto"/>
          <w:szCs w:val="21"/>
          <w:highlight w:val="none"/>
        </w:rPr>
      </w:pPr>
      <w:r/>
      <w:bookmarkStart w:id="16" w:name="_Toc35393623"/>
      <w:r/>
      <w:bookmarkStart w:id="17" w:name="_Toc35393792"/>
      <w:r/>
      <w:bookmarkStart w:id="18" w:name="_Toc28359004"/>
      <w:r/>
      <w:bookmarkStart w:id="19" w:name="_Toc28359081"/>
      <w:r/>
      <w:bookmarkStart w:id="20" w:name="_Toc38985265"/>
      <w:r>
        <w:rPr>
          <w:rFonts w:hint="eastAsia" w:ascii="Times New Roman" w:hAnsi="Times New Roman" w:cs="宋体"/>
          <w:color w:val="auto"/>
          <w:szCs w:val="21"/>
          <w:highlight w:val="none"/>
        </w:rPr>
        <w:t xml:space="preserve">1.满足《中华人民共和国政府采购法》第二十二条规定：</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1.1法人或者其他组织的营业执照等证明文件，自然人的身份证明</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1.2 2024年度或2025年度的财务报告情况</w:t>
      </w:r>
      <w:r>
        <w:rPr>
          <w:rFonts w:hint="eastAsia" w:ascii="Times New Roman" w:hAnsi="Times New Roman" w:cs="宋体"/>
          <w:b/>
          <w:bCs/>
          <w:i/>
          <w:iCs/>
          <w:color w:val="auto"/>
          <w:szCs w:val="21"/>
          <w:highlight w:val="none"/>
          <w:u w:val="single"/>
        </w:rPr>
        <w:t xml:space="preserve">（成立不满一年无需提供）</w:t>
      </w:r>
      <w:r/>
    </w:p>
    <w:p>
      <w:pPr>
        <w:ind w:firstLine="420"/>
        <w:spacing w:line="360" w:lineRule="auto"/>
        <w:rPr>
          <w:rFonts w:ascii="Times New Roman" w:hAnsi="Times New Roman" w:cs="宋体"/>
          <w:i/>
          <w:iCs/>
          <w:color w:val="auto"/>
          <w:highlight w:val="none"/>
          <w:u w:val="single"/>
        </w:rPr>
      </w:pPr>
      <w:r>
        <w:rPr>
          <w:rFonts w:hint="eastAsia" w:ascii="Times New Roman" w:hAnsi="Times New Roman" w:cs="宋体"/>
          <w:i/>
          <w:iCs/>
          <w:color w:val="auto"/>
          <w:szCs w:val="21"/>
          <w:highlight w:val="none"/>
          <w:u w:val="single"/>
        </w:rPr>
        <w:t xml:space="preserve">1.3 依法缴纳税收和社会保障资金的相关材料</w:t>
      </w:r>
      <w:r>
        <w:rPr>
          <w:rFonts w:hint="eastAsia" w:ascii="Times New Roman" w:hAnsi="Times New Roman" w:cs="宋体"/>
          <w:b/>
          <w:bCs/>
          <w:i/>
          <w:iCs/>
          <w:color w:val="auto"/>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ascii="Times New Roman" w:hAnsi="Times New Roman" w:cs="宋体"/>
          <w:b/>
          <w:bCs/>
          <w:i/>
          <w:iCs/>
          <w:color w:val="auto"/>
          <w:szCs w:val="21"/>
          <w:highlight w:val="none"/>
          <w:u w:val="single"/>
        </w:rPr>
      </w:pPr>
      <w:r>
        <w:rPr>
          <w:rFonts w:hint="eastAsia" w:ascii="Times New Roman" w:hAnsi="Times New Roman" w:cs="宋体"/>
          <w:i/>
          <w:iCs/>
          <w:color w:val="auto"/>
          <w:szCs w:val="21"/>
          <w:highlight w:val="none"/>
          <w:u w:val="single"/>
        </w:rPr>
        <w:t xml:space="preserve">1.4 具备履行合同所必需的设备和专业技术能力的书面声明；</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1.6 供应商信用承诺书；</w:t>
      </w:r>
      <w:r/>
    </w:p>
    <w:p>
      <w:pPr>
        <w:ind w:firstLine="420"/>
        <w:spacing w:line="360" w:lineRule="auto"/>
        <w:rPr>
          <w:rFonts w:ascii="Times New Roman" w:hAnsi="Times New Roman" w:cs="宋体"/>
          <w:b/>
          <w:bCs/>
          <w:i/>
          <w:iCs/>
          <w:color w:val="auto"/>
          <w:szCs w:val="21"/>
          <w:highlight w:val="none"/>
          <w:u w:val="single"/>
        </w:rPr>
      </w:pPr>
      <w:r>
        <w:rPr>
          <w:rFonts w:hint="eastAsia" w:ascii="Times New Roman" w:hAnsi="Times New Roman"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cs="宋体"/>
          <w:b/>
          <w:bCs/>
          <w:i/>
          <w:iCs/>
          <w:color w:val="auto"/>
          <w:szCs w:val="21"/>
          <w:highlight w:val="none"/>
          <w:u w:val="single"/>
        </w:rPr>
        <w:t xml:space="preserve">（投标文件中无需提供证明材料）</w:t>
      </w:r>
      <w:r/>
    </w:p>
    <w:p>
      <w:pPr>
        <w:ind w:firstLine="420"/>
        <w:spacing w:line="360" w:lineRule="auto"/>
        <w:rPr>
          <w:rFonts w:ascii="Times New Roman" w:hAnsi="Times New Roman" w:cs="宋体"/>
          <w:i/>
          <w:color w:val="auto"/>
          <w:szCs w:val="21"/>
          <w:highlight w:val="none"/>
          <w:u w:val="single"/>
        </w:rPr>
      </w:pPr>
      <w:r>
        <w:rPr>
          <w:rFonts w:hint="eastAsia" w:ascii="Times New Roman" w:hAnsi="Times New Roman" w:cs="宋体"/>
          <w:color w:val="auto"/>
          <w:szCs w:val="21"/>
          <w:highlight w:val="none"/>
        </w:rPr>
        <w:t xml:space="preserve">2.落实政府采购政策需满足的资格要求：</w:t>
      </w:r>
      <w:r>
        <w:rPr>
          <w:rFonts w:hint="eastAsia" w:ascii="Times New Roman" w:hAnsi="Times New Roman" w:cs="宋体"/>
          <w:i/>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spacing w:line="360" w:lineRule="auto"/>
        <w:rPr>
          <w:rFonts w:ascii="Times New Roman" w:hAnsi="Times New Roman"/>
          <w:color w:val="auto"/>
          <w:szCs w:val="21"/>
          <w:highlight w:val="none"/>
        </w:rPr>
      </w:pPr>
      <w:r>
        <w:rPr>
          <w:rFonts w:hint="eastAsia" w:ascii="Times New Roman" w:hAnsi="Times New Roman" w:cs="宋体"/>
          <w:color w:val="auto"/>
          <w:highlight w:val="none"/>
        </w:rPr>
        <w:t xml:space="preserve">3.</w:t>
      </w:r>
      <w:r>
        <w:rPr>
          <w:rFonts w:hint="eastAsia" w:ascii="Times New Roman" w:hAnsi="Times New Roman" w:cs="宋体"/>
          <w:color w:val="auto"/>
          <w:szCs w:val="21"/>
          <w:highlight w:val="none"/>
        </w:rPr>
        <w:t xml:space="preserve">联合体投标。</w:t>
      </w:r>
      <w:r/>
    </w:p>
    <w:tbl>
      <w:tblPr>
        <w:tblStyle w:val="771"/>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采购</w:t>
            </w:r>
            <w:r/>
          </w:p>
          <w:p>
            <w:pPr>
              <w:jc w:val="cente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包号</w:t>
            </w:r>
            <w:r/>
          </w:p>
        </w:tc>
        <w:tc>
          <w:tcPr>
            <w:tcW w:w="2968" w:type="dxa"/>
            <w:textDirection w:val="lrTb"/>
            <w:noWrap w:val="false"/>
          </w:tcPr>
          <w:p>
            <w:pPr>
              <w:jc w:val="cente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是否接受联合体</w:t>
            </w:r>
            <w:r>
              <w:rPr>
                <w:rFonts w:ascii="Times New Roman" w:hAnsi="Times New Roman"/>
                <w:color w:val="auto"/>
                <w:szCs w:val="21"/>
                <w:highlight w:val="none"/>
              </w:rPr>
              <w:t xml:space="preserve">投标</w:t>
            </w:r>
            <w:r/>
          </w:p>
          <w:p>
            <w:pPr>
              <w:jc w:val="center"/>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是/否</w:t>
            </w:r>
            <w:r>
              <w:rPr>
                <w:rFonts w:ascii="Times New Roman" w:hAnsi="Times New Roman"/>
                <w:color w:val="auto"/>
                <w:szCs w:val="21"/>
                <w:highlight w:val="none"/>
              </w:rPr>
              <w:t xml:space="preserve">）</w:t>
            </w:r>
            <w:r/>
          </w:p>
        </w:tc>
        <w:tc>
          <w:tcPr>
            <w:tcW w:w="2967" w:type="dxa"/>
            <w:textDirection w:val="lrTb"/>
            <w:noWrap w:val="false"/>
          </w:tcPr>
          <w:p>
            <w:pPr>
              <w:jc w:val="cente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该采购包中</w:t>
            </w:r>
            <w:r>
              <w:rPr>
                <w:rFonts w:ascii="Times New Roman" w:hAnsi="Times New Roman"/>
                <w:color w:val="auto"/>
                <w:szCs w:val="21"/>
                <w:highlight w:val="none"/>
              </w:rPr>
              <w:t xml:space="preserve">联合体成员数量</w:t>
            </w:r>
            <w:r>
              <w:rPr>
                <w:rFonts w:hint="eastAsia" w:ascii="Times New Roman" w:hAnsi="Times New Roman"/>
                <w:color w:val="auto"/>
                <w:szCs w:val="21"/>
                <w:highlight w:val="none"/>
              </w:rPr>
              <w:t xml:space="preserve">上限</w:t>
            </w:r>
            <w:r/>
          </w:p>
        </w:tc>
      </w:tr>
      <w:tr>
        <w:trPr/>
        <w:tc>
          <w:tcPr>
            <w:tcW w:w="1148" w:type="dxa"/>
            <w:textDirection w:val="lrTb"/>
            <w:noWrap w:val="false"/>
          </w:tcPr>
          <w:p>
            <w:pPr>
              <w:jc w:val="cente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w:t>
            </w:r>
            <w:r/>
          </w:p>
        </w:tc>
        <w:tc>
          <w:tcPr>
            <w:tcW w:w="2968" w:type="dxa"/>
            <w:textDirection w:val="lrTb"/>
            <w:noWrap w:val="false"/>
          </w:tcPr>
          <w:p>
            <w:pPr>
              <w:jc w:val="cente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否</w:t>
            </w:r>
            <w:r/>
          </w:p>
        </w:tc>
        <w:tc>
          <w:tcPr>
            <w:tcW w:w="2967" w:type="dxa"/>
            <w:textDirection w:val="lrTb"/>
            <w:noWrap w:val="false"/>
          </w:tcPr>
          <w:p>
            <w:pPr>
              <w:jc w:val="cente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w:t>
            </w:r>
            <w:r/>
          </w:p>
        </w:tc>
      </w:tr>
    </w:tbl>
    <w:p>
      <w:pPr>
        <w:ind w:firstLine="420"/>
        <w:spacing w:line="360" w:lineRule="auto"/>
        <w:rPr>
          <w:rFonts w:ascii="Times New Roman" w:hAnsi="Times New Roman" w:cs="宋体"/>
          <w:i/>
          <w:color w:val="auto"/>
          <w:szCs w:val="21"/>
          <w:highlight w:val="none"/>
          <w:u w:val="single"/>
        </w:rPr>
      </w:pPr>
      <w:r>
        <w:rPr>
          <w:rFonts w:ascii="Times New Roman" w:hAnsi="Times New Roman" w:cs="宋体"/>
          <w:i/>
          <w:color w:val="auto"/>
          <w:szCs w:val="21"/>
          <w:highlight w:val="none"/>
          <w:u w:val="single"/>
        </w:rPr>
      </w:r>
      <w:r/>
    </w:p>
    <w:p>
      <w:pPr>
        <w:ind w:firstLine="420"/>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（二）本项目的特定资格要求</w:t>
      </w:r>
      <w:r/>
    </w:p>
    <w:tbl>
      <w:tblPr>
        <w:tblStyle w:val="771"/>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采购</w:t>
            </w:r>
            <w:r/>
          </w:p>
          <w:p>
            <w:pPr>
              <w:jc w:val="center"/>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包号</w:t>
            </w:r>
            <w:r/>
          </w:p>
        </w:tc>
        <w:tc>
          <w:tcPr>
            <w:tcW w:w="5921" w:type="dxa"/>
            <w:textDirection w:val="lrTb"/>
            <w:noWrap w:val="false"/>
          </w:tcPr>
          <w:p>
            <w:pPr>
              <w:jc w:val="center"/>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特定资格要求</w:t>
            </w:r>
            <w:r/>
          </w:p>
        </w:tc>
      </w:tr>
      <w:tr>
        <w:trPr/>
        <w:tc>
          <w:tcPr>
            <w:tcW w:w="1148" w:type="dxa"/>
            <w:textDirection w:val="lrTb"/>
            <w:noWrap w:val="false"/>
          </w:tcPr>
          <w:p>
            <w:pPr>
              <w:jc w:val="center"/>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p>
        </w:tc>
        <w:tc>
          <w:tcPr>
            <w:tcW w:w="5921" w:type="dxa"/>
            <w:textDirection w:val="lrTb"/>
            <w:noWrap w:val="false"/>
          </w:tcPr>
          <w:p>
            <w:pPr>
              <w:jc w:val="center"/>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无</w:t>
            </w:r>
            <w:r/>
          </w:p>
        </w:tc>
      </w:tr>
    </w:tbl>
    <w:p>
      <w:pPr>
        <w:ind w:firstLine="420"/>
        <w:spacing w:line="360" w:lineRule="auto"/>
        <w:rPr>
          <w:rFonts w:ascii="Times New Roman" w:hAnsi="Times New Roman" w:cs="宋体"/>
          <w:i/>
          <w:iCs/>
          <w:color w:val="auto"/>
          <w:szCs w:val="21"/>
          <w:highlight w:val="none"/>
          <w:u w:val="single"/>
        </w:rPr>
      </w:pPr>
      <w:r>
        <w:rPr>
          <w:rFonts w:ascii="Times New Roman" w:hAnsi="Times New Roman" w:cs="宋体"/>
          <w:i/>
          <w:iCs/>
          <w:color w:val="auto"/>
          <w:szCs w:val="21"/>
          <w:highlight w:val="none"/>
          <w:u w:val="single"/>
        </w:rPr>
      </w:r>
      <w:r/>
    </w:p>
    <w:p>
      <w:pPr>
        <w:ind w:firstLine="632"/>
        <w:spacing w:line="360" w:lineRule="auto"/>
        <w:tabs>
          <w:tab w:val="left" w:pos="266" w:leader="none"/>
        </w:tabs>
        <w:rPr>
          <w:rFonts w:ascii="Times New Roman" w:hAnsi="Times New Roman" w:cs="宋体"/>
          <w:b/>
          <w:bCs/>
          <w:color w:val="auto"/>
          <w:highlight w:val="none"/>
        </w:rPr>
      </w:pPr>
      <w:r>
        <w:rPr>
          <w:rFonts w:hint="eastAsia" w:ascii="Times New Roman" w:hAnsi="Times New Roman" w:cs="宋体"/>
          <w:b/>
          <w:bCs/>
          <w:color w:val="auto"/>
          <w:highlight w:val="none"/>
        </w:rPr>
        <w:t xml:space="preserve">三、获取招标文件</w:t>
      </w:r>
      <w:bookmarkEnd w:id="16"/>
      <w:r/>
      <w:bookmarkEnd w:id="17"/>
      <w:r/>
      <w:bookmarkEnd w:id="18"/>
      <w:r/>
      <w:bookmarkEnd w:id="19"/>
      <w:r/>
      <w:bookmarkEnd w:id="20"/>
      <w:r/>
      <w:r/>
    </w:p>
    <w:p>
      <w:pPr>
        <w:ind w:firstLine="420"/>
        <w:spacing w:line="360" w:lineRule="auto"/>
        <w:rPr>
          <w:rFonts w:ascii="Times New Roman" w:hAnsi="Times New Roman" w:cs="宋体"/>
          <w:color w:val="auto"/>
          <w:highlight w:val="none"/>
        </w:rPr>
      </w:pPr>
      <w:r/>
      <w:bookmarkStart w:id="21" w:name="_Toc28359082"/>
      <w:r/>
      <w:bookmarkStart w:id="22" w:name="_Toc28359005"/>
      <w:r/>
      <w:bookmarkStart w:id="23" w:name="_Toc35393624"/>
      <w:r/>
      <w:bookmarkStart w:id="24" w:name="_Toc38985266"/>
      <w:r/>
      <w:bookmarkStart w:id="25" w:name="_Toc35393793"/>
      <w:r>
        <w:rPr>
          <w:rFonts w:hint="eastAsia" w:ascii="Times New Roman" w:hAnsi="Times New Roman"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2.获取方式：本项目采用网上注册登记方式。</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3.潜在供应商访问政府采购管理交易系统（苏采云）的网络地址和方法：</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（3）“CA数字证书”的办理材料以及供应商操作手册详见：</w:t>
      </w:r>
      <w:r/>
    </w:p>
    <w:p>
      <w:pPr>
        <w:pStyle w:val="796"/>
        <w:ind w:firstLine="600"/>
        <w:jc w:val="both"/>
        <w:spacing w:beforeAutospacing="0" w:afterAutospacing="0" w:line="360" w:lineRule="auto"/>
        <w:rPr>
          <w:rFonts w:ascii="Times New Roman" w:hAnsi="Times New Roman"/>
          <w:color w:val="auto"/>
          <w:highlight w:val="none"/>
        </w:rPr>
      </w:pPr>
      <w:r>
        <w:rPr>
          <w:rFonts w:hint="eastAsia" w:ascii="Times New Roman" w:hAnsi="Times New Roman" w:cs="宋体"/>
          <w:b/>
          <w:bCs/>
          <w:color w:val="auto"/>
          <w:sz w:val="21"/>
          <w:szCs w:val="21"/>
          <w:highlight w:val="none"/>
          <w:shd w:val="clear" w:color="auto" w:fill="ffffff"/>
        </w:rPr>
        <w:t xml:space="preserve">http://zfcg.yangzhou.gov.cn/xzzx/art/2023/art_4d7de1f7865f4a2894fc22bc452f94d8.html.</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（4）潜在供应商访问“苏采云”系统的网络地址和方法：“苏采云”系统的网址：http://jszfcg.jsczt.cn/。</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（7）苏采云系统使用谷歌浏览器参与不见面开标。</w:t>
      </w:r>
      <w:r/>
    </w:p>
    <w:p>
      <w:pPr>
        <w:ind w:firstLine="422"/>
        <w:spacing w:line="360" w:lineRule="auto"/>
        <w:tabs>
          <w:tab w:val="left" w:pos="266" w:leader="none"/>
        </w:tabs>
        <w:rPr>
          <w:rFonts w:ascii="Times New Roman" w:hAnsi="Times New Roman" w:cs="宋体"/>
          <w:b/>
          <w:bCs/>
          <w:color w:val="auto"/>
          <w:highlight w:val="none"/>
        </w:rPr>
      </w:pPr>
      <w:r>
        <w:rPr>
          <w:rFonts w:hint="eastAsia" w:ascii="Times New Roman" w:hAnsi="Times New Roman" w:cs="宋体"/>
          <w:b/>
          <w:bCs/>
          <w:color w:val="auto"/>
          <w:highlight w:val="none"/>
        </w:rPr>
        <w:t xml:space="preserve">四、提交投标文件</w:t>
      </w:r>
      <w:bookmarkEnd w:id="21"/>
      <w:r/>
      <w:bookmarkEnd w:id="22"/>
      <w:r>
        <w:rPr>
          <w:rFonts w:hint="eastAsia" w:ascii="Times New Roman" w:hAnsi="Times New Roman" w:cs="宋体"/>
          <w:b/>
          <w:bCs/>
          <w:color w:val="auto"/>
          <w:highlight w:val="none"/>
        </w:rPr>
        <w:t xml:space="preserve">截止时间、开标时间和地点</w:t>
      </w:r>
      <w:bookmarkEnd w:id="23"/>
      <w:r/>
      <w:bookmarkEnd w:id="24"/>
      <w:r/>
      <w:bookmarkEnd w:id="25"/>
      <w:r/>
      <w:r/>
    </w:p>
    <w:p>
      <w:pPr>
        <w:ind w:firstLine="420"/>
        <w:spacing w:line="360" w:lineRule="auto"/>
        <w:rPr>
          <w:rFonts w:ascii="Times New Roman" w:hAnsi="Times New Roman" w:cs="宋体"/>
          <w:bCs/>
          <w:color w:val="auto"/>
          <w:szCs w:val="21"/>
          <w:highlight w:val="none"/>
          <w:u w:val="single"/>
        </w:rPr>
      </w:pPr>
      <w:r>
        <w:rPr>
          <w:rFonts w:hint="eastAsia" w:ascii="Times New Roman" w:hAnsi="Times New Roman" w:cs="宋体"/>
          <w:color w:val="auto"/>
          <w:highlight w:val="none"/>
        </w:rPr>
        <w:t xml:space="preserve">1.时间：</w:t>
      </w:r>
      <w:r>
        <w:rPr>
          <w:rFonts w:hint="eastAsia" w:ascii="Times New Roman" w:hAnsi="Times New Roman" w:cs="宋体"/>
          <w:bCs/>
          <w:color w:val="auto"/>
          <w:highlight w:val="none"/>
          <w:u w:val="single"/>
        </w:rPr>
        <w:t xml:space="preserve">2026年6月</w:t>
      </w:r>
      <w:r>
        <w:rPr>
          <w:rFonts w:hint="eastAsia" w:ascii="Times New Roman" w:hAnsi="Times New Roman" w:cs="宋体"/>
          <w:bCs/>
          <w:color w:val="auto"/>
          <w:highlight w:val="none"/>
          <w:u w:val="single"/>
          <w:lang w:val="en-US" w:eastAsia="zh-CN"/>
        </w:rPr>
        <w:t xml:space="preserve">25</w:t>
      </w:r>
      <w:r>
        <w:rPr>
          <w:rFonts w:hint="eastAsia" w:ascii="Times New Roman" w:hAnsi="Times New Roman" w:cs="宋体"/>
          <w:bCs/>
          <w:color w:val="auto"/>
          <w:highlight w:val="none"/>
          <w:u w:val="single"/>
        </w:rPr>
        <w:t xml:space="preserve">日</w:t>
      </w:r>
      <w:r>
        <w:rPr>
          <w:rFonts w:hint="eastAsia" w:ascii="Times New Roman" w:hAnsi="Times New Roman" w:cs="宋体"/>
          <w:bCs/>
          <w:color w:val="auto"/>
          <w:highlight w:val="none"/>
          <w:u w:val="single"/>
          <w:lang w:val="en-US" w:eastAsia="zh-CN"/>
        </w:rPr>
        <w:t xml:space="preserve">上</w:t>
      </w:r>
      <w:r>
        <w:rPr>
          <w:rFonts w:hint="eastAsia" w:ascii="Times New Roman" w:hAnsi="Times New Roman" w:cs="宋体"/>
          <w:bCs/>
          <w:color w:val="auto"/>
          <w:highlight w:val="none"/>
          <w:u w:val="single"/>
        </w:rPr>
        <w:t xml:space="preserve">午</w:t>
      </w:r>
      <w:r>
        <w:rPr>
          <w:rFonts w:hint="eastAsia" w:ascii="Times New Roman" w:hAnsi="Times New Roman" w:cs="宋体"/>
          <w:bCs/>
          <w:color w:val="auto"/>
          <w:highlight w:val="none"/>
          <w:u w:val="single"/>
          <w:lang w:val="en-US" w:eastAsia="zh-CN"/>
        </w:rPr>
        <w:t xml:space="preserve">10</w:t>
      </w:r>
      <w:r>
        <w:rPr>
          <w:rFonts w:hint="eastAsia" w:ascii="Times New Roman" w:hAnsi="Times New Roman" w:cs="宋体"/>
          <w:bCs/>
          <w:color w:val="auto"/>
          <w:highlight w:val="none"/>
          <w:u w:val="single"/>
        </w:rPr>
        <w:t xml:space="preserve">：</w:t>
      </w:r>
      <w:r>
        <w:rPr>
          <w:rFonts w:hint="eastAsia" w:ascii="Times New Roman" w:hAnsi="Times New Roman" w:cs="宋体"/>
          <w:bCs/>
          <w:color w:val="auto"/>
          <w:highlight w:val="none"/>
          <w:u w:val="single"/>
          <w:lang w:val="en-US" w:eastAsia="zh-CN"/>
        </w:rPr>
        <w:t xml:space="preserve">00</w:t>
      </w:r>
      <w:r>
        <w:rPr>
          <w:rFonts w:hint="eastAsia" w:ascii="Times New Roman" w:hAnsi="Times New Roman" w:cs="宋体"/>
          <w:bCs/>
          <w:color w:val="auto"/>
          <w:highlight w:val="none"/>
          <w:u w:val="single"/>
        </w:rPr>
        <w:t xml:space="preserve"> </w:t>
      </w:r>
      <w:r>
        <w:rPr>
          <w:rFonts w:hint="eastAsia" w:ascii="Times New Roman" w:hAnsi="Times New Roman" w:cs="宋体"/>
          <w:color w:val="auto"/>
          <w:highlight w:val="none"/>
        </w:rPr>
        <w:t xml:space="preserve">（北京时间）</w:t>
      </w:r>
      <w:r/>
    </w:p>
    <w:p>
      <w:pPr>
        <w:ind w:firstLine="420"/>
        <w:spacing w:line="360" w:lineRule="auto"/>
        <w:rPr>
          <w:rFonts w:ascii="Times New Roman" w:hAnsi="Times New Roman" w:cs="宋体"/>
          <w:b/>
          <w:color w:val="auto"/>
          <w:szCs w:val="21"/>
          <w:highlight w:val="none"/>
        </w:rPr>
      </w:pPr>
      <w:r>
        <w:rPr>
          <w:rFonts w:hint="eastAsia" w:ascii="Times New Roman" w:hAnsi="Times New Roman" w:cs="宋体"/>
          <w:color w:val="auto"/>
          <w:highlight w:val="none"/>
        </w:rPr>
        <w:t xml:space="preserve">2.开标地点：</w:t>
      </w:r>
      <w:r>
        <w:rPr>
          <w:rFonts w:hint="eastAsia" w:ascii="Times New Roman" w:hAnsi="Times New Roman" w:cs="宋体"/>
          <w:color w:val="auto"/>
          <w:szCs w:val="21"/>
          <w:highlight w:val="none"/>
        </w:rPr>
        <w:t xml:space="preserve">“苏采云”系统（网址：http://jszfcg.jsczt.cn/）</w:t>
      </w:r>
      <w:r/>
    </w:p>
    <w:p>
      <w:pPr>
        <w:ind w:firstLine="422"/>
        <w:spacing w:line="360" w:lineRule="auto"/>
        <w:tabs>
          <w:tab w:val="left" w:pos="266" w:leader="none"/>
        </w:tabs>
        <w:rPr>
          <w:rFonts w:ascii="Times New Roman" w:hAnsi="Times New Roman" w:cs="宋体"/>
          <w:b/>
          <w:bCs/>
          <w:color w:val="auto"/>
          <w:highlight w:val="none"/>
        </w:rPr>
      </w:pPr>
      <w:r/>
      <w:bookmarkStart w:id="26" w:name="_Toc38985267"/>
      <w:r/>
      <w:bookmarkStart w:id="27" w:name="_Toc28359084"/>
      <w:r/>
      <w:bookmarkStart w:id="28" w:name="_Toc35393794"/>
      <w:r/>
      <w:bookmarkStart w:id="29" w:name="_Toc28359007"/>
      <w:r/>
      <w:bookmarkStart w:id="30" w:name="_Toc35393625"/>
      <w:r>
        <w:rPr>
          <w:rFonts w:hint="eastAsia" w:ascii="Times New Roman" w:hAnsi="Times New Roman" w:cs="宋体"/>
          <w:b/>
          <w:bCs/>
          <w:color w:val="auto"/>
          <w:highlight w:val="none"/>
        </w:rPr>
        <w:t xml:space="preserve">五、公告期限</w:t>
      </w:r>
      <w:bookmarkEnd w:id="26"/>
      <w:r/>
      <w:bookmarkEnd w:id="27"/>
      <w:r/>
      <w:bookmarkEnd w:id="28"/>
      <w:r/>
      <w:bookmarkEnd w:id="29"/>
      <w:r/>
      <w:bookmarkEnd w:id="30"/>
      <w:r/>
      <w:r/>
    </w:p>
    <w:p>
      <w:pPr>
        <w:ind w:firstLine="420"/>
        <w:spacing w:line="360" w:lineRule="auto"/>
        <w:rPr>
          <w:rFonts w:ascii="Times New Roman" w:hAnsi="Times New Roman" w:cs="宋体"/>
          <w:color w:val="auto"/>
          <w:highlight w:val="none"/>
        </w:rPr>
      </w:pPr>
      <w:r/>
      <w:bookmarkStart w:id="31" w:name="_Toc35393626"/>
      <w:r/>
      <w:bookmarkStart w:id="32" w:name="_Toc35393795"/>
      <w:r/>
      <w:bookmarkStart w:id="33" w:name="_Toc38985268"/>
      <w:r>
        <w:rPr>
          <w:rFonts w:hint="eastAsia" w:ascii="Times New Roman" w:hAnsi="Times New Roman" w:cs="宋体"/>
          <w:color w:val="auto"/>
          <w:highlight w:val="none"/>
        </w:rPr>
        <w:t xml:space="preserve">招标公告及招标文件公告期限为自本公告发布之日起5个工作日。</w:t>
      </w:r>
      <w:r/>
    </w:p>
    <w:p>
      <w:pPr>
        <w:ind w:firstLine="422"/>
        <w:spacing w:line="360" w:lineRule="auto"/>
        <w:tabs>
          <w:tab w:val="left" w:pos="266" w:leader="none"/>
        </w:tabs>
        <w:rPr>
          <w:rFonts w:ascii="Times New Roman" w:hAnsi="Times New Roman" w:cs="宋体"/>
          <w:b/>
          <w:bCs/>
          <w:color w:val="auto"/>
          <w:highlight w:val="none"/>
        </w:rPr>
      </w:pPr>
      <w:r>
        <w:rPr>
          <w:rFonts w:hint="eastAsia" w:ascii="Times New Roman" w:hAnsi="Times New Roman" w:cs="宋体"/>
          <w:b/>
          <w:bCs/>
          <w:color w:val="auto"/>
          <w:highlight w:val="none"/>
        </w:rPr>
        <w:t xml:space="preserve">六、其他补充事宜</w:t>
      </w:r>
      <w:bookmarkEnd w:id="31"/>
      <w:r/>
      <w:bookmarkEnd w:id="32"/>
      <w:r/>
      <w:bookmarkEnd w:id="33"/>
      <w:r/>
      <w:r/>
    </w:p>
    <w:p>
      <w:pPr>
        <w:ind w:firstLine="422"/>
        <w:spacing w:line="360" w:lineRule="auto"/>
        <w:rPr>
          <w:rFonts w:ascii="Times New Roman" w:hAnsi="Times New Roman" w:cs="宋体"/>
          <w:b/>
          <w:bCs/>
          <w:color w:val="auto"/>
          <w:highlight w:val="none"/>
        </w:rPr>
      </w:pPr>
      <w:r/>
      <w:bookmarkStart w:id="34" w:name="_Toc28359008"/>
      <w:r/>
      <w:bookmarkStart w:id="35" w:name="_Toc28359085"/>
      <w:r/>
      <w:bookmarkStart w:id="36" w:name="_Toc35393627"/>
      <w:r/>
      <w:bookmarkStart w:id="37" w:name="_Toc38985269"/>
      <w:r/>
      <w:bookmarkStart w:id="38" w:name="_Toc35393796"/>
      <w:r>
        <w:rPr>
          <w:rFonts w:hint="eastAsia" w:ascii="Times New Roman" w:hAnsi="Times New Roman"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Times New Roman" w:hAnsi="Times New Roman" w:cs="宋体"/>
          <w:bCs/>
          <w:color w:val="auto"/>
          <w:highlight w:val="none"/>
        </w:rPr>
      </w:pPr>
      <w:r>
        <w:rPr>
          <w:rFonts w:hint="eastAsia" w:ascii="Times New Roman" w:hAnsi="Times New Roman" w:cs="宋体"/>
          <w:bCs/>
          <w:color w:val="auto"/>
          <w:szCs w:val="21"/>
          <w:highlight w:val="none"/>
        </w:rPr>
        <w:t xml:space="preserve">3.</w:t>
      </w:r>
      <w:r>
        <w:rPr>
          <w:rFonts w:hint="eastAsia" w:ascii="Times New Roman" w:hAnsi="Times New Roman" w:cs="宋体"/>
          <w:color w:val="auto"/>
          <w:highlight w:val="none"/>
        </w:rPr>
        <w:t xml:space="preserve">本次招标</w:t>
      </w:r>
      <w:r>
        <w:rPr>
          <w:rFonts w:hint="eastAsia" w:ascii="Times New Roman" w:hAnsi="Times New Roman" w:cs="宋体"/>
          <w:color w:val="auto"/>
          <w:highlight w:val="none"/>
          <w:u w:val="single"/>
        </w:rPr>
        <w:t xml:space="preserve">不收取 </w:t>
      </w:r>
      <w:r>
        <w:rPr>
          <w:rFonts w:hint="eastAsia" w:ascii="Times New Roman" w:hAnsi="Times New Roman" w:cs="宋体"/>
          <w:color w:val="auto"/>
          <w:highlight w:val="none"/>
        </w:rPr>
        <w:t xml:space="preserve">投标保证金。</w:t>
      </w:r>
      <w:r/>
    </w:p>
    <w:p>
      <w:pPr>
        <w:ind w:firstLine="420"/>
        <w:spacing w:line="360" w:lineRule="auto"/>
        <w:rPr>
          <w:rFonts w:ascii="Times New Roman" w:hAnsi="Times New Roman" w:cs="宋体"/>
          <w:bCs/>
          <w:color w:val="auto"/>
          <w:highlight w:val="none"/>
        </w:rPr>
      </w:pPr>
      <w:r>
        <w:rPr>
          <w:rFonts w:hint="eastAsia" w:ascii="Times New Roman" w:hAnsi="Times New Roman" w:cs="宋体"/>
          <w:color w:val="auto"/>
          <w:szCs w:val="21"/>
          <w:highlight w:val="none"/>
        </w:rPr>
        <w:t xml:space="preserve">4.</w:t>
      </w:r>
      <w:r>
        <w:rPr>
          <w:rFonts w:hint="eastAsia" w:ascii="Times New Roman" w:hAnsi="Times New Roman" w:cs="宋体"/>
          <w:bCs/>
          <w:color w:val="auto"/>
          <w:highlight w:val="none"/>
        </w:rPr>
        <w:t xml:space="preserve">有关本次招标的事项若存在变动或修改，敬请及时关注</w:t>
      </w:r>
      <w:r>
        <w:rPr>
          <w:rFonts w:hint="eastAsia" w:ascii="Times New Roman" w:hAnsi="Times New Roman" w:cs="宋体"/>
          <w:bCs/>
          <w:color w:val="auto"/>
          <w:szCs w:val="21"/>
          <w:highlight w:val="none"/>
        </w:rPr>
        <w:t xml:space="preserve">“江苏省政府采购网”和“中国政府采购网”</w:t>
      </w:r>
      <w:r>
        <w:rPr>
          <w:rFonts w:hint="eastAsia" w:ascii="Times New Roman" w:hAnsi="Times New Roman" w:cs="宋体"/>
          <w:bCs/>
          <w:color w:val="auto"/>
          <w:highlight w:val="none"/>
        </w:rPr>
        <w:t xml:space="preserve">发布的信息。</w:t>
      </w:r>
      <w:r/>
    </w:p>
    <w:p>
      <w:pPr>
        <w:ind w:firstLine="422"/>
        <w:spacing w:line="360" w:lineRule="auto"/>
        <w:tabs>
          <w:tab w:val="left" w:pos="266" w:leader="none"/>
        </w:tabs>
        <w:rPr>
          <w:rFonts w:ascii="Times New Roman" w:hAnsi="Times New Roman" w:cs="宋体"/>
          <w:b/>
          <w:i/>
          <w:iCs/>
          <w:color w:val="auto"/>
          <w:highlight w:val="none"/>
          <w:u w:val="single"/>
        </w:rPr>
      </w:pPr>
      <w:r>
        <w:rPr>
          <w:rFonts w:hint="eastAsia" w:ascii="Times New Roman" w:hAnsi="Times New Roman"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8.本项目严格执行政府采购关于支持节能产品</w:t>
      </w:r>
      <w:r>
        <w:rPr>
          <w:rFonts w:hint="eastAsia" w:ascii="Times New Roman" w:hAnsi="Times New Roman"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9.供应商对于所投产品的包装应按照“财办库〔2020〕123号《关于印发《商品包装政府采购需求标准（试行）》《快递包装政府采购需求标准（试行）》的通知》”执行。</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10.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spacing w:line="360" w:lineRule="auto"/>
        <w:tabs>
          <w:tab w:val="left" w:pos="266" w:leader="none"/>
        </w:tabs>
        <w:rPr>
          <w:rFonts w:ascii="Times New Roman" w:hAnsi="Times New Roman" w:cs="宋体"/>
          <w:b/>
          <w:bCs/>
          <w:color w:val="auto"/>
          <w:highlight w:val="none"/>
        </w:rPr>
      </w:pPr>
      <w:r>
        <w:rPr>
          <w:rFonts w:hint="eastAsia" w:ascii="Times New Roman" w:hAnsi="Times New Roman" w:cs="宋体"/>
          <w:b/>
          <w:bCs/>
          <w:color w:val="auto"/>
          <w:highlight w:val="none"/>
        </w:rPr>
        <w:t xml:space="preserve">七、本次招标联系方式</w:t>
      </w:r>
      <w:bookmarkEnd w:id="34"/>
      <w:r/>
      <w:bookmarkEnd w:id="35"/>
      <w:r/>
      <w:bookmarkEnd w:id="36"/>
      <w:r/>
      <w:bookmarkEnd w:id="37"/>
      <w:r/>
      <w:bookmarkEnd w:id="38"/>
      <w:r/>
      <w:r/>
    </w:p>
    <w:p>
      <w:pPr>
        <w:ind w:firstLine="420"/>
        <w:jc w:val="left"/>
        <w:spacing w:line="360" w:lineRule="auto"/>
        <w:widowControl/>
        <w:rPr>
          <w:rFonts w:ascii="Times New Roman" w:hAnsi="Times New Roman" w:cs="宋体"/>
          <w:color w:val="auto"/>
          <w:szCs w:val="21"/>
          <w:highlight w:val="none"/>
        </w:rPr>
      </w:pPr>
      <w:r/>
      <w:bookmarkStart w:id="39" w:name="_Toc28359010"/>
      <w:r/>
      <w:bookmarkStart w:id="40" w:name="_Toc28359087"/>
      <w:r>
        <w:rPr>
          <w:rFonts w:hint="eastAsia" w:ascii="Times New Roman" w:hAnsi="Times New Roman" w:cs="宋体"/>
          <w:color w:val="auto"/>
          <w:highlight w:val="none"/>
        </w:rPr>
        <w:t xml:space="preserve">1.采购人信息</w:t>
      </w:r>
      <w:r/>
    </w:p>
    <w:p>
      <w:pPr>
        <w:ind w:firstLine="420"/>
        <w:jc w:val="left"/>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名 称：</w:t>
      </w:r>
      <w:r>
        <w:rPr>
          <w:rFonts w:hint="eastAsia" w:ascii="Times New Roman" w:hAnsi="Times New Roman" w:cs="宋体"/>
          <w:color w:val="auto"/>
          <w:szCs w:val="21"/>
          <w:highlight w:val="none"/>
        </w:rPr>
        <w:t xml:space="preserve">扬州大学</w:t>
      </w:r>
      <w:r/>
    </w:p>
    <w:p>
      <w:pPr>
        <w:ind w:firstLine="420"/>
        <w:jc w:val="left"/>
        <w:spacing w:line="360" w:lineRule="auto"/>
        <w:rPr>
          <w:rFonts w:ascii="Times New Roman" w:hAnsi="Times New Roman" w:cs="宋体"/>
          <w:color w:val="auto"/>
          <w:highlight w:val="none"/>
        </w:rPr>
      </w:pPr>
      <w:r/>
      <w:bookmarkStart w:id="41" w:name="_Toc28359009"/>
      <w:r/>
      <w:bookmarkStart w:id="42" w:name="_Toc28359086"/>
      <w:r>
        <w:rPr>
          <w:rFonts w:hint="eastAsia" w:ascii="Times New Roman" w:hAnsi="Times New Roman" w:cs="宋体"/>
          <w:color w:val="auto"/>
          <w:highlight w:val="none"/>
        </w:rPr>
        <w:t xml:space="preserve">地 址：</w:t>
      </w:r>
      <w:r>
        <w:rPr>
          <w:rFonts w:hint="eastAsia" w:ascii="Times New Roman" w:hAnsi="Times New Roman"/>
          <w:color w:val="auto"/>
          <w:szCs w:val="21"/>
          <w:highlight w:val="none"/>
        </w:rPr>
        <w:t xml:space="preserve">扬州市邗江区大学南路88号</w:t>
      </w:r>
      <w:r>
        <w:rPr>
          <w:rFonts w:hint="eastAsia" w:ascii="Times New Roman" w:hAnsi="Times New Roman" w:cs="宋体"/>
          <w:color w:val="auto"/>
          <w:highlight w:val="none"/>
        </w:rPr>
        <w:t xml:space="preserve"> </w:t>
      </w:r>
      <w:r/>
    </w:p>
    <w:p>
      <w:pPr>
        <w:ind w:firstLine="420"/>
        <w:jc w:val="left"/>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联系人：周老师</w:t>
      </w:r>
      <w:r/>
    </w:p>
    <w:p>
      <w:pPr>
        <w:ind w:firstLine="420"/>
        <w:jc w:val="left"/>
        <w:spacing w:line="360" w:lineRule="auto"/>
        <w:rPr>
          <w:rFonts w:ascii="Times New Roman" w:hAnsi="Times New Roman" w:cs="宋体"/>
          <w:color w:val="auto"/>
          <w:szCs w:val="21"/>
          <w:highlight w:val="none"/>
        </w:rPr>
      </w:pPr>
      <w:r>
        <w:rPr>
          <w:rFonts w:hint="eastAsia" w:ascii="Times New Roman" w:hAnsi="Times New Roman" w:cs="宋体"/>
          <w:color w:val="auto"/>
          <w:highlight w:val="none"/>
        </w:rPr>
        <w:t xml:space="preserve">联系方式：0514-87971837 </w:t>
      </w:r>
      <w:r>
        <w:rPr>
          <w:rFonts w:hint="eastAsia" w:ascii="Times New Roman" w:hAnsi="Times New Roman" w:cs="宋体"/>
          <w:color w:val="auto"/>
          <w:szCs w:val="21"/>
          <w:highlight w:val="none"/>
        </w:rPr>
        <w:t xml:space="preserve"> </w:t>
      </w:r>
      <w:r/>
    </w:p>
    <w:p>
      <w:pPr>
        <w:ind w:firstLine="420"/>
        <w:jc w:val="left"/>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2.采购代理机构信息</w:t>
      </w:r>
      <w:bookmarkEnd w:id="41"/>
      <w:r/>
      <w:bookmarkEnd w:id="42"/>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名称：</w:t>
      </w:r>
      <w:r>
        <w:rPr>
          <w:rFonts w:hint="eastAsia" w:ascii="Times New Roman" w:hAnsi="Times New Roman" w:cs="宋体"/>
          <w:color w:val="auto"/>
          <w:szCs w:val="21"/>
          <w:highlight w:val="none"/>
        </w:rPr>
        <w:t xml:space="preserve">江苏苏维工程管理有限公司</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地　址：</w:t>
      </w:r>
      <w:r>
        <w:rPr>
          <w:rFonts w:hint="eastAsia" w:ascii="Times New Roman" w:hAnsi="Times New Roman" w:cs="宋体"/>
          <w:color w:val="auto"/>
          <w:szCs w:val="21"/>
          <w:highlight w:val="none"/>
        </w:rPr>
        <w:t xml:space="preserve">扬州市邗江区翠岗路48号</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联系人：赵凌云、</w:t>
      </w:r>
      <w:r>
        <w:rPr>
          <w:rFonts w:hint="eastAsia" w:ascii="Times New Roman" w:hAnsi="Times New Roman" w:cs="宋体"/>
          <w:color w:val="auto"/>
          <w:szCs w:val="21"/>
          <w:highlight w:val="none"/>
        </w:rPr>
        <w:t xml:space="preserve">袁玲</w:t>
      </w:r>
      <w:r/>
    </w:p>
    <w:p>
      <w:pPr>
        <w:ind w:firstLine="420"/>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联系方式：</w:t>
      </w:r>
      <w:r>
        <w:rPr>
          <w:rFonts w:hint="eastAsia" w:ascii="Times New Roman" w:hAnsi="Times New Roman" w:cs="宋体"/>
          <w:color w:val="auto"/>
          <w:szCs w:val="21"/>
          <w:highlight w:val="none"/>
        </w:rPr>
        <w:t xml:space="preserve">0514-82129526、87986785</w:t>
      </w:r>
      <w:bookmarkEnd w:id="39"/>
      <w:r/>
      <w:bookmarkEnd w:id="40"/>
      <w:r/>
      <w:r/>
    </w:p>
    <w:p>
      <w:pPr>
        <w:rPr>
          <w:rFonts w:ascii="Times New Roman" w:hAnsi="Times New Roman"/>
          <w:color w:val="auto"/>
          <w:highlight w:val="none"/>
        </w:rPr>
      </w:pPr>
      <w:r/>
      <w:bookmarkStart w:id="43" w:name="_Toc13371"/>
      <w:r/>
      <w:bookmarkStart w:id="44" w:name="_Toc55204178"/>
      <w:r>
        <w:rPr>
          <w:rFonts w:hint="eastAsia" w:ascii="Times New Roman" w:hAnsi="Times New Roman"/>
          <w:color w:val="auto"/>
          <w:highlight w:val="none"/>
        </w:rPr>
        <w:br w:type="page" w:clear="all"/>
      </w:r>
      <w:r/>
    </w:p>
    <w:p>
      <w:pPr>
        <w:pStyle w:val="761"/>
        <w:rPr>
          <w:rFonts w:ascii="Times New Roman" w:hAnsi="Times New Roman"/>
          <w:color w:val="auto"/>
          <w:highlight w:val="none"/>
        </w:rPr>
      </w:pPr>
      <w:r>
        <w:rPr>
          <w:rFonts w:hint="eastAsia" w:ascii="Times New Roman" w:hAnsi="Times New Roman"/>
          <w:color w:val="auto"/>
          <w:highlight w:val="none"/>
        </w:rPr>
        <w:t xml:space="preserve">第二章 投标人须知</w:t>
      </w:r>
      <w:bookmarkEnd w:id="43"/>
      <w:r/>
      <w:bookmarkEnd w:id="44"/>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1.招标方式</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1.1 本次招标采取公开招标方式，本招标文件仅适用于</w:t>
      </w:r>
      <w:r>
        <w:rPr>
          <w:rFonts w:hint="eastAsia" w:ascii="Times New Roman" w:hAnsi="Times New Roman" w:cs="宋体"/>
          <w:bCs/>
          <w:color w:val="auto"/>
          <w:szCs w:val="21"/>
          <w:highlight w:val="none"/>
          <w:lang w:eastAsia="zh-CN"/>
        </w:rPr>
        <w:t xml:space="preserve">JSZC-320000-SWGC-G2026-0072</w:t>
      </w:r>
      <w:r>
        <w:rPr>
          <w:rFonts w:hint="eastAsia" w:ascii="Times New Roman" w:hAnsi="Times New Roman" w:cs="宋体"/>
          <w:bCs/>
          <w:color w:val="auto"/>
          <w:szCs w:val="21"/>
          <w:highlight w:val="none"/>
        </w:rPr>
        <w:t xml:space="preserve">号项目。</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2.投标人</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2.2合格的投标人</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2.2.1 满足招标公告中供应商的资格条件要求的规定。</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2.2.2 满足本文件实质性条款的规定。</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3.适用法律</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3.1 本次招标及由此产生的合同受中华人民共和国有关的法律法规制约和保护。</w:t>
      </w:r>
      <w:r/>
    </w:p>
    <w:p>
      <w:pPr>
        <w:ind w:firstLine="420"/>
        <w:spacing w:line="440" w:lineRule="exact"/>
        <w:rPr>
          <w:rFonts w:ascii="Times New Roman" w:hAnsi="Times New Roman" w:cs="宋体"/>
          <w:bCs/>
          <w:color w:val="auto"/>
          <w:szCs w:val="21"/>
          <w:highlight w:val="none"/>
        </w:rPr>
      </w:pPr>
      <w:r>
        <w:rPr>
          <w:rFonts w:hint="eastAsia" w:ascii="Times New Roman" w:hAnsi="Times New Roman"/>
          <w:bCs/>
          <w:color w:val="auto"/>
          <w:szCs w:val="21"/>
          <w:highlight w:val="none"/>
        </w:rPr>
        <w:t xml:space="preserve">3.2在本项目政府采购活动过程中，如果所执行的标准有更新的，按照最新标准执行。</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4.投标费用</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spacing w:line="360" w:lineRule="auto"/>
        <w:rPr>
          <w:rFonts w:ascii="Times New Roman" w:hAnsi="Times New Roman"/>
          <w:b/>
          <w:bCs/>
          <w:color w:val="auto"/>
          <w:szCs w:val="21"/>
          <w:highlight w:val="none"/>
        </w:rPr>
      </w:pPr>
      <w:r>
        <w:rPr>
          <w:rFonts w:hint="eastAsia" w:ascii="Times New Roman" w:hAnsi="Times New Roman" w:cs="宋体"/>
          <w:b/>
          <w:bCs/>
          <w:color w:val="auto"/>
          <w:szCs w:val="21"/>
          <w:highlight w:val="none"/>
        </w:rPr>
        <w:t xml:space="preserve">4.2</w:t>
      </w:r>
      <w:r>
        <w:rPr>
          <w:rFonts w:hint="eastAsia" w:ascii="Times New Roman" w:hAnsi="Times New Roman"/>
          <w:b/>
          <w:bCs/>
          <w:color w:val="auto"/>
          <w:szCs w:val="21"/>
          <w:highlight w:val="none"/>
        </w:rPr>
        <w:t xml:space="preserve">本次采购由中标人在领取中标通知书前一次性支付给招标代理机构代理服务费（采购预算中已包含代理服务费，具体计算方式详见下表）。</w:t>
      </w:r>
      <w:r/>
    </w:p>
    <w:p>
      <w:pPr>
        <w:ind w:firstLine="420"/>
        <w:jc w:val="left"/>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tbl>
      <w:tblPr>
        <w:tblStyle w:val="771"/>
        <w:tblW w:w="8519" w:type="dxa"/>
        <w:jc w:val="center"/>
        <w:tblLayout w:type="autofit"/>
        <w:tblCellMar>
          <w:left w:w="0" w:type="dxa"/>
          <w:top w:w="0" w:type="dxa"/>
          <w:right w:w="0" w:type="dxa"/>
          <w:bottom w:w="0" w:type="dxa"/>
        </w:tblCellMar>
        <w:tblLook w:val="04A0" w:firstRow="1" w:lastRow="0" w:firstColumn="1" w:lastColumn="0" w:noHBand="0" w:noVBand="1"/>
      </w:tblPr>
      <w:tblGrid>
        <w:gridCol w:w="1403"/>
        <w:gridCol w:w="2166"/>
        <w:gridCol w:w="1858"/>
        <w:gridCol w:w="3092"/>
      </w:tblGrid>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ind w:left="160"/>
              <w:jc w:val="center"/>
              <w:spacing w:line="360" w:lineRule="auto"/>
              <w:widowControl/>
              <w:rPr>
                <w:rFonts w:ascii="Times New Roman" w:hAnsi="Times New Roman" w:cs="宋体"/>
                <w:color w:val="auto"/>
                <w:spacing w:val="40"/>
                <w:szCs w:val="21"/>
                <w:highlight w:val="none"/>
              </w:rPr>
            </w:pPr>
            <w:r>
              <w:rPr>
                <w:rFonts w:hint="eastAsia" w:ascii="Times New Roman" w:hAnsi="Times New Roman" w:cs="宋体"/>
                <w:color w:val="auto"/>
                <w:spacing w:val="40"/>
                <w:szCs w:val="21"/>
                <w:highlight w:val="none"/>
              </w:rPr>
              <w:t xml:space="preserve">项目</w:t>
            </w:r>
            <w:r/>
          </w:p>
          <w:p>
            <w:pPr>
              <w:ind w:left="160"/>
              <w:jc w:val="center"/>
              <w:spacing w:line="360" w:lineRule="auto"/>
              <w:widowControl/>
              <w:rPr>
                <w:rFonts w:ascii="Times New Roman" w:hAnsi="Times New Roman" w:cs="宋体"/>
                <w:color w:val="auto"/>
                <w:spacing w:val="40"/>
                <w:szCs w:val="21"/>
                <w:highlight w:val="none"/>
              </w:rPr>
            </w:pPr>
            <w:r>
              <w:rPr>
                <w:rFonts w:hint="eastAsia" w:ascii="Times New Roman" w:hAnsi="Times New Roman"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2"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代理服务费最高限价</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jc w:val="center"/>
              <w:spacing w:line="360" w:lineRule="auto"/>
              <w:widowControl/>
              <w:rPr>
                <w:rFonts w:ascii="Times New Roman" w:hAnsi="Times New Roman" w:cs="宋体"/>
                <w:color w:val="auto"/>
                <w:spacing w:val="40"/>
                <w:szCs w:val="21"/>
                <w:highlight w:val="none"/>
              </w:rPr>
            </w:pPr>
            <w:r>
              <w:rPr>
                <w:rFonts w:ascii="Times New Roman" w:hAnsi="Times New Roman"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代理费</w:t>
            </w:r>
            <w:r/>
          </w:p>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代理费</w:t>
            </w:r>
            <w:r/>
          </w:p>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2" w:type="dxa"/>
            <w:vAlign w:val="center"/>
            <w:textDirection w:val="lrTb"/>
            <w:noWrap w:val="false"/>
          </w:tcPr>
          <w:p>
            <w:pPr>
              <w:ind w:firstLine="105"/>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代理费</w:t>
            </w:r>
            <w:r/>
          </w:p>
          <w:p>
            <w:pPr>
              <w:ind w:firstLine="105"/>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（单位：元）</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58"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u w:val="single"/>
              </w:rPr>
              <w:t xml:space="preserve"> 24  </w:t>
            </w:r>
            <w:r>
              <w:rPr>
                <w:rFonts w:hint="eastAsia" w:ascii="Times New Roman" w:hAnsi="Times New Roman" w:cs="宋体"/>
                <w:color w:val="auto"/>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3092"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10000元</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1858"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3092"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66"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58"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3092"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基准费率表</w:t>
      </w:r>
      <w:r/>
    </w:p>
    <w:tbl>
      <w:tblPr>
        <w:tblStyle w:val="771"/>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0.05％</w:t>
            </w:r>
            <w:r/>
          </w:p>
        </w:tc>
      </w:tr>
    </w:tbl>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（1）代理服务费以人民币支付；</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（2）代理服务费一次性以电汇或转账等非现金形式支付。</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（3）代理服务费包含在投标报价中，由中标人支付给代理机构。</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代理服务费开户银行：中国工商银行扬州雍华府支行</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               开户名称：江苏苏维工程管理有限公司</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               开户账号：1108020819100000612</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b/>
          <w:bCs/>
          <w:color w:val="auto"/>
          <w:szCs w:val="21"/>
          <w:highlight w:val="none"/>
        </w:rPr>
        <w:t xml:space="preserve">4.4专家评审费参照《关于规范江苏省政府采购专家评审费标准的通知》（苏财购〔2016〕48号）执行，由采购人支付。</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5.招标文件的约束力</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5.1 投标人一旦参加本项目采购活动，即被认为接受了本招标文件的规定和约束。</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6.招标文件构成</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6.1 招标文件由以下部分组成：</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（1）招标公告</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（2）投标人须知</w:t>
      </w:r>
      <w:r>
        <w:rPr>
          <w:rFonts w:hint="eastAsia" w:ascii="Times New Roman" w:hAnsi="Times New Roman" w:cs="宋体"/>
          <w:bCs/>
          <w:color w:val="auto"/>
          <w:szCs w:val="21"/>
          <w:highlight w:val="none"/>
        </w:rPr>
        <w:tab/>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（3）合同条款及格式</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（4）项目需求</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（5）评标方法与评标标准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（6）投标文件格式</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请仔细检查招标文件是否齐全，如有缺漏请立即与代理机构联系解决。</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7.招标文件的澄清</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8.招标文件的修改</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8.1 在投标截止时间前，代理机构可以对招标文件进行修改。</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8.3招标文件的修改将在“江苏省政府采购网”和“中国政府采购网”公布，补充文件将作为招标文件的组成部分，并对投标人具有约束力。</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9.投标文件的语言、度量衡单位、货币</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9.3投标人应使用人民币报价。</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10.投标文件构成</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10.1投标文件由以下部分组成</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（1）资格审查响应对照表</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（2）符合性审查响应对照表</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（3）非实质性响应对照表</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（4）开标一览表 </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（5）分项报价表 </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（6）技术参数响应及偏离表 </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（7）商务条款响应及偏离表 </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（8）其他 （投标人认为有必要提供的声明和文件，如有自拟并自行添加）</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11.证明投标人资格及符合招标文件规定的文件</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11.1投标人应按要求提交资格证明文件及符合招标文件规定的文件。</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11.2投标人应提交证明其有资格参加投标和中标后有能力独立履行合同的文件。</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12.投标配置与分项报价表</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12.2 标的物</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采购人需求的服务供应、安装，调试及有关技术服务等。</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12.3有关费用处理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12.4其它费用处理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招标文件未列明，而投标人认为必需的费用也需列入报价。</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12.5投标货币</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12.6 投标配置与分项报价表上的价格应按下列方式分开填写：</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2.项目单价按投标配置及分项报价表中要求填报。</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13.技术参数响应及偏离表、商务条款响应及偏离表及投标货物说明</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13.1 对招标文件中的技术与商务条款要求逐项作出响应或偏离，并说明原因；</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13.2 提供参加本项目类似案例简介；</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13.3 培训计划；</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13.4 详细阐述所投货物的主要组成部分、功能设计、实现思路及关键技术；</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13.5 投标人认为需要的其他技术文件或说明。</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14.服务承诺及售后服务机构、人员的情况介绍</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14.1投标人的服务承诺应按不低于招标文件中商务要求的标准。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15.投标函和开标一览表</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15.1 投标人应按照招标文件中提供的格式完整、正确填写投标函、开标一览表。</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16.投标有效期</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Times New Roman" w:hAnsi="Times New Roman" w:cs="宋体"/>
          <w:b/>
          <w:color w:val="auto"/>
          <w:szCs w:val="21"/>
          <w:highlight w:val="none"/>
        </w:rPr>
      </w:pPr>
      <w:r/>
      <w:bookmarkStart w:id="45" w:name="_Toc20823297"/>
      <w:r/>
      <w:bookmarkStart w:id="46" w:name="_Toc462564084"/>
      <w:r/>
      <w:bookmarkStart w:id="47" w:name="_Toc513029225"/>
      <w:r/>
      <w:bookmarkStart w:id="48" w:name="_Toc16938541"/>
      <w:r>
        <w:rPr>
          <w:rFonts w:hint="eastAsia" w:ascii="Times New Roman" w:hAnsi="Times New Roman" w:cs="宋体"/>
          <w:b/>
          <w:color w:val="auto"/>
          <w:szCs w:val="21"/>
          <w:highlight w:val="none"/>
        </w:rPr>
        <w:t xml:space="preserve">17.投标文件</w:t>
      </w:r>
      <w:bookmarkEnd w:id="45"/>
      <w:r/>
      <w:bookmarkEnd w:id="46"/>
      <w:r/>
      <w:bookmarkEnd w:id="47"/>
      <w:r/>
      <w:bookmarkEnd w:id="48"/>
      <w:r>
        <w:rPr>
          <w:rFonts w:hint="eastAsia" w:ascii="Times New Roman" w:hAnsi="Times New Roman" w:cs="宋体"/>
          <w:b/>
          <w:color w:val="auto"/>
          <w:szCs w:val="21"/>
          <w:highlight w:val="none"/>
        </w:rPr>
        <w:t xml:space="preserve">的递交</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17.1 电子投标文件的递交投标人应当按照《操作手册》规定，在投标截止时间前制作并上传电子投标文件。</w:t>
      </w:r>
      <w:bookmarkStart w:id="49" w:name="_Toc513029226"/>
      <w:r/>
      <w:bookmarkStart w:id="50" w:name="_Toc20823298"/>
      <w:r/>
      <w:bookmarkStart w:id="51" w:name="_Toc16938542"/>
      <w:r/>
      <w:r/>
    </w:p>
    <w:p>
      <w:pPr>
        <w:ind w:firstLine="420"/>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17.2政府采购管理交易系统（苏采云）相关要求是本招标文件的组成部分。</w:t>
      </w:r>
      <w:r/>
    </w:p>
    <w:p>
      <w:pPr>
        <w:ind w:firstLine="420"/>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17.3投标人应对 CA 证书妥善保管，如被他人盗用投标，因此带来的结果均由投标人自行承担。</w:t>
      </w:r>
      <w:r/>
    </w:p>
    <w:p>
      <w:pPr>
        <w:ind w:firstLine="420"/>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17.4投标人应当对招标文件提出的要求和条件作出实质性响应，并在电子投标系统逐条应答。</w:t>
      </w:r>
      <w:r/>
    </w:p>
    <w:p>
      <w:pPr>
        <w:ind w:firstLine="420"/>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Times New Roman" w:hAnsi="Times New Roman" w:cs="宋体"/>
          <w:bCs/>
          <w:color w:val="auto"/>
          <w:highlight w:val="none"/>
        </w:rPr>
      </w:pPr>
      <w:r>
        <w:rPr>
          <w:rFonts w:hint="eastAsia" w:ascii="Times New Roman" w:hAnsi="Times New Roman" w:cs="宋体"/>
          <w:b/>
          <w:color w:val="auto"/>
          <w:szCs w:val="21"/>
          <w:highlight w:val="none"/>
        </w:rPr>
        <w:t xml:space="preserve">17.7各投标人应在规定时间内凭CA证书进行网上解密。</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18.投标截止日期</w:t>
      </w:r>
      <w:bookmarkEnd w:id="49"/>
      <w:r/>
      <w:bookmarkEnd w:id="50"/>
      <w:r/>
      <w:bookmarkEnd w:id="51"/>
      <w:r/>
      <w:r/>
    </w:p>
    <w:p>
      <w:pPr>
        <w:ind w:firstLine="420"/>
        <w:spacing w:line="360" w:lineRule="auto"/>
        <w:rPr>
          <w:rFonts w:ascii="Times New Roman" w:hAnsi="Times New Roman" w:cs="宋体"/>
          <w:bCs/>
          <w:i/>
          <w:iCs/>
          <w:color w:val="auto"/>
          <w:szCs w:val="21"/>
          <w:highlight w:val="none"/>
          <w:u w:val="single"/>
        </w:rPr>
      </w:pPr>
      <w:r>
        <w:rPr>
          <w:rFonts w:hint="eastAsia" w:ascii="Times New Roman" w:hAnsi="Times New Roman"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投标人应充分考虑网络环境、网络带宽等风险因素，如因投标人自身原因造成的电子投标文件上传不成功由投标人自行承担全部责任。</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Times New Roman" w:hAnsi="Times New Roman" w:cs="宋体"/>
          <w:b/>
          <w:color w:val="auto"/>
          <w:szCs w:val="21"/>
          <w:highlight w:val="none"/>
        </w:rPr>
      </w:pPr>
      <w:r/>
      <w:bookmarkStart w:id="52" w:name="_Toc513029227"/>
      <w:r/>
      <w:bookmarkStart w:id="53" w:name="_Toc20823299"/>
      <w:r/>
      <w:bookmarkStart w:id="54" w:name="_Toc16938543"/>
      <w:r>
        <w:rPr>
          <w:rFonts w:hint="eastAsia" w:ascii="Times New Roman" w:hAnsi="Times New Roman" w:cs="宋体"/>
          <w:b/>
          <w:color w:val="auto"/>
          <w:szCs w:val="21"/>
          <w:highlight w:val="none"/>
        </w:rPr>
        <w:t xml:space="preserve">19.投标文件</w:t>
      </w:r>
      <w:bookmarkEnd w:id="52"/>
      <w:r/>
      <w:bookmarkEnd w:id="53"/>
      <w:r/>
      <w:bookmarkEnd w:id="54"/>
      <w:r>
        <w:rPr>
          <w:rFonts w:hint="eastAsia" w:ascii="Times New Roman" w:hAnsi="Times New Roman" w:cs="宋体"/>
          <w:b/>
          <w:color w:val="auto"/>
          <w:szCs w:val="21"/>
          <w:highlight w:val="none"/>
        </w:rPr>
        <w:t xml:space="preserve">的拒收</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19.1代理机构拒绝接收在其规定的投标截止时间后上传的任何投标文件。</w:t>
      </w:r>
      <w:r/>
    </w:p>
    <w:p>
      <w:pPr>
        <w:ind w:firstLine="422"/>
        <w:spacing w:line="360" w:lineRule="auto"/>
        <w:rPr>
          <w:rFonts w:ascii="Times New Roman" w:hAnsi="Times New Roman" w:cs="宋体"/>
          <w:b/>
          <w:color w:val="auto"/>
          <w:szCs w:val="21"/>
          <w:highlight w:val="none"/>
        </w:rPr>
      </w:pPr>
      <w:r/>
      <w:bookmarkStart w:id="55" w:name="_Toc20823300"/>
      <w:r/>
      <w:bookmarkStart w:id="56" w:name="_Toc16938544"/>
      <w:r/>
      <w:bookmarkStart w:id="57" w:name="_Toc513029228"/>
      <w:r>
        <w:rPr>
          <w:rFonts w:hint="eastAsia" w:ascii="Times New Roman" w:hAnsi="Times New Roman" w:cs="宋体"/>
          <w:b/>
          <w:color w:val="auto"/>
          <w:szCs w:val="21"/>
          <w:highlight w:val="none"/>
        </w:rPr>
        <w:t xml:space="preserve">20.投标文件的撤回和修改</w:t>
      </w:r>
      <w:bookmarkEnd w:id="55"/>
      <w:r/>
      <w:bookmarkEnd w:id="56"/>
      <w:r/>
      <w:bookmarkEnd w:id="57"/>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20.1 投标文件的撤回</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20.1.1 电子投标文件的撤回</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投标人可在投标截止时间前，撤回其电子投标文件，具体操作方法见《操作手册》。</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20.1.2 投标人撤回电子投标文件，则认为其不再参与本项目投标活动。</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20.2 投标文件的修改</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20.3 在投标截止时间之后，投标人不得对其电子投标文件作任何修改。</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21.开标</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21.3投标人在开标过程中涉及的投标文件解密、开标结果确认等工作，应按照《操作手册》规定执行。</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22.评标委员会</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22.1 开标后，代理机构将立即组织评标委员会（以下简称评委会）进行评标。</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22.2 评委会由采购人代表和有关技术、经济等方面的专家组成，且人员构成符合政府采购有关规定。</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22.3评委会独立工作，负责评审所有投标文件并确定中标候选人。</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23.评标过程的保密与公正</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23.3 在评标期间，代理机构将设专门工作人员与投标人联系。</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24.投标的澄清</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24.3 接到评委会澄清要求的投标人如未按规定作出澄清，其风险由投标人自行承担。</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25.对投标文件的初审</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25.1投标文件初审分为资格审查和符合性审查。</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（1）投标文件中开标一览表内容与投标文件中相应内容不一致的，以开标一览表为准。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（2）大写金额与小写金额不一致的，以大写金额为准。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（3）单价金额小数点或者百分比有明显错位的，以开标一览表的总价为准，并修改单价。</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（4）总价金额与按单价汇总金额不一致的，以单价金额计算结果为准。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同时出现两种以上错误的，按照前款规定的顺序修正。</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25.5评委会将按上述修正错误的方法调整投标文件中的投标报价，并通过“政府采购管理交易系统（苏采云）”告知投标人，调整后的价格对投标人具有约束力。如果投标人不接受修正后的价格，则其投标将被拒绝。</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25.8 投标人在开、评标全过程中应保持通信畅通，并安排专人与代理机构及评委会联系。</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25.9 异常低价投标审查</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25.9.1评标过程中出现下列情形之一的，评标委员会应当启动异常低价投标审查程序:</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1.投标(响应)报价低于全部通过符合性审查供应商投标(响应)报价平均值50%的，即投标(响应)报价〈全部通过符合性审查供应商投标(响应)报价平均值</w:t>
      </w:r>
      <w:r>
        <w:rPr>
          <w:rFonts w:hint="default" w:ascii="Arial" w:hAnsi="Arial" w:cs="Arial"/>
          <w:b/>
          <w:bCs/>
          <w:color w:val="auto"/>
          <w:szCs w:val="21"/>
          <w:highlight w:val="none"/>
        </w:rPr>
        <w:t xml:space="preserve">×</w:t>
      </w:r>
      <w:r>
        <w:rPr>
          <w:rFonts w:hint="eastAsia" w:ascii="Times New Roman" w:hAnsi="Times New Roman"/>
          <w:b/>
          <w:bCs/>
          <w:color w:val="auto"/>
          <w:szCs w:val="21"/>
          <w:highlight w:val="none"/>
        </w:rPr>
        <w:t xml:space="preserve">50</w:t>
      </w:r>
      <w:r>
        <w:rPr>
          <w:rFonts w:hint="eastAsia" w:ascii="Times New Roman" w:hAnsi="Times New Roman"/>
          <w:b/>
          <w:bCs/>
          <w:color w:val="auto"/>
          <w:szCs w:val="21"/>
          <w:highlight w:val="none"/>
        </w:rPr>
        <w:t xml:space="preserve">%；</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2.投标(响应)报价低于通过符合性审查的次低报价供应商投标(响应)报价50%的，即投标(响应)报价〈通过符合性审查的次低报价供应商投标(响应)报价</w:t>
      </w:r>
      <w:r>
        <w:rPr>
          <w:rFonts w:hint="default" w:ascii="Arial" w:hAnsi="Arial" w:cs="Arial"/>
          <w:b/>
          <w:bCs/>
          <w:color w:val="auto"/>
          <w:szCs w:val="21"/>
          <w:highlight w:val="none"/>
        </w:rPr>
        <w:t xml:space="preserve">×</w:t>
      </w:r>
      <w:r>
        <w:rPr>
          <w:rFonts w:hint="eastAsia" w:ascii="Times New Roman" w:hAnsi="Times New Roman"/>
          <w:b/>
          <w:bCs/>
          <w:color w:val="auto"/>
          <w:szCs w:val="21"/>
          <w:highlight w:val="none"/>
        </w:rPr>
        <w:t xml:space="preserve">50%；</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3.投标(响应)报价低于采购项目最高限价45%的，即投标(响应)报价&lt;采购项目最高限价</w:t>
      </w:r>
      <w:r>
        <w:rPr>
          <w:rFonts w:hint="default" w:ascii="Arial" w:hAnsi="Arial" w:cs="Arial"/>
          <w:b/>
          <w:bCs/>
          <w:color w:val="auto"/>
          <w:szCs w:val="21"/>
          <w:highlight w:val="none"/>
        </w:rPr>
        <w:t xml:space="preserve">×</w:t>
      </w:r>
      <w:r>
        <w:rPr>
          <w:rFonts w:hint="eastAsia" w:ascii="Times New Roman" w:hAnsi="Times New Roman"/>
          <w:b/>
          <w:bCs/>
          <w:color w:val="auto"/>
          <w:szCs w:val="21"/>
          <w:highlight w:val="none"/>
        </w:rPr>
        <w:t xml:space="preserve">45%；</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4.评审委员会基于专业判断，认为供应商报价过低，有可能影响产品质量或者不能诚信履约的其他情形。</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b/>
          <w:bCs/>
          <w:color w:val="auto"/>
          <w:szCs w:val="21"/>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26.无效投标、废标及投标人不足三家的处理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26.1无效投标条款</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26.1.1 投标人未成功解密电子投标文件的。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26.1.2 投标人未按照招标文件要求上传电子投标文件的。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26.1.3投标人在报价时采用选择性报价的。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26.1.4投标人不具备招标文件中规定的资格要求的。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26.1.5投标人的报价超过了采购预算或最高限价的。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26.1.6未通过符合性审查的。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26.1.7不符合招标文件中规定的其他实质性要求和条件的（</w:t>
      </w:r>
      <w:r>
        <w:rPr>
          <w:rFonts w:hint="eastAsia" w:ascii="Times New Roman" w:hAnsi="Times New Roman" w:cs="宋体"/>
          <w:bCs/>
          <w:i/>
          <w:iCs/>
          <w:color w:val="auto"/>
          <w:szCs w:val="21"/>
          <w:highlight w:val="none"/>
          <w:u w:val="single"/>
        </w:rPr>
        <w:t xml:space="preserve">本招标文件中斜体且有下划线部分为实质性要求和条件</w:t>
      </w:r>
      <w:r>
        <w:rPr>
          <w:rFonts w:hint="eastAsia" w:ascii="Times New Roman" w:hAnsi="Times New Roman" w:cs="宋体"/>
          <w:bCs/>
          <w:color w:val="auto"/>
          <w:szCs w:val="21"/>
          <w:highlight w:val="none"/>
        </w:rPr>
        <w:t xml:space="preserve">）。</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26.1.9  投标文件含有采购人不能接受的附加条件的。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26.1.10 评标委员会按照本招标文件规定对投标人进行异常低价投标审查后，认为投标人不能证明其报价合理性的。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26.1.12 投标文件未按照招标文件要求加盖电子签章。</w:t>
      </w:r>
      <w:r/>
    </w:p>
    <w:p>
      <w:pPr>
        <w:ind w:firstLine="420"/>
        <w:spacing w:line="360" w:lineRule="auto"/>
        <w:rPr>
          <w:rFonts w:ascii="Times New Roman" w:hAnsi="Times New Roman" w:cs="宋体"/>
          <w:b/>
          <w:color w:val="auto"/>
          <w:szCs w:val="21"/>
          <w:highlight w:val="none"/>
        </w:rPr>
      </w:pPr>
      <w:r>
        <w:rPr>
          <w:rFonts w:hint="eastAsia" w:ascii="Times New Roman" w:hAnsi="Times New Roman" w:cs="宋体"/>
          <w:bCs/>
          <w:color w:val="auto"/>
          <w:szCs w:val="21"/>
          <w:highlight w:val="none"/>
        </w:rPr>
        <w:t xml:space="preserve">26.1.13 投标人所投标产品不符合招标文件中所列国家强制性标准的。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26.1.14其他法律法规及本招标文件规定的无效投标的情形。</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26.2废标条款：</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26.2.1符合专业条件的供应商或者对招标文件作实质响应的供应商不足三家的。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26.2.2出现影响采购公正的违法、违规行为的。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26.2.3因重大变故，采购任务取消的。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26.2.4评委会认定招标文件存在歧义、重大缺陷导致评审工作无法进行。</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26.3 投标截止时间结束后参加投标的供应商不足三家的处理：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27.确定中标单位</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27.1评委会根据本招标文件规定的评标方法与评标标准向采购人推荐出中标候选人。</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27.2 采购人应根据评委会推荐的中标候选人确定中标人。</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27.3代理机构将在“江苏省政府采购网”和“中国政府采购网”发布中标公告，公告期限为1个工作日。</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27.4若有充分证据证明，中标人出现下列情况之一的，一经查实，将被取消中标资格：</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27.4.1提供虚假材料谋取中标的；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27.4.2向采购人、代理机构行贿或者提供其他不正当利益的；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27.4.3恶意竞争，投标总报价明显低于其自身合理成本且又无法提供证明的；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27.4.4属于本文件规定的无效条件，但在评标过程中又未被评委会发现的；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27.4.5与采购人或者其他投标人恶意串通的；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27.4.6采取不正当手段诋毁、排挤其他供应商的；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27.4.7不符合法律法规的规定的。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27.5. 有下列情形之一的，视为投标人串通投标，投标无效：</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27.5.1不同投标人的投标文件由同一单位或者个人编制。</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27.5.2不同投标人委托同一单位或者个人办理投标事宜。</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27.5.3 不同投标人的投标文件载明的项目管理成员或者联系人员为同一人。</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27.5.4不同投标人的投标文件异常一致或者投标报价呈规律性差异。</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27.5.5不同投标人的投标文件相互混装。</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28、质疑处理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对项目需求部分的质疑，潜在供应商应向采购人提出，由采购人负责答复。</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28.2.2对采购过程提出质疑的，为各采购程序环节结束之日起7个工作日内提出。</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28.2.3对中标结果提出质疑的，为中标结果公告期限届满之日起7个工作日内提出。</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28.5 采购人及代理机构只接收以纸质原件形式送达的质疑,同时需与采购代理机构经办人确认是否收到《质疑函》，如供应商未按上述要求去做，将自行承担所产生的风险。</w:t>
      </w:r>
      <w:r>
        <w:rPr>
          <w:rFonts w:hint="eastAsia" w:ascii="Times New Roman" w:hAnsi="Times New Roman"/>
          <w:bCs/>
          <w:color w:val="auto"/>
          <w:szCs w:val="21"/>
          <w:highlight w:val="none"/>
        </w:rPr>
        <w:t xml:space="preserve">（代理机构及采购人不接受无快递运单号的快递。）</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采购人质疑接收人及联系方式见招标文件第一章。</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28.7质疑人应当在法定质疑期限内进行补正并重新提交质疑函。</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28.8 以下情形的质疑不予受理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28.8.1 内容不符合《政府采购质疑和投诉办法》第十二条规定的质疑。</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28.8.2 超出政府采购法定期限的质疑。</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28.8.3 以传真、电子邮件等方式递交的非原件形式的质疑。</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29.中标通知书</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29.l 中标结果确定后，代理机构将向中标人发出中标通知书。</w:t>
      </w:r>
      <w:r/>
    </w:p>
    <w:p>
      <w:pPr>
        <w:ind w:firstLine="420"/>
        <w:spacing w:line="360" w:lineRule="auto"/>
        <w:rPr>
          <w:rFonts w:ascii="Times New Roman" w:hAnsi="Times New Roman"/>
          <w:bCs/>
          <w:color w:val="auto"/>
          <w:szCs w:val="21"/>
          <w:highlight w:val="none"/>
        </w:rPr>
      </w:pPr>
      <w:r>
        <w:rPr>
          <w:rFonts w:hint="eastAsia" w:ascii="Times New Roman" w:hAnsi="Times New Roman" w:cs="宋体"/>
          <w:bCs/>
          <w:color w:val="auto"/>
          <w:szCs w:val="21"/>
          <w:highlight w:val="none"/>
        </w:rPr>
        <w:t xml:space="preserve">29.2</w:t>
      </w:r>
      <w:r>
        <w:rPr>
          <w:rFonts w:hint="eastAsia" w:ascii="Times New Roman" w:hAnsi="Times New Roman"/>
          <w:bCs/>
          <w:color w:val="auto"/>
          <w:szCs w:val="21"/>
          <w:highlight w:val="none"/>
        </w:rPr>
        <w:t xml:space="preserve">中标人可在“政府采购管理交易系统（苏采云）”中标通知书下载模块中自行下载中标通知书。</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30. 签订合同</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30.3 合同在“政府采购管理交易系统（苏采云）”中签订，签订合同后，</w:t>
      </w:r>
      <w:r>
        <w:rPr>
          <w:rFonts w:hint="eastAsia" w:ascii="Times New Roman" w:hAnsi="Times New Roman" w:cs="宋体"/>
          <w:bCs/>
          <w:i/>
          <w:iCs/>
          <w:color w:val="auto"/>
          <w:szCs w:val="21"/>
          <w:highlight w:val="none"/>
          <w:u w:val="single"/>
        </w:rPr>
        <w:t xml:space="preserve">中标人不得将货物或服务及其他服务进行转包</w:t>
      </w:r>
      <w:r>
        <w:rPr>
          <w:rFonts w:hint="eastAsia" w:ascii="Times New Roman" w:hAnsi="Times New Roman"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0"/>
        <w:spacing w:line="360" w:lineRule="auto"/>
        <w:rPr>
          <w:rFonts w:hint="eastAsia" w:ascii="宋体" w:hAnsi="宋体" w:eastAsia="宋体" w:cs="宋体"/>
          <w:b/>
          <w:bCs/>
          <w:color w:val="auto"/>
          <w:szCs w:val="21"/>
          <w:highlight w:val="none"/>
          <w:lang w:eastAsia="zh-CN"/>
        </w:rPr>
      </w:pPr>
      <w:r>
        <w:rPr>
          <w:rFonts w:hint="eastAsia" w:ascii="Times New Roman" w:hAnsi="Times New Roman" w:cs="宋体"/>
          <w:bCs/>
          <w:color w:val="auto"/>
          <w:szCs w:val="21"/>
          <w:highlight w:val="none"/>
          <w:lang w:val="en-US" w:eastAsia="zh-CN"/>
        </w:rPr>
        <w:t xml:space="preserve">30.5</w:t>
      </w:r>
      <w:r>
        <w:rPr>
          <w:rFonts w:hint="eastAsia" w:ascii="宋体" w:hAnsi="宋体" w:cs="宋体"/>
          <w:b w:val="0"/>
          <w:bCs w:val="0"/>
          <w:color w:val="auto"/>
          <w:szCs w:val="21"/>
          <w:highlight w:val="none"/>
        </w:rPr>
        <w:t xml:space="preserve">如中标候选</w:t>
      </w:r>
      <w:r>
        <w:rPr>
          <w:rFonts w:hint="eastAsia" w:ascii="宋体" w:hAnsi="宋体" w:cs="宋体"/>
          <w:b w:val="0"/>
          <w:bCs w:val="0"/>
          <w:color w:val="auto"/>
          <w:szCs w:val="21"/>
          <w:highlight w:val="none"/>
          <w:lang w:val="en-US" w:eastAsia="zh-CN"/>
        </w:rPr>
        <w:t xml:space="preserve">人</w:t>
      </w:r>
      <w:r>
        <w:rPr>
          <w:rFonts w:hint="eastAsia" w:ascii="宋体" w:hAnsi="宋体" w:cs="宋体"/>
          <w:b w:val="0"/>
          <w:bCs w:val="0"/>
          <w:color w:val="auto"/>
          <w:szCs w:val="21"/>
          <w:highlight w:val="none"/>
        </w:rPr>
        <w:t xml:space="preserve">在规定时间不与学校签订合同、主动放弃</w:t>
      </w:r>
      <w:r>
        <w:rPr>
          <w:rFonts w:hint="eastAsia" w:ascii="宋体" w:hAnsi="宋体" w:cs="宋体"/>
          <w:b w:val="0"/>
          <w:bCs w:val="0"/>
          <w:color w:val="auto"/>
          <w:szCs w:val="21"/>
          <w:highlight w:val="none"/>
          <w:lang w:val="en-US" w:eastAsia="zh-CN"/>
        </w:rPr>
        <w:t xml:space="preserve">中标</w:t>
      </w:r>
      <w:r>
        <w:rPr>
          <w:rFonts w:hint="eastAsia" w:ascii="宋体" w:hAnsi="宋体" w:cs="宋体"/>
          <w:b w:val="0"/>
          <w:bCs w:val="0"/>
          <w:color w:val="auto"/>
          <w:szCs w:val="21"/>
          <w:highlight w:val="none"/>
        </w:rPr>
        <w:t xml:space="preserve">资格或无正当理由终止合同履行的，将列入学校不良行为记录名单，我校有权在学校相关网址公开供应商不良行为黑名单信息，并保留在一至三年内禁止其参加学校采购活动的权利</w:t>
      </w:r>
      <w:r>
        <w:rPr>
          <w:rFonts w:hint="eastAsia" w:ascii="宋体" w:hAnsi="宋体" w:cs="宋体"/>
          <w:b/>
          <w:bCs/>
          <w:color w:val="auto"/>
          <w:szCs w:val="21"/>
          <w:highlight w:val="none"/>
          <w:lang w:eastAsia="zh-CN"/>
        </w:rPr>
        <w:t xml:space="preserve">。</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31、货物（包含与货物相关的服务）的追加</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32、政府采购履约资金扶持政策</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中标供应商可凭政府采购合同办理融资贷款，详情请见江苏政府采购网“政采贷”专栏。</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33、电子投标文件要求</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33.1政府采购管理交易系统（苏采云）相关要求是本招标文件的组成部分。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33.2投标人应对 CA 证书妥善保管，如被他人盗用投标，因此带来的结果均由投标人自行承担。</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33.3投标人应当对招标文件提出的要求和条件作出实质性响应，并在电子投标系统逐条应答。</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33.4投标人应对要求提供的资格证明文件（如资质证书、资格证书）、技术资料（如白皮书、彩页、手册、检测报告等）扫描上传至投标系统。</w:t>
      </w:r>
      <w:r/>
    </w:p>
    <w:p>
      <w:pPr>
        <w:ind w:firstLine="422"/>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34、</w:t>
      </w:r>
      <w:r>
        <w:rPr>
          <w:rFonts w:hint="eastAsia" w:ascii="Times New Roman" w:hAnsi="Times New Roman"/>
          <w:b/>
          <w:color w:val="auto"/>
          <w:szCs w:val="21"/>
          <w:highlight w:val="none"/>
        </w:rPr>
        <w:t xml:space="preserve">提交投标文件的截止时间（投标截止时间）</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34.1投标人应当在招标文件要求提交投标文件的截止时间前，将投标文件提交至“苏采云”系统，逾期提交的投标文件，“苏采云”系统将自动拒收。</w:t>
      </w:r>
      <w:r/>
    </w:p>
    <w:p>
      <w:pPr>
        <w:ind w:firstLine="420"/>
        <w:spacing w:line="360" w:lineRule="auto"/>
        <w:rPr>
          <w:rFonts w:ascii="Times New Roman" w:hAnsi="Times New Roman" w:cs="宋体"/>
          <w:bCs/>
          <w:color w:val="auto"/>
          <w:szCs w:val="21"/>
          <w:highlight w:val="none"/>
        </w:rPr>
      </w:pPr>
      <w:r>
        <w:rPr>
          <w:rFonts w:hint="eastAsia" w:ascii="Times New Roman" w:hAnsi="Times New Roman"/>
          <w:b/>
          <w:color w:val="auto"/>
          <w:szCs w:val="21"/>
          <w:highlight w:val="none"/>
        </w:rPr>
        <w:t xml:space="preserve">34.2各投标人应在规定时间内凭CA证书进行网上解密。</w:t>
      </w:r>
      <w:r/>
    </w:p>
    <w:p>
      <w:pPr>
        <w:ind w:firstLine="422"/>
        <w:spacing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35、其他</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color w:val="auto"/>
          <w:highlight w:val="none"/>
        </w:rPr>
        <w:t xml:space="preserve">35.1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br w:type="page" w:clear="all"/>
      </w:r>
      <w:r/>
    </w:p>
    <w:p>
      <w:pPr>
        <w:pStyle w:val="761"/>
        <w:rPr>
          <w:rFonts w:ascii="Times New Roman" w:hAnsi="Times New Roman"/>
          <w:color w:val="auto"/>
          <w:highlight w:val="none"/>
        </w:rPr>
      </w:pPr>
      <w:r/>
      <w:bookmarkStart w:id="58" w:name="_Toc23141"/>
      <w:r/>
      <w:bookmarkStart w:id="59" w:name="_Toc55204179"/>
      <w:r/>
      <w:bookmarkStart w:id="60" w:name="_Hlk69392822"/>
      <w:r>
        <w:rPr>
          <w:rFonts w:hint="eastAsia" w:ascii="Times New Roman" w:hAnsi="Times New Roman"/>
          <w:color w:val="auto"/>
          <w:highlight w:val="none"/>
        </w:rPr>
        <w:t xml:space="preserve">第三章 合同条款及格式</w:t>
      </w:r>
      <w:bookmarkEnd w:id="58"/>
      <w:r/>
      <w:bookmarkEnd w:id="59"/>
      <w:r/>
      <w:r/>
    </w:p>
    <w:p>
      <w:pPr>
        <w:pStyle w:val="988"/>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以下为中标后签订本项目合同的通用条款，中标人不得提出实质性的修改，关于专用条款将由采购人与中标人结合本项目具体情况协商后签订。</w:t>
      </w:r>
      <w:r/>
    </w:p>
    <w:p>
      <w:pPr>
        <w:pStyle w:val="988"/>
        <w:ind w:firstLine="422"/>
        <w:jc w:val="center"/>
        <w:spacing w:line="360" w:lineRule="auto"/>
        <w:rPr>
          <w:rFonts w:ascii="Times New Roman" w:hAnsi="Times New Roman" w:cs="宋体"/>
          <w:b/>
          <w:bCs/>
          <w:color w:val="auto"/>
          <w:sz w:val="21"/>
          <w:highlight w:val="none"/>
        </w:rPr>
      </w:pPr>
      <w:r>
        <w:rPr>
          <w:rFonts w:hint="eastAsia" w:ascii="Times New Roman" w:hAnsi="Times New Roman" w:cs="宋体"/>
          <w:b/>
          <w:bCs/>
          <w:color w:val="auto"/>
          <w:sz w:val="21"/>
          <w:highlight w:val="none"/>
        </w:rPr>
        <w:t xml:space="preserve">扬州大学2026年学生公寓家具项目合同</w:t>
      </w:r>
      <w:r/>
    </w:p>
    <w:p>
      <w:pPr>
        <w:pStyle w:val="988"/>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项目编号：</w:t>
      </w:r>
      <w:r>
        <w:rPr>
          <w:rFonts w:hint="eastAsia" w:ascii="Times New Roman" w:hAnsi="Times New Roman" w:cs="宋体"/>
          <w:color w:val="auto"/>
          <w:sz w:val="21"/>
          <w:highlight w:val="none"/>
          <w:lang w:eastAsia="zh-CN"/>
        </w:rPr>
        <w:t xml:space="preserve">JSZC-320000-SWGC-G2026-0072</w:t>
      </w:r>
      <w:r>
        <w:rPr>
          <w:rFonts w:hint="eastAsia" w:ascii="Times New Roman" w:hAnsi="Times New Roman" w:cs="宋体"/>
          <w:color w:val="auto"/>
          <w:sz w:val="21"/>
          <w:highlight w:val="none"/>
        </w:rPr>
        <w:t xml:space="preserve">号</w:t>
      </w:r>
      <w:r/>
    </w:p>
    <w:p>
      <w:pPr>
        <w:pStyle w:val="988"/>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合同编号：</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甲方：扬州大学       </w:t>
      </w:r>
      <w:r/>
    </w:p>
    <w:p>
      <w:pPr>
        <w:spacing w:line="360" w:lineRule="auto"/>
        <w:rPr>
          <w:rFonts w:ascii="Times New Roman" w:hAnsi="Times New Roman"/>
          <w:color w:val="auto"/>
          <w:szCs w:val="21"/>
          <w:highlight w:val="none"/>
          <w:u w:val="single"/>
        </w:rPr>
      </w:pPr>
      <w:r>
        <w:rPr>
          <w:rFonts w:ascii="Times New Roman" w:hAnsi="Times New Roman"/>
          <w:color w:val="auto"/>
          <w:szCs w:val="21"/>
          <w:highlight w:val="none"/>
        </w:rPr>
        <w:t xml:space="preserve">乙方：</w:t>
      </w:r>
      <w:r/>
    </w:p>
    <w:p>
      <w:pPr>
        <w:numPr>
          <w:ilvl w:val="0"/>
          <w:numId w:val="2"/>
        </w:num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标的、数量、价款及交（提）货时间：</w:t>
      </w:r>
      <w:r/>
    </w:p>
    <w:tbl>
      <w:tblPr>
        <w:tblStyle w:val="77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0"/>
        <w:gridCol w:w="1846"/>
        <w:gridCol w:w="1119"/>
        <w:gridCol w:w="1010"/>
        <w:gridCol w:w="1245"/>
        <w:gridCol w:w="1445"/>
      </w:tblGrid>
      <w:tr>
        <w:trPr>
          <w:jc w:val="center"/>
        </w:trPr>
        <w:tc>
          <w:tcPr>
            <w:tcBorders>
              <w:top w:val="single" w:color="auto" w:sz="4" w:space="0"/>
              <w:bottom w:val="single" w:color="auto" w:sz="4" w:space="0"/>
              <w:right w:val="single" w:color="auto" w:sz="4" w:space="0"/>
            </w:tcBorders>
            <w:tcW w:w="1840"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品名</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规格尺寸（mm）</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rPr>
                <w:rFonts w:ascii="Times New Roman" w:hAnsi="Times New Roman"/>
                <w:bCs/>
                <w:color w:val="auto"/>
                <w:szCs w:val="21"/>
                <w:highlight w:val="none"/>
              </w:rPr>
            </w:pPr>
            <w:r>
              <w:rPr>
                <w:rFonts w:ascii="Times New Roman" w:hAnsi="Times New Roman"/>
                <w:bCs/>
                <w:color w:val="auto"/>
                <w:szCs w:val="21"/>
                <w:highlight w:val="none"/>
              </w:rPr>
              <w:t xml:space="preserve">单价</w:t>
            </w:r>
            <w:r/>
          </w:p>
          <w:p>
            <w:pPr>
              <w:jc w:val="center"/>
              <w:rPr>
                <w:rFonts w:ascii="Times New Roman" w:hAnsi="Times New Roman"/>
                <w:bCs/>
                <w:color w:val="auto"/>
                <w:szCs w:val="21"/>
                <w:highlight w:val="none"/>
              </w:rPr>
            </w:pPr>
            <w:r>
              <w:rPr>
                <w:rFonts w:ascii="Times New Roman" w:hAnsi="Times New Roman"/>
                <w:bCs/>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ascii="Times New Roman" w:hAnsi="Times New Roman"/>
                <w:bCs/>
                <w:color w:val="auto"/>
                <w:szCs w:val="21"/>
                <w:highlight w:val="none"/>
              </w:rPr>
            </w:pPr>
            <w:r>
              <w:rPr>
                <w:rFonts w:ascii="Times New Roman" w:hAnsi="Times New Roman"/>
                <w:bCs/>
                <w:color w:val="auto"/>
                <w:szCs w:val="21"/>
                <w:highlight w:val="none"/>
              </w:rPr>
              <w:t xml:space="preserve">复</w:t>
            </w:r>
            <w:r>
              <w:rPr>
                <w:rFonts w:ascii="Times New Roman" w:hAnsi="Times New Roman"/>
                <w:bCs/>
                <w:color w:val="auto"/>
                <w:szCs w:val="21"/>
                <w:highlight w:val="none"/>
              </w:rPr>
              <w:t xml:space="preserve">价</w:t>
            </w:r>
            <w:r/>
          </w:p>
          <w:p>
            <w:pPr>
              <w:jc w:val="center"/>
              <w:rPr>
                <w:rFonts w:ascii="Times New Roman" w:hAnsi="Times New Roman"/>
                <w:bCs/>
                <w:color w:val="auto"/>
                <w:szCs w:val="21"/>
                <w:highlight w:val="none"/>
              </w:rPr>
            </w:pPr>
            <w:r>
              <w:rPr>
                <w:rFonts w:ascii="Times New Roman" w:hAnsi="Times New Roman"/>
                <w:bCs/>
                <w:color w:val="auto"/>
                <w:szCs w:val="21"/>
                <w:highlight w:val="none"/>
              </w:rPr>
              <w:t xml:space="preserve">（元）</w:t>
            </w:r>
            <w:r/>
          </w:p>
        </w:tc>
      </w:tr>
      <w:tr>
        <w:trPr>
          <w:jc w:val="center"/>
        </w:trPr>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两连体上床下柜床</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4000*900*2250</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274</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组</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单人床</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2000*900*740</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 w:val="24"/>
                <w:szCs w:val="24"/>
                <w:highlight w:val="none"/>
              </w:rPr>
              <w:t xml:space="preserve">60</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张</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床板</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1940*820*40</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 w:val="24"/>
                <w:szCs w:val="24"/>
                <w:highlight w:val="none"/>
              </w:rPr>
              <w:t xml:space="preserve">608</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块</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上床下柜连体橱柜</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1940*600*1770</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548</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组</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单人位自修桌</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750*600*1860</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66</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组</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L形矮柜</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2900*500*920/1300*500*920</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50</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组</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四门衣柜</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1000*500*2000</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组</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单人位学习桌</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750*550*750</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468</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张</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木椅</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t xml:space="preserve">座面：430*420</w:t>
            </w:r>
            <w:r>
              <w:rPr>
                <w:rFonts w:ascii="Times New Roman" w:hAnsi="Times New Roman"/>
                <w:color w:val="auto"/>
                <w:szCs w:val="21"/>
                <w:highlight w:val="none"/>
              </w:rPr>
              <w:br/>
            </w:r>
            <w:r>
              <w:rPr>
                <w:rFonts w:ascii="Times New Roman" w:hAnsi="Times New Roman"/>
                <w:color w:val="auto"/>
                <w:szCs w:val="21"/>
                <w:highlight w:val="none"/>
              </w:rPr>
              <w:t xml:space="preserve">座高：430</w:t>
            </w:r>
            <w:r>
              <w:rPr>
                <w:rFonts w:ascii="Times New Roman" w:hAnsi="Times New Roman"/>
                <w:color w:val="auto"/>
                <w:szCs w:val="21"/>
                <w:highlight w:val="none"/>
              </w:rPr>
              <w:br/>
            </w:r>
            <w:r>
              <w:rPr>
                <w:rFonts w:ascii="Times New Roman" w:hAnsi="Times New Roman"/>
                <w:color w:val="auto"/>
                <w:szCs w:val="21"/>
                <w:highlight w:val="none"/>
              </w:rPr>
              <w:t xml:space="preserve">总高：860</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2676</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张</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90"/>
        </w:trPr>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合计（元）</w:t>
            </w:r>
            <w:r/>
          </w:p>
        </w:tc>
        <w:tc>
          <w:tcPr>
            <w:gridSpan w:val="5"/>
            <w:tcBorders>
              <w:top w:val="single" w:color="auto" w:sz="4" w:space="0"/>
              <w:left w:val="single" w:color="auto" w:sz="4" w:space="0"/>
              <w:bottom w:val="single" w:color="auto" w:sz="4" w:space="0"/>
              <w:right w:val="single" w:color="auto" w:sz="4" w:space="0"/>
            </w:tcBorders>
            <w:tcW w:w="6665"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      元（大写：人民币           元整）</w:t>
            </w:r>
            <w:r/>
          </w:p>
        </w:tc>
      </w:tr>
      <w:tr>
        <w:trPr>
          <w:jc w:val="center"/>
        </w:trPr>
        <w:tc>
          <w:tcPr>
            <w:gridSpan w:val="6"/>
            <w:tcBorders>
              <w:top w:val="single" w:color="auto" w:sz="4" w:space="0"/>
              <w:left w:val="single" w:color="auto" w:sz="4" w:space="0"/>
              <w:bottom w:val="single" w:color="auto" w:sz="4" w:space="0"/>
              <w:right w:val="single" w:color="auto" w:sz="4" w:space="0"/>
            </w:tcBorders>
            <w:tcW w:w="8505" w:type="dxa"/>
            <w:vAlign w:val="center"/>
            <w:textDirection w:val="lrTb"/>
            <w:noWrap w:val="false"/>
          </w:tcPr>
          <w:p>
            <w:pPr>
              <w:jc w:val="left"/>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注：具体数量按实结算。</w:t>
            </w:r>
            <w:r/>
          </w:p>
        </w:tc>
      </w:tr>
    </w:tbl>
    <w:p>
      <w:pPr>
        <w:spacing w:before="120" w:line="360" w:lineRule="auto"/>
        <w:rPr>
          <w:rFonts w:ascii="Times New Roman" w:hAnsi="Times New Roman"/>
          <w:color w:val="auto"/>
          <w:szCs w:val="21"/>
          <w:highlight w:val="none"/>
          <w:u w:val="single"/>
        </w:rPr>
      </w:pPr>
      <w:r>
        <w:rPr>
          <w:rFonts w:ascii="Times New Roman" w:hAnsi="Times New Roman"/>
          <w:color w:val="auto"/>
          <w:szCs w:val="21"/>
          <w:highlight w:val="none"/>
        </w:rPr>
        <w:t xml:space="preserve">交货时间：</w:t>
      </w:r>
      <w:r>
        <w:rPr>
          <w:rFonts w:ascii="Times New Roman" w:hAnsi="Times New Roman"/>
          <w:color w:val="auto"/>
          <w:szCs w:val="21"/>
          <w:highlight w:val="none"/>
          <w:u w:val="single"/>
        </w:rPr>
        <w:t xml:space="preserve"> 202</w:t>
      </w:r>
      <w:r>
        <w:rPr>
          <w:rFonts w:hint="eastAsia" w:ascii="Times New Roman" w:hAnsi="Times New Roman"/>
          <w:color w:val="auto"/>
          <w:szCs w:val="21"/>
          <w:highlight w:val="none"/>
          <w:u w:val="single"/>
        </w:rPr>
        <w:t xml:space="preserve">6</w:t>
      </w:r>
      <w:r>
        <w:rPr>
          <w:rFonts w:ascii="Times New Roman" w:hAnsi="Times New Roman"/>
          <w:color w:val="auto"/>
          <w:szCs w:val="21"/>
          <w:highlight w:val="none"/>
          <w:u w:val="single"/>
        </w:rPr>
        <w:t xml:space="preserve">年8月</w:t>
      </w:r>
      <w:r>
        <w:rPr>
          <w:rFonts w:hint="eastAsia" w:ascii="Times New Roman" w:hAnsi="Times New Roman"/>
          <w:color w:val="auto"/>
          <w:szCs w:val="21"/>
          <w:highlight w:val="none"/>
          <w:u w:val="single"/>
        </w:rPr>
        <w:t xml:space="preserve">15</w:t>
      </w:r>
      <w:r>
        <w:rPr>
          <w:rFonts w:ascii="Times New Roman" w:hAnsi="Times New Roman"/>
          <w:color w:val="auto"/>
          <w:szCs w:val="21"/>
          <w:highlight w:val="none"/>
          <w:u w:val="single"/>
        </w:rPr>
        <w:t xml:space="preserve">日前全部送货并安装到位</w:t>
      </w:r>
      <w:r>
        <w:rPr>
          <w:rFonts w:hint="eastAsia" w:ascii="Times New Roman" w:hAnsi="Times New Roman"/>
          <w:color w:val="auto"/>
          <w:szCs w:val="21"/>
          <w:highlight w:val="none"/>
          <w:u w:val="single"/>
        </w:rPr>
        <w:t xml:space="preserve">（其中</w:t>
      </w:r>
      <w:r>
        <w:rPr>
          <w:rFonts w:hint="eastAsia" w:ascii="Times New Roman" w:hAnsi="Times New Roman" w:cs="宋体"/>
          <w:color w:val="auto"/>
          <w:szCs w:val="21"/>
          <w:highlight w:val="none"/>
          <w:u w:val="single"/>
        </w:rPr>
        <w:t xml:space="preserve">校外学生公寓4#楼家具</w:t>
      </w:r>
      <w:r>
        <w:rPr>
          <w:rFonts w:ascii="Times New Roman" w:hAnsi="Times New Roman"/>
          <w:color w:val="auto"/>
          <w:szCs w:val="21"/>
          <w:highlight w:val="none"/>
          <w:u w:val="single"/>
        </w:rPr>
        <w:t xml:space="preserve">202</w:t>
      </w:r>
      <w:r>
        <w:rPr>
          <w:rFonts w:hint="eastAsia" w:ascii="Times New Roman" w:hAnsi="Times New Roman"/>
          <w:color w:val="auto"/>
          <w:szCs w:val="21"/>
          <w:highlight w:val="none"/>
          <w:u w:val="single"/>
        </w:rPr>
        <w:t xml:space="preserve">6</w:t>
      </w:r>
      <w:r>
        <w:rPr>
          <w:rFonts w:ascii="Times New Roman" w:hAnsi="Times New Roman"/>
          <w:color w:val="auto"/>
          <w:szCs w:val="21"/>
          <w:highlight w:val="none"/>
          <w:u w:val="single"/>
        </w:rPr>
        <w:t xml:space="preserve">年8月1日前全部送货并安装到位</w:t>
      </w:r>
      <w:r>
        <w:rPr>
          <w:rFonts w:hint="eastAsia" w:ascii="Times New Roman" w:hAnsi="Times New Roman"/>
          <w:color w:val="auto"/>
          <w:szCs w:val="21"/>
          <w:highlight w:val="none"/>
          <w:u w:val="single"/>
        </w:rPr>
        <w:t xml:space="preserve">）</w:t>
      </w:r>
      <w:r>
        <w:rPr>
          <w:rFonts w:ascii="Times New Roman" w:hAnsi="Times New Roman"/>
          <w:color w:val="auto"/>
          <w:szCs w:val="21"/>
          <w:highlight w:val="none"/>
          <w:u w:val="single"/>
        </w:rPr>
        <w:t xml:space="preserve">。</w:t>
      </w:r>
      <w:r>
        <w:rPr>
          <w:rFonts w:hint="eastAsia" w:ascii="Times New Roman" w:hAnsi="Times New Roman"/>
          <w:color w:val="auto"/>
          <w:szCs w:val="21"/>
          <w:highlight w:val="none"/>
          <w:u w:val="single"/>
        </w:rPr>
        <w:t xml:space="preserve"> </w:t>
      </w:r>
      <w:r/>
    </w:p>
    <w:p>
      <w:pPr>
        <w:numPr>
          <w:ilvl w:val="0"/>
          <w:numId w:val="2"/>
        </w:numPr>
        <w:spacing w:line="360" w:lineRule="auto"/>
        <w:rPr>
          <w:rFonts w:ascii="Times New Roman" w:hAnsi="Times New Roman"/>
          <w:color w:val="auto"/>
          <w:szCs w:val="21"/>
          <w:highlight w:val="none"/>
          <w:u w:val="single"/>
        </w:rPr>
      </w:pPr>
      <w:r>
        <w:rPr>
          <w:rFonts w:ascii="Times New Roman" w:hAnsi="Times New Roman"/>
          <w:color w:val="auto"/>
          <w:szCs w:val="21"/>
          <w:highlight w:val="none"/>
        </w:rPr>
        <w:t xml:space="preserve">质量标准：</w:t>
      </w:r>
      <w:r>
        <w:rPr>
          <w:rFonts w:ascii="Times New Roman" w:hAnsi="Times New Roman"/>
          <w:color w:val="auto"/>
          <w:szCs w:val="21"/>
          <w:highlight w:val="none"/>
          <w:u w:val="single"/>
        </w:rPr>
        <w:t xml:space="preserve">参见标书要求及样品标准。                             </w:t>
      </w:r>
      <w:r>
        <w:rPr>
          <w:rFonts w:hint="eastAsia" w:ascii="Times New Roman" w:hAnsi="Times New Roman"/>
          <w:color w:val="auto"/>
          <w:szCs w:val="21"/>
          <w:highlight w:val="none"/>
          <w:u w:val="single"/>
        </w:rPr>
        <w:t xml:space="preserve">    </w:t>
      </w:r>
      <w:r/>
    </w:p>
    <w:p>
      <w:pPr>
        <w:spacing w:line="360" w:lineRule="auto"/>
        <w:rPr>
          <w:rFonts w:ascii="Times New Roman" w:hAnsi="Times New Roman"/>
          <w:color w:val="auto"/>
          <w:szCs w:val="21"/>
          <w:highlight w:val="none"/>
          <w:u w:val="single"/>
        </w:rPr>
      </w:pPr>
      <w:r>
        <w:rPr>
          <w:rFonts w:ascii="Times New Roman" w:hAnsi="Times New Roman"/>
          <w:b/>
          <w:bCs/>
          <w:color w:val="auto"/>
          <w:szCs w:val="21"/>
          <w:highlight w:val="none"/>
        </w:rPr>
        <w:t xml:space="preserve">第三条 </w:t>
      </w:r>
      <w:r>
        <w:rPr>
          <w:rFonts w:ascii="Times New Roman" w:hAnsi="Times New Roman"/>
          <w:color w:val="auto"/>
          <w:szCs w:val="21"/>
          <w:highlight w:val="none"/>
        </w:rPr>
        <w:t xml:space="preserve">乙方对质量负责的条件及期限：</w:t>
      </w:r>
      <w:r>
        <w:rPr>
          <w:rFonts w:ascii="Times New Roman" w:hAnsi="Times New Roman"/>
          <w:color w:val="auto"/>
          <w:szCs w:val="21"/>
          <w:highlight w:val="none"/>
          <w:u w:val="single"/>
        </w:rPr>
        <w:t xml:space="preserve">乙方对所供产品实行三包，质保五年，并提供终身免费服务。                                                  </w:t>
      </w:r>
      <w:r>
        <w:rPr>
          <w:rFonts w:hint="eastAsia" w:ascii="Times New Roman" w:hAnsi="Times New Roman"/>
          <w:color w:val="auto"/>
          <w:szCs w:val="21"/>
          <w:highlight w:val="none"/>
          <w:u w:val="single"/>
        </w:rPr>
        <w:t xml:space="preserve">              </w:t>
      </w:r>
      <w:r/>
    </w:p>
    <w:p>
      <w:pPr>
        <w:spacing w:line="360" w:lineRule="auto"/>
        <w:rPr>
          <w:rFonts w:ascii="Times New Roman" w:hAnsi="Times New Roman"/>
          <w:color w:val="auto"/>
          <w:szCs w:val="21"/>
          <w:highlight w:val="none"/>
          <w:u w:val="single"/>
        </w:rPr>
      </w:pPr>
      <w:r>
        <w:rPr>
          <w:rFonts w:ascii="Times New Roman" w:hAnsi="Times New Roman"/>
          <w:b/>
          <w:bCs/>
          <w:color w:val="auto"/>
          <w:szCs w:val="21"/>
          <w:highlight w:val="none"/>
        </w:rPr>
        <w:t xml:space="preserve">第四条 </w:t>
      </w:r>
      <w:r>
        <w:rPr>
          <w:rFonts w:ascii="Times New Roman" w:hAnsi="Times New Roman"/>
          <w:color w:val="auto"/>
          <w:szCs w:val="21"/>
          <w:highlight w:val="none"/>
        </w:rPr>
        <w:t xml:space="preserve">包装标准、包装物的供应与回收：</w:t>
      </w:r>
      <w:r>
        <w:rPr>
          <w:rFonts w:ascii="Times New Roman" w:hAnsi="Times New Roman"/>
          <w:color w:val="auto"/>
          <w:szCs w:val="21"/>
          <w:highlight w:val="none"/>
          <w:u w:val="single"/>
        </w:rPr>
        <w:t xml:space="preserve">     由乙方负责。                </w:t>
      </w:r>
      <w:r>
        <w:rPr>
          <w:rFonts w:hint="eastAsia" w:ascii="Times New Roman" w:hAnsi="Times New Roman"/>
          <w:color w:val="auto"/>
          <w:szCs w:val="21"/>
          <w:highlight w:val="none"/>
          <w:u w:val="single"/>
        </w:rPr>
        <w:t xml:space="preserve">    </w:t>
      </w:r>
      <w:r/>
    </w:p>
    <w:p>
      <w:pPr>
        <w:spacing w:line="360" w:lineRule="auto"/>
        <w:rPr>
          <w:rFonts w:ascii="Times New Roman" w:hAnsi="Times New Roman"/>
          <w:color w:val="auto"/>
          <w:szCs w:val="21"/>
          <w:highlight w:val="none"/>
        </w:rPr>
      </w:pPr>
      <w:r>
        <w:rPr>
          <w:rFonts w:ascii="Times New Roman" w:hAnsi="Times New Roman"/>
          <w:b/>
          <w:bCs/>
          <w:color w:val="auto"/>
          <w:szCs w:val="21"/>
          <w:highlight w:val="none"/>
        </w:rPr>
        <w:t xml:space="preserve">第五条</w:t>
      </w:r>
      <w:r>
        <w:rPr>
          <w:rFonts w:ascii="Times New Roman" w:hAnsi="Times New Roman"/>
          <w:color w:val="auto"/>
          <w:szCs w:val="21"/>
          <w:highlight w:val="none"/>
        </w:rPr>
        <w:t xml:space="preserve">随机的必备品、配件、工具数量及供应办法：</w:t>
      </w:r>
      <w:r>
        <w:rPr>
          <w:rFonts w:ascii="Times New Roman" w:hAnsi="Times New Roman"/>
          <w:color w:val="auto"/>
          <w:szCs w:val="21"/>
          <w:highlight w:val="none"/>
          <w:u w:val="single"/>
        </w:rPr>
        <w:t xml:space="preserve">由乙方负责提供。        </w:t>
      </w:r>
      <w:r>
        <w:rPr>
          <w:rFonts w:hint="eastAsia" w:ascii="Times New Roman" w:hAnsi="Times New Roman"/>
          <w:color w:val="auto"/>
          <w:szCs w:val="21"/>
          <w:highlight w:val="none"/>
          <w:u w:val="single"/>
        </w:rPr>
        <w:t xml:space="preserve">    </w:t>
      </w:r>
      <w:r/>
    </w:p>
    <w:p>
      <w:pPr>
        <w:spacing w:line="360" w:lineRule="auto"/>
        <w:rPr>
          <w:rFonts w:ascii="Times New Roman" w:hAnsi="Times New Roman"/>
          <w:color w:val="auto"/>
          <w:szCs w:val="21"/>
          <w:highlight w:val="none"/>
          <w:u w:val="single"/>
        </w:rPr>
      </w:pPr>
      <w:r>
        <w:rPr>
          <w:rFonts w:ascii="Times New Roman" w:hAnsi="Times New Roman"/>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2752090</wp:posOffset>
                </wp:positionH>
                <wp:positionV relativeFrom="paragraph">
                  <wp:posOffset>17780</wp:posOffset>
                </wp:positionV>
                <wp:extent cx="800100" cy="99060"/>
                <wp:effectExtent l="0" t="0" r="19050" b="34290"/>
                <wp:wrapNone/>
                <wp:docPr id="4" name="直接连接符 25"/>
                <wp:cNvGraphicFramePr/>
                <a:graphic xmlns:a="http://schemas.openxmlformats.org/drawingml/2006/main">
                  <a:graphicData uri="http://schemas.microsoft.com/office/word/2010/wordprocessingShape">
                    <wps:wsp>
                      <wps:cNvPr id="0" name=""/>
                      <wps:cNvSpPr/>
                      <wps:spPr bwMode="auto">
                        <a:xfrm flipV="1">
                          <a:off x="0" y="0"/>
                          <a:ext cx="800100" cy="9906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84864;mso-wrap-distance-left:9.0pt;mso-wrap-distance-top:0.0pt;mso-wrap-distance-right:9.0pt;mso-wrap-distance-bottom:0.0pt;flip:y;visibility:visible;" from="216.7pt,1.4pt" to="279.7pt,9.2pt" filled="f" strokecolor="#000000" strokeweight="0.75pt"/>
            </w:pict>
          </mc:Fallback>
        </mc:AlternateContent>
      </w:r>
      <w:r>
        <w:rPr>
          <w:rFonts w:ascii="Times New Roman" w:hAnsi="Times New Roman"/>
          <w:b/>
          <w:bCs/>
          <w:color w:val="auto"/>
          <w:szCs w:val="21"/>
          <w:highlight w:val="none"/>
        </w:rPr>
        <w:t xml:space="preserve">第六条 </w:t>
      </w:r>
      <w:r>
        <w:rPr>
          <w:rFonts w:ascii="Times New Roman" w:hAnsi="Times New Roman"/>
          <w:color w:val="auto"/>
          <w:szCs w:val="21"/>
          <w:highlight w:val="none"/>
        </w:rPr>
        <w:t xml:space="preserve">合理损耗标准及计算方法：</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rPr>
        <w:t xml:space="preserve">    </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第七条 标的物所有权自</w:t>
      </w:r>
      <w:r>
        <w:rPr>
          <w:rFonts w:ascii="Times New Roman" w:hAnsi="Times New Roman"/>
          <w:color w:val="auto"/>
          <w:szCs w:val="21"/>
          <w:highlight w:val="none"/>
          <w:u w:val="single"/>
        </w:rPr>
        <w:t xml:space="preserve">  验收合格  </w:t>
      </w:r>
      <w:r>
        <w:rPr>
          <w:rFonts w:ascii="Times New Roman" w:hAnsi="Times New Roman"/>
          <w:color w:val="auto"/>
          <w:szCs w:val="21"/>
          <w:highlight w:val="none"/>
        </w:rPr>
        <w:t xml:space="preserve">时起转移，但甲方未履行支付价款义务的，标的物属于</w:t>
      </w:r>
      <w:r>
        <w:rPr>
          <w:rFonts w:ascii="Times New Roman" w:hAnsi="Times New Roman"/>
          <w:color w:val="auto"/>
          <w:szCs w:val="21"/>
          <w:highlight w:val="none"/>
          <w:u w:val="single"/>
        </w:rPr>
        <w:t xml:space="preserve"> 乙方 </w:t>
      </w:r>
      <w:r>
        <w:rPr>
          <w:rFonts w:ascii="Times New Roman" w:hAnsi="Times New Roman"/>
          <w:color w:val="auto"/>
          <w:szCs w:val="21"/>
          <w:highlight w:val="none"/>
        </w:rPr>
        <w:t xml:space="preserve">所有。</w:t>
      </w:r>
      <w:r/>
    </w:p>
    <w:p>
      <w:pPr>
        <w:spacing w:line="360" w:lineRule="auto"/>
        <w:rPr>
          <w:rFonts w:ascii="Times New Roman" w:hAnsi="Times New Roman"/>
          <w:color w:val="auto"/>
          <w:szCs w:val="21"/>
          <w:highlight w:val="none"/>
          <w:u w:val="single"/>
        </w:rPr>
      </w:pPr>
      <w:r>
        <w:rPr>
          <w:rFonts w:ascii="Times New Roman" w:hAnsi="Times New Roman"/>
          <w:b/>
          <w:bCs/>
          <w:color w:val="auto"/>
          <w:szCs w:val="21"/>
          <w:highlight w:val="none"/>
        </w:rPr>
        <w:t xml:space="preserve">第八条</w:t>
      </w:r>
      <w:r>
        <w:rPr>
          <w:rFonts w:ascii="Times New Roman" w:hAnsi="Times New Roman"/>
          <w:color w:val="auto"/>
          <w:szCs w:val="21"/>
          <w:highlight w:val="none"/>
        </w:rPr>
        <w:t xml:space="preserve"> 交货方式、地点：</w:t>
      </w:r>
      <w:r>
        <w:rPr>
          <w:rFonts w:ascii="Times New Roman" w:hAnsi="Times New Roman"/>
          <w:color w:val="auto"/>
          <w:szCs w:val="21"/>
          <w:highlight w:val="none"/>
          <w:u w:val="single"/>
        </w:rPr>
        <w:t xml:space="preserve">    </w:t>
      </w:r>
      <w:r>
        <w:rPr>
          <w:rFonts w:ascii="Times New Roman" w:hAnsi="Times New Roman"/>
          <w:color w:val="auto"/>
          <w:szCs w:val="21"/>
          <w:highlight w:val="none"/>
          <w:u w:val="single"/>
        </w:rPr>
        <w:t xml:space="preserve">扬州大学学生公寓</w:t>
      </w:r>
      <w:r>
        <w:rPr>
          <w:rFonts w:hint="eastAsia" w:ascii="Times New Roman" w:hAnsi="Times New Roman"/>
          <w:color w:val="auto"/>
          <w:szCs w:val="21"/>
          <w:highlight w:val="none"/>
          <w:u w:val="single"/>
        </w:rPr>
        <w:t xml:space="preserve">指定地点</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rPr>
        <w:t xml:space="preserve">      </w:t>
      </w:r>
      <w:r/>
    </w:p>
    <w:p>
      <w:pPr>
        <w:spacing w:line="360" w:lineRule="auto"/>
        <w:rPr>
          <w:rFonts w:ascii="Times New Roman" w:hAnsi="Times New Roman"/>
          <w:color w:val="auto"/>
          <w:szCs w:val="21"/>
          <w:highlight w:val="none"/>
        </w:rPr>
      </w:pPr>
      <w:r>
        <w:rPr>
          <w:rFonts w:ascii="Times New Roman" w:hAnsi="Times New Roman"/>
          <w:b/>
          <w:bCs/>
          <w:color w:val="auto"/>
          <w:szCs w:val="21"/>
          <w:highlight w:val="none"/>
        </w:rPr>
        <w:t xml:space="preserve">第九条 </w:t>
      </w:r>
      <w:r>
        <w:rPr>
          <w:rFonts w:ascii="Times New Roman" w:hAnsi="Times New Roman"/>
          <w:color w:val="auto"/>
          <w:szCs w:val="21"/>
          <w:highlight w:val="none"/>
        </w:rPr>
        <w:t xml:space="preserve">运输方式及到达站（港）和费用负担：</w:t>
      </w:r>
      <w:r>
        <w:rPr>
          <w:rFonts w:ascii="Times New Roman" w:hAnsi="Times New Roman"/>
          <w:color w:val="auto"/>
          <w:szCs w:val="21"/>
          <w:highlight w:val="none"/>
          <w:u w:val="single"/>
        </w:rPr>
        <w:t xml:space="preserve">由乙方负担。                 </w:t>
      </w:r>
      <w:r>
        <w:rPr>
          <w:rFonts w:hint="eastAsia" w:ascii="Times New Roman" w:hAnsi="Times New Roman"/>
          <w:color w:val="auto"/>
          <w:szCs w:val="21"/>
          <w:highlight w:val="none"/>
          <w:u w:val="single"/>
        </w:rPr>
        <w:t xml:space="preserve">      </w:t>
      </w:r>
      <w:r/>
    </w:p>
    <w:p>
      <w:pPr>
        <w:spacing w:line="360" w:lineRule="auto"/>
        <w:rPr>
          <w:rFonts w:ascii="Times New Roman" w:hAnsi="Times New Roman"/>
          <w:color w:val="auto"/>
          <w:szCs w:val="21"/>
          <w:highlight w:val="none"/>
          <w:u w:val="single"/>
        </w:rPr>
      </w:pPr>
      <w:r>
        <w:rPr>
          <w:rFonts w:ascii="Times New Roman" w:hAnsi="Times New Roman"/>
          <w:b/>
          <w:bCs/>
          <w:color w:val="auto"/>
          <w:szCs w:val="21"/>
          <w:highlight w:val="none"/>
        </w:rPr>
        <w:t xml:space="preserve">第十条</w:t>
      </w:r>
      <w:r>
        <w:rPr>
          <w:rFonts w:ascii="Times New Roman" w:hAnsi="Times New Roman"/>
          <w:color w:val="auto"/>
          <w:szCs w:val="21"/>
          <w:highlight w:val="none"/>
        </w:rPr>
        <w:t xml:space="preserve"> 检验标准、方法、地点及期限：</w:t>
      </w:r>
      <w:r>
        <w:rPr>
          <w:rFonts w:ascii="Times New Roman" w:hAnsi="Times New Roman"/>
          <w:color w:val="auto"/>
          <w:szCs w:val="21"/>
          <w:highlight w:val="none"/>
          <w:u w:val="single"/>
        </w:rPr>
        <w:t xml:space="preserve">对照样品按行业标准验收。           </w:t>
      </w:r>
      <w:r>
        <w:rPr>
          <w:rFonts w:hint="eastAsia" w:ascii="Times New Roman" w:hAnsi="Times New Roman"/>
          <w:color w:val="auto"/>
          <w:szCs w:val="21"/>
          <w:highlight w:val="none"/>
          <w:u w:val="single"/>
        </w:rPr>
        <w:t xml:space="preserve">      </w:t>
      </w:r>
      <w:r/>
    </w:p>
    <w:p>
      <w:pPr>
        <w:spacing w:line="360" w:lineRule="auto"/>
        <w:rPr>
          <w:rFonts w:ascii="Times New Roman" w:hAnsi="Times New Roman"/>
          <w:color w:val="auto"/>
          <w:szCs w:val="21"/>
          <w:highlight w:val="none"/>
          <w:u w:val="single"/>
        </w:rPr>
      </w:pPr>
      <w:r>
        <w:rPr>
          <w:rFonts w:ascii="Times New Roman" w:hAnsi="Times New Roman"/>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2600960</wp:posOffset>
                </wp:positionH>
                <wp:positionV relativeFrom="paragraph">
                  <wp:posOffset>10160</wp:posOffset>
                </wp:positionV>
                <wp:extent cx="800100" cy="99060"/>
                <wp:effectExtent l="0" t="0" r="19050" b="34290"/>
                <wp:wrapNone/>
                <wp:docPr id="5" name="直接连接符 22"/>
                <wp:cNvGraphicFramePr/>
                <a:graphic xmlns:a="http://schemas.openxmlformats.org/drawingml/2006/main">
                  <a:graphicData uri="http://schemas.microsoft.com/office/word/2010/wordprocessingShape">
                    <wps:wsp>
                      <wps:cNvPr id="0" name=""/>
                      <wps:cNvSpPr/>
                      <wps:spPr bwMode="auto">
                        <a:xfrm flipV="1">
                          <a:off x="0" y="0"/>
                          <a:ext cx="800100" cy="9906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86912;mso-wrap-distance-left:9.0pt;mso-wrap-distance-top:0.0pt;mso-wrap-distance-right:9.0pt;mso-wrap-distance-bottom:0.0pt;flip:y;visibility:visible;" from="204.8pt,0.8pt" to="267.8pt,8.6pt" filled="f" strokecolor="#000000" strokeweight="0.75pt"/>
            </w:pict>
          </mc:Fallback>
        </mc:AlternateContent>
      </w:r>
      <w:r>
        <w:rPr>
          <w:rFonts w:ascii="Times New Roman" w:hAnsi="Times New Roman"/>
          <w:b/>
          <w:bCs/>
          <w:color w:val="auto"/>
          <w:szCs w:val="21"/>
          <w:highlight w:val="none"/>
        </w:rPr>
        <w:t xml:space="preserve">第十一条</w:t>
      </w:r>
      <w:r>
        <w:rPr>
          <w:rFonts w:ascii="Times New Roman" w:hAnsi="Times New Roman"/>
          <w:color w:val="auto"/>
          <w:szCs w:val="21"/>
          <w:highlight w:val="none"/>
        </w:rPr>
        <w:t xml:space="preserve"> 成套设备的安装与调试：</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rPr>
        <w:t xml:space="preserve">      </w:t>
      </w:r>
      <w:r/>
    </w:p>
    <w:p>
      <w:pPr>
        <w:spacing w:line="360" w:lineRule="auto"/>
        <w:rPr>
          <w:rFonts w:ascii="Times New Roman" w:hAnsi="Times New Roman"/>
          <w:color w:val="auto"/>
          <w:szCs w:val="21"/>
          <w:highlight w:val="none"/>
        </w:rPr>
      </w:pPr>
      <w:r>
        <w:rPr>
          <w:rFonts w:ascii="Times New Roman" w:hAnsi="Times New Roman"/>
          <w:b/>
          <w:bCs/>
          <w:color w:val="auto"/>
          <w:szCs w:val="21"/>
          <w:highlight w:val="none"/>
        </w:rPr>
        <w:t xml:space="preserve">第十二条 </w:t>
      </w:r>
      <w:r>
        <w:rPr>
          <w:rFonts w:ascii="Times New Roman" w:hAnsi="Times New Roman"/>
          <w:color w:val="auto"/>
          <w:szCs w:val="21"/>
          <w:highlight w:val="none"/>
        </w:rPr>
        <w:t xml:space="preserve">结算方式、时间及地点：</w:t>
      </w:r>
      <w:r>
        <w:rPr>
          <w:color w:val="auto"/>
          <w:szCs w:val="21"/>
          <w:highlight w:val="none"/>
          <w:u w:val="single"/>
        </w:rPr>
        <w:t xml:space="preserve">合同签订后，乙方向甲方开具发票，甲方自收到发票后10个工作日内支付合同总价30%的预付款；货物送达甲方指定地点安装结束，验收合格无质量问题，根据实际供货数量，乙方向甲方开具发票，甲方自收到发票后10个工作日内支付至实际供货金额的100%。</w:t>
      </w:r>
      <w:r/>
    </w:p>
    <w:p>
      <w:pPr>
        <w:spacing w:line="360" w:lineRule="auto"/>
        <w:rPr>
          <w:rFonts w:ascii="Times New Roman" w:hAnsi="Times New Roman"/>
          <w:color w:val="auto"/>
          <w:szCs w:val="21"/>
          <w:highlight w:val="none"/>
          <w:u w:val="single"/>
        </w:rPr>
      </w:pPr>
      <w:r>
        <w:rPr>
          <w:rFonts w:ascii="Times New Roman" w:hAnsi="Times New Roman"/>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2924175</wp:posOffset>
                </wp:positionH>
                <wp:positionV relativeFrom="paragraph">
                  <wp:posOffset>11430</wp:posOffset>
                </wp:positionV>
                <wp:extent cx="685800" cy="99060"/>
                <wp:effectExtent l="0" t="0" r="19050" b="34290"/>
                <wp:wrapNone/>
                <wp:docPr id="6" name="直接连接符 3"/>
                <wp:cNvGraphicFramePr/>
                <a:graphic xmlns:a="http://schemas.openxmlformats.org/drawingml/2006/main">
                  <a:graphicData uri="http://schemas.microsoft.com/office/word/2010/wordprocessingShape">
                    <wps:wsp>
                      <wps:cNvPr id="0" name=""/>
                      <wps:cNvSpPr/>
                      <wps:spPr bwMode="auto">
                        <a:xfrm flipV="1">
                          <a:off x="0" y="0"/>
                          <a:ext cx="685800" cy="9906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85888;mso-wrap-distance-left:9.0pt;mso-wrap-distance-top:0.0pt;mso-wrap-distance-right:9.0pt;mso-wrap-distance-bottom:0.0pt;flip:y;visibility:visible;" from="230.2pt,0.9pt" to="284.2pt,8.7pt" filled="f" strokecolor="#000000" strokeweight="0.75pt"/>
            </w:pict>
          </mc:Fallback>
        </mc:AlternateContent>
      </w:r>
      <w:r>
        <w:rPr>
          <w:rFonts w:ascii="Times New Roman" w:hAnsi="Times New Roman"/>
          <w:b/>
          <w:bCs/>
          <w:color w:val="auto"/>
          <w:szCs w:val="21"/>
          <w:highlight w:val="none"/>
        </w:rPr>
        <w:t xml:space="preserve">第十三条</w:t>
      </w:r>
      <w:r>
        <w:rPr>
          <w:rFonts w:ascii="Times New Roman" w:hAnsi="Times New Roman"/>
          <w:color w:val="auto"/>
          <w:szCs w:val="21"/>
          <w:highlight w:val="none"/>
        </w:rPr>
        <w:t xml:space="preserve"> 担保方式（也可另立担保合同）：</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rPr>
        <w:t xml:space="preserve">    </w:t>
      </w:r>
      <w:r/>
    </w:p>
    <w:p>
      <w:pPr>
        <w:ind w:left="1054" w:hanging="1054"/>
        <w:spacing w:line="360" w:lineRule="auto"/>
        <w:rPr>
          <w:rFonts w:ascii="Times New Roman" w:hAnsi="Times New Roman"/>
          <w:color w:val="auto"/>
          <w:szCs w:val="21"/>
          <w:highlight w:val="none"/>
        </w:rPr>
      </w:pPr>
      <w:r>
        <w:rPr>
          <w:rFonts w:ascii="Times New Roman" w:hAnsi="Times New Roman"/>
          <w:b/>
          <w:bCs/>
          <w:color w:val="auto"/>
          <w:szCs w:val="21"/>
          <w:highlight w:val="none"/>
        </w:rPr>
        <w:t xml:space="preserve">第十四条 </w:t>
      </w:r>
      <w:r>
        <w:rPr>
          <w:rFonts w:ascii="Times New Roman" w:hAnsi="Times New Roman"/>
          <w:color w:val="auto"/>
          <w:szCs w:val="21"/>
          <w:highlight w:val="none"/>
        </w:rPr>
        <w:t xml:space="preserve">本合同解除的条件：</w:t>
      </w:r>
      <w:r>
        <w:rPr>
          <w:rFonts w:ascii="Times New Roman" w:hAnsi="Times New Roman"/>
          <w:color w:val="auto"/>
          <w:szCs w:val="21"/>
          <w:highlight w:val="none"/>
          <w:u w:val="single"/>
        </w:rPr>
        <w:t xml:space="preserve">甲、乙双方任一方有违约行为。               </w:t>
      </w:r>
      <w:r>
        <w:rPr>
          <w:rFonts w:hint="eastAsia" w:ascii="Times New Roman" w:hAnsi="Times New Roman"/>
          <w:color w:val="auto"/>
          <w:szCs w:val="21"/>
          <w:highlight w:val="none"/>
          <w:u w:val="single"/>
        </w:rPr>
        <w:t xml:space="preserve">     </w:t>
      </w:r>
      <w:r/>
    </w:p>
    <w:p>
      <w:pPr>
        <w:ind w:left="1054" w:hanging="1054"/>
        <w:spacing w:line="360" w:lineRule="auto"/>
        <w:rPr>
          <w:rFonts w:ascii="Times New Roman" w:hAnsi="Times New Roman"/>
          <w:color w:val="auto"/>
          <w:szCs w:val="21"/>
          <w:highlight w:val="none"/>
          <w:u w:val="single"/>
        </w:rPr>
      </w:pPr>
      <w:r>
        <w:rPr>
          <w:rFonts w:ascii="Times New Roman" w:hAnsi="Times New Roman"/>
          <w:b/>
          <w:bCs/>
          <w:color w:val="auto"/>
          <w:szCs w:val="21"/>
          <w:highlight w:val="none"/>
        </w:rPr>
        <w:t xml:space="preserve">第十五条</w:t>
      </w:r>
      <w:r>
        <w:rPr>
          <w:rFonts w:ascii="Times New Roman" w:hAnsi="Times New Roman"/>
          <w:color w:val="auto"/>
          <w:szCs w:val="21"/>
          <w:highlight w:val="none"/>
        </w:rPr>
        <w:t xml:space="preserve"> 违约责任：</w:t>
      </w:r>
      <w:r>
        <w:rPr>
          <w:rFonts w:ascii="Times New Roman" w:hAnsi="Times New Roman"/>
          <w:color w:val="auto"/>
          <w:szCs w:val="21"/>
          <w:highlight w:val="none"/>
          <w:u w:val="single"/>
        </w:rPr>
        <w:t xml:space="preserve">乙方每逾期一天交付，扣罚合同总金额的5‰ 给甲方。  </w:t>
      </w:r>
      <w:r>
        <w:rPr>
          <w:rFonts w:hint="eastAsia" w:ascii="Times New Roman" w:hAnsi="Times New Roman"/>
          <w:color w:val="auto"/>
          <w:szCs w:val="21"/>
          <w:highlight w:val="none"/>
          <w:u w:val="single"/>
        </w:rPr>
        <w:t xml:space="preserve">     </w:t>
      </w:r>
      <w:r/>
    </w:p>
    <w:p>
      <w:pPr>
        <w:spacing w:line="360" w:lineRule="auto"/>
        <w:rPr>
          <w:rFonts w:ascii="Times New Roman" w:hAnsi="Times New Roman"/>
          <w:color w:val="auto"/>
          <w:szCs w:val="21"/>
          <w:highlight w:val="none"/>
        </w:rPr>
      </w:pPr>
      <w:r>
        <w:rPr>
          <w:rFonts w:ascii="Times New Roman" w:hAnsi="Times New Roman"/>
          <w:b/>
          <w:bCs/>
          <w:color w:val="auto"/>
          <w:szCs w:val="21"/>
          <w:highlight w:val="none"/>
        </w:rPr>
        <w:t xml:space="preserve">第十六条 </w:t>
      </w:r>
      <w:r>
        <w:rPr>
          <w:rFonts w:ascii="Times New Roman" w:hAnsi="Times New Roman"/>
          <w:color w:val="auto"/>
          <w:szCs w:val="21"/>
          <w:highlight w:val="none"/>
        </w:rPr>
        <w:t xml:space="preserve">合同争议的解决方式：本合同在履行过程中发生的争议，由双方当事人协商解决；也可由当地工商行政管理部门调解；协商或调解不成的，按下列 第</w:t>
      </w:r>
      <w:r>
        <w:rPr>
          <w:rFonts w:ascii="Times New Roman" w:hAnsi="Times New Roman"/>
          <w:color w:val="auto"/>
          <w:szCs w:val="21"/>
          <w:highlight w:val="none"/>
          <w:u w:val="single"/>
        </w:rPr>
        <w:t xml:space="preserve">（一）</w:t>
      </w:r>
      <w:r>
        <w:rPr>
          <w:rFonts w:ascii="Times New Roman" w:hAnsi="Times New Roman"/>
          <w:color w:val="auto"/>
          <w:szCs w:val="21"/>
          <w:highlight w:val="none"/>
        </w:rPr>
        <w:t xml:space="preserve">种方式解决；</w:t>
      </w:r>
      <w:r/>
    </w:p>
    <w:p>
      <w:pPr>
        <w:ind w:firstLine="420"/>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（一）提交 </w:t>
      </w:r>
      <w:r>
        <w:rPr>
          <w:rFonts w:ascii="Times New Roman" w:hAnsi="Times New Roman"/>
          <w:color w:val="auto"/>
          <w:szCs w:val="21"/>
          <w:highlight w:val="none"/>
          <w:u w:val="single"/>
        </w:rPr>
        <w:t xml:space="preserve"> 扬州市 </w:t>
      </w:r>
      <w:r>
        <w:rPr>
          <w:rFonts w:ascii="Times New Roman" w:hAnsi="Times New Roman"/>
          <w:color w:val="auto"/>
          <w:szCs w:val="21"/>
          <w:highlight w:val="none"/>
        </w:rPr>
        <w:t xml:space="preserve">仲裁委员会仲裁；</w:t>
      </w:r>
      <w:r/>
    </w:p>
    <w:p>
      <w:pPr>
        <w:ind w:firstLine="420"/>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（二）依法向甲方有管辖权的人民法院起诉。</w:t>
      </w:r>
      <w:r/>
    </w:p>
    <w:p>
      <w:pPr>
        <w:spacing w:line="360" w:lineRule="auto"/>
        <w:rPr>
          <w:rFonts w:ascii="Times New Roman" w:hAnsi="Times New Roman"/>
          <w:color w:val="auto"/>
          <w:szCs w:val="21"/>
          <w:highlight w:val="none"/>
        </w:rPr>
      </w:pPr>
      <w:r>
        <w:rPr>
          <w:rFonts w:ascii="Times New Roman" w:hAnsi="Times New Roman"/>
          <w:b/>
          <w:bCs/>
          <w:color w:val="auto"/>
          <w:szCs w:val="21"/>
          <w:highlight w:val="none"/>
        </w:rPr>
        <w:t xml:space="preserve">第十七条</w:t>
      </w:r>
      <w:r>
        <w:rPr>
          <w:rFonts w:ascii="Times New Roman" w:hAnsi="Times New Roman"/>
          <w:color w:val="auto"/>
          <w:szCs w:val="21"/>
          <w:highlight w:val="none"/>
        </w:rPr>
        <w:t xml:space="preserve"> 本合同自</w:t>
      </w:r>
      <w:r>
        <w:rPr>
          <w:rFonts w:ascii="Times New Roman" w:hAnsi="Times New Roman"/>
          <w:color w:val="auto"/>
          <w:szCs w:val="21"/>
          <w:highlight w:val="none"/>
          <w:u w:val="single"/>
        </w:rPr>
        <w:t xml:space="preserve">  双方签字、盖章之日  </w:t>
      </w:r>
      <w:r>
        <w:rPr>
          <w:rFonts w:ascii="Times New Roman" w:hAnsi="Times New Roman"/>
          <w:color w:val="auto"/>
          <w:szCs w:val="21"/>
          <w:highlight w:val="none"/>
        </w:rPr>
        <w:t xml:space="preserve">起生效。</w:t>
      </w:r>
      <w:r/>
    </w:p>
    <w:p>
      <w:pPr>
        <w:spacing w:line="360" w:lineRule="auto"/>
        <w:rPr>
          <w:rFonts w:ascii="Times New Roman" w:hAnsi="Times New Roman"/>
          <w:color w:val="auto"/>
          <w:szCs w:val="21"/>
          <w:highlight w:val="none"/>
        </w:rPr>
      </w:pPr>
      <w:r>
        <w:rPr>
          <w:rFonts w:ascii="Times New Roman" w:hAnsi="Times New Roman"/>
          <w:b/>
          <w:bCs/>
          <w:color w:val="auto"/>
          <w:szCs w:val="21"/>
          <w:highlight w:val="none"/>
        </w:rPr>
        <w:t xml:space="preserve">第十八条 </w:t>
      </w:r>
      <w:r>
        <w:rPr>
          <w:rFonts w:ascii="Times New Roman" w:hAnsi="Times New Roman"/>
          <w:color w:val="auto"/>
          <w:szCs w:val="21"/>
          <w:highlight w:val="none"/>
        </w:rPr>
        <w:t xml:space="preserve">其他约定事项：</w:t>
      </w:r>
      <w:r/>
    </w:p>
    <w:p>
      <w:pPr>
        <w:spacing w:line="360" w:lineRule="auto"/>
        <w:rPr>
          <w:rFonts w:ascii="Times New Roman" w:hAnsi="Times New Roman"/>
          <w:color w:val="auto"/>
          <w:szCs w:val="21"/>
          <w:highlight w:val="none"/>
          <w:u w:val="single"/>
        </w:rPr>
      </w:pPr>
      <w:r>
        <w:rPr>
          <w:rFonts w:ascii="Times New Roman" w:hAnsi="Times New Roman"/>
          <w:color w:val="auto"/>
          <w:szCs w:val="21"/>
          <w:highlight w:val="none"/>
          <w:u w:val="single"/>
        </w:rPr>
        <w:t xml:space="preserve">1.如乙方在质保期内不按招标文件和投标文件约定提供相应服务，将列入甲方不良行为记录名单，甲方保留在一至三年内禁止乙方参加甲方采购活动的权利。2.所有招标、投标文件为本合同的有效附件，具有同等法律效力。3.</w:t>
      </w:r>
      <w:r>
        <w:rPr>
          <w:rFonts w:hint="eastAsia" w:ascii="Times New Roman" w:hAnsi="Times New Roman"/>
          <w:color w:val="auto"/>
          <w:szCs w:val="21"/>
          <w:highlight w:val="none"/>
          <w:u w:val="single"/>
        </w:rPr>
        <w:t xml:space="preserve">项目</w:t>
      </w:r>
      <w:r>
        <w:rPr>
          <w:rFonts w:ascii="Times New Roman" w:hAnsi="Times New Roman"/>
          <w:color w:val="auto"/>
          <w:szCs w:val="21"/>
          <w:highlight w:val="none"/>
          <w:u w:val="single"/>
        </w:rPr>
        <w:t xml:space="preserve">验收</w:t>
      </w:r>
      <w:r>
        <w:rPr>
          <w:rFonts w:hint="eastAsia" w:ascii="Times New Roman" w:hAnsi="Times New Roman"/>
          <w:color w:val="auto"/>
          <w:szCs w:val="21"/>
          <w:highlight w:val="none"/>
          <w:u w:val="single"/>
        </w:rPr>
        <w:t xml:space="preserve">时</w:t>
      </w:r>
      <w:r>
        <w:rPr>
          <w:rFonts w:ascii="Times New Roman" w:hAnsi="Times New Roman"/>
          <w:color w:val="auto"/>
          <w:szCs w:val="21"/>
          <w:highlight w:val="none"/>
          <w:u w:val="single"/>
        </w:rPr>
        <w:t xml:space="preserve">，如质量达不到要求，必须按甲方要求进行更换，另视违约程度扣除合同总金额15%以内的违约金。4.本合同一式伍份，甲方执叁份，乙方执贰份。5.本合同未尽事宜，遵照《中华人民共和国民法典》有关条文执行。          </w:t>
      </w:r>
      <w:r>
        <w:rPr>
          <w:rFonts w:hint="eastAsia" w:ascii="Times New Roman" w:hAnsi="Times New Roman"/>
          <w:color w:val="auto"/>
          <w:szCs w:val="21"/>
          <w:highlight w:val="none"/>
          <w:u w:val="single"/>
        </w:rPr>
        <w:t xml:space="preserve">                                                </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甲方（章）：扬州大学               </w:t>
      </w:r>
      <w:r>
        <w:rPr>
          <w:rFonts w:hint="eastAsia" w:ascii="Times New Roman" w:hAnsi="Times New Roman"/>
          <w:bCs/>
          <w:color w:val="auto"/>
          <w:szCs w:val="21"/>
          <w:highlight w:val="none"/>
        </w:rPr>
        <w:t xml:space="preserve"> </w:t>
      </w:r>
      <w:r>
        <w:rPr>
          <w:rFonts w:ascii="Times New Roman" w:hAnsi="Times New Roman"/>
          <w:bCs/>
          <w:color w:val="auto"/>
          <w:szCs w:val="21"/>
          <w:highlight w:val="none"/>
        </w:rPr>
        <w:t xml:space="preserve"> 乙方（章）：</w:t>
      </w:r>
      <w:r>
        <w:rPr>
          <w:rFonts w:ascii="Times New Roman" w:hAnsi="Times New Roman"/>
          <w:color w:val="auto"/>
          <w:szCs w:val="21"/>
          <w:highlight w:val="none"/>
        </w:rPr>
        <w:t xml:space="preserve"> </w:t>
      </w:r>
      <w:r/>
    </w:p>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法定代表人或授权代表：            </w:t>
      </w:r>
      <w:r>
        <w:rPr>
          <w:rFonts w:hint="eastAsia" w:ascii="Times New Roman" w:hAnsi="Times New Roman"/>
          <w:bCs/>
          <w:color w:val="auto"/>
          <w:szCs w:val="21"/>
          <w:highlight w:val="none"/>
        </w:rPr>
        <w:t xml:space="preserve">   </w:t>
      </w:r>
      <w:r>
        <w:rPr>
          <w:rFonts w:ascii="Times New Roman" w:hAnsi="Times New Roman"/>
          <w:bCs/>
          <w:color w:val="auto"/>
          <w:szCs w:val="21"/>
          <w:highlight w:val="none"/>
        </w:rPr>
        <w:t xml:space="preserve">法定代表人或授权代表：</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日期：      年   月   日       </w:t>
      </w:r>
      <w:r>
        <w:rPr>
          <w:rFonts w:hint="eastAsia" w:ascii="Times New Roman" w:hAnsi="Times New Roman"/>
          <w:color w:val="auto"/>
          <w:szCs w:val="21"/>
          <w:highlight w:val="none"/>
        </w:rPr>
        <w:t xml:space="preserve"> </w:t>
      </w: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  </w:t>
      </w:r>
      <w:r>
        <w:rPr>
          <w:rFonts w:ascii="Times New Roman" w:hAnsi="Times New Roman"/>
          <w:color w:val="auto"/>
          <w:szCs w:val="21"/>
          <w:highlight w:val="none"/>
        </w:rPr>
        <w:t xml:space="preserve"> 日期：       年   月   日</w:t>
      </w:r>
      <w:r/>
    </w:p>
    <w:p>
      <w:pPr>
        <w:pStyle w:val="988"/>
        <w:spacing w:line="360" w:lineRule="auto"/>
        <w:rPr>
          <w:rFonts w:ascii="Times New Roman" w:hAnsi="Times New Roman"/>
          <w:color w:val="auto"/>
          <w:sz w:val="21"/>
          <w:highlight w:val="none"/>
        </w:rPr>
      </w:pPr>
      <w:r>
        <w:rPr>
          <w:rFonts w:ascii="Times New Roman" w:hAnsi="Times New Roman"/>
          <w:color w:val="auto"/>
          <w:sz w:val="21"/>
          <w:highlight w:val="none"/>
        </w:rPr>
      </w:r>
      <w:r/>
    </w:p>
    <w:p>
      <w:pPr>
        <w:pStyle w:val="988"/>
        <w:spacing w:line="360" w:lineRule="auto"/>
        <w:rPr>
          <w:rFonts w:ascii="Times New Roman" w:hAnsi="Times New Roman" w:cs="宋体"/>
          <w:color w:val="auto"/>
          <w:sz w:val="21"/>
          <w:highlight w:val="none"/>
        </w:rPr>
      </w:pPr>
      <w:r>
        <w:rPr>
          <w:rFonts w:ascii="Times New Roman" w:hAnsi="Times New Roman" w:cs="宋体"/>
          <w:color w:val="auto"/>
          <w:sz w:val="21"/>
          <w:highlight w:val="none"/>
        </w:rPr>
      </w:r>
      <w:bookmarkEnd w:id="60"/>
      <w:r/>
      <w:r/>
    </w:p>
    <w:p>
      <w:pPr>
        <w:rPr>
          <w:rFonts w:ascii="Times New Roman" w:hAnsi="Times New Roman" w:cs="宋体"/>
          <w:color w:val="auto"/>
          <w:highlight w:val="none"/>
        </w:rPr>
      </w:pPr>
      <w:r>
        <w:rPr>
          <w:rFonts w:ascii="Times New Roman" w:hAnsi="Times New Roman" w:cs="宋体"/>
          <w:color w:val="auto"/>
          <w:highlight w:val="none"/>
        </w:rPr>
      </w:r>
      <w:r/>
    </w:p>
    <w:p>
      <w:pPr>
        <w:rPr>
          <w:rFonts w:ascii="Times New Roman" w:hAnsi="Times New Roman" w:cs="宋体"/>
          <w:color w:val="auto"/>
          <w:highlight w:val="none"/>
        </w:rPr>
      </w:pPr>
      <w:r>
        <w:rPr>
          <w:rFonts w:ascii="Times New Roman" w:hAnsi="Times New Roman" w:cs="宋体"/>
          <w:color w:val="auto"/>
          <w:highlight w:val="none"/>
        </w:rPr>
      </w:r>
      <w:r/>
    </w:p>
    <w:p>
      <w:pPr>
        <w:rPr>
          <w:rFonts w:ascii="Times New Roman" w:hAnsi="Times New Roman" w:cs="宋体"/>
          <w:color w:val="auto"/>
          <w:highlight w:val="none"/>
        </w:rPr>
      </w:pPr>
      <w:r>
        <w:rPr>
          <w:rFonts w:ascii="Times New Roman" w:hAnsi="Times New Roman" w:cs="宋体"/>
          <w:color w:val="auto"/>
          <w:highlight w:val="none"/>
        </w:rPr>
      </w:r>
      <w:r/>
    </w:p>
    <w:p>
      <w:pPr>
        <w:rPr>
          <w:rFonts w:ascii="Times New Roman" w:hAnsi="Times New Roman" w:cs="宋体"/>
          <w:color w:val="auto"/>
          <w:highlight w:val="none"/>
        </w:rPr>
      </w:pPr>
      <w:r>
        <w:rPr>
          <w:rFonts w:ascii="Times New Roman" w:hAnsi="Times New Roman" w:cs="宋体"/>
          <w:color w:val="auto"/>
          <w:highlight w:val="none"/>
        </w:rPr>
      </w:r>
      <w:r/>
    </w:p>
    <w:p>
      <w:pPr>
        <w:rPr>
          <w:rFonts w:ascii="Times New Roman" w:hAnsi="Times New Roman" w:cs="宋体"/>
          <w:color w:val="auto"/>
          <w:highlight w:val="none"/>
        </w:rPr>
      </w:pPr>
      <w:r>
        <w:rPr>
          <w:rFonts w:ascii="Times New Roman" w:hAnsi="Times New Roman" w:cs="宋体"/>
          <w:color w:val="auto"/>
          <w:highlight w:val="none"/>
        </w:rPr>
      </w:r>
      <w:r/>
    </w:p>
    <w:p>
      <w:pPr>
        <w:rPr>
          <w:rFonts w:ascii="Times New Roman" w:hAnsi="Times New Roman" w:cs="宋体"/>
          <w:color w:val="auto"/>
          <w:highlight w:val="none"/>
        </w:rPr>
      </w:pPr>
      <w:r>
        <w:rPr>
          <w:rFonts w:ascii="Times New Roman" w:hAnsi="Times New Roman" w:cs="宋体"/>
          <w:color w:val="auto"/>
          <w:highlight w:val="none"/>
        </w:rPr>
      </w:r>
      <w:r/>
    </w:p>
    <w:p>
      <w:pPr>
        <w:rPr>
          <w:rFonts w:ascii="Times New Roman" w:hAnsi="Times New Roman" w:cs="宋体"/>
          <w:color w:val="auto"/>
          <w:highlight w:val="none"/>
        </w:rPr>
      </w:pPr>
      <w:r>
        <w:rPr>
          <w:rFonts w:ascii="Times New Roman" w:hAnsi="Times New Roman" w:cs="宋体"/>
          <w:color w:val="auto"/>
          <w:highlight w:val="none"/>
        </w:rPr>
      </w:r>
      <w:r/>
    </w:p>
    <w:p>
      <w:pPr>
        <w:pStyle w:val="761"/>
        <w:numPr>
          <w:ilvl w:val="0"/>
          <w:numId w:val="3"/>
        </w:numPr>
        <w:rPr>
          <w:rFonts w:ascii="Times New Roman" w:hAnsi="Times New Roman"/>
          <w:color w:val="auto"/>
          <w:highlight w:val="none"/>
        </w:rPr>
      </w:pPr>
      <w:r/>
      <w:bookmarkStart w:id="61" w:name="_Toc15957"/>
      <w:r>
        <w:rPr>
          <w:rFonts w:hint="eastAsia" w:ascii="Times New Roman" w:hAnsi="Times New Roman"/>
          <w:color w:val="auto"/>
          <w:highlight w:val="none"/>
        </w:rPr>
        <w:t xml:space="preserve">项目需求</w:t>
      </w:r>
      <w:bookmarkEnd w:id="61"/>
      <w:r/>
      <w:r/>
    </w:p>
    <w:p>
      <w:pPr>
        <w:ind w:firstLine="422"/>
        <w:spacing w:line="360" w:lineRule="auto"/>
        <w:rPr>
          <w:rFonts w:ascii="Times New Roman" w:hAnsi="Times New Roman" w:cs="宋体"/>
          <w:b/>
          <w:bCs/>
          <w:color w:val="auto"/>
          <w:highlight w:val="none"/>
        </w:rPr>
      </w:pPr>
      <w:r/>
      <w:bookmarkStart w:id="62" w:name="_Toc319408306"/>
      <w:r>
        <w:rPr>
          <w:rFonts w:hint="eastAsia" w:ascii="Times New Roman" w:hAnsi="Times New Roman" w:cs="宋体"/>
          <w:b/>
          <w:bCs/>
          <w:color w:val="auto"/>
          <w:highlight w:val="none"/>
        </w:rPr>
        <w:t xml:space="preserve">注：本章内容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contextualSpacing/>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项目属性:货物类项目</w:t>
      </w:r>
      <w:r/>
    </w:p>
    <w:p>
      <w:pPr>
        <w:pStyle w:val="777"/>
        <w:ind w:left="0" w:firstLine="422"/>
        <w:spacing w:after="0"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核心产品：</w:t>
      </w:r>
      <w:r/>
    </w:p>
    <w:tbl>
      <w:tblPr>
        <w:tblStyle w:val="771"/>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423"/>
      </w:tblGrid>
      <w:tr>
        <w:trPr/>
        <w:tc>
          <w:tcPr>
            <w:tcW w:w="1234"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采购</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包号</w:t>
            </w:r>
            <w:r/>
          </w:p>
        </w:tc>
        <w:tc>
          <w:tcPr>
            <w:tcW w:w="3423"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核心产品</w:t>
            </w:r>
            <w:r/>
          </w:p>
        </w:tc>
      </w:tr>
      <w:tr>
        <w:trPr>
          <w:trHeight w:val="553"/>
        </w:trPr>
        <w:tc>
          <w:tcPr>
            <w:tcW w:w="1234"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p>
        </w:tc>
        <w:tc>
          <w:tcPr>
            <w:tcW w:w="3423"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两连体上床下柜床</w:t>
            </w:r>
            <w:r/>
          </w:p>
        </w:tc>
      </w:tr>
    </w:tbl>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进口产品投标：</w:t>
      </w:r>
      <w:r/>
    </w:p>
    <w:tbl>
      <w:tblPr>
        <w:tblStyle w:val="771"/>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3411"/>
      </w:tblGrid>
      <w:tr>
        <w:trPr/>
        <w:tc>
          <w:tcPr>
            <w:tcW w:w="1246"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采购</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包号</w:t>
            </w:r>
            <w:r/>
          </w:p>
        </w:tc>
        <w:tc>
          <w:tcPr>
            <w:tcW w:w="3411"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是否接受进口产品投标</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（是/否）</w:t>
            </w:r>
            <w:r/>
          </w:p>
        </w:tc>
      </w:tr>
      <w:tr>
        <w:trPr>
          <w:trHeight w:val="610"/>
        </w:trPr>
        <w:tc>
          <w:tcPr>
            <w:tcW w:w="1246"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p>
        </w:tc>
        <w:tc>
          <w:tcPr>
            <w:tcW w:w="3411"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否</w:t>
            </w:r>
            <w:r/>
          </w:p>
        </w:tc>
      </w:tr>
    </w:tbl>
    <w:p>
      <w:pPr>
        <w:ind w:firstLine="422"/>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一、政府采购中实施本国产品标准及相关政策</w:t>
      </w:r>
      <w:r/>
    </w:p>
    <w:p>
      <w:pPr>
        <w:ind w:firstLine="422"/>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1.本项目对采购本国产品给予政策支持，具体内容见招标文件“第五章 评标方法与评标标准”。</w:t>
      </w:r>
      <w:r/>
    </w:p>
    <w:p>
      <w:pPr>
        <w:ind w:firstLine="422"/>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ascii="Times New Roman" w:hAnsi="Times New Roman"/>
          <w:color w:val="auto"/>
          <w:sz w:val="24"/>
          <w:szCs w:val="24"/>
          <w:highlight w:val="none"/>
        </w:rPr>
      </w:pPr>
      <w:r>
        <w:rPr>
          <w:rFonts w:hint="eastAsia" w:ascii="Times New Roman" w:hAnsi="Times New Roman" w:cs="宋体"/>
          <w:b/>
          <w:bCs/>
          <w:color w:val="auto"/>
          <w:szCs w:val="21"/>
          <w:highlight w:val="none"/>
        </w:rPr>
        <w:t xml:space="preserve">二、</w:t>
      </w:r>
      <w:r>
        <w:rPr>
          <w:rFonts w:hint="eastAsia" w:ascii="Times New Roman" w:hAnsi="Times New Roman" w:cs="宋体"/>
          <w:b/>
          <w:bCs/>
          <w:color w:val="auto"/>
          <w:highlight w:val="none"/>
        </w:rPr>
        <w:t xml:space="preserve">项目概况</w:t>
      </w:r>
      <w:r>
        <w:rPr>
          <w:rFonts w:hint="eastAsia" w:ascii="Times New Roman" w:hAnsi="Times New Roman"/>
          <w:color w:val="auto"/>
          <w:sz w:val="24"/>
          <w:szCs w:val="24"/>
          <w:highlight w:val="none"/>
        </w:rPr>
        <w:t xml:space="preserve"> </w:t>
      </w:r>
      <w:bookmarkEnd w:id="62"/>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扬州大学部分学生公寓改造后需采购一批家具，投标人需根据采购人要求将指定数量、指定规格尺寸的家具送至指定学生宿舍（所有学生公寓楼均无电梯），并安装到位。</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三、</w:t>
      </w:r>
      <w:bookmarkStart w:id="63" w:name="OLE_LINK26"/>
      <w:r/>
      <w:bookmarkStart w:id="64" w:name="OLE_LINK27"/>
      <w:r>
        <w:rPr>
          <w:rFonts w:hint="eastAsia" w:ascii="Times New Roman" w:hAnsi="Times New Roman" w:cs="宋体"/>
          <w:b/>
          <w:bCs/>
          <w:color w:val="auto"/>
          <w:szCs w:val="21"/>
          <w:highlight w:val="none"/>
        </w:rPr>
        <w:t xml:space="preserve">项目需求</w:t>
      </w:r>
      <w:bookmarkEnd w:id="63"/>
      <w:r/>
      <w:bookmarkEnd w:id="64"/>
      <w:r/>
      <w:r/>
    </w:p>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1.采购货物清单</w:t>
      </w:r>
      <w:r/>
    </w:p>
    <w:tbl>
      <w:tblPr>
        <w:tblStyle w:val="771"/>
        <w:tblW w:w="9599" w:type="dxa"/>
        <w:jc w:val="center"/>
        <w:tblLayout w:type="fixed"/>
        <w:tblCellMar>
          <w:left w:w="108" w:type="dxa"/>
          <w:top w:w="0" w:type="dxa"/>
          <w:right w:w="108" w:type="dxa"/>
          <w:bottom w:w="0" w:type="dxa"/>
        </w:tblCellMar>
        <w:tblLook w:val="04A0" w:firstRow="1" w:lastRow="0" w:firstColumn="1" w:lastColumn="0" w:noHBand="0" w:noVBand="1"/>
      </w:tblPr>
      <w:tblGrid>
        <w:gridCol w:w="1576"/>
        <w:gridCol w:w="2489"/>
        <w:gridCol w:w="2465"/>
        <w:gridCol w:w="1381"/>
        <w:gridCol w:w="802"/>
        <w:gridCol w:w="886"/>
      </w:tblGrid>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1576" w:type="dxa"/>
            <w:vAlign w:val="center"/>
            <w:vMerge w:val="restart"/>
            <w:textDirection w:val="lrTb"/>
            <w:noWrap w:val="false"/>
          </w:tcPr>
          <w:p>
            <w:pPr>
              <w:jc w:val="center"/>
              <w:spacing w:line="360" w:lineRule="auto"/>
              <w:widowControl/>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489" w:type="dxa"/>
            <w:vAlign w:val="center"/>
            <w:vMerge w:val="restart"/>
            <w:textDirection w:val="lrTb"/>
            <w:noWrap w:val="false"/>
          </w:tcPr>
          <w:p>
            <w:pPr>
              <w:jc w:val="center"/>
              <w:spacing w:line="360" w:lineRule="auto"/>
              <w:widowControl/>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规格（mm）</w:t>
            </w:r>
            <w:r/>
          </w:p>
        </w:tc>
        <w:tc>
          <w:tcPr>
            <w:gridSpan w:val="4"/>
            <w:shd w:val="clear" w:color="auto" w:fill="auto"/>
            <w:tcBorders>
              <w:top w:val="single" w:color="auto" w:sz="4" w:space="0"/>
              <w:left w:val="none" w:color="000000" w:sz="4" w:space="0"/>
              <w:bottom w:val="single" w:color="auto" w:sz="4" w:space="0"/>
              <w:right w:val="single" w:color="auto" w:sz="4" w:space="0"/>
            </w:tcBorders>
            <w:tcW w:w="5534" w:type="dxa"/>
            <w:vAlign w:val="center"/>
            <w:textDirection w:val="lrTb"/>
            <w:noWrap w:val="false"/>
          </w:tcPr>
          <w:p>
            <w:pPr>
              <w:jc w:val="center"/>
              <w:spacing w:line="360" w:lineRule="auto"/>
              <w:widowControl/>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数量</w:t>
            </w:r>
            <w:r/>
          </w:p>
        </w:tc>
      </w:tr>
      <w:tr>
        <w:trPr>
          <w:jc w:val="center"/>
          <w:trHeight w:val="499"/>
        </w:trPr>
        <w:tc>
          <w:tcPr>
            <w:tcBorders>
              <w:top w:val="single" w:color="auto" w:sz="4" w:space="0"/>
              <w:left w:val="single" w:color="auto" w:sz="4" w:space="0"/>
              <w:bottom w:val="single" w:color="auto" w:sz="4" w:space="0"/>
              <w:right w:val="single" w:color="auto" w:sz="4" w:space="0"/>
            </w:tcBorders>
            <w:tcW w:w="1576" w:type="dxa"/>
            <w:vAlign w:val="center"/>
            <w:vMerge w:val="continue"/>
            <w:textDirection w:val="lrTb"/>
            <w:noWrap w:val="false"/>
          </w:tcPr>
          <w:p>
            <w:pPr>
              <w:jc w:val="center"/>
              <w:spacing w:line="360" w:lineRule="auto"/>
              <w:widowControl/>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2489" w:type="dxa"/>
            <w:vAlign w:val="center"/>
            <w:vMerge w:val="continue"/>
            <w:textDirection w:val="lrTb"/>
            <w:noWrap w:val="false"/>
          </w:tcPr>
          <w:p>
            <w:pPr>
              <w:jc w:val="center"/>
              <w:spacing w:line="360" w:lineRule="auto"/>
              <w:widowControl/>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校区</w:t>
            </w:r>
            <w:r/>
          </w:p>
        </w:tc>
        <w:tc>
          <w:tcPr>
            <w:shd w:val="clear" w:color="auto" w:fill="auto"/>
            <w:tcBorders>
              <w:top w:val="none" w:color="000000" w:sz="4" w:space="0"/>
              <w:left w:val="none" w:color="000000"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合计</w:t>
            </w:r>
            <w:r/>
          </w:p>
        </w:tc>
      </w:tr>
      <w:tr>
        <w:trPr>
          <w:jc w:val="center"/>
          <w:trHeight w:val="499"/>
        </w:trPr>
        <w:tc>
          <w:tcPr>
            <w:gridSpan w:val="6"/>
            <w:shd w:val="clear" w:color="auto" w:fill="auto"/>
            <w:tcBorders>
              <w:top w:val="single" w:color="auto" w:sz="4" w:space="0"/>
              <w:left w:val="single" w:color="auto" w:sz="4" w:space="0"/>
              <w:bottom w:val="single" w:color="auto" w:sz="4" w:space="0"/>
              <w:right w:val="single" w:color="auto" w:sz="4" w:space="0"/>
            </w:tcBorders>
            <w:tcW w:w="959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一、床类</w:t>
            </w:r>
            <w:r/>
          </w:p>
        </w:tc>
      </w:tr>
      <w:tr>
        <w:trPr>
          <w:jc w:val="center"/>
          <w:trHeight w:val="726"/>
        </w:trPr>
        <w:tc>
          <w:tcPr>
            <w:shd w:val="clear" w:color="auto" w:fill="auto"/>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两连体上床下柜床</w:t>
            </w:r>
            <w:r/>
          </w:p>
        </w:tc>
        <w:tc>
          <w:tcPr>
            <w:shd w:val="clear" w:color="auto" w:fill="auto"/>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4000*900*2250</w:t>
            </w:r>
            <w:r/>
          </w:p>
        </w:tc>
        <w:tc>
          <w:tcPr>
            <w:shd w:val="clear" w:color="auto" w:fill="auto"/>
            <w:tcBorders>
              <w:top w:val="single" w:color="auto" w:sz="4" w:space="0"/>
              <w:left w:val="single" w:color="auto"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瘦西湖校区92#楼</w:t>
            </w:r>
            <w:r/>
          </w:p>
        </w:tc>
        <w:tc>
          <w:tcPr>
            <w:shd w:val="clear" w:color="auto" w:fill="auto"/>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274</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274</w:t>
            </w:r>
            <w:r/>
          </w:p>
        </w:tc>
      </w:tr>
      <w:tr>
        <w:trPr>
          <w:jc w:val="center"/>
          <w:trHeight w:val="786"/>
        </w:trPr>
        <w:tc>
          <w:tcPr>
            <w:shd w:val="clear" w:color="auto" w:fill="auto"/>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360" w:lineRule="auto"/>
              <w:widowControl/>
              <w:rPr>
                <w:rFonts w:ascii="Times New Roman" w:hAnsi="Times New Roman" w:cs="宋体"/>
                <w:color w:val="auto"/>
                <w:szCs w:val="21"/>
                <w:highlight w:val="none"/>
              </w:rPr>
            </w:pPr>
            <w:r/>
            <w:bookmarkStart w:id="65" w:name="OLE_LINK6"/>
            <w:r/>
            <w:bookmarkStart w:id="66" w:name="OLE_LINK5"/>
            <w:r>
              <w:rPr>
                <w:rFonts w:hint="eastAsia" w:ascii="Times New Roman" w:hAnsi="Times New Roman" w:cs="宋体"/>
                <w:color w:val="auto"/>
                <w:szCs w:val="21"/>
                <w:highlight w:val="none"/>
              </w:rPr>
              <w:t xml:space="preserve">单人床</w:t>
            </w:r>
            <w:bookmarkEnd w:id="65"/>
            <w:r/>
            <w:bookmarkEnd w:id="66"/>
            <w:r/>
            <w:r/>
          </w:p>
        </w:tc>
        <w:tc>
          <w:tcPr>
            <w:shd w:val="clear" w:color="auto" w:fill="auto"/>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widowControl/>
              <w:rPr>
                <w:rFonts w:ascii="Times New Roman" w:hAnsi="Times New Roman" w:cs="宋体"/>
                <w:color w:val="auto"/>
                <w:szCs w:val="21"/>
                <w:highlight w:val="none"/>
              </w:rPr>
            </w:pPr>
            <w:r/>
            <w:bookmarkStart w:id="67" w:name="OLE_LINK7"/>
            <w:r/>
            <w:bookmarkStart w:id="68" w:name="RANGE!B6"/>
            <w:r>
              <w:rPr>
                <w:rFonts w:hint="eastAsia" w:ascii="Times New Roman" w:hAnsi="Times New Roman" w:cs="宋体"/>
                <w:color w:val="auto"/>
                <w:szCs w:val="21"/>
                <w:highlight w:val="none"/>
              </w:rPr>
              <w:t xml:space="preserve">2000*900*740</w:t>
            </w:r>
            <w:bookmarkEnd w:id="67"/>
            <w:r/>
            <w:bookmarkEnd w:id="68"/>
            <w:r/>
            <w:r/>
          </w:p>
        </w:tc>
        <w:tc>
          <w:tcPr>
            <w:shd w:val="clear" w:color="auto" w:fill="auto"/>
            <w:tcBorders>
              <w:top w:val="single" w:color="auto" w:sz="4" w:space="0"/>
              <w:left w:val="single" w:color="auto"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文汇路校区55#楼</w:t>
            </w:r>
            <w:r/>
          </w:p>
        </w:tc>
        <w:tc>
          <w:tcPr>
            <w:shd w:val="clear" w:color="auto" w:fill="auto"/>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60</w:t>
            </w:r>
            <w:r/>
          </w:p>
        </w:tc>
      </w:tr>
      <w:tr>
        <w:trPr>
          <w:jc w:val="center"/>
          <w:trHeight w:val="501"/>
        </w:trPr>
        <w:tc>
          <w:tcPr>
            <w:shd w:val="clear" w:color="auto" w:fill="auto"/>
            <w:tcBorders>
              <w:top w:val="single" w:color="auto" w:sz="4" w:space="0"/>
              <w:left w:val="single" w:color="auto" w:sz="4" w:space="0"/>
              <w:bottom w:val="single" w:color="auto" w:sz="4" w:space="0"/>
              <w:right w:val="single" w:color="auto" w:sz="4" w:space="0"/>
            </w:tcBorders>
            <w:tcW w:w="1576"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床板</w:t>
            </w:r>
            <w:r/>
          </w:p>
        </w:tc>
        <w:tc>
          <w:tcPr>
            <w:shd w:val="clear" w:color="auto" w:fill="auto"/>
            <w:tcBorders>
              <w:top w:val="single" w:color="auto" w:sz="4" w:space="0"/>
              <w:left w:val="single" w:color="auto" w:sz="4" w:space="0"/>
              <w:bottom w:val="single" w:color="auto" w:sz="4" w:space="0"/>
              <w:right w:val="single" w:color="auto" w:sz="4" w:space="0"/>
            </w:tcBorders>
            <w:tcW w:w="2489"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1940*820*40</w:t>
            </w:r>
            <w:r/>
          </w:p>
        </w:tc>
        <w:tc>
          <w:tcPr>
            <w:shd w:val="clear" w:color="auto" w:fill="auto"/>
            <w:tcBorders>
              <w:top w:val="single" w:color="auto" w:sz="4" w:space="0"/>
              <w:left w:val="single" w:color="auto"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瘦西湖校区92#楼</w:t>
            </w:r>
            <w:r/>
          </w:p>
        </w:tc>
        <w:tc>
          <w:tcPr>
            <w:shd w:val="clear" w:color="auto" w:fill="auto"/>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548</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608</w:t>
            </w:r>
            <w:r/>
          </w:p>
        </w:tc>
      </w:tr>
      <w:tr>
        <w:trPr>
          <w:jc w:val="center"/>
          <w:trHeight w:val="542"/>
        </w:trPr>
        <w:tc>
          <w:tcPr>
            <w:tcBorders>
              <w:top w:val="single" w:color="auto" w:sz="4" w:space="0"/>
              <w:left w:val="single" w:color="auto" w:sz="4" w:space="0"/>
              <w:bottom w:val="single" w:color="auto" w:sz="4" w:space="0"/>
              <w:right w:val="single" w:color="auto" w:sz="4" w:space="0"/>
            </w:tcBorders>
            <w:tcW w:w="1576"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89"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文汇路校区55#楼</w:t>
            </w:r>
            <w:r/>
          </w:p>
        </w:tc>
        <w:tc>
          <w:tcPr>
            <w:shd w:val="clear" w:color="auto" w:fill="auto"/>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60</w:t>
            </w:r>
            <w:r/>
          </w:p>
        </w:tc>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499"/>
        </w:trPr>
        <w:tc>
          <w:tcPr>
            <w:gridSpan w:val="6"/>
            <w:shd w:val="clear" w:color="auto" w:fill="auto"/>
            <w:tcBorders>
              <w:top w:val="single" w:color="auto" w:sz="4" w:space="0"/>
              <w:left w:val="single" w:color="auto" w:sz="4" w:space="0"/>
              <w:bottom w:val="single" w:color="auto" w:sz="4" w:space="0"/>
              <w:right w:val="none" w:color="000000" w:sz="4" w:space="0"/>
            </w:tcBorders>
            <w:tcW w:w="959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二、木质家具</w:t>
            </w:r>
            <w:r/>
          </w:p>
        </w:tc>
      </w:tr>
      <w:tr>
        <w:trPr>
          <w:jc w:val="center"/>
          <w:trHeight w:val="886"/>
        </w:trPr>
        <w:tc>
          <w:tcPr>
            <w:shd w:val="clear" w:color="auto" w:fill="auto"/>
            <w:tcBorders>
              <w:top w:val="none" w:color="000000" w:sz="4" w:space="0"/>
              <w:left w:val="single" w:color="auto" w:sz="4" w:space="0"/>
              <w:bottom w:val="single" w:color="auto" w:sz="4" w:space="0"/>
              <w:right w:val="single" w:color="auto" w:sz="4" w:space="0"/>
            </w:tcBorders>
            <w:tcW w:w="157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上床下柜连体橱柜</w:t>
            </w:r>
            <w:r/>
          </w:p>
        </w:tc>
        <w:tc>
          <w:tcPr>
            <w:shd w:val="clear" w:color="auto" w:fill="auto"/>
            <w:tcBorders>
              <w:top w:val="none" w:color="000000" w:sz="4" w:space="0"/>
              <w:left w:val="none" w:color="000000" w:sz="4" w:space="0"/>
              <w:bottom w:val="single" w:color="auto" w:sz="4" w:space="0"/>
              <w:right w:val="single" w:color="auto" w:sz="4" w:space="0"/>
            </w:tcBorders>
            <w:tcW w:w="248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1940*600*1770</w:t>
            </w:r>
            <w:r/>
          </w:p>
        </w:tc>
        <w:tc>
          <w:tcPr>
            <w:shd w:val="clear" w:color="auto" w:fill="auto"/>
            <w:tcBorders>
              <w:top w:val="none" w:color="000000" w:sz="4" w:space="0"/>
              <w:left w:val="none" w:color="000000"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瘦西湖校区92#楼</w:t>
            </w:r>
            <w:r/>
          </w:p>
        </w:tc>
        <w:tc>
          <w:tcPr>
            <w:shd w:val="clear" w:color="auto" w:fill="auto"/>
            <w:tcBorders>
              <w:top w:val="none" w:color="000000" w:sz="4" w:space="0"/>
              <w:left w:val="none" w:color="000000"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548</w:t>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548</w:t>
            </w:r>
            <w:r/>
          </w:p>
        </w:tc>
      </w:tr>
      <w:tr>
        <w:trPr>
          <w:jc w:val="center"/>
          <w:trHeight w:val="700"/>
        </w:trPr>
        <w:tc>
          <w:tcPr>
            <w:shd w:val="clear" w:color="auto" w:fill="auto"/>
            <w:tcBorders>
              <w:top w:val="none" w:color="000000" w:sz="4" w:space="0"/>
              <w:left w:val="single" w:color="auto" w:sz="4" w:space="0"/>
              <w:bottom w:val="single" w:color="auto" w:sz="4" w:space="0"/>
              <w:right w:val="single" w:color="auto" w:sz="4" w:space="0"/>
            </w:tcBorders>
            <w:tcW w:w="157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单人位自修桌</w:t>
            </w:r>
            <w:r/>
          </w:p>
        </w:tc>
        <w:tc>
          <w:tcPr>
            <w:shd w:val="clear" w:color="auto" w:fill="auto"/>
            <w:tcBorders>
              <w:top w:val="none" w:color="000000" w:sz="4" w:space="0"/>
              <w:left w:val="none" w:color="000000" w:sz="4" w:space="0"/>
              <w:bottom w:val="single" w:color="auto" w:sz="4" w:space="0"/>
              <w:right w:val="single" w:color="auto" w:sz="4" w:space="0"/>
            </w:tcBorders>
            <w:tcW w:w="248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750*600*1860</w:t>
            </w:r>
            <w:r/>
          </w:p>
        </w:tc>
        <w:tc>
          <w:tcPr>
            <w:shd w:val="clear" w:color="auto" w:fill="auto"/>
            <w:tcBorders>
              <w:top w:val="none" w:color="000000" w:sz="4" w:space="0"/>
              <w:left w:val="none" w:color="000000"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文汇路校区55#楼</w:t>
            </w:r>
            <w:r/>
          </w:p>
        </w:tc>
        <w:tc>
          <w:tcPr>
            <w:shd w:val="clear" w:color="auto" w:fill="auto"/>
            <w:tcBorders>
              <w:top w:val="none" w:color="000000" w:sz="4" w:space="0"/>
              <w:left w:val="none" w:color="000000"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66</w:t>
            </w:r>
            <w:r/>
          </w:p>
        </w:tc>
      </w:tr>
      <w:tr>
        <w:trPr>
          <w:jc w:val="center"/>
          <w:trHeight w:val="711"/>
        </w:trPr>
        <w:tc>
          <w:tcPr>
            <w:shd w:val="clear" w:color="auto" w:fill="auto"/>
            <w:tcBorders>
              <w:top w:val="none" w:color="000000" w:sz="4" w:space="0"/>
              <w:left w:val="single" w:color="auto" w:sz="4" w:space="0"/>
              <w:bottom w:val="single" w:color="auto" w:sz="4" w:space="0"/>
              <w:right w:val="single" w:color="auto" w:sz="4" w:space="0"/>
            </w:tcBorders>
            <w:tcW w:w="157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L形矮柜</w:t>
            </w:r>
            <w:r/>
          </w:p>
        </w:tc>
        <w:tc>
          <w:tcPr>
            <w:shd w:val="clear" w:color="auto" w:fill="auto"/>
            <w:tcBorders>
              <w:top w:val="none" w:color="000000" w:sz="4" w:space="0"/>
              <w:left w:val="none" w:color="000000" w:sz="4" w:space="0"/>
              <w:bottom w:val="single" w:color="auto" w:sz="4" w:space="0"/>
              <w:right w:val="single" w:color="auto" w:sz="4" w:space="0"/>
            </w:tcBorders>
            <w:tcW w:w="248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2900*500*920/1300*500*920</w:t>
            </w:r>
            <w:r/>
          </w:p>
        </w:tc>
        <w:tc>
          <w:tcPr>
            <w:shd w:val="clear" w:color="auto" w:fill="auto"/>
            <w:tcBorders>
              <w:top w:val="none" w:color="000000" w:sz="4" w:space="0"/>
              <w:left w:val="none" w:color="000000"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文汇路校区55#楼</w:t>
            </w:r>
            <w:r/>
          </w:p>
        </w:tc>
        <w:tc>
          <w:tcPr>
            <w:shd w:val="clear" w:color="auto" w:fill="auto"/>
            <w:tcBorders>
              <w:top w:val="none" w:color="000000" w:sz="4" w:space="0"/>
              <w:left w:val="none" w:color="000000"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50</w:t>
            </w:r>
            <w:r/>
          </w:p>
        </w:tc>
      </w:tr>
      <w:tr>
        <w:trPr>
          <w:jc w:val="center"/>
          <w:trHeight w:val="834"/>
        </w:trPr>
        <w:tc>
          <w:tcPr>
            <w:shd w:val="clear" w:color="auto" w:fill="auto"/>
            <w:tcBorders>
              <w:top w:val="none" w:color="000000" w:sz="4" w:space="0"/>
              <w:left w:val="single" w:color="auto" w:sz="4" w:space="0"/>
              <w:bottom w:val="single" w:color="auto" w:sz="4" w:space="0"/>
              <w:right w:val="single" w:color="auto" w:sz="4" w:space="0"/>
            </w:tcBorders>
            <w:tcW w:w="157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四门衣柜</w:t>
            </w:r>
            <w:r/>
          </w:p>
        </w:tc>
        <w:tc>
          <w:tcPr>
            <w:shd w:val="clear" w:color="auto" w:fill="auto"/>
            <w:tcBorders>
              <w:top w:val="none" w:color="000000" w:sz="4" w:space="0"/>
              <w:left w:val="none" w:color="000000" w:sz="4" w:space="0"/>
              <w:bottom w:val="single" w:color="auto" w:sz="4" w:space="0"/>
              <w:right w:val="single" w:color="auto" w:sz="4" w:space="0"/>
            </w:tcBorders>
            <w:tcW w:w="248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1000*500*2000</w:t>
            </w:r>
            <w:r/>
          </w:p>
        </w:tc>
        <w:tc>
          <w:tcPr>
            <w:shd w:val="clear" w:color="auto" w:fill="auto"/>
            <w:tcBorders>
              <w:top w:val="none" w:color="000000" w:sz="4" w:space="0"/>
              <w:left w:val="none" w:color="000000"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校外学生公寓4#楼</w:t>
            </w:r>
            <w:r/>
          </w:p>
        </w:tc>
        <w:tc>
          <w:tcPr>
            <w:shd w:val="clear" w:color="auto" w:fill="auto"/>
            <w:tcBorders>
              <w:top w:val="none" w:color="000000" w:sz="4" w:space="0"/>
              <w:left w:val="none" w:color="000000"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w:t>
            </w:r>
            <w:r/>
          </w:p>
        </w:tc>
      </w:tr>
      <w:tr>
        <w:trPr>
          <w:jc w:val="center"/>
          <w:trHeight w:val="980"/>
        </w:trPr>
        <w:tc>
          <w:tcPr>
            <w:shd w:val="clear" w:color="auto" w:fill="auto"/>
            <w:tcBorders>
              <w:top w:val="none" w:color="000000" w:sz="4" w:space="0"/>
              <w:left w:val="single" w:color="auto" w:sz="4" w:space="0"/>
              <w:bottom w:val="single" w:color="auto" w:sz="4" w:space="0"/>
              <w:right w:val="single" w:color="auto" w:sz="4" w:space="0"/>
            </w:tcBorders>
            <w:tcW w:w="157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单人位学习桌</w:t>
            </w:r>
            <w:r/>
          </w:p>
        </w:tc>
        <w:tc>
          <w:tcPr>
            <w:shd w:val="clear" w:color="auto" w:fill="auto"/>
            <w:tcBorders>
              <w:top w:val="none" w:color="000000" w:sz="4" w:space="0"/>
              <w:left w:val="none" w:color="000000" w:sz="4" w:space="0"/>
              <w:bottom w:val="single" w:color="auto" w:sz="4" w:space="0"/>
              <w:right w:val="single" w:color="auto" w:sz="4" w:space="0"/>
            </w:tcBorders>
            <w:tcW w:w="248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750*550*750</w:t>
            </w:r>
            <w:r/>
          </w:p>
        </w:tc>
        <w:tc>
          <w:tcPr>
            <w:shd w:val="clear" w:color="auto" w:fill="auto"/>
            <w:tcBorders>
              <w:top w:val="none" w:color="000000" w:sz="4" w:space="0"/>
              <w:left w:val="none" w:color="000000"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校外学生公寓4#楼</w:t>
            </w:r>
            <w:r/>
          </w:p>
        </w:tc>
        <w:tc>
          <w:tcPr>
            <w:shd w:val="clear" w:color="auto" w:fill="auto"/>
            <w:tcBorders>
              <w:top w:val="none" w:color="000000" w:sz="4" w:space="0"/>
              <w:left w:val="none" w:color="000000"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468</w:t>
            </w:r>
            <w:r/>
          </w:p>
        </w:tc>
        <w:tc>
          <w:tcPr>
            <w:shd w:val="clear" w:color="auto" w:fill="auto"/>
            <w:tcBorders>
              <w:top w:val="none" w:color="000000" w:sz="4" w:space="0"/>
              <w:left w:val="none" w:color="000000" w:sz="4" w:space="0"/>
              <w:bottom w:val="single" w:color="auto" w:sz="4" w:space="0"/>
              <w:right w:val="single" w:color="auto" w:sz="4" w:space="0"/>
            </w:tcBorders>
            <w:tcW w:w="802"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468</w:t>
            </w:r>
            <w:r/>
          </w:p>
        </w:tc>
      </w:tr>
      <w:tr>
        <w:trPr>
          <w:jc w:val="center"/>
          <w:trHeight w:val="806"/>
        </w:trPr>
        <w:tc>
          <w:tcPr>
            <w:shd w:val="clear" w:color="auto" w:fill="auto"/>
            <w:tcBorders>
              <w:top w:val="none" w:color="000000" w:sz="4" w:space="0"/>
              <w:left w:val="single" w:color="auto" w:sz="4" w:space="0"/>
              <w:bottom w:val="single" w:color="auto" w:sz="4" w:space="0"/>
              <w:right w:val="single" w:color="auto" w:sz="4" w:space="0"/>
            </w:tcBorders>
            <w:tcW w:w="1576"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木椅</w:t>
            </w:r>
            <w:r/>
          </w:p>
        </w:tc>
        <w:tc>
          <w:tcPr>
            <w:shd w:val="clear" w:color="auto" w:fill="auto"/>
            <w:tcBorders>
              <w:top w:val="none" w:color="000000" w:sz="4" w:space="0"/>
              <w:left w:val="single" w:color="auto" w:sz="4" w:space="0"/>
              <w:bottom w:val="single" w:color="000000" w:sz="4" w:space="0"/>
              <w:right w:val="single" w:color="auto" w:sz="4" w:space="0"/>
            </w:tcBorders>
            <w:tcW w:w="2489"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座面：430*420</w:t>
            </w:r>
            <w:r>
              <w:rPr>
                <w:rFonts w:hint="eastAsia" w:ascii="Times New Roman" w:hAnsi="Times New Roman" w:cs="宋体"/>
                <w:color w:val="auto"/>
                <w:szCs w:val="21"/>
                <w:highlight w:val="none"/>
              </w:rPr>
              <w:br/>
            </w:r>
            <w:r>
              <w:rPr>
                <w:rFonts w:hint="eastAsia" w:ascii="Times New Roman" w:hAnsi="Times New Roman" w:cs="宋体"/>
                <w:color w:val="auto"/>
                <w:szCs w:val="21"/>
                <w:highlight w:val="none"/>
              </w:rPr>
              <w:t xml:space="preserve">座高：430</w:t>
            </w:r>
            <w:r>
              <w:rPr>
                <w:rFonts w:hint="eastAsia" w:ascii="Times New Roman" w:hAnsi="Times New Roman" w:cs="宋体"/>
                <w:color w:val="auto"/>
                <w:szCs w:val="21"/>
                <w:highlight w:val="none"/>
              </w:rPr>
              <w:br/>
            </w:r>
            <w:r>
              <w:rPr>
                <w:rFonts w:hint="eastAsia" w:ascii="Times New Roman" w:hAnsi="Times New Roman" w:cs="宋体"/>
                <w:color w:val="auto"/>
                <w:szCs w:val="21"/>
                <w:highlight w:val="none"/>
              </w:rPr>
              <w:t xml:space="preserve">总高：860</w:t>
            </w:r>
            <w:r/>
          </w:p>
        </w:tc>
        <w:tc>
          <w:tcPr>
            <w:shd w:val="clear" w:color="auto" w:fill="auto"/>
            <w:tcBorders>
              <w:top w:val="none" w:color="000000" w:sz="4" w:space="0"/>
              <w:left w:val="none" w:color="000000"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瘦西湖校区92#楼</w:t>
            </w:r>
            <w:r/>
          </w:p>
        </w:tc>
        <w:tc>
          <w:tcPr>
            <w:shd w:val="clear" w:color="auto" w:fill="auto"/>
            <w:tcBorders>
              <w:top w:val="none" w:color="000000" w:sz="4" w:space="0"/>
              <w:left w:val="none" w:color="000000"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548</w:t>
            </w:r>
            <w:r/>
          </w:p>
        </w:tc>
        <w:tc>
          <w:tcPr>
            <w:shd w:val="clear" w:color="auto" w:fill="auto"/>
            <w:tcBorders>
              <w:top w:val="none" w:color="000000" w:sz="4" w:space="0"/>
              <w:left w:val="single" w:color="auto" w:sz="4" w:space="0"/>
              <w:bottom w:val="single" w:color="000000" w:sz="4" w:space="0"/>
              <w:right w:val="single" w:color="auto" w:sz="4" w:space="0"/>
            </w:tcBorders>
            <w:tcW w:w="802"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张</w:t>
            </w:r>
            <w:r/>
          </w:p>
        </w:tc>
        <w:tc>
          <w:tcPr>
            <w:shd w:val="clear" w:color="auto" w:fill="auto"/>
            <w:tcBorders>
              <w:top w:val="none" w:color="000000" w:sz="4" w:space="0"/>
              <w:left w:val="single" w:color="auto" w:sz="4" w:space="0"/>
              <w:bottom w:val="single" w:color="auto" w:sz="4" w:space="0"/>
              <w:right w:val="single" w:color="auto" w:sz="4" w:space="0"/>
            </w:tcBorders>
            <w:tcW w:w="886"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2676</w:t>
            </w:r>
            <w:r/>
          </w:p>
        </w:tc>
      </w:tr>
      <w:tr>
        <w:trPr>
          <w:jc w:val="center"/>
          <w:trHeight w:val="570"/>
        </w:trPr>
        <w:tc>
          <w:tcPr>
            <w:tcBorders>
              <w:top w:val="none" w:color="000000" w:sz="4" w:space="0"/>
              <w:left w:val="single" w:color="auto" w:sz="4" w:space="0"/>
              <w:bottom w:val="single" w:color="auto" w:sz="4" w:space="0"/>
              <w:right w:val="single" w:color="auto" w:sz="4" w:space="0"/>
            </w:tcBorders>
            <w:tcW w:w="1576"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489"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文汇路校区55#楼</w:t>
            </w:r>
            <w:r/>
          </w:p>
        </w:tc>
        <w:tc>
          <w:tcPr>
            <w:shd w:val="clear" w:color="auto" w:fill="auto"/>
            <w:tcBorders>
              <w:top w:val="none" w:color="000000" w:sz="4" w:space="0"/>
              <w:left w:val="none" w:color="000000"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60</w:t>
            </w:r>
            <w:r/>
          </w:p>
        </w:tc>
        <w:tc>
          <w:tcPr>
            <w:tcBorders>
              <w:top w:val="none" w:color="000000" w:sz="4" w:space="0"/>
              <w:left w:val="single" w:color="auto" w:sz="4" w:space="0"/>
              <w:bottom w:val="single" w:color="000000" w:sz="4" w:space="0"/>
              <w:right w:val="single" w:color="auto" w:sz="4" w:space="0"/>
            </w:tcBorders>
            <w:tcW w:w="802"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886"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636"/>
        </w:trPr>
        <w:tc>
          <w:tcPr>
            <w:tcBorders>
              <w:top w:val="none" w:color="000000" w:sz="4" w:space="0"/>
              <w:left w:val="single" w:color="auto" w:sz="4" w:space="0"/>
              <w:bottom w:val="single" w:color="auto" w:sz="4" w:space="0"/>
              <w:right w:val="single" w:color="auto" w:sz="4" w:space="0"/>
            </w:tcBorders>
            <w:tcW w:w="1576"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489"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校外学生公寓4#楼</w:t>
            </w:r>
            <w:r/>
          </w:p>
        </w:tc>
        <w:tc>
          <w:tcPr>
            <w:shd w:val="clear" w:color="auto" w:fill="auto"/>
            <w:tcBorders>
              <w:top w:val="none" w:color="000000" w:sz="4" w:space="0"/>
              <w:left w:val="none" w:color="000000"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468</w:t>
            </w:r>
            <w:r/>
          </w:p>
        </w:tc>
        <w:tc>
          <w:tcPr>
            <w:tcBorders>
              <w:top w:val="none" w:color="000000" w:sz="4" w:space="0"/>
              <w:left w:val="single" w:color="auto" w:sz="4" w:space="0"/>
              <w:bottom w:val="single" w:color="000000" w:sz="4" w:space="0"/>
              <w:right w:val="single" w:color="auto" w:sz="4" w:space="0"/>
            </w:tcBorders>
            <w:tcW w:w="802"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886"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560"/>
        </w:trPr>
        <w:tc>
          <w:tcPr>
            <w:tcBorders>
              <w:top w:val="none" w:color="000000" w:sz="4" w:space="0"/>
              <w:left w:val="single" w:color="auto" w:sz="4" w:space="0"/>
              <w:bottom w:val="single" w:color="auto" w:sz="4" w:space="0"/>
              <w:right w:val="single" w:color="auto" w:sz="4" w:space="0"/>
            </w:tcBorders>
            <w:tcW w:w="1576"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489"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46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其他各校区</w:t>
            </w:r>
            <w:r/>
          </w:p>
        </w:tc>
        <w:tc>
          <w:tcPr>
            <w:shd w:val="clear" w:color="auto" w:fill="auto"/>
            <w:tcBorders>
              <w:top w:val="none" w:color="000000" w:sz="4" w:space="0"/>
              <w:left w:val="none" w:color="000000" w:sz="4" w:space="0"/>
              <w:bottom w:val="single" w:color="auto" w:sz="4" w:space="0"/>
              <w:right w:val="single" w:color="auto" w:sz="4" w:space="0"/>
            </w:tcBorders>
            <w:tcW w:w="138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1600</w:t>
            </w:r>
            <w:r/>
          </w:p>
        </w:tc>
        <w:tc>
          <w:tcPr>
            <w:tcBorders>
              <w:top w:val="none" w:color="000000" w:sz="4" w:space="0"/>
              <w:left w:val="single" w:color="auto" w:sz="4" w:space="0"/>
              <w:bottom w:val="single" w:color="000000" w:sz="4" w:space="0"/>
              <w:right w:val="single" w:color="auto" w:sz="4" w:space="0"/>
            </w:tcBorders>
            <w:tcW w:w="802"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886"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注：（1</w:t>
      </w:r>
      <w:r>
        <w:rPr>
          <w:rFonts w:hint="eastAsia" w:ascii="Times New Roman" w:hAnsi="Times New Roman" w:cs="宋体"/>
          <w:color w:val="auto"/>
          <w:szCs w:val="21"/>
          <w:highlight w:val="none"/>
        </w:rPr>
        <w:t xml:space="preserve">）</w:t>
      </w:r>
      <w:r>
        <w:rPr>
          <w:rFonts w:hint="eastAsia" w:ascii="Times New Roman" w:hAnsi="Times New Roman" w:cs="宋体"/>
          <w:b/>
          <w:color w:val="auto"/>
          <w:szCs w:val="21"/>
          <w:highlight w:val="none"/>
        </w:rPr>
        <w:t xml:space="preserve">以上所有尺寸接受误差±5mm</w:t>
      </w:r>
      <w:r>
        <w:rPr>
          <w:rFonts w:hint="eastAsia" w:ascii="Times New Roman" w:hAnsi="Times New Roman" w:cs="宋体"/>
          <w:color w:val="auto"/>
          <w:szCs w:val="21"/>
          <w:highlight w:val="none"/>
        </w:rPr>
        <w:t xml:space="preserve">。（2）中标人生产前需提供色板小样供采购人选择确定家具颜色。（3）实际供货时送货数量可能会有微调，付款时按实际供货数量结算。（4）送至其他各校区的</w:t>
      </w:r>
      <w:r>
        <w:rPr>
          <w:rFonts w:hint="eastAsia" w:ascii="Times New Roman" w:hAnsi="Times New Roman" w:cs="宋体"/>
          <w:color w:val="auto"/>
          <w:szCs w:val="21"/>
          <w:highlight w:val="none"/>
          <w:lang w:val="en-US" w:eastAsia="zh-CN"/>
        </w:rPr>
        <w:t xml:space="preserve">木椅</w:t>
      </w:r>
      <w:r>
        <w:rPr>
          <w:rFonts w:hint="eastAsia" w:ascii="Times New Roman" w:hAnsi="Times New Roman" w:cs="宋体"/>
          <w:color w:val="auto"/>
          <w:szCs w:val="21"/>
          <w:highlight w:val="none"/>
        </w:rPr>
        <w:t xml:space="preserve">清单</w:t>
      </w:r>
      <w:r>
        <w:rPr>
          <w:rFonts w:hint="eastAsia" w:ascii="Times New Roman" w:hAnsi="Times New Roman" w:cs="宋体"/>
          <w:color w:val="auto"/>
          <w:szCs w:val="21"/>
          <w:highlight w:val="none"/>
        </w:rPr>
        <w:t xml:space="preserve">由采购人使用部门提供。</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2.主要材质及参数</w:t>
      </w:r>
      <w:r/>
    </w:p>
    <w:tbl>
      <w:tblPr>
        <w:tblStyle w:val="771"/>
        <w:tblW w:w="10716" w:type="dxa"/>
        <w:jc w:val="center"/>
        <w:tblLayout w:type="fixed"/>
        <w:tblCellMar>
          <w:left w:w="108" w:type="dxa"/>
          <w:top w:w="0" w:type="dxa"/>
          <w:right w:w="108" w:type="dxa"/>
          <w:bottom w:w="0" w:type="dxa"/>
        </w:tblCellMar>
        <w:tblLook w:val="04A0" w:firstRow="1" w:lastRow="0" w:firstColumn="1" w:lastColumn="0" w:noHBand="0" w:noVBand="1"/>
      </w:tblPr>
      <w:tblGrid>
        <w:gridCol w:w="998"/>
        <w:gridCol w:w="1984"/>
        <w:gridCol w:w="111"/>
        <w:gridCol w:w="3432"/>
        <w:gridCol w:w="4191"/>
      </w:tblGrid>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widowControl/>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名称</w:t>
            </w:r>
            <w:r/>
          </w:p>
        </w:tc>
        <w:tc>
          <w:tcPr>
            <w:gridSpan w:val="2"/>
            <w:shd w:val="clear" w:color="auto" w:fill="auto"/>
            <w:tcBorders>
              <w:top w:val="single" w:color="auto" w:sz="4" w:space="0"/>
              <w:left w:val="none" w:color="000000" w:sz="4" w:space="0"/>
              <w:bottom w:val="single" w:color="auto" w:sz="4" w:space="0"/>
              <w:right w:val="single" w:color="auto" w:sz="4" w:space="0"/>
            </w:tcBorders>
            <w:tcW w:w="2095" w:type="dxa"/>
            <w:vAlign w:val="center"/>
            <w:textDirection w:val="lrTb"/>
            <w:noWrap w:val="false"/>
          </w:tcPr>
          <w:p>
            <w:pPr>
              <w:jc w:val="center"/>
              <w:spacing w:line="360" w:lineRule="auto"/>
              <w:widowControl/>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规格（mm）</w:t>
            </w:r>
            <w:r/>
          </w:p>
        </w:tc>
        <w:tc>
          <w:tcPr>
            <w:shd w:val="clear" w:color="auto" w:fill="auto"/>
            <w:tcBorders>
              <w:top w:val="single" w:color="auto" w:sz="4" w:space="0"/>
              <w:left w:val="none" w:color="000000" w:sz="4" w:space="0"/>
              <w:bottom w:val="single" w:color="auto" w:sz="4" w:space="0"/>
              <w:right w:val="single" w:color="auto" w:sz="4" w:space="0"/>
            </w:tcBorders>
            <w:tcW w:w="3432" w:type="dxa"/>
            <w:vAlign w:val="center"/>
            <w:textDirection w:val="lrTb"/>
            <w:noWrap w:val="false"/>
          </w:tcPr>
          <w:p>
            <w:pPr>
              <w:jc w:val="center"/>
              <w:spacing w:line="360" w:lineRule="auto"/>
              <w:widowControl/>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参考图片</w:t>
            </w:r>
            <w:r/>
          </w:p>
        </w:tc>
        <w:tc>
          <w:tcPr>
            <w:shd w:val="clear" w:color="auto" w:fill="auto"/>
            <w:tcBorders>
              <w:top w:val="single" w:color="auto" w:sz="4" w:space="0"/>
              <w:left w:val="none" w:color="000000" w:sz="4" w:space="0"/>
              <w:bottom w:val="single" w:color="auto" w:sz="4" w:space="0"/>
              <w:right w:val="single" w:color="auto" w:sz="4" w:space="0"/>
            </w:tcBorders>
            <w:tcW w:w="4191" w:type="dxa"/>
            <w:vAlign w:val="center"/>
            <w:textDirection w:val="lrTb"/>
            <w:noWrap w:val="false"/>
          </w:tcPr>
          <w:p>
            <w:pPr>
              <w:jc w:val="center"/>
              <w:spacing w:line="360" w:lineRule="auto"/>
              <w:widowControl/>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主要材质及参数</w:t>
            </w:r>
            <w:r/>
          </w:p>
        </w:tc>
      </w:tr>
      <w:tr>
        <w:trPr>
          <w:jc w:val="cente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1071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一、床类</w:t>
            </w:r>
            <w:r/>
          </w:p>
        </w:tc>
      </w:tr>
      <w:tr>
        <w:trPr>
          <w:jc w:val="center"/>
          <w:trHeight w:val="688"/>
        </w:trPr>
        <w:tc>
          <w:tcPr>
            <w:shd w:val="clear" w:color="auto" w:fill="auto"/>
            <w:tcBorders>
              <w:top w:val="none" w:color="000000"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两连体上床下柜床</w:t>
            </w:r>
            <w:r/>
          </w:p>
        </w:tc>
        <w:tc>
          <w:tcPr>
            <w:gridSpan w:val="2"/>
            <w:shd w:val="clear" w:color="auto" w:fill="auto"/>
            <w:tcBorders>
              <w:top w:val="none" w:color="000000" w:sz="4" w:space="0"/>
              <w:left w:val="none" w:color="000000" w:sz="4" w:space="0"/>
              <w:bottom w:val="single" w:color="auto" w:sz="4" w:space="0"/>
              <w:right w:val="single" w:color="auto" w:sz="4" w:space="0"/>
            </w:tcBorders>
            <w:tcW w:w="2095"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4000*900*2250</w:t>
            </w:r>
            <w:r/>
          </w:p>
        </w:tc>
        <w:tc>
          <w:tcPr>
            <w:shd w:val="clear" w:color="auto" w:fill="auto"/>
            <w:tcBorders>
              <w:top w:val="none" w:color="000000" w:sz="4" w:space="0"/>
              <w:left w:val="none" w:color="000000" w:sz="4" w:space="0"/>
              <w:bottom w:val="single" w:color="auto" w:sz="4" w:space="0"/>
              <w:right w:val="single" w:color="auto" w:sz="4" w:space="0"/>
            </w:tcBorders>
            <w:tcW w:w="3432"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mc:AlternateContent>
                <mc:Choice Requires="wpg">
                  <w:drawing>
                    <wp:inline xmlns:wp="http://schemas.openxmlformats.org/drawingml/2006/wordprocessingDrawing" distT="0" distB="0" distL="0" distR="0">
                      <wp:extent cx="2113280" cy="1630045"/>
                      <wp:effectExtent l="0" t="0" r="1270" b="8255"/>
                      <wp:docPr id="7" name="图片 2" descr="8763f27a-a9aa-448e-b91f-c91e7ef0b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763f27a-a9aa-448e-b91f-c91e7ef0b114"/>
                              <pic:cNvPicPr>
                                <a:picLocks noChangeAspect="1"/>
                              </pic:cNvPicPr>
                              <pic:nvPr/>
                            </pic:nvPicPr>
                            <pic:blipFill>
                              <a:blip r:embed="rId15"/>
                              <a:stretch/>
                            </pic:blipFill>
                            <pic:spPr bwMode="auto">
                              <a:xfrm>
                                <a:off x="0" y="0"/>
                                <a:ext cx="2113280" cy="163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6.4pt;height:128.3pt;mso-wrap-distance-left:0.0pt;mso-wrap-distance-top:0.0pt;mso-wrap-distance-right:0.0pt;mso-wrap-distance-bottom:0.0pt;" stroked="false">
                      <v:path textboxrect="0,0,0,0"/>
                      <v:imagedata r:id="rId15" o:title=""/>
                    </v:shape>
                  </w:pict>
                </mc:Fallback>
              </mc:AlternateContent>
            </w:r>
            <w:r/>
          </w:p>
        </w:tc>
        <w:tc>
          <w:tcPr>
            <w:shd w:val="clear" w:color="auto" w:fill="auto"/>
            <w:tcBorders>
              <w:top w:val="none" w:color="000000" w:sz="4" w:space="0"/>
              <w:left w:val="none" w:color="000000" w:sz="4" w:space="0"/>
              <w:bottom w:val="single" w:color="auto" w:sz="4" w:space="0"/>
              <w:right w:val="single" w:color="auto" w:sz="4" w:space="0"/>
            </w:tcBorders>
            <w:tcW w:w="4191" w:type="dxa"/>
            <w:vAlign w:val="center"/>
            <w:textDirection w:val="lrTb"/>
            <w:noWrap w:val="false"/>
          </w:tcPr>
          <w:p>
            <w:pPr>
              <w:jc w:val="left"/>
              <w:spacing w:line="360" w:lineRule="auto"/>
              <w:widowControl/>
              <w:rPr>
                <w:rFonts w:ascii="Times New Roman" w:hAnsi="Times New Roman" w:cs="宋体"/>
                <w:color w:val="auto"/>
                <w:szCs w:val="21"/>
                <w:highlight w:val="none"/>
              </w:rPr>
            </w:pPr>
            <w:r/>
            <w:bookmarkStart w:id="69" w:name="RANGE!D4"/>
            <w:r>
              <w:rPr>
                <w:rFonts w:hint="eastAsia" w:ascii="Times New Roman" w:hAnsi="Times New Roman" w:cs="宋体"/>
                <w:color w:val="auto"/>
                <w:szCs w:val="21"/>
                <w:highlight w:val="none"/>
              </w:rPr>
              <w:t xml:space="preserve">一、材质</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1.规格：4000*900*2250mm（床2250高，蚊帐杆800高）；2.四边角立柱：采用65*65</w:t>
            </w:r>
            <w:r>
              <w:rPr>
                <w:rFonts w:hint="eastAsia" w:ascii="Times New Roman" w:hAnsi="Times New Roman" w:cs="宋体"/>
                <w:color w:val="auto"/>
                <w:szCs w:val="21"/>
                <w:highlight w:val="none"/>
              </w:rPr>
              <w:t xml:space="preserve">mm异形管，壁厚1.5mm。外圆弧防碰撞设计，塑料件采用 ABS 工程塑料体注塑成型，完全不含重金属，与立柱连接处光滑、平顺、手感好、无毛刺；3.中间立柱：采用40*80mm矩形管，壁厚1.5mm；4.长床梁：38*85mm异形管，壁厚1.5mm；5.短床梁：30*60mm矩形管，壁厚1.2mm；6.床立柱连接管：30*60mm矩形管，壁厚1.2mm，床后拉杆25*25mm方管，壁厚1.2mm；7.床厅护栏：产品尺寸为1560*350mm，采用优质三聚氰胺饰面板，板材厚度为18mm，一次成型环保PP塑料嵌边</w:t>
            </w:r>
            <w:r>
              <w:rPr>
                <w:rFonts w:hint="eastAsia" w:ascii="Times New Roman" w:hAnsi="Times New Roman" w:cs="宋体"/>
                <w:color w:val="auto"/>
                <w:szCs w:val="21"/>
                <w:highlight w:val="none"/>
              </w:rPr>
              <w:t xml:space="preserve">，</w:t>
            </w:r>
            <w:r>
              <w:rPr>
                <w:rFonts w:hint="eastAsia" w:ascii="Times New Roman" w:hAnsi="Times New Roman" w:cs="宋体"/>
                <w:b/>
                <w:color w:val="auto"/>
                <w:szCs w:val="21"/>
                <w:highlight w:val="none"/>
              </w:rPr>
              <w:t xml:space="preserve">护栏内侧横向标出安全警示线（红色），即限制床褥最大厚度的永久性标记线，安全警示线到安全栏板顶边的距离≥200mm（误差±5mm）</w:t>
            </w:r>
            <w:r>
              <w:rPr>
                <w:rFonts w:hint="eastAsia" w:ascii="Times New Roman" w:hAnsi="Times New Roman" w:cs="宋体"/>
                <w:color w:val="auto"/>
                <w:szCs w:val="21"/>
                <w:highlight w:val="none"/>
              </w:rPr>
              <w:t xml:space="preserve">；8.床头护栏：床头横管采用30*30mm方管，壁厚1.2mm，内嵌18mm厚三聚氰胺免漆板；9.床板横撑：采用25*25</w:t>
            </w:r>
            <w:bookmarkStart w:id="70" w:name="OLE_LINK22"/>
            <w:r/>
            <w:bookmarkStart w:id="71" w:name="OLE_LINK23"/>
            <w:r>
              <w:rPr>
                <w:rFonts w:hint="eastAsia" w:ascii="Times New Roman" w:hAnsi="Times New Roman" w:cs="宋体"/>
                <w:color w:val="auto"/>
                <w:szCs w:val="21"/>
                <w:highlight w:val="none"/>
              </w:rPr>
              <w:t xml:space="preserve">mm</w:t>
            </w:r>
            <w:bookmarkEnd w:id="70"/>
            <w:r/>
            <w:bookmarkEnd w:id="71"/>
            <w:r>
              <w:rPr>
                <w:rFonts w:hint="eastAsia" w:ascii="Times New Roman" w:hAnsi="Times New Roman" w:cs="宋体"/>
                <w:color w:val="auto"/>
                <w:szCs w:val="21"/>
                <w:highlight w:val="none"/>
              </w:rPr>
              <w:t xml:space="preserve">方管，壁厚1.2mm，数量不少于5根，安装牢固，承重强度大，能确保安全；10.爬梯：爬梯扶手采用40mm×20mm×1.2mm椭圆管，经过数控弯管机弯曲成型。爬梯踏板采用2.0mm厚冷轧钢板冲压成型，踏板上安装优质PP塑料防滑板；11.蚊帐架：立柱采用Φ19*1.2mm圆管，横梁采用Φ16*1.2mm圆管。</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二、工艺：</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焊接涂装要求：所有金属件做到焊接平整、满焊、无虚焊、无明显焊疤、焊接处需光滑。外露金属件表面喷塑前进行抛丸打砂工艺处理，静电粉末喷塑，高温烘烤，涂层与金属表面的附着力强，不易腐蚀和脱落，涂装件不得有明显的气泡、流痕、漏底、皱皮和其它损伤。</w:t>
            </w:r>
            <w:bookmarkEnd w:id="69"/>
            <w:r/>
            <w:r/>
          </w:p>
        </w:tc>
      </w:tr>
      <w:tr>
        <w:trPr>
          <w:jc w:val="center"/>
          <w:trHeight w:val="7290"/>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单人床</w:t>
            </w:r>
            <w:r/>
          </w:p>
        </w:tc>
        <w:tc>
          <w:tcPr>
            <w:gridSpan w:val="2"/>
            <w:shd w:val="clear" w:color="auto" w:fill="auto"/>
            <w:tcBorders>
              <w:top w:val="single" w:color="auto" w:sz="4" w:space="0"/>
              <w:left w:val="single" w:color="auto" w:sz="4" w:space="0"/>
              <w:bottom w:val="single" w:color="auto" w:sz="4" w:space="0"/>
              <w:right w:val="single" w:color="auto" w:sz="4" w:space="0"/>
            </w:tcBorders>
            <w:tcW w:w="2095" w:type="dxa"/>
            <w:vAlign w:val="center"/>
            <w:textDirection w:val="lrTb"/>
            <w:noWrap w:val="false"/>
          </w:tcPr>
          <w:p>
            <w:pPr>
              <w:jc w:val="center"/>
              <w:spacing w:line="360" w:lineRule="auto"/>
              <w:widowControl/>
              <w:rPr>
                <w:rFonts w:ascii="Times New Roman" w:hAnsi="Times New Roman" w:cs="宋体"/>
                <w:color w:val="auto"/>
                <w:szCs w:val="21"/>
                <w:highlight w:val="none"/>
              </w:rPr>
            </w:pPr>
            <w:r/>
            <w:bookmarkStart w:id="72" w:name="RANGE!B5"/>
            <w:r>
              <w:rPr>
                <w:rFonts w:hint="eastAsia" w:ascii="Times New Roman" w:hAnsi="Times New Roman" w:cs="宋体"/>
                <w:color w:val="auto"/>
                <w:szCs w:val="21"/>
                <w:highlight w:val="none"/>
              </w:rPr>
              <w:t xml:space="preserve">2000*900*740</w:t>
            </w:r>
            <w:bookmarkEnd w:id="72"/>
            <w:r/>
            <w:r/>
          </w:p>
        </w:tc>
        <w:tc>
          <w:tcPr>
            <w:shd w:val="clear" w:color="auto" w:fill="auto"/>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615950</wp:posOffset>
                      </wp:positionH>
                      <wp:positionV relativeFrom="paragraph">
                        <wp:posOffset>1240155</wp:posOffset>
                      </wp:positionV>
                      <wp:extent cx="1104900" cy="1628775"/>
                      <wp:effectExtent l="0" t="0" r="0" b="9525"/>
                      <wp:wrapNone/>
                      <wp:docPr id="8" name="图片 163" descr="说明: 1746776616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63" descr="说明: 1746776616561"/>
                              <pic:cNvPicPr>
                                <a:picLocks noChangeAspect="1"/>
                              </pic:cNvPicPr>
                              <pic:nvPr/>
                            </pic:nvPicPr>
                            <pic:blipFill>
                              <a:blip r:embed="rId16"/>
                              <a:stretch/>
                            </pic:blipFill>
                            <pic:spPr bwMode="auto">
                              <a:xfrm>
                                <a:off x="0" y="0"/>
                                <a:ext cx="1104900" cy="162877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0528;o:allowoverlap:true;o:allowincell:true;mso-position-horizontal-relative:text;margin-left:48.5pt;mso-position-horizontal:absolute;mso-position-vertical-relative:text;margin-top:97.6pt;mso-position-vertical:absolute;width:87.0pt;height:128.2pt;mso-wrap-distance-left:9.0pt;mso-wrap-distance-top:0.0pt;mso-wrap-distance-right:9.0pt;mso-wrap-distance-bottom:0.0pt;" stroked="false">
                      <v:path textboxrect="0,0,0,0"/>
                      <v:imagedata r:id="rId16" o:title=""/>
                    </v:shape>
                  </w:pict>
                </mc:Fallback>
              </mc:AlternateContent>
            </w:r>
            <w:r>
              <w:rPr>
                <w:rFonts w:hint="eastAsia" w:ascii="Times New Roman" w:hAnsi="Times New Roman"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305435</wp:posOffset>
                      </wp:positionH>
                      <wp:positionV relativeFrom="paragraph">
                        <wp:posOffset>-64135</wp:posOffset>
                      </wp:positionV>
                      <wp:extent cx="1685925" cy="1304925"/>
                      <wp:effectExtent l="0" t="0" r="9525" b="9525"/>
                      <wp:wrapNone/>
                      <wp:docPr id="9" name="图片 164" descr="说明: 1746776585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64" descr="说明: 1746776585672"/>
                              <pic:cNvPicPr>
                                <a:picLocks noChangeAspect="1"/>
                              </pic:cNvPicPr>
                              <pic:nvPr/>
                            </pic:nvPicPr>
                            <pic:blipFill>
                              <a:blip r:embed="rId17"/>
                              <a:stretch/>
                            </pic:blipFill>
                            <pic:spPr bwMode="auto">
                              <a:xfrm>
                                <a:off x="0" y="0"/>
                                <a:ext cx="1685925" cy="130492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2576;o:allowoverlap:true;o:allowincell:true;mso-position-horizontal-relative:text;margin-left:24.0pt;mso-position-horizontal:absolute;mso-position-vertical-relative:text;margin-top:-5.0pt;mso-position-vertical:absolute;width:132.8pt;height:102.8pt;mso-wrap-distance-left:9.0pt;mso-wrap-distance-top:0.0pt;mso-wrap-distance-right:9.0pt;mso-wrap-distance-bottom:0.0pt;" stroked="false">
                      <v:path textboxrect="0,0,0,0"/>
                      <v:imagedata r:id="rId17" o:title=""/>
                    </v:shape>
                  </w:pict>
                </mc:Fallback>
              </mc:AlternateContent>
            </w:r>
            <w:r>
              <w:rPr>
                <w:rFonts w:hint="eastAsia" w:ascii="Times New Roman" w:hAnsi="Times New Roman"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213360</wp:posOffset>
                      </wp:positionH>
                      <wp:positionV relativeFrom="paragraph">
                        <wp:posOffset>2938145</wp:posOffset>
                      </wp:positionV>
                      <wp:extent cx="1876425" cy="1495425"/>
                      <wp:effectExtent l="0" t="0" r="9525" b="9525"/>
                      <wp:wrapNone/>
                      <wp:docPr id="10" name="图片 165" descr="说明: 1746776567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65" descr="说明: 1746776567038"/>
                              <pic:cNvPicPr>
                                <a:picLocks noChangeAspect="1"/>
                              </pic:cNvPicPr>
                              <pic:nvPr/>
                            </pic:nvPicPr>
                            <pic:blipFill>
                              <a:blip r:embed="rId18"/>
                              <a:stretch/>
                            </pic:blipFill>
                            <pic:spPr bwMode="auto">
                              <a:xfrm>
                                <a:off x="0" y="0"/>
                                <a:ext cx="1876425" cy="149542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3600;o:allowoverlap:true;o:allowincell:true;mso-position-horizontal-relative:text;margin-left:16.8pt;mso-position-horizontal:absolute;mso-position-vertical-relative:text;margin-top:231.3pt;mso-position-vertical:absolute;width:147.8pt;height:117.8pt;mso-wrap-distance-left:9.0pt;mso-wrap-distance-top:0.0pt;mso-wrap-distance-right:9.0pt;mso-wrap-distance-bottom:0.0pt;" stroked="false">
                      <v:path textboxrect="0,0,0,0"/>
                      <v:imagedata r:id="rId18"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4191" w:type="dxa"/>
            <w:vAlign w:val="center"/>
            <w:textDirection w:val="lrTb"/>
            <w:noWrap w:val="false"/>
          </w:tcPr>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一、材质：</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床架：立柱采用Φ42×1.5mm圆钢管一次折弯成型；上连接横梁采用Φ25×1.2mm圆钢管，下连接横梁采用20*20*1.0mm方钢管；连接立管采用Φ16×1.0mm圆钢管。2.床框：横梁采用25×50×1.2mm扁钢管。3.床板支撑：采用25×25×1.2mm方钢管，不少于5根。4.鞋架：采用20*20*1.0mm方钢管。5.蚊帐架：采用Φ16×1.0mm钢束管插入；总高度1200mm。6.脚垫：塑胶材质脚套，固定不脱落，平稳防滑防噪音。</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二、工艺：</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焊接涂装要求：所有金属件做到焊接平整、满焊、无虚焊、无明显焊疤、焊接处需光滑。外露金属件表面喷塑前进行抛丸打砂工艺处理，静电粉末喷塑（黑色亮光），高温烘烤，涂层与金属表面的附着力强，不易腐蚀和脱落，涂装件不得有明显的气泡、流痕、漏底、皱皮和其它损伤。</w:t>
            </w:r>
            <w:r/>
          </w:p>
        </w:tc>
      </w:tr>
      <w:tr>
        <w:trPr>
          <w:jc w:val="center"/>
          <w:trHeight w:val="1440"/>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床板</w:t>
            </w:r>
            <w:r/>
          </w:p>
        </w:tc>
        <w:tc>
          <w:tcPr>
            <w:gridSpan w:val="2"/>
            <w:shd w:val="clear" w:color="auto" w:fill="auto"/>
            <w:tcBorders>
              <w:top w:val="single" w:color="auto" w:sz="4" w:space="0"/>
              <w:left w:val="single" w:color="auto" w:sz="4" w:space="0"/>
              <w:bottom w:val="single" w:color="auto" w:sz="4" w:space="0"/>
              <w:right w:val="single" w:color="auto" w:sz="4" w:space="0"/>
            </w:tcBorders>
            <w:tcW w:w="2095"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1940*820*40</w:t>
            </w:r>
            <w:r/>
          </w:p>
        </w:tc>
        <w:tc>
          <w:tcPr>
            <w:shd w:val="clear" w:color="auto" w:fill="auto"/>
            <w:tcBorders>
              <w:top w:val="single" w:color="auto" w:sz="4" w:space="0"/>
              <w:left w:val="none" w:color="000000" w:sz="4" w:space="0"/>
              <w:bottom w:val="single" w:color="auto" w:sz="4" w:space="0"/>
              <w:right w:val="none" w:color="000000" w:sz="4" w:space="0"/>
            </w:tcBorders>
            <w:tcW w:w="3432" w:type="dxa"/>
            <w:vAlign w:val="center"/>
            <w:vMerge w:val="restart"/>
            <w:textDirection w:val="lrTb"/>
            <w:noWrap/>
          </w:tcPr>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183515</wp:posOffset>
                      </wp:positionH>
                      <wp:positionV relativeFrom="paragraph">
                        <wp:posOffset>69850</wp:posOffset>
                      </wp:positionV>
                      <wp:extent cx="1781175" cy="800100"/>
                      <wp:effectExtent l="0" t="0" r="9525" b="0"/>
                      <wp:wrapNone/>
                      <wp:docPr id="11"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66"/>
                              <pic:cNvPicPr>
                                <a:picLocks noChangeAspect="1"/>
                              </pic:cNvPicPr>
                              <pic:nvPr/>
                            </pic:nvPicPr>
                            <pic:blipFill>
                              <a:blip r:embed="rId19"/>
                              <a:srcRect l="9110" t="22791" r="33126" b="19534"/>
                              <a:stretch/>
                            </pic:blipFill>
                            <pic:spPr bwMode="auto">
                              <a:xfrm>
                                <a:off x="0" y="0"/>
                                <a:ext cx="1781175" cy="8001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5648;o:allowoverlap:true;o:allowincell:true;mso-position-horizontal-relative:text;margin-left:14.4pt;mso-position-horizontal:absolute;mso-position-vertical-relative:text;margin-top:5.5pt;mso-position-vertical:absolute;width:140.2pt;height:63.0pt;mso-wrap-distance-left:9.0pt;mso-wrap-distance-top:0.0pt;mso-wrap-distance-right:9.0pt;mso-wrap-distance-bottom:0.0pt;" stroked="f" strokeweight="0.75pt">
                      <v:path textboxrect="0,0,0,0"/>
                      <v:imagedata r:id="rId19"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4191" w:type="dxa"/>
            <w:vAlign w:val="center"/>
            <w:vMerge w:val="restart"/>
            <w:textDirection w:val="lrTb"/>
            <w:noWrap w:val="false"/>
          </w:tcPr>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一、材质：</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1.外框：采用40*40mm杉木实木边框，边框用杉木木樵连接；2.床托：床托35*24mm杉木木方（4根)，边框用木樵连接。3.床板条：厚度≥15mm的环保实木杉木铺板（7根）；每块宽80mm。</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二、工艺要求：</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所用木材需进行防虫、除脂、干燥处理；表面平整光滑、无断裂、结巴；板条两侧倒角处理；木板不可漏钉、透钉末端要求环头处理。</w:t>
            </w:r>
            <w:r/>
          </w:p>
        </w:tc>
      </w:tr>
      <w:tr>
        <w:trPr>
          <w:jc w:val="cente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10716"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二、木质家具</w:t>
            </w:r>
            <w:r/>
          </w:p>
        </w:tc>
      </w:tr>
      <w:tr>
        <w:trPr>
          <w:jc w:val="center"/>
          <w:trHeight w:val="688"/>
        </w:trPr>
        <w:tc>
          <w:tcPr>
            <w:shd w:val="clear" w:color="auto" w:fill="auto"/>
            <w:tcBorders>
              <w:top w:val="none" w:color="000000"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上床下柜连体橱柜</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1940*600*1770</w:t>
            </w:r>
            <w:r/>
          </w:p>
        </w:tc>
        <w:tc>
          <w:tcPr>
            <w:gridSpan w:val="2"/>
            <w:shd w:val="clear" w:color="auto" w:fill="auto"/>
            <w:tcBorders>
              <w:top w:val="none" w:color="000000" w:sz="4" w:space="0"/>
              <w:left w:val="none" w:color="000000" w:sz="4" w:space="0"/>
              <w:bottom w:val="single" w:color="auto" w:sz="4" w:space="0"/>
              <w:right w:val="single" w:color="auto" w:sz="4" w:space="0"/>
            </w:tcBorders>
            <w:tcW w:w="3543"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191" w:type="dxa"/>
            <w:vAlign w:val="center"/>
            <w:textDirection w:val="lrTb"/>
            <w:noWrap w:val="false"/>
          </w:tcPr>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一、材质：</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面材：优质三聚氰胺浸渍胶膜纸饰面（浅色直纹木饰面），具有色泽鲜亮、表面光滑（柔光），无结疤、死结、黑线等瑕疵，木纹清晰顺滑。2.基材：E1级环保实木颗粒板，桌面板材厚度不小于25mm；其他板材不小于18mm厚，甲醛释放量≤0.124mg/m³。3.封边：同色PVC封边条，全自动无缝封边技术，采用热熔胶经200℃高温压制于边部，有效防止水气侵入。4.五金配件：不锈钢五金件，连接结实牢固；衣柜内配置不锈钢挂衣杆。</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-2268220</wp:posOffset>
                      </wp:positionH>
                      <wp:positionV relativeFrom="paragraph">
                        <wp:posOffset>-1090295</wp:posOffset>
                      </wp:positionV>
                      <wp:extent cx="2105025" cy="1800225"/>
                      <wp:effectExtent l="0" t="0" r="9525" b="9525"/>
                      <wp:wrapNone/>
                      <wp:docPr id="12"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67"/>
                              <pic:cNvPicPr>
                                <a:picLocks noChangeAspect="1"/>
                              </pic:cNvPicPr>
                              <pic:nvPr/>
                            </pic:nvPicPr>
                            <pic:blipFill>
                              <a:blip r:embed="rId20"/>
                              <a:stretch/>
                            </pic:blipFill>
                            <pic:spPr bwMode="auto">
                              <a:xfrm>
                                <a:off x="0" y="0"/>
                                <a:ext cx="2105025" cy="18002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7696;o:allowoverlap:true;o:allowincell:true;mso-position-horizontal-relative:text;margin-left:-178.6pt;mso-position-horizontal:absolute;mso-position-vertical-relative:text;margin-top:-85.8pt;mso-position-vertical:absolute;width:165.8pt;height:141.8pt;mso-wrap-distance-left:9.0pt;mso-wrap-distance-top:0.0pt;mso-wrap-distance-right:9.0pt;mso-wrap-distance-bottom:0.0pt;" stroked="f" strokeweight="0.75pt">
                      <v:path textboxrect="0,0,0,0"/>
                      <v:imagedata r:id="rId20" o:title=""/>
                    </v:shape>
                  </w:pict>
                </mc:Fallback>
              </mc:AlternateContent>
            </w:r>
            <w:r>
              <w:rPr>
                <w:rFonts w:hint="eastAsia" w:ascii="Times New Roman" w:hAnsi="Times New Roman" w:cs="宋体"/>
                <w:color w:val="auto"/>
                <w:szCs w:val="21"/>
                <w:highlight w:val="none"/>
              </w:rPr>
              <w:t xml:space="preserve">二、工艺：</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整体结构稳固，门扇开启灵活、闭合密实、抽屉抽</w:t>
            </w:r>
            <w:r>
              <w:rPr>
                <w:rFonts w:hint="eastAsia" w:ascii="Times New Roman" w:hAnsi="Times New Roman" w:cs="宋体"/>
                <w:color w:val="auto"/>
                <w:szCs w:val="21"/>
                <w:highlight w:val="none"/>
              </w:rPr>
              <w:t xml:space="preserve">拉灵活。</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b/>
                <w:bCs/>
                <w:color w:val="auto"/>
                <w:szCs w:val="21"/>
                <w:highlight w:val="none"/>
              </w:rPr>
              <w:t xml:space="preserve">（分左右方向，中标后现场核查后确认。）</w:t>
            </w:r>
            <w:r/>
          </w:p>
        </w:tc>
      </w:tr>
      <w:tr>
        <w:trPr>
          <w:jc w:val="center"/>
          <w:trHeight w:val="3405"/>
        </w:trPr>
        <w:tc>
          <w:tcPr>
            <w:shd w:val="clear" w:color="auto" w:fill="auto"/>
            <w:tcBorders>
              <w:top w:val="none" w:color="000000"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widowControl/>
              <w:rPr>
                <w:rFonts w:ascii="Times New Roman" w:hAnsi="Times New Roman" w:cs="宋体"/>
                <w:color w:val="auto"/>
                <w:szCs w:val="21"/>
                <w:highlight w:val="none"/>
              </w:rPr>
            </w:pPr>
            <w:r/>
            <w:bookmarkStart w:id="73" w:name="OLE_LINK8"/>
            <w:r/>
            <w:bookmarkStart w:id="74" w:name="OLE_LINK9"/>
            <w:r>
              <w:rPr>
                <w:rFonts w:hint="eastAsia" w:ascii="Times New Roman" w:hAnsi="Times New Roman" w:cs="宋体"/>
                <w:color w:val="auto"/>
                <w:szCs w:val="21"/>
                <w:highlight w:val="none"/>
              </w:rPr>
              <w:t xml:space="preserve">单人位自修桌</w:t>
            </w:r>
            <w:bookmarkEnd w:id="73"/>
            <w:r/>
            <w:bookmarkEnd w:id="74"/>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widowControl/>
              <w:rPr>
                <w:rFonts w:ascii="Times New Roman" w:hAnsi="Times New Roman" w:cs="宋体"/>
                <w:color w:val="auto"/>
                <w:szCs w:val="21"/>
                <w:highlight w:val="none"/>
              </w:rPr>
            </w:pPr>
            <w:r/>
            <w:bookmarkStart w:id="75" w:name="OLE_LINK10"/>
            <w:r/>
            <w:bookmarkStart w:id="76" w:name="OLE_LINK11"/>
            <w:r>
              <w:rPr>
                <w:rFonts w:hint="eastAsia" w:ascii="Times New Roman" w:hAnsi="Times New Roman" w:cs="宋体"/>
                <w:color w:val="auto"/>
                <w:szCs w:val="21"/>
                <w:highlight w:val="none"/>
              </w:rPr>
              <w:t xml:space="preserve">750*600*1860</w:t>
            </w:r>
            <w:bookmarkEnd w:id="75"/>
            <w:r/>
            <w:bookmarkEnd w:id="76"/>
            <w:r/>
            <w:r/>
          </w:p>
        </w:tc>
        <w:tc>
          <w:tcPr>
            <w:gridSpan w:val="2"/>
            <w:shd w:val="clear" w:color="auto" w:fill="auto"/>
            <w:tcBorders>
              <w:top w:val="none" w:color="000000" w:sz="4" w:space="0"/>
              <w:left w:val="none" w:color="000000" w:sz="4" w:space="0"/>
              <w:bottom w:val="single" w:color="auto" w:sz="4" w:space="0"/>
              <w:right w:val="single" w:color="auto" w:sz="4" w:space="0"/>
            </w:tcBorders>
            <w:tcW w:w="3543"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338455</wp:posOffset>
                      </wp:positionH>
                      <wp:positionV relativeFrom="paragraph">
                        <wp:posOffset>67945</wp:posOffset>
                      </wp:positionV>
                      <wp:extent cx="1666875" cy="1952625"/>
                      <wp:effectExtent l="0" t="0" r="9525" b="9525"/>
                      <wp:wrapNone/>
                      <wp:docPr id="13" name="图片 168"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68" descr="图片2"/>
                              <pic:cNvPicPr>
                                <a:picLocks noChangeAspect="1"/>
                              </pic:cNvPicPr>
                              <pic:nvPr/>
                            </pic:nvPicPr>
                            <pic:blipFill>
                              <a:blip r:embed="rId21"/>
                              <a:stretch/>
                            </pic:blipFill>
                            <pic:spPr bwMode="auto">
                              <a:xfrm>
                                <a:off x="0" y="0"/>
                                <a:ext cx="1666875" cy="19526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9744;o:allowoverlap:true;o:allowincell:true;mso-position-horizontal-relative:text;margin-left:26.6pt;mso-position-horizontal:absolute;mso-position-vertical-relative:text;margin-top:5.3pt;mso-position-vertical:absolute;width:131.2pt;height:153.8pt;mso-wrap-distance-left:9.0pt;mso-wrap-distance-top:0.0pt;mso-wrap-distance-right:9.0pt;mso-wrap-distance-bottom:0.0pt;" stroked="false">
                      <v:path textboxrect="0,0,0,0"/>
                      <v:imagedata r:id="rId21" o:title=""/>
                    </v:shape>
                  </w:pict>
                </mc:Fallback>
              </mc:AlternateContent>
            </w:r>
            <w:r/>
          </w:p>
        </w:tc>
        <w:tc>
          <w:tcPr>
            <w:shd w:val="clear" w:color="auto" w:fill="auto"/>
            <w:tcBorders>
              <w:top w:val="none" w:color="000000" w:sz="4" w:space="0"/>
              <w:left w:val="none" w:color="000000" w:sz="4" w:space="0"/>
              <w:bottom w:val="single" w:color="auto" w:sz="4" w:space="0"/>
              <w:right w:val="single" w:color="auto" w:sz="4" w:space="0"/>
            </w:tcBorders>
            <w:tcW w:w="4191" w:type="dxa"/>
            <w:vAlign w:val="center"/>
            <w:textDirection w:val="lrTb"/>
            <w:noWrap w:val="false"/>
          </w:tcPr>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一、材质：</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面材：优质三聚氰胺浸渍胶膜纸饰面（浅色直纹木饰面），具有色泽鲜亮、表面光滑（柔光），无结疤、死结、黑线等瑕疵，木纹清晰顺滑。2.基材：E1级环保实木颗粒板，桌面板材厚度不小于25mm；其他板材不小于18mm厚，甲醛释放量≤0.124mg/m³。3.封边：同色PVC封边条，全自动无缝封边技术，采用热熔胶经200℃高温压制于边部，有效防止水气侵入。4.五金配件：不锈钢五金件，连接结实牢固。</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二、工艺：</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整体结构稳固、键盘抽拉灵活、无噪声。</w:t>
            </w:r>
            <w:r/>
          </w:p>
        </w:tc>
      </w:tr>
      <w:tr>
        <w:trPr>
          <w:jc w:val="center"/>
          <w:trHeight w:val="405"/>
        </w:trPr>
        <w:tc>
          <w:tcPr>
            <w:shd w:val="clear" w:color="auto" w:fill="auto"/>
            <w:tcBorders>
              <w:top w:val="none" w:color="000000"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L形矮柜</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2900*500*920/1300*500*920</w:t>
            </w:r>
            <w:r/>
          </w:p>
        </w:tc>
        <w:tc>
          <w:tcPr>
            <w:gridSpan w:val="2"/>
            <w:shd w:val="clear" w:color="auto" w:fill="auto"/>
            <w:tcBorders>
              <w:top w:val="none" w:color="000000" w:sz="4" w:space="0"/>
              <w:left w:val="none" w:color="000000" w:sz="4" w:space="0"/>
              <w:bottom w:val="single" w:color="auto" w:sz="4" w:space="0"/>
              <w:right w:val="single" w:color="auto" w:sz="4" w:space="0"/>
            </w:tcBorders>
            <w:tcW w:w="3543"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63500</wp:posOffset>
                      </wp:positionH>
                      <wp:positionV relativeFrom="paragraph">
                        <wp:posOffset>41275</wp:posOffset>
                      </wp:positionV>
                      <wp:extent cx="2094230" cy="1158875"/>
                      <wp:effectExtent l="0" t="0" r="1270" b="3175"/>
                      <wp:wrapNone/>
                      <wp:docPr id="14"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69"/>
                              <pic:cNvPicPr>
                                <a:picLocks noChangeAspect="1"/>
                              </pic:cNvPicPr>
                              <pic:nvPr/>
                            </pic:nvPicPr>
                            <pic:blipFill>
                              <a:blip r:embed="rId22"/>
                              <a:stretch/>
                            </pic:blipFill>
                            <pic:spPr bwMode="auto">
                              <a:xfrm>
                                <a:off x="0" y="0"/>
                                <a:ext cx="2094230" cy="115887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0768;o:allowoverlap:true;o:allowincell:true;mso-position-horizontal-relative:text;margin-left:5.0pt;mso-position-horizontal:absolute;mso-position-vertical-relative:text;margin-top:3.2pt;mso-position-vertical:absolute;width:164.9pt;height:91.2pt;mso-wrap-distance-left:9.0pt;mso-wrap-distance-top:0.0pt;mso-wrap-distance-right:9.0pt;mso-wrap-distance-bottom:0.0pt;" stroked="false">
                      <v:path textboxrect="0,0,0,0"/>
                      <v:imagedata r:id="rId22" o:title=""/>
                    </v:shape>
                  </w:pict>
                </mc:Fallback>
              </mc:AlternateContent>
            </w:r>
            <w:r/>
          </w:p>
        </w:tc>
        <w:tc>
          <w:tcPr>
            <w:shd w:val="clear" w:color="auto" w:fill="auto"/>
            <w:tcBorders>
              <w:top w:val="none" w:color="000000" w:sz="4" w:space="0"/>
              <w:left w:val="none" w:color="000000" w:sz="4" w:space="0"/>
              <w:bottom w:val="single" w:color="auto" w:sz="4" w:space="0"/>
              <w:right w:val="single" w:color="auto" w:sz="4" w:space="0"/>
            </w:tcBorders>
            <w:tcW w:w="4191" w:type="dxa"/>
            <w:vAlign w:val="center"/>
            <w:textDirection w:val="lrTb"/>
            <w:noWrap w:val="false"/>
          </w:tcPr>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一、材质：</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面材：优质三聚氰胺浸渍胶膜纸饰面（浅色直纹木饰面），具有色泽鲜亮、表面光滑（柔光），无结疤、死结、黑线等瑕疵，木纹清晰顺滑。2.基材：E1级环保实木颗粒板，台面板材厚度不小于25mm；其他板材不小于18mm厚，甲醛释放量≤0.124mg/m³。3.封边：同色PVC封边条，全自动无缝封边技术，采用热熔胶经200℃高温压制于边部，有效防止水气侵入。4.五金配件：不锈钢五金件，连接结实牢固。</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二、工艺：</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整体结</w:t>
            </w:r>
            <w:r>
              <w:rPr>
                <w:rFonts w:hint="eastAsia" w:ascii="Times New Roman" w:hAnsi="Times New Roman" w:cs="宋体"/>
                <w:color w:val="auto"/>
                <w:szCs w:val="21"/>
                <w:highlight w:val="none"/>
              </w:rPr>
              <w:t xml:space="preserve">构稳固、门扇对开设计、内置层板。</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w:t>
            </w:r>
            <w:r>
              <w:rPr>
                <w:rFonts w:hint="eastAsia" w:ascii="Times New Roman" w:hAnsi="Times New Roman" w:cs="宋体"/>
                <w:b/>
                <w:bCs/>
                <w:color w:val="auto"/>
                <w:szCs w:val="21"/>
                <w:highlight w:val="none"/>
              </w:rPr>
              <w:t xml:space="preserve">分左右方向，中标后现场核查后确认</w:t>
            </w:r>
            <w:r>
              <w:rPr>
                <w:rFonts w:hint="eastAsia" w:ascii="Times New Roman" w:hAnsi="Times New Roman" w:cs="宋体"/>
                <w:color w:val="auto"/>
                <w:szCs w:val="21"/>
                <w:highlight w:val="none"/>
              </w:rPr>
              <w:t xml:space="preserve">）</w:t>
            </w:r>
            <w:r>
              <w:rPr>
                <w:rFonts w:hint="eastAsia" w:ascii="Times New Roman" w:hAnsi="Times New Roman" w:cs="宋体"/>
                <w:b/>
                <w:bCs/>
                <w:color w:val="auto"/>
                <w:szCs w:val="21"/>
                <w:highlight w:val="none"/>
              </w:rPr>
              <w:t xml:space="preserve">。</w:t>
            </w:r>
            <w:r/>
          </w:p>
        </w:tc>
      </w:tr>
      <w:tr>
        <w:trPr>
          <w:jc w:val="center"/>
          <w:trHeight w:val="4320"/>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四门衣柜</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1000*500*2000</w:t>
            </w:r>
            <w:r/>
          </w:p>
        </w:tc>
        <w:tc>
          <w:tcPr>
            <w:gridSpan w:val="2"/>
            <w:shd w:val="clear" w:color="auto" w:fill="auto"/>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288290</wp:posOffset>
                      </wp:positionH>
                      <wp:positionV relativeFrom="paragraph">
                        <wp:posOffset>123190</wp:posOffset>
                      </wp:positionV>
                      <wp:extent cx="1657350" cy="2543175"/>
                      <wp:effectExtent l="0" t="0" r="0" b="9525"/>
                      <wp:wrapNone/>
                      <wp:docPr id="15"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70"/>
                              <pic:cNvPicPr>
                                <a:picLocks noChangeAspect="1"/>
                              </pic:cNvPicPr>
                              <pic:nvPr/>
                            </pic:nvPicPr>
                            <pic:blipFill>
                              <a:blip r:embed="rId23"/>
                              <a:stretch/>
                            </pic:blipFill>
                            <pic:spPr bwMode="auto">
                              <a:xfrm flipH="1">
                                <a:off x="0" y="0"/>
                                <a:ext cx="1657350" cy="25431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1792;o:allowoverlap:true;o:allowincell:true;mso-position-horizontal-relative:text;margin-left:22.7pt;mso-position-horizontal:absolute;mso-position-vertical-relative:text;margin-top:9.7pt;mso-position-vertical:absolute;width:130.5pt;height:200.2pt;mso-wrap-distance-left:9.0pt;mso-wrap-distance-top:0.0pt;mso-wrap-distance-right:9.0pt;mso-wrap-distance-bottom:0.0pt;flip:x;" stroked="f" strokeweight="0.75pt">
                      <v:path textboxrect="0,0,0,0"/>
                      <v:imagedata r:id="rId23"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4191" w:type="dxa"/>
            <w:vAlign w:val="center"/>
            <w:textDirection w:val="lrTb"/>
            <w:noWrap w:val="false"/>
          </w:tcPr>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一、材质：</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面材：优质三聚氰胺浸渍胶膜纸饰面（浅色直纹木饰面），具有色泽鲜亮、表面光滑（柔光），无结疤、死结、黑线等瑕疵，木纹清晰顺滑。2.基材：E1级环保实木颗粒板，板材厚度不小于18mm；甲醛释放量≤0.124mg/m³。</w:t>
            </w:r>
            <w:r>
              <w:rPr>
                <w:rFonts w:hint="eastAsia" w:ascii="Times New Roman" w:hAnsi="Times New Roman" w:cs="宋体"/>
                <w:color w:val="auto"/>
                <w:szCs w:val="21"/>
                <w:highlight w:val="none"/>
              </w:rPr>
              <w:br/>
            </w:r>
            <w:r>
              <w:rPr>
                <w:rFonts w:hint="eastAsia" w:ascii="Times New Roman" w:hAnsi="Times New Roman" w:cs="宋体"/>
                <w:color w:val="auto"/>
                <w:szCs w:val="21"/>
                <w:highlight w:val="none"/>
              </w:rPr>
              <w:t xml:space="preserve">3.封边：同色PVC封边条，全自动无缝封边技术，采用热熔胶经200℃高温压制于边部，有效防止水气侵入。4.五金配件：不锈钢阻尼缓冲门铰；不锈钢拉手，衣柜内配置不锈钢挂衣杆。</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二、工艺：</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整体结构稳固，每扇门板为独立开启扇；门扇开启灵活、闭合密实；每扇门配锁扣，可以用来加装明装挂锁。</w:t>
            </w:r>
            <w:r/>
          </w:p>
        </w:tc>
      </w:tr>
      <w:tr>
        <w:trPr>
          <w:jc w:val="center"/>
          <w:trHeight w:val="4200"/>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单人位学习桌</w:t>
            </w:r>
            <w:r/>
          </w:p>
        </w:tc>
        <w:tc>
          <w:tcPr>
            <w:shd w:val="clear" w:color="auto" w:fill="auto"/>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750*550*750</w:t>
            </w:r>
            <w:r/>
          </w:p>
        </w:tc>
        <w:tc>
          <w:tcPr>
            <w:gridSpan w:val="2"/>
            <w:shd w:val="clear" w:color="auto" w:fill="auto"/>
            <w:tcBorders>
              <w:top w:val="single" w:color="auto" w:sz="4" w:space="0"/>
              <w:left w:val="none" w:color="000000" w:sz="4" w:space="0"/>
              <w:bottom w:val="single" w:color="auto" w:sz="4" w:space="0"/>
              <w:right w:val="single" w:color="auto" w:sz="4" w:space="0"/>
            </w:tcBorders>
            <w:tcW w:w="3543"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89535</wp:posOffset>
                      </wp:positionH>
                      <wp:positionV relativeFrom="paragraph">
                        <wp:posOffset>15875</wp:posOffset>
                      </wp:positionV>
                      <wp:extent cx="1924050" cy="935355"/>
                      <wp:effectExtent l="0" t="0" r="0" b="17145"/>
                      <wp:wrapNone/>
                      <wp:docPr id="16" name="图片 171" descr="b1edd3dbab33246810b36b9f6a38d9b"/>
                      <wp:cNvGraphicFramePr/>
                      <a:graphic xmlns:a="http://schemas.openxmlformats.org/drawingml/2006/main">
                        <a:graphicData uri="http://schemas.openxmlformats.org/drawingml/2006/picture">
                          <pic:pic xmlns:pic="http://schemas.openxmlformats.org/drawingml/2006/picture">
                            <pic:nvPicPr>
                              <pic:cNvPr id="171" name="图片 171" descr="b1edd3dbab33246810b36b9f6a38d9b"/>
                              <pic:cNvPicPr/>
                              <pic:nvPr/>
                            </pic:nvPicPr>
                            <pic:blipFill>
                              <a:blip r:embed="rId24"/>
                              <a:srcRect l="21339" t="8138" r="15253" b="12316"/>
                              <a:stretch/>
                            </pic:blipFill>
                            <pic:spPr bwMode="auto">
                              <a:xfrm>
                                <a:off x="0" y="0"/>
                                <a:ext cx="1924050" cy="93535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2816;o:allowoverlap:true;o:allowincell:true;mso-position-horizontal-relative:text;margin-left:7.0pt;mso-position-horizontal:absolute;mso-position-vertical-relative:text;margin-top:1.2pt;mso-position-vertical:absolute;width:151.5pt;height:73.6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auto" w:sz="4" w:space="0"/>
              <w:left w:val="none" w:color="000000" w:sz="4" w:space="0"/>
              <w:bottom w:val="single" w:color="auto" w:sz="4" w:space="0"/>
              <w:right w:val="single" w:color="auto" w:sz="4" w:space="0"/>
            </w:tcBorders>
            <w:tcW w:w="4191" w:type="dxa"/>
            <w:vAlign w:val="center"/>
            <w:textDirection w:val="lrTb"/>
            <w:noWrap w:val="false"/>
          </w:tcPr>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一、材质：</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面材：优质三聚氰胺浸渍胶膜纸饰面（浅色直纹木饰面），具有色泽鲜亮、表面光滑（柔光），无结疤、死结、黑线等瑕疵，木纹清晰顺滑。2.基材：E1级环保实木颗粒板，桌面板材厚度不小于25mm；甲醛释放量≤0.124mg/m³。3.封边：同色PVC封边条，全自动无缝封边技术，采用热熔胶经200℃高温压制于边部，有效防止水气侵入。4.脚架：钢脚50*50*1.5mm冷轧钢管，连杆20*40*1.2mm冷轧钢管；5.五金配件：不锈钢五金件，连接结实牢固。</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二、工艺：</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整体结构稳固，钢脚经酸洗、磷化、除锈后静电喷涂等工艺处理，稳固耐用。</w:t>
            </w:r>
            <w:r/>
          </w:p>
        </w:tc>
      </w:tr>
      <w:tr>
        <w:trPr>
          <w:jc w:val="center"/>
          <w:trHeight w:val="1002"/>
        </w:trPr>
        <w:tc>
          <w:tcPr>
            <w:shd w:val="clear" w:color="auto" w:fill="auto"/>
            <w:tcBorders>
              <w:top w:val="none" w:color="000000" w:sz="4" w:space="0"/>
              <w:left w:val="single" w:color="auto" w:sz="4" w:space="0"/>
              <w:bottom w:val="single" w:color="auto" w:sz="4" w:space="0"/>
              <w:right w:val="single" w:color="auto" w:sz="4" w:space="0"/>
            </w:tcBorders>
            <w:tcW w:w="998"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bookmarkStart w:id="77" w:name="OLE_LINK13"/>
            <w:r/>
            <w:bookmarkStart w:id="78" w:name="OLE_LINK12"/>
            <w:r>
              <w:rPr>
                <w:rFonts w:hint="eastAsia" w:ascii="Times New Roman" w:hAnsi="Times New Roman" w:cs="宋体"/>
                <w:color w:val="auto"/>
                <w:szCs w:val="21"/>
                <w:highlight w:val="none"/>
              </w:rPr>
              <w:t xml:space="preserve">木椅</w:t>
            </w:r>
            <w:bookmarkEnd w:id="77"/>
            <w:r/>
            <w:bookmarkEnd w:id="78"/>
            <w:r/>
            <w:r/>
          </w:p>
        </w:tc>
        <w:tc>
          <w:tcPr>
            <w:shd w:val="clear" w:color="auto" w:fill="auto"/>
            <w:tcBorders>
              <w:top w:val="none" w:color="000000" w:sz="4" w:space="0"/>
              <w:left w:val="single" w:color="auto" w:sz="4" w:space="0"/>
              <w:bottom w:val="single" w:color="000000" w:sz="4" w:space="0"/>
              <w:right w:val="single" w:color="auto" w:sz="4" w:space="0"/>
            </w:tcBorders>
            <w:tcW w:w="1984"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bookmarkStart w:id="79" w:name="OLE_LINK15"/>
            <w:r/>
            <w:bookmarkStart w:id="80" w:name="OLE_LINK14"/>
            <w:r>
              <w:rPr>
                <w:rFonts w:hint="eastAsia" w:ascii="Times New Roman" w:hAnsi="Times New Roman" w:cs="宋体"/>
                <w:color w:val="auto"/>
                <w:szCs w:val="21"/>
                <w:highlight w:val="none"/>
              </w:rPr>
              <w:t xml:space="preserve">座面：430*420</w:t>
            </w:r>
            <w:r>
              <w:rPr>
                <w:rFonts w:hint="eastAsia" w:ascii="Times New Roman" w:hAnsi="Times New Roman" w:cs="宋体"/>
                <w:color w:val="auto"/>
                <w:szCs w:val="21"/>
                <w:highlight w:val="none"/>
              </w:rPr>
              <w:br/>
            </w:r>
            <w:r>
              <w:rPr>
                <w:rFonts w:hint="eastAsia" w:ascii="Times New Roman" w:hAnsi="Times New Roman" w:cs="宋体"/>
                <w:color w:val="auto"/>
                <w:szCs w:val="21"/>
                <w:highlight w:val="none"/>
              </w:rPr>
              <w:t xml:space="preserve">座高：430</w:t>
            </w:r>
            <w:r>
              <w:rPr>
                <w:rFonts w:hint="eastAsia" w:ascii="Times New Roman" w:hAnsi="Times New Roman" w:cs="宋体"/>
                <w:color w:val="auto"/>
                <w:szCs w:val="21"/>
                <w:highlight w:val="none"/>
              </w:rPr>
              <w:br/>
            </w:r>
            <w:r>
              <w:rPr>
                <w:rFonts w:hint="eastAsia" w:ascii="Times New Roman" w:hAnsi="Times New Roman" w:cs="宋体"/>
                <w:color w:val="auto"/>
                <w:szCs w:val="21"/>
                <w:highlight w:val="none"/>
              </w:rPr>
              <w:t xml:space="preserve">总高：860</w:t>
            </w:r>
            <w:bookmarkEnd w:id="79"/>
            <w:r/>
            <w:bookmarkEnd w:id="80"/>
            <w:r/>
            <w:r/>
          </w:p>
        </w:tc>
        <w:tc>
          <w:tcPr>
            <w:gridSpan w:val="2"/>
            <w:shd w:val="clear" w:color="auto" w:fill="auto"/>
            <w:tcBorders>
              <w:top w:val="none" w:color="000000" w:sz="4" w:space="0"/>
              <w:left w:val="none" w:color="000000" w:sz="4" w:space="0"/>
              <w:bottom w:val="single" w:color="000000" w:sz="4" w:space="0"/>
              <w:right w:val="none" w:color="000000" w:sz="4" w:space="0"/>
            </w:tcBorders>
            <w:tcW w:w="3543" w:type="dxa"/>
            <w:vAlign w:val="center"/>
            <w:vMerge w:val="restart"/>
            <w:textDirection w:val="lrTb"/>
            <w:noWrap/>
          </w:tcPr>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219710</wp:posOffset>
                      </wp:positionH>
                      <wp:positionV relativeFrom="paragraph">
                        <wp:posOffset>135890</wp:posOffset>
                      </wp:positionV>
                      <wp:extent cx="1733550" cy="1990725"/>
                      <wp:effectExtent l="0" t="0" r="0" b="9525"/>
                      <wp:wrapNone/>
                      <wp:docPr id="17" name="图片 172" descr="C:\Users\Administrator\Documents\WeChat Files\wxid_mhx3o42253sb12\FileStorage\Temp\2e543a0d577ba86f70d0c152ad663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72" descr="C:\Users\Administrator\Documents\WeChat Files\wxid_mhx3o42253sb12\FileStorage\Temp\2e543a0d577ba86f70d0c152ad663e4.png"/>
                              <pic:cNvPicPr>
                                <a:picLocks noChangeAspect="1"/>
                              </pic:cNvPicPr>
                              <pic:nvPr/>
                            </pic:nvPicPr>
                            <pic:blipFill>
                              <a:blip r:embed="rId25"/>
                              <a:stretch/>
                            </pic:blipFill>
                            <pic:spPr bwMode="auto">
                              <a:xfrm>
                                <a:off x="0" y="0"/>
                                <a:ext cx="1733550" cy="1990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3840;o:allowoverlap:true;o:allowincell:true;mso-position-horizontal-relative:text;margin-left:17.3pt;mso-position-horizontal:absolute;mso-position-vertical-relative:text;margin-top:10.7pt;mso-position-vertical:absolute;width:136.5pt;height:156.8pt;mso-wrap-distance-left:9.0pt;mso-wrap-distance-top:0.0pt;mso-wrap-distance-right:9.0pt;mso-wrap-distance-bottom:0.0pt;" stroked="f">
                      <v:path textboxrect="0,0,0,0"/>
                      <v:imagedata r:id="rId25" o:title=""/>
                    </v:shape>
                  </w:pict>
                </mc:Fallback>
              </mc:AlternateContent>
            </w:r>
            <w:r/>
          </w:p>
        </w:tc>
        <w:tc>
          <w:tcPr>
            <w:shd w:val="clear" w:color="auto" w:fill="auto"/>
            <w:tcBorders>
              <w:top w:val="none" w:color="000000" w:sz="4" w:space="0"/>
              <w:left w:val="single" w:color="auto" w:sz="4" w:space="0"/>
              <w:bottom w:val="single" w:color="000000" w:sz="4" w:space="0"/>
              <w:right w:val="single" w:color="auto" w:sz="4" w:space="0"/>
            </w:tcBorders>
            <w:tcW w:w="4191" w:type="dxa"/>
            <w:vAlign w:val="center"/>
            <w:vMerge w:val="restart"/>
            <w:textDirection w:val="lrTb"/>
            <w:noWrap w:val="false"/>
          </w:tcPr>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一、材质：</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1.材质：采用纯橡胶木实木制作（原木色）。2.油漆：采用环保水性漆，油漆涂饰面采用五底三面工艺（底漆5道/面漆3道；面漆采用喷涂）油漆无明显色差。</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二、工艺：</w:t>
            </w:r>
            <w:r/>
          </w:p>
          <w:p>
            <w:pPr>
              <w:jc w:val="left"/>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榫眼结构，榫眼紧固，涂胶足量，椅架无摇晃、无松动，结构牢固，椅架制作方正，左右匀称；底脚着地应平稳。椅座框架内加钉塞角；椅架加钉椅角铁。</w:t>
            </w:r>
            <w:r/>
          </w:p>
        </w:tc>
      </w:tr>
    </w:tbl>
    <w:p>
      <w:pPr>
        <w:ind w:firstLine="422"/>
        <w:spacing w:line="360" w:lineRule="auto"/>
        <w:rPr>
          <w:rFonts w:ascii="Times New Roman" w:hAnsi="Times New Roman"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Cs w:val="21"/>
          <w:highlight w:val="none"/>
        </w:rPr>
        <w:t xml:space="preserve">四、投标样品</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1.单人床（含床板）  </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单人床规格尺寸：2000*900*740mm</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床板规格尺寸：</w:t>
      </w:r>
      <w:r>
        <w:rPr>
          <w:rFonts w:hint="eastAsia" w:ascii="Times New Roman" w:hAnsi="Times New Roman" w:cs="宋体"/>
          <w:color w:val="auto"/>
          <w:szCs w:val="21"/>
          <w:highlight w:val="none"/>
        </w:rPr>
        <w:t xml:space="preserve">1900*825*40mm</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主要材质及参数：见项目需求</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数量：1张</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2.单人位自修桌</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规格尺寸：750*600*1860mm</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主要材质及参数：见项目需求</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数量：1组</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3.木椅                     </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规格尺寸：座面：430*420mm座高：430mm总高：860mm</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主要材质及参数：见项目需求</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数量：1张</w:t>
      </w:r>
      <w:r/>
    </w:p>
    <w:p>
      <w:pPr>
        <w:pStyle w:val="845"/>
        <w:ind w:firstLine="420"/>
        <w:spacing w:line="360" w:lineRule="auto"/>
        <w:rPr>
          <w:rFonts w:ascii="Times New Roman" w:eastAsia="宋体" w:cs="宋体"/>
          <w:color w:val="auto"/>
          <w:sz w:val="21"/>
          <w:szCs w:val="21"/>
          <w:highlight w:val="none"/>
        </w:rPr>
      </w:pPr>
      <w:r>
        <w:rPr>
          <w:rFonts w:hint="eastAsia" w:ascii="Times New Roman" w:eastAsia="宋体" w:cs="宋体"/>
          <w:color w:val="auto"/>
          <w:sz w:val="21"/>
          <w:szCs w:val="21"/>
          <w:highlight w:val="none"/>
        </w:rPr>
        <w:t xml:space="preserve">说明：</w:t>
      </w:r>
      <w:r/>
    </w:p>
    <w:p>
      <w:pPr>
        <w:ind w:firstLine="420"/>
        <w:spacing w:line="360" w:lineRule="auto"/>
        <w:rPr>
          <w:rFonts w:hint="default" w:ascii="Times New Roman" w:hAnsi="Times New Roman"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（1）供应商提交的样品</w:t>
      </w:r>
      <w:r>
        <w:rPr>
          <w:rFonts w:hint="eastAsia" w:ascii="Times New Roman" w:hAnsi="Times New Roman" w:cs="宋体"/>
          <w:color w:val="auto"/>
          <w:szCs w:val="21"/>
          <w:highlight w:val="none"/>
          <w:lang w:val="en-US" w:eastAsia="zh-CN"/>
        </w:rPr>
        <w:t xml:space="preserve">应在投标截止时间前送达指定地点并安装到位，且</w:t>
      </w:r>
      <w:r>
        <w:rPr>
          <w:rFonts w:hint="eastAsia" w:ascii="Times New Roman" w:hAnsi="Times New Roman" w:cs="宋体"/>
          <w:color w:val="auto"/>
          <w:szCs w:val="21"/>
          <w:highlight w:val="none"/>
        </w:rPr>
        <w:t xml:space="preserve">不得含有供应商名称、品牌、商标等</w:t>
      </w:r>
      <w:r>
        <w:rPr>
          <w:rFonts w:hint="eastAsia" w:ascii="Times New Roman" w:hAnsi="Times New Roman" w:cs="宋体"/>
          <w:color w:val="auto"/>
          <w:szCs w:val="21"/>
          <w:highlight w:val="none"/>
          <w:lang w:val="en-US" w:eastAsia="zh-CN"/>
        </w:rPr>
        <w:t xml:space="preserve">。</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（2）供应商递交样品时将进行登记，并由样品递交人签字确认。</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（3）供应商递交/取回样品时，不得破坏或损毁其他供应商的样品，也不得对其他供应商的样品拍照、录像。</w:t>
      </w:r>
      <w:r/>
    </w:p>
    <w:p>
      <w:pPr>
        <w:ind w:firstLine="420"/>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4）中标（成交）供应商递交的样品按采购人要求送至指定位置，由采购人负责保管、封存并作为履约验收的依据，不再退还中标（成交）供应商。未中标（成交）供应商递交的样品在采购结果公告期结束后2个工作日内，通知未中标（成交）供应商自行取回，逾期未取回，视同供应商放弃样品所有权，由采购人、代理机构自行处置。</w:t>
      </w:r>
      <w:r/>
    </w:p>
    <w:p>
      <w:pPr>
        <w:ind w:firstLine="420"/>
        <w:spacing w:line="36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（5）样品费用：样品的制作、运输、安装、退场等费用均由投标人承担。</w:t>
      </w:r>
      <w:r/>
    </w:p>
    <w:p>
      <w:pPr>
        <w:ind w:firstLine="420"/>
        <w:spacing w:line="360" w:lineRule="auto"/>
        <w:rPr>
          <w:rFonts w:hint="eastAsia" w:ascii="Times New Roman" w:hAnsi="Times New Roman" w:cs="宋体"/>
          <w:bCs/>
          <w:color w:val="auto"/>
          <w:highlight w:val="none"/>
          <w:u w:val="none"/>
          <w:lang w:val="en-US" w:eastAsia="zh-CN"/>
        </w:rPr>
      </w:pPr>
      <w:r>
        <w:rPr>
          <w:rFonts w:hint="eastAsia" w:ascii="Times New Roman" w:hAnsi="Times New Roman" w:cs="宋体"/>
          <w:bCs/>
          <w:color w:val="auto"/>
          <w:highlight w:val="none"/>
          <w:u w:val="none"/>
          <w:lang w:val="en-US" w:eastAsia="zh-CN"/>
        </w:rPr>
        <w:t xml:space="preserve">（6）样品接收时间：2026年6月25 日 上午8:00-10：00（逾期不予接收）</w:t>
      </w:r>
      <w:r/>
    </w:p>
    <w:p>
      <w:pPr>
        <w:ind w:firstLine="420"/>
        <w:spacing w:line="360" w:lineRule="auto"/>
        <w:rPr>
          <w:rFonts w:hint="eastAsia" w:ascii="Times New Roman" w:hAnsi="Times New Roman" w:cs="宋体"/>
          <w:bCs/>
          <w:color w:val="auto"/>
          <w:highlight w:val="none"/>
          <w:u w:val="none"/>
          <w:lang w:val="en-US" w:eastAsia="zh-CN"/>
        </w:rPr>
      </w:pPr>
      <w:r>
        <w:rPr>
          <w:rFonts w:hint="eastAsia" w:ascii="Times New Roman" w:hAnsi="Times New Roman" w:cs="宋体"/>
          <w:bCs/>
          <w:color w:val="auto"/>
          <w:highlight w:val="none"/>
          <w:u w:val="none"/>
          <w:lang w:val="en-US" w:eastAsia="zh-CN"/>
        </w:rPr>
        <w:t xml:space="preserve">（7）样品接收地点：江苏苏维工程管理有限公司（扬州市邗江区翠岗路48号）二楼样品室</w:t>
      </w:r>
      <w:r/>
    </w:p>
    <w:p>
      <w:pPr>
        <w:ind w:firstLine="422"/>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Cs w:val="21"/>
          <w:highlight w:val="none"/>
        </w:rPr>
        <w:t xml:space="preserve">五、其他要求</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1.交货时间</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学生公寓家具要确保在</w:t>
      </w:r>
      <w:r>
        <w:rPr>
          <w:rFonts w:hint="eastAsia" w:ascii="Times New Roman" w:hAnsi="Times New Roman" w:cs="宋体"/>
          <w:color w:val="auto"/>
          <w:szCs w:val="21"/>
          <w:highlight w:val="none"/>
        </w:rPr>
        <w:t xml:space="preserve">2026年8月15日</w:t>
      </w:r>
      <w:r>
        <w:rPr>
          <w:rFonts w:hint="eastAsia" w:ascii="Times New Roman" w:hAnsi="Times New Roman" w:cs="宋体"/>
          <w:color w:val="auto"/>
          <w:szCs w:val="21"/>
          <w:highlight w:val="none"/>
        </w:rPr>
        <w:t xml:space="preserve">前供货到位并安装完毕</w:t>
      </w:r>
      <w:r>
        <w:rPr>
          <w:rFonts w:hint="eastAsia" w:ascii="Times New Roman" w:hAnsi="Times New Roman" w:cs="宋体"/>
          <w:color w:val="auto"/>
          <w:szCs w:val="21"/>
          <w:highlight w:val="none"/>
        </w:rPr>
        <w:t xml:space="preserve">，其中校外学生公寓4#楼家具</w:t>
      </w:r>
      <w:r>
        <w:rPr>
          <w:rFonts w:ascii="Times New Roman" w:hAnsi="Times New Roman" w:cs="宋体"/>
          <w:color w:val="auto"/>
          <w:szCs w:val="21"/>
          <w:highlight w:val="none"/>
        </w:rPr>
        <w:t xml:space="preserve">202</w:t>
      </w:r>
      <w:r>
        <w:rPr>
          <w:rFonts w:hint="eastAsia" w:ascii="Times New Roman" w:hAnsi="Times New Roman" w:cs="宋体"/>
          <w:color w:val="auto"/>
          <w:szCs w:val="21"/>
          <w:highlight w:val="none"/>
        </w:rPr>
        <w:t xml:space="preserve">6</w:t>
      </w:r>
      <w:r>
        <w:rPr>
          <w:rFonts w:ascii="Times New Roman" w:hAnsi="Times New Roman" w:cs="宋体"/>
          <w:color w:val="auto"/>
          <w:szCs w:val="21"/>
          <w:highlight w:val="none"/>
        </w:rPr>
        <w:t xml:space="preserve">年8月1日前</w:t>
      </w:r>
      <w:r>
        <w:rPr>
          <w:rFonts w:hint="eastAsia" w:ascii="Times New Roman" w:hAnsi="Times New Roman" w:cs="宋体"/>
          <w:color w:val="auto"/>
          <w:szCs w:val="21"/>
          <w:highlight w:val="none"/>
        </w:rPr>
        <w:t xml:space="preserve">供货到位并安装完毕。投标人送货、安装时</w:t>
      </w:r>
      <w:r>
        <w:rPr>
          <w:rFonts w:hint="eastAsia" w:ascii="Times New Roman" w:hAnsi="Times New Roman" w:cs="宋体"/>
          <w:iCs/>
          <w:color w:val="auto"/>
          <w:szCs w:val="21"/>
          <w:highlight w:val="none"/>
        </w:rPr>
        <w:t xml:space="preserve">不得影响在校学生正常的学习、生活秩序</w:t>
      </w:r>
      <w:r>
        <w:rPr>
          <w:rFonts w:hint="eastAsia" w:ascii="Times New Roman" w:hAnsi="Times New Roman" w:cs="宋体"/>
          <w:color w:val="auto"/>
          <w:szCs w:val="21"/>
          <w:highlight w:val="none"/>
        </w:rPr>
        <w:t xml:space="preserve">，中标人应按照投标人需求合理安排时间，制定科学、合理、有针对性的项目实施方案总体部署及安全文明措施，最大限度减少对学生的影响。</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2.交货地点：</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采购人指定地点（各校区指定学生宿舍、指定位置）。</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3.报价要求</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（1）本项目所有材料均由投标人自行采购，投标人应在《开标一览表》、《分项报价表》等标明拟提供服务和货物的规格、品牌、详细配置、单价和总价。</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（2）投标报价应包括但不仅限于提供货物及其运输、装卸、清点、堆放、验收前保管、安装等所有含税费用（含安装所需水电费、垃圾清运费、保洁费）。</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4.质保期</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本项目免费质保期5年（自交货验收合格之日起计）。</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在免费质保期内，中标人应对货物出现的质量及安全问题负责处理解决并承担一切费用，因人为因素出现的故障不在免费保修范围内。超过免费质保期的，终生维修，维修时只收部件成本费。</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5.拟派项目人员</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提供人员配置表，满足本项目生产所需的人员投入，包括项目总负责人、技术人员、设计人员等，具有类似项目从业经验，中标后能赴现场复核尺寸及点位，出具产品深化图，并在细节方面给予采购人专业的沟通指导；安排合理，确保本项目工作顺利实施。</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拥有固定的售后服务人员，团队成员数量充足，素质过硬，技术水平精湛，具备较强的应急反应能力。</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6.质量控制措施</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投标人应提供针对本项目采购产品的质量控制措施、产品运输及存储期间的质量控制措施等，措施须完整、详细、有针对性和实用性。</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生产过程中，原材料选择材质结实、环保无毒的木材、金属等，确保质量符合相关标准和法规要求。投标人提供产品原材料配置表，明确主要原材料品牌。</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人提供原材料在采购及生产过程中的管控及检测措施，确保在后期生产过程中的产品质量。生产过程中，应进行多道质量检测，包括原材料检验、部件组装检验和成品质检等。通过对每个环节进行检验，及时发现和解决潜在的质量问题，确保产品符合质量要求。为确保家具的使用寿命和稳定性，制造时应该进行强度测试，评估家具的负载能力和稳定性达到法规标准。</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交货前选择干燥、通风良好的存放地点，避免存放在潮湿或有害物质存在的环境中。对存储的产品进行合适的标识，包括名称、批次、存储日期等关键信息，以便追溯。定期检查存储的物品，确保其品质和存储条件符合要求，如发现异常，及时采取措施进行调整或处理。</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货物发运前对其进行满足运输距离、防潮、防震、防锈和防破损装卸等要求包装，以保证货物安全运达校方指定地点。验收交货前存放及保管概由中标人负责。产品材料的包装均应有良好的防湿、防锈、防潮、防雨、防腐及防碰</w:t>
      </w:r>
      <w:r>
        <w:rPr>
          <w:rFonts w:hint="eastAsia" w:ascii="Times New Roman" w:hAnsi="Times New Roman" w:cs="宋体"/>
          <w:color w:val="auto"/>
          <w:szCs w:val="21"/>
          <w:highlight w:val="none"/>
        </w:rPr>
        <w:t xml:space="preserve">撞的措施。凡由于包装不良造成的损失和由此产生的费用均由中标人承担。</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7.进度控制措施</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本项目要求</w:t>
      </w:r>
      <w:r>
        <w:rPr>
          <w:rFonts w:hint="eastAsia" w:ascii="Times New Roman" w:hAnsi="Times New Roman" w:cs="宋体"/>
          <w:color w:val="auto"/>
          <w:szCs w:val="21"/>
          <w:highlight w:val="none"/>
        </w:rPr>
        <w:t xml:space="preserve">在2026年8月15日前供货到位并安装完毕，其中校外学生公寓4#楼家具2026年8月1日前供货到位并安装完毕</w:t>
      </w:r>
      <w:r>
        <w:rPr>
          <w:rFonts w:hint="eastAsia" w:ascii="Times New Roman" w:hAnsi="Times New Roman" w:cs="宋体"/>
          <w:color w:val="auto"/>
          <w:szCs w:val="21"/>
          <w:highlight w:val="none"/>
        </w:rPr>
        <w:t xml:space="preserve">，投标人应按照招标需求合理安排时间，制定科学、合理、有针对性的具体措施。</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投标人提供项目进度表，协调生产、包装、运输、供货等各部门之间的合作，考虑家具的设计、生产、安装、供货等工序所需时间，确保按期交货。</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中标人在接到采购人通知后，需根据采购人要求及现场具体情况，拟定家具进场安放的方案报采购人，征得采购人同意后方可安排产品进场。</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8.</w:t>
      </w:r>
      <w:r>
        <w:rPr>
          <w:rFonts w:hint="eastAsia" w:ascii="Times New Roman" w:hAnsi="Times New Roman" w:cs="宋体"/>
          <w:color w:val="auto"/>
          <w:szCs w:val="21"/>
          <w:highlight w:val="none"/>
        </w:rPr>
        <w:t xml:space="preserve">针对本项目的具体的供货安装实施方案</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（1）供货时，中标人须提供本批次合格家具（所有品种）的检验检测报告，学校派专人进行核查。</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项目实施期间，中标人工作人员须遵守学校各项规章制度，进入项目现场的车辆、设备按指定的地点停放，不得妨碍其它施工和阻碍交通。项目结束后，及时清理现场，打扫干净，墙面、门窗如有损坏需恢复原状。</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（3）项目实施期间，如发生安全事故、人身伤害和其它财产安全事故，由中标人全权负责处理，并承担全部责任。</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9.售后服务要求</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（1）投标人应在投标文件中明确售后服务能力（包括交货期、保修期时限、售后服务、维护响应时间等）。</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（2）质保期内全免费上门质保，同一材料、同一质量问题连续两次维修仍无法正常使用，中标人应无条件给予全套更新或退货（所有产品质保时间为自验收合格之日起计）。</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质保期满后，中标人须提供优惠的维修价格（人工费、出厂价零配件费、其他材料费等）进行相关服务，在产品寿命期内，中标人应能保证采购人更换到原厂正宗的零部件，保证维修配件的供应和及时维修，维修价格保持不变（政策调整因素除外）。</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（4）中标人应免费对采购人技术人员进行操作、保养、维修等方面的培训，并且提供免费的技术咨询服务。</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（5）在免费质量保证期内，因产品制造原因出现的任何质量问题，中标人应负责更换或维修，由此产生的一切费用由中标人承担。</w:t>
      </w:r>
      <w:r/>
    </w:p>
    <w:p>
      <w:pPr>
        <w:pStyle w:val="845"/>
        <w:ind w:firstLine="420"/>
        <w:spacing w:line="360" w:lineRule="auto"/>
        <w:rPr>
          <w:rFonts w:ascii="Times New Roman" w:eastAsia="宋体" w:cs="宋体"/>
          <w:color w:val="auto"/>
          <w:sz w:val="21"/>
          <w:szCs w:val="21"/>
          <w:highlight w:val="none"/>
        </w:rPr>
      </w:pPr>
      <w:r>
        <w:rPr>
          <w:rFonts w:hint="eastAsia" w:ascii="Times New Roman" w:eastAsia="宋体" w:cs="宋体"/>
          <w:color w:val="auto"/>
          <w:sz w:val="21"/>
          <w:szCs w:val="21"/>
          <w:highlight w:val="none"/>
        </w:rPr>
        <w:t xml:space="preserve">（6）中标人接到采购人报修通知起半小时响应，4小时内到达现场并完成维修。</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10.室内空气质量检测</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根据《教育部办公厅关于加强学校新建校舍室内空气质量管理的通知》(教发厅函〔2020〕32 号），在货物投入使用前，参照《民用</w:t>
      </w:r>
      <w:r>
        <w:rPr>
          <w:rFonts w:hint="eastAsia" w:ascii="Times New Roman" w:hAnsi="Times New Roman" w:cs="宋体"/>
          <w:color w:val="auto"/>
          <w:szCs w:val="21"/>
          <w:highlight w:val="none"/>
        </w:rPr>
        <w:t xml:space="preserve">建筑工程室内环境污染控制标准》（GB50325-2020），对学生公寓室内空气质量进行检测（</w:t>
      </w:r>
      <w:r>
        <w:rPr>
          <w:rFonts w:hint="eastAsia" w:ascii="Times New Roman" w:hAnsi="Times New Roman" w:cs="宋体"/>
          <w:b/>
          <w:color w:val="auto"/>
          <w:szCs w:val="21"/>
          <w:highlight w:val="none"/>
        </w:rPr>
        <w:t xml:space="preserve">瘦西湖校区92#随机选取3个学生宿舍</w:t>
      </w:r>
      <w:r>
        <w:rPr>
          <w:rFonts w:hint="eastAsia" w:ascii="Times New Roman" w:hAnsi="Times New Roman" w:cs="宋体"/>
          <w:color w:val="auto"/>
          <w:szCs w:val="21"/>
          <w:highlight w:val="none"/>
        </w:rPr>
        <w:t xml:space="preserve">），费用由中标人承担。</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11.验收</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货到采购人指定地点后，采购人须在15日内清点核对，采购人对货物依据招标文件上的技术规格要求和国家有关质量标准进行现场初步核对，外观、说明书、包装符合招标文件技术要求的，给予签收，不合格的不予签收。</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（2）中标人按照招标文件要求负责产品安装并与采购人使用人员交接使用事宜。</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使用一段时间（不少于一个月）后，采购人组织最终验收。如采购人需要，采购人可请国家认可的专业检测机构参与最终验收，并由其出具质量检测报告。验收时采购人和中标人均须在现场，验收完毕后作出验收结果报告；</w:t>
      </w:r>
      <w:r>
        <w:rPr>
          <w:rFonts w:hint="eastAsia" w:ascii="Times New Roman" w:hAnsi="Times New Roman" w:cs="宋体"/>
          <w:color w:val="auto"/>
          <w:szCs w:val="21"/>
          <w:highlight w:val="none"/>
        </w:rPr>
        <w:t xml:space="preserve">若聘请第三方中立机构验收，验收不合格，相关费用由中标人承担。</w:t>
      </w:r>
      <w:r/>
    </w:p>
    <w:p>
      <w:pPr>
        <w:ind w:firstLine="422"/>
        <w:spacing w:line="360" w:lineRule="auto"/>
        <w:rPr>
          <w:rFonts w:ascii="Times New Roman" w:hAnsi="Times New Roman" w:cs="宋体"/>
          <w:b/>
          <w:color w:val="auto"/>
          <w:szCs w:val="21"/>
          <w:highlight w:val="none"/>
        </w:rPr>
      </w:pPr>
      <w:r/>
      <w:bookmarkStart w:id="81" w:name="_Toc55204181"/>
      <w:r>
        <w:rPr>
          <w:rFonts w:hint="eastAsia" w:ascii="Times New Roman" w:hAnsi="Times New Roman" w:cs="宋体"/>
          <w:b/>
          <w:color w:val="auto"/>
          <w:szCs w:val="21"/>
          <w:highlight w:val="none"/>
        </w:rPr>
        <w:t xml:space="preserve">六、节能产品要求</w:t>
      </w:r>
      <w:r/>
    </w:p>
    <w:p>
      <w:pPr>
        <w:ind w:firstLine="420"/>
        <w:jc w:val="left"/>
        <w:spacing w:line="360" w:lineRule="auto"/>
        <w:rPr>
          <w:rFonts w:ascii="Times New Roman" w:hAnsi="Times New Roman" w:cs="宋体"/>
          <w:color w:val="auto"/>
          <w:szCs w:val="21"/>
          <w:highlight w:val="none"/>
        </w:rPr>
      </w:pPr>
      <w:r>
        <w:rPr>
          <w:rFonts w:hint="eastAsia" w:ascii="Times New Roman" w:hAnsi="Times New Roman" w:cs="宋体"/>
          <w:iCs/>
          <w:color w:val="auto"/>
          <w:szCs w:val="21"/>
          <w:highlight w:val="none"/>
        </w:rPr>
        <w:t xml:space="preserve">本次拟采购的产品如属于《节能产品政府采购品目清单》中强制采购范围内的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cs="宋体"/>
          <w:i/>
          <w:iCs/>
          <w:color w:val="auto"/>
          <w:szCs w:val="21"/>
          <w:highlight w:val="none"/>
          <w:u w:val="single"/>
        </w:rPr>
        <w:t xml:space="preserve">并在投标文件内提供由国家确定的认证机构出具的、处于有效期之内的节能产品认证证书（原件，扫描上传，否则视为无效投标。（本项目涉及强制采购范围内产品有：</w:t>
      </w:r>
      <w:r>
        <w:rPr>
          <w:rFonts w:hint="eastAsia" w:ascii="Times New Roman" w:hAnsi="Times New Roman"/>
          <w:b/>
          <w:bCs/>
          <w:i/>
          <w:iCs/>
          <w:color w:val="auto"/>
          <w:szCs w:val="21"/>
          <w:highlight w:val="none"/>
          <w:u w:val="single"/>
        </w:rPr>
        <w:t xml:space="preserve">无</w:t>
      </w:r>
      <w:r>
        <w:rPr>
          <w:rFonts w:hint="eastAsia" w:ascii="Times New Roman" w:hAnsi="Times New Roman" w:cs="宋体"/>
          <w:i/>
          <w:iCs/>
          <w:color w:val="auto"/>
          <w:szCs w:val="21"/>
          <w:highlight w:val="none"/>
          <w:u w:val="single"/>
        </w:rPr>
        <w:t xml:space="preserve">）</w:t>
      </w:r>
      <w:r/>
    </w:p>
    <w:p>
      <w:pPr>
        <w:pStyle w:val="976"/>
        <w:jc w:val="center"/>
        <w:spacing w:line="360" w:lineRule="auto"/>
        <w:rPr>
          <w:rFonts w:ascii="Times New Roman" w:hAnsi="Times New Roman" w:cs="宋体"/>
          <w:color w:val="auto"/>
          <w:sz w:val="36"/>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s="宋体"/>
          <w:color w:val="auto"/>
          <w:sz w:val="36"/>
          <w:highlight w:val="none"/>
        </w:rPr>
      </w:r>
      <w:r/>
    </w:p>
    <w:p>
      <w:pPr>
        <w:pStyle w:val="761"/>
        <w:rPr>
          <w:rFonts w:ascii="Times New Roman" w:hAnsi="Times New Roman"/>
          <w:color w:val="auto"/>
          <w:highlight w:val="none"/>
        </w:rPr>
      </w:pPr>
      <w:r/>
      <w:bookmarkStart w:id="82" w:name="_Toc10862"/>
      <w:r>
        <w:rPr>
          <w:rFonts w:hint="eastAsia" w:ascii="Times New Roman" w:hAnsi="Times New Roman"/>
          <w:color w:val="auto"/>
          <w:highlight w:val="none"/>
        </w:rPr>
        <w:t xml:space="preserve">第五章 评标方法及评标标准</w:t>
      </w:r>
      <w:bookmarkEnd w:id="81"/>
      <w:r/>
      <w:bookmarkEnd w:id="82"/>
      <w:r/>
      <w:r/>
    </w:p>
    <w:p>
      <w:pPr>
        <w:pStyle w:val="1018"/>
        <w:ind w:firstLine="422"/>
        <w:spacing w:before="0" w:after="0"/>
        <w:rPr>
          <w:rFonts w:ascii="Times New Roman" w:hAnsi="Times New Roman" w:cs="宋体"/>
          <w:b/>
          <w:color w:val="auto"/>
          <w:sz w:val="21"/>
          <w:szCs w:val="21"/>
          <w:highlight w:val="none"/>
        </w:rPr>
      </w:pPr>
      <w:r>
        <w:rPr>
          <w:rFonts w:hint="eastAsia" w:ascii="Times New Roman" w:hAnsi="Times New Roman" w:cs="宋体"/>
          <w:b/>
          <w:color w:val="auto"/>
          <w:sz w:val="21"/>
          <w:szCs w:val="21"/>
          <w:highlight w:val="none"/>
        </w:rPr>
        <w:t xml:space="preserve">一、评标方法</w:t>
      </w:r>
      <w:r/>
    </w:p>
    <w:p>
      <w:pPr>
        <w:pStyle w:val="1018"/>
        <w:ind w:firstLine="420"/>
        <w:spacing w:before="0" w:after="0"/>
        <w:rPr>
          <w:rFonts w:ascii="Times New Roman" w:hAnsi="Times New Roman"/>
          <w:color w:val="auto"/>
          <w:sz w:val="21"/>
          <w:szCs w:val="21"/>
          <w:highlight w:val="none"/>
        </w:rPr>
      </w:pPr>
      <w:r/>
      <w:bookmarkStart w:id="83" w:name="_Toc449016388"/>
      <w:r/>
      <w:bookmarkStart w:id="84" w:name="_Toc449017024"/>
      <w:r>
        <w:rPr>
          <w:rFonts w:hint="eastAsia" w:ascii="Times New Roman" w:hAnsi="Times New Roman"/>
          <w:color w:val="auto"/>
          <w:sz w:val="21"/>
          <w:szCs w:val="21"/>
          <w:highlight w:val="none"/>
        </w:rPr>
        <w:t xml:space="preserve">本项目采用综合评分法，评委会将对确定为实质性响应采购文件要求的投标文件进行评价和比较。评审结果按综合得分由高到低顺序排列。得分相同的，按报价由低到高顺序排列。得分且报价相同的并列，投标文件满足采购文件全部实质性要求，且按照评审因素的量化指标评审得分最高的前三名供应商为中标候选人（文件另有约定的除外）。</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olor w:val="auto"/>
          <w:sz w:val="21"/>
          <w:szCs w:val="21"/>
          <w:highlight w:val="none"/>
        </w:rPr>
        <w:t xml:space="preserve">确定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二、政府采购政策功能落实</w:t>
      </w:r>
      <w:bookmarkEnd w:id="83"/>
      <w:r/>
      <w:bookmarkEnd w:id="84"/>
      <w:r/>
      <w:r/>
    </w:p>
    <w:p>
      <w:pPr>
        <w:ind w:firstLine="420"/>
        <w:spacing w:line="360" w:lineRule="auto"/>
        <w:rPr>
          <w:rFonts w:ascii="Times New Roman" w:hAnsi="Times New Roman" w:cs="宋体"/>
          <w:b/>
          <w:color w:val="auto"/>
          <w:szCs w:val="21"/>
          <w:highlight w:val="none"/>
        </w:rPr>
      </w:pPr>
      <w:r>
        <w:rPr>
          <w:rFonts w:hint="eastAsia" w:ascii="Times New Roman" w:hAnsi="Times New Roman"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1、小微型企业价格扣除</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（1）本项目对小型和微型企业产品给</w:t>
      </w:r>
      <w:r>
        <w:rPr>
          <w:rFonts w:hint="eastAsia" w:ascii="Times New Roman" w:hAnsi="Times New Roman" w:cs="宋体"/>
          <w:color w:val="auto"/>
          <w:sz w:val="21"/>
          <w:szCs w:val="21"/>
          <w:highlight w:val="none"/>
        </w:rPr>
        <w:t xml:space="preserve">予10%的扣除价格，用扣除后的价格参与评审。</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（2）供应商需按照采购文件的要求提供相应的《中小企业声明函》。</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2、残疾人福利单位价格扣除</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（1）本项目对残疾人福利性单位视同小型、微型企业，给予10%的价格扣除，用扣除后的价格参与评审。</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（2）残疾人福利单位需按照采购文件的要求提供《残疾人福利性单位声明函》。</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（3）残疾人福利单位标准请参照《关于促进残疾人就业政府采购政策的通知》（财库2017〕141号）。</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3、监狱和戒毒企业价格扣除</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（1）本项目对监狱和戒毒企业（简称监狱企业）视同小型、微型企业，给予10%的价格扣除，用扣除后的价格参与评审。</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（3）监狱企业标准请参照《关于政府采购支持监狱企业发展有关问题的通知》（财库[2014]68号）。</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4、残疾人福利单位、监狱企业属于小型、微型企业的，不重复享受政策。</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5、大中型企业和其他自然人、法人或者其他组织并与小型、微型企业（残疾人福利单位、</w:t>
      </w:r>
      <w:r>
        <w:rPr>
          <w:rFonts w:hint="eastAsia" w:ascii="Times New Roman" w:hAnsi="Times New Roman" w:cs="宋体"/>
          <w:color w:val="auto"/>
          <w:sz w:val="21"/>
          <w:szCs w:val="21"/>
          <w:highlight w:val="none"/>
        </w:rPr>
        <w:t xml:space="preserve">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6、联合体各方均为小型、微型企业（残疾人福利单位、监狱企业）的，联合体享受10%价格扣除，用扣除后的价格参与评审。</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7、大中型企业向小型、微型企业分包的，分包意向协议约定小型、微型企业合同份额占到合同总金额30%以上的，给予4%的价格扣除，用扣除后的价格参与评审。</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8、采购本国产品的支持政策</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8.1 本项目政府采购活动中既有本国产品又有非本国产品参与</w:t>
      </w:r>
      <w:r>
        <w:rPr>
          <w:rFonts w:hint="eastAsia" w:ascii="Times New Roman" w:hAnsi="Times New Roman" w:cs="宋体"/>
          <w:color w:val="auto"/>
          <w:sz w:val="21"/>
          <w:szCs w:val="21"/>
          <w:highlight w:val="none"/>
        </w:rPr>
        <w:t xml:space="preserve">竞争的，依法对本国产品给予价格评审优惠，对本国产品的报价给予 20%的价格扣除，用扣除后的价格参与评审。</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三、评标标准</w:t>
      </w:r>
      <w:r/>
    </w:p>
    <w:tbl>
      <w:tblPr>
        <w:tblStyle w:val="771"/>
        <w:tblW w:w="503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865"/>
        <w:gridCol w:w="6505"/>
      </w:tblGrid>
      <w:tr>
        <w:trPr>
          <w:jc w:val="center"/>
          <w:trHeight w:val="589"/>
        </w:trPr>
        <w:tc>
          <w:tcPr>
            <w:tcBorders>
              <w:top w:val="single" w:color="000000" w:sz="2" w:space="0"/>
              <w:left w:val="single" w:color="000000" w:sz="2" w:space="0"/>
              <w:bottom w:val="single" w:color="000000" w:sz="2" w:space="0"/>
              <w:right w:val="single" w:color="000000" w:sz="2" w:space="0"/>
            </w:tcBorders>
            <w:tcW w:w="1114" w:type="pct"/>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W w:w="3885" w:type="pct"/>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1114" w:type="pct"/>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价格分</w:t>
            </w:r>
            <w:r>
              <w:rPr>
                <w:rFonts w:hint="eastAsia" w:ascii="Times New Roman" w:hAnsi="Times New Roman" w:cs="宋体"/>
                <w:color w:val="auto"/>
                <w:szCs w:val="21"/>
                <w:highlight w:val="none"/>
              </w:rPr>
              <w:br/>
            </w:r>
            <w:r>
              <w:rPr>
                <w:rFonts w:hint="eastAsia" w:ascii="Times New Roman" w:hAnsi="Times New Roman" w:cs="宋体"/>
                <w:color w:val="auto"/>
                <w:szCs w:val="21"/>
                <w:highlight w:val="none"/>
              </w:rPr>
              <w:t xml:space="preserve">（30分）</w:t>
            </w:r>
            <w:r/>
          </w:p>
        </w:tc>
        <w:tc>
          <w:tcPr>
            <w:tcBorders>
              <w:top w:val="single" w:color="000000" w:sz="2" w:space="0"/>
              <w:left w:val="single" w:color="000000" w:sz="2" w:space="0"/>
              <w:bottom w:val="single" w:color="000000" w:sz="2" w:space="0"/>
              <w:right w:val="single" w:color="000000" w:sz="2" w:space="0"/>
            </w:tcBorders>
            <w:tcW w:w="3885" w:type="pct"/>
            <w:vAlign w:val="center"/>
            <w:textDirection w:val="lrTb"/>
            <w:noWrap w:val="false"/>
          </w:tcPr>
          <w:p>
            <w:pPr>
              <w:jc w:val="left"/>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报价分采用低价优先法计算，即满足招标文件要求且落实政府采购政策后折算的投标价格最低的投标报价为评标基准价，其价格分为满分。其他投标人的价格分按照下列公式计算；投标报价得分=（评价基准价/投标报价）×30%×100。</w:t>
            </w:r>
            <w:r/>
          </w:p>
        </w:tc>
      </w:tr>
      <w:tr>
        <w:trPr>
          <w:jc w:val="center"/>
          <w:trHeight w:val="1119"/>
        </w:trPr>
        <w:tc>
          <w:tcPr>
            <w:tcBorders>
              <w:top w:val="single" w:color="000000" w:sz="2" w:space="0"/>
              <w:left w:val="single" w:color="000000" w:sz="2" w:space="0"/>
              <w:bottom w:val="single" w:color="000000" w:sz="2" w:space="0"/>
              <w:right w:val="single" w:color="000000" w:sz="2" w:space="0"/>
            </w:tcBorders>
            <w:tcW w:w="1114" w:type="pct"/>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投标人实力</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（7分）</w:t>
            </w:r>
            <w:r/>
          </w:p>
        </w:tc>
        <w:tc>
          <w:tcPr>
            <w:shd w:val="clear" w:color="auto" w:fill="auto"/>
            <w:tcBorders>
              <w:top w:val="single" w:color="000000" w:sz="2" w:space="0"/>
              <w:left w:val="single" w:color="000000" w:sz="2" w:space="0"/>
              <w:bottom w:val="single" w:color="000000" w:sz="2" w:space="0"/>
              <w:right w:val="single" w:color="000000" w:sz="2" w:space="0"/>
            </w:tcBorders>
            <w:tcW w:w="3885" w:type="pct"/>
            <w:vAlign w:val="center"/>
            <w:textDirection w:val="lrTb"/>
            <w:noWrap w:val="false"/>
          </w:tcPr>
          <w:p>
            <w:pPr>
              <w:pStyle w:val="776"/>
              <w:spacing w:after="0" w:line="360" w:lineRule="auto"/>
              <w:rPr>
                <w:rFonts w:ascii="Times New Roman" w:hAnsi="Times New Roman"/>
                <w:color w:val="auto"/>
                <w:highlight w:val="none"/>
              </w:rPr>
            </w:pPr>
            <w:r>
              <w:rPr>
                <w:rFonts w:ascii="Times New Roman" w:hAnsi="Times New Roman"/>
                <w:color w:val="auto"/>
                <w:highlight w:val="none"/>
              </w:rPr>
              <w:t xml:space="preserve">1.投标人或所投产品制造商（生产者）通过由国家权威认证机构颁发的质量管理体系认证证书（ISO9001）的得</w:t>
            </w:r>
            <w:r>
              <w:rPr>
                <w:rFonts w:hint="eastAsia" w:ascii="Times New Roman" w:hAnsi="Times New Roman"/>
                <w:color w:val="auto"/>
                <w:highlight w:val="none"/>
              </w:rPr>
              <w:t xml:space="preserve">1</w:t>
            </w:r>
            <w:r>
              <w:rPr>
                <w:rFonts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ascii="Times New Roman" w:hAnsi="Times New Roman"/>
                <w:color w:val="auto"/>
                <w:highlight w:val="none"/>
              </w:rPr>
              <w:t xml:space="preserve">2.</w:t>
            </w:r>
            <w:r>
              <w:rPr>
                <w:rFonts w:hint="eastAsia" w:ascii="Times New Roman" w:hAnsi="Times New Roman"/>
                <w:color w:val="auto"/>
                <w:highlight w:val="none"/>
              </w:rPr>
              <w:t xml:space="preserve">投标人或所投产品制造商（生产者）通过由国家认证机构颁发的《中国环境标志产品认证证书》的得</w:t>
            </w:r>
            <w:r>
              <w:rPr>
                <w:rFonts w:ascii="Times New Roman" w:hAnsi="Times New Roman"/>
                <w:color w:val="auto"/>
                <w:highlight w:val="none"/>
              </w:rPr>
              <w:t xml:space="preserve">2</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3.投标人或所投产品制造商（生产者）通过由国家认证机构颁发的《家具中有害物质限量认证证书》的得2分。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4</w:t>
            </w:r>
            <w:r>
              <w:rPr>
                <w:rFonts w:ascii="Times New Roman" w:hAnsi="Times New Roman"/>
                <w:color w:val="auto"/>
                <w:highlight w:val="none"/>
              </w:rPr>
              <w:t xml:space="preserve">.</w:t>
            </w:r>
            <w:r>
              <w:rPr>
                <w:rFonts w:hint="eastAsia" w:ascii="Times New Roman" w:hAnsi="Times New Roman"/>
                <w:color w:val="auto"/>
                <w:highlight w:val="none"/>
              </w:rPr>
              <w:t xml:space="preserve">投标人或所投产品制造商（生产者）通过由国家认证机构颁发的《人类工效学产品认证证书》的得</w:t>
            </w:r>
            <w:r>
              <w:rPr>
                <w:rFonts w:ascii="Times New Roman" w:hAnsi="Times New Roman"/>
                <w:color w:val="auto"/>
                <w:highlight w:val="none"/>
              </w:rPr>
              <w:t xml:space="preserve">2</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ascii="Times New Roman" w:hAnsi="Times New Roman"/>
                <w:b/>
                <w:bCs/>
                <w:color w:val="auto"/>
                <w:highlight w:val="none"/>
              </w:rPr>
              <w:t xml:space="preserve">注：1.以上需提供证书（证书需在有效期内）原件扫描上传；2.若为代理商投标，证书单位名称要与制造商名称一致。</w:t>
            </w:r>
            <w:r/>
          </w:p>
        </w:tc>
      </w:tr>
      <w:tr>
        <w:trPr>
          <w:jc w:val="center"/>
          <w:trHeight w:val="370"/>
        </w:trPr>
        <w:tc>
          <w:tcPr>
            <w:tcBorders>
              <w:top w:val="single" w:color="000000" w:sz="2" w:space="0"/>
              <w:left w:val="single" w:color="000000" w:sz="2" w:space="0"/>
              <w:bottom w:val="single" w:color="000000" w:sz="2" w:space="0"/>
              <w:right w:val="single" w:color="000000" w:sz="2" w:space="0"/>
            </w:tcBorders>
            <w:tcW w:w="1114" w:type="pct"/>
            <w:vAlign w:val="center"/>
            <w:textDirection w:val="lrTb"/>
            <w:noWrap w:val="false"/>
          </w:tcPr>
          <w:p>
            <w:pPr>
              <w:pStyle w:val="776"/>
              <w:jc w:val="center"/>
              <w:spacing w:after="0"/>
              <w:rPr>
                <w:rFonts w:ascii="Times New Roman" w:hAnsi="Times New Roman"/>
                <w:color w:val="auto"/>
                <w:highlight w:val="none"/>
              </w:rPr>
            </w:pPr>
            <w:r>
              <w:rPr>
                <w:rFonts w:ascii="Times New Roman" w:hAnsi="Times New Roman"/>
                <w:color w:val="auto"/>
                <w:highlight w:val="none"/>
              </w:rPr>
              <w:t xml:space="preserve">样品</w:t>
            </w:r>
            <w:r/>
          </w:p>
          <w:p>
            <w:pPr>
              <w:jc w:val="center"/>
              <w:spacing w:line="360" w:lineRule="auto"/>
              <w:rPr>
                <w:rFonts w:ascii="Times New Roman" w:hAnsi="Times New Roman" w:cs="宋体"/>
                <w:color w:val="auto"/>
                <w:szCs w:val="21"/>
                <w:highlight w:val="none"/>
              </w:rPr>
            </w:pPr>
            <w:r>
              <w:rPr>
                <w:rFonts w:ascii="Times New Roman" w:hAnsi="Times New Roman"/>
                <w:color w:val="auto"/>
                <w:szCs w:val="24"/>
                <w:highlight w:val="none"/>
              </w:rPr>
              <w:t xml:space="preserve">（18分）</w:t>
            </w:r>
            <w:r/>
          </w:p>
        </w:tc>
        <w:tc>
          <w:tcPr>
            <w:tcBorders>
              <w:top w:val="single" w:color="000000" w:sz="2" w:space="0"/>
              <w:left w:val="single" w:color="000000" w:sz="2" w:space="0"/>
              <w:bottom w:val="single" w:color="000000" w:sz="2" w:space="0"/>
              <w:right w:val="single" w:color="000000" w:sz="2" w:space="0"/>
            </w:tcBorders>
            <w:tcW w:w="3885" w:type="pct"/>
            <w:vAlign w:val="center"/>
            <w:textDirection w:val="lrTb"/>
            <w:noWrap w:val="false"/>
          </w:tcPr>
          <w:p>
            <w:pPr>
              <w:pStyle w:val="776"/>
              <w:spacing w:after="0" w:line="360" w:lineRule="auto"/>
              <w:rPr>
                <w:rFonts w:ascii="Times New Roman" w:hAnsi="Times New Roman"/>
                <w:color w:val="auto"/>
                <w:highlight w:val="none"/>
              </w:rPr>
            </w:pPr>
            <w:r>
              <w:rPr>
                <w:rFonts w:ascii="Times New Roman" w:hAnsi="Times New Roman"/>
                <w:color w:val="auto"/>
                <w:highlight w:val="none"/>
              </w:rPr>
              <w:t xml:space="preserve">1.</w:t>
            </w:r>
            <w:r>
              <w:rPr>
                <w:rFonts w:hint="eastAsia" w:ascii="Times New Roman" w:hAnsi="Times New Roman"/>
                <w:color w:val="auto"/>
                <w:highlight w:val="none"/>
              </w:rPr>
              <w:t xml:space="preserve">单人床（含床板）（</w:t>
            </w:r>
            <w:r>
              <w:rPr>
                <w:rFonts w:ascii="Times New Roman" w:hAnsi="Times New Roman"/>
                <w:color w:val="auto"/>
                <w:highlight w:val="none"/>
              </w:rPr>
              <w:t xml:space="preserve">6</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w:t>
            </w:r>
            <w:r>
              <w:rPr>
                <w:rFonts w:ascii="Times New Roman" w:hAnsi="Times New Roman"/>
                <w:color w:val="auto"/>
                <w:highlight w:val="none"/>
              </w:rPr>
              <w:t xml:space="preserve">1</w:t>
            </w:r>
            <w:r>
              <w:rPr>
                <w:rFonts w:hint="eastAsia" w:ascii="Times New Roman" w:hAnsi="Times New Roman"/>
                <w:color w:val="auto"/>
                <w:highlight w:val="none"/>
              </w:rPr>
              <w:t xml:space="preserve">）外观、结构（</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①规格尺寸；②外观洁净平整；③色泽分布均匀；与招标要求的响应程度进行评分：每一项得</w:t>
            </w:r>
            <w:r>
              <w:rPr>
                <w:rFonts w:ascii="Times New Roman" w:hAnsi="Times New Roman"/>
                <w:color w:val="auto"/>
                <w:highlight w:val="none"/>
              </w:rPr>
              <w:t xml:space="preserve">1</w:t>
            </w:r>
            <w:r>
              <w:rPr>
                <w:rFonts w:hint="eastAsia" w:ascii="Times New Roman" w:hAnsi="Times New Roman"/>
                <w:color w:val="auto"/>
                <w:highlight w:val="none"/>
              </w:rPr>
              <w:t xml:space="preserve">分，满分</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w:t>
            </w:r>
            <w:r>
              <w:rPr>
                <w:rFonts w:ascii="Times New Roman" w:hAnsi="Times New Roman"/>
                <w:color w:val="auto"/>
                <w:highlight w:val="none"/>
              </w:rPr>
              <w:t xml:space="preserve">2</w:t>
            </w:r>
            <w:r>
              <w:rPr>
                <w:rFonts w:hint="eastAsia" w:ascii="Times New Roman" w:hAnsi="Times New Roman"/>
                <w:color w:val="auto"/>
                <w:highlight w:val="none"/>
              </w:rPr>
              <w:t xml:space="preserve">）工艺、质量（</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①牢固与稳定；②制作工艺（焊接有无脱焊、涂层没有露底、凹凸、疙瘩、皱皮、明显挂流）；③五金配件连接紧密程度；等每一项得</w:t>
            </w:r>
            <w:r>
              <w:rPr>
                <w:rFonts w:ascii="Times New Roman" w:hAnsi="Times New Roman"/>
                <w:color w:val="auto"/>
                <w:highlight w:val="none"/>
              </w:rPr>
              <w:t xml:space="preserve">1</w:t>
            </w:r>
            <w:r>
              <w:rPr>
                <w:rFonts w:hint="eastAsia" w:ascii="Times New Roman" w:hAnsi="Times New Roman"/>
                <w:color w:val="auto"/>
                <w:highlight w:val="none"/>
              </w:rPr>
              <w:t xml:space="preserve">分，满分</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不提供样品的，本项不得分。</w:t>
            </w:r>
            <w:r/>
          </w:p>
          <w:p>
            <w:pPr>
              <w:pStyle w:val="776"/>
              <w:spacing w:after="0" w:line="360" w:lineRule="auto"/>
              <w:rPr>
                <w:rFonts w:ascii="Times New Roman" w:hAnsi="Times New Roman"/>
                <w:color w:val="auto"/>
                <w:highlight w:val="none"/>
              </w:rPr>
            </w:pPr>
            <w:r>
              <w:rPr>
                <w:rFonts w:ascii="Times New Roman" w:hAnsi="Times New Roman"/>
                <w:color w:val="auto"/>
                <w:highlight w:val="none"/>
              </w:rPr>
              <w:t xml:space="preserve">2.</w:t>
            </w:r>
            <w:r>
              <w:rPr>
                <w:rFonts w:hint="eastAsia" w:ascii="Times New Roman" w:hAnsi="Times New Roman"/>
                <w:color w:val="auto"/>
                <w:highlight w:val="none"/>
              </w:rPr>
              <w:t xml:space="preserve">单人位自修桌（</w:t>
            </w:r>
            <w:r>
              <w:rPr>
                <w:rFonts w:ascii="Times New Roman" w:hAnsi="Times New Roman"/>
                <w:color w:val="auto"/>
                <w:highlight w:val="none"/>
              </w:rPr>
              <w:t xml:space="preserve">6</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w:t>
            </w:r>
            <w:r>
              <w:rPr>
                <w:rFonts w:ascii="Times New Roman" w:hAnsi="Times New Roman"/>
                <w:color w:val="auto"/>
                <w:highlight w:val="none"/>
              </w:rPr>
              <w:t xml:space="preserve">1</w:t>
            </w:r>
            <w:r>
              <w:rPr>
                <w:rFonts w:hint="eastAsia" w:ascii="Times New Roman" w:hAnsi="Times New Roman"/>
                <w:color w:val="auto"/>
                <w:highlight w:val="none"/>
              </w:rPr>
              <w:t xml:space="preserve">）外观、结构（</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①规格尺寸；②外观洁净平整；③色泽分布均匀；与招标要求的响应程度进行评分：每一项得</w:t>
            </w:r>
            <w:r>
              <w:rPr>
                <w:rFonts w:ascii="Times New Roman" w:hAnsi="Times New Roman"/>
                <w:color w:val="auto"/>
                <w:highlight w:val="none"/>
              </w:rPr>
              <w:t xml:space="preserve">1</w:t>
            </w:r>
            <w:r>
              <w:rPr>
                <w:rFonts w:hint="eastAsia" w:ascii="Times New Roman" w:hAnsi="Times New Roman"/>
                <w:color w:val="auto"/>
                <w:highlight w:val="none"/>
              </w:rPr>
              <w:t xml:space="preserve">分，满分</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w:t>
            </w:r>
            <w:r>
              <w:rPr>
                <w:rFonts w:ascii="Times New Roman" w:hAnsi="Times New Roman"/>
                <w:color w:val="auto"/>
                <w:highlight w:val="none"/>
              </w:rPr>
              <w:t xml:space="preserve">2</w:t>
            </w:r>
            <w:r>
              <w:rPr>
                <w:rFonts w:hint="eastAsia" w:ascii="Times New Roman" w:hAnsi="Times New Roman"/>
                <w:color w:val="auto"/>
                <w:highlight w:val="none"/>
              </w:rPr>
              <w:t xml:space="preserve">）工艺、质量（</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①牢固与稳定；②制作工艺（组合部件配合严密、封边密实贴合）；③五金配件连接紧密程度；每一项得</w:t>
            </w:r>
            <w:r>
              <w:rPr>
                <w:rFonts w:ascii="Times New Roman" w:hAnsi="Times New Roman"/>
                <w:color w:val="auto"/>
                <w:highlight w:val="none"/>
              </w:rPr>
              <w:t xml:space="preserve">1</w:t>
            </w:r>
            <w:r>
              <w:rPr>
                <w:rFonts w:hint="eastAsia" w:ascii="Times New Roman" w:hAnsi="Times New Roman"/>
                <w:color w:val="auto"/>
                <w:highlight w:val="none"/>
              </w:rPr>
              <w:t xml:space="preserve">分，满分</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不提供样品的，本项不得分。</w:t>
            </w:r>
            <w:r/>
          </w:p>
          <w:p>
            <w:pPr>
              <w:pStyle w:val="776"/>
              <w:spacing w:after="0" w:line="360" w:lineRule="auto"/>
              <w:rPr>
                <w:rFonts w:ascii="Times New Roman" w:hAnsi="Times New Roman"/>
                <w:color w:val="auto"/>
                <w:highlight w:val="none"/>
              </w:rPr>
            </w:pPr>
            <w:r>
              <w:rPr>
                <w:rFonts w:ascii="Times New Roman" w:hAnsi="Times New Roman"/>
                <w:color w:val="auto"/>
                <w:highlight w:val="none"/>
              </w:rPr>
              <w:t xml:space="preserve">3.</w:t>
            </w:r>
            <w:r>
              <w:rPr>
                <w:rFonts w:hint="eastAsia" w:ascii="Times New Roman" w:hAnsi="Times New Roman"/>
                <w:color w:val="auto"/>
                <w:highlight w:val="none"/>
              </w:rPr>
              <w:t xml:space="preserve">木椅（</w:t>
            </w:r>
            <w:r>
              <w:rPr>
                <w:rFonts w:ascii="Times New Roman" w:hAnsi="Times New Roman"/>
                <w:color w:val="auto"/>
                <w:highlight w:val="none"/>
              </w:rPr>
              <w:t xml:space="preserve">6</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w:t>
            </w:r>
            <w:r>
              <w:rPr>
                <w:rFonts w:ascii="Times New Roman" w:hAnsi="Times New Roman"/>
                <w:color w:val="auto"/>
                <w:highlight w:val="none"/>
              </w:rPr>
              <w:t xml:space="preserve">1</w:t>
            </w:r>
            <w:r>
              <w:rPr>
                <w:rFonts w:hint="eastAsia" w:ascii="Times New Roman" w:hAnsi="Times New Roman"/>
                <w:color w:val="auto"/>
                <w:highlight w:val="none"/>
              </w:rPr>
              <w:t xml:space="preserve">）外观、结构（</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①规格尺寸；②外观洁净平整；③色泽分布均匀；与招标要求的响应程度进行评分：每一项得</w:t>
            </w:r>
            <w:r>
              <w:rPr>
                <w:rFonts w:ascii="Times New Roman" w:hAnsi="Times New Roman"/>
                <w:color w:val="auto"/>
                <w:highlight w:val="none"/>
              </w:rPr>
              <w:t xml:space="preserve">1</w:t>
            </w:r>
            <w:r>
              <w:rPr>
                <w:rFonts w:hint="eastAsia" w:ascii="Times New Roman" w:hAnsi="Times New Roman"/>
                <w:color w:val="auto"/>
                <w:highlight w:val="none"/>
              </w:rPr>
              <w:t xml:space="preserve">分，满分</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w:t>
            </w:r>
            <w:r>
              <w:rPr>
                <w:rFonts w:ascii="Times New Roman" w:hAnsi="Times New Roman"/>
                <w:color w:val="auto"/>
                <w:highlight w:val="none"/>
              </w:rPr>
              <w:t xml:space="preserve">2</w:t>
            </w:r>
            <w:r>
              <w:rPr>
                <w:rFonts w:hint="eastAsia" w:ascii="Times New Roman" w:hAnsi="Times New Roman"/>
                <w:color w:val="auto"/>
                <w:highlight w:val="none"/>
              </w:rPr>
              <w:t xml:space="preserve">）工艺、质量（</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p>
          <w:p>
            <w:pPr>
              <w:pStyle w:val="776"/>
              <w:spacing w:after="0" w:line="360" w:lineRule="auto"/>
              <w:rPr>
                <w:rFonts w:ascii="Times New Roman" w:hAnsi="Times New Roman"/>
                <w:color w:val="auto"/>
                <w:highlight w:val="none"/>
              </w:rPr>
            </w:pPr>
            <w:r>
              <w:rPr>
                <w:rFonts w:hint="eastAsia" w:ascii="Times New Roman" w:hAnsi="Times New Roman"/>
                <w:color w:val="auto"/>
                <w:highlight w:val="none"/>
              </w:rPr>
              <w:t xml:space="preserve">①牢固与稳定；②制作工艺（漆膜平整及是否有流挂现象）③五金配件连接紧密程度；每一项得</w:t>
            </w:r>
            <w:r>
              <w:rPr>
                <w:rFonts w:ascii="Times New Roman" w:hAnsi="Times New Roman"/>
                <w:color w:val="auto"/>
                <w:highlight w:val="none"/>
              </w:rPr>
              <w:t xml:space="preserve">1</w:t>
            </w:r>
            <w:r>
              <w:rPr>
                <w:rFonts w:hint="eastAsia" w:ascii="Times New Roman" w:hAnsi="Times New Roman"/>
                <w:color w:val="auto"/>
                <w:highlight w:val="none"/>
              </w:rPr>
              <w:t xml:space="preserve">分，满分</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p>
          <w:p>
            <w:pPr>
              <w:pStyle w:val="776"/>
              <w:spacing w:after="0" w:line="360" w:lineRule="auto"/>
              <w:rPr>
                <w:rFonts w:ascii="Times New Roman" w:hAnsi="Times New Roman" w:cs="宋体"/>
                <w:color w:val="auto"/>
                <w:szCs w:val="21"/>
                <w:highlight w:val="none"/>
              </w:rPr>
            </w:pPr>
            <w:r>
              <w:rPr>
                <w:rFonts w:hint="eastAsia" w:ascii="Times New Roman" w:hAnsi="Times New Roman"/>
                <w:color w:val="auto"/>
                <w:highlight w:val="none"/>
              </w:rPr>
              <w:t xml:space="preserve">不提供样品的，本项不得分。</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1114" w:type="pct"/>
            <w:vAlign w:val="center"/>
            <w:textDirection w:val="lrTb"/>
            <w:noWrap w:val="false"/>
          </w:tcPr>
          <w:p>
            <w:pPr>
              <w:pStyle w:val="776"/>
              <w:jc w:val="center"/>
              <w:spacing w:after="0"/>
              <w:rPr>
                <w:rFonts w:ascii="Times New Roman" w:hAnsi="Times New Roman"/>
                <w:color w:val="auto"/>
                <w:highlight w:val="none"/>
              </w:rPr>
            </w:pPr>
            <w:r>
              <w:rPr>
                <w:rFonts w:ascii="Times New Roman" w:hAnsi="Times New Roman"/>
                <w:color w:val="auto"/>
                <w:highlight w:val="none"/>
              </w:rPr>
              <w:t xml:space="preserve">原材料检测报告</w:t>
            </w:r>
            <w:r/>
          </w:p>
          <w:p>
            <w:pPr>
              <w:pStyle w:val="776"/>
              <w:jc w:val="center"/>
              <w:spacing w:after="0"/>
              <w:rPr>
                <w:rFonts w:ascii="Times New Roman" w:hAnsi="Times New Roman" w:cs="宋体"/>
                <w:color w:val="auto"/>
                <w:szCs w:val="21"/>
                <w:highlight w:val="none"/>
              </w:rPr>
            </w:pPr>
            <w:r>
              <w:rPr>
                <w:rFonts w:ascii="Times New Roman" w:hAnsi="Times New Roman"/>
                <w:color w:val="auto"/>
                <w:highlight w:val="none"/>
              </w:rPr>
              <w:t xml:space="preserve">（10分）</w:t>
            </w:r>
            <w:r/>
          </w:p>
        </w:tc>
        <w:tc>
          <w:tcPr>
            <w:tcBorders>
              <w:top w:val="single" w:color="000000" w:sz="2" w:space="0"/>
              <w:left w:val="single" w:color="000000" w:sz="2" w:space="0"/>
              <w:right w:val="single" w:color="000000" w:sz="2" w:space="0"/>
            </w:tcBorders>
            <w:tcW w:w="3885" w:type="pct"/>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投标人或所投产品制造商（生产者）</w:t>
            </w:r>
            <w:r>
              <w:rPr>
                <w:rFonts w:ascii="Times New Roman" w:hAnsi="Times New Roman"/>
                <w:color w:val="auto"/>
                <w:szCs w:val="21"/>
                <w:highlight w:val="none"/>
              </w:rPr>
              <w:t xml:space="preserve">具有202</w:t>
            </w:r>
            <w:r>
              <w:rPr>
                <w:rFonts w:hint="eastAsia" w:ascii="Times New Roman" w:hAnsi="Times New Roman"/>
                <w:color w:val="auto"/>
                <w:szCs w:val="21"/>
                <w:highlight w:val="none"/>
              </w:rPr>
              <w:t xml:space="preserve">3</w:t>
            </w:r>
            <w:r>
              <w:rPr>
                <w:rFonts w:ascii="Times New Roman" w:hAnsi="Times New Roman"/>
                <w:color w:val="auto"/>
                <w:szCs w:val="21"/>
                <w:highlight w:val="none"/>
              </w:rPr>
              <w:t xml:space="preserve">年1月1日至今，由第三方检测机构出具的，</w:t>
            </w:r>
            <w:r>
              <w:rPr>
                <w:rFonts w:ascii="Times New Roman" w:hAnsi="Times New Roman"/>
                <w:color w:val="auto"/>
                <w:szCs w:val="21"/>
                <w:highlight w:val="none"/>
              </w:rPr>
              <w:t xml:space="preserve">带有</w:t>
            </w:r>
            <w:r>
              <w:rPr>
                <w:rFonts w:hint="eastAsia" w:ascii="Times New Roman" w:hAnsi="Times New Roman"/>
                <w:color w:val="auto"/>
                <w:szCs w:val="21"/>
                <w:highlight w:val="none"/>
              </w:rPr>
              <w:t xml:space="preserve">“CMA”或“CNAS”</w:t>
            </w:r>
            <w:r>
              <w:rPr>
                <w:rFonts w:ascii="Times New Roman" w:hAnsi="Times New Roman"/>
                <w:color w:val="auto"/>
                <w:szCs w:val="21"/>
                <w:highlight w:val="none"/>
              </w:rPr>
              <w:t xml:space="preserve">标识</w:t>
            </w:r>
            <w:r>
              <w:rPr>
                <w:rFonts w:ascii="Times New Roman" w:hAnsi="Times New Roman"/>
                <w:color w:val="auto"/>
                <w:szCs w:val="21"/>
                <w:highlight w:val="none"/>
              </w:rPr>
              <w:t xml:space="preserve">的原材料检测合格报告：</w:t>
            </w:r>
            <w:r/>
          </w:p>
          <w:p>
            <w:pPr>
              <w:spacing w:line="360" w:lineRule="auto"/>
              <w:rPr>
                <w:rFonts w:ascii="Times New Roman" w:hAnsi="Times New Roman"/>
                <w:bCs/>
                <w:color w:val="auto"/>
                <w:szCs w:val="21"/>
                <w:highlight w:val="none"/>
                <w:lang w:val="zh-CN"/>
              </w:rPr>
            </w:pPr>
            <w:r>
              <w:rPr>
                <w:rFonts w:hint="eastAsia" w:ascii="Times New Roman" w:hAnsi="Times New Roman"/>
                <w:bCs/>
                <w:color w:val="auto"/>
                <w:szCs w:val="21"/>
                <w:highlight w:val="none"/>
              </w:rPr>
              <w:t xml:space="preserve">1.</w:t>
            </w:r>
            <w:r>
              <w:rPr>
                <w:rFonts w:hint="eastAsia" w:ascii="Times New Roman" w:hAnsi="Times New Roman"/>
                <w:bCs/>
                <w:color w:val="auto"/>
                <w:szCs w:val="21"/>
                <w:highlight w:val="none"/>
                <w:lang w:val="zh-CN"/>
              </w:rPr>
              <w:t xml:space="preserve">橡胶木</w:t>
            </w:r>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检测项目需包含：甲醛释放量、含水率、抗菌率、阻燃性能；每有一项检测合格得0.5分，全部符合标准的得2分。</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2.钢管</w:t>
            </w:r>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检测项目需包含：化学成分（碳、硅、锰、磷、硫）、乙酸盐雾（连续喷雾</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200h）、弯曲试验、压扁试验，每有一项检测合格得0.5分，全部符合标准的得2分。</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lang w:val="zh-CN"/>
              </w:rPr>
              <w:t xml:space="preserve">3.油漆</w:t>
            </w:r>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检测项目需包含：VOC含量、总铅（Pb）含量、甲苯与二甲苯（含乙苯）总和含量、可溶性重金属含量（镉、铬、汞）；每有一项检测合格得0.5分，全部符合标准的得2分。</w:t>
            </w:r>
            <w:r/>
          </w:p>
          <w:p>
            <w:pPr>
              <w:pStyle w:val="845"/>
              <w:spacing w:line="360" w:lineRule="auto"/>
              <w:rPr>
                <w:rFonts w:ascii="Times New Roman" w:eastAsia="宋体"/>
                <w:bCs/>
                <w:color w:val="auto"/>
                <w:sz w:val="21"/>
                <w:szCs w:val="21"/>
                <w:highlight w:val="none"/>
              </w:rPr>
            </w:pPr>
            <w:r>
              <w:rPr>
                <w:rFonts w:hint="eastAsia" w:ascii="Times New Roman" w:eastAsia="宋体"/>
                <w:bCs/>
                <w:color w:val="auto"/>
                <w:sz w:val="21"/>
                <w:szCs w:val="21"/>
                <w:highlight w:val="none"/>
              </w:rPr>
              <w:t xml:space="preserve">4.PP塑料</w:t>
            </w:r>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检测项目需包含：有害物质限量（可溶性铅、邻苯二甲酸酯）、燃烧性能、耐老化性、防霉性能（里氏木菌、绿粘帚菌）每有一项检测合格得0.5分，全部符合标准的得2分。</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5.PVC封边条</w:t>
            </w:r>
            <w:r/>
          </w:p>
          <w:p>
            <w:pPr>
              <w:pStyle w:val="775"/>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检测项目需包含：甲醛释放量、耐磨性、防霉性能、重金属含量（铅、铬）；每有一项检测合格得0.5分，全部符合标准的得2分。</w:t>
            </w:r>
            <w:r/>
          </w:p>
          <w:p>
            <w:pPr>
              <w:spacing w:line="360" w:lineRule="auto"/>
              <w:rPr>
                <w:rFonts w:ascii="Times New Roman" w:hAnsi="Times New Roman" w:cs="宋体"/>
                <w:color w:val="auto"/>
                <w:szCs w:val="21"/>
                <w:highlight w:val="none"/>
              </w:rPr>
            </w:pPr>
            <w:r>
              <w:rPr>
                <w:rFonts w:ascii="Times New Roman" w:hAnsi="Times New Roman"/>
                <w:b/>
                <w:color w:val="auto"/>
                <w:szCs w:val="21"/>
                <w:highlight w:val="none"/>
              </w:rPr>
              <w:t xml:space="preserve">注：</w:t>
            </w:r>
            <w:r>
              <w:rPr>
                <w:rFonts w:hint="eastAsia" w:ascii="Times New Roman" w:hAnsi="Times New Roman"/>
                <w:b/>
                <w:color w:val="auto"/>
                <w:szCs w:val="21"/>
                <w:highlight w:val="none"/>
              </w:rPr>
              <w:t xml:space="preserve">1.需提供检测报</w:t>
            </w:r>
            <w:r>
              <w:rPr>
                <w:rFonts w:hint="eastAsia" w:ascii="Times New Roman" w:hAnsi="Times New Roman"/>
                <w:b/>
                <w:color w:val="auto"/>
                <w:szCs w:val="21"/>
                <w:highlight w:val="none"/>
              </w:rPr>
              <w:t xml:space="preserve">告，原件扫描上传系统，未按要求提供不得分。2.</w:t>
            </w:r>
            <w:r>
              <w:rPr>
                <w:rFonts w:ascii="Times New Roman" w:hAnsi="Times New Roman"/>
                <w:b/>
                <w:color w:val="auto"/>
                <w:szCs w:val="21"/>
                <w:highlight w:val="none"/>
              </w:rPr>
              <w:t xml:space="preserve">检测报告送检单位名称需与投标人或所投产品</w:t>
            </w:r>
            <w:r>
              <w:rPr>
                <w:rFonts w:ascii="Times New Roman" w:hAnsi="Times New Roman"/>
                <w:b/>
                <w:color w:val="auto"/>
                <w:szCs w:val="21"/>
                <w:highlight w:val="none"/>
              </w:rPr>
              <w:t xml:space="preserve">制造商名称一致；若检测报告名称不一致，但实为同种原材料即可。</w:t>
            </w:r>
            <w:r/>
          </w:p>
        </w:tc>
      </w:tr>
      <w:tr>
        <w:trPr>
          <w:jc w:val="center"/>
          <w:trHeight w:val="1713"/>
        </w:trPr>
        <w:tc>
          <w:tcPr>
            <w:tcBorders>
              <w:top w:val="single" w:color="000000" w:sz="2" w:space="0"/>
              <w:left w:val="single" w:color="000000" w:sz="2" w:space="0"/>
              <w:bottom w:val="single" w:color="auto" w:sz="4" w:space="0"/>
              <w:right w:val="single" w:color="000000" w:sz="2" w:space="0"/>
            </w:tcBorders>
            <w:tcW w:w="1114" w:type="pct"/>
            <w:vAlign w:val="center"/>
            <w:textDirection w:val="lrTb"/>
            <w:noWrap w:val="false"/>
          </w:tcPr>
          <w:p>
            <w:pPr>
              <w:pStyle w:val="776"/>
              <w:jc w:val="center"/>
              <w:spacing w:after="0" w:line="360" w:lineRule="auto"/>
              <w:rPr>
                <w:rFonts w:ascii="Times New Roman" w:hAnsi="Times New Roman"/>
                <w:color w:val="auto"/>
                <w:highlight w:val="none"/>
              </w:rPr>
            </w:pPr>
            <w:r>
              <w:rPr>
                <w:rFonts w:ascii="Times New Roman" w:hAnsi="Times New Roman"/>
                <w:color w:val="auto"/>
                <w:highlight w:val="none"/>
              </w:rPr>
              <w:t xml:space="preserve">业绩</w:t>
            </w:r>
            <w:r/>
          </w:p>
          <w:p>
            <w:pPr>
              <w:pStyle w:val="776"/>
              <w:jc w:val="center"/>
              <w:spacing w:after="0" w:line="360" w:lineRule="auto"/>
              <w:rPr>
                <w:rFonts w:ascii="Times New Roman" w:hAnsi="Times New Roman" w:cs="宋体"/>
                <w:color w:val="auto"/>
                <w:szCs w:val="21"/>
                <w:highlight w:val="none"/>
              </w:rPr>
            </w:pPr>
            <w:r>
              <w:rPr>
                <w:rFonts w:ascii="Times New Roman" w:hAnsi="Times New Roman"/>
                <w:color w:val="auto"/>
                <w:highlight w:val="none"/>
              </w:rPr>
              <w:t xml:space="preserve">（</w:t>
            </w:r>
            <w:r>
              <w:rPr>
                <w:rFonts w:hint="eastAsia" w:ascii="Times New Roman" w:hAnsi="Times New Roman"/>
                <w:color w:val="auto"/>
                <w:highlight w:val="none"/>
              </w:rPr>
              <w:t xml:space="preserve">8</w:t>
            </w:r>
            <w:r>
              <w:rPr>
                <w:rFonts w:ascii="Times New Roman" w:hAnsi="Times New Roman"/>
                <w:color w:val="auto"/>
                <w:highlight w:val="none"/>
              </w:rPr>
              <w:t xml:space="preserve">分）</w:t>
            </w:r>
            <w:r/>
          </w:p>
        </w:tc>
        <w:tc>
          <w:tcPr>
            <w:tcBorders>
              <w:top w:val="single" w:color="000000" w:sz="2" w:space="0"/>
              <w:left w:val="single" w:color="000000" w:sz="2" w:space="0"/>
              <w:bottom w:val="single" w:color="auto" w:sz="4" w:space="0"/>
              <w:right w:val="single" w:color="000000" w:sz="2" w:space="0"/>
            </w:tcBorders>
            <w:tcW w:w="3885" w:type="pct"/>
            <w:vAlign w:val="center"/>
            <w:textDirection w:val="lrTb"/>
            <w:noWrap w:val="false"/>
          </w:tcPr>
          <w:p>
            <w:pPr>
              <w:pStyle w:val="776"/>
              <w:spacing w:after="0" w:line="360" w:lineRule="auto"/>
              <w:rPr>
                <w:rFonts w:ascii="Times New Roman" w:hAnsi="Times New Roman"/>
                <w:color w:val="auto"/>
                <w:highlight w:val="none"/>
              </w:rPr>
            </w:pPr>
            <w:r>
              <w:rPr>
                <w:rFonts w:ascii="Times New Roman" w:hAnsi="Times New Roman"/>
                <w:color w:val="auto"/>
                <w:highlight w:val="none"/>
              </w:rPr>
              <w:t xml:space="preserve">提供投标人202</w:t>
            </w:r>
            <w:r>
              <w:rPr>
                <w:rFonts w:hint="eastAsia" w:ascii="Times New Roman" w:hAnsi="Times New Roman"/>
                <w:color w:val="auto"/>
                <w:highlight w:val="none"/>
              </w:rPr>
              <w:t xml:space="preserve">3</w:t>
            </w:r>
            <w:r>
              <w:rPr>
                <w:rFonts w:ascii="Times New Roman" w:hAnsi="Times New Roman"/>
                <w:color w:val="auto"/>
                <w:highlight w:val="none"/>
              </w:rPr>
              <w:t xml:space="preserve">年1月1日至今承担过</w:t>
            </w:r>
            <w:r>
              <w:rPr>
                <w:rFonts w:hint="eastAsia" w:ascii="Times New Roman" w:hAnsi="Times New Roman"/>
                <w:color w:val="auto"/>
                <w:highlight w:val="none"/>
              </w:rPr>
              <w:t xml:space="preserve">的</w:t>
            </w:r>
            <w:r>
              <w:rPr>
                <w:rFonts w:ascii="Times New Roman" w:hAnsi="Times New Roman"/>
                <w:color w:val="auto"/>
                <w:highlight w:val="none"/>
              </w:rPr>
              <w:t xml:space="preserve">类似项目业绩（以合同签订时间为准）</w:t>
            </w:r>
            <w:r>
              <w:rPr>
                <w:rFonts w:ascii="Times New Roman" w:hAnsi="Times New Roman"/>
                <w:color w:val="auto"/>
                <w:highlight w:val="none"/>
              </w:rPr>
              <w:t xml:space="preserve">，有一项得</w:t>
            </w:r>
            <w:r>
              <w:rPr>
                <w:rFonts w:hint="eastAsia" w:ascii="Times New Roman" w:hAnsi="Times New Roman"/>
                <w:color w:val="auto"/>
                <w:highlight w:val="none"/>
              </w:rPr>
              <w:t xml:space="preserve">2</w:t>
            </w:r>
            <w:r>
              <w:rPr>
                <w:rFonts w:ascii="Times New Roman" w:hAnsi="Times New Roman"/>
                <w:color w:val="auto"/>
                <w:highlight w:val="none"/>
              </w:rPr>
              <w:t xml:space="preserve">分，满分</w:t>
            </w:r>
            <w:r>
              <w:rPr>
                <w:rFonts w:hint="eastAsia" w:ascii="Times New Roman" w:hAnsi="Times New Roman"/>
                <w:color w:val="auto"/>
                <w:highlight w:val="none"/>
              </w:rPr>
              <w:t xml:space="preserve">8</w:t>
            </w:r>
            <w:r>
              <w:rPr>
                <w:rFonts w:ascii="Times New Roman" w:hAnsi="Times New Roman"/>
                <w:color w:val="auto"/>
                <w:highlight w:val="none"/>
              </w:rPr>
              <w:t xml:space="preserve">分。</w:t>
            </w:r>
            <w:r/>
          </w:p>
          <w:p>
            <w:pPr>
              <w:pStyle w:val="776"/>
              <w:spacing w:after="0" w:line="360" w:lineRule="auto"/>
              <w:rPr>
                <w:rFonts w:ascii="Times New Roman" w:hAnsi="Times New Roman" w:cs="宋体"/>
                <w:color w:val="auto"/>
                <w:szCs w:val="21"/>
                <w:highlight w:val="none"/>
              </w:rPr>
            </w:pPr>
            <w:r>
              <w:rPr>
                <w:rFonts w:ascii="Times New Roman" w:hAnsi="Times New Roman"/>
                <w:b/>
                <w:bCs/>
                <w:color w:val="auto"/>
                <w:highlight w:val="none"/>
              </w:rPr>
              <w:t xml:space="preserve">注：</w:t>
            </w:r>
            <w:r>
              <w:rPr>
                <w:rFonts w:hint="eastAsia" w:ascii="Times New Roman" w:hAnsi="Times New Roman"/>
                <w:b/>
                <w:bCs/>
                <w:color w:val="auto"/>
                <w:highlight w:val="none"/>
              </w:rPr>
              <w:t xml:space="preserve">提供</w:t>
            </w:r>
            <w:r>
              <w:rPr>
                <w:rFonts w:ascii="Times New Roman" w:hAnsi="Times New Roman"/>
                <w:b/>
                <w:bCs/>
                <w:color w:val="auto"/>
                <w:highlight w:val="none"/>
              </w:rPr>
              <w:t xml:space="preserve">合同</w:t>
            </w:r>
            <w:r>
              <w:rPr>
                <w:rFonts w:hint="eastAsia" w:ascii="Times New Roman" w:hAnsi="Times New Roman"/>
                <w:b/>
                <w:color w:val="auto"/>
                <w:szCs w:val="21"/>
                <w:highlight w:val="none"/>
              </w:rPr>
              <w:t xml:space="preserve">，原件扫描上传系统</w:t>
            </w:r>
            <w:r>
              <w:rPr>
                <w:rFonts w:ascii="Times New Roman" w:hAnsi="Times New Roman"/>
                <w:b/>
                <w:bCs/>
                <w:color w:val="auto"/>
                <w:highlight w:val="none"/>
              </w:rPr>
              <w:t xml:space="preserve">，</w:t>
            </w:r>
            <w:r>
              <w:rPr>
                <w:rFonts w:hint="eastAsia" w:ascii="Times New Roman" w:hAnsi="Times New Roman"/>
                <w:b/>
                <w:bCs/>
                <w:color w:val="auto"/>
                <w:highlight w:val="none"/>
              </w:rPr>
              <w:t xml:space="preserve">未按要求提供不得分，</w:t>
            </w:r>
            <w:r>
              <w:rPr>
                <w:rFonts w:ascii="Times New Roman" w:hAnsi="Times New Roman"/>
                <w:b/>
                <w:bCs/>
                <w:color w:val="auto"/>
                <w:highlight w:val="none"/>
              </w:rPr>
              <w:t xml:space="preserve">同一业主单位合同不重复计分。</w:t>
            </w:r>
            <w:r/>
          </w:p>
        </w:tc>
      </w:tr>
      <w:tr>
        <w:trPr>
          <w:jc w:val="center"/>
          <w:trHeight w:val="351"/>
        </w:trPr>
        <w:tc>
          <w:tcPr>
            <w:tcBorders>
              <w:top w:val="single" w:color="auto" w:sz="4" w:space="0"/>
              <w:left w:val="single" w:color="000000" w:sz="2" w:space="0"/>
              <w:bottom w:val="single" w:color="000000" w:sz="2" w:space="0"/>
              <w:right w:val="single" w:color="000000" w:sz="2" w:space="0"/>
            </w:tcBorders>
            <w:tcW w:w="1114" w:type="pct"/>
            <w:vAlign w:val="center"/>
            <w:textDirection w:val="lrTb"/>
            <w:noWrap w:val="false"/>
          </w:tcPr>
          <w:p>
            <w:pPr>
              <w:pStyle w:val="776"/>
              <w:jc w:val="center"/>
              <w:spacing w:after="0" w:line="360" w:lineRule="auto"/>
              <w:rPr>
                <w:rFonts w:ascii="Times New Roman" w:hAnsi="Times New Roman"/>
                <w:color w:val="auto"/>
                <w:highlight w:val="none"/>
              </w:rPr>
            </w:pPr>
            <w:r>
              <w:rPr>
                <w:rFonts w:ascii="Times New Roman" w:hAnsi="Times New Roman"/>
                <w:color w:val="auto"/>
                <w:highlight w:val="none"/>
              </w:rPr>
              <w:t xml:space="preserve">实施方案</w:t>
            </w:r>
            <w:r/>
          </w:p>
          <w:p>
            <w:pPr>
              <w:pStyle w:val="776"/>
              <w:jc w:val="center"/>
              <w:spacing w:after="0" w:line="360" w:lineRule="auto"/>
              <w:rPr>
                <w:rFonts w:ascii="Times New Roman" w:hAnsi="Times New Roman" w:cs="宋体"/>
                <w:color w:val="auto"/>
                <w:szCs w:val="21"/>
                <w:highlight w:val="none"/>
              </w:rPr>
            </w:pPr>
            <w:r>
              <w:rPr>
                <w:rFonts w:ascii="Times New Roman" w:hAnsi="Times New Roman"/>
                <w:color w:val="auto"/>
                <w:highlight w:val="none"/>
              </w:rPr>
              <w:t xml:space="preserve">（</w:t>
            </w:r>
            <w:r>
              <w:rPr>
                <w:rFonts w:hint="eastAsia" w:ascii="Times New Roman" w:hAnsi="Times New Roman"/>
                <w:color w:val="auto"/>
                <w:highlight w:val="none"/>
              </w:rPr>
              <w:t xml:space="preserve">20</w:t>
            </w:r>
            <w:r>
              <w:rPr>
                <w:rFonts w:ascii="Times New Roman" w:hAnsi="Times New Roman"/>
                <w:color w:val="auto"/>
                <w:highlight w:val="none"/>
              </w:rPr>
              <w:t xml:space="preserve">分）</w:t>
            </w:r>
            <w:r/>
          </w:p>
        </w:tc>
        <w:tc>
          <w:tcPr>
            <w:tcBorders>
              <w:top w:val="single" w:color="auto" w:sz="4" w:space="0"/>
              <w:left w:val="single" w:color="000000" w:sz="2" w:space="0"/>
              <w:right w:val="single" w:color="000000" w:sz="2" w:space="0"/>
            </w:tcBorders>
            <w:tcW w:w="3885" w:type="pct"/>
            <w:vAlign w:val="center"/>
            <w:textDirection w:val="lrTb"/>
            <w:noWrap w:val="false"/>
          </w:tcPr>
          <w:p>
            <w:pPr>
              <w:pStyle w:val="776"/>
              <w:spacing w:after="0" w:line="360" w:lineRule="auto"/>
              <w:rPr>
                <w:rFonts w:ascii="Times New Roman" w:hAnsi="Times New Roman"/>
                <w:color w:val="auto"/>
                <w:highlight w:val="none"/>
              </w:rPr>
            </w:pPr>
            <w:r>
              <w:rPr>
                <w:rFonts w:ascii="Times New Roman" w:hAnsi="Times New Roman"/>
                <w:color w:val="auto"/>
                <w:highlight w:val="none"/>
              </w:rPr>
              <w:t xml:space="preserve">1.投标拟派项目人员方案（5分）</w:t>
            </w:r>
            <w:r/>
          </w:p>
          <w:p>
            <w:pPr>
              <w:pStyle w:val="776"/>
              <w:ind w:firstLine="420"/>
              <w:spacing w:after="0" w:line="360" w:lineRule="auto"/>
              <w:rPr>
                <w:rFonts w:ascii="Times New Roman" w:hAnsi="Times New Roman"/>
                <w:color w:val="auto"/>
                <w:highlight w:val="none"/>
              </w:rPr>
            </w:pPr>
            <w:r>
              <w:rPr>
                <w:rFonts w:hint="eastAsia" w:ascii="Times New Roman" w:hAnsi="Times New Roman"/>
                <w:color w:val="auto"/>
                <w:highlight w:val="none"/>
              </w:rPr>
              <w:t xml:space="preserve">方案重点突出、描述清晰完整、充分结合实际且针对性强，优于招标文件要求的得5分；方案基本合理，可行性较高，完全满足项目需求的得3分；方案不合理，可行性较低，不完全满足项目需求的得1分；不提供不得分。</w:t>
            </w:r>
            <w:r/>
          </w:p>
          <w:p>
            <w:pPr>
              <w:pStyle w:val="776"/>
              <w:spacing w:after="0" w:line="360" w:lineRule="auto"/>
              <w:rPr>
                <w:rFonts w:ascii="Times New Roman" w:hAnsi="Times New Roman"/>
                <w:color w:val="auto"/>
                <w:highlight w:val="none"/>
              </w:rPr>
            </w:pPr>
            <w:r>
              <w:rPr>
                <w:rFonts w:ascii="Times New Roman" w:hAnsi="Times New Roman"/>
                <w:color w:val="auto"/>
                <w:highlight w:val="none"/>
              </w:rPr>
              <w:t xml:space="preserve">2.质量控制措施方案（5分）</w:t>
            </w:r>
            <w:r/>
          </w:p>
          <w:p>
            <w:pPr>
              <w:pStyle w:val="776"/>
              <w:ind w:firstLine="420"/>
              <w:spacing w:after="0" w:line="360" w:lineRule="auto"/>
              <w:rPr>
                <w:rFonts w:ascii="Times New Roman" w:hAnsi="Times New Roman"/>
                <w:color w:val="auto"/>
                <w:highlight w:val="none"/>
              </w:rPr>
            </w:pPr>
            <w:r>
              <w:rPr>
                <w:rFonts w:hint="eastAsia" w:ascii="Times New Roman" w:hAnsi="Times New Roman"/>
                <w:color w:val="auto"/>
                <w:highlight w:val="none"/>
              </w:rPr>
              <w:t xml:space="preserve">方案重点突出、描述清晰完整、充分结合实际且针对性强，优于招标文件要求的得5分；方案基本合理，可行性较高，完全满足项目需求的得3分；方案不合理，可行性较低，不完全满足项目需求的得1分；不提供不得分。</w:t>
            </w:r>
            <w:r/>
          </w:p>
          <w:p>
            <w:pPr>
              <w:pStyle w:val="776"/>
              <w:spacing w:after="0" w:line="360" w:lineRule="auto"/>
              <w:rPr>
                <w:rFonts w:ascii="Times New Roman" w:hAnsi="Times New Roman"/>
                <w:color w:val="auto"/>
                <w:highlight w:val="none"/>
              </w:rPr>
            </w:pPr>
            <w:r>
              <w:rPr>
                <w:rFonts w:ascii="Times New Roman" w:hAnsi="Times New Roman"/>
                <w:color w:val="auto"/>
                <w:highlight w:val="none"/>
              </w:rPr>
              <w:t xml:space="preserve">3.进度控制措施方案（5分）</w:t>
            </w:r>
            <w:r/>
          </w:p>
          <w:p>
            <w:pPr>
              <w:pStyle w:val="776"/>
              <w:ind w:firstLine="420"/>
              <w:spacing w:after="0" w:line="360" w:lineRule="auto"/>
              <w:rPr>
                <w:rFonts w:ascii="Times New Roman" w:hAnsi="Times New Roman"/>
                <w:color w:val="auto"/>
                <w:highlight w:val="none"/>
              </w:rPr>
            </w:pPr>
            <w:r>
              <w:rPr>
                <w:rFonts w:hint="eastAsia" w:ascii="Times New Roman" w:hAnsi="Times New Roman"/>
                <w:color w:val="auto"/>
                <w:highlight w:val="none"/>
              </w:rPr>
              <w:t xml:space="preserve">方案重点突出、描述清晰完整、充分结合实际且针对性强，优于招标文件要求的得5分；方案基本合理，可行性较高，完全满足项目需求的得3分；方案不合理，可行性较低，不完全满足项目需求的得1分；不提供不得分。</w:t>
            </w:r>
            <w:r/>
          </w:p>
          <w:p>
            <w:pPr>
              <w:pStyle w:val="776"/>
              <w:spacing w:after="0" w:line="360" w:lineRule="auto"/>
              <w:rPr>
                <w:rFonts w:ascii="Times New Roman" w:hAnsi="Times New Roman"/>
                <w:color w:val="auto"/>
                <w:highlight w:val="none"/>
              </w:rPr>
            </w:pPr>
            <w:r>
              <w:rPr>
                <w:rFonts w:ascii="Times New Roman" w:hAnsi="Times New Roman"/>
                <w:color w:val="auto"/>
                <w:highlight w:val="none"/>
              </w:rPr>
              <w:t xml:space="preserve">4.供货安装实施方案（</w:t>
            </w:r>
            <w:r>
              <w:rPr>
                <w:rFonts w:hint="eastAsia" w:ascii="Times New Roman" w:hAnsi="Times New Roman"/>
                <w:color w:val="auto"/>
                <w:highlight w:val="none"/>
              </w:rPr>
              <w:t xml:space="preserve">5</w:t>
            </w:r>
            <w:r>
              <w:rPr>
                <w:rFonts w:ascii="Times New Roman" w:hAnsi="Times New Roman"/>
                <w:color w:val="auto"/>
                <w:highlight w:val="none"/>
              </w:rPr>
              <w:t xml:space="preserve">分）</w:t>
            </w:r>
            <w:r/>
          </w:p>
          <w:p>
            <w:pPr>
              <w:pStyle w:val="776"/>
              <w:ind w:firstLine="420"/>
              <w:spacing w:after="0" w:line="360" w:lineRule="auto"/>
              <w:rPr>
                <w:rFonts w:ascii="Times New Roman" w:hAnsi="Times New Roman" w:cs="宋体"/>
                <w:color w:val="auto"/>
                <w:szCs w:val="21"/>
                <w:highlight w:val="none"/>
              </w:rPr>
            </w:pPr>
            <w:r>
              <w:rPr>
                <w:rFonts w:hint="eastAsia" w:ascii="Times New Roman" w:hAnsi="Times New Roman"/>
                <w:color w:val="auto"/>
                <w:highlight w:val="none"/>
              </w:rPr>
              <w:t xml:space="preserve">方案重点突出、描述清晰完整、充分结合实际且针对性强，优于招标文件要求的得5分；方案基本合理，可行性较高，完全满足项目需求的得3分；方案不合理，可行性较低，不完全满足项目需求的得1分；不提供不得分。</w:t>
            </w:r>
            <w:r/>
          </w:p>
        </w:tc>
      </w:tr>
      <w:tr>
        <w:trPr>
          <w:jc w:val="center"/>
          <w:trHeight w:val="1967"/>
        </w:trPr>
        <w:tc>
          <w:tcPr>
            <w:tcBorders>
              <w:top w:val="single" w:color="000000" w:sz="2" w:space="0"/>
              <w:left w:val="single" w:color="000000" w:sz="2" w:space="0"/>
              <w:bottom w:val="single" w:color="000000" w:sz="2" w:space="0"/>
              <w:right w:val="single" w:color="000000" w:sz="2" w:space="0"/>
            </w:tcBorders>
            <w:tcW w:w="1114" w:type="pct"/>
            <w:vAlign w:val="center"/>
            <w:textDirection w:val="lrTb"/>
            <w:noWrap w:val="false"/>
          </w:tcPr>
          <w:p>
            <w:pPr>
              <w:pStyle w:val="776"/>
              <w:jc w:val="center"/>
              <w:spacing w:after="0" w:line="360" w:lineRule="auto"/>
              <w:rPr>
                <w:rFonts w:ascii="Times New Roman" w:hAnsi="Times New Roman"/>
                <w:color w:val="auto"/>
                <w:szCs w:val="21"/>
                <w:highlight w:val="none"/>
              </w:rPr>
            </w:pPr>
            <w:r>
              <w:rPr>
                <w:rFonts w:ascii="Times New Roman" w:hAnsi="Times New Roman"/>
                <w:color w:val="auto"/>
                <w:szCs w:val="21"/>
                <w:highlight w:val="none"/>
              </w:rPr>
              <w:t xml:space="preserve">售后服务</w:t>
            </w:r>
            <w:r/>
          </w:p>
          <w:p>
            <w:pPr>
              <w:pStyle w:val="776"/>
              <w:jc w:val="center"/>
              <w:spacing w:after="0" w:line="360" w:lineRule="auto"/>
              <w:rPr>
                <w:rFonts w:ascii="Times New Roman" w:hAnsi="Times New Roman" w:cs="宋体"/>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7</w:t>
            </w:r>
            <w:r>
              <w:rPr>
                <w:rFonts w:ascii="Times New Roman" w:hAnsi="Times New Roman"/>
                <w:color w:val="auto"/>
                <w:szCs w:val="21"/>
                <w:highlight w:val="none"/>
              </w:rPr>
              <w:t xml:space="preserve">分）</w:t>
            </w:r>
            <w:r/>
          </w:p>
        </w:tc>
        <w:tc>
          <w:tcPr>
            <w:tcBorders>
              <w:top w:val="single" w:color="000000" w:sz="2" w:space="0"/>
              <w:left w:val="single" w:color="000000" w:sz="2" w:space="0"/>
              <w:right w:val="single" w:color="000000" w:sz="2" w:space="0"/>
            </w:tcBorders>
            <w:tcW w:w="3885" w:type="pct"/>
            <w:vAlign w:val="center"/>
            <w:textDirection w:val="lrTb"/>
            <w:noWrap w:val="false"/>
          </w:tcPr>
          <w:p>
            <w:pPr>
              <w:pStyle w:val="102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1.响应时间（2分）</w:t>
            </w:r>
            <w:r/>
          </w:p>
          <w:p>
            <w:pPr>
              <w:pStyle w:val="1020"/>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投标人接到采购人报修通知起半小时响应，2小时内（包含2小时）派技术人员到达现场并及时完成维修的得2分；4小时内到达现场并完成维修的（包含4小时）的得1分；超过4小时的不得分。</w:t>
            </w:r>
            <w:r>
              <w:rPr>
                <w:rFonts w:ascii="Times New Roman" w:hAnsi="Times New Roman" w:eastAsia="宋体" w:cs="Times New Roman"/>
                <w:b/>
                <w:bCs/>
                <w:color w:val="auto"/>
                <w:szCs w:val="21"/>
                <w:highlight w:val="none"/>
              </w:rPr>
              <w:t xml:space="preserve">（提供</w:t>
            </w:r>
            <w:r>
              <w:rPr>
                <w:rFonts w:hint="eastAsia" w:ascii="Times New Roman" w:hAnsi="Times New Roman" w:eastAsia="宋体" w:cs="Times New Roman"/>
                <w:b/>
                <w:bCs/>
                <w:color w:val="auto"/>
                <w:szCs w:val="21"/>
                <w:highlight w:val="none"/>
              </w:rPr>
              <w:t xml:space="preserve">承诺函原件并加盖投标人公章，扫描上传系统，格式自拟）</w:t>
            </w:r>
            <w:r>
              <w:rPr>
                <w:rFonts w:ascii="Times New Roman" w:hAnsi="Times New Roman" w:eastAsia="宋体" w:cs="Times New Roman"/>
                <w:b/>
                <w:bCs/>
                <w:color w:val="auto"/>
                <w:szCs w:val="21"/>
                <w:highlight w:val="none"/>
              </w:rPr>
              <w:t xml:space="preserve">）</w:t>
            </w:r>
            <w:r>
              <w:rPr>
                <w:rFonts w:ascii="Times New Roman" w:hAnsi="Times New Roman" w:eastAsia="宋体" w:cs="Times New Roman"/>
                <w:color w:val="auto"/>
                <w:szCs w:val="21"/>
                <w:highlight w:val="none"/>
              </w:rPr>
              <w:t xml:space="preserve">。</w:t>
            </w:r>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w:t>
            </w:r>
            <w:r>
              <w:rPr>
                <w:rFonts w:ascii="Times New Roman" w:hAnsi="Times New Roman"/>
                <w:color w:val="auto"/>
                <w:szCs w:val="21"/>
                <w:highlight w:val="none"/>
              </w:rPr>
              <w:t xml:space="preserve">.售后服务方案（</w:t>
            </w:r>
            <w:r>
              <w:rPr>
                <w:rFonts w:hint="eastAsia" w:ascii="Times New Roman" w:hAnsi="Times New Roman"/>
                <w:color w:val="auto"/>
                <w:szCs w:val="21"/>
                <w:highlight w:val="none"/>
              </w:rPr>
              <w:t xml:space="preserve">5</w:t>
            </w:r>
            <w:r>
              <w:rPr>
                <w:rFonts w:ascii="Times New Roman" w:hAnsi="Times New Roman"/>
                <w:color w:val="auto"/>
                <w:szCs w:val="21"/>
                <w:highlight w:val="none"/>
              </w:rPr>
              <w:t xml:space="preserve">分）</w:t>
            </w:r>
            <w:r/>
          </w:p>
          <w:p>
            <w:pPr>
              <w:spacing w:line="360" w:lineRule="auto"/>
              <w:rPr>
                <w:rFonts w:ascii="Times New Roman" w:hAnsi="Times New Roman" w:cs="宋体"/>
                <w:color w:val="auto"/>
                <w:szCs w:val="21"/>
                <w:highlight w:val="none"/>
              </w:rPr>
            </w:pPr>
            <w:r>
              <w:rPr>
                <w:rFonts w:hint="eastAsia" w:ascii="Times New Roman" w:hAnsi="Times New Roman"/>
                <w:color w:val="auto"/>
                <w:szCs w:val="21"/>
                <w:highlight w:val="none"/>
              </w:rPr>
              <w:t xml:space="preserve">方案重点突出、描述清晰完整、充分结合实际且针对性强，优于招标文件要求的得5分；方案基本合理，可行性较高，完全满足项目需求的得3分；方案不合理，可行性较低，不完全满足项目需求的得1分；不提供不得分。</w:t>
            </w:r>
            <w:r/>
          </w:p>
        </w:tc>
      </w:tr>
    </w:tbl>
    <w:p>
      <w:pPr>
        <w:ind w:firstLine="422"/>
        <w:spacing w:line="360" w:lineRule="auto"/>
        <w:rPr>
          <w:rFonts w:ascii="Times New Roman" w:hAnsi="Times New Roman" w:cs="宋体"/>
          <w:b/>
          <w:bCs/>
          <w:color w:val="auto"/>
          <w:szCs w:val="21"/>
          <w:highlight w:val="none"/>
        </w:rPr>
      </w:pPr>
      <w:r>
        <w:rPr>
          <w:rFonts w:ascii="Times New Roman" w:hAnsi="Times New Roman" w:cs="宋体"/>
          <w:b/>
          <w:bCs/>
          <w:color w:val="auto"/>
          <w:szCs w:val="21"/>
          <w:highlight w:val="none"/>
        </w:rPr>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注：1、投标人以上所提供的资料必须真实有效，检测报告或认证证书须国家认监委或权威部门网站可查询，提供虚假资料等谋取中标违法行为，上报监督机构并追究其法律责任。</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2、本次采购执行财政部发布《关于推动解决政府采购异常低价问题的通知》财库〔2026〕2号）的文件要求。</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（一）政府采购评审中出现下列情形之一的，评审委员会应当启动异常低价投标（响应）审查程序：</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1.投标(响应)报价低于全部通过符合性审查供应商投标(响应)报价平均值50%的，即投标(响应)报价〈全部通过符合性审查供应商投标(响应)报价平均值</w:t>
      </w:r>
      <w:r>
        <w:rPr>
          <w:rFonts w:hint="default" w:ascii="Arial" w:hAnsi="Arial" w:cs="Arial"/>
          <w:b/>
          <w:bCs/>
          <w:color w:val="auto"/>
          <w:szCs w:val="21"/>
          <w:highlight w:val="none"/>
        </w:rPr>
        <w:t xml:space="preserve">×</w:t>
      </w:r>
      <w:r>
        <w:rPr>
          <w:rFonts w:hint="eastAsia" w:ascii="Times New Roman" w:hAnsi="Times New Roman" w:cs="宋体"/>
          <w:b/>
          <w:bCs/>
          <w:color w:val="auto"/>
          <w:szCs w:val="21"/>
          <w:highlight w:val="none"/>
        </w:rPr>
        <w:t xml:space="preserve">50%；</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2.投标(响应)报价低于通过符合性审查的次低报价供应商投标(响应)报价50%的，即投标(响应)报价〈通过符合性审查的次低报价供应商投标(响应)报价</w:t>
      </w:r>
      <w:r>
        <w:rPr>
          <w:rFonts w:hint="default" w:ascii="Arial" w:hAnsi="Arial" w:cs="Arial"/>
          <w:b/>
          <w:bCs/>
          <w:color w:val="auto"/>
          <w:szCs w:val="21"/>
          <w:highlight w:val="none"/>
        </w:rPr>
        <w:t xml:space="preserve">×</w:t>
      </w:r>
      <w:r>
        <w:rPr>
          <w:rFonts w:hint="eastAsia" w:ascii="Times New Roman" w:hAnsi="Times New Roman" w:cs="宋体"/>
          <w:b/>
          <w:bCs/>
          <w:color w:val="auto"/>
          <w:szCs w:val="21"/>
          <w:highlight w:val="none"/>
        </w:rPr>
        <w:t xml:space="preserve">50%；</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3.投标(响应)报价低于采购项目最高限价45%的，即投标(响应)报价&lt;采购项目最高限价</w:t>
      </w:r>
      <w:r>
        <w:rPr>
          <w:rFonts w:hint="default" w:ascii="Arial" w:hAnsi="Arial" w:cs="Arial"/>
          <w:b/>
          <w:bCs/>
          <w:color w:val="auto"/>
          <w:szCs w:val="21"/>
          <w:highlight w:val="none"/>
        </w:rPr>
        <w:t xml:space="preserve">×</w:t>
      </w:r>
      <w:r>
        <w:rPr>
          <w:rFonts w:hint="eastAsia" w:ascii="Times New Roman" w:hAnsi="Times New Roman" w:cs="宋体"/>
          <w:b/>
          <w:bCs/>
          <w:color w:val="auto"/>
          <w:szCs w:val="21"/>
          <w:highlight w:val="none"/>
        </w:rPr>
        <w:t xml:space="preserve">45%；</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4.评审委员会基于专业判断，认为供应商报价过低，有可能影响产品质量或者不能诚信履约的其他情形。</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bCs/>
          <w:color w:val="auto"/>
          <w:szCs w:val="21"/>
          <w:highlight w:val="none"/>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br w:type="page" w:clear="all"/>
      </w:r>
      <w:r/>
    </w:p>
    <w:p>
      <w:pPr>
        <w:pStyle w:val="761"/>
        <w:rPr>
          <w:rFonts w:ascii="Times New Roman" w:hAnsi="Times New Roman"/>
          <w:color w:val="auto"/>
          <w:highlight w:val="none"/>
        </w:rPr>
      </w:pPr>
      <w:r/>
      <w:bookmarkStart w:id="85" w:name="_Toc3287"/>
      <w:r>
        <w:rPr>
          <w:rFonts w:hint="eastAsia" w:ascii="Times New Roman" w:hAnsi="Times New Roman"/>
          <w:color w:val="auto"/>
          <w:highlight w:val="none"/>
        </w:rPr>
        <w:t xml:space="preserve">第六章 投标文件格式</w:t>
      </w:r>
      <w:bookmarkEnd w:id="85"/>
      <w:r>
        <w:rPr>
          <w:rFonts w:hint="eastAsia" w:ascii="Times New Roman" w:hAnsi="Times New Roman"/>
          <w:color w:val="auto"/>
          <w:highlight w:val="none"/>
        </w:rPr>
        <w:t xml:space="preserve"> </w:t>
      </w:r>
      <w:r/>
    </w:p>
    <w:p>
      <w:pPr>
        <w:rPr>
          <w:rFonts w:ascii="Times New Roman" w:hAnsi="Times New Roman" w:cs="宋体"/>
          <w:bCs/>
          <w:color w:val="auto"/>
          <w:sz w:val="44"/>
          <w:highlight w:val="none"/>
        </w:rPr>
      </w:pPr>
      <w:r>
        <w:rPr>
          <w:rFonts w:ascii="Times New Roman" w:hAnsi="Times New Roman" w:cs="宋体"/>
          <w:bCs/>
          <w:color w:val="auto"/>
          <w:sz w:val="44"/>
          <w:highlight w:val="none"/>
        </w:rPr>
      </w:r>
      <w:r/>
    </w:p>
    <w:p>
      <w:pPr>
        <w:pStyle w:val="777"/>
        <w:rPr>
          <w:rFonts w:ascii="Times New Roman" w:hAnsi="Times New Roman" w:eastAsia="宋体" w:cs="宋体"/>
          <w:bCs/>
          <w:color w:val="auto"/>
          <w:sz w:val="44"/>
          <w:highlight w:val="none"/>
        </w:rPr>
      </w:pPr>
      <w:r>
        <w:rPr>
          <w:rFonts w:ascii="Times New Roman" w:hAnsi="Times New Roman" w:eastAsia="宋体" w:cs="宋体"/>
          <w:bCs/>
          <w:color w:val="auto"/>
          <w:sz w:val="44"/>
          <w:highlight w:val="none"/>
        </w:rPr>
      </w:r>
      <w:r/>
    </w:p>
    <w:p>
      <w:pPr>
        <w:rPr>
          <w:rFonts w:ascii="Times New Roman" w:hAnsi="Times New Roman"/>
          <w:color w:val="auto"/>
          <w:highlight w:val="none"/>
        </w:rPr>
      </w:pPr>
      <w:r>
        <w:rPr>
          <w:rFonts w:ascii="Times New Roman" w:hAnsi="Times New Roman"/>
          <w:color w:val="auto"/>
          <w:highlight w:val="none"/>
        </w:rPr>
      </w:r>
      <w:r/>
    </w:p>
    <w:p>
      <w:pPr>
        <w:jc w:val="center"/>
        <w:rPr>
          <w:rFonts w:ascii="Times New Roman" w:hAnsi="Times New Roman" w:cs="宋体"/>
          <w:b/>
          <w:color w:val="auto"/>
          <w:sz w:val="72"/>
          <w:highlight w:val="none"/>
        </w:rPr>
      </w:pPr>
      <w:r>
        <w:rPr>
          <w:rFonts w:hint="eastAsia" w:ascii="Times New Roman" w:hAnsi="Times New Roman" w:cs="宋体"/>
          <w:b/>
          <w:color w:val="auto"/>
          <w:sz w:val="72"/>
          <w:highlight w:val="none"/>
        </w:rPr>
        <w:t xml:space="preserve">投  标  文  件</w:t>
      </w:r>
      <w:r/>
    </w:p>
    <w:p>
      <w:pPr>
        <w:jc w:val="center"/>
        <w:rPr>
          <w:rFonts w:ascii="Times New Roman" w:hAnsi="Times New Roman" w:cs="宋体"/>
          <w:b/>
          <w:color w:val="auto"/>
          <w:sz w:val="72"/>
          <w:highlight w:val="none"/>
        </w:rPr>
      </w:pPr>
      <w:r>
        <w:rPr>
          <w:rFonts w:ascii="Times New Roman" w:hAnsi="Times New Roman" w:cs="宋体"/>
          <w:b/>
          <w:color w:val="auto"/>
          <w:sz w:val="72"/>
          <w:highlight w:val="none"/>
        </w:rPr>
      </w:r>
      <w:r/>
    </w:p>
    <w:p>
      <w:pPr>
        <w:jc w:val="center"/>
        <w:rPr>
          <w:rFonts w:ascii="Times New Roman" w:hAnsi="Times New Roman" w:cs="宋体"/>
          <w:b/>
          <w:color w:val="auto"/>
          <w:sz w:val="72"/>
          <w:highlight w:val="none"/>
        </w:rPr>
      </w:pPr>
      <w:r>
        <w:rPr>
          <w:rFonts w:ascii="Times New Roman" w:hAnsi="Times New Roman" w:cs="宋体"/>
          <w:b/>
          <w:color w:val="auto"/>
          <w:sz w:val="72"/>
          <w:highlight w:val="none"/>
        </w:rPr>
      </w:r>
      <w:r/>
    </w:p>
    <w:p>
      <w:pPr>
        <w:jc w:val="center"/>
        <w:rPr>
          <w:rFonts w:ascii="Times New Roman" w:hAnsi="Times New Roman" w:cs="宋体"/>
          <w:b/>
          <w:color w:val="auto"/>
          <w:sz w:val="36"/>
          <w:highlight w:val="none"/>
        </w:rPr>
      </w:pPr>
      <w:r>
        <w:rPr>
          <w:rFonts w:ascii="Times New Roman" w:hAnsi="Times New Roman" w:cs="宋体"/>
          <w:b/>
          <w:color w:val="auto"/>
          <w:sz w:val="36"/>
          <w:highlight w:val="none"/>
        </w:rPr>
      </w:r>
      <w:r/>
    </w:p>
    <w:p>
      <w:pPr>
        <w:jc w:val="center"/>
        <w:rPr>
          <w:rFonts w:ascii="Times New Roman" w:hAnsi="Times New Roman" w:cs="宋体"/>
          <w:b/>
          <w:color w:val="auto"/>
          <w:sz w:val="36"/>
          <w:highlight w:val="none"/>
        </w:rPr>
      </w:pPr>
      <w:r>
        <w:rPr>
          <w:rFonts w:ascii="Times New Roman" w:hAnsi="Times New Roman" w:cs="宋体"/>
          <w:b/>
          <w:color w:val="auto"/>
          <w:sz w:val="36"/>
          <w:highlight w:val="none"/>
        </w:rPr>
      </w:r>
      <w:r/>
    </w:p>
    <w:p>
      <w:pPr>
        <w:jc w:val="center"/>
        <w:rPr>
          <w:rFonts w:ascii="Times New Roman" w:hAnsi="Times New Roman" w:cs="宋体"/>
          <w:b/>
          <w:color w:val="auto"/>
          <w:sz w:val="36"/>
          <w:highlight w:val="none"/>
        </w:rPr>
      </w:pPr>
      <w:r>
        <w:rPr>
          <w:rFonts w:ascii="Times New Roman" w:hAnsi="Times New Roman" w:cs="宋体"/>
          <w:b/>
          <w:color w:val="auto"/>
          <w:sz w:val="36"/>
          <w:highlight w:val="none"/>
        </w:rPr>
      </w:r>
      <w:r/>
    </w:p>
    <w:p>
      <w:pPr>
        <w:jc w:val="center"/>
        <w:rPr>
          <w:rFonts w:ascii="Times New Roman" w:hAnsi="Times New Roman" w:cs="宋体"/>
          <w:b/>
          <w:color w:val="auto"/>
          <w:sz w:val="36"/>
          <w:highlight w:val="none"/>
        </w:rPr>
      </w:pPr>
      <w:r>
        <w:rPr>
          <w:rFonts w:ascii="Times New Roman" w:hAnsi="Times New Roman" w:cs="宋体"/>
          <w:b/>
          <w:color w:val="auto"/>
          <w:sz w:val="36"/>
          <w:highlight w:val="none"/>
        </w:rPr>
      </w:r>
      <w:r/>
    </w:p>
    <w:p>
      <w:pPr>
        <w:rPr>
          <w:rFonts w:ascii="Times New Roman" w:hAnsi="Times New Roman" w:cs="宋体"/>
          <w:b/>
          <w:color w:val="auto"/>
          <w:sz w:val="36"/>
          <w:highlight w:val="none"/>
        </w:rPr>
      </w:pPr>
      <w:r>
        <w:rPr>
          <w:rFonts w:ascii="Times New Roman" w:hAnsi="Times New Roman" w:cs="宋体"/>
          <w:b/>
          <w:color w:val="auto"/>
          <w:sz w:val="36"/>
          <w:highlight w:val="none"/>
        </w:rPr>
      </w:r>
      <w:r/>
    </w:p>
    <w:p>
      <w:pPr>
        <w:jc w:val="center"/>
        <w:rPr>
          <w:rFonts w:ascii="Times New Roman" w:hAnsi="Times New Roman" w:cs="宋体"/>
          <w:b/>
          <w:color w:val="auto"/>
          <w:sz w:val="36"/>
          <w:highlight w:val="none"/>
        </w:rPr>
      </w:pPr>
      <w:r>
        <w:rPr>
          <w:rFonts w:ascii="Times New Roman" w:hAnsi="Times New Roman" w:cs="宋体"/>
          <w:b/>
          <w:color w:val="auto"/>
          <w:sz w:val="36"/>
          <w:highlight w:val="none"/>
        </w:rPr>
      </w:r>
      <w:r/>
    </w:p>
    <w:p>
      <w:pPr>
        <w:ind w:firstLine="1084"/>
        <w:rPr>
          <w:rFonts w:ascii="Times New Roman" w:hAnsi="Times New Roman" w:cs="宋体"/>
          <w:b/>
          <w:color w:val="auto"/>
          <w:sz w:val="36"/>
          <w:highlight w:val="none"/>
        </w:rPr>
      </w:pPr>
      <w:r>
        <w:rPr>
          <w:rFonts w:hint="eastAsia" w:ascii="Times New Roman" w:hAnsi="Times New Roman" w:cs="宋体"/>
          <w:b/>
          <w:color w:val="auto"/>
          <w:sz w:val="36"/>
          <w:highlight w:val="none"/>
        </w:rPr>
        <w:t xml:space="preserve">项 目 名 称：</w:t>
      </w:r>
      <w:r/>
    </w:p>
    <w:p>
      <w:pPr>
        <w:ind w:firstLine="1084"/>
        <w:rPr>
          <w:rFonts w:ascii="Times New Roman" w:hAnsi="Times New Roman" w:cs="宋体"/>
          <w:b/>
          <w:color w:val="auto"/>
          <w:sz w:val="36"/>
          <w:highlight w:val="none"/>
          <w:u w:val="single"/>
        </w:rPr>
      </w:pPr>
      <w:r>
        <w:rPr>
          <w:rFonts w:hint="eastAsia" w:ascii="Times New Roman" w:hAnsi="Times New Roman" w:cs="宋体"/>
          <w:b/>
          <w:color w:val="auto"/>
          <w:sz w:val="36"/>
          <w:highlight w:val="none"/>
        </w:rPr>
        <w:t xml:space="preserve">招 标 编 号：</w:t>
      </w:r>
      <w:r/>
    </w:p>
    <w:p>
      <w:pPr>
        <w:rPr>
          <w:rFonts w:ascii="Times New Roman" w:hAnsi="Times New Roman" w:cs="宋体"/>
          <w:b/>
          <w:color w:val="auto"/>
          <w:sz w:val="36"/>
          <w:highlight w:val="none"/>
          <w:u w:val="single"/>
        </w:rPr>
      </w:pPr>
      <w:r>
        <w:rPr>
          <w:rFonts w:hint="eastAsia" w:ascii="Times New Roman" w:hAnsi="Times New Roman" w:cs="宋体"/>
          <w:b/>
          <w:color w:val="auto"/>
          <w:sz w:val="36"/>
          <w:highlight w:val="none"/>
        </w:rPr>
        <w:t xml:space="preserve">      投标人名称 ：</w:t>
      </w:r>
      <w:r/>
    </w:p>
    <w:p>
      <w:pPr>
        <w:rPr>
          <w:rFonts w:ascii="Times New Roman" w:hAnsi="Times New Roman" w:cs="宋体"/>
          <w:b/>
          <w:color w:val="auto"/>
          <w:sz w:val="36"/>
          <w:highlight w:val="none"/>
          <w:u w:val="single"/>
        </w:rPr>
      </w:pPr>
      <w:r>
        <w:rPr>
          <w:rFonts w:hint="eastAsia" w:ascii="Times New Roman" w:hAnsi="Times New Roman" w:cs="宋体"/>
          <w:b/>
          <w:color w:val="auto"/>
          <w:sz w:val="36"/>
          <w:highlight w:val="none"/>
        </w:rPr>
        <w:t xml:space="preserve">      日      期 ：</w:t>
      </w:r>
      <w:r/>
    </w:p>
    <w:p>
      <w:pPr>
        <w:ind w:firstLine="1084"/>
        <w:rPr>
          <w:rFonts w:ascii="Times New Roman" w:hAnsi="Times New Roman" w:cs="宋体"/>
          <w:b/>
          <w:color w:val="auto"/>
          <w:sz w:val="36"/>
          <w:highlight w:val="none"/>
        </w:rPr>
      </w:pPr>
      <w:r>
        <w:rPr>
          <w:rFonts w:hint="eastAsia" w:ascii="Times New Roman" w:hAnsi="Times New Roman" w:cs="宋体"/>
          <w:b/>
          <w:color w:val="auto"/>
          <w:sz w:val="36"/>
          <w:highlight w:val="none"/>
        </w:rPr>
        <w:t xml:space="preserve">投  标  人：（电子签章）</w:t>
      </w:r>
      <w:r/>
    </w:p>
    <w:p>
      <w:pPr>
        <w:jc w:val="center"/>
        <w:spacing w:line="44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jc w:val="center"/>
        <w:spacing w:line="44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spacing w:line="44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jc w:val="center"/>
        <w:spacing w:line="440" w:lineRule="exact"/>
        <w:rPr>
          <w:rFonts w:ascii="Times New Roman" w:hAnsi="Times New Roman" w:cs="宋体"/>
          <w:b/>
          <w:bCs/>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s="宋体"/>
          <w:b/>
          <w:bCs/>
          <w:color w:val="auto"/>
          <w:sz w:val="32"/>
          <w:szCs w:val="32"/>
          <w:highlight w:val="none"/>
        </w:rPr>
      </w:r>
      <w:r/>
    </w:p>
    <w:p>
      <w:pPr>
        <w:jc w:val="center"/>
        <w:spacing w:line="440" w:lineRule="exact"/>
        <w:rPr>
          <w:rFonts w:ascii="Times New Roman" w:hAnsi="Times New Roman" w:cs="宋体"/>
          <w:b/>
          <w:bCs/>
          <w:color w:val="auto"/>
          <w:sz w:val="32"/>
          <w:szCs w:val="32"/>
          <w:highlight w:val="none"/>
        </w:rPr>
      </w:pPr>
      <w:r>
        <w:rPr>
          <w:rFonts w:hint="eastAsia" w:ascii="Times New Roman" w:hAnsi="Times New Roman" w:cs="宋体"/>
          <w:b/>
          <w:bCs/>
          <w:color w:val="auto"/>
          <w:sz w:val="32"/>
          <w:szCs w:val="32"/>
          <w:highlight w:val="none"/>
        </w:rPr>
        <w:t xml:space="preserve">投标主要文件目录</w:t>
      </w:r>
      <w:r/>
    </w:p>
    <w:p>
      <w:pPr>
        <w:jc w:val="center"/>
        <w:spacing w:line="44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一、资格审查响应对照表</w:t>
      </w:r>
      <w:r/>
    </w:p>
    <w:p>
      <w:pPr>
        <w:ind w:left="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二、符合性审查响应对照表</w:t>
      </w:r>
      <w:r/>
    </w:p>
    <w:p>
      <w:pPr>
        <w:ind w:left="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三、非实质性响应对照表</w:t>
      </w:r>
      <w:r/>
    </w:p>
    <w:p>
      <w:pPr>
        <w:ind w:firstLine="480"/>
        <w:spacing w:line="360" w:lineRule="auto"/>
        <w:rPr>
          <w:rFonts w:ascii="Times New Roman" w:hAnsi="Times New Roman" w:cs="宋体"/>
          <w:b/>
          <w:bCs/>
          <w:color w:val="auto"/>
          <w:sz w:val="24"/>
          <w:highlight w:val="none"/>
        </w:rPr>
      </w:pPr>
      <w:r>
        <w:rPr>
          <w:rFonts w:hint="eastAsia" w:ascii="Times New Roman" w:hAnsi="Times New Roman" w:cs="宋体"/>
          <w:color w:val="auto"/>
          <w:sz w:val="24"/>
          <w:highlight w:val="none"/>
        </w:rPr>
        <w:t xml:space="preserve">四</w:t>
      </w:r>
      <w:r>
        <w:rPr>
          <w:rFonts w:hint="eastAsia" w:ascii="Times New Roman" w:hAnsi="Times New Roman" w:cs="宋体"/>
          <w:b/>
          <w:bCs/>
          <w:color w:val="auto"/>
          <w:sz w:val="24"/>
          <w:highlight w:val="none"/>
        </w:rPr>
        <w:t xml:space="preserve">、</w:t>
      </w:r>
      <w:r>
        <w:rPr>
          <w:rFonts w:hint="eastAsia" w:ascii="Times New Roman" w:hAnsi="Times New Roman" w:cs="宋体"/>
          <w:i/>
          <w:color w:val="auto"/>
          <w:sz w:val="24"/>
          <w:highlight w:val="none"/>
          <w:u w:val="single"/>
        </w:rPr>
        <w:t xml:space="preserve">开标一览表</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五、投标配置与分项报价表</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六</w:t>
      </w:r>
      <w:r>
        <w:rPr>
          <w:rFonts w:hint="eastAsia" w:ascii="Times New Roman" w:hAnsi="Times New Roman" w:cs="宋体"/>
          <w:color w:val="auto"/>
          <w:sz w:val="24"/>
          <w:szCs w:val="24"/>
          <w:highlight w:val="none"/>
        </w:rPr>
        <w:t xml:space="preserve">、技术参数响应及偏离表</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七、商务条款响应及偏离表</w:t>
      </w:r>
      <w:r/>
    </w:p>
    <w:p>
      <w:pPr>
        <w:ind w:firstLine="480"/>
        <w:spacing w:line="360" w:lineRule="auto"/>
        <w:rPr>
          <w:rFonts w:ascii="Times New Roman" w:hAnsi="Times New Roman" w:cs="宋体"/>
          <w:color w:val="auto"/>
          <w:sz w:val="36"/>
          <w:szCs w:val="36"/>
          <w:highlight w:val="none"/>
        </w:rPr>
      </w:pPr>
      <w:r>
        <w:rPr>
          <w:rFonts w:hint="eastAsia" w:ascii="Times New Roman" w:hAnsi="Times New Roman" w:cs="宋体"/>
          <w:color w:val="auto"/>
          <w:sz w:val="24"/>
          <w:highlight w:val="none"/>
        </w:rPr>
        <w:t xml:space="preserve">八、其他 （投标人认为有必要提供的声明和文件，如有自拟并自行添加）</w:t>
      </w:r>
      <w:r/>
    </w:p>
    <w:p>
      <w:pPr>
        <w:contextualSpacing/>
        <w:jc w:val="center"/>
        <w:rPr>
          <w:rFonts w:ascii="Times New Roman" w:hAnsi="Times New Roman" w:cs="宋体"/>
          <w:b/>
          <w:color w:val="auto"/>
          <w:sz w:val="72"/>
          <w:highlight w:val="none"/>
        </w:rPr>
      </w:pPr>
      <w:r>
        <w:rPr>
          <w:rFonts w:ascii="Times New Roman" w:hAnsi="Times New Roman" w:cs="宋体"/>
          <w:b/>
          <w:color w:val="auto"/>
          <w:sz w:val="72"/>
          <w:highlight w:val="none"/>
        </w:rPr>
      </w:r>
      <w:r/>
    </w:p>
    <w:p>
      <w:pPr>
        <w:contextualSpacing/>
        <w:jc w:val="center"/>
        <w:spacing w:line="600" w:lineRule="exact"/>
        <w:rPr>
          <w:rFonts w:ascii="Times New Roman" w:hAnsi="Times New Roman" w:cs="宋体"/>
          <w:b/>
          <w:color w:val="auto"/>
          <w:sz w:val="72"/>
          <w:highlight w:val="none"/>
        </w:rPr>
      </w:pPr>
      <w:r>
        <w:rPr>
          <w:rFonts w:ascii="Times New Roman" w:hAnsi="Times New Roman" w:cs="宋体"/>
          <w:b/>
          <w:color w:val="auto"/>
          <w:sz w:val="72"/>
          <w:highlight w:val="none"/>
        </w:rPr>
      </w:r>
      <w:r/>
    </w:p>
    <w:p>
      <w:pPr>
        <w:contextualSpacing/>
        <w:jc w:val="center"/>
        <w:spacing w:line="600" w:lineRule="exact"/>
        <w:rPr>
          <w:rFonts w:ascii="Times New Roman" w:hAnsi="Times New Roman" w:cs="宋体"/>
          <w:b/>
          <w:color w:val="auto"/>
          <w:sz w:val="72"/>
          <w:highlight w:val="none"/>
        </w:rPr>
      </w:pPr>
      <w:r>
        <w:rPr>
          <w:rFonts w:ascii="Times New Roman" w:hAnsi="Times New Roman" w:cs="宋体"/>
          <w:b/>
          <w:color w:val="auto"/>
          <w:sz w:val="72"/>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rPr>
          <w:rFonts w:ascii="Times New Roman" w:hAnsi="Times New Roman" w:cs="宋体"/>
          <w:b/>
          <w:color w:val="auto"/>
          <w:sz w:val="32"/>
          <w:szCs w:val="32"/>
          <w:highlight w:val="none"/>
        </w:rPr>
      </w:pPr>
      <w:r>
        <w:rPr>
          <w:rFonts w:ascii="Times New Roman" w:hAnsi="Times New Roman" w:cs="宋体"/>
          <w:b/>
          <w:color w:val="auto"/>
          <w:sz w:val="32"/>
          <w:szCs w:val="32"/>
          <w:highlight w:val="none"/>
        </w:rPr>
      </w:r>
      <w:r/>
    </w:p>
    <w:p>
      <w:pPr>
        <w:pStyle w:val="762"/>
        <w:jc w:val="center"/>
        <w:spacing w:before="0" w:after="0" w:line="360" w:lineRule="auto"/>
        <w:rPr>
          <w:rFonts w:ascii="Times New Roman" w:hAnsi="Times New Roman" w:eastAsia="宋体"/>
          <w:color w:val="auto"/>
          <w:sz w:val="32"/>
          <w:szCs w:val="32"/>
          <w:highlight w:val="none"/>
        </w:rPr>
      </w:pPr>
      <w:r>
        <w:rPr>
          <w:rFonts w:hint="eastAsia" w:ascii="Times New Roman" w:hAnsi="Times New Roman" w:eastAsia="宋体" w:cs="宋体"/>
          <w:color w:val="auto"/>
          <w:sz w:val="32"/>
          <w:szCs w:val="32"/>
          <w:highlight w:val="none"/>
        </w:rPr>
        <w:br w:type="page" w:clear="all"/>
      </w:r>
      <w:bookmarkStart w:id="86" w:name="_Toc26156"/>
      <w:r/>
      <w:bookmarkStart w:id="87" w:name="_Toc20369"/>
      <w:r/>
      <w:bookmarkStart w:id="88" w:name="_Toc5792"/>
      <w:r/>
      <w:bookmarkStart w:id="89" w:name="_Toc7268"/>
      <w:r/>
      <w:bookmarkStart w:id="90" w:name="_Toc1107"/>
      <w:r>
        <w:rPr>
          <w:rFonts w:hint="eastAsia" w:ascii="Times New Roman" w:hAnsi="Times New Roman" w:eastAsia="宋体" w:cs="宋体"/>
          <w:b/>
          <w:bCs/>
          <w:color w:val="auto"/>
          <w:sz w:val="32"/>
          <w:highlight w:val="none"/>
        </w:rPr>
        <w:t xml:space="preserve">一、</w:t>
      </w:r>
      <w:bookmarkEnd w:id="86"/>
      <w:r/>
      <w:bookmarkEnd w:id="87"/>
      <w:r/>
      <w:bookmarkEnd w:id="88"/>
      <w:r/>
      <w:bookmarkEnd w:id="89"/>
      <w:r/>
      <w:bookmarkEnd w:id="90"/>
      <w:r>
        <w:rPr>
          <w:rFonts w:hint="eastAsia" w:ascii="Times New Roman" w:hAnsi="Times New Roman" w:eastAsia="宋体"/>
          <w:b/>
          <w:bCs/>
          <w:color w:val="auto"/>
          <w:sz w:val="32"/>
          <w:highlight w:val="none"/>
        </w:rPr>
        <w:t xml:space="preserve">资格审查响应对照表</w:t>
      </w:r>
      <w:r/>
    </w:p>
    <w:tbl>
      <w:tblPr>
        <w:tblStyle w:val="77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序号</w:t>
            </w:r>
            <w:r/>
          </w:p>
        </w:tc>
        <w:tc>
          <w:tcPr>
            <w:tcW w:w="5854"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资格审查响应内容</w:t>
            </w:r>
            <w:r/>
          </w:p>
        </w:tc>
        <w:tc>
          <w:tcPr>
            <w:tcW w:w="1751"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是否响应</w:t>
            </w:r>
            <w:r/>
          </w:p>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olor w:val="auto"/>
                <w:szCs w:val="21"/>
                <w:highlight w:val="none"/>
              </w:rPr>
              <w:t xml:space="preserve">1</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法人或者其他组织的营业执照等证明文件，自然人的身份证明（身份证为正、反面）</w:t>
            </w:r>
            <w:r/>
          </w:p>
        </w:tc>
        <w:tc>
          <w:tcPr>
            <w:tcW w:w="1751"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2024年度或2025年度的财务报告情况（成立不满一年无需提供）</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17"/>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具备履行合同所必需的设备和专业技术能力的证明材料</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5</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参加本次政府采购活动前3年内在经营活动中没有重大违法记录的书面声明</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6</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供应商信用承诺函</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w:t>
            </w:r>
            <w:r/>
          </w:p>
        </w:tc>
        <w:tc>
          <w:tcPr>
            <w:shd w:val="clear" w:color="auto" w:fill="auto"/>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90"/>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5854"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854" w:type="dxa"/>
            <w:vAlign w:val="center"/>
            <w:textDirection w:val="lrTb"/>
            <w:noWrap w:val="false"/>
          </w:tcPr>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无</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c>
          <w:tcPr>
            <w:tcW w:w="5854" w:type="dxa"/>
            <w:vAlign w:val="center"/>
            <w:textDirection w:val="lrTb"/>
            <w:noWrap w:val="false"/>
          </w:tcPr>
          <w:p>
            <w:pPr>
              <w:jc w:val="left"/>
              <w:spacing w:line="360" w:lineRule="auto"/>
              <w:rPr>
                <w:rFonts w:ascii="Times New Roman" w:hAnsi="Times New Roman"/>
                <w:iCs/>
                <w:color w:val="auto"/>
                <w:szCs w:val="21"/>
                <w:highlight w:val="none"/>
              </w:rPr>
            </w:pPr>
            <w:r>
              <w:rPr>
                <w:rFonts w:hint="eastAsia" w:ascii="Times New Roman" w:hAnsi="Times New Roman"/>
                <w:iCs/>
                <w:color w:val="auto"/>
                <w:szCs w:val="21"/>
                <w:highlight w:val="none"/>
              </w:rPr>
              <w:t xml:space="preserve">投标函</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10</w:t>
            </w:r>
            <w:r/>
          </w:p>
        </w:tc>
        <w:tc>
          <w:tcPr>
            <w:tcW w:w="5854" w:type="dxa"/>
            <w:vAlign w:val="center"/>
            <w:textDirection w:val="lrTb"/>
            <w:noWrap w:val="false"/>
          </w:tcPr>
          <w:p>
            <w:pPr>
              <w:jc w:val="left"/>
              <w:spacing w:line="360" w:lineRule="auto"/>
              <w:rPr>
                <w:rFonts w:ascii="Times New Roman" w:hAnsi="Times New Roman"/>
                <w:iCs/>
                <w:color w:val="auto"/>
                <w:szCs w:val="21"/>
                <w:highlight w:val="none"/>
              </w:rPr>
            </w:pPr>
            <w:r>
              <w:rPr>
                <w:rFonts w:hint="eastAsia" w:ascii="Times New Roman" w:hAnsi="Times New Roman"/>
                <w:iCs/>
                <w:color w:val="auto"/>
                <w:szCs w:val="21"/>
                <w:highlight w:val="none"/>
              </w:rPr>
              <w:t xml:space="preserve">法人授权书</w:t>
            </w:r>
            <w:r/>
          </w:p>
        </w:tc>
        <w:tc>
          <w:tcPr>
            <w:tcW w:w="1751"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ind w:firstLine="420"/>
        <w:spacing w:line="360" w:lineRule="auto"/>
        <w:rPr>
          <w:rFonts w:ascii="Times New Roman" w:hAnsi="Times New Roman"/>
          <w:color w:val="auto"/>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olor w:val="auto"/>
          <w:szCs w:val="21"/>
          <w:highlight w:val="none"/>
        </w:rPr>
      </w:r>
      <w:r/>
    </w:p>
    <w:p>
      <w:pPr>
        <w:ind w:firstLine="1476"/>
        <w:spacing w:before="156" w:after="156"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具备履行合同所必需的设备和专业技术能力的书面声明</w:t>
      </w:r>
      <w:r/>
    </w:p>
    <w:p>
      <w:pPr>
        <w:ind w:firstLine="492"/>
        <w:spacing w:line="46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主要设备有：</w:t>
      </w:r>
      <w:r/>
    </w:p>
    <w:p>
      <w:pPr>
        <w:ind w:firstLine="492"/>
        <w:spacing w:line="46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主要专业技术能力有：</w:t>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jc w:val="right"/>
        <w:spacing w:line="360" w:lineRule="auto"/>
        <w:rPr>
          <w:rFonts w:ascii="Times New Roman" w:hAnsi="Times New Roman" w:cs="宋体"/>
          <w:bCs/>
          <w:color w:val="auto"/>
          <w:highlight w:val="none"/>
        </w:rPr>
      </w:pPr>
      <w:r>
        <w:rPr>
          <w:rFonts w:hint="eastAsia" w:ascii="Times New Roman" w:hAnsi="Times New Roman" w:cs="宋体"/>
          <w:bCs/>
          <w:color w:val="auto"/>
          <w:highlight w:val="none"/>
        </w:rPr>
        <w:t xml:space="preserve">供应商名称（公章）：                             </w:t>
      </w:r>
      <w:r/>
    </w:p>
    <w:p>
      <w:pPr>
        <w:spacing w:line="360" w:lineRule="auto"/>
        <w:rPr>
          <w:rFonts w:ascii="Times New Roman" w:hAnsi="Times New Roman" w:cs="宋体"/>
          <w:bCs/>
          <w:color w:val="auto"/>
          <w:highlight w:val="none"/>
        </w:rPr>
      </w:pPr>
      <w:r>
        <w:rPr>
          <w:rFonts w:hint="eastAsia" w:ascii="Times New Roman" w:hAnsi="Times New Roman" w:cs="宋体"/>
          <w:bCs/>
          <w:color w:val="auto"/>
          <w:highlight w:val="none"/>
        </w:rPr>
        <w:t xml:space="preserve">                               法定代表人签章：</w:t>
      </w:r>
      <w:r>
        <w:rPr>
          <w:rFonts w:hint="eastAsia" w:ascii="Times New Roman" w:hAnsi="Times New Roman" w:cs="宋体"/>
          <w:bCs/>
          <w:color w:val="auto"/>
          <w:highlight w:val="none"/>
          <w:u w:val="single"/>
        </w:rPr>
        <w:t xml:space="preserve">_______________________</w:t>
      </w:r>
      <w:r/>
    </w:p>
    <w:p>
      <w:pPr>
        <w:spacing w:line="360" w:lineRule="auto"/>
        <w:rPr>
          <w:rFonts w:ascii="Times New Roman" w:hAnsi="Times New Roman" w:cs="宋体"/>
          <w:bCs/>
          <w:color w:val="auto"/>
          <w:highlight w:val="none"/>
        </w:rPr>
      </w:pPr>
      <w:r>
        <w:rPr>
          <w:rFonts w:hint="eastAsia" w:ascii="Times New Roman" w:hAnsi="Times New Roman" w:cs="宋体"/>
          <w:bCs/>
          <w:color w:val="auto"/>
          <w:highlight w:val="none"/>
        </w:rPr>
        <w:t xml:space="preserve">                               日期：  年  月  日</w:t>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contextualSpacing/>
        <w:spacing w:line="600" w:lineRule="exact"/>
        <w:rPr>
          <w:rFonts w:ascii="Times New Roman" w:hAnsi="Times New Roman" w:cs="宋体"/>
          <w:b/>
          <w:color w:val="auto"/>
          <w:sz w:val="36"/>
          <w:highlight w:val="none"/>
        </w:rPr>
      </w:pPr>
      <w:r>
        <w:rPr>
          <w:rFonts w:ascii="Times New Roman" w:hAnsi="Times New Roman" w:cs="宋体"/>
          <w:b/>
          <w:color w:val="auto"/>
          <w:sz w:val="36"/>
          <w:highlight w:val="none"/>
        </w:rPr>
      </w:r>
      <w:r/>
    </w:p>
    <w:p>
      <w:pPr>
        <w:rPr>
          <w:rFonts w:ascii="Times New Roman" w:hAnsi="Times New Roman" w:cs="宋体"/>
          <w:b/>
          <w:color w:val="auto"/>
          <w:sz w:val="36"/>
          <w:highlight w:val="none"/>
        </w:rPr>
      </w:pPr>
      <w:r>
        <w:rPr>
          <w:rFonts w:hint="eastAsia" w:ascii="Times New Roman" w:hAnsi="Times New Roman" w:cs="宋体"/>
          <w:b/>
          <w:color w:val="auto"/>
          <w:sz w:val="36"/>
          <w:highlight w:val="none"/>
        </w:rPr>
        <w:br w:type="page" w:clear="all"/>
      </w:r>
      <w:r/>
    </w:p>
    <w:p>
      <w:pPr>
        <w:jc w:val="center"/>
        <w:spacing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参加本次政府采购活动前 3 年内在经营活动中没有重大违法记录的书面声明</w:t>
      </w:r>
      <w:r/>
    </w:p>
    <w:p>
      <w:pPr>
        <w:spacing w:line="360" w:lineRule="auto"/>
        <w:rPr>
          <w:rFonts w:ascii="Times New Roman" w:hAnsi="Times New Roman" w:cs="宋体"/>
          <w:color w:val="auto"/>
          <w:highlight w:val="none"/>
        </w:rPr>
      </w:pPr>
      <w:r>
        <w:rPr>
          <w:rFonts w:ascii="Times New Roman" w:hAnsi="Times New Roman" w:cs="宋体"/>
          <w:color w:val="auto"/>
          <w:highlight w:val="none"/>
        </w:rPr>
      </w:r>
      <w:r/>
    </w:p>
    <w:p>
      <w:pPr>
        <w:jc w:val="center"/>
        <w:spacing w:after="312"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声  明</w:t>
      </w:r>
      <w:r/>
    </w:p>
    <w:p>
      <w:pPr>
        <w:spacing w:line="360" w:lineRule="auto"/>
        <w:rPr>
          <w:rFonts w:ascii="Times New Roman" w:hAnsi="Times New Roman" w:cs="宋体"/>
          <w:bCs/>
          <w:color w:val="auto"/>
          <w:highlight w:val="none"/>
        </w:rPr>
      </w:pPr>
      <w:r>
        <w:rPr>
          <w:rFonts w:hint="eastAsia" w:ascii="Times New Roman" w:hAnsi="Times New Roman"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Times New Roman" w:hAnsi="Times New Roman" w:cs="宋体"/>
          <w:bCs/>
          <w:color w:val="auto"/>
          <w:highlight w:val="none"/>
        </w:rPr>
      </w:pPr>
      <w:r>
        <w:rPr>
          <w:rFonts w:hint="eastAsia" w:ascii="Times New Roman" w:hAnsi="Times New Roman" w:cs="宋体"/>
          <w:bCs/>
          <w:color w:val="auto"/>
          <w:highlight w:val="none"/>
        </w:rPr>
        <w:t xml:space="preserve">                               供应商名称（公章）：</w:t>
      </w:r>
      <w:r/>
    </w:p>
    <w:p>
      <w:pPr>
        <w:spacing w:line="360" w:lineRule="auto"/>
        <w:rPr>
          <w:rFonts w:ascii="Times New Roman" w:hAnsi="Times New Roman" w:cs="宋体"/>
          <w:bCs/>
          <w:color w:val="auto"/>
          <w:highlight w:val="none"/>
        </w:rPr>
      </w:pPr>
      <w:r>
        <w:rPr>
          <w:rFonts w:hint="eastAsia" w:ascii="Times New Roman" w:hAnsi="Times New Roman" w:cs="宋体"/>
          <w:bCs/>
          <w:color w:val="auto"/>
          <w:highlight w:val="none"/>
        </w:rPr>
        <w:t xml:space="preserve">                               法定代表人签章：</w:t>
      </w:r>
      <w:r>
        <w:rPr>
          <w:rFonts w:hint="eastAsia" w:ascii="Times New Roman" w:hAnsi="Times New Roman" w:cs="宋体"/>
          <w:bCs/>
          <w:color w:val="auto"/>
          <w:highlight w:val="none"/>
          <w:u w:val="single"/>
        </w:rPr>
        <w:t xml:space="preserve">_______________________</w:t>
      </w:r>
      <w:r/>
    </w:p>
    <w:p>
      <w:pPr>
        <w:spacing w:line="360" w:lineRule="auto"/>
        <w:rPr>
          <w:rFonts w:ascii="Times New Roman" w:hAnsi="Times New Roman" w:cs="宋体"/>
          <w:bCs/>
          <w:color w:val="auto"/>
          <w:highlight w:val="none"/>
        </w:rPr>
      </w:pPr>
      <w:r>
        <w:rPr>
          <w:rFonts w:hint="eastAsia" w:ascii="Times New Roman" w:hAnsi="Times New Roman" w:cs="宋体"/>
          <w:bCs/>
          <w:color w:val="auto"/>
          <w:highlight w:val="none"/>
        </w:rPr>
        <w:t xml:space="preserve">                               日期：  年  月  日</w:t>
      </w:r>
      <w:r/>
    </w:p>
    <w:p>
      <w:pPr>
        <w:jc w:val="center"/>
        <w:spacing w:line="360" w:lineRule="auto"/>
        <w:rPr>
          <w:rFonts w:ascii="Times New Roman" w:hAnsi="Times New Roman" w:cs="宋体"/>
          <w:b/>
          <w:bCs/>
          <w:color w:val="auto"/>
          <w:highlight w:val="none"/>
        </w:rPr>
      </w:pPr>
      <w:r>
        <w:rPr>
          <w:rFonts w:ascii="Times New Roman" w:hAnsi="Times New Roman" w:cs="宋体"/>
          <w:b/>
          <w:bCs/>
          <w:color w:val="auto"/>
          <w:highlight w:val="none"/>
        </w:rPr>
      </w:r>
      <w:r/>
    </w:p>
    <w:p>
      <w:pPr>
        <w:jc w:val="center"/>
        <w:spacing w:line="360" w:lineRule="auto"/>
        <w:rPr>
          <w:rFonts w:ascii="Times New Roman" w:hAnsi="Times New Roman" w:cs="宋体"/>
          <w:b/>
          <w:bCs/>
          <w:color w:val="auto"/>
          <w:highlight w:val="none"/>
        </w:rPr>
      </w:pPr>
      <w:r>
        <w:rPr>
          <w:rFonts w:ascii="Times New Roman" w:hAnsi="Times New Roman" w:cs="宋体"/>
          <w:b/>
          <w:bCs/>
          <w:color w:val="auto"/>
          <w:highlight w:val="none"/>
        </w:rPr>
      </w:r>
      <w:r/>
    </w:p>
    <w:p>
      <w:pPr>
        <w:jc w:val="center"/>
        <w:spacing w:line="360" w:lineRule="auto"/>
        <w:rPr>
          <w:rFonts w:ascii="Times New Roman" w:hAnsi="Times New Roman" w:cs="宋体"/>
          <w:b/>
          <w:bCs/>
          <w:color w:val="auto"/>
          <w:highlight w:val="none"/>
        </w:rPr>
      </w:pPr>
      <w:r>
        <w:rPr>
          <w:rFonts w:ascii="Times New Roman" w:hAnsi="Times New Roman" w:cs="宋体"/>
          <w:b/>
          <w:bCs/>
          <w:color w:val="auto"/>
          <w:highlight w:val="none"/>
        </w:rPr>
      </w:r>
      <w:r/>
    </w:p>
    <w:p>
      <w:pPr>
        <w:jc w:val="center"/>
        <w:spacing w:line="360" w:lineRule="auto"/>
        <w:rPr>
          <w:rFonts w:ascii="Times New Roman" w:hAnsi="Times New Roman" w:cs="宋体"/>
          <w:b/>
          <w:bCs/>
          <w:color w:val="auto"/>
          <w:highlight w:val="none"/>
        </w:rPr>
      </w:pPr>
      <w:r>
        <w:rPr>
          <w:rFonts w:ascii="Times New Roman" w:hAnsi="Times New Roman" w:cs="宋体"/>
          <w:b/>
          <w:bCs/>
          <w:color w:val="auto"/>
          <w:highlight w:val="none"/>
        </w:rPr>
      </w:r>
      <w:r/>
    </w:p>
    <w:p>
      <w:pPr>
        <w:jc w:val="center"/>
        <w:spacing w:line="360" w:lineRule="auto"/>
        <w:rPr>
          <w:rFonts w:ascii="Times New Roman" w:hAnsi="Times New Roman" w:cs="宋体"/>
          <w:b/>
          <w:bCs/>
          <w:color w:val="auto"/>
          <w:highlight w:val="none"/>
        </w:rPr>
      </w:pPr>
      <w:r>
        <w:rPr>
          <w:rFonts w:ascii="Times New Roman" w:hAnsi="Times New Roman" w:cs="宋体"/>
          <w:b/>
          <w:bCs/>
          <w:color w:val="auto"/>
          <w:highlight w:val="none"/>
        </w:rPr>
      </w:r>
      <w:r/>
    </w:p>
    <w:p>
      <w:pPr>
        <w:jc w:val="center"/>
        <w:spacing w:line="360" w:lineRule="auto"/>
        <w:rPr>
          <w:rFonts w:ascii="Times New Roman" w:hAnsi="Times New Roman" w:cs="宋体"/>
          <w:b/>
          <w:bCs/>
          <w:color w:val="auto"/>
          <w:highlight w:val="none"/>
        </w:rPr>
      </w:pPr>
      <w:r>
        <w:rPr>
          <w:rFonts w:ascii="Times New Roman" w:hAnsi="Times New Roman" w:cs="宋体"/>
          <w:b/>
          <w:bCs/>
          <w:color w:val="auto"/>
          <w:highlight w:val="none"/>
        </w:rPr>
      </w:r>
      <w:r/>
    </w:p>
    <w:p>
      <w:pPr>
        <w:jc w:val="center"/>
        <w:spacing w:line="500" w:lineRule="exact"/>
        <w:rPr>
          <w:rFonts w:ascii="Times New Roman" w:hAnsi="Times New Roman" w:cs="宋体"/>
          <w:b/>
          <w:color w:val="auto"/>
          <w:szCs w:val="21"/>
          <w:highlight w:val="none"/>
        </w:rPr>
      </w:pPr>
      <w:r>
        <w:rPr>
          <w:rFonts w:hint="eastAsia" w:ascii="Times New Roman" w:hAnsi="Times New Roman" w:cs="宋体"/>
          <w:b/>
          <w:bCs/>
          <w:color w:val="auto"/>
          <w:highlight w:val="none"/>
        </w:rPr>
        <w:br w:type="page" w:clear="all"/>
      </w:r>
      <w:r>
        <w:rPr>
          <w:rFonts w:hint="eastAsia" w:ascii="Times New Roman" w:hAnsi="Times New Roman" w:cs="宋体"/>
          <w:b/>
          <w:color w:val="auto"/>
          <w:szCs w:val="21"/>
          <w:highlight w:val="none"/>
        </w:rPr>
        <w:t xml:space="preserve">供应商信用承诺书</w:t>
      </w:r>
      <w:r/>
    </w:p>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承诺主体名称：</w:t>
      </w:r>
      <w:r/>
    </w:p>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统一社会信用代码：</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四、自觉接受行政管理部门、行业组织、社会公众、新闻舆论的监督；</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七、严格遵守信用信息公示相关规定，向社会公示信用信息；</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八、在“信用中国”和“中国政府采购网”网站中无违法违规、较重或严重失信记录；</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十、本承诺书自签订之日起生效。</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（注：法定代表人或负责人、主体名称发生变更的应当重新作出承诺。）</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承诺单位（签章）：           </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法定代表人（负责人）：</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年    月    日</w:t>
      </w:r>
      <w:r/>
    </w:p>
    <w:p>
      <w:pPr>
        <w:jc w:val="center"/>
        <w:spacing w:line="500" w:lineRule="exact"/>
        <w:rPr>
          <w:rFonts w:ascii="Times New Roman" w:hAnsi="Times New Roman" w:cs="宋体"/>
          <w:color w:val="auto"/>
          <w:szCs w:val="21"/>
          <w:highlight w:val="none"/>
        </w:rPr>
      </w:pPr>
      <w:r>
        <w:rPr>
          <w:rFonts w:ascii="Times New Roman" w:hAnsi="Times New Roman" w:cs="宋体"/>
          <w:color w:val="auto"/>
          <w:szCs w:val="21"/>
          <w:highlight w:val="none"/>
        </w:rPr>
      </w:r>
      <w:r/>
    </w:p>
    <w:p>
      <w:pPr>
        <w:spacing w:line="560" w:lineRule="exact"/>
        <w:rPr>
          <w:rFonts w:ascii="Times New Roman" w:hAnsi="Times New Roman" w:cs="宋体"/>
          <w:color w:val="auto"/>
          <w:szCs w:val="21"/>
          <w:highlight w:val="none"/>
        </w:rPr>
      </w:pPr>
      <w:r>
        <w:rPr>
          <w:rFonts w:ascii="Times New Roman" w:hAnsi="Times New Roman" w:cs="宋体"/>
          <w:color w:val="auto"/>
          <w:szCs w:val="21"/>
          <w:highlight w:val="none"/>
        </w:rPr>
      </w:r>
      <w:r/>
    </w:p>
    <w:p>
      <w:pPr>
        <w:spacing w:line="560" w:lineRule="exact"/>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b/>
          <w:bCs/>
          <w:color w:val="auto"/>
          <w:highlight w:val="none"/>
        </w:rPr>
      </w:pPr>
      <w:r>
        <w:rPr>
          <w:rFonts w:hint="eastAsia" w:ascii="Times New Roman" w:hAnsi="Times New Roman" w:cs="宋体"/>
          <w:b/>
          <w:bCs/>
          <w:color w:val="auto"/>
          <w:highlight w:val="none"/>
        </w:rPr>
        <w:br w:type="page" w:clear="all"/>
      </w:r>
      <w:r>
        <w:rPr>
          <w:rFonts w:hint="eastAsia" w:ascii="Times New Roman" w:hAnsi="Times New Roman" w:cs="宋体"/>
          <w:b/>
          <w:bCs/>
          <w:color w:val="auto"/>
          <w:highlight w:val="none"/>
        </w:rPr>
        <w:t xml:space="preserve">投标函格式</w:t>
      </w:r>
      <w:r/>
    </w:p>
    <w:p>
      <w:pPr>
        <w:pStyle w:val="1018"/>
        <w:ind w:firstLine="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致：</w:t>
      </w:r>
      <w:r>
        <w:rPr>
          <w:rFonts w:hint="eastAsia" w:ascii="Times New Roman" w:hAnsi="Times New Roman" w:cs="宋体"/>
          <w:color w:val="auto"/>
          <w:sz w:val="21"/>
          <w:highlight w:val="none"/>
        </w:rPr>
        <w:t xml:space="preserve">江苏苏维工程管理有限公司</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据此函，__________签字人（姓名）兹宣布同意如下：</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1.按照招标文件规定的各项要求，向买方提供所需货物与服务。</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2.我们完全理解贵方不一定将合同授予最低报价的投标人。</w:t>
      </w:r>
      <w:r/>
    </w:p>
    <w:p>
      <w:pPr>
        <w:pStyle w:val="1018"/>
        <w:ind w:firstLine="42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3.我们已详细审核全部招标文件及其有效补充文件，我们知道必须放弃提出含糊不清或误解问题的权利。</w:t>
      </w:r>
      <w:r/>
    </w:p>
    <w:p>
      <w:pPr>
        <w:pStyle w:val="1018"/>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4.我们同意从规定的开标日期起遵循本投标文件，并在规定的投标有效期期满之前均具有约束力。</w:t>
      </w:r>
      <w:r/>
    </w:p>
    <w:p>
      <w:pPr>
        <w:pStyle w:val="1018"/>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18"/>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6.一旦我方中标，我方将根据招标文件的规定，严格履行合同的责任和义务，并保证在招标文件规定的时间内完成项目，交付买方验收、使用。</w:t>
      </w:r>
      <w:r/>
    </w:p>
    <w:p>
      <w:pPr>
        <w:pStyle w:val="1018"/>
        <w:ind w:left="425" w:firstLine="105"/>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7.与本投标有关的正式通讯地址为：</w:t>
      </w:r>
      <w:r/>
    </w:p>
    <w:p>
      <w:pPr>
        <w:pStyle w:val="1018"/>
        <w:ind w:firstLine="478"/>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地 址：</w:t>
      </w:r>
      <w:r/>
    </w:p>
    <w:p>
      <w:pPr>
        <w:pStyle w:val="1018"/>
        <w:ind w:firstLine="478"/>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邮 编：</w:t>
      </w:r>
      <w:r/>
    </w:p>
    <w:p>
      <w:pPr>
        <w:pStyle w:val="1018"/>
        <w:ind w:firstLine="478"/>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电 话： </w:t>
      </w:r>
      <w:r/>
    </w:p>
    <w:p>
      <w:pPr>
        <w:pStyle w:val="1018"/>
        <w:ind w:firstLine="478"/>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传 真： </w:t>
      </w:r>
      <w:r/>
    </w:p>
    <w:p>
      <w:pPr>
        <w:pStyle w:val="1018"/>
        <w:ind w:firstLine="478"/>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投标人开户行：</w:t>
      </w:r>
      <w:r/>
    </w:p>
    <w:p>
      <w:pPr>
        <w:pStyle w:val="1018"/>
        <w:ind w:firstLine="478"/>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账 户： </w:t>
      </w:r>
      <w:r/>
    </w:p>
    <w:p>
      <w:pPr>
        <w:pStyle w:val="1018"/>
        <w:ind w:firstLine="478"/>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行 号：</w:t>
      </w:r>
      <w:r/>
    </w:p>
    <w:p>
      <w:pPr>
        <w:pStyle w:val="1018"/>
        <w:ind w:firstLine="478"/>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日 期：________年____月____日</w:t>
      </w:r>
      <w:r/>
    </w:p>
    <w:p>
      <w:pPr>
        <w:contextualSpacing/>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jc w:val="center"/>
        <w:rPr>
          <w:rFonts w:ascii="Times New Roman" w:hAnsi="Times New Roman" w:cs="宋体"/>
          <w:b/>
          <w:color w:val="auto"/>
          <w:szCs w:val="21"/>
          <w:highlight w:val="none"/>
        </w:rPr>
      </w:pPr>
      <w:r>
        <w:rPr>
          <w:rFonts w:hint="eastAsia" w:ascii="Times New Roman" w:hAnsi="Times New Roman" w:cs="宋体"/>
          <w:b/>
          <w:color w:val="auto"/>
          <w:sz w:val="32"/>
          <w:szCs w:val="32"/>
          <w:highlight w:val="none"/>
        </w:rPr>
        <w:br w:type="page" w:clear="all"/>
      </w:r>
      <w:r>
        <w:rPr>
          <w:rFonts w:hint="eastAsia" w:ascii="Times New Roman" w:hAnsi="Times New Roman" w:cs="宋体"/>
          <w:b/>
          <w:color w:val="auto"/>
          <w:szCs w:val="21"/>
          <w:highlight w:val="none"/>
        </w:rPr>
        <w:t xml:space="preserve">法人授权书</w:t>
      </w:r>
      <w:r/>
    </w:p>
    <w:p>
      <w:pPr>
        <w:pStyle w:val="1019"/>
        <w:ind w:firstLine="420"/>
        <w:spacing w:line="360" w:lineRule="auto"/>
        <w:rPr>
          <w:rFonts w:cs="宋体"/>
          <w:color w:val="auto"/>
          <w:sz w:val="21"/>
          <w:szCs w:val="21"/>
          <w:highlight w:val="none"/>
        </w:rPr>
      </w:pPr>
      <w:r>
        <w:rPr>
          <w:rFonts w:cs="宋体"/>
          <w:color w:val="auto"/>
          <w:sz w:val="21"/>
          <w:szCs w:val="21"/>
          <w:highlight w:val="none"/>
        </w:rPr>
      </w:r>
      <w:r/>
    </w:p>
    <w:p>
      <w:pPr>
        <w:pStyle w:val="1019"/>
        <w:ind w:firstLine="420"/>
        <w:spacing w:line="360" w:lineRule="auto"/>
        <w:rPr>
          <w:rFonts w:cs="宋体"/>
          <w:color w:val="auto"/>
          <w:sz w:val="21"/>
          <w:szCs w:val="21"/>
          <w:highlight w:val="none"/>
        </w:rPr>
      </w:pPr>
      <w:r>
        <w:rPr>
          <w:rFonts w:hint="eastAsia"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19"/>
        <w:ind w:firstLine="420"/>
        <w:spacing w:line="360" w:lineRule="auto"/>
        <w:rPr>
          <w:rFonts w:cs="宋体"/>
          <w:color w:val="auto"/>
          <w:sz w:val="21"/>
          <w:szCs w:val="21"/>
          <w:highlight w:val="none"/>
        </w:rPr>
      </w:pPr>
      <w:r>
        <w:rPr>
          <w:rFonts w:hint="eastAsia" w:cs="宋体"/>
          <w:color w:val="auto"/>
          <w:sz w:val="21"/>
          <w:szCs w:val="21"/>
          <w:highlight w:val="none"/>
        </w:rPr>
        <w:t xml:space="preserve">本授权书于______年____月____日起生效，特此声明。</w:t>
      </w:r>
      <w:r/>
    </w:p>
    <w:p>
      <w:pPr>
        <w:pStyle w:val="1019"/>
        <w:ind w:firstLine="0"/>
        <w:spacing w:line="360" w:lineRule="auto"/>
        <w:rPr>
          <w:rFonts w:cs="宋体"/>
          <w:color w:val="auto"/>
          <w:sz w:val="21"/>
          <w:szCs w:val="21"/>
          <w:highlight w:val="none"/>
        </w:rPr>
      </w:pPr>
      <w:r>
        <w:rPr>
          <w:rFonts w:cs="宋体"/>
          <w:color w:val="auto"/>
          <w:sz w:val="21"/>
          <w:szCs w:val="21"/>
          <w:highlight w:val="none"/>
        </w:rPr>
      </w:r>
      <w:r/>
    </w:p>
    <w:p>
      <w:pPr>
        <w:pStyle w:val="1019"/>
        <w:ind w:firstLine="420"/>
        <w:spacing w:line="360" w:lineRule="auto"/>
        <w:rPr>
          <w:rFonts w:cs="宋体"/>
          <w:color w:val="auto"/>
          <w:sz w:val="21"/>
          <w:szCs w:val="21"/>
          <w:highlight w:val="none"/>
        </w:rPr>
      </w:pPr>
      <w:r>
        <w:rPr>
          <w:rFonts w:hint="eastAsia" w:cs="宋体"/>
          <w:color w:val="auto"/>
          <w:sz w:val="21"/>
          <w:szCs w:val="21"/>
          <w:highlight w:val="none"/>
        </w:rPr>
        <w:t xml:space="preserve">被授权人姓名： </w:t>
      </w:r>
      <w:r/>
    </w:p>
    <w:p>
      <w:pPr>
        <w:pStyle w:val="1019"/>
        <w:ind w:firstLine="420"/>
        <w:spacing w:line="360" w:lineRule="auto"/>
        <w:rPr>
          <w:rFonts w:cs="宋体"/>
          <w:color w:val="auto"/>
          <w:sz w:val="21"/>
          <w:szCs w:val="21"/>
          <w:highlight w:val="none"/>
          <w:u w:val="single"/>
        </w:rPr>
      </w:pPr>
      <w:r>
        <w:rPr>
          <w:rFonts w:hint="eastAsia" w:cs="宋体"/>
          <w:color w:val="auto"/>
          <w:sz w:val="21"/>
          <w:szCs w:val="21"/>
          <w:highlight w:val="none"/>
        </w:rPr>
        <w:t xml:space="preserve">联系电话（手机）：</w:t>
      </w:r>
      <w:r/>
    </w:p>
    <w:p>
      <w:pPr>
        <w:pStyle w:val="1019"/>
        <w:ind w:firstLine="420"/>
        <w:spacing w:line="360" w:lineRule="auto"/>
        <w:rPr>
          <w:rFonts w:cs="宋体"/>
          <w:color w:val="auto"/>
          <w:sz w:val="21"/>
          <w:szCs w:val="21"/>
          <w:highlight w:val="none"/>
        </w:rPr>
      </w:pPr>
      <w:r>
        <w:rPr>
          <w:rFonts w:hint="eastAsia" w:cs="宋体"/>
          <w:color w:val="auto"/>
          <w:sz w:val="21"/>
          <w:szCs w:val="21"/>
          <w:highlight w:val="none"/>
        </w:rPr>
        <w:t xml:space="preserve">单位名称： </w:t>
      </w:r>
      <w:r/>
    </w:p>
    <w:p>
      <w:pPr>
        <w:pStyle w:val="1019"/>
        <w:ind w:firstLine="420"/>
        <w:spacing w:line="360" w:lineRule="auto"/>
        <w:rPr>
          <w:rFonts w:cs="宋体"/>
          <w:color w:val="auto"/>
          <w:sz w:val="21"/>
          <w:szCs w:val="21"/>
          <w:highlight w:val="none"/>
          <w:u w:val="single"/>
        </w:rPr>
      </w:pPr>
      <w:r>
        <w:rPr>
          <w:rFonts w:hint="eastAsia" w:cs="宋体"/>
          <w:color w:val="auto"/>
          <w:sz w:val="21"/>
          <w:szCs w:val="21"/>
          <w:highlight w:val="none"/>
        </w:rPr>
        <w:t xml:space="preserve">单位地址：</w:t>
      </w:r>
      <w:r/>
    </w:p>
    <w:p>
      <w:pPr>
        <w:pStyle w:val="1019"/>
        <w:ind w:firstLine="420"/>
        <w:spacing w:line="360" w:lineRule="auto"/>
        <w:rPr>
          <w:rFonts w:cs="宋体"/>
          <w:color w:val="auto"/>
          <w:sz w:val="21"/>
          <w:szCs w:val="21"/>
          <w:highlight w:val="none"/>
        </w:rPr>
      </w:pPr>
      <w:r>
        <w:rPr>
          <w:rFonts w:hint="eastAsia" w:cs="宋体"/>
          <w:color w:val="auto"/>
          <w:sz w:val="21"/>
          <w:szCs w:val="21"/>
          <w:highlight w:val="none"/>
        </w:rPr>
        <w:t xml:space="preserve">日期：</w:t>
      </w:r>
      <w:r/>
    </w:p>
    <w:p>
      <w:pPr>
        <w:spacing w:line="460" w:lineRule="exact"/>
        <w:rPr>
          <w:rFonts w:ascii="Times New Roman" w:hAnsi="Times New Roman" w:cs="宋体"/>
          <w:bCs/>
          <w:color w:val="auto"/>
          <w:highlight w:val="none"/>
        </w:rPr>
      </w:pPr>
      <w:r>
        <w:rPr>
          <w:rFonts w:ascii="Times New Roman" w:hAnsi="Times New Roman" w:cs="宋体"/>
          <w:bCs/>
          <w:color w:val="auto"/>
          <w:highlight w:val="none"/>
        </w:rPr>
      </w:r>
      <w:r/>
    </w:p>
    <w:p>
      <w:pPr>
        <w:spacing w:line="460" w:lineRule="exact"/>
        <w:rPr>
          <w:rFonts w:ascii="Times New Roman" w:hAnsi="Times New Roman" w:cs="宋体"/>
          <w:bCs/>
          <w:color w:val="auto"/>
          <w:sz w:val="24"/>
          <w:highlight w:val="none"/>
        </w:rPr>
      </w:pPr>
      <w:r>
        <w:rPr>
          <w:rFonts w:ascii="Times New Roman" w:hAnsi="Times New Roman" w:cs="宋体"/>
          <w:bCs/>
          <w:color w:val="auto"/>
          <w:sz w:val="24"/>
          <w:highlight w:val="none"/>
        </w:rPr>
      </w:r>
      <w:r/>
    </w:p>
    <w:p>
      <w:pPr>
        <w:ind w:firstLine="420"/>
        <w:spacing w:line="460" w:lineRule="exact"/>
        <w:rPr>
          <w:rFonts w:ascii="Times New Roman" w:hAnsi="Times New Roman"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cs="宋体"/>
          <w:bCs/>
          <w:color w:val="auto"/>
          <w:highlight w:val="none"/>
        </w:rPr>
        <w:t xml:space="preserve">法定代表人身份证复印件、被授权人身份证复印件</w:t>
      </w:r>
      <w:r/>
    </w:p>
    <w:p>
      <w:pPr>
        <w:pStyle w:val="977"/>
        <w:rPr>
          <w:rFonts w:ascii="Times New Roman" w:hAnsi="Times New Roman" w:eastAsia="宋体" w:cs="宋体"/>
          <w:color w:val="auto"/>
          <w:sz w:val="32"/>
          <w:highlight w:val="none"/>
        </w:rPr>
      </w:pPr>
      <w:r/>
      <w:bookmarkStart w:id="91" w:name="_Toc16911"/>
      <w:r/>
      <w:bookmarkStart w:id="92" w:name="_Toc9345"/>
      <w:r/>
      <w:bookmarkStart w:id="93" w:name="_Toc3074"/>
      <w:r/>
      <w:bookmarkStart w:id="94" w:name="_Toc20616"/>
      <w:r/>
      <w:bookmarkStart w:id="95" w:name="_Toc14959"/>
      <w:r>
        <w:rPr>
          <w:rFonts w:hint="eastAsia" w:ascii="Times New Roman" w:hAnsi="Times New Roman" w:eastAsia="宋体" w:cs="宋体"/>
          <w:color w:val="auto"/>
          <w:sz w:val="32"/>
          <w:highlight w:val="none"/>
        </w:rPr>
        <w:t xml:space="preserve">二、符合性审查响应对照表</w:t>
      </w:r>
      <w:bookmarkEnd w:id="91"/>
      <w:r/>
      <w:bookmarkEnd w:id="92"/>
      <w:r/>
      <w:bookmarkEnd w:id="93"/>
      <w:r/>
      <w:bookmarkEnd w:id="94"/>
      <w:r/>
      <w:bookmarkEnd w:id="95"/>
      <w:r/>
      <w:r/>
    </w:p>
    <w:tbl>
      <w:tblPr>
        <w:tblStyle w:val="77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tcW w:w="2999" w:type="pct"/>
            <w:vAlign w:val="center"/>
            <w:textDirection w:val="lrTb"/>
            <w:noWrap w:val="false"/>
          </w:tcPr>
          <w:p>
            <w:pPr>
              <w:jc w:val="center"/>
              <w:spacing w:line="240" w:lineRule="atLeas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是否响应</w:t>
            </w:r>
            <w:r/>
          </w:p>
          <w:p>
            <w:pPr>
              <w:jc w:val="center"/>
              <w:spacing w:line="240" w:lineRule="atLeas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响应情况</w:t>
            </w:r>
            <w:r/>
          </w:p>
        </w:tc>
      </w:tr>
      <w:tr>
        <w:trPr>
          <w:trHeight w:val="585"/>
        </w:trPr>
        <w:tc>
          <w:tcPr>
            <w:tcW w:w="355" w:type="pct"/>
            <w:vAlign w:val="center"/>
            <w:textDirection w:val="lrTb"/>
            <w:noWrap w:val="false"/>
          </w:tcPr>
          <w:p>
            <w:pPr>
              <w:jc w:val="center"/>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w:t>
            </w:r>
            <w:r/>
          </w:p>
        </w:tc>
        <w:tc>
          <w:tcPr>
            <w:tcW w:w="2999" w:type="pct"/>
            <w:vAlign w:val="center"/>
            <w:textDirection w:val="lrTb"/>
            <w:noWrap w:val="false"/>
          </w:tcPr>
          <w:p>
            <w:pPr>
              <w:spacing w:line="0" w:lineRule="atLeast"/>
              <w:rPr>
                <w:rFonts w:ascii="Times New Roman" w:hAnsi="Times New Roman" w:cs="宋体"/>
                <w:bCs/>
                <w:iCs/>
                <w:color w:val="auto"/>
                <w:szCs w:val="21"/>
                <w:highlight w:val="none"/>
              </w:rPr>
            </w:pPr>
            <w:r>
              <w:rPr>
                <w:rFonts w:hint="eastAsia" w:ascii="Times New Roman" w:hAnsi="Times New Roman"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tcW w:w="720" w:type="pct"/>
            <w:vAlign w:val="center"/>
            <w:textDirection w:val="lrTb"/>
            <w:noWrap w:val="false"/>
          </w:tcPr>
          <w:p>
            <w:pPr>
              <w:rPr>
                <w:rFonts w:ascii="Times New Roman" w:hAnsi="Times New Roman" w:cs="宋体"/>
                <w:b/>
                <w:color w:val="auto"/>
                <w:szCs w:val="21"/>
                <w:highlight w:val="none"/>
              </w:rPr>
            </w:pPr>
            <w:r>
              <w:rPr>
                <w:rFonts w:ascii="Times New Roman" w:hAnsi="Times New Roman" w:cs="宋体"/>
                <w:b/>
                <w:color w:val="auto"/>
                <w:szCs w:val="21"/>
                <w:highlight w:val="none"/>
              </w:rPr>
            </w:r>
            <w:r/>
          </w:p>
        </w:tc>
      </w:tr>
      <w:tr>
        <w:trPr>
          <w:trHeight w:val="585"/>
        </w:trPr>
        <w:tc>
          <w:tcPr>
            <w:tcW w:w="355" w:type="pct"/>
            <w:vAlign w:val="center"/>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w:t>
            </w:r>
            <w:r/>
          </w:p>
        </w:tc>
        <w:tc>
          <w:tcPr>
            <w:tcW w:w="2999" w:type="pct"/>
            <w:vAlign w:val="center"/>
            <w:textDirection w:val="lrTb"/>
            <w:noWrap w:val="false"/>
          </w:tcPr>
          <w:p>
            <w:pPr>
              <w:spacing w:line="0" w:lineRule="atLeast"/>
              <w:rPr>
                <w:rFonts w:ascii="Times New Roman" w:hAnsi="Times New Roman" w:cs="宋体"/>
                <w:iCs/>
                <w:color w:val="auto"/>
                <w:szCs w:val="21"/>
                <w:highlight w:val="none"/>
              </w:rPr>
            </w:pPr>
            <w:r>
              <w:rPr>
                <w:rFonts w:ascii="Times New Roman" w:hAnsi="Times New Roman" w:cs="宋体"/>
                <w:iCs/>
                <w:color w:val="auto"/>
                <w:szCs w:val="21"/>
                <w:highlight w:val="none"/>
              </w:rPr>
            </w:r>
            <w:r/>
          </w:p>
        </w:tc>
        <w:tc>
          <w:tcPr>
            <w:tcW w:w="924"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720"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585"/>
        </w:trPr>
        <w:tc>
          <w:tcPr>
            <w:tcW w:w="355" w:type="pct"/>
            <w:vAlign w:val="center"/>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p>
        </w:tc>
        <w:tc>
          <w:tcPr>
            <w:tcW w:w="2999" w:type="pct"/>
            <w:vAlign w:val="center"/>
            <w:textDirection w:val="lrTb"/>
            <w:noWrap w:val="false"/>
          </w:tcPr>
          <w:p>
            <w:pPr>
              <w:spacing w:line="0" w:lineRule="atLeast"/>
              <w:rPr>
                <w:rFonts w:ascii="Times New Roman" w:hAnsi="Times New Roman" w:cs="宋体"/>
                <w:iCs/>
                <w:color w:val="auto"/>
                <w:szCs w:val="21"/>
                <w:highlight w:val="none"/>
              </w:rPr>
            </w:pPr>
            <w:r>
              <w:rPr>
                <w:rFonts w:ascii="Times New Roman" w:hAnsi="Times New Roman" w:cs="宋体"/>
                <w:iCs/>
                <w:color w:val="auto"/>
                <w:szCs w:val="21"/>
                <w:highlight w:val="none"/>
              </w:rPr>
            </w:r>
            <w:r/>
          </w:p>
        </w:tc>
        <w:tc>
          <w:tcPr>
            <w:tcW w:w="924"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720"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417"/>
        </w:trPr>
        <w:tc>
          <w:tcPr>
            <w:tcW w:w="355" w:type="pct"/>
            <w:vAlign w:val="center"/>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w:t>
            </w:r>
            <w:r/>
          </w:p>
        </w:tc>
        <w:tc>
          <w:tcPr>
            <w:tcW w:w="2999" w:type="pct"/>
            <w:vAlign w:val="center"/>
            <w:textDirection w:val="lrTb"/>
            <w:noWrap w:val="false"/>
          </w:tcPr>
          <w:p>
            <w:pPr>
              <w:spacing w:line="0" w:lineRule="atLeast"/>
              <w:rPr>
                <w:rFonts w:ascii="Times New Roman" w:hAnsi="Times New Roman" w:cs="宋体"/>
                <w:iCs/>
                <w:color w:val="auto"/>
                <w:szCs w:val="21"/>
                <w:highlight w:val="none"/>
              </w:rPr>
            </w:pPr>
            <w:r>
              <w:rPr>
                <w:rFonts w:ascii="Times New Roman" w:hAnsi="Times New Roman" w:cs="宋体"/>
                <w:iCs/>
                <w:color w:val="auto"/>
                <w:szCs w:val="21"/>
                <w:highlight w:val="none"/>
              </w:rPr>
            </w:r>
            <w:r/>
          </w:p>
        </w:tc>
        <w:tc>
          <w:tcPr>
            <w:tcW w:w="924"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720"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780"/>
        </w:trPr>
        <w:tc>
          <w:tcPr>
            <w:tcW w:w="355" w:type="pct"/>
            <w:vAlign w:val="center"/>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w:t>
            </w:r>
            <w:r/>
          </w:p>
        </w:tc>
        <w:tc>
          <w:tcPr>
            <w:tcW w:w="2999" w:type="pct"/>
            <w:vAlign w:val="center"/>
            <w:textDirection w:val="lrTb"/>
            <w:noWrap w:val="false"/>
          </w:tcPr>
          <w:p>
            <w:pPr>
              <w:spacing w:line="0" w:lineRule="atLeast"/>
              <w:rPr>
                <w:rFonts w:ascii="Times New Roman" w:hAnsi="Times New Roman" w:cs="宋体"/>
                <w:iCs/>
                <w:color w:val="auto"/>
                <w:szCs w:val="21"/>
                <w:highlight w:val="none"/>
              </w:rPr>
            </w:pPr>
            <w:r>
              <w:rPr>
                <w:rFonts w:hint="eastAsia" w:ascii="Times New Roman" w:hAnsi="Times New Roman" w:cs="宋体"/>
                <w:iCs/>
                <w:color w:val="auto"/>
                <w:szCs w:val="21"/>
                <w:highlight w:val="none"/>
              </w:rPr>
              <w:t xml:space="preserve">……</w:t>
            </w:r>
            <w:r/>
          </w:p>
        </w:tc>
        <w:tc>
          <w:tcPr>
            <w:tcW w:w="924"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720"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pStyle w:val="977"/>
        <w:rPr>
          <w:rFonts w:ascii="Times New Roman" w:hAnsi="Times New Roman" w:eastAsia="宋体" w:cs="宋体"/>
          <w:color w:val="auto"/>
          <w:sz w:val="32"/>
          <w:highlight w:val="none"/>
        </w:rPr>
      </w:pPr>
      <w:r/>
      <w:bookmarkStart w:id="96" w:name="_Toc14100"/>
      <w:r/>
      <w:bookmarkStart w:id="97" w:name="_Toc6752"/>
      <w:r/>
      <w:bookmarkStart w:id="98" w:name="_Toc23068"/>
      <w:r/>
      <w:bookmarkStart w:id="99" w:name="_Toc29406"/>
      <w:r/>
      <w:bookmarkStart w:id="100" w:name="_Toc23420"/>
      <w:r>
        <w:rPr>
          <w:rFonts w:hint="eastAsia" w:ascii="Times New Roman" w:hAnsi="Times New Roman" w:eastAsia="宋体" w:cs="宋体"/>
          <w:color w:val="auto"/>
          <w:sz w:val="32"/>
          <w:highlight w:val="none"/>
        </w:rPr>
        <w:t xml:space="preserve">三、非实质性响应对照表</w:t>
      </w:r>
      <w:bookmarkEnd w:id="96"/>
      <w:r/>
      <w:bookmarkEnd w:id="97"/>
      <w:r/>
      <w:bookmarkEnd w:id="98"/>
      <w:r/>
      <w:bookmarkEnd w:id="99"/>
      <w:r/>
      <w:bookmarkEnd w:id="100"/>
      <w:r/>
      <w:r/>
    </w:p>
    <w:tbl>
      <w:tblPr>
        <w:tblStyle w:val="77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tcW w:w="2999" w:type="pct"/>
            <w:vAlign w:val="center"/>
            <w:textDirection w:val="lrTb"/>
            <w:noWrap w:val="false"/>
          </w:tcPr>
          <w:p>
            <w:pPr>
              <w:jc w:val="center"/>
              <w:spacing w:line="240" w:lineRule="atLeas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非实质性响应内容</w:t>
            </w:r>
            <w:r/>
          </w:p>
        </w:tc>
        <w:tc>
          <w:tcPr>
            <w:tcW w:w="924" w:type="pct"/>
            <w:vAlign w:val="center"/>
            <w:textDirection w:val="lrTb"/>
            <w:noWrap w:val="false"/>
          </w:tcPr>
          <w:p>
            <w:pPr>
              <w:jc w:val="center"/>
              <w:spacing w:line="240" w:lineRule="atLeas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是否响应</w:t>
            </w:r>
            <w:r/>
          </w:p>
          <w:p>
            <w:pPr>
              <w:jc w:val="center"/>
              <w:spacing w:line="240" w:lineRule="atLeas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响应情况</w:t>
            </w:r>
            <w:r/>
          </w:p>
        </w:tc>
      </w:tr>
      <w:tr>
        <w:trPr>
          <w:trHeight w:val="585"/>
        </w:trPr>
        <w:tc>
          <w:tcPr>
            <w:tcW w:w="355" w:type="pct"/>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color w:val="auto"/>
                <w:szCs w:val="21"/>
                <w:highlight w:val="none"/>
              </w:rPr>
              <w:t xml:space="preserve">1</w:t>
            </w:r>
            <w:r/>
          </w:p>
        </w:tc>
        <w:tc>
          <w:tcPr>
            <w:shd w:val="clear" w:color="auto" w:fill="auto"/>
            <w:tcW w:w="2999" w:type="pct"/>
            <w:vAlign w:val="center"/>
            <w:textDirection w:val="lrTb"/>
            <w:noWrap w:val="false"/>
          </w:tcPr>
          <w:p>
            <w:pPr>
              <w:spacing w:line="0" w:lineRule="atLeast"/>
              <w:rPr>
                <w:rFonts w:ascii="Times New Roman" w:hAnsi="Times New Roman" w:cs="宋体"/>
                <w:iCs/>
                <w:color w:val="auto"/>
                <w:szCs w:val="21"/>
                <w:highlight w:val="none"/>
              </w:rPr>
            </w:pPr>
            <w:r>
              <w:rPr>
                <w:rFonts w:hint="eastAsia" w:ascii="Times New Roman" w:hAnsi="Times New Roman" w:cs="宋体"/>
                <w:color w:val="auto"/>
                <w:szCs w:val="21"/>
                <w:highlight w:val="none"/>
              </w:rPr>
              <w:t xml:space="preserve">《残疾人福利性单位声明函》</w:t>
            </w:r>
            <w:r/>
          </w:p>
        </w:tc>
        <w:tc>
          <w:tcPr>
            <w:tcW w:w="924" w:type="pct"/>
            <w:vAlign w:val="center"/>
            <w:textDirection w:val="lrTb"/>
            <w:noWrap w:val="false"/>
          </w:tcPr>
          <w:p>
            <w:pPr>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tcW w:w="720" w:type="pct"/>
            <w:vAlign w:val="center"/>
            <w:textDirection w:val="lrTb"/>
            <w:noWrap w:val="false"/>
          </w:tcPr>
          <w:p>
            <w:pPr>
              <w:rPr>
                <w:rFonts w:ascii="Times New Roman" w:hAnsi="Times New Roman" w:cs="宋体"/>
                <w:b/>
                <w:color w:val="auto"/>
                <w:szCs w:val="21"/>
                <w:highlight w:val="none"/>
              </w:rPr>
            </w:pPr>
            <w:r>
              <w:rPr>
                <w:rFonts w:ascii="Times New Roman" w:hAnsi="Times New Roman" w:cs="宋体"/>
                <w:b/>
                <w:color w:val="auto"/>
                <w:szCs w:val="21"/>
                <w:highlight w:val="none"/>
              </w:rPr>
            </w:r>
            <w:r/>
          </w:p>
        </w:tc>
      </w:tr>
      <w:tr>
        <w:trPr>
          <w:trHeight w:val="585"/>
        </w:trPr>
        <w:tc>
          <w:tcPr>
            <w:tcW w:w="355" w:type="pct"/>
            <w:vAlign w:val="center"/>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w:t>
            </w:r>
            <w:r/>
          </w:p>
        </w:tc>
        <w:tc>
          <w:tcPr>
            <w:shd w:val="clear" w:color="auto" w:fill="auto"/>
            <w:tcW w:w="2999" w:type="pct"/>
            <w:vAlign w:val="center"/>
            <w:textDirection w:val="lrTb"/>
            <w:noWrap w:val="false"/>
          </w:tcPr>
          <w:p>
            <w:pPr>
              <w:spacing w:line="0" w:lineRule="atLeast"/>
              <w:rPr>
                <w:rFonts w:ascii="Times New Roman" w:hAnsi="Times New Roman" w:cs="宋体"/>
                <w:iCs/>
                <w:color w:val="auto"/>
                <w:szCs w:val="21"/>
                <w:highlight w:val="none"/>
              </w:rPr>
            </w:pPr>
            <w:r>
              <w:rPr>
                <w:rFonts w:hint="eastAsia" w:ascii="Times New Roman" w:hAnsi="Times New Roman" w:cs="宋体"/>
                <w:color w:val="auto"/>
                <w:szCs w:val="21"/>
                <w:highlight w:val="none"/>
              </w:rPr>
              <w:t xml:space="preserve">《关于符合本国产品标准的声明函》</w:t>
            </w:r>
            <w:r/>
          </w:p>
        </w:tc>
        <w:tc>
          <w:tcPr>
            <w:tcW w:w="924"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720"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780"/>
        </w:trPr>
        <w:tc>
          <w:tcPr>
            <w:tcW w:w="355" w:type="pct"/>
            <w:vAlign w:val="center"/>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p>
        </w:tc>
        <w:tc>
          <w:tcPr>
            <w:tcW w:w="2999" w:type="pct"/>
            <w:vAlign w:val="center"/>
            <w:textDirection w:val="lrTb"/>
            <w:noWrap w:val="false"/>
          </w:tcPr>
          <w:p>
            <w:pPr>
              <w:spacing w:line="0" w:lineRule="atLeast"/>
              <w:rPr>
                <w:rFonts w:ascii="Times New Roman" w:hAnsi="Times New Roman" w:cs="宋体"/>
                <w:iCs/>
                <w:color w:val="auto"/>
                <w:szCs w:val="21"/>
                <w:highlight w:val="none"/>
              </w:rPr>
            </w:pPr>
            <w:r>
              <w:rPr>
                <w:rFonts w:hint="eastAsia" w:ascii="Times New Roman" w:hAnsi="Times New Roman" w:cs="宋体"/>
                <w:iCs/>
                <w:color w:val="auto"/>
                <w:szCs w:val="21"/>
                <w:highlight w:val="none"/>
              </w:rPr>
              <w:t xml:space="preserve">……</w:t>
            </w:r>
            <w:r/>
          </w:p>
        </w:tc>
        <w:tc>
          <w:tcPr>
            <w:tcW w:w="924"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720"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780"/>
        </w:trPr>
        <w:tc>
          <w:tcPr>
            <w:tcW w:w="355" w:type="pct"/>
            <w:vAlign w:val="center"/>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w:t>
            </w:r>
            <w:r/>
          </w:p>
        </w:tc>
        <w:tc>
          <w:tcPr>
            <w:tcW w:w="2999" w:type="pct"/>
            <w:vAlign w:val="center"/>
            <w:textDirection w:val="lrTb"/>
            <w:noWrap w:val="false"/>
          </w:tcPr>
          <w:p>
            <w:pPr>
              <w:spacing w:line="0" w:lineRule="atLeast"/>
              <w:rPr>
                <w:rFonts w:ascii="Times New Roman" w:hAnsi="Times New Roman" w:cs="宋体"/>
                <w:iCs/>
                <w:color w:val="auto"/>
                <w:szCs w:val="21"/>
                <w:highlight w:val="none"/>
              </w:rPr>
            </w:pPr>
            <w:r>
              <w:rPr>
                <w:rFonts w:ascii="Times New Roman" w:hAnsi="Times New Roman" w:cs="宋体"/>
                <w:iCs/>
                <w:color w:val="auto"/>
                <w:szCs w:val="21"/>
                <w:highlight w:val="none"/>
              </w:rPr>
            </w:r>
            <w:r/>
          </w:p>
        </w:tc>
        <w:tc>
          <w:tcPr>
            <w:tcW w:w="924"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720" w:type="pct"/>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contextualSpacing/>
        <w:jc w:val="center"/>
        <w:spacing w:line="600" w:lineRule="exact"/>
        <w:rPr>
          <w:rFonts w:ascii="Times New Roman" w:hAnsi="Times New Roman" w:cs="宋体"/>
          <w:b/>
          <w:bCs/>
          <w:color w:val="auto"/>
          <w:sz w:val="32"/>
          <w:szCs w:val="32"/>
          <w:highlight w:val="none"/>
        </w:rPr>
      </w:pPr>
      <w:r>
        <w:rPr>
          <w:rFonts w:ascii="Times New Roman" w:hAnsi="Times New Roman" w:cs="宋体"/>
          <w:b/>
          <w:bCs/>
          <w:color w:val="auto"/>
          <w:sz w:val="32"/>
          <w:szCs w:val="32"/>
          <w:highlight w:val="none"/>
        </w:rPr>
      </w:r>
      <w:r/>
    </w:p>
    <w:p>
      <w:pPr>
        <w:rPr>
          <w:rFonts w:ascii="Times New Roman" w:hAnsi="Times New Roman" w:cs="宋体"/>
          <w:color w:val="auto"/>
          <w:highlight w:val="none"/>
        </w:rPr>
      </w:pPr>
      <w:r>
        <w:rPr>
          <w:rFonts w:ascii="Times New Roman" w:hAnsi="Times New Roman" w:cs="宋体"/>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center"/>
        <w:spacing w:before="312" w:after="312"/>
        <w:rPr>
          <w:rFonts w:ascii="Times New Roman" w:hAnsi="Times New Roman" w:cs="宋体"/>
          <w:b/>
          <w:bCs/>
          <w:color w:val="auto"/>
          <w:highlight w:val="none"/>
        </w:rPr>
      </w:pPr>
      <w:r>
        <w:rPr>
          <w:rFonts w:hint="eastAsia" w:ascii="Times New Roman" w:hAnsi="Times New Roman" w:cs="宋体"/>
          <w:b/>
          <w:bCs/>
          <w:color w:val="auto"/>
          <w:highlight w:val="none"/>
        </w:rPr>
        <w:br w:type="page" w:clear="all"/>
      </w:r>
      <w:r>
        <w:rPr>
          <w:rFonts w:hint="eastAsia" w:ascii="Times New Roman" w:hAnsi="Times New Roman" w:cs="宋体"/>
          <w:b/>
          <w:bCs/>
          <w:color w:val="auto"/>
          <w:highlight w:val="none"/>
        </w:rPr>
        <w:t xml:space="preserve">中小企业声明函（货物）</w:t>
      </w:r>
      <w:r/>
    </w:p>
    <w:p>
      <w:pPr>
        <w:ind w:firstLine="420"/>
        <w:jc w:val="left"/>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本公司（联合体）郑重声明，根据《政府采购促进中小企业发展管理办法》（财库﹝2020﹞46 号）的规定，本公司（联合体）参加</w:t>
      </w:r>
      <w:r>
        <w:rPr>
          <w:rFonts w:hint="eastAsia" w:ascii="Times New Roman" w:hAnsi="Times New Roman" w:cs="宋体"/>
          <w:color w:val="auto"/>
          <w:szCs w:val="21"/>
          <w:highlight w:val="none"/>
          <w:u w:val="single"/>
        </w:rPr>
        <w:t xml:space="preserve">（单位名称）</w:t>
      </w:r>
      <w:r>
        <w:rPr>
          <w:rFonts w:hint="eastAsia" w:ascii="Times New Roman" w:hAnsi="Times New Roman" w:cs="宋体"/>
          <w:color w:val="auto"/>
          <w:szCs w:val="21"/>
          <w:highlight w:val="none"/>
        </w:rPr>
        <w:t xml:space="preserve">的</w:t>
      </w:r>
      <w:r>
        <w:rPr>
          <w:rFonts w:hint="eastAsia" w:ascii="Times New Roman" w:hAnsi="Times New Roman" w:cs="宋体"/>
          <w:color w:val="auto"/>
          <w:szCs w:val="21"/>
          <w:highlight w:val="none"/>
          <w:u w:val="single"/>
        </w:rPr>
        <w:t xml:space="preserve">（项目名称）</w:t>
      </w:r>
      <w:r>
        <w:rPr>
          <w:rFonts w:hint="eastAsia" w:ascii="Times New Roman" w:hAnsi="Times New Roman"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 </w:t>
      </w:r>
      <w:r>
        <w:rPr>
          <w:rFonts w:hint="eastAsia" w:ascii="Times New Roman" w:hAnsi="Times New Roman" w:cs="宋体"/>
          <w:color w:val="auto"/>
          <w:szCs w:val="21"/>
          <w:highlight w:val="none"/>
          <w:u w:val="single"/>
        </w:rPr>
        <w:t xml:space="preserve">（标的名称） </w:t>
      </w:r>
      <w:r>
        <w:rPr>
          <w:rFonts w:hint="eastAsia" w:ascii="Times New Roman" w:hAnsi="Times New Roman" w:cs="宋体"/>
          <w:color w:val="auto"/>
          <w:szCs w:val="21"/>
          <w:highlight w:val="none"/>
        </w:rPr>
        <w:t xml:space="preserve">，属于</w:t>
      </w:r>
      <w:r>
        <w:rPr>
          <w:rFonts w:hint="eastAsia" w:ascii="Times New Roman" w:hAnsi="Times New Roman" w:cs="宋体"/>
          <w:b/>
          <w:bCs/>
          <w:color w:val="auto"/>
          <w:szCs w:val="21"/>
          <w:highlight w:val="none"/>
          <w:u w:val="single"/>
        </w:rPr>
        <w:t xml:space="preserve">（工业）</w:t>
      </w:r>
      <w:r>
        <w:rPr>
          <w:rFonts w:hint="eastAsia" w:ascii="Times New Roman" w:hAnsi="Times New Roman" w:cs="宋体"/>
          <w:color w:val="auto"/>
          <w:szCs w:val="21"/>
          <w:highlight w:val="none"/>
          <w:u w:val="single"/>
        </w:rPr>
        <w:t xml:space="preserve">行业（不得对行业类别修改）</w:t>
      </w:r>
      <w:r>
        <w:rPr>
          <w:rFonts w:hint="eastAsia" w:ascii="Times New Roman" w:hAnsi="Times New Roman" w:cs="宋体"/>
          <w:color w:val="auto"/>
          <w:szCs w:val="21"/>
          <w:highlight w:val="none"/>
        </w:rPr>
        <w:t xml:space="preserve">；制造商为</w:t>
      </w:r>
      <w:r>
        <w:rPr>
          <w:rFonts w:hint="eastAsia" w:ascii="Times New Roman" w:hAnsi="Times New Roman" w:cs="宋体"/>
          <w:color w:val="auto"/>
          <w:szCs w:val="21"/>
          <w:highlight w:val="none"/>
          <w:u w:val="single"/>
        </w:rPr>
        <w:t xml:space="preserve">（企业名称）</w:t>
      </w:r>
      <w:r>
        <w:rPr>
          <w:rFonts w:hint="eastAsia" w:ascii="Times New Roman" w:hAnsi="Times New Roman" w:cs="宋体"/>
          <w:color w:val="auto"/>
          <w:szCs w:val="21"/>
          <w:highlight w:val="none"/>
        </w:rPr>
        <w:t xml:space="preserve">，从业人员</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人，营业收入为</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万元，资产总额为</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Times New Roman" w:hAnsi="Times New Roman" w:cs="宋体"/>
          <w:color w:val="auto"/>
          <w:spacing w:val="-1"/>
          <w:szCs w:val="21"/>
          <w:highlight w:val="none"/>
          <w:vertAlign w:val="superscript"/>
        </w:rPr>
        <w:t xml:space="preserve">1</w:t>
      </w:r>
      <w:r>
        <w:rPr>
          <w:rFonts w:hint="eastAsia" w:ascii="Times New Roman" w:hAnsi="Times New Roman" w:cs="宋体"/>
          <w:color w:val="auto"/>
          <w:spacing w:val="-1"/>
          <w:szCs w:val="21"/>
          <w:highlight w:val="none"/>
          <w:vertAlign w:val="superscript"/>
        </w:rPr>
        <w:fldChar w:fldCharType="end"/>
      </w:r>
      <w:r>
        <w:rPr>
          <w:rFonts w:hint="eastAsia" w:ascii="Times New Roman" w:hAnsi="Times New Roman" w:cs="宋体"/>
          <w:color w:val="auto"/>
          <w:szCs w:val="21"/>
          <w:highlight w:val="none"/>
        </w:rPr>
        <w:t xml:space="preserve">，属于</w:t>
      </w:r>
      <w:r>
        <w:rPr>
          <w:rFonts w:hint="eastAsia" w:ascii="Times New Roman" w:hAnsi="Times New Roman" w:cs="宋体"/>
          <w:color w:val="auto"/>
          <w:szCs w:val="21"/>
          <w:highlight w:val="none"/>
          <w:u w:val="single"/>
        </w:rPr>
        <w:t xml:space="preserve">（□中型企业 □小型企业 □微型企业）；</w:t>
      </w:r>
      <w:r/>
    </w:p>
    <w:p>
      <w:pPr>
        <w:ind w:firstLine="420"/>
        <w:jc w:val="left"/>
        <w:spacing w:line="400" w:lineRule="exact"/>
        <w:rPr>
          <w:rFonts w:ascii="Times New Roman" w:hAnsi="Times New Roman" w:cs="宋体"/>
          <w:color w:val="auto"/>
          <w:szCs w:val="21"/>
          <w:highlight w:val="none"/>
          <w:u w:val="single"/>
        </w:rPr>
      </w:pPr>
      <w:r>
        <w:rPr>
          <w:rFonts w:hint="eastAsia" w:ascii="Times New Roman" w:hAnsi="Times New Roman" w:cs="宋体"/>
          <w:color w:val="auto"/>
          <w:szCs w:val="21"/>
          <w:highlight w:val="none"/>
        </w:rPr>
        <w:t xml:space="preserve">2. </w:t>
      </w:r>
      <w:r>
        <w:rPr>
          <w:rFonts w:hint="eastAsia" w:ascii="Times New Roman" w:hAnsi="Times New Roman" w:cs="宋体"/>
          <w:color w:val="auto"/>
          <w:szCs w:val="21"/>
          <w:highlight w:val="none"/>
          <w:u w:val="single"/>
        </w:rPr>
        <w:t xml:space="preserve">（标的名称） </w:t>
      </w:r>
      <w:r>
        <w:rPr>
          <w:rFonts w:hint="eastAsia" w:ascii="Times New Roman" w:hAnsi="Times New Roman" w:cs="宋体"/>
          <w:color w:val="auto"/>
          <w:szCs w:val="21"/>
          <w:highlight w:val="none"/>
        </w:rPr>
        <w:t xml:space="preserve">，属于</w:t>
      </w:r>
      <w:r>
        <w:rPr>
          <w:rFonts w:hint="eastAsia" w:ascii="Times New Roman" w:hAnsi="Times New Roman" w:cs="宋体"/>
          <w:b/>
          <w:bCs/>
          <w:color w:val="auto"/>
          <w:szCs w:val="21"/>
          <w:highlight w:val="none"/>
          <w:u w:val="single"/>
        </w:rPr>
        <w:t xml:space="preserve">（工业）</w:t>
      </w:r>
      <w:r>
        <w:rPr>
          <w:rFonts w:hint="eastAsia" w:ascii="Times New Roman" w:hAnsi="Times New Roman" w:cs="宋体"/>
          <w:color w:val="auto"/>
          <w:szCs w:val="21"/>
          <w:highlight w:val="none"/>
          <w:u w:val="single"/>
        </w:rPr>
        <w:t xml:space="preserve">行业（不得对行业类别修改）；</w:t>
      </w:r>
      <w:r>
        <w:rPr>
          <w:rFonts w:hint="eastAsia" w:ascii="Times New Roman" w:hAnsi="Times New Roman" w:cs="宋体"/>
          <w:color w:val="auto"/>
          <w:szCs w:val="21"/>
          <w:highlight w:val="none"/>
        </w:rPr>
        <w:t xml:space="preserve">制造商为</w:t>
      </w:r>
      <w:r>
        <w:rPr>
          <w:rFonts w:hint="eastAsia" w:ascii="Times New Roman" w:hAnsi="Times New Roman" w:cs="宋体"/>
          <w:color w:val="auto"/>
          <w:szCs w:val="21"/>
          <w:highlight w:val="none"/>
          <w:u w:val="single"/>
        </w:rPr>
        <w:t xml:space="preserve">（企业名称）</w:t>
      </w:r>
      <w:r>
        <w:rPr>
          <w:rFonts w:hint="eastAsia" w:ascii="Times New Roman" w:hAnsi="Times New Roman" w:cs="宋体"/>
          <w:color w:val="auto"/>
          <w:szCs w:val="21"/>
          <w:highlight w:val="none"/>
        </w:rPr>
        <w:t xml:space="preserve">，从业人员</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人，营业收入为</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万元，资产总额为</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万元，属于</w:t>
      </w:r>
      <w:r>
        <w:rPr>
          <w:rFonts w:hint="eastAsia" w:ascii="Times New Roman" w:hAnsi="Times New Roman" w:cs="宋体"/>
          <w:color w:val="auto"/>
          <w:szCs w:val="21"/>
          <w:highlight w:val="none"/>
          <w:u w:val="single"/>
        </w:rPr>
        <w:t xml:space="preserve">（□中型企业 □小型企业 □微型企业）；</w:t>
      </w:r>
      <w:r/>
    </w:p>
    <w:p>
      <w:pPr>
        <w:ind w:firstLine="420"/>
        <w:jc w:val="left"/>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w:t>
      </w:r>
      <w:r/>
    </w:p>
    <w:p>
      <w:pPr>
        <w:ind w:firstLine="420"/>
        <w:jc w:val="left"/>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本企业对上述声明内容的真实性负责。如有虚假，将依法承担相应责任。</w:t>
      </w:r>
      <w:r/>
    </w:p>
    <w:p>
      <w:pPr>
        <w:ind w:firstLine="420"/>
        <w:jc w:val="left"/>
        <w:spacing w:line="400" w:lineRule="exact"/>
        <w:rPr>
          <w:rFonts w:ascii="Times New Roman" w:hAnsi="Times New Roman" w:cs="宋体"/>
          <w:color w:val="auto"/>
          <w:szCs w:val="21"/>
          <w:highlight w:val="none"/>
        </w:rPr>
      </w:pPr>
      <w:r>
        <w:rPr>
          <w:rFonts w:ascii="Times New Roman" w:hAnsi="Times New Roman" w:cs="宋体"/>
          <w:color w:val="auto"/>
          <w:szCs w:val="21"/>
          <w:highlight w:val="none"/>
        </w:rPr>
      </w:r>
      <w:r/>
    </w:p>
    <w:p>
      <w:pPr>
        <w:jc w:val="left"/>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注： 1、从业人员（不仅指在职职工）、营业收入、资产总额填报上一年度数据，无上一年度数据的新成立企业可不填报。</w:t>
      </w:r>
      <w:r/>
    </w:p>
    <w:p>
      <w:pPr>
        <w:ind w:firstLine="420"/>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w:t>
      </w:r>
      <w:r>
        <w:rPr>
          <w:rFonts w:hint="eastAsia" w:ascii="Times New Roman" w:hAnsi="Times New Roman" w:cs="宋体"/>
          <w:color w:val="auto"/>
          <w:highlight w:val="none"/>
        </w:rPr>
        <w:t xml:space="preserve">《中小企业声明函》不符合要求或未提供的，作如下处理：①如本项目专门面向中小企业采购，则投标（响应）文件无效；②如本项目不专门面向中小企业采购，则价格将不做相应扣除。</w:t>
      </w:r>
      <w:r/>
    </w:p>
    <w:p>
      <w:pPr>
        <w:spacing w:line="400" w:lineRule="exact"/>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    3、企业声明函请完整填写，中标后将公示。</w:t>
      </w:r>
      <w:r/>
    </w:p>
    <w:p>
      <w:pPr>
        <w:ind w:firstLine="420"/>
        <w:jc w:val="left"/>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5、声明函应涵盖本项目(分包)所有货物，否则价格不作扣除。</w:t>
      </w:r>
      <w:r/>
    </w:p>
    <w:p>
      <w:pPr>
        <w:ind w:firstLine="420"/>
        <w:jc w:val="left"/>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w:t>
      </w:r>
      <w:r>
        <w:rPr>
          <w:rFonts w:hint="eastAsia" w:ascii="Times New Roman" w:hAnsi="Times New Roman"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企业名称（盖章）：</w:t>
      </w:r>
      <w:r/>
    </w:p>
    <w:p>
      <w:pPr>
        <w:jc w:val="center"/>
        <w:spacing w:line="40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日 期：</w:t>
      </w:r>
      <w:r/>
    </w:p>
    <w:p>
      <w:pPr>
        <w:pStyle w:val="1002"/>
        <w:ind w:firstLine="420"/>
        <w:spacing w:before="300" w:after="452" w:line="360" w:lineRule="auto"/>
        <w:widowControl/>
        <w:rPr>
          <w:rFonts w:cs="宋体"/>
          <w:color w:val="auto"/>
          <w:sz w:val="21"/>
          <w:szCs w:val="21"/>
          <w:highlight w:val="none"/>
        </w:rPr>
      </w:pPr>
      <w:r>
        <w:rPr>
          <w:rFonts w:hint="eastAsia" w:cs="宋体"/>
          <w:color w:val="auto"/>
          <w:sz w:val="21"/>
          <w:szCs w:val="21"/>
          <w:highlight w:val="none"/>
        </w:rPr>
        <w:t xml:space="preserve">    </w:t>
      </w:r>
      <w:r>
        <w:rPr>
          <w:rStyle w:val="1007"/>
          <w:rFonts w:hint="eastAsia" w:cs="宋体"/>
          <w:color w:val="auto"/>
          <w:sz w:val="21"/>
          <w:szCs w:val="21"/>
          <w:highlight w:val="none"/>
        </w:rPr>
        <w:t xml:space="preserve">中小微企业划型标准如下：</w:t>
      </w:r>
      <w:r/>
    </w:p>
    <w:tbl>
      <w:tblPr>
        <w:tblStyle w:val="771"/>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02"/>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02"/>
              <w:ind w:firstLine="420"/>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cs="宋体"/>
                <w:color w:val="auto"/>
                <w:sz w:val="21"/>
                <w:szCs w:val="21"/>
                <w:highlight w:val="none"/>
              </w:rPr>
            </w:pPr>
            <w:r>
              <w:rPr>
                <w:rStyle w:val="1007"/>
                <w:rFonts w:hint="eastAsia" w:cs="宋体"/>
                <w:color w:val="auto"/>
                <w:sz w:val="21"/>
                <w:szCs w:val="21"/>
                <w:highlight w:val="none"/>
              </w:rPr>
              <w:t xml:space="preserve">X&lt;10</w:t>
            </w:r>
            <w:r/>
          </w:p>
        </w:tc>
      </w:tr>
    </w:tbl>
    <w:p>
      <w:pPr>
        <w:pStyle w:val="1002"/>
        <w:ind w:firstLine="810"/>
        <w:spacing w:before="300" w:after="452" w:line="360" w:lineRule="auto"/>
        <w:widowControl/>
        <w:rPr>
          <w:rStyle w:val="1007"/>
          <w:rFonts w:cs="宋体"/>
          <w:color w:val="auto"/>
          <w:sz w:val="21"/>
          <w:szCs w:val="21"/>
          <w:highlight w:val="none"/>
        </w:rPr>
      </w:pPr>
      <w:r>
        <w:rPr>
          <w:rStyle w:val="1007"/>
          <w:rFonts w:hint="eastAsia"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978"/>
        <w:rPr>
          <w:rFonts w:ascii="Times New Roman" w:hAnsi="Times New Roman" w:cs="宋体"/>
          <w:color w:val="auto"/>
          <w:highlight w:val="none"/>
        </w:rPr>
      </w:pPr>
      <w:r>
        <w:rPr>
          <w:rStyle w:val="1007"/>
          <w:rFonts w:hint="eastAsia" w:ascii="Times New Roman" w:hAnsi="Times New Roman" w:cs="宋体"/>
          <w:b w:val="0"/>
          <w:color w:val="auto"/>
          <w:sz w:val="21"/>
          <w:szCs w:val="21"/>
          <w:highlight w:val="none"/>
        </w:rPr>
        <w:br w:type="page" w:clear="all"/>
      </w:r>
      <w:r/>
    </w:p>
    <w:p>
      <w:pPr>
        <w:ind w:firstLine="2726"/>
        <w:spacing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残疾人福利性单位声明函</w:t>
      </w:r>
      <w:r/>
    </w:p>
    <w:p>
      <w:pPr>
        <w:ind w:firstLine="624"/>
        <w:spacing w:line="588" w:lineRule="exact"/>
        <w:rPr>
          <w:rFonts w:ascii="Times New Roman" w:hAnsi="Times New Roman" w:cs="宋体"/>
          <w:color w:val="auto"/>
          <w:spacing w:val="6"/>
          <w:sz w:val="30"/>
          <w:szCs w:val="30"/>
          <w:highlight w:val="none"/>
        </w:rPr>
      </w:pPr>
      <w:r>
        <w:rPr>
          <w:rFonts w:ascii="Times New Roman" w:hAnsi="Times New Roman" w:cs="宋体"/>
          <w:color w:val="auto"/>
          <w:spacing w:val="6"/>
          <w:sz w:val="30"/>
          <w:szCs w:val="30"/>
          <w:highlight w:val="none"/>
        </w:rPr>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产品或服务（不包括使用非残疾人福利性单位注册商标的产品或服务）。</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本单位在本次政府采购活动中提供的残疾人福利单位产品报价合计为人民币（大写）圆整（￥：）。</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本单位对上述声明的真实性负责。如有虚假，将依法承担相应责任。</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备注：</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专门面向中小微型企业采购的</w:t>
      </w:r>
      <w:r>
        <w:rPr>
          <w:rFonts w:ascii="Times New Roman" w:hAnsi="Times New Roman"/>
          <w:color w:val="auto"/>
          <w:szCs w:val="21"/>
          <w:highlight w:val="none"/>
        </w:rPr>
        <w:t xml:space="preserve">项目</w:t>
      </w:r>
      <w:r>
        <w:rPr>
          <w:rFonts w:hint="eastAsia" w:ascii="Times New Roman" w:hAnsi="Times New Roman"/>
          <w:color w:val="auto"/>
          <w:szCs w:val="21"/>
          <w:highlight w:val="none"/>
        </w:rPr>
        <w:t xml:space="preserve">，供应商为残疾人福利性单位并提供本单位制造的货物，或者提供其他残疾人福利性单位制造的货物，必须提供此</w:t>
      </w:r>
      <w:r>
        <w:rPr>
          <w:rFonts w:ascii="Times New Roman" w:hAnsi="Times New Roman"/>
          <w:color w:val="auto"/>
          <w:szCs w:val="21"/>
          <w:highlight w:val="none"/>
        </w:rPr>
        <w:t xml:space="preserve">声明函</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否则将</w:t>
      </w:r>
      <w:r>
        <w:rPr>
          <w:rFonts w:hint="eastAsia" w:ascii="Times New Roman" w:hAnsi="Times New Roman"/>
          <w:color w:val="auto"/>
          <w:szCs w:val="21"/>
          <w:highlight w:val="none"/>
        </w:rPr>
        <w:t xml:space="preserve">不能</w:t>
      </w:r>
      <w:r>
        <w:rPr>
          <w:rFonts w:ascii="Times New Roman" w:hAnsi="Times New Roman"/>
          <w:color w:val="auto"/>
          <w:szCs w:val="21"/>
          <w:highlight w:val="none"/>
        </w:rPr>
        <w:t xml:space="preserve">通过资格审查</w:t>
      </w:r>
      <w:r>
        <w:rPr>
          <w:rFonts w:hint="eastAsia" w:ascii="Times New Roman" w:hAnsi="Times New Roman"/>
          <w:color w:val="auto"/>
          <w:szCs w:val="21"/>
          <w:highlight w:val="none"/>
        </w:rPr>
        <w:t xml:space="preserve">。</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 非专门面向中小微型企业采购的</w:t>
      </w:r>
      <w:r>
        <w:rPr>
          <w:rFonts w:ascii="Times New Roman" w:hAnsi="Times New Roman"/>
          <w:color w:val="auto"/>
          <w:szCs w:val="21"/>
          <w:highlight w:val="none"/>
        </w:rPr>
        <w:t xml:space="preserve">项目</w:t>
      </w:r>
      <w:r>
        <w:rPr>
          <w:rFonts w:hint="eastAsia" w:ascii="Times New Roman" w:hAnsi="Times New Roman"/>
          <w:color w:val="auto"/>
          <w:szCs w:val="21"/>
          <w:highlight w:val="none"/>
        </w:rPr>
        <w:t xml:space="preserve">，供应商如不提供此声明函，价格将不做相应扣除。</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3</w:t>
      </w:r>
      <w:r>
        <w:rPr>
          <w:rFonts w:hint="eastAsia" w:ascii="Times New Roman" w:hAnsi="Times New Roman"/>
          <w:color w:val="auto"/>
          <w:szCs w:val="21"/>
          <w:highlight w:val="none"/>
        </w:rPr>
        <w:t xml:space="preserve">.中标/成交供应商为残疾人福利性单位的，此声明函将随中标/成交结果同时公告，接受社会监督。</w:t>
      </w:r>
      <w:r/>
    </w:p>
    <w:p>
      <w:pPr>
        <w:ind w:firstLine="444"/>
        <w:spacing w:line="588" w:lineRule="exact"/>
        <w:rPr>
          <w:rFonts w:ascii="Times New Roman" w:hAnsi="Times New Roman"/>
          <w:color w:val="auto"/>
          <w:spacing w:val="6"/>
          <w:szCs w:val="21"/>
          <w:highlight w:val="none"/>
        </w:rPr>
      </w:pPr>
      <w:r>
        <w:rPr>
          <w:rFonts w:ascii="Times New Roman" w:hAnsi="Times New Roman"/>
          <w:color w:val="auto"/>
          <w:spacing w:val="6"/>
          <w:szCs w:val="21"/>
          <w:highlight w:val="none"/>
        </w:rPr>
      </w:r>
      <w:r/>
    </w:p>
    <w:p>
      <w:pPr>
        <w:ind w:right="1559" w:firstLine="444"/>
        <w:jc w:val="center"/>
        <w:spacing w:line="400" w:lineRule="exact"/>
        <w:tabs>
          <w:tab w:val="left" w:pos="4860" w:leader="none"/>
        </w:tabs>
        <w:rPr>
          <w:rFonts w:ascii="Times New Roman" w:hAnsi="Times New Roman"/>
          <w:color w:val="auto"/>
          <w:szCs w:val="21"/>
          <w:highlight w:val="none"/>
        </w:rPr>
      </w:pPr>
      <w:r>
        <w:rPr>
          <w:rFonts w:hint="eastAsia" w:ascii="Times New Roman" w:hAnsi="Times New Roman"/>
          <w:color w:val="auto"/>
          <w:spacing w:val="6"/>
          <w:szCs w:val="21"/>
          <w:highlight w:val="none"/>
        </w:rPr>
        <w:t xml:space="preserve">             </w:t>
      </w:r>
      <w:r>
        <w:rPr>
          <w:rFonts w:hint="eastAsia" w:ascii="Times New Roman" w:hAnsi="Times New Roman"/>
          <w:color w:val="auto"/>
          <w:szCs w:val="21"/>
          <w:highlight w:val="none"/>
        </w:rPr>
        <w:t xml:space="preserve">    供应商全称（加盖CA电子公章）：</w:t>
      </w:r>
      <w:r/>
    </w:p>
    <w:p>
      <w:pPr>
        <w:ind w:right="1559" w:firstLine="420"/>
        <w:jc w:val="center"/>
        <w:spacing w:line="400" w:lineRule="exact"/>
        <w:tabs>
          <w:tab w:val="left" w:pos="4860" w:leader="none"/>
        </w:tabs>
        <w:rPr>
          <w:rFonts w:ascii="Times New Roman" w:hAnsi="Times New Roman"/>
          <w:color w:val="auto"/>
          <w:szCs w:val="21"/>
          <w:highlight w:val="none"/>
        </w:rPr>
      </w:pPr>
      <w:r>
        <w:rPr>
          <w:rFonts w:hint="eastAsia" w:ascii="Times New Roman" w:hAnsi="Times New Roman"/>
          <w:color w:val="auto"/>
          <w:szCs w:val="21"/>
          <w:highlight w:val="none"/>
        </w:rPr>
        <w:t xml:space="preserve">   日  期：</w:t>
      </w:r>
      <w:r/>
    </w:p>
    <w:p>
      <w:pP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br w:type="page" w:clear="all"/>
      </w:r>
      <w:r/>
    </w:p>
    <w:p>
      <w:pPr>
        <w:jc w:val="center"/>
        <w:rPr>
          <w:rFonts w:ascii="Times New Roman" w:hAnsi="Times New Roman" w:cs="方正魏碑_GBK"/>
          <w:color w:val="auto"/>
          <w:sz w:val="24"/>
          <w:szCs w:val="24"/>
          <w:highlight w:val="none"/>
        </w:rPr>
      </w:pPr>
      <w:r>
        <w:rPr>
          <w:rFonts w:hint="eastAsia" w:ascii="Times New Roman" w:hAnsi="Times New Roman" w:cs="方正魏碑_GBK"/>
          <w:b/>
          <w:color w:val="auto"/>
          <w:sz w:val="24"/>
          <w:szCs w:val="24"/>
          <w:highlight w:val="none"/>
        </w:rPr>
        <w:t xml:space="preserve">关于符合本国产品标准的声明函（采购包号：**）</w:t>
      </w:r>
      <w:r/>
    </w:p>
    <w:p>
      <w:pPr>
        <w:pStyle w:val="796"/>
        <w:ind w:firstLine="420"/>
        <w:spacing w:beforeAutospacing="0" w:afterAutospacing="0" w:line="0" w:lineRule="atLeast"/>
        <w:rPr>
          <w:rFonts w:ascii="Times New Roman" w:hAnsi="Times New Roman" w:cs="方正魏碑_GBK"/>
          <w:color w:val="auto"/>
          <w:highlight w:val="none"/>
        </w:rPr>
      </w:pPr>
      <w:r>
        <w:rPr>
          <w:rFonts w:ascii="Times New Roman" w:hAnsi="Times New Roman" w:cs="方正魏碑_GBK"/>
          <w:color w:val="auto"/>
          <w:highlight w:val="none"/>
        </w:rPr>
      </w:r>
      <w:r/>
    </w:p>
    <w:p>
      <w:pPr>
        <w:pStyle w:val="796"/>
        <w:ind w:firstLine="420"/>
        <w:spacing w:beforeAutospacing="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6"/>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8"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9"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20"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21"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22"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23"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24"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25"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shd w:val="clear" w:color="auto" w:fill="ffffff"/>
        </w:rPr>
        <w:t xml:space="preserve">1.</w:t>
      </w:r>
      <w:r>
        <w:rPr>
          <w:rStyle w:val="804"/>
          <w:rFonts w:hint="eastAsia" w:ascii="Times New Roman" w:hAnsi="Times New Roman" w:cs="方正魏碑_GBK"/>
          <w:i w:val="0"/>
          <w:color w:val="auto"/>
          <w:highlight w:val="none"/>
          <w:u w:val="single"/>
          <w:shd w:val="clear" w:color="auto" w:fill="ffffff"/>
        </w:rPr>
        <w:t xml:space="preserve">（产品名称1）</w:t>
      </w:r>
      <w:r>
        <w:rPr>
          <w:rStyle w:val="804"/>
          <w:rFonts w:hint="eastAsia" w:ascii="Times New Roman" w:hAnsi="Times New Roman" w:cs="方正魏碑_GBK"/>
          <w:i w:val="0"/>
          <w:color w:val="auto"/>
          <w:highlight w:val="none"/>
          <w:shd w:val="clear" w:color="auto" w:fill="ffffff"/>
          <w:vertAlign w:val="superscript"/>
        </w:rPr>
        <w:t xml:space="preserve">1</w:t>
      </w:r>
      <w:r>
        <w:rPr>
          <w:rFonts w:hint="eastAsia" w:ascii="Times New Roman" w:hAnsi="Times New Roman" w:cs="方正魏碑_GBK"/>
          <w:color w:val="auto"/>
          <w:highlight w:val="none"/>
          <w:shd w:val="clear" w:color="auto" w:fill="ffffff"/>
        </w:rPr>
        <w:t xml:space="preserve">，生产厂为</w:t>
      </w:r>
      <w:r>
        <w:rPr>
          <w:rStyle w:val="804"/>
          <w:rFonts w:hint="eastAsia" w:ascii="Times New Roman" w:hAnsi="Times New Roman" w:cs="方正魏碑_GBK"/>
          <w:i w:val="0"/>
          <w:color w:val="auto"/>
          <w:highlight w:val="none"/>
          <w:u w:val="single"/>
          <w:shd w:val="clear" w:color="auto" w:fill="ffffff"/>
        </w:rPr>
        <w:t xml:space="preserve">（厂名）</w:t>
      </w:r>
      <w:r>
        <w:rPr>
          <w:rStyle w:val="804"/>
          <w:rFonts w:hint="eastAsia" w:ascii="Times New Roman" w:hAnsi="Times New Roman" w:cs="方正魏碑_GBK"/>
          <w:i w:val="0"/>
          <w:color w:val="auto"/>
          <w:highlight w:val="none"/>
          <w:shd w:val="clear" w:color="auto" w:fill="ffffff"/>
          <w:vertAlign w:val="superscript"/>
        </w:rPr>
        <w:t xml:space="preserve">2</w:t>
      </w:r>
      <w:r>
        <w:rPr>
          <w:rFonts w:hint="eastAsia" w:ascii="Times New Roman" w:hAnsi="Times New Roman" w:cs="方正魏碑_GBK"/>
          <w:color w:val="auto"/>
          <w:highlight w:val="none"/>
          <w:shd w:val="clear" w:color="auto" w:fill="ffffff"/>
        </w:rPr>
        <w:t xml:space="preserve">，厂址为</w:t>
      </w:r>
      <w:r>
        <w:rPr>
          <w:rStyle w:val="804"/>
          <w:rFonts w:hint="eastAsia" w:ascii="Times New Roman" w:hAnsi="Times New Roman" w:cs="方正魏碑_GBK"/>
          <w:i w:val="0"/>
          <w:color w:val="auto"/>
          <w:highlight w:val="none"/>
          <w:u w:val="single"/>
          <w:shd w:val="clear" w:color="auto" w:fill="ffffff"/>
        </w:rPr>
        <w:t xml:space="preserve">（生产厂址）</w:t>
      </w:r>
      <w:r>
        <w:rPr>
          <w:rFonts w:hint="eastAsia" w:ascii="Times New Roman" w:hAnsi="Times New Roman" w:cs="方正魏碑_GBK"/>
          <w:color w:val="auto"/>
          <w:highlight w:val="none"/>
          <w:shd w:val="clear" w:color="auto" w:fill="ffffff"/>
        </w:rPr>
        <w:t xml:space="preserve">。</w:t>
      </w:r>
      <w:r>
        <w:rPr>
          <w:rFonts w:hint="eastAsia" w:ascii="Times New Roman" w:hAnsi="Times New Roman" w:cs="方正魏碑_GBK"/>
          <w:color w:val="auto"/>
          <w:highlight w:val="none"/>
          <w:u w:val="single"/>
          <w:shd w:val="clear" w:color="auto" w:fill="ffffff"/>
        </w:rPr>
        <w:t xml:space="preserve"> </w:t>
      </w:r>
      <w:r>
        <w:rPr>
          <w:rStyle w:val="804"/>
          <w:rFonts w:hint="eastAsia" w:ascii="Times New Roman" w:hAnsi="Times New Roman" w:cs="方正魏碑_GBK"/>
          <w:i w:val="0"/>
          <w:color w:val="auto"/>
          <w:highlight w:val="none"/>
          <w:u w:val="single"/>
          <w:shd w:val="clear" w:color="auto" w:fill="ffffff"/>
        </w:rPr>
        <w:t xml:space="preserve">（产品名称1） </w:t>
      </w:r>
      <w:r>
        <w:rPr>
          <w:rFonts w:hint="eastAsia" w:ascii="Times New Roman" w:hAnsi="Times New Roman" w:cs="方正魏碑_GBK"/>
          <w:color w:val="auto"/>
          <w:highlight w:val="none"/>
          <w:shd w:val="clear" w:color="auto" w:fill="ffffff"/>
        </w:rPr>
        <w:t xml:space="preserve">的中国境内生产的组件成本占比≥</w:t>
      </w:r>
      <w:r>
        <w:rPr>
          <w:rStyle w:val="804"/>
          <w:rFonts w:hint="eastAsia" w:ascii="Times New Roman" w:hAnsi="Times New Roman" w:cs="方正魏碑_GBK"/>
          <w:i w:val="0"/>
          <w:color w:val="auto"/>
          <w:highlight w:val="none"/>
          <w:u w:val="single"/>
          <w:shd w:val="clear" w:color="auto" w:fill="ffffff"/>
        </w:rPr>
        <w:t xml:space="preserve">（规定</w:t>
      </w:r>
      <w:r>
        <w:rPr>
          <w:rStyle w:val="804"/>
          <w:rFonts w:ascii="Times New Roman" w:hAnsi="Times New Roman" w:cs="方正魏碑_GBK"/>
          <w:i w:val="0"/>
          <w:color w:val="auto"/>
          <w:highlight w:val="none"/>
          <w:u w:val="single"/>
          <w:shd w:val="clear" w:color="auto" w:fill="ffffff"/>
        </w:rPr>
        <w:t xml:space="preserve">比例</w:t>
      </w:r>
      <w:r>
        <w:rPr>
          <w:rStyle w:val="804"/>
          <w:rFonts w:hint="eastAsia" w:ascii="Times New Roman" w:hAnsi="Times New Roman" w:cs="方正魏碑_GBK"/>
          <w:i w:val="0"/>
          <w:color w:val="auto"/>
          <w:highlight w:val="none"/>
          <w:u w:val="single"/>
          <w:shd w:val="clear" w:color="auto" w:fill="ffffff"/>
        </w:rPr>
        <w:t xml:space="preserve">）</w:t>
      </w:r>
      <w:r>
        <w:rPr>
          <w:rStyle w:val="804"/>
          <w:rFonts w:hint="eastAsia" w:ascii="Times New Roman" w:hAnsi="Times New Roman" w:cs="方正魏碑_GBK"/>
          <w:i w:val="0"/>
          <w:color w:val="auto"/>
          <w:highlight w:val="none"/>
          <w:shd w:val="clear" w:color="auto" w:fill="ffffff"/>
          <w:vertAlign w:val="superscript"/>
        </w:rPr>
        <w:t xml:space="preserve">3</w:t>
      </w:r>
      <w:r>
        <w:rPr>
          <w:rFonts w:hint="eastAsia" w:ascii="Times New Roman" w:hAnsi="Times New Roman" w:cs="方正魏碑_GBK"/>
          <w:color w:val="auto"/>
          <w:highlight w:val="none"/>
          <w:shd w:val="clear" w:color="auto" w:fill="ffffff"/>
        </w:rPr>
        <w:t xml:space="preserve">。</w:t>
      </w:r>
      <w:r>
        <w:rPr>
          <w:rStyle w:val="804"/>
          <w:rFonts w:hint="eastAsia" w:ascii="Times New Roman" w:hAnsi="Times New Roman" w:cs="方正魏碑_GBK"/>
          <w:i w:val="0"/>
          <w:color w:val="auto"/>
          <w:highlight w:val="none"/>
          <w:u w:val="single"/>
          <w:shd w:val="clear" w:color="auto" w:fill="ffffff"/>
        </w:rPr>
        <w:t xml:space="preserve">（产品名称1）</w:t>
      </w:r>
      <w:r>
        <w:rPr>
          <w:rFonts w:hint="eastAsia" w:ascii="Times New Roman" w:hAnsi="Times New Roman" w:cs="方正魏碑_GBK"/>
          <w:color w:val="auto"/>
          <w:highlight w:val="none"/>
          <w:shd w:val="clear" w:color="auto" w:fill="ffffff"/>
        </w:rPr>
        <w:t xml:space="preserve">的</w:t>
      </w:r>
      <w:r>
        <w:rPr>
          <w:rStyle w:val="804"/>
          <w:rFonts w:hint="eastAsia" w:ascii="Times New Roman" w:hAnsi="Times New Roman" w:cs="方正魏碑_GBK"/>
          <w:i w:val="0"/>
          <w:color w:val="auto"/>
          <w:highlight w:val="none"/>
          <w:u w:val="single"/>
          <w:shd w:val="clear" w:color="auto" w:fill="ffffff"/>
        </w:rPr>
        <w:t xml:space="preserve">（关键</w:t>
      </w:r>
      <w:r>
        <w:rPr>
          <w:rStyle w:val="804"/>
          <w:rFonts w:ascii="Times New Roman" w:hAnsi="Times New Roman" w:cs="方正魏碑_GBK"/>
          <w:i w:val="0"/>
          <w:color w:val="auto"/>
          <w:highlight w:val="none"/>
          <w:u w:val="single"/>
          <w:shd w:val="clear" w:color="auto" w:fill="ffffff"/>
        </w:rPr>
        <w:t xml:space="preserve">组件</w:t>
      </w:r>
      <w:r>
        <w:rPr>
          <w:rStyle w:val="804"/>
          <w:rFonts w:hint="eastAsia" w:ascii="Times New Roman" w:hAnsi="Times New Roman" w:cs="方正魏碑_GBK"/>
          <w:i w:val="0"/>
          <w:color w:val="auto"/>
          <w:highlight w:val="none"/>
          <w:u w:val="single"/>
          <w:shd w:val="clear" w:color="auto" w:fill="ffffff"/>
        </w:rPr>
        <w:t xml:space="preserve">）</w:t>
      </w:r>
      <w:r>
        <w:rPr>
          <w:rStyle w:val="804"/>
          <w:rFonts w:hint="eastAsia" w:ascii="Times New Roman" w:hAnsi="Times New Roman" w:cs="方正魏碑_GBK"/>
          <w:i w:val="0"/>
          <w:color w:val="auto"/>
          <w:highlight w:val="none"/>
          <w:shd w:val="clear" w:color="auto" w:fill="ffffff"/>
          <w:vertAlign w:val="superscript"/>
        </w:rPr>
        <w:t xml:space="preserve">4</w:t>
      </w:r>
      <w:r>
        <w:rPr>
          <w:rFonts w:hint="eastAsia" w:ascii="Times New Roman" w:hAnsi="Times New Roman" w:cs="方正魏碑_GBK"/>
          <w:color w:val="auto"/>
          <w:highlight w:val="none"/>
          <w:shd w:val="clear" w:color="auto" w:fill="ffffff"/>
        </w:rPr>
        <w:t xml:space="preserve">在中国境内生产。</w:t>
      </w:r>
      <w:r>
        <w:rPr>
          <w:rStyle w:val="804"/>
          <w:rFonts w:hint="eastAsia" w:ascii="Times New Roman" w:hAnsi="Times New Roman" w:cs="方正魏碑_GBK"/>
          <w:i w:val="0"/>
          <w:color w:val="auto"/>
          <w:highlight w:val="none"/>
          <w:u w:val="single"/>
          <w:shd w:val="clear" w:color="auto" w:fill="ffffff"/>
        </w:rPr>
        <w:t xml:space="preserve">（产品名称1）</w:t>
      </w:r>
      <w:r>
        <w:rPr>
          <w:rFonts w:hint="eastAsia" w:ascii="Times New Roman" w:hAnsi="Times New Roman" w:cs="方正魏碑_GBK"/>
          <w:color w:val="auto"/>
          <w:highlight w:val="none"/>
          <w:shd w:val="clear" w:color="auto" w:fill="ffffff"/>
        </w:rPr>
        <w:t xml:space="preserve">的</w:t>
      </w:r>
      <w:r>
        <w:rPr>
          <w:rStyle w:val="804"/>
          <w:rFonts w:hint="eastAsia" w:ascii="Times New Roman" w:hAnsi="Times New Roman" w:cs="方正魏碑_GBK"/>
          <w:i w:val="0"/>
          <w:color w:val="auto"/>
          <w:highlight w:val="none"/>
          <w:u w:val="single"/>
          <w:shd w:val="clear" w:color="auto" w:fill="ffffff"/>
        </w:rPr>
        <w:t xml:space="preserve">（关键工序）</w:t>
      </w:r>
      <w:r>
        <w:rPr>
          <w:rStyle w:val="804"/>
          <w:rFonts w:hint="eastAsia" w:ascii="Times New Roman" w:hAnsi="Times New Roman" w:cs="方正魏碑_GBK"/>
          <w:i w:val="0"/>
          <w:color w:val="auto"/>
          <w:highlight w:val="none"/>
          <w:shd w:val="clear" w:color="auto" w:fill="ffffff"/>
          <w:vertAlign w:val="superscript"/>
        </w:rPr>
        <w:t xml:space="preserve">5</w:t>
      </w:r>
      <w:r>
        <w:rPr>
          <w:rFonts w:hint="eastAsia" w:ascii="Times New Roman" w:hAnsi="Times New Roman" w:cs="方正魏碑_GBK"/>
          <w:color w:val="auto"/>
          <w:highlight w:val="none"/>
          <w:shd w:val="clear" w:color="auto" w:fill="ffffff"/>
        </w:rPr>
        <w:t xml:space="preserve">在中国境内完成。</w:t>
      </w:r>
      <w:r/>
    </w:p>
    <w:p>
      <w:pPr>
        <w:pStyle w:val="796"/>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26"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27"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28"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9"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30"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31"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32"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33"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shd w:val="clear" w:color="auto" w:fill="ffffff"/>
        </w:rPr>
        <w:t xml:space="preserve">2.</w:t>
      </w:r>
      <w:r>
        <w:rPr>
          <w:rStyle w:val="804"/>
          <w:rFonts w:hint="eastAsia" w:ascii="Times New Roman" w:hAnsi="Times New Roman" w:cs="方正魏碑_GBK"/>
          <w:i w:val="0"/>
          <w:color w:val="auto"/>
          <w:highlight w:val="none"/>
          <w:u w:val="single"/>
          <w:shd w:val="clear" w:color="auto" w:fill="ffffff"/>
        </w:rPr>
        <w:t xml:space="preserve">（产品名称2）</w:t>
      </w:r>
      <w:r>
        <w:rPr>
          <w:rFonts w:hint="eastAsia" w:ascii="Times New Roman" w:hAnsi="Times New Roman" w:cs="方正魏碑_GBK"/>
          <w:color w:val="auto"/>
          <w:highlight w:val="none"/>
          <w:shd w:val="clear" w:color="auto" w:fill="ffffff"/>
        </w:rPr>
        <w:t xml:space="preserve">，生产厂为</w:t>
      </w:r>
      <w:r>
        <w:rPr>
          <w:rStyle w:val="804"/>
          <w:rFonts w:hint="eastAsia" w:ascii="Times New Roman" w:hAnsi="Times New Roman" w:cs="方正魏碑_GBK"/>
          <w:i w:val="0"/>
          <w:color w:val="auto"/>
          <w:highlight w:val="none"/>
          <w:u w:val="single"/>
          <w:shd w:val="clear" w:color="auto" w:fill="ffffff"/>
        </w:rPr>
        <w:t xml:space="preserve">（厂名）</w:t>
      </w:r>
      <w:r>
        <w:rPr>
          <w:rFonts w:hint="eastAsia" w:ascii="Times New Roman" w:hAnsi="Times New Roman" w:cs="方正魏碑_GBK"/>
          <w:color w:val="auto"/>
          <w:highlight w:val="none"/>
          <w:shd w:val="clear" w:color="auto" w:fill="ffffff"/>
        </w:rPr>
        <w:t xml:space="preserve">，厂址为</w:t>
      </w:r>
      <w:r>
        <w:rPr>
          <w:rStyle w:val="804"/>
          <w:rFonts w:hint="eastAsia" w:ascii="Times New Roman" w:hAnsi="Times New Roman" w:cs="方正魏碑_GBK"/>
          <w:i w:val="0"/>
          <w:color w:val="auto"/>
          <w:highlight w:val="none"/>
          <w:u w:val="single"/>
          <w:shd w:val="clear" w:color="auto" w:fill="ffffff"/>
        </w:rPr>
        <w:t xml:space="preserve">（生产厂址）</w:t>
      </w:r>
      <w:r>
        <w:rPr>
          <w:rFonts w:hint="eastAsia" w:ascii="Times New Roman" w:hAnsi="Times New Roman" w:cs="方正魏碑_GBK"/>
          <w:color w:val="auto"/>
          <w:highlight w:val="none"/>
          <w:shd w:val="clear" w:color="auto" w:fill="ffffff"/>
        </w:rPr>
        <w:t xml:space="preserve">。</w:t>
      </w:r>
      <w:r>
        <w:rPr>
          <w:rStyle w:val="804"/>
          <w:rFonts w:hint="eastAsia" w:ascii="Times New Roman" w:hAnsi="Times New Roman" w:cs="方正魏碑_GBK"/>
          <w:i w:val="0"/>
          <w:color w:val="auto"/>
          <w:highlight w:val="none"/>
          <w:u w:val="single"/>
          <w:shd w:val="clear" w:color="auto" w:fill="ffffff"/>
        </w:rPr>
        <w:t xml:space="preserve">（产品名称2）</w:t>
      </w:r>
      <w:r>
        <w:rPr>
          <w:rFonts w:hint="eastAsia" w:ascii="Times New Roman" w:hAnsi="Times New Roman" w:cs="方正魏碑_GBK"/>
          <w:color w:val="auto"/>
          <w:highlight w:val="none"/>
          <w:shd w:val="clear" w:color="auto" w:fill="ffffff"/>
        </w:rPr>
        <w:t xml:space="preserve">的中国境内生产的组件成本占比≥</w:t>
      </w:r>
      <w:r>
        <w:rPr>
          <w:rStyle w:val="804"/>
          <w:rFonts w:hint="eastAsia" w:ascii="Times New Roman" w:hAnsi="Times New Roman" w:cs="方正魏碑_GBK"/>
          <w:i w:val="0"/>
          <w:color w:val="auto"/>
          <w:highlight w:val="none"/>
          <w:u w:val="single"/>
          <w:shd w:val="clear" w:color="auto" w:fill="ffffff"/>
        </w:rPr>
        <w:t xml:space="preserve">（规定</w:t>
      </w:r>
      <w:r>
        <w:rPr>
          <w:rStyle w:val="804"/>
          <w:rFonts w:ascii="Times New Roman" w:hAnsi="Times New Roman" w:cs="方正魏碑_GBK"/>
          <w:i w:val="0"/>
          <w:color w:val="auto"/>
          <w:highlight w:val="none"/>
          <w:u w:val="single"/>
          <w:shd w:val="clear" w:color="auto" w:fill="ffffff"/>
        </w:rPr>
        <w:t xml:space="preserve">比例</w:t>
      </w:r>
      <w:r>
        <w:rPr>
          <w:rStyle w:val="804"/>
          <w:rFonts w:hint="eastAsia" w:ascii="Times New Roman" w:hAnsi="Times New Roman" w:cs="方正魏碑_GBK"/>
          <w:i w:val="0"/>
          <w:color w:val="auto"/>
          <w:highlight w:val="none"/>
          <w:u w:val="single"/>
          <w:shd w:val="clear" w:color="auto" w:fill="ffffff"/>
        </w:rPr>
        <w:t xml:space="preserve">）</w:t>
      </w:r>
      <w:r>
        <w:rPr>
          <w:rFonts w:hint="eastAsia" w:ascii="Times New Roman" w:hAnsi="Times New Roman" w:cs="方正魏碑_GBK"/>
          <w:color w:val="auto"/>
          <w:highlight w:val="none"/>
          <w:shd w:val="clear" w:color="auto" w:fill="ffffff"/>
        </w:rPr>
        <w:t xml:space="preserve">。</w:t>
      </w:r>
      <w:r>
        <w:rPr>
          <w:rStyle w:val="804"/>
          <w:rFonts w:hint="eastAsia" w:ascii="Times New Roman" w:hAnsi="Times New Roman" w:cs="方正魏碑_GBK"/>
          <w:i w:val="0"/>
          <w:color w:val="auto"/>
          <w:highlight w:val="none"/>
          <w:u w:val="single"/>
          <w:shd w:val="clear" w:color="auto" w:fill="ffffff"/>
        </w:rPr>
        <w:t xml:space="preserve">（产品名称2）</w:t>
      </w:r>
      <w:r>
        <w:rPr>
          <w:rFonts w:hint="eastAsia" w:ascii="Times New Roman" w:hAnsi="Times New Roman" w:cs="方正魏碑_GBK"/>
          <w:color w:val="auto"/>
          <w:highlight w:val="none"/>
          <w:shd w:val="clear" w:color="auto" w:fill="ffffff"/>
        </w:rPr>
        <w:t xml:space="preserve">的</w:t>
      </w:r>
      <w:r>
        <w:rPr>
          <w:rStyle w:val="804"/>
          <w:rFonts w:hint="eastAsia" w:ascii="Times New Roman" w:hAnsi="Times New Roman" w:cs="方正魏碑_GBK"/>
          <w:i w:val="0"/>
          <w:color w:val="auto"/>
          <w:highlight w:val="none"/>
          <w:u w:val="single"/>
          <w:shd w:val="clear" w:color="auto" w:fill="ffffff"/>
        </w:rPr>
        <w:t xml:space="preserve">（关键</w:t>
      </w:r>
      <w:r>
        <w:rPr>
          <w:rStyle w:val="804"/>
          <w:rFonts w:ascii="Times New Roman" w:hAnsi="Times New Roman" w:cs="方正魏碑_GBK"/>
          <w:i w:val="0"/>
          <w:color w:val="auto"/>
          <w:highlight w:val="none"/>
          <w:u w:val="single"/>
          <w:shd w:val="clear" w:color="auto" w:fill="ffffff"/>
        </w:rPr>
        <w:t xml:space="preserve">组件</w:t>
      </w:r>
      <w:r>
        <w:rPr>
          <w:rStyle w:val="804"/>
          <w:rFonts w:hint="eastAsia" w:ascii="Times New Roman" w:hAnsi="Times New Roman" w:cs="方正魏碑_GBK"/>
          <w:i w:val="0"/>
          <w:color w:val="auto"/>
          <w:highlight w:val="none"/>
          <w:u w:val="single"/>
          <w:shd w:val="clear" w:color="auto" w:fill="ffffff"/>
        </w:rPr>
        <w:t xml:space="preserve">）</w:t>
      </w:r>
      <w:r>
        <w:rPr>
          <w:rFonts w:hint="eastAsia" w:ascii="Times New Roman" w:hAnsi="Times New Roman" w:cs="方正魏碑_GBK"/>
          <w:color w:val="auto"/>
          <w:highlight w:val="none"/>
          <w:shd w:val="clear" w:color="auto" w:fill="ffffff"/>
        </w:rPr>
        <w:t xml:space="preserve">在中国境内生产。</w:t>
      </w:r>
      <w:r>
        <w:rPr>
          <w:rStyle w:val="804"/>
          <w:rFonts w:hint="eastAsia" w:ascii="Times New Roman" w:hAnsi="Times New Roman" w:cs="方正魏碑_GBK"/>
          <w:i w:val="0"/>
          <w:color w:val="auto"/>
          <w:highlight w:val="none"/>
          <w:u w:val="single"/>
          <w:shd w:val="clear" w:color="auto" w:fill="ffffff"/>
        </w:rPr>
        <w:t xml:space="preserve">（产品名称1）</w:t>
      </w:r>
      <w:r>
        <w:rPr>
          <w:rFonts w:hint="eastAsia" w:ascii="Times New Roman" w:hAnsi="Times New Roman" w:cs="方正魏碑_GBK"/>
          <w:color w:val="auto"/>
          <w:highlight w:val="none"/>
          <w:shd w:val="clear" w:color="auto" w:fill="ffffff"/>
        </w:rPr>
        <w:t xml:space="preserve">的</w:t>
      </w:r>
      <w:r>
        <w:rPr>
          <w:rStyle w:val="804"/>
          <w:rFonts w:hint="eastAsia" w:ascii="Times New Roman" w:hAnsi="Times New Roman" w:cs="方正魏碑_GBK"/>
          <w:i w:val="0"/>
          <w:color w:val="auto"/>
          <w:highlight w:val="none"/>
          <w:u w:val="single"/>
          <w:shd w:val="clear" w:color="auto" w:fill="ffffff"/>
        </w:rPr>
        <w:t xml:space="preserve">（关键工序）</w:t>
      </w:r>
      <w:r>
        <w:rPr>
          <w:rFonts w:hint="eastAsia" w:ascii="Times New Roman" w:hAnsi="Times New Roman" w:cs="方正魏碑_GBK"/>
          <w:color w:val="auto"/>
          <w:highlight w:val="none"/>
          <w:shd w:val="clear" w:color="auto" w:fill="ffffff"/>
        </w:rPr>
        <w:t xml:space="preserve">在中国境内完成。</w:t>
      </w:r>
      <w:r/>
    </w:p>
    <w:p>
      <w:pPr>
        <w:pStyle w:val="796"/>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w:t>
      </w:r>
      <w:r/>
    </w:p>
    <w:p>
      <w:pPr>
        <w:pStyle w:val="796"/>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本公司（单位）对上述声明内容的真实性负责。如有虚假，愿承担相应法律责任。</w:t>
      </w:r>
      <w:r/>
    </w:p>
    <w:p>
      <w:pPr>
        <w:pStyle w:val="796"/>
        <w:spacing w:before="30" w:beforeAutospacing="0" w:after="30" w:afterAutospacing="0" w:line="0" w:lineRule="atLeast"/>
        <w:rPr>
          <w:rFonts w:ascii="Times New Roman" w:hAnsi="Times New Roman" w:cs="方正魏碑_GBK"/>
          <w:color w:val="auto"/>
          <w:highlight w:val="none"/>
        </w:rPr>
      </w:pPr>
      <w:r>
        <w:rPr>
          <w:rFonts w:ascii="Times New Roman" w:hAnsi="Times New Roman" w:cs="方正魏碑_GBK"/>
          <w:color w:val="auto"/>
          <w:highlight w:val="none"/>
        </w:rPr>
      </w:r>
      <w:r/>
    </w:p>
    <w:p>
      <w:pPr>
        <w:pStyle w:val="796"/>
        <w:ind w:right="480" w:firstLine="37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公司（单位）名称（盖章）：　        </w:t>
      </w:r>
      <w:r/>
    </w:p>
    <w:p>
      <w:pPr>
        <w:pStyle w:val="796"/>
        <w:jc w:val="center"/>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                    </w:t>
      </w:r>
      <w:r>
        <w:rPr>
          <w:rFonts w:ascii="Times New Roman" w:hAnsi="Times New Roman" w:cs="方正魏碑_GBK"/>
          <w:color w:val="auto"/>
          <w:highlight w:val="none"/>
          <w:shd w:val="clear" w:color="auto" w:fill="ffffff"/>
        </w:rPr>
        <w:t xml:space="preserve">            </w:t>
      </w:r>
      <w:r>
        <w:rPr>
          <w:rFonts w:hint="eastAsia" w:ascii="Times New Roman" w:hAnsi="Times New Roman" w:cs="方正魏碑_GBK"/>
          <w:color w:val="auto"/>
          <w:highlight w:val="none"/>
          <w:shd w:val="clear" w:color="auto" w:fill="ffffff"/>
        </w:rPr>
        <w:t xml:space="preserve">日期：　   年　  月　  日         </w:t>
      </w:r>
      <w:r/>
    </w:p>
    <w:p>
      <w:pPr>
        <w:pStyle w:val="796"/>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__________________</w:t>
      </w:r>
      <w:r/>
    </w:p>
    <w:p>
      <w:pPr>
        <w:pStyle w:val="796"/>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1.产品如有型号，请在“产品名称”栏一并填写。</w:t>
      </w:r>
      <w:r/>
    </w:p>
    <w:p>
      <w:pPr>
        <w:pStyle w:val="796"/>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2.生产厂名与厂址应与生产厂营业执照载明的相关信息保持一致。</w:t>
      </w:r>
      <w:r/>
    </w:p>
    <w:p>
      <w:pPr>
        <w:pStyle w:val="796"/>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3.该产品的中国境内生产的组件成本占比相关要求实施前，“规定比例”栏可不填，下同。</w:t>
      </w:r>
      <w:r/>
    </w:p>
    <w:p>
      <w:pPr>
        <w:pStyle w:val="796"/>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4.该产品的关键组件要求实施前，“关键组件”栏可不填，下同。</w:t>
      </w:r>
      <w:r/>
    </w:p>
    <w:p>
      <w:pPr>
        <w:pStyle w:val="796"/>
        <w:spacing w:before="30" w:beforeAutospacing="0" w:after="30" w:afterAutospacing="0" w:line="0" w:lineRule="atLeast"/>
        <w:rPr>
          <w:rFonts w:ascii="Times New Roman" w:hAnsi="Times New Roman" w:cs="方正魏碑_GBK"/>
          <w:color w:val="auto"/>
          <w:sz w:val="22"/>
          <w:highlight w:val="none"/>
          <w:shd w:val="clear" w:color="auto" w:fill="ffffff"/>
        </w:rPr>
      </w:pPr>
      <w:r>
        <w:rPr>
          <w:rFonts w:hint="eastAsia" w:ascii="Times New Roman" w:hAnsi="Times New Roman" w:cs="方正魏碑_GBK"/>
          <w:color w:val="auto"/>
          <w:sz w:val="22"/>
          <w:highlight w:val="none"/>
          <w:shd w:val="clear" w:color="auto" w:fill="ffffff"/>
        </w:rPr>
        <w:t xml:space="preserve">5.该产品的关键工序要求实施前，“关键工序”栏可不填，下同。</w:t>
      </w:r>
      <w:r/>
    </w:p>
    <w:p>
      <w:pPr>
        <w:pStyle w:val="796"/>
        <w:spacing w:before="30" w:beforeAutospacing="0" w:after="30" w:afterAutospacing="0" w:line="0" w:lineRule="atLeast"/>
        <w:rPr>
          <w:rFonts w:ascii="Times New Roman" w:hAnsi="Times New Roman" w:cs="方正魏碑_GBK"/>
          <w:color w:val="auto"/>
          <w:sz w:val="22"/>
          <w:highlight w:val="none"/>
          <w:shd w:val="clear" w:color="auto" w:fill="ffffff"/>
        </w:rPr>
      </w:pPr>
      <w:r>
        <w:rPr>
          <w:rFonts w:hint="eastAsia" w:ascii="Times New Roman" w:hAnsi="Times New Roman" w:cs="方正魏碑_GBK"/>
          <w:color w:val="auto"/>
          <w:sz w:val="22"/>
          <w:highlight w:val="none"/>
          <w:shd w:val="clear" w:color="auto" w:fill="ffffff"/>
        </w:rPr>
        <w:t xml:space="preserve">6.用斜线划除的地方无需填写。</w:t>
      </w:r>
      <w:r/>
    </w:p>
    <w:p>
      <w:pPr>
        <w:jc w:val="left"/>
        <w:widowControl/>
        <w:rPr>
          <w:rFonts w:ascii="Times New Roman" w:hAnsi="Times New Roman" w:cs="宋体"/>
          <w:b/>
          <w:bCs/>
          <w:color w:val="auto"/>
          <w:szCs w:val="21"/>
          <w:highlight w:val="none"/>
        </w:rPr>
      </w:pPr>
      <w:r>
        <w:rPr>
          <w:rFonts w:ascii="Times New Roman" w:hAnsi="Times New Roman" w:cs="宋体"/>
          <w:b/>
          <w:bCs/>
          <w:color w:val="auto"/>
          <w:szCs w:val="21"/>
          <w:highlight w:val="none"/>
        </w:rPr>
      </w:r>
      <w:r/>
    </w:p>
    <w:p>
      <w:pPr>
        <w:jc w:val="left"/>
        <w:widowControl/>
        <w:rPr>
          <w:rFonts w:ascii="Times New Roman" w:hAnsi="Times New Roman" w:cs="宋体"/>
          <w:b/>
          <w:bCs/>
          <w:color w:val="auto"/>
          <w:szCs w:val="21"/>
          <w:highlight w:val="none"/>
        </w:rPr>
      </w:pPr>
      <w:r>
        <w:rPr>
          <w:rFonts w:ascii="Times New Roman" w:hAnsi="Times New Roman" w:cs="宋体"/>
          <w:b/>
          <w:bCs/>
          <w:color w:val="auto"/>
          <w:szCs w:val="21"/>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center"/>
        <w:spacing w:line="360" w:lineRule="auto"/>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left"/>
        <w:widowControl/>
        <w:rPr>
          <w:rFonts w:ascii="Times New Roman" w:hAnsi="Times New Roman" w:cs="宋体"/>
          <w:b/>
          <w:bCs/>
          <w:color w:val="auto"/>
          <w:highlight w:val="none"/>
        </w:rPr>
      </w:pPr>
      <w:r>
        <w:rPr>
          <w:rFonts w:ascii="Times New Roman" w:hAnsi="Times New Roman" w:cs="宋体"/>
          <w:b/>
          <w:bCs/>
          <w:color w:val="auto"/>
          <w:highlight w:val="none"/>
        </w:rPr>
      </w:r>
      <w:r/>
    </w:p>
    <w:p>
      <w:pPr>
        <w:jc w:val="center"/>
        <w:rPr>
          <w:rFonts w:ascii="Times New Roman" w:hAnsi="Times New Roman" w:cs="宋体"/>
          <w:color w:val="auto"/>
          <w:sz w:val="32"/>
          <w:highlight w:val="none"/>
        </w:rPr>
      </w:pPr>
      <w:r>
        <w:rPr>
          <w:rFonts w:hint="eastAsia" w:ascii="Times New Roman" w:hAnsi="Times New Roman" w:cs="宋体"/>
          <w:b/>
          <w:color w:val="auto"/>
          <w:sz w:val="32"/>
          <w:szCs w:val="32"/>
          <w:highlight w:val="none"/>
        </w:rPr>
        <w:br w:type="page" w:clear="all"/>
      </w:r>
      <w:bookmarkStart w:id="101" w:name="_Toc25382"/>
      <w:r/>
      <w:bookmarkStart w:id="102" w:name="_Toc19910"/>
      <w:r>
        <w:rPr>
          <w:rFonts w:hint="eastAsia" w:ascii="Times New Roman" w:hAnsi="Times New Roman" w:cs="宋体"/>
          <w:b/>
          <w:bCs/>
          <w:color w:val="auto"/>
          <w:sz w:val="32"/>
          <w:szCs w:val="44"/>
          <w:highlight w:val="none"/>
        </w:rPr>
        <w:t xml:space="preserve">四、开标一览表</w:t>
      </w:r>
      <w:bookmarkEnd w:id="101"/>
      <w:r/>
      <w:bookmarkEnd w:id="102"/>
      <w:r/>
      <w:r/>
    </w:p>
    <w:p>
      <w:pPr>
        <w:ind w:firstLine="48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项目名称：</w:t>
      </w:r>
      <w:r/>
    </w:p>
    <w:p>
      <w:pPr>
        <w:ind w:firstLine="48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项目编号：</w:t>
      </w:r>
      <w:r/>
    </w:p>
    <w:p>
      <w:pPr>
        <w:ind w:firstLine="48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分包号（如有）： </w:t>
      </w:r>
      <w:r/>
    </w:p>
    <w:p>
      <w:pPr>
        <w:ind w:firstLine="480"/>
        <w:rPr>
          <w:rFonts w:ascii="Times New Roman" w:hAnsi="Times New Roman" w:cs="宋体"/>
          <w:color w:val="auto"/>
          <w:szCs w:val="21"/>
          <w:highlight w:val="none"/>
        </w:rPr>
      </w:pPr>
      <w:r>
        <w:rPr>
          <w:rFonts w:ascii="Times New Roman" w:hAnsi="Times New Roman" w:cs="宋体"/>
          <w:color w:val="auto"/>
          <w:szCs w:val="21"/>
          <w:highlight w:val="none"/>
        </w:rPr>
      </w:r>
      <w:r/>
    </w:p>
    <w:tbl>
      <w:tblPr>
        <w:tblStyle w:val="77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86"/>
              <w:spacing w:line="30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投标货物及服务名称</w:t>
            </w:r>
            <w:r/>
          </w:p>
        </w:tc>
        <w:tc>
          <w:tcPr>
            <w:tcW w:w="3604" w:type="pct"/>
            <w:vAlign w:val="center"/>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986"/>
              <w:spacing w:line="30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3604" w:type="pct"/>
            <w:vAlign w:val="center"/>
            <w:textDirection w:val="lrTb"/>
            <w:noWrap w:val="false"/>
          </w:tcPr>
          <w:p>
            <w:pPr>
              <w:pStyle w:val="1018"/>
              <w:ind w:firstLine="0"/>
              <w:spacing w:before="0" w:after="0" w:line="500" w:lineRule="exact"/>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大写：</w:t>
            </w:r>
            <w:r/>
          </w:p>
          <w:p>
            <w:pPr>
              <w:pStyle w:val="1018"/>
              <w:ind w:firstLine="0"/>
              <w:spacing w:before="0" w:after="0" w:line="500" w:lineRule="exact"/>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小写：                             （人民币：元）</w:t>
            </w:r>
            <w:r/>
          </w:p>
          <w:p>
            <w:pPr>
              <w:pStyle w:val="1018"/>
              <w:ind w:firstLine="0"/>
              <w:spacing w:before="0" w:after="0" w:line="500" w:lineRule="exact"/>
              <w:rPr>
                <w:rFonts w:ascii="Times New Roman" w:hAnsi="Times New Roman" w:cs="宋体"/>
                <w:color w:val="auto"/>
                <w:sz w:val="21"/>
                <w:szCs w:val="21"/>
                <w:highlight w:val="none"/>
              </w:rPr>
            </w:pPr>
            <w:r>
              <w:rPr>
                <w:rFonts w:ascii="Times New Roman" w:hAnsi="Times New Roman" w:cs="宋体"/>
                <w:color w:val="auto"/>
                <w:sz w:val="21"/>
                <w:szCs w:val="21"/>
                <w:highlight w:val="none"/>
              </w:rPr>
            </w:r>
            <w:r/>
          </w:p>
        </w:tc>
      </w:tr>
      <w:tr>
        <w:trPr>
          <w:cantSplit/>
          <w:trHeight w:val="1697"/>
        </w:trPr>
        <w:tc>
          <w:tcPr>
            <w:tcW w:w="1395" w:type="pct"/>
            <w:vAlign w:val="center"/>
            <w:textDirection w:val="lrTb"/>
            <w:noWrap w:val="false"/>
          </w:tcPr>
          <w:p>
            <w:pPr>
              <w:pStyle w:val="986"/>
              <w:jc w:val="center"/>
              <w:spacing w:line="30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核心产品品牌</w:t>
            </w:r>
            <w:r/>
          </w:p>
        </w:tc>
        <w:tc>
          <w:tcPr>
            <w:tcW w:w="3604" w:type="pct"/>
            <w:vAlign w:val="center"/>
            <w:textDirection w:val="lrTb"/>
            <w:noWrap w:val="false"/>
          </w:tcPr>
          <w:p>
            <w:pPr>
              <w:pStyle w:val="1018"/>
              <w:ind w:firstLine="0"/>
              <w:spacing w:before="0" w:after="0" w:line="500" w:lineRule="exact"/>
              <w:rPr>
                <w:rFonts w:ascii="Times New Roman" w:hAnsi="Times New Roman" w:cs="宋体"/>
                <w:color w:val="auto"/>
                <w:sz w:val="21"/>
                <w:szCs w:val="21"/>
                <w:highlight w:val="none"/>
              </w:rPr>
            </w:pPr>
            <w:r>
              <w:rPr>
                <w:rFonts w:ascii="Times New Roman" w:hAnsi="Times New Roman" w:cs="宋体"/>
                <w:color w:val="auto"/>
                <w:sz w:val="21"/>
                <w:szCs w:val="21"/>
                <w:highlight w:val="none"/>
              </w:rPr>
            </w:r>
            <w:r/>
          </w:p>
        </w:tc>
      </w:tr>
    </w:tbl>
    <w:p>
      <w:pPr>
        <w:rPr>
          <w:rFonts w:ascii="Times New Roman" w:hAnsi="Times New Roman" w:cs="宋体"/>
          <w:color w:val="auto"/>
          <w:szCs w:val="21"/>
          <w:highlight w:val="none"/>
        </w:rPr>
      </w:pPr>
      <w:r>
        <w:rPr>
          <w:rFonts w:ascii="Times New Roman" w:hAnsi="Times New Roman" w:cs="宋体"/>
          <w:color w:val="auto"/>
          <w:szCs w:val="21"/>
          <w:highlight w:val="none"/>
        </w:rPr>
      </w:r>
      <w:r/>
    </w:p>
    <w:p>
      <w:pPr>
        <w:ind w:firstLine="480"/>
        <w:rPr>
          <w:rFonts w:ascii="Times New Roman" w:hAnsi="Times New Roman" w:cs="宋体"/>
          <w:color w:val="auto"/>
          <w:sz w:val="32"/>
          <w:szCs w:val="32"/>
          <w:highlight w:val="none"/>
        </w:rPr>
      </w:pPr>
      <w:r>
        <w:rPr>
          <w:rFonts w:hint="eastAsia" w:ascii="Times New Roman" w:hAnsi="Times New Roman" w:cs="宋体"/>
          <w:color w:val="auto"/>
          <w:szCs w:val="21"/>
          <w:highlight w:val="none"/>
        </w:rPr>
        <w:t xml:space="preserve">                                          </w:t>
      </w:r>
      <w:r/>
    </w:p>
    <w:p>
      <w:pPr>
        <w:pStyle w:val="983"/>
        <w:ind w:firstLine="640"/>
        <w:rPr>
          <w:rFonts w:ascii="Times New Roman" w:hAnsi="Times New Roman" w:cs="宋体"/>
          <w:color w:val="auto"/>
          <w:sz w:val="32"/>
          <w:szCs w:val="32"/>
          <w:highlight w:val="none"/>
        </w:rPr>
      </w:pPr>
      <w:r>
        <w:rPr>
          <w:rFonts w:ascii="Times New Roman" w:hAnsi="Times New Roman" w:cs="宋体"/>
          <w:color w:val="auto"/>
          <w:sz w:val="32"/>
          <w:szCs w:val="32"/>
          <w:highlight w:val="none"/>
        </w:rPr>
      </w:r>
      <w:r/>
    </w:p>
    <w:p>
      <w:pPr>
        <w:pStyle w:val="983"/>
        <w:ind w:firstLine="640"/>
        <w:rPr>
          <w:rFonts w:ascii="Times New Roman" w:hAnsi="Times New Roman" w:cs="宋体"/>
          <w:color w:val="auto"/>
          <w:sz w:val="32"/>
          <w:szCs w:val="32"/>
          <w:highlight w:val="none"/>
        </w:rPr>
      </w:pPr>
      <w:r>
        <w:rPr>
          <w:rFonts w:ascii="Times New Roman" w:hAnsi="Times New Roman" w:cs="宋体"/>
          <w:color w:val="auto"/>
          <w:sz w:val="32"/>
          <w:szCs w:val="32"/>
          <w:highlight w:val="none"/>
        </w:rPr>
      </w:r>
      <w:r/>
    </w:p>
    <w:p>
      <w:pPr>
        <w:jc w:val="center"/>
        <w:rPr>
          <w:rFonts w:ascii="Times New Roman" w:hAnsi="Times New Roman" w:cs="宋体"/>
          <w:color w:val="auto"/>
          <w:sz w:val="32"/>
          <w:highlight w:val="none"/>
        </w:rPr>
      </w:pPr>
      <w:r>
        <w:rPr>
          <w:rFonts w:hint="eastAsia" w:ascii="Times New Roman" w:hAnsi="Times New Roman" w:cs="宋体"/>
          <w:color w:val="auto"/>
          <w:sz w:val="32"/>
          <w:szCs w:val="32"/>
          <w:highlight w:val="none"/>
        </w:rPr>
        <w:br w:type="page" w:clear="all"/>
      </w:r>
      <w:bookmarkStart w:id="103" w:name="_Toc17891"/>
      <w:r/>
      <w:bookmarkStart w:id="104" w:name="_Toc20323"/>
      <w:r>
        <w:rPr>
          <w:rFonts w:hint="eastAsia" w:ascii="Times New Roman" w:hAnsi="Times New Roman" w:cs="宋体"/>
          <w:b/>
          <w:bCs/>
          <w:color w:val="auto"/>
          <w:sz w:val="32"/>
          <w:szCs w:val="44"/>
          <w:highlight w:val="none"/>
        </w:rPr>
        <w:t xml:space="preserve">五、</w:t>
      </w:r>
      <w:bookmarkEnd w:id="103"/>
      <w:r/>
      <w:bookmarkEnd w:id="104"/>
      <w:r>
        <w:rPr>
          <w:rFonts w:hint="eastAsia" w:ascii="Times New Roman" w:hAnsi="Times New Roman" w:cs="宋体"/>
          <w:b/>
          <w:bCs/>
          <w:color w:val="auto"/>
          <w:sz w:val="32"/>
          <w:szCs w:val="44"/>
          <w:highlight w:val="none"/>
        </w:rPr>
        <w:t xml:space="preserve">投标产品配置及分项报价表</w:t>
      </w:r>
      <w:r/>
    </w:p>
    <w:tbl>
      <w:tblPr>
        <w:tblStyle w:val="771"/>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序号</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1</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110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6</w:t>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7</w:t>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1</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产品</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名称</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品牌</w:t>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规格</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型号</w:t>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制造商名称</w:t>
            </w:r>
            <w:r/>
          </w:p>
        </w:tc>
        <w:tc>
          <w:tcPr>
            <w:tcW w:w="1106"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产地</w:t>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交付期</w:t>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数量</w:t>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分项</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单价</w:t>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分项</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u w:val="single"/>
              </w:rPr>
            </w:pPr>
            <w:r>
              <w:rPr>
                <w:rFonts w:hint="eastAsia" w:ascii="Times New Roman" w:hAnsi="Times New Roman"/>
                <w:color w:val="auto"/>
                <w:szCs w:val="21"/>
                <w:highlight w:val="none"/>
              </w:rPr>
              <w:t xml:space="preserve">合同签订后</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日</w:t>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724"/>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580"/>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t xml:space="preserve">…</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t xml:space="preserve">……</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434"/>
        </w:trPr>
        <w:tc>
          <w:tcPr>
            <w:gridSpan w:val="10"/>
            <w:tcW w:w="9263" w:type="dxa"/>
            <w:textDirection w:val="lrTb"/>
            <w:noWrap w:val="false"/>
          </w:tcPr>
          <w:p>
            <w:pPr>
              <w:rPr>
                <w:rFonts w:ascii="Times New Roman" w:hAnsi="Times New Roman"/>
                <w:color w:val="auto"/>
                <w:szCs w:val="21"/>
                <w:highlight w:val="none"/>
                <w:u w:val="single"/>
              </w:rPr>
            </w:pPr>
            <w:r>
              <w:rPr>
                <w:rFonts w:hint="eastAsia" w:ascii="Times New Roman" w:hAnsi="Times New Roman"/>
                <w:color w:val="auto"/>
                <w:szCs w:val="21"/>
                <w:highlight w:val="none"/>
              </w:rPr>
              <w:t xml:space="preserve">投标总报价（人民币：元）</w:t>
            </w:r>
            <w:r>
              <w:rPr>
                <w:rFonts w:hint="eastAsia" w:ascii="Times New Roman" w:hAnsi="Times New Roman"/>
                <w:color w:val="auto"/>
                <w:szCs w:val="21"/>
                <w:highlight w:val="none"/>
                <w:u w:val="single"/>
              </w:rPr>
              <w:t xml:space="preserve">                             </w:t>
            </w:r>
            <w:r/>
          </w:p>
        </w:tc>
      </w:tr>
      <w:tr>
        <w:trPr>
          <w:cantSplit/>
          <w:trHeight w:val="434"/>
        </w:trPr>
        <w:tc>
          <w:tcPr>
            <w:gridSpan w:val="10"/>
            <w:tcW w:w="9263" w:type="dxa"/>
            <w:textDirection w:val="lrTb"/>
            <w:noWrap w:val="false"/>
          </w:tcPr>
          <w:p>
            <w:pPr>
              <w:rPr>
                <w:rFonts w:ascii="Times New Roman" w:hAnsi="Times New Roman"/>
                <w:color w:val="auto"/>
                <w:szCs w:val="21"/>
                <w:highlight w:val="none"/>
              </w:rPr>
            </w:pPr>
            <w:r>
              <w:rPr>
                <w:rFonts w:hint="eastAsia" w:ascii="Times New Roman" w:hAnsi="Times New Roman" w:cs="宋体"/>
                <w:color w:val="auto"/>
                <w:szCs w:val="21"/>
                <w:highlight w:val="none"/>
              </w:rPr>
              <w:t xml:space="preserve">本采购包中提供的符合本国产品标准的产品成本之和占该采购包提供的全部产品成本之和的比例为</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w:t>
            </w:r>
            <w:r/>
          </w:p>
        </w:tc>
      </w:tr>
    </w:tbl>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备注：</w:t>
      </w:r>
      <w:r/>
    </w:p>
    <w:p>
      <w:pPr>
        <w:numPr>
          <w:ilvl w:val="0"/>
          <w:numId w:val="4"/>
        </w:num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2.“投标分项报价表”中“投标总报价”数额应当与“开标一览表”中“投标总报价”数额一致。</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3.投标人需认真填写本报价表，尤其注意规格型号的准确填写。</w:t>
      </w:r>
      <w:r/>
    </w:p>
    <w:p>
      <w:pPr>
        <w:spacing w:line="400" w:lineRule="exact"/>
        <w:rPr>
          <w:rFonts w:ascii="Times New Roman" w:hAnsi="Times New Roman" w:cs="方正魏碑_GBK"/>
          <w:color w:val="auto"/>
          <w:szCs w:val="21"/>
          <w:highlight w:val="none"/>
        </w:rPr>
      </w:pPr>
      <w:r>
        <w:rPr>
          <w:rFonts w:hint="eastAsia" w:ascii="Times New Roman" w:hAnsi="Times New Roman"/>
          <w:color w:val="auto"/>
          <w:szCs w:val="21"/>
          <w:highlight w:val="none"/>
        </w:rPr>
        <w:t xml:space="preserve">4.项目经办人可以根据项目实际需要对表格结构进行调整</w:t>
      </w:r>
      <w:r>
        <w:rPr>
          <w:rFonts w:hint="eastAsia" w:ascii="Times New Roman" w:hAnsi="Times New Roman" w:cs="方正魏碑_GBK"/>
          <w:color w:val="auto"/>
          <w:szCs w:val="21"/>
          <w:highlight w:val="none"/>
        </w:rPr>
        <w:t xml:space="preserve">。</w:t>
      </w:r>
      <w:r/>
    </w:p>
    <w:p>
      <w:pPr>
        <w:spacing w:line="400" w:lineRule="exact"/>
        <w:rPr>
          <w:rFonts w:ascii="Times New Roman" w:hAnsi="Times New Roman" w:cs="方正魏碑_GBK"/>
          <w:color w:val="auto"/>
          <w:sz w:val="24"/>
          <w:szCs w:val="24"/>
          <w:highlight w:val="none"/>
        </w:rPr>
      </w:pPr>
      <w:r>
        <w:rPr>
          <w:rFonts w:hint="eastAsia" w:ascii="Times New Roman" w:hAnsi="Times New Roman" w:cs="方正魏碑_GBK"/>
          <w:color w:val="auto"/>
          <w:szCs w:val="21"/>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cs="方正魏碑_GBK"/>
          <w:color w:val="auto"/>
          <w:sz w:val="24"/>
          <w:szCs w:val="24"/>
          <w:highlight w:val="none"/>
        </w:rPr>
        <w:t xml:space="preserve">。</w:t>
      </w:r>
      <w:r/>
    </w:p>
    <w:p>
      <w:pPr>
        <w:rPr>
          <w:rFonts w:ascii="Times New Roman" w:hAnsi="Times New Roman" w:cs="方正魏碑_GBK"/>
          <w:color w:val="auto"/>
          <w:sz w:val="24"/>
          <w:szCs w:val="24"/>
          <w:highlight w:val="none"/>
        </w:rPr>
      </w:pPr>
      <w:r>
        <w:rPr>
          <w:rFonts w:hint="eastAsia" w:ascii="Times New Roman" w:hAnsi="Times New Roman" w:cs="方正魏碑_GBK"/>
          <w:color w:val="auto"/>
          <w:sz w:val="24"/>
          <w:szCs w:val="24"/>
          <w:highlight w:val="none"/>
        </w:rPr>
        <w:br w:type="page" w:clear="all"/>
      </w:r>
      <w:r/>
    </w:p>
    <w:p>
      <w:pPr>
        <w:pStyle w:val="977"/>
        <w:rPr>
          <w:rFonts w:ascii="Times New Roman" w:hAnsi="Times New Roman" w:eastAsia="宋体" w:cs="宋体"/>
          <w:color w:val="auto"/>
          <w:sz w:val="32"/>
          <w:highlight w:val="none"/>
        </w:rPr>
      </w:pPr>
      <w:r/>
      <w:bookmarkStart w:id="105" w:name="_Toc32755"/>
      <w:r/>
      <w:bookmarkStart w:id="106" w:name="_Toc17996"/>
      <w:r/>
      <w:bookmarkStart w:id="107" w:name="_Toc5967"/>
      <w:r/>
      <w:bookmarkStart w:id="108" w:name="_Toc9678"/>
      <w:r/>
      <w:bookmarkStart w:id="109" w:name="_Toc16517"/>
      <w:r>
        <w:rPr>
          <w:rFonts w:hint="eastAsia" w:ascii="Times New Roman" w:hAnsi="Times New Roman" w:eastAsia="宋体" w:cs="宋体"/>
          <w:color w:val="auto"/>
          <w:sz w:val="32"/>
          <w:highlight w:val="none"/>
        </w:rPr>
        <w:t xml:space="preserve">六、技术参数响应及偏离表</w:t>
      </w:r>
      <w:bookmarkEnd w:id="105"/>
      <w:r/>
      <w:bookmarkEnd w:id="106"/>
      <w:r/>
      <w:bookmarkEnd w:id="107"/>
      <w:r/>
      <w:bookmarkEnd w:id="108"/>
      <w:r/>
      <w:bookmarkEnd w:id="109"/>
      <w:r/>
      <w:r/>
    </w:p>
    <w:tbl>
      <w:tblPr>
        <w:tblStyle w:val="771"/>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序号</w:t>
            </w:r>
            <w:r/>
          </w:p>
        </w:tc>
        <w:tc>
          <w:tcPr>
            <w:tcW w:w="2551" w:type="dxa"/>
            <w:vAlign w:val="center"/>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招标要求</w:t>
            </w:r>
            <w:r/>
          </w:p>
        </w:tc>
        <w:tc>
          <w:tcPr>
            <w:tcW w:w="2701" w:type="dxa"/>
            <w:vAlign w:val="center"/>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投标响应</w:t>
            </w:r>
            <w:r/>
          </w:p>
        </w:tc>
        <w:tc>
          <w:tcPr>
            <w:tcW w:w="1458" w:type="dxa"/>
            <w:vAlign w:val="center"/>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超出、符合或偏离</w:t>
            </w:r>
            <w:r/>
          </w:p>
        </w:tc>
        <w:tc>
          <w:tcPr>
            <w:tcW w:w="1210" w:type="dxa"/>
            <w:vAlign w:val="center"/>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证明材料</w:t>
            </w:r>
            <w:r/>
          </w:p>
        </w:tc>
      </w:tr>
      <w:tr>
        <w:trPr>
          <w:cantSplit/>
          <w:trHeight w:val="640"/>
        </w:trPr>
        <w:tc>
          <w:tcPr>
            <w:tcW w:w="984" w:type="dxa"/>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p>
        </w:tc>
        <w:tc>
          <w:tcPr>
            <w:tcW w:w="2551"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701"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458"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10"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r>
      <w:tr>
        <w:trPr>
          <w:cantSplit/>
          <w:trHeight w:val="640"/>
        </w:trPr>
        <w:tc>
          <w:tcPr>
            <w:tcW w:w="984" w:type="dxa"/>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w:t>
            </w:r>
            <w:r/>
          </w:p>
        </w:tc>
        <w:tc>
          <w:tcPr>
            <w:tcW w:w="2551"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701"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458"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10"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r>
      <w:tr>
        <w:trPr>
          <w:cantSplit/>
          <w:trHeight w:val="640"/>
        </w:trPr>
        <w:tc>
          <w:tcPr>
            <w:tcW w:w="984" w:type="dxa"/>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p>
        </w:tc>
        <w:tc>
          <w:tcPr>
            <w:tcW w:w="2551"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701"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458"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10"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r>
      <w:tr>
        <w:trPr>
          <w:cantSplit/>
          <w:trHeight w:val="640"/>
        </w:trPr>
        <w:tc>
          <w:tcPr>
            <w:tcW w:w="984" w:type="dxa"/>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w:t>
            </w:r>
            <w:r/>
          </w:p>
        </w:tc>
        <w:tc>
          <w:tcPr>
            <w:tcW w:w="2551"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701"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458"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10"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r>
      <w:tr>
        <w:trPr>
          <w:cantSplit/>
          <w:trHeight w:val="640"/>
        </w:trPr>
        <w:tc>
          <w:tcPr>
            <w:tcW w:w="984" w:type="dxa"/>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w:t>
            </w:r>
            <w:r/>
          </w:p>
        </w:tc>
        <w:tc>
          <w:tcPr>
            <w:tcW w:w="2551"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701"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458"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10"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r>
      <w:tr>
        <w:trPr>
          <w:cantSplit/>
          <w:trHeight w:val="640"/>
        </w:trPr>
        <w:tc>
          <w:tcPr>
            <w:tcW w:w="984"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551" w:type="dxa"/>
            <w:textDirection w:val="lrTb"/>
            <w:noWrap w:val="false"/>
          </w:tcPr>
          <w:p>
            <w:pPr>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w:t>
            </w:r>
            <w:r/>
          </w:p>
        </w:tc>
        <w:tc>
          <w:tcPr>
            <w:tcW w:w="2701"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458"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10" w:type="dxa"/>
            <w:textDirection w:val="lrTb"/>
            <w:noWrap w:val="false"/>
          </w:tcPr>
          <w:p>
            <w:pPr>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rPr>
          <w:rFonts w:ascii="Times New Roman" w:hAnsi="Times New Roman" w:cs="宋体"/>
          <w:color w:val="auto"/>
          <w:szCs w:val="21"/>
          <w:highlight w:val="none"/>
        </w:rPr>
      </w:pPr>
      <w:r>
        <w:rPr>
          <w:rFonts w:ascii="Times New Roman" w:hAnsi="Times New Roman" w:cs="宋体"/>
          <w:color w:val="auto"/>
          <w:szCs w:val="21"/>
          <w:highlight w:val="none"/>
        </w:rPr>
      </w:r>
      <w:r/>
    </w:p>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注：</w:t>
      </w:r>
      <w:r/>
    </w:p>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1.投标人需对技术要求（以及未加斜体下划线的非实质性要求）逐条做出明确响应。</w:t>
      </w:r>
      <w:r/>
    </w:p>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2.如果招标文件要求提供证明材料，投标人需将证明材料列于该表之下。</w:t>
      </w:r>
      <w:r/>
    </w:p>
    <w:p>
      <w:pPr>
        <w:pStyle w:val="845"/>
        <w:rPr>
          <w:rFonts w:ascii="Times New Roman" w:eastAsia="宋体"/>
          <w:color w:val="auto"/>
          <w:sz w:val="21"/>
          <w:szCs w:val="21"/>
          <w:highlight w:val="none"/>
        </w:rPr>
      </w:pPr>
      <w:r>
        <w:rPr>
          <w:rFonts w:hint="eastAsia" w:ascii="Times New Roman" w:eastAsia="宋体" w:cs="宋体"/>
          <w:color w:val="auto"/>
          <w:sz w:val="21"/>
          <w:szCs w:val="21"/>
          <w:highlight w:val="none"/>
        </w:rPr>
        <w:t xml:space="preserve">3.行数不够，可自行添加。</w:t>
      </w:r>
      <w:r/>
    </w:p>
    <w:p>
      <w:pPr>
        <w:jc w:val="center"/>
        <w:rPr>
          <w:rFonts w:ascii="Times New Roman" w:hAnsi="Times New Roman" w:cs="宋体"/>
          <w:b/>
          <w:color w:val="auto"/>
          <w:szCs w:val="21"/>
          <w:highlight w:val="none"/>
        </w:rPr>
      </w:pPr>
      <w:r>
        <w:rPr>
          <w:rFonts w:ascii="Times New Roman" w:hAnsi="Times New Roman" w:cs="宋体"/>
          <w:b/>
          <w:color w:val="auto"/>
          <w:szCs w:val="21"/>
          <w:highlight w:val="none"/>
        </w:rPr>
      </w:r>
      <w:r/>
    </w:p>
    <w:p>
      <w:pPr>
        <w:jc w:val="center"/>
        <w:rPr>
          <w:rFonts w:ascii="Times New Roman" w:hAnsi="Times New Roman" w:cs="宋体"/>
          <w:b/>
          <w:color w:val="auto"/>
          <w:sz w:val="36"/>
          <w:highlight w:val="none"/>
        </w:rPr>
      </w:pPr>
      <w:r>
        <w:rPr>
          <w:rFonts w:ascii="Times New Roman" w:hAnsi="Times New Roman" w:cs="宋体"/>
          <w:b/>
          <w:color w:val="auto"/>
          <w:sz w:val="36"/>
          <w:highlight w:val="none"/>
        </w:rPr>
      </w:r>
      <w:r/>
    </w:p>
    <w:p>
      <w:pPr>
        <w:jc w:val="center"/>
        <w:rPr>
          <w:rFonts w:ascii="Times New Roman" w:hAnsi="Times New Roman" w:cs="宋体"/>
          <w:b/>
          <w:color w:val="auto"/>
          <w:sz w:val="36"/>
          <w:highlight w:val="none"/>
        </w:rPr>
      </w:pPr>
      <w:r>
        <w:rPr>
          <w:rFonts w:ascii="Times New Roman" w:hAnsi="Times New Roman" w:cs="宋体"/>
          <w:b/>
          <w:color w:val="auto"/>
          <w:sz w:val="36"/>
          <w:highlight w:val="none"/>
        </w:rPr>
      </w:r>
      <w:r/>
    </w:p>
    <w:p>
      <w:pPr>
        <w:rPr>
          <w:rFonts w:ascii="Times New Roman" w:hAnsi="Times New Roman" w:cs="宋体"/>
          <w:color w:val="auto"/>
          <w:sz w:val="32"/>
          <w:highlight w:val="none"/>
        </w:rPr>
      </w:pPr>
      <w:r>
        <w:rPr>
          <w:rFonts w:ascii="Times New Roman" w:hAnsi="Times New Roman" w:cs="宋体"/>
          <w:color w:val="auto"/>
          <w:sz w:val="32"/>
          <w:highlight w:val="none"/>
        </w:rPr>
      </w:r>
      <w:r/>
    </w:p>
    <w:p>
      <w:pPr>
        <w:rPr>
          <w:rFonts w:ascii="Times New Roman" w:hAnsi="Times New Roman" w:cs="宋体"/>
          <w:color w:val="auto"/>
          <w:sz w:val="32"/>
          <w:highlight w:val="none"/>
        </w:rPr>
      </w:pPr>
      <w:r>
        <w:rPr>
          <w:rFonts w:ascii="Times New Roman" w:hAnsi="Times New Roman" w:cs="宋体"/>
          <w:color w:val="auto"/>
          <w:sz w:val="32"/>
          <w:highlight w:val="none"/>
        </w:rPr>
      </w:r>
      <w:r/>
    </w:p>
    <w:p>
      <w:pPr>
        <w:jc w:val="center"/>
        <w:rPr>
          <w:rFonts w:ascii="Times New Roman" w:hAnsi="Times New Roman" w:cs="宋体"/>
          <w:color w:val="auto"/>
          <w:sz w:val="32"/>
          <w:highlight w:val="none"/>
        </w:rPr>
      </w:pPr>
      <w:r>
        <w:rPr>
          <w:rFonts w:hint="eastAsia" w:ascii="Times New Roman" w:hAnsi="Times New Roman" w:cs="宋体"/>
          <w:color w:val="auto"/>
          <w:sz w:val="32"/>
          <w:highlight w:val="none"/>
        </w:rPr>
        <w:br w:type="page" w:clear="all"/>
      </w:r>
      <w:bookmarkStart w:id="110" w:name="_Hlt26955054"/>
      <w:r/>
      <w:bookmarkEnd w:id="110"/>
      <w:r/>
      <w:bookmarkStart w:id="111" w:name="_Toc32154"/>
      <w:r/>
      <w:bookmarkStart w:id="112" w:name="_Toc16820"/>
      <w:r>
        <w:rPr>
          <w:rFonts w:hint="eastAsia" w:ascii="Times New Roman" w:hAnsi="Times New Roman" w:cs="宋体"/>
          <w:b/>
          <w:bCs/>
          <w:color w:val="auto"/>
          <w:sz w:val="32"/>
          <w:szCs w:val="44"/>
          <w:highlight w:val="none"/>
        </w:rPr>
        <w:t xml:space="preserve">七、商务条款响应及偏离表</w:t>
      </w:r>
      <w:bookmarkEnd w:id="111"/>
      <w:r/>
      <w:bookmarkEnd w:id="112"/>
      <w:r/>
      <w:r/>
    </w:p>
    <w:tbl>
      <w:tblPr>
        <w:tblStyle w:val="771"/>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spacing w:before="156"/>
              <w:rPr>
                <w:rFonts w:ascii="Times New Roman" w:hAnsi="Times New Roman" w:cs="宋体"/>
                <w:color w:val="auto"/>
                <w:szCs w:val="21"/>
                <w:highlight w:val="none"/>
              </w:rPr>
            </w:pPr>
            <w:r/>
            <w:bookmarkStart w:id="113" w:name="_Hlt26782999"/>
            <w:r/>
            <w:bookmarkEnd w:id="113"/>
            <w:r/>
            <w:bookmarkStart w:id="114" w:name="_Hlt26955064"/>
            <w:r/>
            <w:bookmarkEnd w:id="114"/>
            <w:r/>
            <w:bookmarkStart w:id="115" w:name="_Hlt26671343"/>
            <w:r/>
            <w:bookmarkEnd w:id="115"/>
            <w:r/>
            <w:bookmarkStart w:id="116" w:name="_Hlt24879081"/>
            <w:r/>
            <w:bookmarkEnd w:id="116"/>
            <w:r/>
            <w:bookmarkStart w:id="117" w:name="_Hlt26955056"/>
            <w:r/>
            <w:bookmarkEnd w:id="117"/>
            <w:r/>
            <w:bookmarkStart w:id="118" w:name="_Hlt26580838"/>
            <w:r/>
            <w:bookmarkEnd w:id="118"/>
            <w:r/>
            <w:bookmarkStart w:id="119" w:name="_Hlt26609391"/>
            <w:r/>
            <w:bookmarkEnd w:id="119"/>
            <w:r/>
            <w:bookmarkStart w:id="120" w:name="_Hlt26671372"/>
            <w:r/>
            <w:bookmarkEnd w:id="120"/>
            <w:r>
              <w:rPr>
                <w:rFonts w:hint="eastAsia" w:ascii="Times New Roman" w:hAnsi="Times New Roman" w:cs="宋体"/>
                <w:color w:val="auto"/>
                <w:szCs w:val="21"/>
                <w:highlight w:val="none"/>
              </w:rPr>
              <w:t xml:space="preserve">项目</w:t>
            </w:r>
            <w:r/>
          </w:p>
        </w:tc>
        <w:tc>
          <w:tcPr>
            <w:tcW w:w="2122" w:type="dxa"/>
            <w:textDirection w:val="lrTb"/>
            <w:noWrap w:val="false"/>
          </w:tcPr>
          <w:p>
            <w:pPr>
              <w:jc w:val="center"/>
              <w:spacing w:before="156"/>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招标文件要求</w:t>
            </w:r>
            <w:r/>
          </w:p>
        </w:tc>
        <w:tc>
          <w:tcPr>
            <w:tcW w:w="1800" w:type="dxa"/>
            <w:textDirection w:val="lrTb"/>
            <w:noWrap w:val="false"/>
          </w:tcPr>
          <w:p>
            <w:pPr>
              <w:jc w:val="center"/>
              <w:spacing w:before="156"/>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是否响应</w:t>
            </w:r>
            <w:r/>
          </w:p>
        </w:tc>
        <w:tc>
          <w:tcPr>
            <w:tcW w:w="2561" w:type="dxa"/>
            <w:textDirection w:val="lrTb"/>
            <w:noWrap w:val="false"/>
          </w:tcPr>
          <w:p>
            <w:pPr>
              <w:jc w:val="center"/>
              <w:spacing w:before="156"/>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投标人的承诺或说明</w:t>
            </w:r>
            <w:r/>
          </w:p>
        </w:tc>
      </w:tr>
      <w:tr>
        <w:trPr>
          <w:trHeight w:val="624"/>
        </w:trPr>
        <w:tc>
          <w:tcPr>
            <w:tcW w:w="1935" w:type="dxa"/>
            <w:textDirection w:val="lrTb"/>
            <w:noWrap w:val="false"/>
          </w:tcPr>
          <w:p>
            <w:pPr>
              <w:jc w:val="center"/>
              <w:spacing w:before="156"/>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质保期</w:t>
            </w:r>
            <w:r/>
          </w:p>
        </w:tc>
        <w:tc>
          <w:tcPr>
            <w:tcW w:w="2122" w:type="dxa"/>
            <w:textDirection w:val="lrTb"/>
            <w:noWrap w:val="false"/>
          </w:tcPr>
          <w:p>
            <w:pPr>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800" w:type="dxa"/>
            <w:textDirection w:val="lrTb"/>
            <w:noWrap w:val="false"/>
          </w:tcPr>
          <w:p>
            <w:pPr>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561" w:type="dxa"/>
            <w:textDirection w:val="lrTb"/>
            <w:noWrap w:val="false"/>
          </w:tcPr>
          <w:p>
            <w:pPr>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950"/>
        </w:trPr>
        <w:tc>
          <w:tcPr>
            <w:tcW w:w="1935" w:type="dxa"/>
            <w:textDirection w:val="lrTb"/>
            <w:noWrap w:val="false"/>
          </w:tcPr>
          <w:p>
            <w:pPr>
              <w:jc w:val="center"/>
              <w:spacing w:before="156"/>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售后技术服务要求</w:t>
            </w:r>
            <w:r/>
          </w:p>
        </w:tc>
        <w:tc>
          <w:tcPr>
            <w:tcW w:w="2122" w:type="dxa"/>
            <w:textDirection w:val="lrTb"/>
            <w:noWrap w:val="false"/>
          </w:tcPr>
          <w:p>
            <w:pPr>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800" w:type="dxa"/>
            <w:textDirection w:val="lrTb"/>
            <w:noWrap w:val="false"/>
          </w:tcPr>
          <w:p>
            <w:pPr>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561" w:type="dxa"/>
            <w:textDirection w:val="lrTb"/>
            <w:noWrap w:val="false"/>
          </w:tcPr>
          <w:p>
            <w:pPr>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717"/>
        </w:trPr>
        <w:tc>
          <w:tcPr>
            <w:tcW w:w="1935" w:type="dxa"/>
            <w:textDirection w:val="lrTb"/>
            <w:noWrap w:val="false"/>
          </w:tcPr>
          <w:p>
            <w:pPr>
              <w:jc w:val="center"/>
              <w:spacing w:before="156"/>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交付时间</w:t>
            </w:r>
            <w:r/>
          </w:p>
        </w:tc>
        <w:tc>
          <w:tcPr>
            <w:tcW w:w="2122" w:type="dxa"/>
            <w:textDirection w:val="lrTb"/>
            <w:noWrap w:val="false"/>
          </w:tcPr>
          <w:p>
            <w:pPr>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800" w:type="dxa"/>
            <w:textDirection w:val="lrTb"/>
            <w:noWrap w:val="false"/>
          </w:tcPr>
          <w:p>
            <w:pPr>
              <w:ind w:left="43"/>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561" w:type="dxa"/>
            <w:textDirection w:val="lrTb"/>
            <w:noWrap w:val="false"/>
          </w:tcPr>
          <w:p>
            <w:pPr>
              <w:ind w:left="43"/>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586"/>
        </w:trPr>
        <w:tc>
          <w:tcPr>
            <w:tcW w:w="1935" w:type="dxa"/>
            <w:textDirection w:val="lrTb"/>
            <w:noWrap w:val="false"/>
          </w:tcPr>
          <w:p>
            <w:pPr>
              <w:jc w:val="center"/>
              <w:spacing w:before="156"/>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交货方式</w:t>
            </w:r>
            <w:r/>
          </w:p>
        </w:tc>
        <w:tc>
          <w:tcPr>
            <w:tcW w:w="2122" w:type="dxa"/>
            <w:textDirection w:val="lrTb"/>
            <w:noWrap w:val="false"/>
          </w:tcPr>
          <w:p>
            <w:pP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800" w:type="dxa"/>
            <w:textDirection w:val="lrTb"/>
            <w:noWrap w:val="false"/>
          </w:tcPr>
          <w:p>
            <w:pPr>
              <w:ind w:left="43"/>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561" w:type="dxa"/>
            <w:textDirection w:val="lrTb"/>
            <w:noWrap w:val="false"/>
          </w:tcPr>
          <w:p>
            <w:pPr>
              <w:ind w:left="43"/>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613"/>
        </w:trPr>
        <w:tc>
          <w:tcPr>
            <w:tcW w:w="1935" w:type="dxa"/>
            <w:textDirection w:val="lrTb"/>
            <w:noWrap w:val="false"/>
          </w:tcPr>
          <w:p>
            <w:pPr>
              <w:jc w:val="center"/>
              <w:spacing w:before="156"/>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交货地点</w:t>
            </w:r>
            <w:r/>
          </w:p>
        </w:tc>
        <w:tc>
          <w:tcPr>
            <w:tcW w:w="2122" w:type="dxa"/>
            <w:textDirection w:val="lrTb"/>
            <w:noWrap w:val="false"/>
          </w:tcPr>
          <w:p>
            <w:pP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800" w:type="dxa"/>
            <w:textDirection w:val="lrTb"/>
            <w:noWrap w:val="false"/>
          </w:tcPr>
          <w:p>
            <w:pPr>
              <w:ind w:left="43"/>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561" w:type="dxa"/>
            <w:textDirection w:val="lrTb"/>
            <w:noWrap w:val="false"/>
          </w:tcPr>
          <w:p>
            <w:pPr>
              <w:ind w:left="43"/>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584"/>
        </w:trPr>
        <w:tc>
          <w:tcPr>
            <w:tcW w:w="1935" w:type="dxa"/>
            <w:textDirection w:val="lrTb"/>
            <w:noWrap w:val="false"/>
          </w:tcPr>
          <w:p>
            <w:pPr>
              <w:jc w:val="center"/>
              <w:spacing w:before="156"/>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付款方式</w:t>
            </w:r>
            <w:r/>
          </w:p>
        </w:tc>
        <w:tc>
          <w:tcPr>
            <w:tcW w:w="2122" w:type="dxa"/>
            <w:textDirection w:val="lrTb"/>
            <w:noWrap w:val="false"/>
          </w:tcPr>
          <w:p>
            <w:pP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800" w:type="dxa"/>
            <w:textDirection w:val="lrTb"/>
            <w:noWrap w:val="false"/>
          </w:tcPr>
          <w:p>
            <w:pPr>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561" w:type="dxa"/>
            <w:textDirection w:val="lrTb"/>
            <w:noWrap w:val="false"/>
          </w:tcPr>
          <w:p>
            <w:pPr>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584"/>
        </w:trPr>
        <w:tc>
          <w:tcPr>
            <w:tcW w:w="1935" w:type="dxa"/>
            <w:textDirection w:val="lrTb"/>
            <w:noWrap w:val="false"/>
          </w:tcPr>
          <w:p>
            <w:pPr>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122" w:type="dxa"/>
            <w:textDirection w:val="lrTb"/>
            <w:noWrap w:val="false"/>
          </w:tcPr>
          <w:p>
            <w:pPr>
              <w:spacing w:before="156"/>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w:t>
            </w:r>
            <w:r/>
          </w:p>
        </w:tc>
        <w:tc>
          <w:tcPr>
            <w:tcW w:w="1800" w:type="dxa"/>
            <w:textDirection w:val="lrTb"/>
            <w:noWrap w:val="false"/>
          </w:tcPr>
          <w:p>
            <w:pPr>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561" w:type="dxa"/>
            <w:textDirection w:val="lrTb"/>
            <w:noWrap w:val="false"/>
          </w:tcPr>
          <w:p>
            <w:pPr>
              <w:jc w:val="center"/>
              <w:spacing w:before="156"/>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spacing w:line="400" w:lineRule="exact"/>
        <w:rPr>
          <w:rFonts w:ascii="Times New Roman" w:hAnsi="Times New Roman" w:cs="宋体"/>
          <w:color w:val="auto"/>
          <w:szCs w:val="21"/>
          <w:highlight w:val="none"/>
        </w:rPr>
      </w:pPr>
      <w:r>
        <w:rPr>
          <w:rFonts w:hint="eastAsia" w:ascii="Times New Roman" w:hAnsi="Times New Roman"/>
          <w:color w:val="auto"/>
          <w:szCs w:val="21"/>
          <w:highlight w:val="none"/>
        </w:rPr>
        <w:t xml:space="preserve">备注</w:t>
      </w:r>
      <w:r>
        <w:rPr>
          <w:rFonts w:ascii="Times New Roman" w:hAnsi="Times New Roman"/>
          <w:color w:val="auto"/>
          <w:szCs w:val="21"/>
          <w:highlight w:val="none"/>
        </w:rPr>
        <w:t xml:space="preserve">：</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1.投标人需对商务要求（未加斜体下划线的非实质性要求）逐条做出明确响应。</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2.如果招标文件要求提供证明材料，投标人需将证明材料列于该表之下。</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3.行数不够，可自行添加。</w:t>
      </w:r>
      <w:r/>
    </w:p>
    <w:p>
      <w:pPr>
        <w:pStyle w:val="983"/>
        <w:ind w:firstLine="480"/>
        <w:rPr>
          <w:rFonts w:ascii="Times New Roman" w:hAnsi="Times New Roman" w:cs="宋体"/>
          <w:color w:val="auto"/>
          <w:sz w:val="24"/>
          <w:highlight w:val="none"/>
        </w:rPr>
      </w:pPr>
      <w:r/>
      <w:bookmarkStart w:id="121" w:name="_Hlt26609389"/>
      <w:r/>
      <w:bookmarkEnd w:id="121"/>
      <w:r/>
      <w:bookmarkStart w:id="122" w:name="_Hlt26671374"/>
      <w:r/>
      <w:bookmarkEnd w:id="122"/>
      <w:r/>
      <w:bookmarkStart w:id="123" w:name="_Hlt26955066"/>
      <w:r/>
      <w:bookmarkEnd w:id="123"/>
      <w:r/>
      <w:bookmarkStart w:id="124" w:name="_Toc462564146"/>
      <w:r/>
      <w:r/>
    </w:p>
    <w:p>
      <w:pPr>
        <w:pStyle w:val="983"/>
        <w:ind w:firstLine="480"/>
        <w:rPr>
          <w:rFonts w:ascii="Times New Roman" w:hAnsi="Times New Roman" w:cs="宋体"/>
          <w:color w:val="auto"/>
          <w:sz w:val="24"/>
          <w:highlight w:val="none"/>
        </w:rPr>
      </w:pPr>
      <w:r>
        <w:rPr>
          <w:rFonts w:ascii="Times New Roman" w:hAnsi="Times New Roman" w:cs="宋体"/>
          <w:color w:val="auto"/>
          <w:sz w:val="24"/>
          <w:highlight w:val="none"/>
        </w:rPr>
      </w:r>
      <w:r/>
    </w:p>
    <w:p>
      <w:pPr>
        <w:pStyle w:val="983"/>
        <w:ind w:firstLine="480"/>
        <w:rPr>
          <w:rFonts w:ascii="Times New Roman" w:hAnsi="Times New Roman" w:cs="宋体"/>
          <w:color w:val="auto"/>
          <w:sz w:val="24"/>
          <w:highlight w:val="none"/>
        </w:rPr>
      </w:pPr>
      <w:r>
        <w:rPr>
          <w:rFonts w:ascii="Times New Roman" w:hAnsi="Times New Roman" w:cs="宋体"/>
          <w:color w:val="auto"/>
          <w:sz w:val="24"/>
          <w:highlight w:val="none"/>
        </w:rPr>
      </w:r>
      <w:r/>
    </w:p>
    <w:p>
      <w:pPr>
        <w:pStyle w:val="983"/>
        <w:ind w:firstLine="480"/>
        <w:jc w:val="center"/>
        <w:rPr>
          <w:rFonts w:ascii="Times New Roman" w:hAnsi="Times New Roman" w:cs="宋体"/>
          <w:b/>
          <w:color w:val="auto"/>
          <w:highlight w:val="none"/>
        </w:rPr>
      </w:pPr>
      <w:r>
        <w:rPr>
          <w:rFonts w:hint="eastAsia" w:ascii="Times New Roman" w:hAnsi="Times New Roman" w:cs="宋体"/>
          <w:color w:val="auto"/>
          <w:sz w:val="24"/>
          <w:highlight w:val="none"/>
        </w:rPr>
        <w:br w:type="page" w:clear="all"/>
      </w:r>
      <w:bookmarkEnd w:id="124"/>
      <w:r/>
      <w:bookmarkStart w:id="125" w:name="_格式2__法定代表人授权书"/>
      <w:r/>
      <w:bookmarkEnd w:id="125"/>
      <w:r>
        <w:rPr>
          <w:rFonts w:hint="eastAsia" w:ascii="Times New Roman" w:hAnsi="Times New Roman" w:cs="宋体"/>
          <w:b/>
          <w:bCs/>
          <w:color w:val="auto"/>
          <w:sz w:val="32"/>
          <w:szCs w:val="44"/>
          <w:highlight w:val="none"/>
        </w:rPr>
        <w:t xml:space="preserve">主要标的信息（中标后将公示）</w:t>
      </w:r>
      <w:r/>
    </w:p>
    <w:p>
      <w:pPr>
        <w:spacing w:after="312" w:line="360" w:lineRule="auto"/>
        <w:rPr>
          <w:rFonts w:ascii="Times New Roman" w:hAnsi="Times New Roman" w:cs="宋体"/>
          <w:b/>
          <w:color w:val="auto"/>
          <w:highlight w:val="none"/>
        </w:rPr>
      </w:pPr>
      <w:r>
        <w:rPr>
          <w:rFonts w:hint="eastAsia" w:ascii="Times New Roman" w:hAnsi="Times New Roman" w:cs="宋体"/>
          <w:color w:val="auto"/>
          <w:highlight w:val="none"/>
        </w:rPr>
        <w:t xml:space="preserve">投标人全称：</w:t>
      </w:r>
      <w:r/>
    </w:p>
    <w:tbl>
      <w:tblPr>
        <w:tblStyle w:val="771"/>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Times New Roman" w:hAnsi="Times New Roman" w:cs="宋体"/>
                <w:color w:val="auto"/>
                <w:highlight w:val="none"/>
              </w:rPr>
            </w:pPr>
            <w:r>
              <w:rPr>
                <w:rFonts w:hint="eastAsia" w:ascii="Times New Roman" w:hAnsi="Times New Roman" w:cs="宋体"/>
                <w:color w:val="auto"/>
                <w:highlight w:val="none"/>
              </w:rPr>
              <w:t xml:space="preserve">货物类</w:t>
            </w:r>
            <w:r/>
          </w:p>
        </w:tc>
        <w:tc>
          <w:tcPr>
            <w:tcW w:w="3780" w:type="dxa"/>
            <w:textDirection w:val="lrTb"/>
            <w:noWrap w:val="false"/>
          </w:tcPr>
          <w:p>
            <w:pPr>
              <w:jc w:val="center"/>
              <w:rPr>
                <w:rFonts w:ascii="Times New Roman" w:hAnsi="Times New Roman" w:cs="宋体"/>
                <w:color w:val="auto"/>
                <w:highlight w:val="none"/>
              </w:rPr>
            </w:pPr>
            <w:r>
              <w:rPr>
                <w:rFonts w:hint="eastAsia" w:ascii="Times New Roman" w:hAnsi="Times New Roman" w:cs="宋体"/>
                <w:color w:val="auto"/>
                <w:highlight w:val="none"/>
              </w:rPr>
              <w:t xml:space="preserve">服务类</w:t>
            </w:r>
            <w:r/>
          </w:p>
        </w:tc>
      </w:tr>
      <w:tr>
        <w:trPr>
          <w:trHeight w:val="3810"/>
        </w:trPr>
        <w:tc>
          <w:tcPr>
            <w:tcW w:w="3901" w:type="dxa"/>
            <w:textDirection w:val="lrTb"/>
            <w:noWrap w:val="false"/>
          </w:tcPr>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名称：</w:t>
            </w:r>
            <w:r/>
          </w:p>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品牌（如有）：</w:t>
            </w:r>
            <w:r/>
          </w:p>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规格型号：</w:t>
            </w:r>
            <w:r/>
          </w:p>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数量：</w:t>
            </w:r>
            <w:r/>
          </w:p>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单价：</w:t>
            </w:r>
            <w:r/>
          </w:p>
        </w:tc>
        <w:tc>
          <w:tcPr>
            <w:tcW w:w="3780" w:type="dxa"/>
            <w:textDirection w:val="lrTb"/>
            <w:noWrap w:val="false"/>
          </w:tcPr>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名称：</w:t>
            </w:r>
            <w:r/>
          </w:p>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服务范围：</w:t>
            </w:r>
            <w:r/>
          </w:p>
          <w:p>
            <w:pPr>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服务要求：</w:t>
            </w:r>
            <w:r/>
          </w:p>
          <w:p>
            <w:pPr>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服务时间：</w:t>
            </w:r>
            <w:r/>
          </w:p>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服务标准：</w:t>
            </w:r>
            <w:r/>
          </w:p>
        </w:tc>
      </w:tr>
    </w:tbl>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br w:type="page" w:clear="all"/>
      </w:r>
      <w:r/>
    </w:p>
    <w:p>
      <w:pPr>
        <w:rPr>
          <w:rFonts w:ascii="Times New Roman" w:hAnsi="Times New Roman" w:cs="宋体"/>
          <w:b/>
          <w:color w:val="auto"/>
          <w:highlight w:val="none"/>
        </w:rPr>
      </w:pPr>
      <w:r>
        <w:rPr>
          <w:rFonts w:ascii="Times New Roman" w:hAnsi="Times New Roman" w:cs="宋体"/>
          <w:b/>
          <w:color w:val="auto"/>
          <w:highlight w:val="none"/>
        </w:rPr>
      </w:r>
      <w:r/>
    </w:p>
    <w:p>
      <w:pPr>
        <w:ind w:firstLine="211"/>
        <w:jc w:val="center"/>
        <w:spacing w:line="360" w:lineRule="auto"/>
        <w:rPr>
          <w:rFonts w:ascii="Times New Roman" w:hAnsi="Times New Roman" w:cs="宋体"/>
          <w:b/>
          <w:color w:val="auto"/>
          <w:highlight w:val="none"/>
        </w:rPr>
      </w:pPr>
      <w:r>
        <w:rPr>
          <w:rFonts w:hint="eastAsia" w:ascii="Times New Roman" w:hAnsi="Times New Roman" w:cs="宋体"/>
          <w:b/>
          <w:color w:val="auto"/>
          <w:highlight w:val="none"/>
        </w:rPr>
        <w:t xml:space="preserve">联合体协议（如有）</w:t>
      </w:r>
      <w:r/>
    </w:p>
    <w:p>
      <w:pPr>
        <w:ind w:firstLine="211"/>
        <w:jc w:val="center"/>
        <w:spacing w:line="360" w:lineRule="auto"/>
        <w:rPr>
          <w:rFonts w:ascii="Times New Roman" w:hAnsi="Times New Roman" w:cs="宋体"/>
          <w:b/>
          <w:color w:val="auto"/>
          <w:highlight w:val="none"/>
        </w:rPr>
      </w:pPr>
      <w:r>
        <w:rPr>
          <w:rFonts w:ascii="Times New Roman" w:hAnsi="Times New Roman" w:cs="宋体"/>
          <w:b/>
          <w:color w:val="auto"/>
          <w:highlight w:val="none"/>
        </w:rPr>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（联合体中各供应商全称）在此达成以下协议：</w:t>
      </w:r>
      <w:r/>
    </w:p>
    <w:p>
      <w:pPr>
        <w:ind w:firstLine="645"/>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1</w:t>
      </w:r>
      <w:r>
        <w:rPr>
          <w:rFonts w:hint="eastAsia" w:ascii="Times New Roman" w:hAnsi="Times New Roman"/>
          <w:color w:val="auto"/>
          <w:szCs w:val="21"/>
          <w:highlight w:val="none"/>
        </w:rPr>
        <w:t xml:space="preserve">、我们</w:t>
      </w:r>
      <w:r>
        <w:rPr>
          <w:rFonts w:hint="eastAsia" w:ascii="Times New Roman" w:hAnsi="Times New Roman"/>
          <w:color w:val="auto"/>
          <w:szCs w:val="21"/>
          <w:highlight w:val="none"/>
          <w:u w:val="single"/>
        </w:rPr>
        <w:t xml:space="preserve"> （供应商1），（供应商2） ，</w:t>
      </w:r>
      <w:r>
        <w:rPr>
          <w:rFonts w:ascii="Times New Roman" w:hAnsi="Times New Roman"/>
          <w:color w:val="auto"/>
          <w:szCs w:val="21"/>
          <w:highlight w:val="none"/>
          <w:u w:val="single"/>
        </w:rPr>
        <w:t xml:space="preserve">……</w:t>
      </w:r>
      <w:r>
        <w:rPr>
          <w:rFonts w:hint="eastAsia" w:ascii="Times New Roman" w:hAnsi="Times New Roman"/>
          <w:color w:val="auto"/>
          <w:szCs w:val="21"/>
          <w:highlight w:val="none"/>
        </w:rPr>
        <w:t xml:space="preserve">自愿组成联合体，参加江苏苏维工程管理有限公司组织的采购编号为</w:t>
      </w:r>
      <w:r>
        <w:rPr>
          <w:rFonts w:hint="eastAsia" w:ascii="Times New Roman" w:hAnsi="Times New Roman"/>
          <w:color w:val="auto"/>
          <w:szCs w:val="21"/>
          <w:highlight w:val="none"/>
          <w:u w:val="single"/>
        </w:rPr>
        <w:t xml:space="preserve">（编号全称），（项目全称）</w:t>
      </w:r>
      <w:r>
        <w:rPr>
          <w:rFonts w:hint="eastAsia" w:ascii="Times New Roman" w:hAnsi="Times New Roman"/>
          <w:color w:val="auto"/>
          <w:szCs w:val="21"/>
          <w:highlight w:val="none"/>
        </w:rPr>
        <w:t xml:space="preserve">项目（采购包号：**）的政府采购活动，我联合体指定</w:t>
      </w:r>
      <w:r>
        <w:rPr>
          <w:rFonts w:hint="eastAsia" w:ascii="Times New Roman" w:hAnsi="Times New Roman"/>
          <w:color w:val="auto"/>
          <w:szCs w:val="21"/>
          <w:highlight w:val="none"/>
          <w:u w:val="single"/>
        </w:rPr>
        <w:t xml:space="preserve">（供应商*）</w:t>
      </w:r>
      <w:r>
        <w:rPr>
          <w:rFonts w:hint="eastAsia" w:ascii="Times New Roman" w:hAnsi="Times New Roman"/>
          <w:color w:val="auto"/>
          <w:szCs w:val="21"/>
          <w:highlight w:val="none"/>
        </w:rPr>
        <w:t xml:space="preserve">为牵头单位（牵头单位必须为联合体成员）。</w:t>
      </w:r>
      <w:r/>
    </w:p>
    <w:p>
      <w:pPr>
        <w:ind w:firstLine="645"/>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2</w:t>
      </w:r>
      <w:r>
        <w:rPr>
          <w:rFonts w:hint="eastAsia" w:ascii="Times New Roman" w:hAnsi="Times New Roman"/>
          <w:color w:val="auto"/>
          <w:szCs w:val="21"/>
          <w:highlight w:val="none"/>
        </w:rPr>
        <w:t xml:space="preserve">、若我们联合中标、成交，（供应商单位</w:t>
      </w:r>
      <w:r>
        <w:rPr>
          <w:rFonts w:ascii="Times New Roman" w:hAnsi="Times New Roman"/>
          <w:color w:val="auto"/>
          <w:szCs w:val="21"/>
          <w:highlight w:val="none"/>
        </w:rPr>
        <w:t xml:space="preserve">1</w:t>
      </w:r>
      <w:r>
        <w:rPr>
          <w:rFonts w:hint="eastAsia" w:ascii="Times New Roman" w:hAnsi="Times New Roman"/>
          <w:color w:val="auto"/>
          <w:szCs w:val="21"/>
          <w:highlight w:val="none"/>
        </w:rPr>
        <w:t xml:space="preserve">全称）实施项目中（工作内容）部分工作，并承担相应的责任。（供应商单位</w:t>
      </w:r>
      <w:r>
        <w:rPr>
          <w:rFonts w:ascii="Times New Roman" w:hAnsi="Times New Roman"/>
          <w:color w:val="auto"/>
          <w:szCs w:val="21"/>
          <w:highlight w:val="none"/>
        </w:rPr>
        <w:t xml:space="preserve">2</w:t>
      </w:r>
      <w:r>
        <w:rPr>
          <w:rFonts w:hint="eastAsia" w:ascii="Times New Roman" w:hAnsi="Times New Roman"/>
          <w:color w:val="auto"/>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3</w:t>
      </w:r>
      <w:r>
        <w:rPr>
          <w:rFonts w:hint="eastAsia" w:ascii="Times New Roman" w:hAnsi="Times New Roman"/>
          <w:color w:val="auto"/>
          <w:szCs w:val="21"/>
          <w:highlight w:val="none"/>
        </w:rPr>
        <w:t xml:space="preserve">、其中</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（小型、微型企业/残疾人福利性单位/监狱企业全称）为</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（小型、微型企业/残疾人福利性单位/监狱企业）企业，且我们约定该公司/单位所承担的合同金额将占本项目合同总金额的</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w:t>
      </w:r>
      <w:r/>
    </w:p>
    <w:p>
      <w:pPr>
        <w:ind w:firstLine="645"/>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645"/>
        <w:spacing w:line="560" w:lineRule="exact"/>
        <w:rPr>
          <w:rFonts w:ascii="Times New Roman" w:hAnsi="Times New Roman"/>
          <w:color w:val="auto"/>
          <w:szCs w:val="21"/>
          <w:highlight w:val="none"/>
        </w:rPr>
      </w:pP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                       </w:t>
      </w:r>
      <w:r/>
    </w:p>
    <w:p>
      <w:pPr>
        <w:ind w:firstLine="646"/>
        <w:jc w:val="cente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                         联合体中各供应商全称（公章）：</w:t>
      </w:r>
      <w:r>
        <w:rPr>
          <w:rFonts w:ascii="Times New Roman" w:hAnsi="Times New Roman"/>
          <w:color w:val="auto"/>
          <w:szCs w:val="21"/>
          <w:highlight w:val="none"/>
        </w:rPr>
        <w:t xml:space="preserve">     </w:t>
      </w:r>
      <w:r/>
    </w:p>
    <w:p>
      <w:pPr>
        <w:ind w:firstLine="646"/>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               日期：</w:t>
      </w:r>
      <w:r/>
    </w:p>
    <w:p>
      <w:pPr>
        <w:ind w:firstLine="645"/>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645"/>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645"/>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备注：本招标文件中要求加盖CA电子签章的地方，仅需加盖牵头单位的CA电子签章。</w:t>
      </w:r>
      <w:r/>
    </w:p>
    <w:p>
      <w:pPr>
        <w:ind w:firstLine="4620"/>
        <w:spacing w:line="360" w:lineRule="auto"/>
        <w:rPr>
          <w:rFonts w:ascii="Times New Roman" w:hAnsi="Times New Roman" w:cs="宋体"/>
          <w:color w:val="auto"/>
          <w:highlight w:val="none"/>
        </w:rPr>
      </w:pPr>
      <w:r>
        <w:rPr>
          <w:rFonts w:ascii="Times New Roman" w:hAnsi="Times New Roman" w:cs="宋体"/>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889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p>
    <w:pPr>
      <w:pStyle w:val="9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both"/>
    </w:pPr>
    <w:r>
      <w:rPr>
        <w:rFonts w:hint="eastAsia"/>
        <w:lang w:eastAsia="zh-CN"/>
      </w:rPr>
      <w:t xml:space="preserve">JSZC-320000-SWGC-G2026-0072</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both"/>
    </w:pPr>
    <w:r>
      <w:rPr>
        <w:rFonts w:hint="eastAsia"/>
        <w:lang w:eastAsia="zh-CN"/>
      </w:rPr>
      <w:t xml:space="preserve">JSZC-320000-SWGC-G2026-0072</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1"/>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1"/>
      <w:numFmt w:val="japaneseCounting"/>
      <w:isLgl w:val="false"/>
      <w:suff w:val="tab"/>
      <w:lvlText w:val="第%1条"/>
      <w:lvlJc w:val="left"/>
      <w:pPr>
        <w:ind w:left="720" w:hanging="720"/>
      </w:pPr>
      <w:rPr>
        <w:rFonts w:hint="eastAsia"/>
        <w:b/>
        <w:bC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0">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9">
    <w:name w:val="TOC Heading"/>
    <w:uiPriority w:val="39"/>
    <w:unhideWhenUsed/>
  </w:style>
  <w:style w:type="paragraph" w:styleId="76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61">
    <w:name w:val="Heading 1"/>
    <w:basedOn w:val="760"/>
    <w:next w:val="760"/>
    <w:link w:val="847"/>
    <w:uiPriority w:val="9"/>
    <w:qFormat/>
    <w:pPr>
      <w:jc w:val="center"/>
      <w:keepLines/>
      <w:keepNext/>
      <w:spacing w:line="360" w:lineRule="auto"/>
      <w:outlineLvl w:val="0"/>
    </w:pPr>
    <w:rPr>
      <w:rFonts w:ascii="Arial" w:hAnsi="Arial" w:cs="Arial"/>
      <w:b/>
      <w:sz w:val="30"/>
      <w:szCs w:val="40"/>
    </w:rPr>
  </w:style>
  <w:style w:type="paragraph" w:styleId="762">
    <w:name w:val="Heading 2"/>
    <w:basedOn w:val="760"/>
    <w:next w:val="760"/>
    <w:link w:val="848"/>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49"/>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50"/>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51"/>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52"/>
    <w:uiPriority w:val="9"/>
    <w:unhideWhenUsed/>
    <w:qFormat/>
    <w:pPr>
      <w:keepLines/>
      <w:keepNext/>
      <w:spacing w:before="320" w:after="200"/>
      <w:outlineLvl w:val="5"/>
    </w:pPr>
    <w:rPr>
      <w:rFonts w:ascii="Arial" w:hAnsi="Arial" w:eastAsia="Arial" w:cs="Arial"/>
      <w:b/>
      <w:bCs/>
      <w:sz w:val="22"/>
    </w:rPr>
  </w:style>
  <w:style w:type="paragraph" w:styleId="767">
    <w:name w:val="Heading 7"/>
    <w:basedOn w:val="760"/>
    <w:next w:val="760"/>
    <w:link w:val="853"/>
    <w:uiPriority w:val="9"/>
    <w:unhideWhenUsed/>
    <w:qFormat/>
    <w:pPr>
      <w:keepLines/>
      <w:keepNext/>
      <w:spacing w:before="320" w:after="200"/>
      <w:outlineLvl w:val="6"/>
    </w:pPr>
    <w:rPr>
      <w:rFonts w:ascii="Arial" w:hAnsi="Arial" w:eastAsia="Arial" w:cs="Arial"/>
      <w:b/>
      <w:bCs/>
      <w:i/>
      <w:iCs/>
      <w:sz w:val="22"/>
    </w:rPr>
  </w:style>
  <w:style w:type="paragraph" w:styleId="768">
    <w:name w:val="Heading 8"/>
    <w:basedOn w:val="760"/>
    <w:next w:val="760"/>
    <w:link w:val="854"/>
    <w:uiPriority w:val="9"/>
    <w:unhideWhenUsed/>
    <w:qFormat/>
    <w:pPr>
      <w:keepLines/>
      <w:keepNext/>
      <w:spacing w:before="320" w:after="200"/>
      <w:outlineLvl w:val="7"/>
    </w:pPr>
    <w:rPr>
      <w:rFonts w:ascii="Arial" w:hAnsi="Arial" w:eastAsia="Arial" w:cs="Arial"/>
      <w:i/>
      <w:iCs/>
      <w:sz w:val="22"/>
    </w:rPr>
  </w:style>
  <w:style w:type="paragraph" w:styleId="769">
    <w:name w:val="Heading 9"/>
    <w:basedOn w:val="760"/>
    <w:next w:val="760"/>
    <w:link w:val="855"/>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spacing w:after="57"/>
    </w:pPr>
  </w:style>
  <w:style w:type="paragraph" w:styleId="773">
    <w:name w:val="table of authorities"/>
    <w:basedOn w:val="760"/>
    <w:next w:val="760"/>
    <w:uiPriority w:val="0"/>
    <w:qFormat/>
    <w:pPr>
      <w:ind w:left="420"/>
    </w:pPr>
    <w:rPr>
      <w:rFonts w:ascii="Times New Roman" w:hAnsi="Times New Roman"/>
    </w:r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0"/>
    <w:link w:val="1050"/>
    <w:uiPriority w:val="99"/>
    <w:semiHidden/>
    <w:unhideWhenUsed/>
    <w:qFormat/>
    <w:pPr>
      <w:jc w:val="left"/>
    </w:pPr>
  </w:style>
  <w:style w:type="paragraph" w:styleId="776">
    <w:name w:val="Body Text"/>
    <w:basedOn w:val="760"/>
    <w:next w:val="760"/>
    <w:uiPriority w:val="0"/>
    <w:qFormat/>
    <w:pPr>
      <w:spacing w:after="120"/>
    </w:pPr>
    <w:rPr>
      <w:szCs w:val="24"/>
    </w:rPr>
  </w:style>
  <w:style w:type="paragraph" w:styleId="777">
    <w:name w:val="Body Text Indent"/>
    <w:basedOn w:val="760"/>
    <w:next w:val="778"/>
    <w:uiPriority w:val="0"/>
    <w:qFormat/>
    <w:pPr>
      <w:ind w:left="420"/>
      <w:spacing w:after="120"/>
    </w:pPr>
    <w:rPr>
      <w:rFonts w:ascii="等线" w:hAnsi="等线" w:eastAsia="等线"/>
    </w:rPr>
  </w:style>
  <w:style w:type="paragraph" w:styleId="778">
    <w:name w:val="envelope return"/>
    <w:basedOn w:val="760"/>
    <w:uiPriority w:val="0"/>
    <w:qFormat/>
    <w:rPr>
      <w:rFonts w:ascii="Arial" w:hAnsi="Arial"/>
    </w:rPr>
  </w:style>
  <w:style w:type="paragraph" w:styleId="779">
    <w:name w:val="toc 5"/>
    <w:basedOn w:val="760"/>
    <w:next w:val="760"/>
    <w:uiPriority w:val="39"/>
    <w:unhideWhenUsed/>
    <w:qFormat/>
    <w:pPr>
      <w:ind w:left="1134"/>
      <w:spacing w:after="57"/>
    </w:pPr>
  </w:style>
  <w:style w:type="paragraph" w:styleId="780">
    <w:name w:val="toc 3"/>
    <w:basedOn w:val="760"/>
    <w:next w:val="760"/>
    <w:uiPriority w:val="39"/>
    <w:unhideWhenUsed/>
    <w:qFormat/>
    <w:pPr>
      <w:ind w:left="567"/>
      <w:spacing w:after="57"/>
    </w:pPr>
  </w:style>
  <w:style w:type="paragraph" w:styleId="781">
    <w:name w:val="Plain Text"/>
    <w:basedOn w:val="760"/>
    <w:uiPriority w:val="0"/>
    <w:qFormat/>
    <w:rPr>
      <w:rFonts w:ascii="宋体" w:hAnsi="Courier New"/>
      <w:sz w:val="20"/>
      <w:szCs w:val="21"/>
    </w:rPr>
  </w:style>
  <w:style w:type="paragraph" w:styleId="782">
    <w:name w:val="toc 8"/>
    <w:basedOn w:val="760"/>
    <w:next w:val="760"/>
    <w:uiPriority w:val="39"/>
    <w:unhideWhenUsed/>
    <w:qFormat/>
    <w:pPr>
      <w:ind w:left="1984"/>
      <w:spacing w:after="57"/>
    </w:pPr>
  </w:style>
  <w:style w:type="paragraph" w:styleId="783">
    <w:name w:val="Body Text Indent 2"/>
    <w:basedOn w:val="760"/>
    <w:uiPriority w:val="0"/>
    <w:qFormat/>
    <w:pPr>
      <w:ind w:left="640"/>
      <w:spacing w:after="120" w:line="480" w:lineRule="auto"/>
    </w:pPr>
    <w:rPr>
      <w:rFonts w:eastAsia="仿宋_GB2312"/>
      <w:sz w:val="32"/>
      <w:szCs w:val="28"/>
    </w:rPr>
  </w:style>
  <w:style w:type="paragraph" w:styleId="784">
    <w:name w:val="endnote text"/>
    <w:basedOn w:val="760"/>
    <w:link w:val="974"/>
    <w:uiPriority w:val="99"/>
    <w:semiHidden/>
    <w:unhideWhenUsed/>
    <w:qFormat/>
    <w:rPr>
      <w:sz w:val="20"/>
    </w:rPr>
  </w:style>
  <w:style w:type="paragraph" w:styleId="785">
    <w:name w:val="Balloon Text"/>
    <w:basedOn w:val="760"/>
    <w:link w:val="1049"/>
    <w:uiPriority w:val="99"/>
    <w:semiHidden/>
    <w:unhideWhenUsed/>
    <w:qFormat/>
    <w:rPr>
      <w:sz w:val="18"/>
      <w:szCs w:val="18"/>
    </w:rPr>
  </w:style>
  <w:style w:type="paragraph" w:styleId="786">
    <w:name w:val="Footer"/>
    <w:basedOn w:val="760"/>
    <w:link w:val="866"/>
    <w:uiPriority w:val="99"/>
    <w:unhideWhenUsed/>
    <w:qFormat/>
    <w:pPr>
      <w:tabs>
        <w:tab w:val="center" w:pos="7143" w:leader="none"/>
        <w:tab w:val="right" w:pos="14287" w:leader="none"/>
      </w:tabs>
    </w:pPr>
  </w:style>
  <w:style w:type="paragraph" w:styleId="787">
    <w:name w:val="Header"/>
    <w:basedOn w:val="760"/>
    <w:link w:val="864"/>
    <w:uiPriority w:val="99"/>
    <w:unhideWhenUsed/>
    <w:qFormat/>
    <w:pPr>
      <w:tabs>
        <w:tab w:val="center" w:pos="7143" w:leader="none"/>
        <w:tab w:val="right" w:pos="14287" w:leader="none"/>
      </w:tabs>
    </w:pPr>
  </w:style>
  <w:style w:type="paragraph" w:styleId="788">
    <w:name w:val="toc 1"/>
    <w:basedOn w:val="760"/>
    <w:next w:val="760"/>
    <w:uiPriority w:val="39"/>
    <w:unhideWhenUsed/>
    <w:qFormat/>
    <w:pPr>
      <w:spacing w:after="57"/>
    </w:pPr>
  </w:style>
  <w:style w:type="paragraph" w:styleId="789">
    <w:name w:val="toc 4"/>
    <w:basedOn w:val="760"/>
    <w:next w:val="760"/>
    <w:uiPriority w:val="39"/>
    <w:unhideWhenUsed/>
    <w:qFormat/>
    <w:pPr>
      <w:ind w:left="850"/>
      <w:spacing w:after="57"/>
    </w:pPr>
  </w:style>
  <w:style w:type="paragraph" w:styleId="790">
    <w:name w:val="Subtitle"/>
    <w:basedOn w:val="760"/>
    <w:next w:val="760"/>
    <w:link w:val="859"/>
    <w:uiPriority w:val="11"/>
    <w:qFormat/>
    <w:pPr>
      <w:spacing w:before="200" w:after="200"/>
    </w:pPr>
    <w:rPr>
      <w:sz w:val="24"/>
      <w:szCs w:val="24"/>
    </w:rPr>
  </w:style>
  <w:style w:type="paragraph" w:styleId="791">
    <w:name w:val="footnote text"/>
    <w:basedOn w:val="760"/>
    <w:link w:val="973"/>
    <w:uiPriority w:val="99"/>
    <w:semiHidden/>
    <w:unhideWhenUsed/>
    <w:qFormat/>
    <w:pPr>
      <w:spacing w:after="40"/>
    </w:pPr>
    <w:rPr>
      <w:sz w:val="18"/>
    </w:rPr>
  </w:style>
  <w:style w:type="paragraph" w:styleId="792">
    <w:name w:val="toc 6"/>
    <w:basedOn w:val="760"/>
    <w:next w:val="760"/>
    <w:uiPriority w:val="39"/>
    <w:unhideWhenUsed/>
    <w:qFormat/>
    <w:pPr>
      <w:ind w:left="1417"/>
      <w:spacing w:after="57"/>
    </w:pPr>
  </w:style>
  <w:style w:type="paragraph" w:styleId="793">
    <w:name w:val="table of figures"/>
    <w:basedOn w:val="760"/>
    <w:next w:val="760"/>
    <w:uiPriority w:val="99"/>
    <w:unhideWhenUsed/>
    <w:qFormat/>
  </w:style>
  <w:style w:type="paragraph" w:styleId="794">
    <w:name w:val="toc 2"/>
    <w:basedOn w:val="760"/>
    <w:next w:val="760"/>
    <w:uiPriority w:val="39"/>
    <w:unhideWhenUsed/>
    <w:qFormat/>
    <w:pPr>
      <w:ind w:left="283"/>
      <w:spacing w:after="57"/>
    </w:pPr>
  </w:style>
  <w:style w:type="paragraph" w:styleId="795">
    <w:name w:val="toc 9"/>
    <w:basedOn w:val="760"/>
    <w:next w:val="760"/>
    <w:uiPriority w:val="39"/>
    <w:unhideWhenUsed/>
    <w:qFormat/>
    <w:pPr>
      <w:ind w:left="2268"/>
      <w:spacing w:after="57"/>
    </w:pPr>
  </w:style>
  <w:style w:type="paragraph" w:styleId="796">
    <w:name w:val="Normal (Web)"/>
    <w:basedOn w:val="760"/>
    <w:uiPriority w:val="99"/>
    <w:semiHidden/>
    <w:unhideWhenUsed/>
    <w:qFormat/>
    <w:pPr>
      <w:jc w:val="left"/>
      <w:spacing w:beforeAutospacing="1" w:afterAutospacing="1"/>
    </w:pPr>
    <w:rPr>
      <w:sz w:val="24"/>
    </w:rPr>
  </w:style>
  <w:style w:type="paragraph" w:styleId="797">
    <w:name w:val="index 1"/>
    <w:basedOn w:val="760"/>
    <w:next w:val="760"/>
    <w:uiPriority w:val="0"/>
    <w:qFormat/>
    <w:rPr>
      <w:rFonts w:ascii="仿宋_GB2312" w:hAnsi="宋体" w:eastAsia="仿宋_GB2312" w:cs="宋体"/>
      <w:sz w:val="30"/>
      <w:szCs w:val="24"/>
      <w:lang w:val="zh-CN"/>
    </w:rPr>
  </w:style>
  <w:style w:type="paragraph" w:styleId="798">
    <w:name w:val="Title"/>
    <w:basedOn w:val="760"/>
    <w:next w:val="760"/>
    <w:link w:val="858"/>
    <w:uiPriority w:val="10"/>
    <w:qFormat/>
    <w:pPr>
      <w:contextualSpacing/>
      <w:spacing w:before="300" w:after="200"/>
    </w:pPr>
    <w:rPr>
      <w:sz w:val="48"/>
      <w:szCs w:val="48"/>
    </w:rPr>
  </w:style>
  <w:style w:type="paragraph" w:styleId="799">
    <w:name w:val="annotation subject"/>
    <w:basedOn w:val="775"/>
    <w:next w:val="775"/>
    <w:link w:val="1051"/>
    <w:uiPriority w:val="99"/>
    <w:semiHidden/>
    <w:unhideWhenUsed/>
    <w:qFormat/>
    <w:rPr>
      <w:b/>
      <w:bCs/>
    </w:rPr>
  </w:style>
  <w:style w:type="paragraph" w:styleId="800">
    <w:name w:val="Body Text First Indent"/>
    <w:basedOn w:val="776"/>
    <w:uiPriority w:val="99"/>
    <w:unhideWhenUsed/>
    <w:qFormat/>
    <w:pPr>
      <w:ind w:firstLine="426"/>
      <w:spacing w:line="400" w:lineRule="atLeast"/>
    </w:pPr>
    <w:rPr>
      <w:sz w:val="24"/>
      <w:szCs w:val="20"/>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0"/>
    <w:uiPriority w:val="0"/>
    <w:qFormat/>
    <w:rPr>
      <w:b/>
    </w:rPr>
  </w:style>
  <w:style w:type="character" w:styleId="803">
    <w:name w:val="endnote reference"/>
    <w:uiPriority w:val="99"/>
    <w:semiHidden/>
    <w:unhideWhenUsed/>
    <w:qFormat/>
    <w:rPr>
      <w:vertAlign w:val="superscript"/>
    </w:rPr>
  </w:style>
  <w:style w:type="character" w:styleId="804">
    <w:name w:val="Emphasis"/>
    <w:basedOn w:val="770"/>
    <w:uiPriority w:val="20"/>
    <w:qFormat/>
    <w:rPr>
      <w:i/>
    </w:rPr>
  </w:style>
  <w:style w:type="character" w:styleId="805">
    <w:name w:val="Hyperlink"/>
    <w:uiPriority w:val="99"/>
    <w:unhideWhenUsed/>
    <w:qFormat/>
    <w:rPr>
      <w:color w:val="0000ff" w:themeColor="hyperlink"/>
      <w:u w:val="single"/>
      <w14:textFill>
        <w14:solidFill>
          <w14:schemeClr w14:val="hlink"/>
        </w14:solidFill>
      </w14:textFill>
    </w:rPr>
  </w:style>
  <w:style w:type="character" w:styleId="806">
    <w:name w:val="annotation reference"/>
    <w:basedOn w:val="770"/>
    <w:uiPriority w:val="99"/>
    <w:semiHidden/>
    <w:unhideWhenUsed/>
    <w:qFormat/>
    <w:rPr>
      <w:sz w:val="21"/>
      <w:szCs w:val="21"/>
    </w:rPr>
  </w:style>
  <w:style w:type="character" w:styleId="807">
    <w:name w:val="footnote reference"/>
    <w:uiPriority w:val="99"/>
    <w:unhideWhenUsed/>
    <w:qFormat/>
    <w:rPr>
      <w:vertAlign w:val="superscript"/>
    </w:rPr>
  </w:style>
  <w:style w:type="character" w:styleId="808" w:customStyle="1">
    <w:name w:val="Heading 1 Char"/>
    <w:basedOn w:val="770"/>
    <w:uiPriority w:val="9"/>
    <w:qFormat/>
    <w:rPr>
      <w:rFonts w:ascii="Arial" w:hAnsi="Arial" w:eastAsia="Arial" w:cs="Arial"/>
      <w:sz w:val="40"/>
      <w:szCs w:val="40"/>
    </w:rPr>
  </w:style>
  <w:style w:type="character" w:styleId="809" w:customStyle="1">
    <w:name w:val="Heading 2 Char"/>
    <w:basedOn w:val="770"/>
    <w:uiPriority w:val="9"/>
    <w:qFormat/>
    <w:rPr>
      <w:rFonts w:ascii="Arial" w:hAnsi="Arial" w:eastAsia="Arial" w:cs="Arial"/>
      <w:sz w:val="34"/>
    </w:rPr>
  </w:style>
  <w:style w:type="character" w:styleId="810" w:customStyle="1">
    <w:name w:val="Heading 3 Char"/>
    <w:basedOn w:val="770"/>
    <w:uiPriority w:val="9"/>
    <w:qFormat/>
    <w:rPr>
      <w:rFonts w:ascii="Arial" w:hAnsi="Arial" w:eastAsia="Arial" w:cs="Arial"/>
      <w:sz w:val="30"/>
      <w:szCs w:val="30"/>
    </w:rPr>
  </w:style>
  <w:style w:type="character" w:styleId="811" w:customStyle="1">
    <w:name w:val="Heading 4 Char"/>
    <w:basedOn w:val="770"/>
    <w:uiPriority w:val="9"/>
    <w:qFormat/>
    <w:rPr>
      <w:rFonts w:ascii="Arial" w:hAnsi="Arial" w:eastAsia="Arial" w:cs="Arial"/>
      <w:b/>
      <w:bCs/>
      <w:sz w:val="26"/>
      <w:szCs w:val="26"/>
    </w:rPr>
  </w:style>
  <w:style w:type="character" w:styleId="812" w:customStyle="1">
    <w:name w:val="Heading 5 Char"/>
    <w:basedOn w:val="770"/>
    <w:uiPriority w:val="9"/>
    <w:qFormat/>
    <w:rPr>
      <w:rFonts w:ascii="Arial" w:hAnsi="Arial" w:eastAsia="Arial" w:cs="Arial"/>
      <w:b/>
      <w:bCs/>
      <w:sz w:val="24"/>
      <w:szCs w:val="24"/>
    </w:rPr>
  </w:style>
  <w:style w:type="character" w:styleId="813" w:customStyle="1">
    <w:name w:val="Heading 6 Char"/>
    <w:basedOn w:val="770"/>
    <w:uiPriority w:val="9"/>
    <w:qFormat/>
    <w:rPr>
      <w:rFonts w:ascii="Arial" w:hAnsi="Arial" w:eastAsia="Arial" w:cs="Arial"/>
      <w:b/>
      <w:bCs/>
      <w:sz w:val="22"/>
      <w:szCs w:val="22"/>
    </w:rPr>
  </w:style>
  <w:style w:type="character" w:styleId="814" w:customStyle="1">
    <w:name w:val="Heading 7 Char"/>
    <w:basedOn w:val="770"/>
    <w:uiPriority w:val="9"/>
    <w:qFormat/>
    <w:rPr>
      <w:rFonts w:ascii="Arial" w:hAnsi="Arial" w:eastAsia="Arial" w:cs="Arial"/>
      <w:b/>
      <w:bCs/>
      <w:i/>
      <w:iCs/>
      <w:sz w:val="22"/>
      <w:szCs w:val="22"/>
    </w:rPr>
  </w:style>
  <w:style w:type="character" w:styleId="815" w:customStyle="1">
    <w:name w:val="Heading 8 Char"/>
    <w:basedOn w:val="770"/>
    <w:uiPriority w:val="9"/>
    <w:qFormat/>
    <w:rPr>
      <w:rFonts w:ascii="Arial" w:hAnsi="Arial" w:eastAsia="Arial" w:cs="Arial"/>
      <w:i/>
      <w:iCs/>
      <w:sz w:val="22"/>
      <w:szCs w:val="22"/>
    </w:rPr>
  </w:style>
  <w:style w:type="character" w:styleId="816" w:customStyle="1">
    <w:name w:val="Heading 9 Char"/>
    <w:basedOn w:val="770"/>
    <w:uiPriority w:val="9"/>
    <w:qFormat/>
    <w:rPr>
      <w:rFonts w:ascii="Arial" w:hAnsi="Arial" w:eastAsia="Arial" w:cs="Arial"/>
      <w:i/>
      <w:iCs/>
      <w:sz w:val="21"/>
      <w:szCs w:val="21"/>
    </w:rPr>
  </w:style>
  <w:style w:type="character" w:styleId="817" w:customStyle="1">
    <w:name w:val="Title Char"/>
    <w:basedOn w:val="770"/>
    <w:uiPriority w:val="10"/>
    <w:qFormat/>
    <w:rPr>
      <w:sz w:val="48"/>
      <w:szCs w:val="48"/>
    </w:rPr>
  </w:style>
  <w:style w:type="character" w:styleId="818" w:customStyle="1">
    <w:name w:val="Subtitle Char"/>
    <w:basedOn w:val="770"/>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Header Char"/>
    <w:basedOn w:val="770"/>
    <w:uiPriority w:val="99"/>
    <w:qFormat/>
  </w:style>
  <w:style w:type="character" w:styleId="822" w:customStyle="1">
    <w:name w:val="Caption Char"/>
    <w:uiPriority w:val="99"/>
    <w:qFormat/>
  </w:style>
  <w:style w:type="table" w:styleId="823"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清单表 1 浅色1"/>
    <w:basedOn w:val="77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清单表 6 彩色1"/>
    <w:basedOn w:val="77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清单表 7 彩色1"/>
    <w:basedOn w:val="77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标题1"/>
    <w:uiPriority w:val="39"/>
    <w:unhideWhenUsed/>
    <w:qFormat/>
    <w:rPr>
      <w:rFonts w:ascii="Times New Roman" w:hAnsi="Times New Roman" w:eastAsia="宋体" w:cs="Times New Roman"/>
      <w:lang w:val="en-US" w:eastAsia="zh-CN" w:bidi="ar-SA"/>
    </w:rPr>
  </w:style>
  <w:style w:type="paragraph" w:styleId="845" w:customStyle="1">
    <w:name w:val="Default"/>
    <w:next w:val="760"/>
    <w:uiPriority w:val="0"/>
    <w:qFormat/>
    <w:pPr>
      <w:widowControl w:val="off"/>
    </w:pPr>
    <w:rPr>
      <w:rFonts w:ascii="黑体" w:hAnsi="Times New Roman" w:eastAsia="黑体" w:cs="Times New Roman"/>
      <w:lang w:val="en-US" w:eastAsia="zh-CN" w:bidi="ar-SA"/>
    </w:rPr>
  </w:style>
  <w:style w:type="paragraph" w:styleId="846" w:customStyle="1">
    <w:name w:val="首行缩进"/>
    <w:basedOn w:val="760"/>
    <w:uiPriority w:val="0"/>
    <w:qFormat/>
    <w:pPr>
      <w:ind w:firstLine="420"/>
      <w:spacing w:line="360" w:lineRule="auto"/>
    </w:pPr>
  </w:style>
  <w:style w:type="character" w:styleId="847" w:customStyle="1">
    <w:name w:val="标题 1 字符"/>
    <w:link w:val="761"/>
    <w:uiPriority w:val="9"/>
    <w:qFormat/>
    <w:rPr>
      <w:rFonts w:ascii="Arial" w:hAnsi="Arial" w:eastAsia="宋体" w:cs="Arial"/>
      <w:b/>
      <w:sz w:val="30"/>
      <w:szCs w:val="40"/>
    </w:rPr>
  </w:style>
  <w:style w:type="character" w:styleId="848" w:customStyle="1">
    <w:name w:val="标题 2 字符"/>
    <w:link w:val="762"/>
    <w:uiPriority w:val="9"/>
    <w:qFormat/>
    <w:rPr>
      <w:rFonts w:ascii="Arial" w:hAnsi="Arial" w:eastAsia="Arial" w:cs="Arial"/>
      <w:sz w:val="34"/>
    </w:rPr>
  </w:style>
  <w:style w:type="character" w:styleId="849" w:customStyle="1">
    <w:name w:val="标题 3 字符"/>
    <w:link w:val="763"/>
    <w:uiPriority w:val="9"/>
    <w:qFormat/>
    <w:rPr>
      <w:rFonts w:ascii="Arial" w:hAnsi="Arial" w:eastAsia="Arial" w:cs="Arial"/>
      <w:sz w:val="30"/>
      <w:szCs w:val="30"/>
    </w:rPr>
  </w:style>
  <w:style w:type="character" w:styleId="850" w:customStyle="1">
    <w:name w:val="标题 4 字符"/>
    <w:link w:val="764"/>
    <w:uiPriority w:val="9"/>
    <w:qFormat/>
    <w:rPr>
      <w:rFonts w:ascii="Arial" w:hAnsi="Arial" w:eastAsia="Arial" w:cs="Arial"/>
      <w:b/>
      <w:bCs/>
      <w:sz w:val="26"/>
      <w:szCs w:val="26"/>
    </w:rPr>
  </w:style>
  <w:style w:type="character" w:styleId="851" w:customStyle="1">
    <w:name w:val="标题 5 字符"/>
    <w:link w:val="765"/>
    <w:uiPriority w:val="9"/>
    <w:qFormat/>
    <w:rPr>
      <w:rFonts w:ascii="Arial" w:hAnsi="Arial" w:eastAsia="Arial" w:cs="Arial"/>
      <w:b/>
      <w:bCs/>
      <w:sz w:val="24"/>
      <w:szCs w:val="24"/>
    </w:rPr>
  </w:style>
  <w:style w:type="character" w:styleId="852" w:customStyle="1">
    <w:name w:val="标题 6 字符"/>
    <w:link w:val="766"/>
    <w:uiPriority w:val="9"/>
    <w:qFormat/>
    <w:rPr>
      <w:rFonts w:ascii="Arial" w:hAnsi="Arial" w:eastAsia="Arial" w:cs="Arial"/>
      <w:b/>
      <w:bCs/>
      <w:sz w:val="22"/>
      <w:szCs w:val="22"/>
    </w:rPr>
  </w:style>
  <w:style w:type="character" w:styleId="853" w:customStyle="1">
    <w:name w:val="标题 7 字符"/>
    <w:link w:val="767"/>
    <w:uiPriority w:val="9"/>
    <w:qFormat/>
    <w:rPr>
      <w:rFonts w:ascii="Arial" w:hAnsi="Arial" w:eastAsia="Arial" w:cs="Arial"/>
      <w:b/>
      <w:bCs/>
      <w:i/>
      <w:iCs/>
      <w:sz w:val="22"/>
      <w:szCs w:val="22"/>
    </w:rPr>
  </w:style>
  <w:style w:type="character" w:styleId="854" w:customStyle="1">
    <w:name w:val="标题 8 字符"/>
    <w:link w:val="768"/>
    <w:uiPriority w:val="9"/>
    <w:qFormat/>
    <w:rPr>
      <w:rFonts w:ascii="Arial" w:hAnsi="Arial" w:eastAsia="Arial" w:cs="Arial"/>
      <w:i/>
      <w:iCs/>
      <w:sz w:val="22"/>
      <w:szCs w:val="22"/>
    </w:rPr>
  </w:style>
  <w:style w:type="character" w:styleId="855" w:customStyle="1">
    <w:name w:val="标题 9 字符"/>
    <w:link w:val="769"/>
    <w:uiPriority w:val="9"/>
    <w:qFormat/>
    <w:rPr>
      <w:rFonts w:ascii="Arial" w:hAnsi="Arial" w:eastAsia="Arial" w:cs="Arial"/>
      <w:i/>
      <w:iCs/>
      <w:sz w:val="21"/>
      <w:szCs w:val="21"/>
    </w:rPr>
  </w:style>
  <w:style w:type="paragraph" w:styleId="856">
    <w:name w:val="List Paragraph"/>
    <w:basedOn w:val="760"/>
    <w:uiPriority w:val="34"/>
    <w:qFormat/>
    <w:pPr>
      <w:contextualSpacing/>
      <w:ind w:left="720"/>
    </w:pPr>
  </w:style>
  <w:style w:type="paragraph" w:styleId="857">
    <w:name w:val="No Spacing"/>
    <w:uiPriority w:val="1"/>
    <w:qFormat/>
    <w:rPr>
      <w:rFonts w:ascii="Times New Roman" w:hAnsi="Times New Roman" w:eastAsia="宋体" w:cs="Times New Roman"/>
      <w:lang w:val="en-US" w:eastAsia="zh-CN" w:bidi="ar-SA"/>
    </w:rPr>
  </w:style>
  <w:style w:type="character" w:styleId="858" w:customStyle="1">
    <w:name w:val="标题 字符"/>
    <w:link w:val="798"/>
    <w:uiPriority w:val="10"/>
    <w:qFormat/>
    <w:rPr>
      <w:sz w:val="48"/>
      <w:szCs w:val="48"/>
    </w:rPr>
  </w:style>
  <w:style w:type="character" w:styleId="859" w:customStyle="1">
    <w:name w:val="副标题 字符"/>
    <w:link w:val="790"/>
    <w:uiPriority w:val="11"/>
    <w:qFormat/>
    <w:rPr>
      <w:sz w:val="24"/>
      <w:szCs w:val="24"/>
    </w:rPr>
  </w:style>
  <w:style w:type="paragraph" w:styleId="860">
    <w:name w:val="Quote"/>
    <w:basedOn w:val="760"/>
    <w:next w:val="760"/>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760"/>
    <w:next w:val="760"/>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页眉 字符"/>
    <w:link w:val="787"/>
    <w:uiPriority w:val="99"/>
    <w:qFormat/>
  </w:style>
  <w:style w:type="character" w:styleId="865" w:customStyle="1">
    <w:name w:val="Footer Char"/>
    <w:uiPriority w:val="99"/>
    <w:qFormat/>
  </w:style>
  <w:style w:type="character" w:styleId="866" w:customStyle="1">
    <w:name w:val="页脚 字符"/>
    <w:link w:val="786"/>
    <w:uiPriority w:val="99"/>
    <w:qFormat/>
  </w:style>
  <w:style w:type="table" w:styleId="8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脚注文本 字符"/>
    <w:link w:val="791"/>
    <w:uiPriority w:val="99"/>
    <w:qFormat/>
    <w:rPr>
      <w:sz w:val="18"/>
    </w:rPr>
  </w:style>
  <w:style w:type="character" w:styleId="974" w:customStyle="1">
    <w:name w:val="尾注文本 字符"/>
    <w:link w:val="784"/>
    <w:uiPriority w:val="99"/>
    <w:qFormat/>
    <w:rPr>
      <w:sz w:val="20"/>
    </w:rPr>
  </w:style>
  <w:style w:type="paragraph" w:styleId="975" w:customStyle="1">
    <w:name w:val="TOC 标题11"/>
    <w:uiPriority w:val="39"/>
    <w:unhideWhenUsed/>
    <w:qFormat/>
    <w:rPr>
      <w:rFonts w:ascii="Times New Roman" w:hAnsi="Times New Roman" w:eastAsia="宋体" w:cs="Times New Roman"/>
      <w:lang w:val="en-US" w:eastAsia="zh-CN" w:bidi="ar-SA"/>
    </w:rPr>
  </w:style>
  <w:style w:type="paragraph" w:styleId="976" w:customStyle="1">
    <w:name w:val="标题 11"/>
    <w:basedOn w:val="760"/>
    <w:next w:val="760"/>
    <w:uiPriority w:val="9"/>
    <w:qFormat/>
    <w:pPr>
      <w:keepLines/>
      <w:keepNext/>
      <w:spacing w:before="340" w:after="330" w:line="578" w:lineRule="auto"/>
      <w:outlineLvl w:val="0"/>
    </w:pPr>
    <w:rPr>
      <w:b/>
      <w:bCs/>
      <w:sz w:val="44"/>
      <w:szCs w:val="44"/>
    </w:rPr>
  </w:style>
  <w:style w:type="paragraph" w:styleId="977" w:customStyle="1">
    <w:name w:val="标题 21"/>
    <w:basedOn w:val="760"/>
    <w:next w:val="7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8" w:customStyle="1">
    <w:name w:val="标题 31"/>
    <w:basedOn w:val="760"/>
    <w:next w:val="760"/>
    <w:uiPriority w:val="0"/>
    <w:qFormat/>
    <w:pPr>
      <w:keepLines/>
      <w:keepNext/>
      <w:spacing w:before="260" w:after="260" w:line="416" w:lineRule="auto"/>
      <w:outlineLvl w:val="2"/>
    </w:pPr>
    <w:rPr>
      <w:b/>
      <w:bCs/>
      <w:sz w:val="32"/>
      <w:szCs w:val="32"/>
    </w:rPr>
  </w:style>
  <w:style w:type="character" w:styleId="979" w:customStyle="1">
    <w:name w:val="默认段落字体1"/>
    <w:uiPriority w:val="1"/>
    <w:unhideWhenUsed/>
    <w:qFormat/>
  </w:style>
  <w:style w:type="table" w:styleId="980" w:customStyle="1">
    <w:name w:val="普通表格1"/>
    <w:uiPriority w:val="99"/>
    <w:unhideWhenUsed/>
    <w:qFormat/>
    <w:tblPr>
      <w:tblCellMar>
        <w:left w:w="0" w:type="dxa"/>
        <w:top w:w="0" w:type="dxa"/>
        <w:right w:w="0" w:type="dxa"/>
        <w:bottom w:w="0" w:type="dxa"/>
      </w:tblCellMar>
    </w:tblPr>
  </w:style>
  <w:style w:type="paragraph" w:styleId="981" w:customStyle="1">
    <w:name w:val="正文文本缩进1"/>
    <w:basedOn w:val="760"/>
    <w:next w:val="982"/>
    <w:uiPriority w:val="0"/>
    <w:qFormat/>
    <w:pPr>
      <w:ind w:left="420"/>
      <w:spacing w:after="120"/>
    </w:pPr>
    <w:rPr>
      <w:rFonts w:ascii="等线" w:hAnsi="等线" w:eastAsia="等线"/>
    </w:rPr>
  </w:style>
  <w:style w:type="paragraph" w:styleId="982" w:customStyle="1">
    <w:name w:val="寄信人地址1"/>
    <w:basedOn w:val="760"/>
    <w:uiPriority w:val="99"/>
    <w:unhideWhenUsed/>
    <w:qFormat/>
    <w:rPr>
      <w:rFonts w:ascii="Arial" w:hAnsi="Arial"/>
    </w:rPr>
  </w:style>
  <w:style w:type="paragraph" w:styleId="983" w:customStyle="1">
    <w:name w:val="正文缩进1"/>
    <w:basedOn w:val="760"/>
    <w:uiPriority w:val="0"/>
    <w:unhideWhenUsed/>
    <w:qFormat/>
    <w:pPr>
      <w:ind w:firstLine="420"/>
    </w:pPr>
  </w:style>
  <w:style w:type="paragraph" w:styleId="984" w:customStyle="1">
    <w:name w:val="批注文字1"/>
    <w:basedOn w:val="760"/>
    <w:link w:val="985"/>
    <w:uiPriority w:val="0"/>
    <w:qFormat/>
    <w:pPr>
      <w:jc w:val="left"/>
    </w:pPr>
  </w:style>
  <w:style w:type="character" w:styleId="985" w:customStyle="1">
    <w:name w:val="批注文字 Char"/>
    <w:link w:val="984"/>
    <w:uiPriority w:val="0"/>
    <w:qFormat/>
    <w:rPr>
      <w:rFonts w:ascii="Calibri" w:hAnsi="Calibri"/>
      <w:sz w:val="21"/>
      <w:szCs w:val="22"/>
    </w:rPr>
  </w:style>
  <w:style w:type="paragraph" w:styleId="986" w:customStyle="1">
    <w:name w:val="正文文本11"/>
    <w:basedOn w:val="760"/>
    <w:next w:val="987"/>
    <w:uiPriority w:val="0"/>
    <w:qFormat/>
    <w:rPr>
      <w:rFonts w:ascii="楷体_GB2312" w:hAnsi="Arial" w:eastAsia="楷体_GB2312"/>
      <w:sz w:val="28"/>
      <w:szCs w:val="28"/>
    </w:rPr>
  </w:style>
  <w:style w:type="paragraph" w:styleId="987" w:customStyle="1">
    <w:name w:val="标题1"/>
    <w:basedOn w:val="760"/>
    <w:next w:val="760"/>
    <w:uiPriority w:val="0"/>
    <w:qFormat/>
    <w:pPr>
      <w:jc w:val="center"/>
      <w:spacing w:before="240" w:after="60" w:line="360" w:lineRule="auto"/>
      <w:outlineLvl w:val="0"/>
    </w:pPr>
    <w:rPr>
      <w:rFonts w:ascii="宋体" w:hAnsi="宋体"/>
      <w:b/>
      <w:bCs/>
      <w:sz w:val="32"/>
      <w:szCs w:val="32"/>
    </w:rPr>
  </w:style>
  <w:style w:type="paragraph" w:styleId="988" w:customStyle="1">
    <w:name w:val="纯文本1"/>
    <w:basedOn w:val="760"/>
    <w:uiPriority w:val="99"/>
    <w:qFormat/>
    <w:rPr>
      <w:rFonts w:ascii="宋体" w:hAnsi="Courier New"/>
      <w:sz w:val="20"/>
      <w:szCs w:val="21"/>
    </w:rPr>
  </w:style>
  <w:style w:type="paragraph" w:styleId="989" w:customStyle="1">
    <w:name w:val="正文文本缩进 21"/>
    <w:basedOn w:val="760"/>
    <w:uiPriority w:val="0"/>
    <w:qFormat/>
    <w:pPr>
      <w:ind w:left="640"/>
      <w:spacing w:after="120" w:line="480" w:lineRule="auto"/>
    </w:pPr>
    <w:rPr>
      <w:rFonts w:eastAsia="仿宋_GB2312"/>
      <w:sz w:val="32"/>
      <w:szCs w:val="28"/>
    </w:rPr>
  </w:style>
  <w:style w:type="paragraph" w:styleId="990" w:customStyle="1">
    <w:name w:val="批注框文本1"/>
    <w:basedOn w:val="760"/>
    <w:link w:val="991"/>
    <w:uiPriority w:val="0"/>
    <w:qFormat/>
    <w:rPr>
      <w:sz w:val="18"/>
      <w:szCs w:val="18"/>
    </w:rPr>
  </w:style>
  <w:style w:type="character" w:styleId="991" w:customStyle="1">
    <w:name w:val="批注框文本 Char"/>
    <w:link w:val="990"/>
    <w:uiPriority w:val="0"/>
    <w:qFormat/>
    <w:rPr>
      <w:sz w:val="18"/>
      <w:szCs w:val="18"/>
    </w:rPr>
  </w:style>
  <w:style w:type="paragraph" w:styleId="992" w:customStyle="1">
    <w:name w:val="页脚1"/>
    <w:basedOn w:val="760"/>
    <w:uiPriority w:val="99"/>
    <w:unhideWhenUsed/>
    <w:qFormat/>
    <w:pPr>
      <w:jc w:val="left"/>
      <w:tabs>
        <w:tab w:val="center" w:pos="4153" w:leader="none"/>
        <w:tab w:val="right" w:pos="8306" w:leader="none"/>
      </w:tabs>
    </w:pPr>
    <w:rPr>
      <w:sz w:val="18"/>
      <w:szCs w:val="18"/>
    </w:rPr>
  </w:style>
  <w:style w:type="paragraph" w:styleId="993" w:customStyle="1">
    <w:name w:val="页眉1"/>
    <w:basedOn w:val="76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4" w:customStyle="1">
    <w:name w:val="目录 11"/>
    <w:basedOn w:val="760"/>
    <w:next w:val="760"/>
    <w:uiPriority w:val="39"/>
    <w:unhideWhenUsed/>
    <w:qFormat/>
  </w:style>
  <w:style w:type="paragraph" w:styleId="995" w:customStyle="1">
    <w:name w:val="目录 21"/>
    <w:basedOn w:val="760"/>
    <w:next w:val="760"/>
    <w:uiPriority w:val="0"/>
    <w:qFormat/>
    <w:pPr>
      <w:ind w:left="420"/>
    </w:pPr>
  </w:style>
  <w:style w:type="paragraph" w:styleId="996" w:customStyle="1">
    <w:name w:val="正文文本 21"/>
    <w:basedOn w:val="760"/>
    <w:next w:val="997"/>
    <w:uiPriority w:val="0"/>
    <w:qFormat/>
    <w:pPr>
      <w:spacing w:after="120" w:line="480" w:lineRule="auto"/>
    </w:pPr>
  </w:style>
  <w:style w:type="paragraph" w:styleId="997" w:customStyle="1">
    <w:name w:val="默认段落字体 Para Char Char Char Char Char Char Char"/>
    <w:basedOn w:val="760"/>
    <w:next w:val="998"/>
    <w:uiPriority w:val="99"/>
    <w:qFormat/>
    <w:pPr>
      <w:ind w:firstLine="200"/>
    </w:pPr>
    <w:rPr>
      <w:rFonts w:cs="Arial"/>
    </w:rPr>
  </w:style>
  <w:style w:type="paragraph" w:styleId="998" w:customStyle="1">
    <w:name w:val="样式 首行缩进:  2 字符"/>
    <w:basedOn w:val="760"/>
    <w:next w:val="999"/>
    <w:uiPriority w:val="99"/>
    <w:qFormat/>
    <w:pPr>
      <w:ind w:left="480" w:firstLine="5856"/>
      <w:spacing w:line="360" w:lineRule="auto"/>
    </w:pPr>
  </w:style>
  <w:style w:type="paragraph" w:styleId="999" w:customStyle="1">
    <w:name w:val="样式 段后: 0.25 行"/>
    <w:basedOn w:val="760"/>
    <w:next w:val="1000"/>
    <w:uiPriority w:val="99"/>
    <w:qFormat/>
    <w:pPr>
      <w:ind w:left="420" w:firstLine="5796"/>
      <w:spacing w:line="300" w:lineRule="auto"/>
      <w:widowControl/>
    </w:pPr>
  </w:style>
  <w:style w:type="paragraph" w:styleId="1000" w:customStyle="1">
    <w:name w:val="正文 New New New New New New New New New New New New New New"/>
    <w:next w:val="795"/>
    <w:uiPriority w:val="99"/>
    <w:qFormat/>
    <w:pPr>
      <w:ind w:firstLine="2048"/>
      <w:jc w:val="both"/>
      <w:widowControl w:val="off"/>
    </w:pPr>
    <w:rPr>
      <w:rFonts w:ascii="Times New Roman" w:hAnsi="Times New Roman" w:eastAsia="宋体" w:cs="Times New Roman"/>
      <w:lang w:val="en-US" w:eastAsia="zh-CN" w:bidi="ar-SA"/>
    </w:rPr>
  </w:style>
  <w:style w:type="paragraph" w:styleId="1001" w:customStyle="1">
    <w:name w:val="信息标题1"/>
    <w:basedOn w:val="76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02" w:customStyle="1">
    <w:name w:val="普通(网站)1"/>
    <w:basedOn w:val="760"/>
    <w:uiPriority w:val="0"/>
    <w:qFormat/>
    <w:rPr>
      <w:rFonts w:ascii="Times New Roman" w:hAnsi="Times New Roman"/>
      <w:sz w:val="24"/>
    </w:rPr>
  </w:style>
  <w:style w:type="paragraph" w:styleId="1003" w:customStyle="1">
    <w:name w:val="批注主题1"/>
    <w:basedOn w:val="984"/>
    <w:next w:val="984"/>
    <w:link w:val="1004"/>
    <w:uiPriority w:val="0"/>
    <w:qFormat/>
    <w:rPr>
      <w:b/>
      <w:bCs/>
    </w:rPr>
  </w:style>
  <w:style w:type="character" w:styleId="1004" w:customStyle="1">
    <w:name w:val="批注主题 Char"/>
    <w:link w:val="1003"/>
    <w:uiPriority w:val="0"/>
    <w:qFormat/>
    <w:rPr>
      <w:rFonts w:ascii="Calibri" w:hAnsi="Calibri"/>
      <w:b/>
      <w:bCs/>
      <w:sz w:val="21"/>
      <w:szCs w:val="22"/>
    </w:rPr>
  </w:style>
  <w:style w:type="paragraph" w:styleId="1005" w:customStyle="1">
    <w:name w:val="正文首行缩进 21"/>
    <w:basedOn w:val="981"/>
    <w:next w:val="760"/>
    <w:uiPriority w:val="0"/>
    <w:qFormat/>
    <w:pPr>
      <w:ind w:firstLine="420"/>
      <w:spacing w:before="100" w:beforeAutospacing="1"/>
    </w:pPr>
    <w:rPr>
      <w:rFonts w:ascii="Times New Roman" w:hAnsi="Times New Roman" w:eastAsia="宋体"/>
      <w:sz w:val="20"/>
      <w:szCs w:val="21"/>
    </w:rPr>
  </w:style>
  <w:style w:type="table" w:styleId="1006" w:customStyle="1">
    <w:name w:val="网格型1"/>
    <w:basedOn w:val="980"/>
    <w:uiPriority w:val="0"/>
    <w:qFormat/>
    <w:pPr>
      <w:jc w:val="both"/>
      <w:widowControl w:val="off"/>
    </w:pPr>
    <w:tblPr/>
  </w:style>
  <w:style w:type="character" w:styleId="1007" w:customStyle="1">
    <w:name w:val="要点1"/>
    <w:uiPriority w:val="0"/>
    <w:qFormat/>
    <w:rPr>
      <w:b/>
    </w:rPr>
  </w:style>
  <w:style w:type="character" w:styleId="1008" w:customStyle="1">
    <w:name w:val="强调1"/>
    <w:uiPriority w:val="0"/>
    <w:qFormat/>
    <w:rPr>
      <w:i/>
    </w:rPr>
  </w:style>
  <w:style w:type="character" w:styleId="1009" w:customStyle="1">
    <w:name w:val="超链接1"/>
    <w:uiPriority w:val="0"/>
    <w:qFormat/>
    <w:rPr>
      <w:color w:val="0000ff"/>
      <w:u w:val="single"/>
    </w:rPr>
  </w:style>
  <w:style w:type="character" w:styleId="1010" w:customStyle="1">
    <w:name w:val="批注引用1"/>
    <w:uiPriority w:val="0"/>
    <w:qFormat/>
    <w:rPr>
      <w:sz w:val="21"/>
      <w:szCs w:val="21"/>
    </w:rPr>
  </w:style>
  <w:style w:type="paragraph" w:styleId="1011" w:customStyle="1">
    <w:name w:val="正文（缩进）"/>
    <w:basedOn w:val="760"/>
    <w:uiPriority w:val="0"/>
    <w:qFormat/>
    <w:pPr>
      <w:ind w:firstLine="480"/>
      <w:spacing w:before="156" w:after="156"/>
    </w:pPr>
  </w:style>
  <w:style w:type="paragraph" w:styleId="1012" w:customStyle="1">
    <w:name w:val="Char Char Char Char Char Char Char Char Char"/>
    <w:basedOn w:val="760"/>
    <w:next w:val="996"/>
    <w:uiPriority w:val="99"/>
    <w:qFormat/>
    <w:pPr>
      <w:ind w:left="360" w:firstLine="5784"/>
    </w:pPr>
  </w:style>
  <w:style w:type="paragraph" w:styleId="1013" w:customStyle="1">
    <w:name w:val="正文1"/>
    <w:basedOn w:val="760"/>
    <w:next w:val="1014"/>
    <w:uiPriority w:val="0"/>
    <w:qFormat/>
    <w:pPr>
      <w:jc w:val="left"/>
      <w:spacing w:line="360" w:lineRule="atLeast"/>
    </w:pPr>
    <w:rPr>
      <w:rFonts w:ascii="宋体" w:cs="Arial"/>
      <w:sz w:val="24"/>
      <w:szCs w:val="20"/>
    </w:rPr>
  </w:style>
  <w:style w:type="paragraph" w:styleId="1014" w:customStyle="1">
    <w:name w:val="正文文本1"/>
    <w:basedOn w:val="1013"/>
    <w:next w:val="1015"/>
    <w:uiPriority w:val="0"/>
    <w:qFormat/>
    <w:pPr>
      <w:spacing w:after="120"/>
    </w:pPr>
    <w:rPr>
      <w:lang w:eastAsia="en-US"/>
    </w:rPr>
  </w:style>
  <w:style w:type="paragraph" w:styleId="1015" w:customStyle="1">
    <w:name w:val="一级条标题"/>
    <w:basedOn w:val="1016"/>
    <w:next w:val="10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6" w:customStyle="1">
    <w:name w:val="章标题"/>
    <w:next w:val="76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17" w:customStyle="1">
    <w:name w:val="段"/>
    <w:basedOn w:val="1013"/>
    <w:next w:val="760"/>
    <w:uiPriority w:val="0"/>
    <w:qFormat/>
    <w:pPr>
      <w:ind w:firstLine="200"/>
      <w:widowControl/>
    </w:pPr>
    <w:rPr>
      <w:sz w:val="20"/>
    </w:rPr>
  </w:style>
  <w:style w:type="paragraph" w:styleId="1018" w:customStyle="1">
    <w:name w:val="普通正文"/>
    <w:basedOn w:val="760"/>
    <w:uiPriority w:val="0"/>
    <w:qFormat/>
    <w:pPr>
      <w:ind w:firstLine="480"/>
      <w:jc w:val="left"/>
      <w:spacing w:before="120" w:after="120" w:line="360" w:lineRule="auto"/>
    </w:pPr>
    <w:rPr>
      <w:rFonts w:ascii="Arial" w:hAnsi="Arial"/>
      <w:sz w:val="24"/>
      <w:szCs w:val="24"/>
    </w:rPr>
  </w:style>
  <w:style w:type="paragraph" w:styleId="1019" w:customStyle="1">
    <w:name w:val="Char"/>
    <w:basedOn w:val="760"/>
    <w:uiPriority w:val="0"/>
    <w:qFormat/>
    <w:pPr>
      <w:ind w:firstLine="200"/>
      <w:tabs>
        <w:tab w:val="left" w:pos="360" w:leader="none"/>
      </w:tabs>
    </w:pPr>
    <w:rPr>
      <w:rFonts w:ascii="Times New Roman" w:hAnsi="Times New Roman"/>
      <w:sz w:val="28"/>
      <w:szCs w:val="30"/>
    </w:rPr>
  </w:style>
  <w:style w:type="paragraph" w:styleId="1020" w:customStyle="1">
    <w:name w:val="Table Paragraph"/>
    <w:basedOn w:val="760"/>
    <w:uiPriority w:val="1"/>
    <w:qFormat/>
    <w:rPr>
      <w:rFonts w:ascii="Noto Sans CJK JP Regular" w:hAnsi="Noto Sans CJK JP Regular" w:eastAsia="Noto Sans CJK JP Regular" w:cs="Noto Sans CJK JP Regular"/>
    </w:rPr>
  </w:style>
  <w:style w:type="paragraph" w:styleId="1021" w:customStyle="1">
    <w:name w:val="正文（1）"/>
    <w:basedOn w:val="760"/>
    <w:uiPriority w:val="0"/>
    <w:qFormat/>
    <w:pPr>
      <w:numPr>
        <w:ilvl w:val="0"/>
        <w:numId w:val="1"/>
      </w:numPr>
      <w:ind w:firstLine="200"/>
    </w:pPr>
    <w:rPr>
      <w:szCs w:val="24"/>
    </w:rPr>
  </w:style>
  <w:style w:type="paragraph" w:styleId="1022" w:customStyle="1">
    <w:name w:val="朱-正文"/>
    <w:basedOn w:val="760"/>
    <w:uiPriority w:val="0"/>
    <w:qFormat/>
    <w:pPr>
      <w:ind w:firstLine="200"/>
    </w:pPr>
    <w:rPr>
      <w:rFonts w:ascii="Times New Roman"/>
      <w:color w:val="000000"/>
      <w:szCs w:val="24"/>
      <w:lang w:val="en-GB"/>
    </w:rPr>
  </w:style>
  <w:style w:type="paragraph" w:styleId="1023" w:customStyle="1">
    <w:name w:val="GP正文(首行缩进)"/>
    <w:basedOn w:val="760"/>
    <w:uiPriority w:val="0"/>
    <w:qFormat/>
    <w:pPr>
      <w:ind w:firstLine="480"/>
      <w:jc w:val="left"/>
    </w:pPr>
    <w:rPr>
      <w:rFonts w:ascii="Times New Roman" w:hAnsi="宋体"/>
      <w:sz w:val="24"/>
      <w:szCs w:val="24"/>
    </w:rPr>
  </w:style>
  <w:style w:type="character" w:styleId="1024" w:customStyle="1">
    <w:name w:val="font71"/>
    <w:basedOn w:val="770"/>
    <w:uiPriority w:val="0"/>
    <w:qFormat/>
    <w:rPr>
      <w:rFonts w:hint="eastAsia" w:ascii="宋体" w:hAnsi="宋体" w:eastAsia="宋体" w:cs="宋体"/>
      <w:color w:val="ff0000"/>
      <w:sz w:val="21"/>
      <w:szCs w:val="21"/>
      <w:u w:val="none"/>
    </w:rPr>
  </w:style>
  <w:style w:type="character" w:styleId="1025" w:customStyle="1">
    <w:name w:val="font41"/>
    <w:uiPriority w:val="0"/>
    <w:qFormat/>
    <w:rPr>
      <w:rFonts w:hint="eastAsia" w:ascii="宋体" w:hAnsi="宋体" w:eastAsia="宋体" w:cs="宋体"/>
      <w:color w:val="000000"/>
      <w:sz w:val="21"/>
      <w:szCs w:val="21"/>
      <w:u w:val="none"/>
    </w:rPr>
  </w:style>
  <w:style w:type="paragraph" w:styleId="1026" w:customStyle="1">
    <w:name w:val="列出段落1"/>
    <w:basedOn w:val="760"/>
    <w:uiPriority w:val="0"/>
    <w:qFormat/>
    <w:pPr>
      <w:ind w:firstLine="420"/>
    </w:pPr>
  </w:style>
  <w:style w:type="paragraph" w:styleId="1027" w:customStyle="1">
    <w:name w:val="列出段落2"/>
    <w:basedOn w:val="760"/>
    <w:uiPriority w:val="34"/>
    <w:qFormat/>
    <w:pPr>
      <w:ind w:firstLine="420"/>
    </w:pPr>
    <w:rPr>
      <w:rFonts w:ascii="宋体"/>
      <w:color w:val="404040"/>
    </w:rPr>
  </w:style>
  <w:style w:type="paragraph" w:styleId="1028" w:customStyle="1">
    <w:name w:val="列表段落1"/>
    <w:basedOn w:val="760"/>
    <w:uiPriority w:val="0"/>
    <w:qFormat/>
    <w:pPr>
      <w:ind w:firstLine="200"/>
    </w:pPr>
    <w:rPr>
      <w:rFonts w:cs="宋体"/>
    </w:rPr>
  </w:style>
  <w:style w:type="character" w:styleId="1029" w:customStyle="1">
    <w:name w:val="font51"/>
    <w:uiPriority w:val="0"/>
    <w:qFormat/>
    <w:rPr>
      <w:rFonts w:hint="eastAsia" w:ascii="宋体" w:hAnsi="宋体" w:eastAsia="宋体" w:cs="宋体"/>
      <w:color w:val="000000"/>
      <w:sz w:val="24"/>
      <w:szCs w:val="24"/>
      <w:u w:val="none"/>
      <w:vertAlign w:val="subscript"/>
    </w:rPr>
  </w:style>
  <w:style w:type="character" w:styleId="1030" w:customStyle="1">
    <w:name w:val="font61"/>
    <w:basedOn w:val="770"/>
    <w:uiPriority w:val="0"/>
    <w:qFormat/>
    <w:rPr>
      <w:rFonts w:hint="eastAsia" w:ascii="宋体" w:hAnsi="宋体" w:eastAsia="宋体" w:cs="宋体"/>
      <w:color w:val="000000"/>
      <w:sz w:val="24"/>
      <w:szCs w:val="24"/>
      <w:u w:val="none"/>
    </w:rPr>
  </w:style>
  <w:style w:type="character" w:styleId="1031" w:customStyle="1">
    <w:name w:val="font01"/>
    <w:uiPriority w:val="0"/>
    <w:qFormat/>
    <w:rPr>
      <w:rFonts w:hint="eastAsia" w:ascii="宋体" w:hAnsi="宋体" w:eastAsia="宋体" w:cs="宋体"/>
      <w:color w:val="000000"/>
      <w:sz w:val="24"/>
      <w:szCs w:val="24"/>
      <w:u w:val="none"/>
    </w:rPr>
  </w:style>
  <w:style w:type="character" w:styleId="1032" w:customStyle="1">
    <w:name w:val="font81"/>
    <w:uiPriority w:val="0"/>
    <w:qFormat/>
    <w:rPr>
      <w:rFonts w:ascii="微软雅黑" w:hAnsi="微软雅黑" w:eastAsia="微软雅黑" w:cs="微软雅黑"/>
      <w:color w:val="000000"/>
      <w:sz w:val="24"/>
      <w:szCs w:val="24"/>
      <w:u w:val="none"/>
    </w:rPr>
  </w:style>
  <w:style w:type="character" w:styleId="1033" w:customStyle="1">
    <w:name w:val="font91"/>
    <w:basedOn w:val="770"/>
    <w:uiPriority w:val="0"/>
    <w:qFormat/>
    <w:rPr>
      <w:rFonts w:ascii="Segoe UI Symbol" w:hAnsi="Segoe UI Symbol" w:eastAsia="Segoe UI Symbol" w:cs="Segoe UI Symbol"/>
      <w:color w:val="000000"/>
      <w:sz w:val="24"/>
      <w:szCs w:val="24"/>
      <w:u w:val="none"/>
    </w:rPr>
  </w:style>
  <w:style w:type="character" w:styleId="1034" w:customStyle="1">
    <w:name w:val="font101"/>
    <w:uiPriority w:val="0"/>
    <w:qFormat/>
    <w:rPr>
      <w:rFonts w:ascii="Calibri" w:hAnsi="Calibri" w:cs="Calibri"/>
      <w:color w:val="000000"/>
      <w:sz w:val="24"/>
      <w:szCs w:val="24"/>
      <w:u w:val="none"/>
    </w:rPr>
  </w:style>
  <w:style w:type="paragraph" w:styleId="1035" w:customStyle="1">
    <w:name w:val="TableItem"/>
    <w:uiPriority w:val="0"/>
    <w:qFormat/>
    <w:rPr>
      <w:rFonts w:ascii="Verdana" w:hAnsi="Verdana" w:eastAsia="宋体" w:cs="Verdana"/>
      <w:b/>
      <w:bCs/>
      <w:color w:val="538135"/>
      <w:spacing w:val="-10"/>
      <w:sz w:val="16"/>
      <w:szCs w:val="28"/>
      <w:lang w:val="en-US" w:eastAsia="zh-CN" w:bidi="ar-SA"/>
    </w:rPr>
  </w:style>
  <w:style w:type="paragraph" w:styleId="1036" w:customStyle="1">
    <w:name w:val="TableEmphasis"/>
    <w:basedOn w:val="760"/>
    <w:uiPriority w:val="0"/>
    <w:qFormat/>
    <w:rPr>
      <w:rFonts w:ascii="Times New Roman" w:hAnsi="Times New Roman" w:eastAsia="Times New Roman"/>
      <w:b/>
      <w:bCs/>
      <w:color w:val="3333ff"/>
      <w:sz w:val="16"/>
      <w:szCs w:val="18"/>
    </w:rPr>
  </w:style>
  <w:style w:type="paragraph" w:styleId="1037" w:customStyle="1">
    <w:name w:val="修订1"/>
    <w:uiPriority w:val="99"/>
    <w:unhideWhenUsed/>
    <w:qFormat/>
    <w:rPr>
      <w:rFonts w:ascii="Calibri" w:hAnsi="Calibri" w:eastAsia="宋体" w:cs="Times New Roman"/>
      <w:sz w:val="21"/>
      <w:szCs w:val="22"/>
      <w:lang w:val="en-US" w:eastAsia="zh-CN" w:bidi="ar-SA"/>
    </w:rPr>
  </w:style>
  <w:style w:type="paragraph" w:styleId="1038" w:customStyle="1">
    <w:name w:val="修订2"/>
    <w:uiPriority w:val="99"/>
    <w:semiHidden/>
    <w:qFormat/>
    <w:rPr>
      <w:rFonts w:ascii="Calibri" w:hAnsi="Calibri" w:eastAsia="宋体" w:cs="Times New Roman"/>
      <w:sz w:val="21"/>
      <w:szCs w:val="22"/>
      <w:lang w:val="en-US" w:eastAsia="zh-CN" w:bidi="ar-SA"/>
    </w:rPr>
  </w:style>
  <w:style w:type="character" w:styleId="1039" w:customStyle="1">
    <w:name w:val="font11"/>
    <w:uiPriority w:val="0"/>
    <w:qFormat/>
    <w:rPr>
      <w:rFonts w:hint="eastAsia" w:ascii="宋体" w:hAnsi="宋体" w:eastAsia="宋体" w:cs="宋体"/>
      <w:color w:val="000000"/>
      <w:sz w:val="24"/>
      <w:szCs w:val="24"/>
      <w:u w:val="none"/>
    </w:rPr>
  </w:style>
  <w:style w:type="character" w:styleId="1040" w:customStyle="1">
    <w:name w:val="font21"/>
    <w:uiPriority w:val="0"/>
    <w:qFormat/>
    <w:rPr>
      <w:rFonts w:ascii="Segoe UI Symbol" w:hAnsi="Segoe UI Symbol" w:eastAsia="Segoe UI Symbol" w:cs="Segoe UI Symbol"/>
      <w:color w:val="000000"/>
      <w:sz w:val="24"/>
      <w:szCs w:val="24"/>
      <w:u w:val="none"/>
    </w:rPr>
  </w:style>
  <w:style w:type="character" w:styleId="1041" w:customStyle="1">
    <w:name w:val="NormalCharacter1"/>
    <w:uiPriority w:val="0"/>
    <w:semiHidden/>
    <w:qFormat/>
  </w:style>
  <w:style w:type="character" w:styleId="1042" w:customStyle="1">
    <w:name w:val="font31"/>
    <w:uiPriority w:val="0"/>
    <w:qFormat/>
    <w:rPr>
      <w:rFonts w:hint="eastAsia" w:ascii="宋体" w:hAnsi="宋体" w:eastAsia="宋体" w:cs="宋体"/>
      <w:color w:val="000000"/>
      <w:sz w:val="21"/>
      <w:szCs w:val="21"/>
      <w:u w:val="none"/>
    </w:rPr>
  </w:style>
  <w:style w:type="paragraph" w:styleId="1043" w:customStyle="1">
    <w:name w:val="无间隔1"/>
    <w:uiPriority w:val="1"/>
    <w:qFormat/>
    <w:rPr>
      <w:rFonts w:ascii="Times New Roman" w:hAnsi="Times New Roman" w:eastAsia="宋体" w:cs="Times New Roman"/>
      <w:lang w:val="en-US" w:eastAsia="zh-CN" w:bidi="ar-SA"/>
    </w:rPr>
  </w:style>
  <w:style w:type="paragraph" w:styleId="1044" w:customStyle="1">
    <w:name w:val="索引 41"/>
    <w:basedOn w:val="760"/>
    <w:next w:val="760"/>
    <w:uiPriority w:val="99"/>
    <w:unhideWhenUsed/>
    <w:qFormat/>
    <w:pPr>
      <w:ind w:left="600"/>
    </w:pPr>
    <w:rPr>
      <w:rFonts w:ascii="Verdana" w:hAnsi="Verdana" w:eastAsia="微软雅黑"/>
      <w:szCs w:val="20"/>
    </w:rPr>
  </w:style>
  <w:style w:type="paragraph" w:styleId="1045" w:customStyle="1">
    <w:name w:val="样式 宋体 加粗 居中"/>
    <w:basedOn w:val="760"/>
    <w:uiPriority w:val="0"/>
    <w:qFormat/>
    <w:pPr>
      <w:jc w:val="center"/>
    </w:pPr>
    <w:rPr>
      <w:rFonts w:ascii="宋体" w:hAnsi="宋体" w:cs="宋体"/>
      <w:b/>
      <w:bCs/>
      <w:sz w:val="32"/>
      <w:szCs w:val="20"/>
    </w:rPr>
  </w:style>
  <w:style w:type="character" w:styleId="1046" w:customStyle="1">
    <w:name w:val="font151"/>
    <w:basedOn w:val="770"/>
    <w:uiPriority w:val="0"/>
    <w:qFormat/>
    <w:rPr>
      <w:rFonts w:hint="eastAsia" w:ascii="宋体" w:hAnsi="宋体" w:eastAsia="宋体" w:cs="宋体"/>
      <w:color w:val="000000"/>
      <w:sz w:val="24"/>
      <w:szCs w:val="24"/>
      <w:u w:val="none"/>
    </w:rPr>
  </w:style>
  <w:style w:type="character" w:styleId="1047" w:customStyle="1">
    <w:name w:val="font161"/>
    <w:basedOn w:val="770"/>
    <w:uiPriority w:val="0"/>
    <w:qFormat/>
    <w:rPr>
      <w:rFonts w:hint="eastAsia" w:ascii="宋体" w:hAnsi="宋体" w:eastAsia="宋体" w:cs="宋体"/>
      <w:color w:val="000000"/>
      <w:sz w:val="24"/>
      <w:szCs w:val="24"/>
      <w:u w:val="none"/>
    </w:rPr>
  </w:style>
  <w:style w:type="character" w:styleId="1048" w:customStyle="1">
    <w:name w:val="font171"/>
    <w:basedOn w:val="770"/>
    <w:uiPriority w:val="0"/>
    <w:qFormat/>
    <w:rPr>
      <w:rFonts w:hint="eastAsia" w:ascii="宋体" w:hAnsi="宋体" w:eastAsia="宋体" w:cs="宋体"/>
      <w:color w:val="000000"/>
      <w:sz w:val="24"/>
      <w:szCs w:val="24"/>
      <w:u w:val="none"/>
    </w:rPr>
  </w:style>
  <w:style w:type="character" w:styleId="1049" w:customStyle="1">
    <w:name w:val="批注框文本 字符"/>
    <w:basedOn w:val="770"/>
    <w:link w:val="785"/>
    <w:uiPriority w:val="99"/>
    <w:semiHidden/>
    <w:qFormat/>
    <w:rPr>
      <w:rFonts w:ascii="Calibri" w:hAnsi="Calibri"/>
      <w:sz w:val="18"/>
      <w:szCs w:val="18"/>
    </w:rPr>
  </w:style>
  <w:style w:type="character" w:styleId="1050" w:customStyle="1">
    <w:name w:val="批注文字 字符"/>
    <w:basedOn w:val="770"/>
    <w:link w:val="775"/>
    <w:uiPriority w:val="99"/>
    <w:semiHidden/>
    <w:qFormat/>
    <w:rPr>
      <w:rFonts w:ascii="Calibri" w:hAnsi="Calibri"/>
      <w:sz w:val="21"/>
      <w:szCs w:val="22"/>
    </w:rPr>
  </w:style>
  <w:style w:type="character" w:styleId="1051" w:customStyle="1">
    <w:name w:val="批注主题 字符"/>
    <w:basedOn w:val="1050"/>
    <w:link w:val="799"/>
    <w:uiPriority w:val="99"/>
    <w:semiHidden/>
    <w:qFormat/>
    <w:rPr>
      <w:rFonts w:ascii="Calibri" w:hAnsi="Calibri"/>
      <w:b/>
      <w:bCs/>
      <w:sz w:val="21"/>
      <w:szCs w:val="22"/>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jp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jpg"/><Relationship Id="rId25" Type="http://schemas.openxmlformats.org/officeDocument/2006/relationships/image" Target="media/image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袁玲</cp:lastModifiedBy>
  <cp:revision>21</cp:revision>
  <dcterms:created xsi:type="dcterms:W3CDTF">2026-05-22T02:25:00Z</dcterms:created>
  <dcterms:modified xsi:type="dcterms:W3CDTF">2026-06-02T07:26:15Z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3E56090843B4425CAAD772BC098C1F98_13</vt:lpwstr>
  </property>
  <property fmtid="{D5CDD505-2E9C-101B-9397-08002B2CF9AE}" pid="4" name="KSOTemplateDocerSaveRecord">
    <vt:lpwstr>eyJoZGlkIjoiYzlhYWJmYTFiOTE3Y2Q1NzVhMDM3NDFhNjVlYWRkY2YiLCJ1c2VySWQiOiIxNDI3MTIwNTU1In0=</vt:lpwstr>
  </property>
</Properties>
</file>