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auto"/>
          <w:sz w:val="36"/>
          <w:highlight w:val="none"/>
        </w:rPr>
      </w:pPr>
      <w:r>
        <w:rPr>
          <w:rFonts w:ascii="宋体" w:hAnsi="宋体"/>
          <w:color w:val="auto"/>
          <w:sz w:val="36"/>
          <w:highlight w:val="none"/>
        </w:rPr>
      </w:r>
      <w:r/>
    </w:p>
    <w:p>
      <w:pPr>
        <w:jc w:val="right"/>
        <w:keepLines w:val="0"/>
        <w:keepNext w:val="0"/>
        <w:pageBreakBefore w:val="0"/>
        <w:spacing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编号</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u w:val="single"/>
          <w:lang w:val="en-US" w:eastAsia="zh-CN"/>
        </w:rPr>
        <w:t xml:space="preserve">JSZC-321012-JSZC-G2026-0015</w:t>
      </w:r>
      <w:r/>
    </w:p>
    <w:p>
      <w:pPr>
        <w:jc w:val="center"/>
        <w:keepLines w:val="0"/>
        <w:keepNext w:val="0"/>
        <w:pageBreakBefore w:val="0"/>
        <w:spacing w:line="360" w:lineRule="auto"/>
        <w:widowControl w:val="off"/>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r>
      <w:r/>
    </w:p>
    <w:p>
      <w:pPr>
        <w:pStyle w:val="959"/>
        <w:jc w:val="center"/>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t xml:space="preserve">江苏省江都中学新校区实验室仪器采购项目</w:t>
      </w:r>
      <w:r/>
    </w:p>
    <w:p>
      <w:pPr>
        <w:pStyle w:val="959"/>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r>
      <w:r/>
    </w:p>
    <w:p>
      <w:pPr>
        <w:jc w:val="center"/>
        <w:rPr>
          <w:rFonts w:ascii="宋体" w:hAnsi="宋体"/>
          <w:color w:val="auto"/>
          <w:sz w:val="36"/>
          <w:highlight w:val="none"/>
        </w:rPr>
      </w:pPr>
      <w:r>
        <w:rPr>
          <w:rFonts w:ascii="宋体" w:hAnsi="宋体"/>
          <w:color w:val="auto"/>
          <w:sz w:val="36"/>
          <w:highlight w:val="none"/>
        </w:rPr>
      </w:r>
      <w:r/>
    </w:p>
    <w:p>
      <w:pPr>
        <w:jc w:val="center"/>
        <w:rPr>
          <w:rFonts w:hint="eastAsia" w:asciiTheme="majorEastAsia" w:hAnsiTheme="majorEastAsia" w:eastAsiaTheme="majorEastAsia" w:cstheme="majorEastAsia"/>
          <w:color w:val="auto"/>
          <w:sz w:val="36"/>
          <w:szCs w:val="36"/>
          <w:highlight w:val="none"/>
        </w:rPr>
      </w:pPr>
      <w:r>
        <w:rPr>
          <w:rFonts w:hint="eastAsia" w:ascii="宋体" w:hAnsi="宋体"/>
          <w:color w:val="auto"/>
          <w:sz w:val="20"/>
          <w:szCs w:val="20"/>
          <w:highlight w:val="none"/>
        </w:rPr>
        <mc:AlternateContent>
          <mc:Choice Requires="wpg">
            <w:drawing>
              <wp:inline xmlns:wp="http://schemas.openxmlformats.org/drawingml/2006/wordprocessingDrawing" distT="0" distB="0" distL="0" distR="0">
                <wp:extent cx="1922780" cy="3279775"/>
                <wp:effectExtent l="0" t="0" r="1270" b="15875"/>
                <wp:docPr id="3" name="图片 2" descr="志诚标志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志诚标志3"/>
                        <pic:cNvPicPr>
                          <a:picLocks noChangeAspect="1"/>
                        </pic:cNvPicPr>
                        <pic:nvPr/>
                      </pic:nvPicPr>
                      <pic:blipFill>
                        <a:blip r:embed="rId18"/>
                        <a:stretch/>
                      </pic:blipFill>
                      <pic:spPr bwMode="auto">
                        <a:xfrm>
                          <a:off x="0" y="0"/>
                          <a:ext cx="1922780" cy="3279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1.4pt;height:258.2pt;mso-wrap-distance-left:0.0pt;mso-wrap-distance-top:0.0pt;mso-wrap-distance-right:0.0pt;mso-wrap-distance-bottom:0.0pt;" stroked="f">
                <v:path textboxrect="0,0,0,0"/>
                <v:imagedata r:id="rId18" o:title=""/>
              </v:shape>
            </w:pict>
          </mc:Fallback>
        </mc:AlternateContent>
      </w:r>
      <w:r/>
    </w:p>
    <w:p>
      <w:pPr>
        <w:pStyle w:val="968"/>
        <w:ind w:left="0" w:firstLine="0"/>
        <w:jc w:val="center"/>
        <w:rPr>
          <w:color w:val="auto"/>
          <w:sz w:val="52"/>
          <w:szCs w:val="52"/>
          <w:highlight w:val="none"/>
        </w:rPr>
      </w:pPr>
      <w:r>
        <w:rPr>
          <w:color w:val="auto"/>
          <w:sz w:val="52"/>
          <w:szCs w:val="52"/>
          <w:highlight w:val="none"/>
        </w:rPr>
      </w:r>
      <w:r/>
    </w:p>
    <w:p>
      <w:pPr>
        <w:pStyle w:val="968"/>
        <w:rPr>
          <w:color w:val="auto"/>
          <w:highlight w:val="none"/>
        </w:rPr>
      </w:pPr>
      <w:r>
        <w:rPr>
          <w:color w:val="auto"/>
          <w:highlight w:val="none"/>
        </w:rPr>
      </w:r>
      <w:r/>
    </w:p>
    <w:p>
      <w:pPr>
        <w:ind w:right="934" w:firstLine="1600"/>
        <w:jc w:val="both"/>
        <w:keepLines w:val="0"/>
        <w:keepNext w:val="0"/>
        <w:pageBreakBefore w:val="0"/>
        <w:spacing w:line="360" w:lineRule="auto"/>
        <w:widowControl w:val="off"/>
        <w:rPr>
          <w:rFonts w:hint="default" w:ascii="宋体" w:hAnsi="宋体" w:eastAsia="宋体"/>
          <w:color w:val="auto"/>
          <w:sz w:val="32"/>
          <w:szCs w:val="32"/>
          <w:highlight w:val="none"/>
          <w:lang w:val="en-US" w:eastAsia="zh-CN"/>
        </w:rPr>
      </w:pPr>
      <w:r>
        <w:rPr>
          <w:rFonts w:hint="eastAsia" w:ascii="宋体" w:hAnsi="宋体"/>
          <w:color w:val="auto"/>
          <w:sz w:val="32"/>
          <w:szCs w:val="32"/>
          <w:highlight w:val="none"/>
        </w:rPr>
        <w:t xml:space="preserve">采</w:t>
      </w:r>
      <w:r>
        <w:rPr>
          <w:rFonts w:hint="eastAsia" w:ascii="宋体" w:hAnsi="宋体"/>
          <w:color w:val="auto"/>
          <w:sz w:val="32"/>
          <w:szCs w:val="32"/>
          <w:highlight w:val="none"/>
          <w:lang w:val="en-US" w:eastAsia="zh-CN"/>
        </w:rPr>
        <w:t xml:space="preserve"> </w:t>
      </w:r>
      <w:r>
        <w:rPr>
          <w:rFonts w:hint="eastAsia" w:ascii="宋体" w:hAnsi="宋体"/>
          <w:color w:val="auto"/>
          <w:sz w:val="32"/>
          <w:szCs w:val="32"/>
          <w:highlight w:val="none"/>
        </w:rPr>
        <w:t xml:space="preserve">购</w:t>
      </w:r>
      <w:r>
        <w:rPr>
          <w:rFonts w:hint="eastAsia" w:ascii="宋体" w:hAnsi="宋体"/>
          <w:color w:val="auto"/>
          <w:sz w:val="32"/>
          <w:szCs w:val="32"/>
          <w:highlight w:val="none"/>
          <w:lang w:val="en-US" w:eastAsia="zh-CN"/>
        </w:rPr>
        <w:t xml:space="preserve"> </w:t>
      </w:r>
      <w:r>
        <w:rPr>
          <w:rFonts w:hint="eastAsia" w:ascii="宋体" w:hAnsi="宋体"/>
          <w:color w:val="auto"/>
          <w:sz w:val="32"/>
          <w:szCs w:val="32"/>
          <w:highlight w:val="none"/>
        </w:rPr>
        <w:t xml:space="preserve">人：</w:t>
      </w:r>
      <w:r>
        <w:rPr>
          <w:rFonts w:hint="eastAsia" w:ascii="宋体" w:hAnsi="宋体"/>
          <w:color w:val="auto"/>
          <w:sz w:val="32"/>
          <w:szCs w:val="32"/>
          <w:highlight w:val="none"/>
          <w:lang w:eastAsia="zh-CN"/>
        </w:rPr>
        <w:t xml:space="preserve">扬州市江都区教育局</w:t>
      </w:r>
      <w:r/>
    </w:p>
    <w:p>
      <w:pPr>
        <w:ind w:left="0" w:right="934" w:firstLine="838"/>
        <w:jc w:val="both"/>
        <w:keepLines w:val="0"/>
        <w:keepNext w:val="0"/>
        <w:pageBreakBefore w:val="0"/>
        <w:spacing w:line="360" w:lineRule="auto"/>
        <w:widowControl w:val="off"/>
        <w:rPr>
          <w:rFonts w:hint="eastAsia" w:ascii="宋体" w:hAnsi="宋体"/>
          <w:color w:val="auto"/>
          <w:sz w:val="32"/>
          <w:szCs w:val="32"/>
          <w:highlight w:val="none"/>
          <w:lang w:eastAsia="zh-CN"/>
        </w:rPr>
      </w:pPr>
      <w:r>
        <w:rPr>
          <w:rFonts w:hint="eastAsia" w:ascii="宋体" w:hAnsi="宋体"/>
          <w:color w:val="auto"/>
          <w:sz w:val="32"/>
          <w:szCs w:val="32"/>
          <w:highlight w:val="none"/>
        </w:rPr>
        <w:t xml:space="preserve">代理机构：</w:t>
      </w:r>
      <w:r>
        <w:rPr>
          <w:rFonts w:hint="eastAsia" w:ascii="宋体" w:hAnsi="宋体"/>
          <w:color w:val="auto"/>
          <w:sz w:val="32"/>
          <w:szCs w:val="32"/>
          <w:highlight w:val="none"/>
          <w:lang w:eastAsia="zh-CN"/>
        </w:rPr>
        <w:t xml:space="preserve">江苏志诚工程咨询管理有限公司</w:t>
      </w:r>
      <w:r/>
    </w:p>
    <w:p>
      <w:pPr>
        <w:ind w:left="0" w:right="934" w:firstLine="720"/>
        <w:jc w:val="center"/>
        <w:keepLines w:val="0"/>
        <w:keepNext w:val="0"/>
        <w:pageBreakBefore w:val="0"/>
        <w:spacing w:line="360" w:lineRule="auto"/>
        <w:widowControl w:val="off"/>
        <w:rPr>
          <w:rFonts w:hint="eastAsia" w:ascii="宋体" w:hAnsi="宋体" w:eastAsia="宋体" w:cs="Times New Roman"/>
          <w:color w:val="auto"/>
          <w:sz w:val="32"/>
          <w:szCs w:val="32"/>
          <w:highlight w:val="none"/>
          <w:lang w:val="en-US" w:eastAsia="zh-CN"/>
        </w:rPr>
        <w:sectPr>
          <w:headerReference w:type="default" r:id="rId9"/>
          <w:headerReference w:type="first" r:id="rId10"/>
          <w:footerReference w:type="default" r:id="rId12"/>
          <w:footerReference w:type="first" r:id="rId13"/>
          <w:footnotePr/>
          <w:endnotePr/>
          <w:type w:val="nextPage"/>
          <w:pgSz w:w="11906" w:h="16838" w:orient="portrait"/>
          <w:pgMar w:top="1440" w:right="1800" w:bottom="1440" w:left="1800" w:header="851" w:footer="850" w:gutter="0"/>
          <w:pgNumType w:start="1"/>
          <w:cols w:num="1" w:sep="0" w:space="720" w:equalWidth="1"/>
          <w:docGrid w:linePitch="360"/>
          <w:titlePg/>
        </w:sectPr>
      </w:pPr>
      <w:r>
        <w:rPr>
          <w:rFonts w:hint="eastAsia" w:ascii="宋体" w:hAnsi="宋体" w:eastAsia="宋体" w:cs="Times New Roman"/>
          <w:color w:val="auto"/>
          <w:sz w:val="32"/>
          <w:szCs w:val="32"/>
          <w:highlight w:val="none"/>
          <w:lang w:val="en-US" w:eastAsia="zh-CN"/>
        </w:rPr>
        <w:t xml:space="preserve">二〇二</w:t>
      </w:r>
      <w:r>
        <w:rPr>
          <w:rFonts w:hint="eastAsia" w:ascii="宋体" w:hAnsi="宋体" w:cs="Times New Roman"/>
          <w:color w:val="auto"/>
          <w:sz w:val="32"/>
          <w:szCs w:val="32"/>
          <w:highlight w:val="none"/>
          <w:lang w:val="en-US" w:eastAsia="zh-CN"/>
        </w:rPr>
        <w:t xml:space="preserve">六</w:t>
      </w:r>
      <w:r>
        <w:rPr>
          <w:rFonts w:hint="eastAsia" w:ascii="宋体" w:hAnsi="宋体" w:eastAsia="宋体" w:cs="Times New Roman"/>
          <w:color w:val="auto"/>
          <w:sz w:val="32"/>
          <w:szCs w:val="32"/>
          <w:highlight w:val="none"/>
          <w:lang w:val="en-US" w:eastAsia="zh-CN"/>
        </w:rPr>
        <w:t xml:space="preserve">年</w:t>
      </w:r>
      <w:r>
        <w:rPr>
          <w:rFonts w:hint="eastAsia" w:ascii="宋体" w:hAnsi="宋体" w:cs="Times New Roman"/>
          <w:color w:val="auto"/>
          <w:sz w:val="32"/>
          <w:szCs w:val="32"/>
          <w:highlight w:val="none"/>
          <w:lang w:val="en-US" w:eastAsia="zh-CN"/>
        </w:rPr>
        <w:t xml:space="preserve">三</w:t>
      </w:r>
      <w:r>
        <w:rPr>
          <w:rFonts w:hint="eastAsia" w:ascii="宋体" w:hAnsi="宋体" w:eastAsia="宋体" w:cs="Times New Roman"/>
          <w:color w:val="auto"/>
          <w:sz w:val="32"/>
          <w:szCs w:val="32"/>
          <w:highlight w:val="none"/>
          <w:lang w:val="en-US" w:eastAsia="zh-CN"/>
        </w:rPr>
        <w:t xml:space="preserve">月</w:t>
      </w:r>
      <w:r/>
    </w:p>
    <w:p>
      <w:pPr>
        <w:jc w:val="center"/>
        <w:spacing w:line="360" w:lineRule="auto"/>
        <w:rPr>
          <w:rFonts w:ascii="宋体" w:hAnsi="宋体"/>
          <w:b/>
          <w:bCs/>
          <w:color w:val="auto"/>
          <w:sz w:val="44"/>
          <w:szCs w:val="44"/>
          <w:highlight w:val="none"/>
        </w:rPr>
      </w:pPr>
      <w:r>
        <w:rPr>
          <w:rFonts w:hint="eastAsia" w:ascii="宋体" w:hAnsi="宋体"/>
          <w:b/>
          <w:bCs/>
          <w:color w:val="auto"/>
          <w:sz w:val="44"/>
          <w:szCs w:val="44"/>
          <w:highlight w:val="none"/>
        </w:rPr>
        <w:t xml:space="preserve">目 录</w:t>
      </w:r>
      <w:r/>
    </w:p>
    <w:p>
      <w:pPr>
        <w:pStyle w:val="795"/>
        <w:spacing w:line="360" w:lineRule="auto"/>
        <w:tabs>
          <w:tab w:val="right" w:pos="8296" w:leader="dot"/>
        </w:tabs>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795"/>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TOC \o "1-3" \f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en-US" w:eastAsia="zh-CN"/>
        </w:rPr>
        <w:t xml:space="preserve">第一章 招标公告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_Toc20022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rPr>
        <w:fldChar w:fldCharType="end"/>
      </w:r>
      <w:r/>
    </w:p>
    <w:p>
      <w:pPr>
        <w:pStyle w:val="795"/>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val="en-US" w:eastAsia="zh-CN"/>
        </w:rPr>
        <w:t xml:space="preserve">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_Toc25750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rPr>
        <w:fldChar w:fldCharType="end"/>
      </w:r>
      <w:r/>
    </w:p>
    <w:p>
      <w:pPr>
        <w:pStyle w:val="795"/>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val="en-US" w:eastAsia="zh-CN"/>
        </w:rPr>
        <w:t xml:space="preserve">第三章 合同条款及格式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_Toc16060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17</w:t>
      </w:r>
      <w:r>
        <w:rPr>
          <w:rFonts w:hint="eastAsia" w:ascii="宋体" w:hAnsi="宋体" w:eastAsia="宋体" w:cs="宋体"/>
          <w:color w:val="auto"/>
          <w:sz w:val="28"/>
          <w:szCs w:val="28"/>
          <w:highlight w:val="none"/>
        </w:rPr>
        <w:fldChar w:fldCharType="end"/>
      </w:r>
      <w:r/>
    </w:p>
    <w:p>
      <w:pPr>
        <w:pStyle w:val="795"/>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val="en-US" w:eastAsia="zh-CN"/>
        </w:rPr>
        <w:t xml:space="preserve">第四章 项目需求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_Toc22063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24</w:t>
      </w:r>
      <w:r>
        <w:rPr>
          <w:rFonts w:hint="eastAsia" w:ascii="宋体" w:hAnsi="宋体" w:eastAsia="宋体" w:cs="宋体"/>
          <w:color w:val="auto"/>
          <w:sz w:val="28"/>
          <w:szCs w:val="28"/>
          <w:highlight w:val="none"/>
        </w:rPr>
        <w:fldChar w:fldCharType="end"/>
      </w:r>
      <w:r/>
    </w:p>
    <w:p>
      <w:pPr>
        <w:pStyle w:val="795"/>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val="en-US" w:eastAsia="zh-CN"/>
        </w:rPr>
        <w:t xml:space="preserve">第五章 评标方法及评标标准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_Toc25878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27</w:t>
      </w:r>
      <w:r>
        <w:rPr>
          <w:rFonts w:hint="eastAsia" w:ascii="宋体" w:hAnsi="宋体" w:eastAsia="宋体" w:cs="宋体"/>
          <w:color w:val="auto"/>
          <w:sz w:val="28"/>
          <w:szCs w:val="28"/>
          <w:highlight w:val="none"/>
        </w:rPr>
        <w:fldChar w:fldCharType="end"/>
      </w:r>
      <w:r/>
    </w:p>
    <w:p>
      <w:pPr>
        <w:pStyle w:val="795"/>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val="en-US" w:eastAsia="zh-CN"/>
        </w:rPr>
        <w:t xml:space="preserve">第六章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_Toc9166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30</w:t>
      </w:r>
      <w:r>
        <w:rPr>
          <w:rFonts w:hint="eastAsia" w:ascii="宋体" w:hAnsi="宋体" w:eastAsia="宋体" w:cs="宋体"/>
          <w:color w:val="auto"/>
          <w:sz w:val="28"/>
          <w:szCs w:val="28"/>
          <w:highlight w:val="none"/>
        </w:rPr>
        <w:fldChar w:fldCharType="end"/>
      </w:r>
      <w:r/>
    </w:p>
    <w:p>
      <w:pPr>
        <w:spacing w:line="360" w:lineRule="auto"/>
        <w:rPr>
          <w:rFonts w:ascii="宋体" w:hAnsi="宋体"/>
          <w:color w:val="auto"/>
          <w:sz w:val="28"/>
          <w:highlight w:val="none"/>
        </w:rPr>
      </w:pPr>
      <w:r>
        <w:rPr>
          <w:rFonts w:hint="eastAsia" w:ascii="宋体" w:hAnsi="宋体" w:eastAsia="宋体" w:cs="宋体"/>
          <w:color w:val="auto"/>
          <w:sz w:val="28"/>
          <w:szCs w:val="28"/>
          <w:highlight w:val="none"/>
        </w:rPr>
        <w:fldChar w:fldCharType="end"/>
      </w:r>
      <w:r/>
    </w:p>
    <w:p>
      <w:pPr>
        <w:pStyle w:val="769"/>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sectPr>
          <w:headerReference w:type="default" r:id="rId11"/>
          <w:footerReference w:type="default" r:id="rId14"/>
          <w:footnotePr/>
          <w:endnotePr/>
          <w:type w:val="nextPage"/>
          <w:pgSz w:w="11906" w:h="16838" w:orient="portrait"/>
          <w:pgMar w:top="1440" w:right="1800" w:bottom="1440" w:left="1800" w:header="851" w:footer="850" w:gutter="0"/>
          <w:cols w:num="1" w:sep="0" w:space="720" w:equalWidth="1"/>
          <w:docGrid w:linePitch="360"/>
        </w:sectPr>
      </w:pPr>
      <w:r/>
      <w:bookmarkStart w:id="0" w:name="_Toc55204177"/>
      <w:r/>
      <w:r/>
    </w:p>
    <w:p>
      <w:pPr>
        <w:pStyle w:val="769"/>
        <w:jc w:val="center"/>
        <w:keepLines/>
        <w:keepNext/>
        <w:pageBreakBefore w:val="0"/>
        <w:spacing w:before="0" w:after="0" w:line="360" w:lineRule="auto"/>
        <w:widowControl w:val="off"/>
        <w:rPr>
          <w:rFonts w:hint="eastAsia" w:ascii="宋体" w:hAnsi="宋体" w:eastAsia="宋体" w:cs="Times New Roman"/>
          <w:b/>
          <w:bCs/>
          <w:color w:val="auto"/>
          <w:sz w:val="28"/>
          <w:szCs w:val="28"/>
          <w:highlight w:val="none"/>
          <w:lang w:val="en-US" w:eastAsia="zh-CN"/>
        </w:rPr>
      </w:pPr>
      <w:r/>
      <w:bookmarkStart w:id="1" w:name="_Toc20022"/>
      <w:r>
        <w:rPr>
          <w:rFonts w:hint="eastAsia" w:ascii="宋体" w:hAnsi="宋体" w:eastAsia="宋体" w:cs="Times New Roman"/>
          <w:b/>
          <w:bCs/>
          <w:color w:val="auto"/>
          <w:sz w:val="28"/>
          <w:szCs w:val="28"/>
          <w:highlight w:val="none"/>
          <w:lang w:val="en-US" w:eastAsia="zh-CN"/>
        </w:rPr>
        <w:t xml:space="preserve">第一章 </w:t>
      </w:r>
      <w:r>
        <w:rPr>
          <w:rFonts w:hint="eastAsia" w:ascii="宋体" w:hAnsi="宋体" w:cs="Times New Roman"/>
          <w:b/>
          <w:bCs/>
          <w:color w:val="auto"/>
          <w:sz w:val="28"/>
          <w:szCs w:val="28"/>
          <w:highlight w:val="none"/>
          <w:lang w:val="en-US" w:eastAsia="zh-CN"/>
        </w:rPr>
        <w:t xml:space="preserve">江苏志诚工程咨询管理有限公司</w:t>
      </w:r>
      <w:r>
        <w:rPr>
          <w:rFonts w:hint="eastAsia" w:ascii="宋体" w:hAnsi="宋体" w:eastAsia="宋体" w:cs="Times New Roman"/>
          <w:b/>
          <w:bCs/>
          <w:color w:val="auto"/>
          <w:sz w:val="28"/>
          <w:szCs w:val="28"/>
          <w:highlight w:val="none"/>
          <w:lang w:val="en-US" w:eastAsia="zh-CN"/>
        </w:rPr>
        <w:t xml:space="preserve">关于</w:t>
      </w:r>
      <w:r>
        <w:rPr>
          <w:rFonts w:hint="eastAsia" w:ascii="宋体" w:hAnsi="宋体" w:cs="Times New Roman"/>
          <w:b/>
          <w:bCs/>
          <w:color w:val="auto"/>
          <w:sz w:val="28"/>
          <w:szCs w:val="28"/>
          <w:highlight w:val="none"/>
          <w:lang w:val="en-US" w:eastAsia="zh-CN"/>
        </w:rPr>
        <w:t xml:space="preserve">江苏省江都中学新校区实验室仪器采购</w:t>
      </w:r>
      <w:r>
        <w:rPr>
          <w:rFonts w:hint="eastAsia" w:ascii="宋体" w:hAnsi="宋体" w:eastAsia="宋体" w:cs="Times New Roman"/>
          <w:b/>
          <w:bCs/>
          <w:color w:val="auto"/>
          <w:sz w:val="28"/>
          <w:szCs w:val="28"/>
          <w:highlight w:val="none"/>
          <w:lang w:val="en-US" w:eastAsia="zh-CN"/>
        </w:rPr>
        <w:t xml:space="preserve">的招标公告</w:t>
      </w:r>
      <w:bookmarkEnd w:id="0"/>
      <w:r/>
      <w:bookmarkEnd w:id="1"/>
      <w:r/>
      <w:r/>
    </w:p>
    <w:p>
      <w:pPr>
        <w:ind w:firstLine="420"/>
        <w:spacing w:line="360" w:lineRule="auto"/>
        <w:tabs>
          <w:tab w:val="left" w:pos="266" w:leader="none"/>
        </w:tabs>
        <w:rPr>
          <w:rFonts w:ascii="宋体" w:hAnsi="宋体" w:cs="宋体"/>
          <w:color w:val="auto"/>
          <w:szCs w:val="21"/>
          <w:highlight w:val="none"/>
        </w:rPr>
      </w:pPr>
      <w:r>
        <w:rPr>
          <w:rFonts w:hint="eastAsia" w:ascii="宋体" w:hAnsi="宋体" w:cs="宋体"/>
          <w:color w:val="auto"/>
          <w:highlight w:val="none"/>
        </w:rPr>
        <w:t xml:space="preserve">受</w:t>
      </w:r>
      <w:r>
        <w:rPr>
          <w:rFonts w:hint="eastAsia" w:ascii="宋体" w:hAnsi="宋体" w:cs="宋体"/>
          <w:color w:val="auto"/>
          <w:highlight w:val="none"/>
          <w:lang w:val="en-US" w:eastAsia="zh-CN"/>
        </w:rPr>
        <w:t xml:space="preserve">扬州市江都区教育局</w:t>
      </w:r>
      <w:r>
        <w:rPr>
          <w:rFonts w:hint="eastAsia" w:ascii="宋体" w:hAnsi="宋体" w:eastAsia="宋体" w:cs="宋体"/>
          <w:color w:val="auto"/>
          <w:highlight w:val="none"/>
          <w:lang w:val="en-US" w:eastAsia="zh-CN"/>
        </w:rPr>
        <w:t xml:space="preserve">的委托，</w:t>
      </w:r>
      <w:r>
        <w:rPr>
          <w:rFonts w:hint="eastAsia" w:ascii="宋体" w:hAnsi="宋体" w:cs="宋体"/>
          <w:color w:val="auto"/>
          <w:highlight w:val="none"/>
          <w:lang w:val="en-US" w:eastAsia="zh-CN"/>
        </w:rPr>
        <w:t xml:space="preserve">江苏志诚工程咨询管理有限公司</w:t>
      </w:r>
      <w:r>
        <w:rPr>
          <w:rFonts w:hint="eastAsia" w:ascii="宋体" w:hAnsi="宋体" w:eastAsia="宋体" w:cs="宋体"/>
          <w:color w:val="auto"/>
          <w:highlight w:val="none"/>
          <w:lang w:val="en-US" w:eastAsia="zh-CN"/>
        </w:rPr>
        <w:t xml:space="preserve">就</w:t>
      </w:r>
      <w:r>
        <w:rPr>
          <w:rFonts w:hint="eastAsia" w:ascii="宋体" w:hAnsi="宋体" w:cs="宋体"/>
          <w:color w:val="auto"/>
          <w:highlight w:val="none"/>
          <w:lang w:val="en-US" w:eastAsia="zh-CN"/>
        </w:rPr>
        <w:t xml:space="preserve">江苏省江都中学新校区实验室仪器采购项目</w:t>
      </w:r>
      <w:r>
        <w:rPr>
          <w:rFonts w:hint="eastAsia" w:ascii="宋体" w:hAnsi="宋体" w:eastAsia="宋体" w:cs="宋体"/>
          <w:color w:val="auto"/>
          <w:highlight w:val="none"/>
          <w:lang w:val="en-US" w:eastAsia="zh-CN"/>
        </w:rPr>
        <w:t xml:space="preserve">进</w:t>
      </w:r>
      <w:r>
        <w:rPr>
          <w:rFonts w:hint="eastAsia" w:ascii="宋体" w:hAnsi="宋体" w:cs="宋体"/>
          <w:color w:val="auto"/>
          <w:highlight w:val="none"/>
        </w:rPr>
        <w:t xml:space="preserve">行公开招标采购，欢迎符合条件的供应商投标。</w:t>
      </w:r>
      <w:r/>
    </w:p>
    <w:p>
      <w:pPr>
        <w:ind w:firstLine="422"/>
        <w:spacing w:line="360" w:lineRule="auto"/>
        <w:rPr>
          <w:rFonts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spacing w:line="360"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u w:val="single"/>
          <w:lang w:val="en-US" w:eastAsia="zh-CN"/>
        </w:rPr>
        <w:t xml:space="preserve">江苏省江都中学新校区实验室仪器采购项目</w:t>
      </w:r>
      <w:r>
        <w:rPr>
          <w:rFonts w:hint="eastAsia" w:ascii="宋体" w:hAnsi="宋体" w:cs="宋体"/>
          <w:color w:val="auto"/>
          <w:highlight w:val="none"/>
        </w:rPr>
        <w:t xml:space="preserve">招标项目的潜在投标人可在</w:t>
      </w:r>
      <w:r>
        <w:rPr>
          <w:rFonts w:hint="eastAsia" w:ascii="宋体" w:hAnsi="宋体" w:eastAsia="宋体" w:cs="宋体"/>
          <w:bCs/>
          <w:color w:val="auto"/>
          <w:szCs w:val="21"/>
          <w:highlight w:val="none"/>
          <w:u w:val="single"/>
          <w:lang w:val="en-US" w:eastAsia="zh-CN"/>
        </w:rPr>
        <w:t xml:space="preserve">“扬州市政府采购网”、“江苏省政府采购网”、“中国政府采购网”和“苏采云”系统</w:t>
      </w:r>
      <w:r>
        <w:rPr>
          <w:rFonts w:hint="eastAsia" w:ascii="宋体" w:hAnsi="宋体" w:cs="宋体"/>
          <w:color w:val="auto"/>
          <w:szCs w:val="21"/>
          <w:highlight w:val="none"/>
          <w:u w:val="none"/>
        </w:rPr>
        <w:t xml:space="preserve">自行免费下载</w:t>
      </w:r>
      <w:r>
        <w:rPr>
          <w:rFonts w:hint="eastAsia" w:ascii="宋体" w:hAnsi="宋体" w:cs="宋体"/>
          <w:color w:val="auto"/>
          <w:highlight w:val="none"/>
        </w:rPr>
        <w:t xml:space="preserve">招标文件，并于</w:t>
      </w:r>
      <w:r>
        <w:rPr>
          <w:rFonts w:hint="eastAsia" w:ascii="宋体" w:hAnsi="宋体" w:cs="宋体"/>
          <w:bCs/>
          <w:color w:val="auto"/>
          <w:highlight w:val="none"/>
          <w:u w:val="single"/>
          <w:lang w:val="en-US" w:eastAsia="zh-CN"/>
        </w:rPr>
        <w:t xml:space="preserve">2026年4月14日</w:t>
      </w:r>
      <w:r>
        <w:rPr>
          <w:rFonts w:hint="eastAsia" w:ascii="宋体" w:hAnsi="宋体" w:cs="宋体"/>
          <w:bCs/>
          <w:color w:val="auto"/>
          <w:szCs w:val="21"/>
          <w:highlight w:val="none"/>
          <w:u w:val="single"/>
          <w:lang w:val="en-US" w:eastAsia="zh-CN"/>
        </w:rPr>
        <w:t xml:space="preserve">9点30分</w:t>
      </w:r>
      <w:r>
        <w:rPr>
          <w:rFonts w:hint="eastAsia" w:ascii="宋体" w:hAnsi="宋体" w:cs="宋体"/>
          <w:bCs/>
          <w:color w:val="auto"/>
          <w:highlight w:val="none"/>
          <w:u w:val="none"/>
        </w:rPr>
        <w:t xml:space="preserve">（</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spacing w:line="360" w:lineRule="auto"/>
        <w:tabs>
          <w:tab w:val="left" w:pos="266" w:leader="none"/>
        </w:tabs>
        <w:rPr>
          <w:rFonts w:ascii="宋体" w:hAnsi="宋体" w:cs="宋体"/>
          <w:b/>
          <w:bCs/>
          <w:color w:val="auto"/>
          <w:highlight w:val="none"/>
        </w:rPr>
      </w:pPr>
      <w:r/>
      <w:bookmarkStart w:id="2" w:name="_Toc35393621"/>
      <w:r/>
      <w:bookmarkStart w:id="3" w:name="_Toc28359079"/>
      <w:r/>
      <w:bookmarkStart w:id="4" w:name="_Toc28359002"/>
      <w:r/>
      <w:bookmarkStart w:id="5" w:name="_Toc38985263"/>
      <w:r/>
      <w:bookmarkStart w:id="6" w:name="_Toc35393790"/>
      <w:r/>
      <w:bookmarkStart w:id="7" w:name="_Hlk24379207"/>
      <w:r>
        <w:rPr>
          <w:rFonts w:hint="eastAsia" w:ascii="宋体" w:hAnsi="宋体" w:cs="宋体"/>
          <w:b/>
          <w:bCs/>
          <w:color w:val="auto"/>
          <w:highlight w:val="none"/>
        </w:rPr>
        <w:t xml:space="preserve">一、项目基本情况</w:t>
      </w:r>
      <w:bookmarkEnd w:id="2"/>
      <w:r/>
      <w:bookmarkEnd w:id="3"/>
      <w:r/>
      <w:bookmarkEnd w:id="4"/>
      <w:r/>
      <w:bookmarkEnd w:id="5"/>
      <w:r/>
      <w:bookmarkEnd w:id="6"/>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highlight w:val="none"/>
        </w:rPr>
        <w:t xml:space="preserve">1.项目编号：</w:t>
      </w:r>
      <w:r>
        <w:rPr>
          <w:rFonts w:hint="eastAsia" w:ascii="宋体" w:hAnsi="宋体" w:cs="宋体"/>
          <w:color w:val="auto"/>
          <w:highlight w:val="none"/>
          <w:u w:val="single"/>
          <w:lang w:val="en-US" w:eastAsia="zh-CN"/>
        </w:rPr>
        <w:t xml:space="preserve">JSZC-321012-JSZC-G2026-0015</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2.项目名称：</w:t>
      </w:r>
      <w:bookmarkEnd w:id="7"/>
      <w:r>
        <w:rPr>
          <w:rFonts w:hint="eastAsia" w:ascii="宋体" w:hAnsi="宋体" w:cs="宋体"/>
          <w:color w:val="auto"/>
          <w:highlight w:val="none"/>
          <w:lang w:val="en-US" w:eastAsia="zh-CN"/>
        </w:rPr>
        <w:t xml:space="preserve">江苏省江都中学新校区实验室仪器采购项目</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采购方式：□竞争性谈判 </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竞争性磋商 </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询价 ☑公开招标</w:t>
      </w:r>
      <w:r/>
    </w:p>
    <w:p>
      <w:pPr>
        <w:ind w:firstLine="420"/>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.预算金额：</w:t>
      </w:r>
      <w:r>
        <w:rPr>
          <w:rFonts w:hint="eastAsia" w:ascii="宋体" w:hAnsi="宋体" w:cs="宋体"/>
          <w:color w:val="auto"/>
          <w:highlight w:val="none"/>
          <w:lang w:val="en-US" w:eastAsia="zh-CN"/>
        </w:rPr>
        <w:t xml:space="preserve">179.56万元</w:t>
      </w:r>
      <w:r/>
    </w:p>
    <w:p>
      <w:pPr>
        <w:ind w:firstLine="420"/>
        <w:spacing w:line="360" w:lineRule="auto"/>
        <w:rPr>
          <w:rFonts w:hint="default" w:ascii="宋体" w:hAnsi="宋体" w:eastAsia="宋体" w:cs="宋体"/>
          <w:i w:val="0"/>
          <w:iCs w:val="0"/>
          <w:caps w:val="0"/>
          <w:color w:val="auto"/>
          <w:spacing w:val="0"/>
          <w:sz w:val="21"/>
          <w:szCs w:val="21"/>
          <w:highlight w:val="none"/>
          <w:u w:val="none"/>
          <w:shd w:val="clear" w:color="auto" w:fill="ffffff"/>
          <w:lang w:val="en-US" w:eastAsia="zh-CN"/>
        </w:rPr>
      </w:pPr>
      <w:r/>
      <w:bookmarkStart w:id="8" w:name="_Toc35393791"/>
      <w:r/>
      <w:bookmarkStart w:id="9" w:name="_Toc28359003"/>
      <w:r/>
      <w:bookmarkStart w:id="10" w:name="_Toc35393622"/>
      <w:r/>
      <w:bookmarkStart w:id="11" w:name="_Toc28359080"/>
      <w:r/>
      <w:bookmarkStart w:id="12" w:name="_Toc38985264"/>
      <w:r>
        <w:rPr>
          <w:rFonts w:hint="eastAsia" w:ascii="宋体" w:hAnsi="宋体" w:eastAsia="宋体" w:cs="宋体"/>
          <w:color w:val="auto"/>
          <w:szCs w:val="21"/>
          <w:highlight w:val="none"/>
          <w:u w:val="none"/>
          <w:lang w:val="en-US" w:eastAsia="zh-CN"/>
        </w:rPr>
        <w:t xml:space="preserve">5.</w:t>
      </w:r>
      <w:r>
        <w:rPr>
          <w:rFonts w:hint="eastAsia" w:ascii="宋体" w:hAnsi="宋体" w:eastAsia="宋体" w:cs="宋体"/>
          <w:i w:val="0"/>
          <w:iCs w:val="0"/>
          <w:caps w:val="0"/>
          <w:color w:val="auto"/>
          <w:spacing w:val="0"/>
          <w:sz w:val="21"/>
          <w:szCs w:val="21"/>
          <w:highlight w:val="none"/>
          <w:u w:val="none"/>
          <w:shd w:val="clear" w:color="auto" w:fill="ffffff"/>
          <w:lang w:val="en-US" w:eastAsia="zh-CN"/>
        </w:rPr>
        <w:t xml:space="preserve">最高限价（如有）：</w:t>
      </w:r>
      <w:r>
        <w:rPr>
          <w:rFonts w:hint="eastAsia" w:ascii="宋体" w:hAnsi="宋体" w:cs="宋体"/>
          <w:i w:val="0"/>
          <w:iCs w:val="0"/>
          <w:caps w:val="0"/>
          <w:color w:val="auto"/>
          <w:spacing w:val="0"/>
          <w:sz w:val="21"/>
          <w:szCs w:val="21"/>
          <w:highlight w:val="none"/>
          <w:u w:val="none"/>
          <w:shd w:val="clear" w:color="auto" w:fill="ffffff"/>
          <w:lang w:val="en-US" w:eastAsia="zh-CN"/>
        </w:rPr>
        <w:t xml:space="preserve">179.56万元；包1（化学器材）：49.1万元，包2（物理器材）：78.3万元，包3（生物器材）：52.16万元。</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6.采购需求：项目分为3个包，包1：</w:t>
      </w:r>
      <w:r>
        <w:rPr>
          <w:rFonts w:hint="eastAsia" w:ascii="宋体" w:hAnsi="宋体" w:cs="宋体"/>
          <w:i w:val="0"/>
          <w:iCs w:val="0"/>
          <w:caps w:val="0"/>
          <w:color w:val="auto"/>
          <w:spacing w:val="0"/>
          <w:sz w:val="21"/>
          <w:szCs w:val="21"/>
          <w:highlight w:val="none"/>
          <w:u w:val="none"/>
          <w:shd w:val="clear" w:color="auto" w:fill="ffffff"/>
          <w:lang w:val="en-US" w:eastAsia="zh-CN"/>
        </w:rPr>
        <w:t xml:space="preserve">化学器材</w:t>
      </w:r>
      <w:r>
        <w:rPr>
          <w:rFonts w:hint="eastAsia" w:ascii="宋体" w:hAnsi="宋体" w:cs="宋体"/>
          <w:color w:val="auto"/>
          <w:highlight w:val="none"/>
          <w:lang w:val="en-US" w:eastAsia="zh-CN"/>
        </w:rPr>
        <w:t xml:space="preserve">，包2：</w:t>
      </w:r>
      <w:r>
        <w:rPr>
          <w:rFonts w:hint="eastAsia" w:ascii="宋体" w:hAnsi="宋体" w:cs="宋体"/>
          <w:i w:val="0"/>
          <w:iCs w:val="0"/>
          <w:caps w:val="0"/>
          <w:color w:val="auto"/>
          <w:spacing w:val="0"/>
          <w:sz w:val="21"/>
          <w:szCs w:val="21"/>
          <w:highlight w:val="none"/>
          <w:u w:val="none"/>
          <w:shd w:val="clear" w:color="auto" w:fill="ffffff"/>
          <w:lang w:val="en-US" w:eastAsia="zh-CN"/>
        </w:rPr>
        <w:t xml:space="preserve">物理器材</w:t>
      </w:r>
      <w:r>
        <w:rPr>
          <w:rFonts w:hint="eastAsia" w:ascii="宋体" w:hAnsi="宋体" w:cs="宋体"/>
          <w:color w:val="auto"/>
          <w:highlight w:val="none"/>
          <w:lang w:val="en-US" w:eastAsia="zh-CN"/>
        </w:rPr>
        <w:t xml:space="preserve">，包3：</w:t>
      </w:r>
      <w:r>
        <w:rPr>
          <w:rFonts w:hint="eastAsia" w:ascii="宋体" w:hAnsi="宋体" w:cs="宋体"/>
          <w:i w:val="0"/>
          <w:iCs w:val="0"/>
          <w:caps w:val="0"/>
          <w:color w:val="auto"/>
          <w:spacing w:val="0"/>
          <w:sz w:val="21"/>
          <w:szCs w:val="21"/>
          <w:highlight w:val="none"/>
          <w:u w:val="none"/>
          <w:shd w:val="clear" w:color="auto" w:fill="ffffff"/>
          <w:lang w:val="en-US" w:eastAsia="zh-CN"/>
        </w:rPr>
        <w:t xml:space="preserve">生物器材</w:t>
      </w:r>
      <w:r>
        <w:rPr>
          <w:rFonts w:hint="eastAsia" w:ascii="宋体" w:hAnsi="宋体" w:cs="宋体"/>
          <w:color w:val="auto"/>
          <w:highlight w:val="none"/>
          <w:lang w:val="en-US" w:eastAsia="zh-CN"/>
        </w:rPr>
        <w:t xml:space="preserve">。供应商可参加三个个包的投标，但只可按开标顺序中其中一个包，若包1中标，则不参与包2、包3评审，若包2中标，则不参与包3评审，详见采购文件第四章</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.合同履行期限：</w:t>
      </w:r>
      <w:r>
        <w:rPr>
          <w:rFonts w:hint="eastAsia" w:ascii="宋体" w:hAnsi="宋体" w:cs="宋体"/>
          <w:color w:val="auto"/>
          <w:sz w:val="21"/>
          <w:szCs w:val="21"/>
          <w:highlight w:val="none"/>
          <w:lang w:eastAsia="zh-CN"/>
        </w:rPr>
        <w:t xml:space="preserve">合同签订之日起</w:t>
      </w:r>
      <w:r>
        <w:rPr>
          <w:rFonts w:hint="eastAsia" w:ascii="宋体" w:hAnsi="宋体" w:cs="宋体"/>
          <w:color w:val="auto"/>
          <w:sz w:val="21"/>
          <w:szCs w:val="21"/>
          <w:highlight w:val="none"/>
          <w:lang w:val="en-US" w:eastAsia="zh-CN"/>
        </w:rPr>
        <w:t xml:space="preserve">30</w:t>
      </w:r>
      <w:r>
        <w:rPr>
          <w:rFonts w:hint="eastAsia" w:ascii="宋体" w:hAnsi="宋体" w:cs="宋体"/>
          <w:color w:val="auto"/>
          <w:sz w:val="21"/>
          <w:szCs w:val="21"/>
          <w:highlight w:val="none"/>
          <w:lang w:eastAsia="zh-CN"/>
        </w:rPr>
        <w:t xml:space="preserve">日</w:t>
      </w:r>
      <w:r>
        <w:rPr>
          <w:rFonts w:hint="eastAsia" w:ascii="宋体" w:hAnsi="宋体" w:eastAsia="宋体" w:cs="宋体"/>
          <w:color w:val="auto"/>
          <w:sz w:val="21"/>
          <w:szCs w:val="21"/>
          <w:highlight w:val="none"/>
        </w:rPr>
        <w:t xml:space="preserve">（除不可抗力、非中标人原因）全部供货及安装完毕，并完成全部验收、文档整理工作。若因供应商原因导致货物不能按要求安装使用，采购人有权追究其责任。供应商可先到项目地点充分了解地理位置、情况、道路、储存空间、装卸限制及施工配合等任何其他足以影响投标报价的情况，任何因忽视或误解项目现场而导致的索赔或工期延长申请将不被批准。</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.本项目（是/否）接受联合体投标：</w:t>
      </w:r>
      <w:r>
        <w:rPr>
          <w:rFonts w:hint="eastAsia" w:ascii="宋体" w:hAnsi="宋体" w:eastAsia="宋体" w:cs="宋体"/>
          <w:color w:val="auto"/>
          <w:highlight w:val="none"/>
          <w:lang w:val="en-US" w:eastAsia="zh-CN"/>
        </w:rPr>
        <w:t xml:space="preserve">否</w:t>
      </w:r>
      <w:r/>
    </w:p>
    <w:p>
      <w:pPr>
        <w:ind w:firstLine="420"/>
        <w:spacing w:line="360" w:lineRule="auto"/>
        <w:rPr>
          <w:rFonts w:hint="default" w:eastAsia="宋体"/>
          <w:color w:val="auto"/>
          <w:highlight w:val="none"/>
          <w:lang w:val="en-US" w:eastAsia="zh-CN"/>
        </w:rPr>
      </w:pPr>
      <w:r>
        <w:rPr>
          <w:rFonts w:hint="eastAsia" w:ascii="宋体" w:hAnsi="宋体" w:cs="宋体"/>
          <w:color w:val="auto"/>
          <w:highlight w:val="none"/>
          <w:lang w:val="en-US" w:eastAsia="zh-CN"/>
        </w:rPr>
        <w:t xml:space="preserve">9</w:t>
      </w:r>
      <w:r>
        <w:rPr>
          <w:rFonts w:hint="eastAsia" w:ascii="宋体" w:hAnsi="宋体" w:cs="宋体"/>
          <w:color w:val="auto"/>
          <w:highlight w:val="none"/>
        </w:rPr>
        <w:t xml:space="preserve">.</w:t>
      </w:r>
      <w:r>
        <w:rPr>
          <w:rFonts w:hint="eastAsia" w:ascii="宋体" w:hAnsi="宋体" w:eastAsia="宋体" w:cs="宋体"/>
          <w:color w:val="auto"/>
          <w:highlight w:val="none"/>
        </w:rPr>
        <w:t xml:space="preserve">本项目（是/否）接受</w:t>
      </w:r>
      <w:r>
        <w:rPr>
          <w:rFonts w:hint="eastAsia" w:ascii="宋体" w:hAnsi="宋体" w:cs="宋体"/>
          <w:color w:val="auto"/>
          <w:highlight w:val="none"/>
        </w:rPr>
        <w:t xml:space="preserve">进口产品</w:t>
      </w:r>
      <w:r>
        <w:rPr>
          <w:rFonts w:hint="eastAsia" w:ascii="宋体" w:hAnsi="宋体" w:eastAsia="宋体" w:cs="宋体"/>
          <w:color w:val="auto"/>
          <w:highlight w:val="none"/>
        </w:rPr>
        <w:t xml:space="preserve">投标</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否</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二、申请人的资格要求：</w:t>
      </w:r>
      <w:bookmarkEnd w:id="8"/>
      <w:r/>
      <w:bookmarkEnd w:id="9"/>
      <w:r/>
      <w:bookmarkEnd w:id="10"/>
      <w:r/>
      <w:bookmarkEnd w:id="11"/>
      <w:r/>
      <w:bookmarkEnd w:id="12"/>
      <w:r/>
      <w:r/>
    </w:p>
    <w:p>
      <w:pPr>
        <w:ind w:firstLine="420"/>
        <w:spacing w:line="360" w:lineRule="auto"/>
        <w:rPr>
          <w:rFonts w:ascii="宋体" w:hAnsi="宋体" w:cs="宋体"/>
          <w:color w:val="auto"/>
          <w:szCs w:val="21"/>
          <w:highlight w:val="none"/>
        </w:rPr>
      </w:pPr>
      <w:r/>
      <w:bookmarkStart w:id="13" w:name="_Toc35393623"/>
      <w:r/>
      <w:bookmarkStart w:id="14" w:name="_Toc35393792"/>
      <w:r/>
      <w:bookmarkStart w:id="15" w:name="_Toc28359004"/>
      <w:r/>
      <w:bookmarkStart w:id="16" w:name="_Toc28359081"/>
      <w:r/>
      <w:bookmarkStart w:id="17" w:name="_Toc38985265"/>
      <w:r>
        <w:rPr>
          <w:rFonts w:hint="eastAsia" w:ascii="宋体" w:hAnsi="宋体" w:cs="宋体"/>
          <w:color w:val="auto"/>
          <w:szCs w:val="21"/>
          <w:highlight w:val="none"/>
        </w:rPr>
        <w:t xml:space="preserve">1.满足《中华人民共和国政府采购法》第二十二条规定，并提供下列材料：</w:t>
      </w:r>
      <w:r/>
    </w:p>
    <w:p>
      <w:pPr>
        <w:ind w:firstLine="42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1.1法人或者其他组织的营业执照等证明文件，自然人的身份证明</w:t>
      </w:r>
      <w:r>
        <w:rPr>
          <w:rFonts w:hint="eastAsia" w:ascii="宋体" w:hAnsi="宋体" w:eastAsia="宋体" w:cs="宋体"/>
          <w:b/>
          <w:bCs/>
          <w:i/>
          <w:iCs/>
          <w:color w:val="auto"/>
          <w:sz w:val="21"/>
          <w:szCs w:val="21"/>
          <w:highlight w:val="none"/>
          <w:u w:val="single"/>
        </w:rPr>
        <w:t xml:space="preserve">（身份证为正、反面）</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1.2 依法缴纳职工社会保障资金的证明材料</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1.3 依法纳税的缴款凭证</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1.4 具有良好的商业信誉和健全的财务会计制度</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1.5  具备履行合同所必需的设备和专业技术能力</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1.6 参加本次政府采购活动前3年内在经营活动中没有重大违法记录的书面声明</w:t>
      </w:r>
      <w:r>
        <w:rPr>
          <w:rFonts w:hint="eastAsia" w:ascii="宋体" w:hAnsi="宋体" w:eastAsia="宋体" w:cs="宋体"/>
          <w:b/>
          <w:bCs/>
          <w:i/>
          <w:iCs/>
          <w:color w:val="auto"/>
          <w:sz w:val="21"/>
          <w:szCs w:val="21"/>
          <w:highlight w:val="none"/>
          <w:u w:val="single"/>
        </w:rPr>
        <w:t xml:space="preserve">（可提供“基本资格条件承诺函”）</w:t>
      </w:r>
      <w:r/>
    </w:p>
    <w:p>
      <w:pPr>
        <w:ind w:firstLine="420"/>
        <w:jc w:val="left"/>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1.7 未被“信用中国”网站（www.creditchina.gov.cn）、“中国政府采购网"</w:t>
      </w:r>
      <w:r>
        <w:rPr>
          <w:rFonts w:hint="eastAsia" w:ascii="宋体" w:hAnsi="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www.ccgp.gov.cn）列入失信被执行人、重大税收违法案件当事人名单、政府采购严重违法失信行为记录名单</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1.8供应商信用承诺函</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2.落实政府采购政策需满足的资格要求：</w:t>
      </w:r>
      <w:r>
        <w:rPr>
          <w:rFonts w:hint="eastAsia" w:ascii="宋体" w:hAnsi="宋体" w:cs="宋体"/>
          <w:i/>
          <w:iCs/>
          <w:color w:val="auto"/>
          <w:szCs w:val="21"/>
          <w:highlight w:val="none"/>
          <w:u w:val="single"/>
          <w:lang w:val="en-US" w:eastAsia="zh-CN"/>
        </w:rPr>
        <w:t xml:space="preserve">根据《政府采购促进中小企业发展管理办法》的规定，本项目专门面向中小企业采购，投标人投标时须提供《中小企业声明函》，《中小企业声明函》不符合要求或未提供的，投标文件无效。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3.本项目的特定资格要求：</w:t>
      </w:r>
      <w:r/>
    </w:p>
    <w:p>
      <w:pPr>
        <w:ind w:firstLine="420"/>
        <w:jc w:val="left"/>
        <w:keepLines w:val="0"/>
        <w:keepNext w:val="0"/>
        <w:pageBreakBefore w:val="0"/>
        <w:spacing w:line="360" w:lineRule="auto"/>
        <w:widowControl w:val="off"/>
        <w:rPr>
          <w:rFonts w:hint="default" w:ascii="宋体" w:hAnsi="宋体" w:eastAsia="宋体" w:cs="宋体"/>
          <w:i/>
          <w:iCs/>
          <w:caps w:val="0"/>
          <w:color w:val="auto"/>
          <w:spacing w:val="0"/>
          <w:sz w:val="21"/>
          <w:szCs w:val="21"/>
          <w:highlight w:val="none"/>
          <w:u w:val="single"/>
          <w:shd w:val="clear" w:color="auto" w:fill="ffffff"/>
          <w:lang w:val="en-US" w:eastAsia="zh-CN"/>
        </w:rPr>
      </w:pPr>
      <w:r>
        <w:rPr>
          <w:rFonts w:hint="eastAsia" w:ascii="宋体" w:hAnsi="宋体" w:cs="宋体"/>
          <w:i/>
          <w:iCs/>
          <w:caps w:val="0"/>
          <w:color w:val="auto"/>
          <w:spacing w:val="0"/>
          <w:sz w:val="21"/>
          <w:szCs w:val="21"/>
          <w:highlight w:val="none"/>
          <w:u w:val="single"/>
          <w:shd w:val="clear" w:color="auto" w:fill="ffffff"/>
          <w:lang w:val="en-US" w:eastAsia="zh-CN"/>
        </w:rPr>
        <w:t xml:space="preserve">无</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bookmarkEnd w:id="13"/>
      <w:r/>
      <w:bookmarkEnd w:id="14"/>
      <w:r/>
      <w:bookmarkEnd w:id="15"/>
      <w:r/>
      <w:bookmarkEnd w:id="16"/>
      <w:r/>
      <w:bookmarkEnd w:id="17"/>
      <w:r/>
      <w:r/>
    </w:p>
    <w:p>
      <w:pPr>
        <w:pStyle w:val="789"/>
        <w:ind w:firstLine="420"/>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bookmarkStart w:id="18" w:name="_Toc28359005"/>
      <w:r/>
      <w:bookmarkStart w:id="19" w:name="_Toc28359082"/>
      <w:r/>
      <w:bookmarkStart w:id="20" w:name="_Toc38985266"/>
      <w:r/>
      <w:bookmarkStart w:id="21" w:name="_Toc35393624"/>
      <w:r/>
      <w:bookmarkStart w:id="22" w:name="_Toc35393793"/>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1.时间：自招标文件公告发布之日起5个工作日。5个工作日后仍可下载招标文件，但不作为供应商权益受到损害的证明材料和依据</w:t>
      </w:r>
      <w:r/>
    </w:p>
    <w:p>
      <w:pPr>
        <w:pStyle w:val="789"/>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2.地点：</w:t>
      </w:r>
      <w:r>
        <w:rPr>
          <w:rFonts w:hint="eastAsia" w:ascii="宋体" w:hAnsi="宋体" w:eastAsia="宋体" w:cs="宋体"/>
          <w:i w:val="0"/>
          <w:iCs w:val="0"/>
          <w:caps w:val="0"/>
          <w:color w:val="auto"/>
          <w:spacing w:val="0"/>
          <w:sz w:val="21"/>
          <w:szCs w:val="21"/>
          <w:highlight w:val="none"/>
          <w:shd w:val="clear" w:color="auto" w:fill="ffffff"/>
        </w:rPr>
        <w:t xml:space="preserve">“扬州市政府采购网”</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“江苏省政府采购网”</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“中国政府采购网”</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和</w:t>
      </w:r>
      <w:r>
        <w:rPr>
          <w:rFonts w:hint="eastAsia" w:ascii="宋体" w:hAnsi="宋体" w:eastAsia="宋体" w:cs="宋体"/>
          <w:i w:val="0"/>
          <w:iCs w:val="0"/>
          <w:caps w:val="0"/>
          <w:color w:val="auto"/>
          <w:spacing w:val="0"/>
          <w:sz w:val="21"/>
          <w:szCs w:val="21"/>
          <w:highlight w:val="none"/>
          <w:shd w:val="clear" w:color="auto" w:fill="ffffff"/>
          <w:lang w:eastAsia="zh-CN"/>
        </w:rPr>
        <w:t xml:space="preserve">“苏采云”系统</w:t>
      </w:r>
      <w:r/>
    </w:p>
    <w:p>
      <w:pPr>
        <w:pStyle w:val="789"/>
        <w:ind w:firstLine="420"/>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.方式：</w:t>
      </w:r>
      <w:r>
        <w:rPr>
          <w:rFonts w:hint="eastAsia" w:ascii="宋体" w:hAnsi="宋体" w:eastAsia="宋体" w:cs="宋体"/>
          <w:i w:val="0"/>
          <w:iCs w:val="0"/>
          <w:caps w:val="0"/>
          <w:color w:val="auto"/>
          <w:spacing w:val="0"/>
          <w:sz w:val="21"/>
          <w:szCs w:val="21"/>
          <w:highlight w:val="none"/>
          <w:shd w:val="clear" w:color="auto" w:fill="ffffff"/>
          <w:lang w:eastAsia="zh-CN"/>
        </w:rPr>
        <w:t xml:space="preserve">网上注册登记</w:t>
      </w:r>
      <w:r/>
    </w:p>
    <w:p>
      <w:pPr>
        <w:pStyle w:val="789"/>
        <w:ind w:firstLine="420"/>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售价：0.00元 </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四、提交投标文件</w:t>
      </w:r>
      <w:bookmarkEnd w:id="18"/>
      <w:r/>
      <w:bookmarkEnd w:id="19"/>
      <w:r>
        <w:rPr>
          <w:rFonts w:hint="eastAsia" w:ascii="宋体" w:hAnsi="宋体" w:cs="宋体"/>
          <w:b/>
          <w:bCs/>
          <w:color w:val="auto"/>
          <w:highlight w:val="none"/>
        </w:rPr>
        <w:t xml:space="preserve">截止时间、开标时间和地点</w:t>
      </w:r>
      <w:bookmarkEnd w:id="20"/>
      <w:r/>
      <w:bookmarkEnd w:id="21"/>
      <w:r/>
      <w:bookmarkEnd w:id="22"/>
      <w:r/>
      <w:r/>
    </w:p>
    <w:p>
      <w:pPr>
        <w:ind w:firstLine="420"/>
        <w:spacing w:line="360" w:lineRule="auto"/>
        <w:rPr>
          <w:rFonts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bCs/>
          <w:color w:val="auto"/>
          <w:highlight w:val="none"/>
          <w:u w:val="single"/>
          <w:lang w:val="en-US" w:eastAsia="zh-CN"/>
        </w:rPr>
        <w:t xml:space="preserve">2026</w:t>
      </w:r>
      <w:bookmarkStart w:id="89" w:name="_GoBack"/>
      <w:r/>
      <w:bookmarkEnd w:id="89"/>
      <w:r>
        <w:rPr>
          <w:rFonts w:hint="eastAsia" w:ascii="宋体" w:hAnsi="宋体" w:cs="宋体"/>
          <w:bCs/>
          <w:color w:val="auto"/>
          <w:highlight w:val="none"/>
          <w:u w:val="single"/>
          <w:lang w:val="en-US" w:eastAsia="zh-CN"/>
        </w:rPr>
        <w:t xml:space="preserve">年4月14日</w:t>
      </w:r>
      <w:r>
        <w:rPr>
          <w:rFonts w:hint="eastAsia" w:ascii="宋体" w:hAnsi="宋体" w:cs="宋体"/>
          <w:bCs/>
          <w:color w:val="auto"/>
          <w:szCs w:val="21"/>
          <w:highlight w:val="none"/>
          <w:u w:val="single"/>
          <w:lang w:val="en-US" w:eastAsia="zh-CN"/>
        </w:rPr>
        <w:t xml:space="preserve">9点30分</w:t>
      </w:r>
      <w:r>
        <w:rPr>
          <w:rFonts w:hint="eastAsia" w:ascii="宋体" w:hAnsi="宋体" w:cs="宋体"/>
          <w:bCs/>
          <w:color w:val="auto"/>
          <w:highlight w:val="none"/>
        </w:rPr>
        <w:t xml:space="preserve">（北京时间）</w:t>
      </w:r>
      <w:r/>
    </w:p>
    <w:p>
      <w:pPr>
        <w:ind w:firstLine="420"/>
        <w:spacing w:line="360" w:lineRule="auto"/>
        <w:rPr>
          <w:rFonts w:ascii="宋体" w:hAnsi="宋体" w:cs="宋体"/>
          <w:bCs/>
          <w:color w:val="auto"/>
          <w:highlight w:val="none"/>
          <w:u w:val="single"/>
        </w:rPr>
      </w:pPr>
      <w:r>
        <w:rPr>
          <w:rFonts w:hint="eastAsia" w:ascii="宋体" w:hAnsi="宋体" w:cs="宋体"/>
          <w:color w:val="auto"/>
          <w:highlight w:val="none"/>
        </w:rPr>
        <w:t xml:space="preserve">2.开标地点：</w:t>
      </w:r>
      <w:r>
        <w:rPr>
          <w:rFonts w:hint="eastAsia" w:ascii="宋体" w:hAnsi="宋体"/>
          <w:b/>
          <w:color w:val="auto"/>
          <w:szCs w:val="21"/>
          <w:highlight w:val="none"/>
        </w:rPr>
        <w:t xml:space="preserve">“苏采云”系统（网址：http://jszfcg.jsczt.cn/）“开标大厅”</w:t>
      </w:r>
      <w:r/>
    </w:p>
    <w:p>
      <w:pPr>
        <w:spacing w:line="360" w:lineRule="auto"/>
        <w:tabs>
          <w:tab w:val="left" w:pos="266" w:leader="none"/>
        </w:tabs>
        <w:rPr>
          <w:rFonts w:ascii="宋体" w:hAnsi="宋体" w:cs="宋体"/>
          <w:b/>
          <w:bCs/>
          <w:color w:val="auto"/>
          <w:highlight w:val="none"/>
        </w:rPr>
      </w:pPr>
      <w:r/>
      <w:bookmarkStart w:id="23" w:name="_Toc35393625"/>
      <w:r/>
      <w:bookmarkStart w:id="24" w:name="_Toc38985267"/>
      <w:r/>
      <w:bookmarkStart w:id="25" w:name="_Toc35393794"/>
      <w:r/>
      <w:bookmarkStart w:id="26" w:name="_Toc28359007"/>
      <w:r/>
      <w:bookmarkStart w:id="27" w:name="_Toc28359084"/>
      <w:r>
        <w:rPr>
          <w:rFonts w:hint="eastAsia" w:ascii="宋体" w:hAnsi="宋体" w:cs="宋体"/>
          <w:b/>
          <w:bCs/>
          <w:color w:val="auto"/>
          <w:highlight w:val="none"/>
        </w:rPr>
        <w:t xml:space="preserve">五、公告期限</w:t>
      </w:r>
      <w:bookmarkEnd w:id="23"/>
      <w:r/>
      <w:bookmarkEnd w:id="24"/>
      <w:r/>
      <w:bookmarkEnd w:id="25"/>
      <w:r/>
      <w:bookmarkEnd w:id="26"/>
      <w:r/>
      <w:bookmarkEnd w:id="27"/>
      <w:r/>
      <w:r/>
    </w:p>
    <w:p>
      <w:pPr>
        <w:ind w:firstLine="420"/>
        <w:spacing w:line="360" w:lineRule="auto"/>
        <w:rPr>
          <w:rFonts w:hint="eastAsia" w:ascii="宋体" w:hAnsi="宋体" w:cs="宋体"/>
          <w:b w:val="0"/>
          <w:bCs w:val="0"/>
          <w:color w:val="auto"/>
          <w:szCs w:val="21"/>
          <w:highlight w:val="none"/>
        </w:rPr>
      </w:pPr>
      <w:r/>
      <w:bookmarkStart w:id="28" w:name="_Toc35393626"/>
      <w:r/>
      <w:bookmarkStart w:id="29" w:name="_Toc35393795"/>
      <w:r/>
      <w:bookmarkStart w:id="30" w:name="_Toc38985268"/>
      <w:r>
        <w:rPr>
          <w:rFonts w:hint="eastAsia" w:ascii="宋体" w:hAnsi="宋体" w:cs="宋体"/>
          <w:b w:val="0"/>
          <w:bCs w:val="0"/>
          <w:color w:val="auto"/>
          <w:szCs w:val="21"/>
          <w:highlight w:val="none"/>
        </w:rPr>
        <w:t xml:space="preserve">自本公告发布之日起5个工作日。</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六、其他补充事宜</w:t>
      </w:r>
      <w:bookmarkEnd w:id="28"/>
      <w:r/>
      <w:bookmarkEnd w:id="29"/>
      <w:r/>
      <w:bookmarkEnd w:id="30"/>
      <w:r/>
      <w:r/>
    </w:p>
    <w:p>
      <w:pPr>
        <w:pStyle w:val="789"/>
        <w:ind w:firstLine="422"/>
        <w:keepLines w:val="0"/>
        <w:keepNext w:val="0"/>
        <w:pageBreakBefore w:val="0"/>
        <w:spacing w:line="360" w:lineRule="auto"/>
        <w:widowControl w:val="off"/>
        <w:rPr>
          <w:rFonts w:hint="default" w:ascii="宋体" w:hAnsi="宋体" w:eastAsia="宋体" w:cs="宋体"/>
          <w:b/>
          <w:color w:val="auto"/>
          <w:sz w:val="21"/>
          <w:szCs w:val="21"/>
          <w:highlight w:val="none"/>
          <w:lang w:val="en-US" w:eastAsia="zh-CN"/>
        </w:rPr>
      </w:pPr>
      <w:r/>
      <w:bookmarkStart w:id="31" w:name="_Toc28359008"/>
      <w:r/>
      <w:bookmarkStart w:id="32" w:name="_Toc35393627"/>
      <w:r/>
      <w:bookmarkStart w:id="33" w:name="_Toc28359085"/>
      <w:r/>
      <w:bookmarkStart w:id="34" w:name="_Toc38985269"/>
      <w:r/>
      <w:bookmarkStart w:id="35" w:name="_Toc35393796"/>
      <w:r>
        <w:rPr>
          <w:rFonts w:hint="eastAsia" w:ascii="宋体" w:hAnsi="宋体" w:eastAsia="宋体" w:cs="宋体"/>
          <w:b/>
          <w:color w:val="auto"/>
          <w:sz w:val="21"/>
          <w:szCs w:val="21"/>
          <w:highlight w:val="none"/>
          <w:lang w:val="en-US" w:eastAsia="zh-CN"/>
        </w:rPr>
        <w:t xml:space="preserve">（一）获取采购文件</w:t>
      </w:r>
      <w:r/>
    </w:p>
    <w:p>
      <w:pPr>
        <w:pStyle w:val="789"/>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1.时间：自招标文件公告发布之日起5个工作日。5个工作日后仍可下载招标文件，但不作为供应商权益受到损害的证明材料和依据。</w:t>
      </w:r>
      <w:r/>
    </w:p>
    <w:p>
      <w:pPr>
        <w:pStyle w:val="789"/>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2.获取方式：本项目采用网上注册登记方式。</w:t>
      </w:r>
      <w:r/>
    </w:p>
    <w:p>
      <w:pPr>
        <w:pStyle w:val="789"/>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3.潜在供应商访问政府采购管理交易系统（苏采云）的网络地址和方法：</w:t>
      </w:r>
      <w:r/>
    </w:p>
    <w:p>
      <w:pPr>
        <w:pStyle w:val="789"/>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789"/>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（2）“CA数字证书”的获取：供应商需办理CA锁，“苏采云”系统目前仅支持“苏采云”系统下的政务CA，省内各地区办理的“苏采云”系统下的政务CA全省通用。</w:t>
      </w:r>
      <w:r/>
    </w:p>
    <w:p>
      <w:pPr>
        <w:pStyle w:val="789"/>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（3）“CA数字证书”的办理材料以及供应商操作手册详见：</w:t>
      </w:r>
      <w:r/>
    </w:p>
    <w:p>
      <w:pPr>
        <w:pStyle w:val="789"/>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http://zfcg.yangzhou.gov.cn/zfcg/xzzx/202309/4d7de1f7865f4a2894fc22bc452f94d8.shtml。</w:t>
      </w:r>
      <w:r/>
    </w:p>
    <w:p>
      <w:pPr>
        <w:pStyle w:val="789"/>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（4）潜在供应商访问“苏采云”系统的网络地址和方法：“苏采云”系统的网址：http://jszfcg.jsczt.cn/。</w:t>
      </w:r>
      <w:r/>
    </w:p>
    <w:p>
      <w:pPr>
        <w:pStyle w:val="789"/>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（5）采购文件（后缀名为“.kedt”）、供应商操作手册及政府采购客户端工具也可通过“苏采云”系统--已报名项目--报名详情页面内相应链接进行下载。</w:t>
      </w:r>
      <w:r/>
    </w:p>
    <w:p>
      <w:pPr>
        <w:pStyle w:val="789"/>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（6）招标代理机构（采购代理机构）将数据电文形式的采购文件加载至“苏采云”系统，供潜在供应商下载或者查阅。     </w:t>
      </w:r>
      <w:r/>
    </w:p>
    <w:p>
      <w:pPr>
        <w:pStyle w:val="789"/>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（7）苏采云系统使用谷歌浏览器参与不见面开标。</w:t>
      </w:r>
      <w:r/>
    </w:p>
    <w:p>
      <w:pPr>
        <w:pStyle w:val="789"/>
        <w:ind w:firstLine="422"/>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b/>
          <w:bCs/>
          <w:color w:val="auto"/>
          <w:sz w:val="21"/>
          <w:szCs w:val="21"/>
          <w:highlight w:val="none"/>
          <w:lang w:val="en-US" w:eastAsia="zh-CN"/>
        </w:rPr>
        <w:t xml:space="preserve">（二）</w:t>
      </w:r>
      <w:r>
        <w:rPr>
          <w:rFonts w:hint="eastAsia" w:hAnsi="宋体" w:cs="宋体"/>
          <w:b/>
          <w:color w:val="auto"/>
          <w:sz w:val="21"/>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jc w:val="left"/>
        <w:spacing w:line="360" w:lineRule="auto"/>
        <w:widowControl/>
        <w:rPr>
          <w:rFonts w:hint="default"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（三）其他</w:t>
      </w:r>
      <w:r/>
    </w:p>
    <w:p>
      <w:pPr>
        <w:ind w:firstLine="422"/>
        <w:jc w:val="left"/>
        <w:spacing w:line="360" w:lineRule="auto"/>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spacing w:line="360" w:lineRule="auto"/>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cs="宋体"/>
          <w:b/>
          <w:color w:val="auto"/>
          <w:highlight w:val="none"/>
          <w:lang w:val="en-US" w:eastAsia="zh-CN"/>
        </w:rPr>
        <w:t xml:space="preserve">3</w:t>
      </w:r>
      <w:r>
        <w:rPr>
          <w:rFonts w:ascii="宋体" w:hAnsi="宋体" w:cs="宋体"/>
          <w:b/>
          <w:color w:val="auto"/>
          <w:highlight w:val="none"/>
        </w:rPr>
        <w:t xml:space="preserve">.</w:t>
      </w:r>
      <w:r>
        <w:rPr>
          <w:rFonts w:hint="eastAsia" w:ascii="宋体" w:hAnsi="宋体" w:eastAsia="宋体" w:cs="宋体"/>
          <w:b/>
          <w:color w:val="auto"/>
          <w:highlight w:val="none"/>
          <w:lang w:val="en-US" w:eastAsia="zh-CN"/>
        </w:rPr>
        <w:t xml:space="preserve">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4.落实好政府采购履约资金扶持政策。中标/成交供应商可凭政府采购合同办理融资贷款，详见江苏政府采购网“政采贷”专栏。</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5.严格执行政府采购关于支持</w:t>
      </w:r>
      <w:r>
        <w:rPr>
          <w:rFonts w:hint="eastAsia" w:ascii="宋体" w:hAnsi="宋体" w:eastAsia="宋体" w:cs="宋体"/>
          <w:b/>
          <w:color w:val="auto"/>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rFonts w:hint="eastAsia" w:ascii="宋体" w:hAnsi="宋体" w:cs="宋体"/>
          <w:b/>
          <w:color w:val="auto"/>
          <w:highlight w:val="none"/>
        </w:rPr>
      </w:pPr>
      <w:r>
        <w:rPr>
          <w:rFonts w:hint="eastAsia" w:ascii="宋体" w:hAnsi="宋体" w:cs="宋体"/>
          <w:b/>
          <w:color w:val="auto"/>
          <w:highlight w:val="none"/>
          <w:lang w:val="en-US" w:eastAsia="zh-CN"/>
        </w:rPr>
        <w:t xml:space="preserve">6.</w:t>
      </w:r>
      <w:r>
        <w:rPr>
          <w:rFonts w:hint="eastAsia" w:ascii="宋体" w:hAnsi="宋体" w:cs="宋体"/>
          <w:b/>
          <w:color w:val="auto"/>
          <w:highlight w:val="none"/>
        </w:rPr>
        <w:t xml:space="preserve">潜在供应商对采购文件项目需求部分的询问、质疑请向采购人提出，由采购人负责答复。</w:t>
      </w:r>
      <w:r/>
    </w:p>
    <w:p>
      <w:pPr>
        <w:ind w:firstLine="42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7.</w:t>
      </w:r>
      <w:r>
        <w:rPr>
          <w:rFonts w:hint="eastAsia" w:ascii="宋体" w:hAnsi="宋体" w:eastAsia="宋体" w:cs="Times New Roman"/>
          <w:color w:val="auto"/>
          <w:highlight w:val="none"/>
        </w:rPr>
        <w:t xml:space="preserve">本次采购不收取保证金。</w:t>
      </w:r>
      <w:r/>
    </w:p>
    <w:p>
      <w:pPr>
        <w:ind w:firstLine="42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8</w:t>
      </w:r>
      <w:r>
        <w:rPr>
          <w:rFonts w:hint="eastAsia" w:ascii="宋体" w:hAnsi="宋体" w:eastAsia="宋体" w:cs="Times New Roman"/>
          <w:color w:val="auto"/>
          <w:highlight w:val="none"/>
        </w:rPr>
        <w:t xml:space="preserve">.有关本次采购的事项若存在变动或修改，敬请及时关注“扬州市政府采购网”、”江苏省政府采购网”发布的信息。</w:t>
      </w:r>
      <w:r/>
    </w:p>
    <w:p>
      <w:pPr>
        <w:ind w:firstLine="422"/>
        <w:spacing w:line="360" w:lineRule="auto"/>
        <w:rPr>
          <w:rFonts w:hint="eastAsia" w:ascii="宋体" w:hAnsi="宋体" w:cs="宋体"/>
          <w:b/>
          <w:i/>
          <w:iCs/>
          <w:color w:val="auto"/>
          <w:highlight w:val="none"/>
          <w:u w:val="single"/>
        </w:rPr>
      </w:pPr>
      <w:r>
        <w:rPr>
          <w:rFonts w:hint="eastAsia" w:ascii="宋体" w:hAnsi="宋体" w:eastAsia="宋体" w:cs="Times New Roman"/>
          <w:color w:val="auto"/>
          <w:highlight w:val="none"/>
          <w:lang w:val="en-US" w:eastAsia="zh-CN"/>
        </w:rPr>
        <w:t xml:space="preserve">9.</w:t>
      </w:r>
      <w:r>
        <w:rPr>
          <w:rFonts w:hint="eastAsia" w:ascii="宋体" w:hAnsi="宋体" w:cs="宋体"/>
          <w:b/>
          <w:i/>
          <w:iCs/>
          <w:color w:val="auto"/>
          <w:highlight w:val="none"/>
          <w:u w:val="single"/>
        </w:rPr>
        <w:t xml:space="preserve">.本项目采购文件中所有斜体下划线部分为实质性条款，如不满足，则为无效响应。</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七、本次招标联系方式</w:t>
      </w:r>
      <w:bookmarkEnd w:id="31"/>
      <w:r/>
      <w:bookmarkEnd w:id="32"/>
      <w:r/>
      <w:bookmarkEnd w:id="33"/>
      <w:r/>
      <w:bookmarkEnd w:id="34"/>
      <w:r/>
      <w:bookmarkEnd w:id="35"/>
      <w:r/>
      <w:r/>
    </w:p>
    <w:p>
      <w:pPr>
        <w:pStyle w:val="789"/>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1.采购人信息</w:t>
      </w:r>
      <w:r/>
    </w:p>
    <w:p>
      <w:pPr>
        <w:ind w:firstLine="420"/>
        <w:jc w:val="left"/>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名 称：</w:t>
      </w:r>
      <w:r>
        <w:rPr>
          <w:rFonts w:hint="eastAsia" w:ascii="宋体" w:hAnsi="宋体" w:cs="宋体"/>
          <w:color w:val="auto"/>
          <w:highlight w:val="none"/>
          <w:u w:val="single"/>
          <w:lang w:val="en-US" w:eastAsia="zh-CN"/>
        </w:rPr>
        <w:t xml:space="preserve">扬州市江都区教育局</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rPr>
          <w:rFonts w:hint="eastAsia" w:ascii="宋体" w:hAnsi="宋体" w:eastAsia="宋体" w:cs="宋体"/>
          <w:color w:val="auto"/>
          <w:highlight w:val="none"/>
          <w:u w:val="single"/>
          <w:lang w:val="en-US" w:eastAsia="zh-CN"/>
        </w:rPr>
        <w:t xml:space="preserve">扬州市江都区</w:t>
      </w:r>
      <w:r/>
    </w:p>
    <w:p>
      <w:pPr>
        <w:ind w:firstLine="420"/>
        <w:jc w:val="left"/>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联系人：</w:t>
      </w:r>
      <w:r>
        <w:rPr>
          <w:rFonts w:hint="eastAsia" w:ascii="宋体" w:hAnsi="宋体" w:cs="宋体"/>
          <w:color w:val="auto"/>
          <w:highlight w:val="none"/>
          <w:u w:val="single"/>
          <w:lang w:val="en-US" w:eastAsia="zh-CN"/>
        </w:rPr>
        <w:t xml:space="preserve">汪先生</w:t>
      </w:r>
      <w:r/>
    </w:p>
    <w:p>
      <w:pPr>
        <w:ind w:firstLine="420"/>
        <w:jc w:val="left"/>
        <w:spacing w:line="360" w:lineRule="auto"/>
        <w:rPr>
          <w:rFonts w:hint="default" w:ascii="宋体" w:hAnsi="宋体" w:cs="宋体"/>
          <w:color w:val="auto"/>
          <w:highlight w:val="none"/>
          <w:u w:val="single"/>
          <w:lang w:val="en-US"/>
        </w:rPr>
      </w:pPr>
      <w:r>
        <w:rPr>
          <w:rFonts w:hint="eastAsia" w:ascii="宋体" w:hAnsi="宋体" w:eastAsia="宋体" w:cs="宋体"/>
          <w:color w:val="auto"/>
          <w:highlight w:val="none"/>
          <w:u w:val="none"/>
          <w:lang w:val="en-US" w:eastAsia="zh-CN"/>
        </w:rPr>
        <w:t xml:space="preserve">联系方式：</w:t>
      </w:r>
      <w:r>
        <w:rPr>
          <w:rFonts w:hint="eastAsia" w:ascii="宋体" w:hAnsi="宋体" w:cs="宋体"/>
          <w:color w:val="auto"/>
          <w:highlight w:val="none"/>
          <w:u w:val="single"/>
          <w:lang w:val="en-US" w:eastAsia="zh-CN"/>
        </w:rPr>
        <w:t xml:space="preserve">13813157017</w:t>
      </w:r>
      <w:r/>
    </w:p>
    <w:p>
      <w:pPr>
        <w:pStyle w:val="789"/>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2.代理</w:t>
      </w:r>
      <w:r>
        <w:rPr>
          <w:rFonts w:hint="eastAsia" w:hAnsi="宋体" w:cs="宋体"/>
          <w:color w:val="auto"/>
          <w:sz w:val="21"/>
          <w:szCs w:val="21"/>
          <w:highlight w:val="none"/>
          <w:lang w:val="en-US" w:eastAsia="zh-CN"/>
        </w:rPr>
        <w:t xml:space="preserve">机构</w:t>
      </w:r>
      <w:r>
        <w:rPr>
          <w:rFonts w:hint="eastAsia" w:hAnsi="宋体" w:cs="宋体"/>
          <w:color w:val="auto"/>
          <w:sz w:val="21"/>
          <w:szCs w:val="21"/>
          <w:highlight w:val="none"/>
        </w:rPr>
        <w:t xml:space="preserve">信息</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名</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 称：</w:t>
      </w:r>
      <w:r>
        <w:rPr>
          <w:rFonts w:hint="eastAsia" w:ascii="宋体" w:hAnsi="宋体" w:cs="宋体"/>
          <w:color w:val="auto"/>
          <w:sz w:val="21"/>
          <w:szCs w:val="21"/>
          <w:highlight w:val="none"/>
          <w:u w:val="single"/>
          <w:lang w:val="en-US" w:eastAsia="zh-CN"/>
        </w:rPr>
        <w:t xml:space="preserve">江苏志诚工程咨询管理有限公司</w:t>
      </w:r>
      <w:r/>
    </w:p>
    <w:p>
      <w:pPr>
        <w:pStyle w:val="789"/>
        <w:ind w:firstLine="420"/>
        <w:spacing w:line="360" w:lineRule="auto"/>
        <w:rPr>
          <w:rFonts w:hint="eastAsia" w:hAnsi="宋体" w:cs="宋体"/>
          <w:color w:val="auto"/>
          <w:sz w:val="21"/>
          <w:szCs w:val="21"/>
          <w:highlight w:val="none"/>
          <w:u w:val="single"/>
        </w:rPr>
      </w:pPr>
      <w:r>
        <w:rPr>
          <w:rFonts w:hint="eastAsia" w:hAnsi="宋体" w:cs="宋体"/>
          <w:color w:val="auto"/>
          <w:sz w:val="21"/>
          <w:szCs w:val="21"/>
          <w:highlight w:val="none"/>
        </w:rPr>
        <w:t xml:space="preserve">地　　址：</w:t>
      </w:r>
      <w:r>
        <w:rPr>
          <w:rFonts w:hint="eastAsia" w:hAnsi="宋体" w:cs="宋体"/>
          <w:color w:val="auto"/>
          <w:sz w:val="21"/>
          <w:szCs w:val="21"/>
          <w:highlight w:val="none"/>
          <w:u w:val="single"/>
          <w:lang w:val="en-US" w:eastAsia="zh-CN" w:bidi="ar-SA"/>
        </w:rPr>
        <w:t xml:space="preserve">扬州市江都区浦江路38号五楼</w:t>
      </w:r>
      <w:r/>
    </w:p>
    <w:p>
      <w:pPr>
        <w:pStyle w:val="789"/>
        <w:ind w:firstLine="420"/>
        <w:spacing w:line="360" w:lineRule="auto"/>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rPr>
        <w:t xml:space="preserve">联</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xml:space="preserve">系</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xml:space="preserve">人：</w:t>
      </w:r>
      <w:r>
        <w:rPr>
          <w:rFonts w:hint="eastAsia" w:hAnsi="宋体" w:cs="宋体"/>
          <w:color w:val="auto"/>
          <w:sz w:val="21"/>
          <w:szCs w:val="21"/>
          <w:highlight w:val="none"/>
          <w:u w:val="single"/>
          <w:lang w:val="en-US" w:eastAsia="zh-CN"/>
        </w:rPr>
        <w:t xml:space="preserve">庄先生</w:t>
      </w:r>
      <w:r/>
    </w:p>
    <w:p>
      <w:pPr>
        <w:pStyle w:val="789"/>
        <w:ind w:firstLine="420"/>
        <w:spacing w:line="360" w:lineRule="auto"/>
        <w:rPr>
          <w:rFonts w:hAnsi="宋体" w:cs="宋体"/>
          <w:b w:val="0"/>
          <w:bCs w:val="0"/>
          <w:color w:val="auto"/>
          <w:sz w:val="21"/>
          <w:szCs w:val="21"/>
          <w:highlight w:val="none"/>
          <w:u w:val="single"/>
        </w:rPr>
      </w:pPr>
      <w:r>
        <w:rPr>
          <w:rFonts w:hint="eastAsia" w:hAnsi="宋体" w:cs="宋体"/>
          <w:b w:val="0"/>
          <w:bCs w:val="0"/>
          <w:color w:val="auto"/>
          <w:sz w:val="21"/>
          <w:szCs w:val="21"/>
          <w:highlight w:val="none"/>
        </w:rPr>
        <w:t xml:space="preserve">联系方式：</w:t>
      </w:r>
      <w:r>
        <w:rPr>
          <w:rFonts w:hint="eastAsia" w:hAnsi="宋体" w:cs="宋体"/>
          <w:color w:val="auto"/>
          <w:sz w:val="21"/>
          <w:szCs w:val="21"/>
          <w:highlight w:val="none"/>
          <w:u w:val="single"/>
          <w:lang w:val="en-US" w:eastAsia="zh-CN"/>
        </w:rPr>
        <w:t xml:space="preserve">0514-86538233</w:t>
      </w:r>
      <w:r/>
    </w:p>
    <w:p>
      <w:pPr>
        <w:rPr>
          <w:rFonts w:hint="eastAsia" w:ascii="宋体" w:hAnsi="宋体" w:eastAsia="宋体" w:cs="Times New Roman"/>
          <w:b/>
          <w:bCs/>
          <w:color w:val="auto"/>
          <w:sz w:val="36"/>
          <w:szCs w:val="36"/>
          <w:highlight w:val="none"/>
          <w:lang w:val="en-US" w:eastAsia="zh-CN"/>
        </w:rPr>
      </w:pPr>
      <w:r>
        <w:rPr>
          <w:color w:val="auto"/>
          <w:highlight w:val="none"/>
        </w:rPr>
        <w:br w:type="page" w:clear="all"/>
      </w:r>
      <w:r/>
    </w:p>
    <w:p>
      <w:pPr>
        <w:pStyle w:val="769"/>
        <w:jc w:val="center"/>
        <w:keepLines/>
        <w:keepNext/>
        <w:pageBreakBefore w:val="0"/>
        <w:spacing w:before="0" w:after="0" w:line="360" w:lineRule="auto"/>
        <w:widowControl w:val="off"/>
        <w:rPr>
          <w:color w:val="auto"/>
          <w:highlight w:val="none"/>
        </w:rPr>
      </w:pPr>
      <w:r/>
      <w:bookmarkStart w:id="36" w:name="_Toc55204178"/>
      <w:r/>
      <w:bookmarkStart w:id="37" w:name="_Toc25750"/>
      <w:r>
        <w:rPr>
          <w:rFonts w:hint="eastAsia" w:ascii="宋体" w:hAnsi="宋体" w:eastAsia="宋体" w:cs="Times New Roman"/>
          <w:b/>
          <w:bCs/>
          <w:color w:val="auto"/>
          <w:sz w:val="36"/>
          <w:szCs w:val="36"/>
          <w:highlight w:val="none"/>
          <w:lang w:val="en-US" w:eastAsia="zh-CN"/>
        </w:rPr>
        <w:t xml:space="preserve">第二章 投标人须知</w:t>
      </w:r>
      <w:bookmarkEnd w:id="36"/>
      <w:r/>
      <w:bookmarkEnd w:id="37"/>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1、招标方式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 本次招标采取公开招标方式，本招标文件仅适用于号项目。</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2、投标人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 本招标文件中“供应商”，即“投标人”，是指参加投标竞争，并符合招标文件规定资格条件的法人、其他组织或者自然人。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2.2合格的投标人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满足招标公告中供应商的资格条件要求的规定。</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满足本文件实质性条款的规定。</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3、适用法律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3.1 本次招标及由此产生的合同受中华人民共和国有关的法律法规制约和保护。</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4、投标费用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4.1 投标人应自行承担所有与参加投标有关的费用，无论投标过程中的做法和结果如 何，代理机构在任何情况下均无义务和责任承担这些费用。 </w:t>
      </w:r>
      <w:r/>
    </w:p>
    <w:p>
      <w:pPr>
        <w:ind w:firstLine="420"/>
        <w:spacing w:line="360" w:lineRule="auto"/>
        <w:rPr>
          <w:color w:val="auto"/>
          <w:highlight w:val="none"/>
        </w:rPr>
      </w:pPr>
      <w:r>
        <w:rPr>
          <w:color w:val="auto"/>
          <w:highlight w:val="none"/>
        </w:rPr>
        <w:t xml:space="preserve">4.</w:t>
      </w:r>
      <w:r>
        <w:rPr>
          <w:rFonts w:hint="eastAsia"/>
          <w:color w:val="auto"/>
          <w:highlight w:val="none"/>
        </w:rPr>
        <w:t xml:space="preserve">2本项目代理服务费参照《招标采购代理规范》相关规定按发改价格(2011)534号文的标准</w:t>
      </w:r>
      <w:r>
        <w:rPr>
          <w:rFonts w:hint="eastAsia"/>
          <w:color w:val="auto"/>
          <w:highlight w:val="none"/>
          <w:lang w:val="en-US" w:eastAsia="zh-CN"/>
        </w:rPr>
        <w:t xml:space="preserve">的65%</w:t>
      </w:r>
      <w:r>
        <w:rPr>
          <w:rFonts w:hint="eastAsia"/>
          <w:color w:val="auto"/>
          <w:highlight w:val="none"/>
        </w:rPr>
        <w:t xml:space="preserve">一次性支付给招标代理机构代理服务费。。</w:t>
      </w:r>
      <w:r/>
    </w:p>
    <w:p>
      <w:pPr>
        <w:ind w:firstLine="420"/>
        <w:spacing w:line="360" w:lineRule="auto"/>
        <w:rPr>
          <w:color w:val="auto"/>
          <w:highlight w:val="none"/>
        </w:rPr>
      </w:pPr>
      <w:r>
        <w:rPr>
          <w:color w:val="auto"/>
          <w:highlight w:val="none"/>
        </w:rPr>
        <w:t xml:space="preserve">（1）代理服务费以人民币支付；</w:t>
      </w:r>
      <w:r/>
    </w:p>
    <w:p>
      <w:pPr>
        <w:ind w:firstLine="420"/>
        <w:spacing w:line="360" w:lineRule="auto"/>
        <w:rPr>
          <w:color w:val="auto"/>
          <w:highlight w:val="none"/>
        </w:rPr>
      </w:pPr>
      <w:r>
        <w:rPr>
          <w:color w:val="auto"/>
          <w:highlight w:val="none"/>
        </w:rPr>
        <w:t xml:space="preserve">（2）代理服务费一次性以电汇、转账等非现金形式支付；</w:t>
      </w:r>
      <w:r/>
    </w:p>
    <w:p>
      <w:pPr>
        <w:ind w:firstLine="420"/>
        <w:spacing w:line="360" w:lineRule="auto"/>
        <w:rPr>
          <w:color w:val="auto"/>
          <w:highlight w:val="none"/>
        </w:rPr>
      </w:pPr>
      <w:r>
        <w:rPr>
          <w:color w:val="auto"/>
          <w:highlight w:val="none"/>
        </w:rPr>
        <w:t xml:space="preserve">（3）招标代理服务费不在投标报价中单列，包含在投标总价中，由中标单位支付给代理机构。</w:t>
      </w:r>
      <w:r/>
    </w:p>
    <w:p>
      <w:pPr>
        <w:ind w:firstLine="420"/>
        <w:spacing w:line="360" w:lineRule="auto"/>
        <w:rPr>
          <w:color w:val="auto"/>
          <w:highlight w:val="none"/>
        </w:rPr>
      </w:pPr>
      <w:r>
        <w:rPr>
          <w:color w:val="auto"/>
          <w:highlight w:val="none"/>
        </w:rPr>
        <w:t xml:space="preserve">招标代理服务费开户银行：</w:t>
      </w:r>
      <w:r>
        <w:rPr>
          <w:rFonts w:hint="eastAsia"/>
          <w:color w:val="auto"/>
          <w:highlight w:val="none"/>
        </w:rPr>
        <w:t xml:space="preserve">中国建设银行股份有限公司扬州江中支行</w:t>
      </w:r>
      <w:r/>
    </w:p>
    <w:p>
      <w:pPr>
        <w:ind w:firstLine="420"/>
        <w:spacing w:line="360" w:lineRule="auto"/>
        <w:rPr>
          <w:color w:val="auto"/>
          <w:highlight w:val="none"/>
        </w:rPr>
      </w:pPr>
      <w:r>
        <w:rPr>
          <w:color w:val="auto"/>
          <w:highlight w:val="none"/>
        </w:rPr>
        <w:t xml:space="preserve">开户名称：</w:t>
      </w:r>
      <w:r>
        <w:rPr>
          <w:rFonts w:hint="eastAsia"/>
          <w:color w:val="auto"/>
          <w:highlight w:val="none"/>
        </w:rPr>
        <w:t xml:space="preserve">江苏志诚工程咨询管理有限公司江都分公司</w:t>
      </w:r>
      <w:r/>
    </w:p>
    <w:p>
      <w:pPr>
        <w:ind w:firstLine="420"/>
        <w:spacing w:line="360" w:lineRule="auto"/>
        <w:rPr>
          <w:color w:val="auto"/>
          <w:highlight w:val="none"/>
        </w:rPr>
      </w:pPr>
      <w:r>
        <w:rPr>
          <w:color w:val="auto"/>
          <w:highlight w:val="none"/>
        </w:rPr>
        <w:t xml:space="preserve">开户帐号：32050174775200000059</w:t>
      </w:r>
      <w:r/>
    </w:p>
    <w:p>
      <w:pPr>
        <w:ind w:firstLine="420"/>
        <w:spacing w:line="360" w:lineRule="auto"/>
        <w:rPr>
          <w:rFonts w:hint="eastAsia" w:ascii="宋体" w:hAnsi="宋体" w:eastAsia="宋体" w:cs="宋体"/>
          <w:color w:val="auto"/>
          <w:highlight w:val="none"/>
        </w:rPr>
      </w:pPr>
      <w:r>
        <w:rPr>
          <w:color w:val="auto"/>
          <w:highlight w:val="none"/>
        </w:rPr>
        <w:t xml:space="preserve">4.</w:t>
      </w:r>
      <w:r>
        <w:rPr>
          <w:rFonts w:hint="eastAsia"/>
          <w:color w:val="auto"/>
          <w:highlight w:val="none"/>
        </w:rPr>
        <w:t xml:space="preserve">3</w:t>
      </w:r>
      <w:r>
        <w:rPr>
          <w:color w:val="auto"/>
          <w:highlight w:val="none"/>
        </w:rPr>
        <w:t xml:space="preserve">专家评审费按扬财购【2020】40 号文《关于</w:t>
      </w:r>
      <w:r>
        <w:rPr>
          <w:rFonts w:hint="eastAsia"/>
          <w:color w:val="auto"/>
          <w:highlight w:val="none"/>
        </w:rPr>
        <w:t xml:space="preserve">进一步</w:t>
      </w:r>
      <w:r>
        <w:rPr>
          <w:color w:val="auto"/>
          <w:highlight w:val="none"/>
        </w:rPr>
        <w:t xml:space="preserve">规范扬州市政府采购专家评审费标准的通知》执行。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5、招标文件的约束力</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5.1 投标人一旦参加本项目采购活动，即被认为接受了本招标文件的规定和约束。</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6、招标文件构成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6.1 招标文件有以下部分组成：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（1）招标公告</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（2）投标人须知</w:t>
      </w:r>
      <w:r>
        <w:rPr>
          <w:rFonts w:hint="eastAsia" w:ascii="宋体" w:hAnsi="宋体" w:eastAsia="宋体" w:cs="宋体"/>
          <w:bCs/>
          <w:color w:val="auto"/>
          <w:szCs w:val="21"/>
          <w:highlight w:val="none"/>
        </w:rPr>
        <w:tab/>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（3）合同条款及格式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（4）项目需求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（5）评标方法与评标标准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（6）投标文件格式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请仔细检查招标文件是否齐全，如有缺漏请立即与代理机构联系解决。</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6.3 招标文件如果要求供应商提交备选投标方案的，供应商可以提交备选方案；否则，备选方案将被拒绝。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7、招标文件的澄清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8、招标文件的修改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8.1 在投标截止时间前，代理机构可以对招标文件进行修改。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8.3招标文件的修改将在“扬州市政府采购网”、“江苏省政府采购网”公布，补充文件将作为招标文件的组成部分，并对投标人具有约束力。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9、投标文件的语言、度量衡单位、货币</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9.2 除技术性能另有规定外，投标文件所使用的度量衡单位，均须采用国家法定计量单位。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9.3投标人应使用人民币报价。</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10、投标文件构成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10.1投标文件由以下部分组成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（1）资格审查响应对照表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（2）符合性审查响应对照表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（3）非实质性响应对照表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（4）开标一览表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（5）分项报价表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（6）技术参数响应及偏离表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（7）商务条款响应及偏离表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（8）其他 （投标人认为有必要提供的声明和文件，如有自拟并自行添加）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11、证明投标人资格及符合招标文件规定的文件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11.1投标人应按要求提交资格证明文件及符合招标文件规定的文件。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11.2投标人应提交证明其有资格参加投标和中标后有能力独立履行合同的文件。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11.3投标人除必须具有履行合同所需提供的产品或服务的能力外，还必须具备相应的财务、技术方面的能力。</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11.4投标人应提交根据合同要求提供的证明服务质量合格以及符合招标文件规定的证明文件。</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11.5证明投标人所提供服务与招标文件的要求相一致的文件可以是手册、图纸、文字资料和数据。</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12、投标配置与分项报价表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12.2 标的物</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采购人需求的服务供应、安装，调试及有关技术服务等。</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12.3有关费用处理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12.4其它费用处理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招标文件未列明，而投标人认为必需的费用也需列入报价。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12.5投标货币</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投标文件中的服务单价和总价无特殊规定的采用人民币报价，以元为单位标注。招标文件中另有规定的按规定执行。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12.6 投标配置与分项报价表上的价格应按下列方式分开填写：</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2、项目单价按投标配置及分项报价表中要求填报。</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13、技术参数响应及偏离表、商务条款响应及偏离表及投标货物说明</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13.1 对招标文件中的技术与商务条款要求逐项作出响应或偏离，并说明原因；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13.2 提供参加本项目类似案例简介；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13.3 培训计划；</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13.4 详细阐述所投货物的主要组成部分、功能设计、实现思路及关键技术；</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13.5 投标人认为需要的其他技术文件或说明。</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14、服务承诺及售后服务机构、人员的情况介绍</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14.1投标人的服务承诺应按不低于招标文件中商务要求的标准。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15、投标函和开标一览表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15.1 投标人应按照招标文件中提供的格式完整、正确填写投标函、开标一览表。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16、投标有效期</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eastAsia="宋体" w:cs="宋体"/>
          <w:b/>
          <w:color w:val="auto"/>
          <w:szCs w:val="21"/>
          <w:highlight w:val="none"/>
        </w:rPr>
      </w:pPr>
      <w:r/>
      <w:bookmarkStart w:id="38" w:name="_Toc20823297"/>
      <w:r/>
      <w:bookmarkStart w:id="39" w:name="_Toc513029225"/>
      <w:r/>
      <w:bookmarkStart w:id="40" w:name="_Toc462564084"/>
      <w:r/>
      <w:bookmarkStart w:id="41" w:name="_Toc16938541"/>
      <w:r>
        <w:rPr>
          <w:rFonts w:hint="eastAsia" w:ascii="宋体" w:hAnsi="宋体" w:eastAsia="宋体" w:cs="宋体"/>
          <w:b/>
          <w:color w:val="auto"/>
          <w:szCs w:val="21"/>
          <w:highlight w:val="none"/>
        </w:rPr>
        <w:t xml:space="preserve">17、投标文件</w:t>
      </w:r>
      <w:bookmarkEnd w:id="38"/>
      <w:r/>
      <w:bookmarkEnd w:id="39"/>
      <w:r/>
      <w:bookmarkEnd w:id="40"/>
      <w:r/>
      <w:bookmarkEnd w:id="41"/>
      <w:r>
        <w:rPr>
          <w:rFonts w:hint="eastAsia" w:ascii="宋体" w:hAnsi="宋体" w:eastAsia="宋体" w:cs="宋体"/>
          <w:b/>
          <w:color w:val="auto"/>
          <w:szCs w:val="21"/>
          <w:highlight w:val="none"/>
        </w:rPr>
        <w:t xml:space="preserve">的递交</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17.1 电子投标文件的递交投标人应当按照《操作手册》规定，在投标截止时间前制作并上传电子投标文件。</w:t>
      </w:r>
      <w:bookmarkStart w:id="42" w:name="_Toc20823298"/>
      <w:r/>
      <w:bookmarkStart w:id="43" w:name="_Toc16938542"/>
      <w:r/>
      <w:bookmarkStart w:id="44" w:name="_Toc513029226"/>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17.2</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17.3投标人应对 CA 证书妥善保管，如被他人盗用投标，因此带来的结果均由投标人自行承担。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17.4投标人应当对招标文件提出的要求和条件作出实质性响应，并在电子投标系统逐条应答。</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17.7各投标人应在规定时间内凭CA证书进行网上解密。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18、投标截止日期</w:t>
      </w:r>
      <w:bookmarkEnd w:id="42"/>
      <w:r/>
      <w:bookmarkEnd w:id="43"/>
      <w:r/>
      <w:bookmarkEnd w:id="44"/>
      <w:r/>
      <w:r/>
    </w:p>
    <w:p>
      <w:pPr>
        <w:ind w:firstLine="420"/>
        <w:spacing w:line="360" w:lineRule="auto"/>
        <w:rPr>
          <w:rFonts w:hint="eastAsia" w:ascii="宋体" w:hAnsi="宋体" w:eastAsia="宋体" w:cs="宋体"/>
          <w:bCs/>
          <w:i/>
          <w:iCs/>
          <w:color w:val="auto"/>
          <w:szCs w:val="21"/>
          <w:highlight w:val="none"/>
          <w:u w:val="single"/>
        </w:rPr>
      </w:pPr>
      <w:r>
        <w:rPr>
          <w:rFonts w:hint="eastAsia" w:ascii="宋体" w:hAnsi="宋体" w:eastAsia="宋体" w:cs="宋体"/>
          <w:bCs/>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eastAsia="宋体" w:cs="宋体"/>
          <w:b/>
          <w:color w:val="auto"/>
          <w:szCs w:val="21"/>
          <w:highlight w:val="none"/>
        </w:rPr>
      </w:pPr>
      <w:r/>
      <w:bookmarkStart w:id="45" w:name="_Toc513029227"/>
      <w:r/>
      <w:bookmarkStart w:id="46" w:name="_Toc16938543"/>
      <w:r/>
      <w:bookmarkStart w:id="47" w:name="_Toc20823299"/>
      <w:r>
        <w:rPr>
          <w:rFonts w:hint="eastAsia" w:ascii="宋体" w:hAnsi="宋体" w:eastAsia="宋体" w:cs="宋体"/>
          <w:b/>
          <w:color w:val="auto"/>
          <w:szCs w:val="21"/>
          <w:highlight w:val="none"/>
        </w:rPr>
        <w:t xml:space="preserve">19、投标文件</w:t>
      </w:r>
      <w:bookmarkEnd w:id="45"/>
      <w:r/>
      <w:bookmarkEnd w:id="46"/>
      <w:r/>
      <w:bookmarkEnd w:id="47"/>
      <w:r>
        <w:rPr>
          <w:rFonts w:hint="eastAsia" w:ascii="宋体" w:hAnsi="宋体" w:eastAsia="宋体" w:cs="宋体"/>
          <w:b/>
          <w:color w:val="auto"/>
          <w:szCs w:val="21"/>
          <w:highlight w:val="none"/>
        </w:rPr>
        <w:t xml:space="preserve">的拒收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19.1代理机构拒绝接收在其规定的投标截止时间后上传的任何投标文件。</w:t>
      </w:r>
      <w:r/>
    </w:p>
    <w:p>
      <w:pPr>
        <w:ind w:firstLine="422"/>
        <w:spacing w:line="360" w:lineRule="auto"/>
        <w:rPr>
          <w:rFonts w:hint="eastAsia" w:ascii="宋体" w:hAnsi="宋体" w:eastAsia="宋体" w:cs="宋体"/>
          <w:b/>
          <w:color w:val="auto"/>
          <w:szCs w:val="21"/>
          <w:highlight w:val="none"/>
        </w:rPr>
      </w:pPr>
      <w:r/>
      <w:bookmarkStart w:id="48" w:name="_Toc513029228"/>
      <w:r/>
      <w:bookmarkStart w:id="49" w:name="_Toc16938544"/>
      <w:r/>
      <w:bookmarkStart w:id="50" w:name="_Toc20823300"/>
      <w:r>
        <w:rPr>
          <w:rFonts w:hint="eastAsia" w:ascii="宋体" w:hAnsi="宋体" w:eastAsia="宋体" w:cs="宋体"/>
          <w:b/>
          <w:color w:val="auto"/>
          <w:szCs w:val="21"/>
          <w:highlight w:val="none"/>
        </w:rPr>
        <w:t xml:space="preserve">20、投标文件的撤回和修改</w:t>
      </w:r>
      <w:bookmarkEnd w:id="48"/>
      <w:r/>
      <w:bookmarkEnd w:id="49"/>
      <w:r/>
      <w:bookmarkEnd w:id="50"/>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 投标文件的撤回</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20.1.1 电子投标文件的撤回</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投标人可在投标截止时间前，撤回其电子投标文件，具体操作方法见《操作手册》。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20.1.2 投标人撤回电子投标文件，则认为其不再参与本项目投标活动。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20.2 投标文件的修改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投标人可在投标截止时间前，对其电子投标文件进行修改，具体操作方法见《操作手册》。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20.3 在投标截止时间之后，投标人不得对其电子投标文件作任何修改。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21、开标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rPr>
          <w:rFonts w:hint="eastAsia" w:ascii="宋体" w:hAnsi="宋体" w:eastAsia="宋体" w:cs="宋体"/>
          <w:b/>
          <w:color w:val="auto"/>
          <w:szCs w:val="21"/>
          <w:highlight w:val="none"/>
        </w:rPr>
        <w:t xml:space="preserve">21.2开标仪式由代理机构组织。“政府采购管理交易系统（苏采云）”将自动对项目进行开标，并宣读各投标人的《开标一览表》。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21.3投标人在开标过程中涉及到的投标文件解密、开标结果确认等工作，应按照《操作手册》规定执行。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22、评标委员会</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22.1 开标后，代理机构将立即组织评标委员会（以下简称评委会）进行评标。</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22.2 评委会由采购人代表和有关技术、经济等方面的专家组成，且人员构成符合政府采购有关规定。</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22.3评委会独立工作，负责评审所有投标文件并确定中标候选人。</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23、评标过程的保密与公正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23.3 在评标期间，代理机构将设专门工作人员与投标人联系。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24、投标的澄清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24.3 接到评委会澄清要求的投标人如未按规定做出澄清，其风险由投标人自行承担。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25、对投标文件的初审</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25.1投标文件初审分为资格审查和符合性审查。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（2）大写金额与小写金额不一致的，以大写金额为准。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同时出现两种以上错误的，按照前款规定的顺序修正。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非单一产品采购项目，招标文件中将载明其中的核心产品。多家投标人提供的核心产品品牌相同的，按前两款规定处理。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25.8 投标人在开、评标全过程中应保持通讯畅通，并安排专人与代理机构及评委会联系。</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26、无效投标、废标及投标人不足三家的处理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26.1无效投标条款</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 投标人未成功解密电子投标文件的。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26.1.2 投标人未按照招标文件要求上传电子投标文件的。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26.1.3投标人在报价时采用选择性报价的。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26.1.4投标人不具备招标文件中规定资格要求的。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26.1.5投标人的报价超过了采购预算或最高限价的。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26.1.6未通过符合性审查的。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26.1.7不符合招标文件中规定的其他实质性要求和条件的（</w:t>
      </w:r>
      <w:r>
        <w:rPr>
          <w:rFonts w:hint="eastAsia" w:ascii="宋体" w:hAnsi="宋体" w:eastAsia="宋体" w:cs="宋体"/>
          <w:bCs/>
          <w:i/>
          <w:iCs/>
          <w:color w:val="auto"/>
          <w:szCs w:val="21"/>
          <w:highlight w:val="none"/>
          <w:u w:val="single"/>
        </w:rPr>
        <w:t xml:space="preserve">本招标文件中斜体且有下划线部分为实质性要求和条件</w:t>
      </w:r>
      <w:r>
        <w:rPr>
          <w:rFonts w:hint="eastAsia" w:ascii="宋体" w:hAnsi="宋体" w:eastAsia="宋体" w:cs="宋体"/>
          <w:bCs/>
          <w:color w:val="auto"/>
          <w:szCs w:val="21"/>
          <w:highlight w:val="none"/>
        </w:rPr>
        <w:t xml:space="preserve">）。</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26.1.9  投标文件含有采购人不能接受的附加条件的。</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 异常低价投标（响应）</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26.1.10.3投标（响应）报价低于采购项目最高限价 45% 的，即投标（响应）报价&lt;采购项目最高限价×45% ；</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26.1.10.4评审委员会认定的供应商报价过低、有可能影响产品质量或者不能诚信履约的其他情形。</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
          <w:bCs w:val="0"/>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26.1.12 投标文件未按照招标文件要求加盖电子签章。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26.1.13其他法律、法规及本招标文件规定的属无效投标的情形。</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26.2废标条款：</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26.2.1符合专业条件的供应商或者对招标文件作实质响应的供应商不足三家的。26.2.2出现影响采购公正的违法、违规行为的。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26.2.3因重大变故，采购任务取消的。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26.2.4评委会认定招标文件存在歧义、重大缺陷导致评审工作无法进行。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 投标截止时间结束后参加投标的供应商不足三家的处理：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27、确定中标单位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27.1评委会根据本招标文件规定评标方法与评标标准向采购人推荐出中标候选人。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 采购人应根据评委会推荐的中标候选人确定中标人。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27.3代理机构将在“扬州市政府采购网”、“江苏省政府采购网”发布中标公告，公告期限为1个工作日。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27.4若有充分证据证明，中标人出现下列情况之一的，一经查实，将被取消中标资格：</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27.4.1提供虚假材料谋取中标的；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27.4.2向采购人、代理机构行贿或者提供其他不正当利益的；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27.4.3恶意竞争，投标总报价明显低于其自身合理成本且又无法提供证明的；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27.4.4属于本文件规定的无效条件，但在评标过程中又未被评委会发现的；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27.4.5与采购人或者其他投标人恶意串通的；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27.4.6采取不正当手段诋毁、排挤其他供应商的；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27.4.7不符合法律、法规的规定的。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 有下列情形之一的，视为投标人串通投标，投标无效：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27.5.1不同投标人的投标文件由同一单位或者个人编制。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27.5.2不同投标人委托同一单位或者个人办理投标事宜。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27.5.3 不同投标人的投标文件载明的项目管理成员或者联系人员为同一人。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27.5.4不同投标人的投标文件异常一致或者投标报价呈规律性差异。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27.5.5不同投标人的投标文件相互混装。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28、质疑处理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对项目需求部分的质疑，潜在供应商应向采购人提出，由采购人负责答复。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28.2.1对采购文件提出质疑的，应当在获取采购文件之日或者采购文件公告期限届满之日起7个工作日内提出。</w:t>
      </w:r>
      <w:r>
        <w:rPr>
          <w:rFonts w:hint="eastAsia" w:ascii="宋体" w:hAnsi="宋体" w:eastAsia="宋体" w:cs="宋体"/>
          <w:bCs/>
          <w:color w:val="auto"/>
          <w:szCs w:val="21"/>
          <w:highlight w:val="none"/>
        </w:rPr>
        <w:br/>
      </w:r>
      <w:r>
        <w:rPr>
          <w:rFonts w:hint="eastAsia" w:ascii="宋体" w:hAnsi="宋体" w:eastAsia="宋体" w:cs="宋体"/>
          <w:bCs/>
          <w:color w:val="auto"/>
          <w:szCs w:val="21"/>
          <w:highlight w:val="none"/>
        </w:rPr>
        <w:t xml:space="preserve">    28.2.2对采购过程提出质疑的，为各采购程序环节结束之日起7个工作日内提出。</w:t>
      </w:r>
      <w:r>
        <w:rPr>
          <w:rFonts w:hint="eastAsia" w:ascii="宋体" w:hAnsi="宋体" w:eastAsia="宋体" w:cs="宋体"/>
          <w:bCs/>
          <w:color w:val="auto"/>
          <w:szCs w:val="21"/>
          <w:highlight w:val="none"/>
        </w:rPr>
        <w:br/>
      </w:r>
      <w:r>
        <w:rPr>
          <w:rFonts w:hint="eastAsia" w:ascii="宋体" w:hAnsi="宋体" w:eastAsia="宋体" w:cs="宋体"/>
          <w:bCs/>
          <w:color w:val="auto"/>
          <w:szCs w:val="21"/>
          <w:highlight w:val="none"/>
        </w:rPr>
        <w:t xml:space="preserve">    28.2.3对中标结果提出质疑的，为中标结果公告期限届满之日起7个工作日内提出。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28.5 代理机构及采购人只接收以纸质原件形式送达的质疑。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采购人质疑接收人及联系方式见招标文件第一章。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28.7质疑人应当在法定质疑期限内进行补正并重新提交质疑函。</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 以下情形的质疑不予受理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28.8.1 内容不符合《政府采购质疑和投诉办法》第十二条规定的质疑。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28.8.2 超出政府采购法定期限的质疑。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28.8.3 以传真、电子邮件等方式递交的非原件形式的质疑。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28.8.4 未参加投标活动的供应商或在投标活动中自身权益未受到损害的供应商所提出的质疑。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29、中标通知书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29.l 中标结果确定后，代理机构将向中标人发出中标通知书。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29.2 中标人可在“政府采购管理交易系统（苏采云）”中标通知书下载模块中自行下载中标通知书。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30、 签订合同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30.l中标人应在中标通知书发出之日起十五日内，按照招标文件确定的事项与采购人签订政府采购合同。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30.2 招标文件、中标人的投标文件及招标过程中有关澄清、承诺文件均应作为合同附件。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30.3 合同在“政府采购管理交易系统（苏采云）”中签订，签订合同后，</w:t>
      </w:r>
      <w:r>
        <w:rPr>
          <w:rFonts w:hint="eastAsia" w:ascii="宋体" w:hAnsi="宋体" w:eastAsia="宋体" w:cs="宋体"/>
          <w:bCs/>
          <w:i/>
          <w:iCs/>
          <w:color w:val="auto"/>
          <w:szCs w:val="21"/>
          <w:highlight w:val="none"/>
          <w:u w:val="single"/>
        </w:rPr>
        <w:t xml:space="preserve">中标人不得将货物或服务及其他服务进行转包</w:t>
      </w:r>
      <w:r>
        <w:rPr>
          <w:rFonts w:hint="eastAsia" w:ascii="宋体" w:hAnsi="宋体" w:eastAsia="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31、电子投标文件要求</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31.1</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31.2投标人应对 CA 证书妥善保管，如被他人盗用投标，因此带来的结果均由投标人自行承担。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31.3投标人应当对招标文件提出的要求和条件作出实质性响应，并在电子投标系统逐条应答。</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1"/>
        </w:num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提交投标文件的截止时间（投标截止时间）</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32.2各投标人应在规定时间内凭CA证书进行网上解密。</w:t>
      </w:r>
      <w:r/>
    </w:p>
    <w:p>
      <w:pPr>
        <w:ind w:firstLine="420"/>
        <w:spacing w:line="360" w:lineRule="auto"/>
        <w:rPr>
          <w:rFonts w:ascii="宋体" w:hAnsi="宋体"/>
          <w:bCs/>
          <w:color w:val="auto"/>
          <w:szCs w:val="21"/>
          <w:highlight w:val="none"/>
        </w:rPr>
      </w:pPr>
      <w:r>
        <w:rPr>
          <w:rFonts w:hint="eastAsia" w:ascii="宋体" w:hAnsi="宋体" w:eastAsia="宋体" w:cs="宋体"/>
          <w:b/>
          <w:bCs/>
          <w:color w:val="auto"/>
          <w:highlight w:val="none"/>
        </w:rPr>
        <w:t xml:space="preserve">33、其他</w:t>
      </w:r>
      <w:r>
        <w:rPr>
          <w:rFonts w:hint="eastAsia" w:ascii="宋体" w:hAnsi="宋体" w:eastAsia="宋体" w:cs="宋体"/>
          <w:color w:val="auto"/>
          <w:highlight w:val="none"/>
        </w:rPr>
        <w:br/>
      </w:r>
      <w:r>
        <w:rPr>
          <w:rFonts w:hint="eastAsia" w:ascii="宋体" w:hAnsi="宋体" w:eastAsia="宋体" w:cs="宋体"/>
          <w:color w:val="auto"/>
          <w:highlight w:val="none"/>
        </w:rPr>
        <w:t xml:space="preserve">    33.1 依据《政府采购促进中小企业发展管理办法》享受享受扶持政策获得政府采购合同的，小微企业不得将合同分包给大中型企业，中型企业不得将合同分包给大型企业。</w:t>
      </w:r>
      <w:r>
        <w:rPr>
          <w:rFonts w:hint="eastAsia" w:ascii="宋体" w:hAnsi="宋体"/>
          <w:bCs/>
          <w:color w:val="auto"/>
          <w:szCs w:val="21"/>
          <w:highlight w:val="none"/>
        </w:rPr>
        <w:br w:type="page" w:clear="all"/>
      </w:r>
      <w:r/>
    </w:p>
    <w:p>
      <w:pPr>
        <w:pStyle w:val="769"/>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bookmarkStart w:id="51" w:name="_Toc16060"/>
      <w:r/>
      <w:bookmarkStart w:id="52" w:name="_Toc55204179"/>
      <w:r>
        <w:rPr>
          <w:rFonts w:hint="eastAsia" w:ascii="宋体" w:hAnsi="宋体" w:eastAsia="宋体" w:cs="Times New Roman"/>
          <w:b/>
          <w:bCs/>
          <w:color w:val="auto"/>
          <w:sz w:val="36"/>
          <w:szCs w:val="36"/>
          <w:highlight w:val="none"/>
          <w:lang w:val="en-US" w:eastAsia="zh-CN"/>
        </w:rPr>
        <w:t xml:space="preserve">第三章 合同条款及格式</w:t>
      </w:r>
      <w:bookmarkEnd w:id="51"/>
      <w:r/>
      <w:bookmarkEnd w:id="52"/>
      <w:r/>
      <w:r/>
    </w:p>
    <w:p>
      <w:pPr>
        <w:pStyle w:val="973"/>
        <w:ind w:firstLine="420"/>
        <w:spacing w:before="120"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以下为中标后签定本项目合同的通用条款，中标人不得提出实质性的修改，关于专用条款将由采购人与中标人结合本项目具体情况协商后签订。</w:t>
      </w:r>
      <w:r/>
    </w:p>
    <w:p>
      <w:pPr>
        <w:pStyle w:val="973"/>
        <w:ind w:firstLine="422"/>
        <w:jc w:val="center"/>
        <w:spacing w:before="120" w:after="120"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扬州市政府采购合同（货物）（合同编号）</w:t>
      </w:r>
      <w:r/>
    </w:p>
    <w:p>
      <w:pPr>
        <w:pStyle w:val="973"/>
        <w:ind w:firstLine="420"/>
        <w:spacing w:before="120"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项目名称：</w:t>
      </w:r>
      <w:r>
        <w:rPr>
          <w:rFonts w:hint="eastAsia" w:hAnsi="宋体" w:eastAsia="宋体" w:cs="宋体"/>
          <w:color w:val="auto"/>
          <w:sz w:val="21"/>
          <w:szCs w:val="21"/>
          <w:highlight w:val="none"/>
          <w:u w:val="single"/>
          <w:lang w:val="en-US" w:eastAsia="zh-CN"/>
        </w:rPr>
        <w:t xml:space="preserve"> </w:t>
      </w:r>
      <w:r>
        <w:rPr>
          <w:rFonts w:hint="eastAsia" w:hAnsi="宋体" w:cs="宋体"/>
          <w:color w:val="auto"/>
          <w:sz w:val="21"/>
          <w:szCs w:val="21"/>
          <w:highlight w:val="none"/>
          <w:u w:val="single"/>
          <w:lang w:val="en-US" w:eastAsia="zh-CN"/>
        </w:rPr>
        <w:t xml:space="preserve">         </w:t>
      </w:r>
      <w:r>
        <w:rPr>
          <w:rFonts w:hint="eastAsia"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                                     </w:t>
      </w:r>
      <w:r/>
    </w:p>
    <w:p>
      <w:pPr>
        <w:pStyle w:val="973"/>
        <w:ind w:firstLine="420"/>
        <w:spacing w:before="120" w:after="120" w:line="360" w:lineRule="auto"/>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eastAsia="zh-CN"/>
        </w:rPr>
        <w:t xml:space="preserve">项目编号：</w:t>
      </w:r>
      <w:r>
        <w:rPr>
          <w:rFonts w:hint="eastAsia" w:hAnsi="宋体" w:eastAsia="宋体" w:cs="宋体"/>
          <w:color w:val="auto"/>
          <w:sz w:val="21"/>
          <w:szCs w:val="21"/>
          <w:highlight w:val="none"/>
          <w:u w:val="single"/>
          <w:lang w:val="en-US" w:eastAsia="zh-CN"/>
        </w:rPr>
        <w:t xml:space="preserve">  </w:t>
      </w:r>
      <w:r>
        <w:rPr>
          <w:rFonts w:hint="eastAsia" w:hAnsi="宋体" w:cs="宋体"/>
          <w:color w:val="auto"/>
          <w:sz w:val="21"/>
          <w:szCs w:val="21"/>
          <w:highlight w:val="none"/>
          <w:u w:val="single"/>
          <w:lang w:val="en-US" w:eastAsia="zh-CN"/>
        </w:rPr>
        <w:t xml:space="preserve">         </w:t>
      </w:r>
      <w:r>
        <w:rPr>
          <w:rFonts w:hint="eastAsia" w:hAnsi="宋体" w:eastAsia="宋体" w:cs="宋体"/>
          <w:color w:val="auto"/>
          <w:sz w:val="21"/>
          <w:szCs w:val="21"/>
          <w:highlight w:val="none"/>
          <w:u w:val="single"/>
          <w:lang w:val="en-US" w:eastAsia="zh-CN"/>
        </w:rPr>
        <w:t xml:space="preserve"> </w:t>
      </w:r>
      <w:r/>
    </w:p>
    <w:p>
      <w:pPr>
        <w:pStyle w:val="973"/>
        <w:ind w:firstLine="420"/>
        <w:spacing w:before="120"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b/>
          <w:bCs/>
          <w:color w:val="auto"/>
          <w:sz w:val="21"/>
          <w:szCs w:val="21"/>
          <w:highlight w:val="none"/>
          <w:lang w:eastAsia="zh-CN"/>
        </w:rPr>
        <w:t xml:space="preserve">（采购人）：</w:t>
      </w:r>
      <w:r>
        <w:rPr>
          <w:rFonts w:hint="eastAsia" w:ascii="宋体" w:hAnsi="宋体" w:eastAsia="宋体" w:cs="宋体"/>
          <w:b/>
          <w:bCs/>
          <w:color w:val="auto"/>
          <w:sz w:val="21"/>
          <w:szCs w:val="21"/>
          <w:highlight w:val="none"/>
          <w:u w:val="single"/>
          <w:lang w:eastAsia="zh-CN"/>
        </w:rPr>
        <w:t xml:space="preserve">扬州市江都区教育局</w:t>
      </w:r>
      <w:r/>
    </w:p>
    <w:p>
      <w:pPr>
        <w:pStyle w:val="973"/>
        <w:ind w:firstLine="420"/>
        <w:spacing w:before="120" w:after="120" w:line="360" w:lineRule="auto"/>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b/>
          <w:bCs/>
          <w:color w:val="auto"/>
          <w:sz w:val="21"/>
          <w:szCs w:val="21"/>
          <w:highlight w:val="none"/>
          <w:lang w:eastAsia="zh-CN"/>
        </w:rPr>
        <w:t xml:space="preserve">（供应商）</w:t>
      </w:r>
      <w:r>
        <w:rPr>
          <w:rFonts w:hint="eastAsia" w:ascii="宋体" w:hAnsi="宋体" w:eastAsia="宋体" w:cs="宋体"/>
          <w:color w:val="auto"/>
          <w:sz w:val="21"/>
          <w:szCs w:val="21"/>
          <w:highlight w:val="none"/>
          <w:lang w:eastAsia="zh-CN"/>
        </w:rPr>
        <w:t xml:space="preserve">：</w:t>
      </w:r>
      <w:r>
        <w:rPr>
          <w:rFonts w:hint="eastAsia" w:hAnsi="宋体" w:cs="宋体"/>
          <w:color w:val="auto"/>
          <w:sz w:val="21"/>
          <w:szCs w:val="21"/>
          <w:highlight w:val="none"/>
          <w:u w:val="single"/>
          <w:lang w:val="en-US" w:eastAsia="zh-CN"/>
        </w:rPr>
        <w:t xml:space="preserve">                  </w:t>
      </w:r>
      <w:r/>
    </w:p>
    <w:p>
      <w:pPr>
        <w:pStyle w:val="973"/>
        <w:ind w:firstLine="420"/>
        <w:spacing w:before="120"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根据《中华人民共和国政府采购法》、《中华人民共和国民法典》等法律法规的规定，甲乙双方按照本项目结果签订本合同。</w:t>
      </w:r>
      <w:r/>
    </w:p>
    <w:p>
      <w:pPr>
        <w:pStyle w:val="973"/>
        <w:ind w:firstLine="422"/>
        <w:spacing w:before="120" w:after="120"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一、货物及产品内容</w:t>
      </w:r>
      <w:r/>
    </w:p>
    <w:p>
      <w:pPr>
        <w:pStyle w:val="789"/>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货物及服务名称：</w:t>
      </w:r>
      <w:r/>
    </w:p>
    <w:p>
      <w:pPr>
        <w:pStyle w:val="789"/>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型号规格：</w:t>
      </w:r>
      <w:r/>
    </w:p>
    <w:p>
      <w:pPr>
        <w:pStyle w:val="789"/>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数量（单位）：</w:t>
      </w:r>
      <w:r/>
    </w:p>
    <w:p>
      <w:pPr>
        <w:pStyle w:val="973"/>
        <w:ind w:firstLine="422"/>
        <w:spacing w:before="120" w:after="120"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二、合同金额</w:t>
      </w:r>
      <w:r/>
    </w:p>
    <w:p>
      <w:pPr>
        <w:pStyle w:val="973"/>
        <w:ind w:firstLine="420"/>
        <w:spacing w:before="120"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2.1 本合同总金额为（大写）：________元人民币（¥</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w:t>
      </w:r>
      <w:r/>
    </w:p>
    <w:p>
      <w:pPr>
        <w:pStyle w:val="973"/>
        <w:ind w:firstLine="211"/>
        <w:spacing w:before="120" w:after="120"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三、技术资料</w:t>
      </w:r>
      <w:r/>
    </w:p>
    <w:p>
      <w:pPr>
        <w:pStyle w:val="973"/>
        <w:ind w:firstLine="420"/>
        <w:spacing w:before="120"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3.1乙方应按采购文件规定的时间向甲方提供使用货物及服务的有关技术资料。</w:t>
      </w:r>
      <w:r/>
    </w:p>
    <w:p>
      <w:pPr>
        <w:pStyle w:val="973"/>
        <w:ind w:firstLine="420"/>
        <w:spacing w:before="120"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3.2 没有甲方事先书面同意，乙方不得将由甲方提供的有关合同或任何合同条文或资料提供给与履行本合同无关的任何其他人。即使向履行本合同有关的人员提供，也应注意保密并限于履行合同的必需范围。</w:t>
      </w:r>
      <w:r/>
    </w:p>
    <w:p>
      <w:pPr>
        <w:pStyle w:val="973"/>
        <w:ind w:firstLine="422"/>
        <w:spacing w:before="120" w:after="120"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四、知识产权</w:t>
      </w:r>
      <w:r/>
    </w:p>
    <w:p>
      <w:pPr>
        <w:pStyle w:val="973"/>
        <w:ind w:firstLine="420"/>
        <w:spacing w:before="120"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乙方应保证甲方在使用、接受本合同货物及服务或其任何一部分时，不受第三方提出侵犯其专利权、版权、商标权和工业设计权等知识产权的起诉。一旦出现侵权，由乙方负全部责任。</w:t>
      </w:r>
      <w:r/>
    </w:p>
    <w:p>
      <w:pPr>
        <w:pStyle w:val="973"/>
        <w:ind w:firstLine="422"/>
        <w:spacing w:before="120" w:after="120"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五、产权担保</w:t>
      </w:r>
      <w:r/>
    </w:p>
    <w:p>
      <w:pPr>
        <w:pStyle w:val="973"/>
        <w:ind w:firstLine="420"/>
        <w:spacing w:before="120"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乙方保证所交付的货物及服务的所有权完全属于乙方且无任何抵押、查封等产权瑕疵。</w:t>
      </w:r>
      <w:r/>
    </w:p>
    <w:p>
      <w:pPr>
        <w:pStyle w:val="973"/>
        <w:ind w:firstLine="422"/>
        <w:spacing w:before="120" w:after="120"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六、履约保证金</w:t>
      </w:r>
      <w:r/>
    </w:p>
    <w:p>
      <w:pPr>
        <w:pStyle w:val="973"/>
        <w:ind w:firstLine="420"/>
        <w:spacing w:before="120"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6.1收取履约保证金的，允许成交单位自主选择支票、汇票、本票、保函等非现金形式缴纳或提交，应当在采购合同中约定履约保证金退还的方式、时间、条件和不予退还的情形，明确逾期退还履约保证金的违约责任。</w:t>
      </w:r>
      <w:r/>
    </w:p>
    <w:p>
      <w:pPr>
        <w:pStyle w:val="973"/>
        <w:ind w:firstLine="420"/>
        <w:spacing w:before="120"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73"/>
        <w:ind w:firstLine="420"/>
        <w:spacing w:before="120"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6.3 履约保证金扣除甲方应得的补偿后的余额，在本合同履行结束后由甲方退还。 逾期退还的，按中国人民银行同期贷款基准利率上浮20%后的利率支付超期资金占用费，但因乙方自身原因导致无法及时退还的除外。 </w:t>
      </w:r>
      <w:r/>
    </w:p>
    <w:p>
      <w:pPr>
        <w:pStyle w:val="973"/>
        <w:ind w:firstLine="420"/>
        <w:spacing w:before="120"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6.4 履约保证收取：</w:t>
      </w:r>
      <w:r>
        <w:rPr>
          <w:rFonts w:hint="eastAsia" w:ascii="宋体" w:hAnsi="宋体" w:eastAsia="宋体" w:cs="宋体"/>
          <w:color w:val="auto"/>
          <w:sz w:val="21"/>
          <w:szCs w:val="21"/>
          <w:highlight w:val="none"/>
          <w:u w:val="single"/>
          <w:lang w:eastAsia="zh-CN"/>
        </w:rPr>
        <w:t xml:space="preserve">无</w:t>
      </w:r>
      <w:r/>
    </w:p>
    <w:p>
      <w:pPr>
        <w:pStyle w:val="973"/>
        <w:ind w:firstLine="422"/>
        <w:spacing w:before="120" w:after="120"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七、转包</w:t>
      </w:r>
      <w:r/>
    </w:p>
    <w:p>
      <w:pPr>
        <w:pStyle w:val="789"/>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7.1本合同范围的货物及服务，应由乙方直接供应，不得转让他人供应；</w:t>
      </w:r>
      <w:r/>
    </w:p>
    <w:p>
      <w:pPr>
        <w:pStyle w:val="789"/>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除非得到甲方的书面同意，乙方不得部分分包给他人供应。</w:t>
      </w:r>
      <w:r/>
    </w:p>
    <w:p>
      <w:pPr>
        <w:pStyle w:val="789"/>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7.3如有转让和未经甲方同意的分包行为，甲方有权给予终止合同。</w:t>
      </w:r>
      <w:r/>
    </w:p>
    <w:p>
      <w:pPr>
        <w:pStyle w:val="789"/>
        <w:ind w:firstLine="422"/>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八、质保期</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质保期</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年。（自交货验收合格之日起计）</w:t>
      </w:r>
      <w:r/>
    </w:p>
    <w:p>
      <w:pPr>
        <w:pStyle w:val="973"/>
        <w:ind w:firstLine="422"/>
        <w:spacing w:before="120" w:after="120"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九、交付期、交付方式及交付地点</w:t>
      </w:r>
      <w:r/>
    </w:p>
    <w:p>
      <w:pPr>
        <w:pStyle w:val="789"/>
        <w:ind w:firstLine="420"/>
        <w:spacing w:before="120" w:after="120"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zh-CN"/>
        </w:rPr>
        <w:t xml:space="preserve">项目完成时间按照招标、投标文件规定执行，交付地点由甲方指定。</w:t>
      </w:r>
      <w:r/>
    </w:p>
    <w:p>
      <w:pPr>
        <w:pStyle w:val="973"/>
        <w:ind w:firstLine="422"/>
        <w:spacing w:before="120" w:after="120"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十、货款支付</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 本合同项下所有款项均以人民币支付。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 本合同项下的采购资金由甲方支付，付款前乙方向甲方开具发票。</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10.3 甲方付款方式：合同签订后，甲方自收到乙方发票之日起</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日内，支付合同价的30%作为预付款。货物运送到采购方指定地点，且安装、调试、培训到位，并经验收合格后，甲方自收到乙方发票之日起</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日内一次性付清。</w:t>
      </w:r>
      <w:r/>
    </w:p>
    <w:p>
      <w:pPr>
        <w:pStyle w:val="7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10.4本项目采用单价合同，货物数量按甲方确认的实际采购数量计算。</w:t>
      </w:r>
      <w:r/>
    </w:p>
    <w:p>
      <w:pPr>
        <w:pStyle w:val="973"/>
        <w:ind w:firstLine="422"/>
        <w:spacing w:before="120" w:after="120"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十一、税费</w:t>
      </w:r>
      <w:r/>
    </w:p>
    <w:p>
      <w:pPr>
        <w:pStyle w:val="973"/>
        <w:ind w:firstLine="420"/>
        <w:spacing w:before="120"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本合同执行中相关的一切税费均由乙方负担。</w:t>
      </w:r>
      <w:r/>
    </w:p>
    <w:p>
      <w:pPr>
        <w:pStyle w:val="973"/>
        <w:ind w:firstLine="422"/>
        <w:spacing w:before="120" w:after="120"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十二、质量保证及售后服务</w:t>
      </w:r>
      <w:r/>
    </w:p>
    <w:p>
      <w:pPr>
        <w:pStyle w:val="789"/>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 乙方应按招标文件规定的货物及服务性能、技术要求、质量标准向甲方提供。</w:t>
      </w:r>
      <w:r/>
    </w:p>
    <w:p>
      <w:pPr>
        <w:pStyle w:val="789"/>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789"/>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⑴更换：由乙方承担所发生的全部费用。</w:t>
      </w:r>
      <w:r/>
    </w:p>
    <w:p>
      <w:pPr>
        <w:pStyle w:val="789"/>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⑵贬值处理：由甲乙双方合议定价。</w:t>
      </w:r>
      <w:r/>
    </w:p>
    <w:p>
      <w:pPr>
        <w:pStyle w:val="789"/>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⑶退还处理：乙方应退还甲方支付的合同款，同时应承担该货物及服务的直接费用（运输、保险、检验、款项利息及银行手续费等）。</w:t>
      </w:r>
      <w:r/>
    </w:p>
    <w:p>
      <w:pPr>
        <w:pStyle w:val="789"/>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 如在使用过程中发生质量问题，乙方在接到甲方通知后在______小时内到达甲方现场。</w:t>
      </w:r>
      <w:r/>
    </w:p>
    <w:p>
      <w:pPr>
        <w:pStyle w:val="789"/>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 在质保期内，乙方应对货物及服务出现的质量及安全问题负责处理解决并承担一切费用。</w:t>
      </w:r>
      <w:r/>
    </w:p>
    <w:p>
      <w:pPr>
        <w:pStyle w:val="789"/>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12.5上述的货物及服务免费保修期为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年，因人为因素出现的故障不在免费保修范围内。超过保修期的机器设备，终生维修，维修时只收部件成本费。</w:t>
      </w:r>
      <w:r/>
    </w:p>
    <w:p>
      <w:pPr>
        <w:pStyle w:val="973"/>
        <w:ind w:firstLine="422"/>
        <w:spacing w:before="120" w:after="120"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十三、调试和验收</w:t>
      </w:r>
      <w:r/>
    </w:p>
    <w:p>
      <w:pPr>
        <w:pStyle w:val="789"/>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789"/>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 乙方交付前应对货物及服务作出全面检查和对验收文件进行整理，并列出清单，作为甲方交付验收和使用的技术条件依据，检验的结果应随货物及服务交甲方。</w:t>
      </w:r>
      <w:r/>
    </w:p>
    <w:p>
      <w:pPr>
        <w:pStyle w:val="789"/>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甲方对乙方提供的货物及服务在使用前进行调试时，乙方需负责安装并培训甲方的使用操作人员，并协助甲方一起调试，直到符合技术要求，甲方才做最终验收。</w:t>
      </w:r>
      <w:r/>
    </w:p>
    <w:p>
      <w:pPr>
        <w:pStyle w:val="789"/>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 对技术复杂的货物及服务，甲方可请国家认可的专业检测机构参与初步验收及最终验收，并由其出具质量检测报告。</w:t>
      </w:r>
      <w:r/>
    </w:p>
    <w:p>
      <w:pPr>
        <w:pStyle w:val="973"/>
        <w:ind w:firstLine="420"/>
        <w:spacing w:before="120"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13.5 验收时乙方必须在现场，验收完毕后作出验收结果报告；验收费用由甲乙双方协商解决。</w:t>
      </w:r>
      <w:r/>
    </w:p>
    <w:p>
      <w:pPr>
        <w:pStyle w:val="789"/>
        <w:ind w:firstLine="422"/>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十四、货物及服务包装、发运及运输</w:t>
      </w:r>
      <w:r/>
    </w:p>
    <w:p>
      <w:pPr>
        <w:pStyle w:val="789"/>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乙方应在货物及服务发运前对其进行满足运输距离、防潮、防震、防锈和防破损装卸等要求包装，以保证货物及服务安全运达甲方指定地点。</w:t>
      </w:r>
      <w:r/>
    </w:p>
    <w:p>
      <w:pPr>
        <w:pStyle w:val="789"/>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 使用说明书、质量检验证明书、随配附件和工具以及清单一并交付甲方。</w:t>
      </w:r>
      <w:r/>
    </w:p>
    <w:p>
      <w:pPr>
        <w:pStyle w:val="789"/>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 乙方在货物及服务发运手续办理完毕后24小时内或交付到甲方48小时前通知甲方，以准备接受交付。</w:t>
      </w:r>
      <w:r/>
    </w:p>
    <w:p>
      <w:pPr>
        <w:pStyle w:val="789"/>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 货物在交付甲方前发生的风险均由乙方负责。</w:t>
      </w:r>
      <w:r/>
    </w:p>
    <w:p>
      <w:pPr>
        <w:pStyle w:val="789"/>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 货物及服务在规定的交付期限内由乙方送达甲方指定的地点视为交付，乙方同时需通知甲方货物及服务已送达。</w:t>
      </w:r>
      <w:r/>
    </w:p>
    <w:p>
      <w:pPr>
        <w:pStyle w:val="789"/>
        <w:ind w:firstLine="422"/>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十五、违约责任</w:t>
      </w:r>
      <w:r/>
    </w:p>
    <w:p>
      <w:pPr>
        <w:pStyle w:val="789"/>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 甲方无正当理由拒收货物及服务的，甲方向乙方偿付拒收款项总值的百分之五违约金。</w:t>
      </w:r>
      <w:r/>
    </w:p>
    <w:p>
      <w:pPr>
        <w:pStyle w:val="789"/>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 甲方无故逾期验收和办理款项支付手续的,甲方应按逾期付款总额每日万分之五向乙方支付违约金。</w:t>
      </w:r>
      <w:r/>
    </w:p>
    <w:p>
      <w:pPr>
        <w:pStyle w:val="789"/>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89"/>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789"/>
        <w:ind w:firstLine="422"/>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十六、不可抗力事件处理</w:t>
      </w:r>
      <w:r/>
    </w:p>
    <w:p>
      <w:pPr>
        <w:pStyle w:val="789"/>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在合同有效期内，任何一方因不可抗力事件导致不能履行合同，则合同履行期可延长，其延长期与不可抗力影响期相同。</w:t>
      </w:r>
      <w:r/>
    </w:p>
    <w:p>
      <w:pPr>
        <w:pStyle w:val="789"/>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 不可抗力事件发生后，应立即通知对方，并寄送有关权威机构出具的证明。</w:t>
      </w:r>
      <w:r/>
    </w:p>
    <w:p>
      <w:pPr>
        <w:pStyle w:val="789"/>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 不可抗力事件延续120天以上，双方应通过友好协商，确定是否继续履行合同。</w:t>
      </w:r>
      <w:r/>
    </w:p>
    <w:p>
      <w:pPr>
        <w:pStyle w:val="789"/>
        <w:ind w:firstLine="422"/>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十七、诉讼</w:t>
      </w:r>
      <w:r/>
    </w:p>
    <w:p>
      <w:pPr>
        <w:pStyle w:val="789"/>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双方在执行合同中所发生的一切争议，应通过协商解决。如协商不成，可向合同签订地法院起诉，合同签订地在此约定为扬州市江都区。</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十八、</w:t>
      </w:r>
      <w:r>
        <w:rPr>
          <w:rFonts w:hint="eastAsia" w:ascii="宋体" w:hAnsi="宋体" w:eastAsia="宋体" w:cs="宋体"/>
          <w:color w:val="auto"/>
          <w:sz w:val="21"/>
          <w:szCs w:val="21"/>
          <w:highlight w:val="none"/>
        </w:rPr>
        <w:t xml:space="preserve">为提升政府采购供应商的融资可得性，解决中小企业融资难问题，中国人民银行、市财政局、扬州市公共资源交易中心江都分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中国人民银行江都支行咨询，联系电话：13813140731。</w:t>
      </w:r>
      <w:r/>
    </w:p>
    <w:p>
      <w:pPr>
        <w:pStyle w:val="974"/>
        <w:ind w:left="315" w:firstLine="105"/>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十九、合同其它</w:t>
      </w:r>
      <w:r/>
    </w:p>
    <w:p>
      <w:pPr>
        <w:pStyle w:val="974"/>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 乙方应诚实信用，严格按照招标文件要求和投标承诺履行合同，不向甲方进行商业贿赂或者提供不正当利益。</w:t>
      </w:r>
      <w:r/>
    </w:p>
    <w:p>
      <w:pPr>
        <w:pStyle w:val="974"/>
        <w:ind w:firstLine="420"/>
        <w:spacing w:before="120" w:after="12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19.2 合同经双方法定代表人或授权代表签字并加盖单位公章后生效。</w:t>
      </w:r>
      <w:r/>
    </w:p>
    <w:p>
      <w:pPr>
        <w:pStyle w:val="974"/>
        <w:ind w:firstLine="420"/>
        <w:spacing w:before="120" w:after="12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19.3本合同未尽事宜，遵照《民法典》有关条文执行。</w:t>
      </w:r>
      <w:r/>
    </w:p>
    <w:p>
      <w:pPr>
        <w:pStyle w:val="973"/>
        <w:ind w:firstLine="420"/>
        <w:spacing w:before="120"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19.4本合同正本一式</w:t>
      </w:r>
      <w:r>
        <w:rPr>
          <w:rFonts w:hint="eastAsia" w:hAnsi="宋体" w:eastAsia="宋体" w:cs="宋体"/>
          <w:color w:val="auto"/>
          <w:sz w:val="21"/>
          <w:szCs w:val="21"/>
          <w:highlight w:val="none"/>
          <w:lang w:val="en-US" w:eastAsia="zh-CN"/>
        </w:rPr>
        <w:t xml:space="preserve">肆</w:t>
      </w:r>
      <w:r>
        <w:rPr>
          <w:rFonts w:hint="eastAsia" w:ascii="宋体" w:hAnsi="宋体" w:eastAsia="宋体" w:cs="宋体"/>
          <w:color w:val="auto"/>
          <w:sz w:val="21"/>
          <w:szCs w:val="21"/>
          <w:highlight w:val="none"/>
          <w:lang w:eastAsia="zh-CN"/>
        </w:rPr>
        <w:t xml:space="preserve">份，具有同等法律效力，甲方、乙方各执贰份。  </w:t>
      </w:r>
      <w:r/>
    </w:p>
    <w:p>
      <w:pPr>
        <w:pStyle w:val="974"/>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4"/>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甲方：（公章）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乙方： （公章）</w:t>
      </w:r>
      <w:r/>
    </w:p>
    <w:p>
      <w:pPr>
        <w:pStyle w:val="974"/>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法定代表人</w:t>
      </w:r>
      <w:r/>
    </w:p>
    <w:p>
      <w:pPr>
        <w:pStyle w:val="974"/>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或授权代表：                              或授权代表：</w:t>
      </w:r>
      <w:r/>
    </w:p>
    <w:p>
      <w:pPr>
        <w:pStyle w:val="974"/>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地址：</w:t>
      </w:r>
      <w:r/>
    </w:p>
    <w:p>
      <w:pPr>
        <w:pStyle w:val="974"/>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                                联系电话：</w:t>
      </w:r>
      <w:r/>
    </w:p>
    <w:p>
      <w:pPr>
        <w:pStyle w:val="974"/>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                                   账 号：</w:t>
      </w:r>
      <w:r/>
    </w:p>
    <w:p>
      <w:pPr>
        <w:pStyle w:val="974"/>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                                 开户银行：</w:t>
      </w:r>
      <w:r/>
    </w:p>
    <w:p>
      <w:pPr>
        <w:pStyle w:val="974"/>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                日期：      年    月    日</w:t>
      </w:r>
      <w:r/>
    </w:p>
    <w:p>
      <w:pPr>
        <w:pStyle w:val="789"/>
        <w:ind w:firstLine="210"/>
        <w:spacing w:before="120" w:after="120" w:line="360" w:lineRule="auto"/>
        <w:rPr>
          <w:rFonts w:hAnsi="宋体"/>
          <w:color w:val="auto"/>
          <w:sz w:val="21"/>
          <w:highlight w:val="none"/>
        </w:rPr>
      </w:pPr>
      <w:r>
        <w:rPr>
          <w:rFonts w:hAnsi="宋体"/>
          <w:color w:val="auto"/>
          <w:sz w:val="21"/>
          <w:highlight w:val="none"/>
        </w:rPr>
      </w:r>
      <w:r/>
    </w:p>
    <w:p>
      <w:pPr>
        <w:rPr>
          <w:rFonts w:hint="eastAsia" w:ascii="宋体" w:hAnsi="宋体" w:eastAsia="宋体" w:cs="Times New Roman"/>
          <w:b/>
          <w:bCs/>
          <w:color w:val="auto"/>
          <w:sz w:val="36"/>
          <w:szCs w:val="36"/>
          <w:highlight w:val="none"/>
          <w:lang w:val="en-US" w:eastAsia="zh-CN"/>
        </w:rPr>
      </w:pPr>
      <w:r/>
      <w:bookmarkStart w:id="53" w:name="_Toc22063"/>
      <w:r>
        <w:rPr>
          <w:rFonts w:hint="eastAsia" w:ascii="宋体" w:hAnsi="宋体" w:eastAsia="宋体" w:cs="Times New Roman"/>
          <w:b/>
          <w:bCs/>
          <w:color w:val="auto"/>
          <w:sz w:val="36"/>
          <w:szCs w:val="36"/>
          <w:highlight w:val="none"/>
          <w:lang w:val="en-US" w:eastAsia="zh-CN"/>
        </w:rPr>
        <w:br w:type="page" w:clear="all"/>
      </w:r>
      <w:r/>
    </w:p>
    <w:p>
      <w:pPr>
        <w:pStyle w:val="769"/>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t xml:space="preserve">第四章 项目需求</w:t>
      </w:r>
      <w:bookmarkEnd w:id="53"/>
      <w:r/>
      <w:r/>
    </w:p>
    <w:p>
      <w:pPr>
        <w:ind w:left="0" w:firstLine="42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其他要求</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由国家确定的认证机构出具的、处于有效期之内的节能产品、环境标志产品认证证书</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。节能产品、环境标志产品品目清单以递交响应文件截止时已正式公布的最近一期信息为准，</w:t>
      </w:r>
      <w:r>
        <w:rPr>
          <w:rFonts w:hint="eastAsia" w:ascii="宋体" w:hAnsi="宋体" w:eastAsia="宋体" w:cs="宋体"/>
          <w:b/>
          <w:i/>
          <w:iCs/>
          <w:color w:val="auto"/>
          <w:highlight w:val="none"/>
          <w:u w:val="single"/>
        </w:rPr>
        <w:t xml:space="preserve">如属政府强制采购产品未提供认证证书的或认证证书提供不全的将视为未实质性响应采购要求</w:t>
      </w:r>
      <w:r>
        <w:rPr>
          <w:rFonts w:hint="eastAsia" w:ascii="宋体" w:hAnsi="宋体" w:eastAsia="宋体" w:cs="宋体"/>
          <w:color w:val="auto"/>
          <w:highlight w:val="none"/>
        </w:rPr>
        <w:t xml:space="preserve">。其他条件相同情况下，应当优先采购节能产品、环境标志产品。</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供应商对于投标产品的包装应按照“财办库〔2020〕123号《关于印发《商品包装政府采购需求标准（试行）</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快递包装政府采购需求标准（试行）》的通知》”执行。</w:t>
      </w:r>
      <w:r/>
    </w:p>
    <w:p>
      <w:pPr>
        <w:ind w:left="0" w:firstLine="420"/>
        <w:keepLines w:val="0"/>
        <w:keepNext w:val="0"/>
        <w:pageBreakBefore w:val="0"/>
        <w:spacing w:line="360" w:lineRule="auto"/>
        <w:widowControl w:val="off"/>
        <w:rPr>
          <w:color w:val="auto"/>
          <w:highlight w:val="none"/>
        </w:rPr>
      </w:pPr>
      <w:r>
        <w:rPr>
          <w:rFonts w:hint="eastAsia"/>
          <w:color w:val="auto"/>
          <w:highlight w:val="none"/>
        </w:rPr>
        <w:t xml:space="preserve">注： 本章内容里斜体且有下划线部分为实质性要求和条件，响应文件不满足的，视为无效响应处理。请各供应商制作电子响应文件时，将实质性响应的内容在政府采购管理交易系统（苏采云）</w:t>
      </w:r>
      <w:r>
        <w:rPr>
          <w:rFonts w:hint="eastAsia"/>
          <w:color w:val="auto"/>
          <w:highlight w:val="none"/>
          <w:lang w:eastAsia="zh-CN"/>
        </w:rPr>
        <w:t xml:space="preserve">“</w:t>
      </w:r>
      <w:r>
        <w:rPr>
          <w:rFonts w:hint="eastAsia"/>
          <w:color w:val="auto"/>
          <w:highlight w:val="none"/>
        </w:rPr>
        <w:t xml:space="preserve">符合证明文件格式</w:t>
      </w:r>
      <w:r>
        <w:rPr>
          <w:rFonts w:hint="eastAsia"/>
          <w:color w:val="auto"/>
          <w:highlight w:val="none"/>
          <w:lang w:eastAsia="zh-CN"/>
        </w:rPr>
        <w:t xml:space="preserve">”</w:t>
      </w:r>
      <w:r>
        <w:rPr>
          <w:rFonts w:hint="eastAsia"/>
          <w:color w:val="auto"/>
          <w:highlight w:val="none"/>
        </w:rPr>
        <w:t xml:space="preserve">中准确填写或上传。</w:t>
      </w:r>
      <w:r/>
    </w:p>
    <w:p>
      <w:pPr>
        <w:keepLines w:val="0"/>
        <w:keepNext w:val="0"/>
        <w:pageBreakBefore w:val="0"/>
        <w:spacing w:line="360" w:lineRule="auto"/>
        <w:widowControl w:val="off"/>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r>
      <w:r/>
    </w:p>
    <w:p>
      <w:pPr>
        <w:keepLines w:val="0"/>
        <w:keepNext w:val="0"/>
        <w:pageBreakBefore w:val="0"/>
        <w:spacing w:line="360" w:lineRule="auto"/>
        <w:widowControl w:val="off"/>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本项目所属行业：</w:t>
      </w:r>
      <w:r>
        <w:rPr>
          <w:rFonts w:hint="eastAsia" w:ascii="Times New Roman" w:hAnsi="Times New Roman" w:cs="Times New Roman"/>
          <w:b/>
          <w:bCs/>
          <w:color w:val="auto"/>
          <w:sz w:val="21"/>
          <w:szCs w:val="21"/>
          <w:highlight w:val="none"/>
          <w:lang w:val="en-US" w:eastAsia="zh-CN"/>
        </w:rPr>
        <w:t xml:space="preserve">工业</w:t>
      </w:r>
      <w:r/>
    </w:p>
    <w:p>
      <w:pPr>
        <w:ind w:left="0" w:firstLine="422"/>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rPr>
          <w:rFonts w:hint="eastAsia" w:ascii="宋体" w:hAnsi="宋体"/>
          <w:b/>
          <w:color w:val="auto"/>
          <w:szCs w:val="21"/>
          <w:highlight w:val="none"/>
          <w:lang w:eastAsia="zh-CN"/>
        </w:rPr>
      </w:pPr>
      <w:r>
        <w:rPr>
          <w:rFonts w:hint="eastAsia" w:ascii="宋体" w:hAnsi="宋体"/>
          <w:b/>
          <w:color w:val="auto"/>
          <w:szCs w:val="21"/>
          <w:highlight w:val="none"/>
          <w:lang w:eastAsia="zh-CN"/>
        </w:rPr>
        <w:br w:type="page" w:clear="all"/>
      </w:r>
      <w:r/>
    </w:p>
    <w:p>
      <w:pPr>
        <w:ind w:firstLine="0"/>
        <w:spacing w:line="360" w:lineRule="auto"/>
        <w:rPr>
          <w:rFonts w:hint="eastAsia" w:ascii="宋体" w:hAnsi="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b/>
          <w:color w:val="auto"/>
          <w:szCs w:val="21"/>
          <w:highlight w:val="none"/>
          <w:lang w:val="en-US" w:eastAsia="zh-CN"/>
        </w:rPr>
        <w:t xml:space="preserve">一、</w:t>
      </w:r>
      <w:r>
        <w:rPr>
          <w:rFonts w:hint="eastAsia" w:ascii="宋体" w:hAnsi="宋体"/>
          <w:b/>
          <w:color w:val="auto"/>
          <w:szCs w:val="21"/>
          <w:highlight w:val="none"/>
        </w:rPr>
        <w:t xml:space="preserve">货物需求一览表及主要技术指标参数要求</w:t>
      </w:r>
      <w:bookmarkStart w:id="54" w:name="_Toc25878"/>
      <w:r/>
      <w:bookmarkStart w:id="55" w:name="_Toc55204181"/>
      <w:r/>
      <w:r/>
    </w:p>
    <w:p>
      <w:pPr>
        <w:ind w:firstLine="422"/>
        <w:spacing w:line="360" w:lineRule="auto"/>
        <w:rPr>
          <w:rFonts w:ascii="宋体" w:hAnsi="宋体"/>
          <w:b/>
          <w:i/>
          <w:color w:val="auto"/>
          <w:szCs w:val="21"/>
          <w:highlight w:val="none"/>
          <w:u w:val="single"/>
        </w:rPr>
      </w:pPr>
      <w:r>
        <w:rPr>
          <w:rFonts w:hint="eastAsia" w:ascii="宋体" w:hAnsi="宋体"/>
          <w:b/>
          <w:i/>
          <w:color w:val="auto"/>
          <w:szCs w:val="21"/>
          <w:highlight w:val="none"/>
          <w:u w:val="single"/>
        </w:rPr>
        <w:t xml:space="preserve">供应商在中标后合同签订前必须提供货物需求一览表</w:t>
      </w:r>
      <w:r>
        <w:rPr>
          <w:rFonts w:hint="eastAsia" w:ascii="宋体" w:hAnsi="宋体"/>
          <w:b/>
          <w:i/>
          <w:color w:val="auto"/>
          <w:szCs w:val="21"/>
          <w:highlight w:val="none"/>
          <w:u w:val="single"/>
          <w:lang w:val="en-US" w:eastAsia="zh-CN"/>
        </w:rPr>
        <w:t xml:space="preserve">内“▲”产品的所投</w:t>
      </w:r>
      <w:r>
        <w:rPr>
          <w:rFonts w:hint="eastAsia" w:ascii="宋体" w:hAnsi="宋体"/>
          <w:b/>
          <w:i/>
          <w:color w:val="auto"/>
          <w:szCs w:val="21"/>
          <w:highlight w:val="none"/>
          <w:u w:val="single"/>
        </w:rPr>
        <w:t xml:space="preserve">厂家((或授权代理商)出具的针对本项目（或投标产品）的授权函及质保函，授权代理商盖章的同时提供授权代理证书</w:t>
      </w:r>
      <w:r>
        <w:rPr>
          <w:rFonts w:hint="eastAsia" w:ascii="宋体" w:hAnsi="宋体"/>
          <w:b/>
          <w:i/>
          <w:color w:val="auto"/>
          <w:szCs w:val="21"/>
          <w:highlight w:val="none"/>
          <w:u w:val="single"/>
          <w:lang w:eastAsia="zh-CN"/>
        </w:rPr>
        <w:t xml:space="preserve">，</w:t>
      </w:r>
      <w:r>
        <w:rPr>
          <w:rFonts w:hint="eastAsia" w:ascii="宋体" w:hAnsi="宋体"/>
          <w:b/>
          <w:i/>
          <w:color w:val="auto"/>
          <w:szCs w:val="21"/>
          <w:highlight w:val="none"/>
          <w:u w:val="single"/>
          <w:lang w:val="en-US" w:eastAsia="zh-CN"/>
        </w:rPr>
        <w:t xml:space="preserve">以及能够证明货物参数的</w:t>
      </w:r>
      <w:r>
        <w:rPr>
          <w:rFonts w:hint="eastAsia" w:ascii="宋体" w:hAnsi="宋体" w:cs="Times New Roman"/>
          <w:b/>
          <w:bCs w:val="0"/>
          <w:i/>
          <w:color w:val="auto"/>
          <w:sz w:val="21"/>
          <w:szCs w:val="21"/>
          <w:highlight w:val="none"/>
          <w:u w:val="single"/>
          <w:lang w:val="en-US" w:eastAsia="zh-CN"/>
        </w:rPr>
        <w:t xml:space="preserve">“白皮书”或“制造商官网截图”或“技术证明文件”或“检测报告”等材料</w:t>
      </w:r>
      <w:r>
        <w:rPr>
          <w:rFonts w:hint="eastAsia" w:ascii="宋体" w:hAnsi="宋体"/>
          <w:b/>
          <w:i/>
          <w:color w:val="auto"/>
          <w:szCs w:val="21"/>
          <w:highlight w:val="none"/>
          <w:u w:val="single"/>
        </w:rPr>
        <w:t xml:space="preserve">。供应商在投标文件中须提供承诺书原件扫描件上传（承诺书格式自拟），未承诺的作无效投标处理。</w:t>
      </w:r>
      <w:r/>
    </w:p>
    <w:p>
      <w:pPr>
        <w:ind w:firstLine="480"/>
        <w:spacing w:line="360" w:lineRule="auto"/>
        <w:rPr>
          <w:rFonts w:hint="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lang w:eastAsia="zh-CN"/>
        </w:rPr>
        <w:t xml:space="preserve">包1：</w:t>
      </w:r>
      <w:r>
        <w:rPr>
          <w:rFonts w:hint="eastAsia" w:ascii="宋体" w:hAnsi="宋体" w:cs="宋体"/>
          <w:b/>
          <w:bCs w:val="0"/>
          <w:iCs/>
          <w:color w:val="auto"/>
          <w:szCs w:val="21"/>
          <w:highlight w:val="none"/>
          <w:lang w:val="en-US" w:eastAsia="zh-CN"/>
        </w:rPr>
        <w:t xml:space="preserve">化学器材</w:t>
      </w:r>
      <w:r/>
    </w:p>
    <w:tbl>
      <w:tblPr>
        <w:tblStyle w:val="779"/>
        <w:tblW w:w="9243" w:type="dxa"/>
        <w:jc w:val="center"/>
        <w:tblLayout w:type="fixed"/>
        <w:tblCellMar>
          <w:left w:w="108" w:type="dxa"/>
          <w:top w:w="0" w:type="dxa"/>
          <w:right w:w="108" w:type="dxa"/>
          <w:bottom w:w="0" w:type="dxa"/>
        </w:tblCellMar>
        <w:tblLook w:val="04A0" w:firstRow="1" w:lastRow="0" w:firstColumn="1" w:lastColumn="0" w:noHBand="0" w:noVBand="1"/>
      </w:tblPr>
      <w:tblGrid>
        <w:gridCol w:w="636"/>
        <w:gridCol w:w="868"/>
        <w:gridCol w:w="6793"/>
        <w:gridCol w:w="450"/>
        <w:gridCol w:w="496"/>
      </w:tblGrid>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center"/>
              <w:widowControl/>
              <w:rPr>
                <w:rFonts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数量</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无线数据分析软件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numPr>
                <w:ilvl w:val="-1"/>
                <w:numId w:val="0"/>
              </w:numPr>
              <w:rPr>
                <w:rFonts w:hint="default"/>
                <w:color w:val="auto"/>
                <w:highlight w:val="none"/>
                <w:lang w:val="en-US" w:eastAsia="zh-CN"/>
              </w:rPr>
            </w:pPr>
            <w:r>
              <w:rPr>
                <w:rFonts w:hint="eastAsia" w:ascii="宋体" w:hAnsi="宋体" w:cs="宋体"/>
                <w:color w:val="auto"/>
                <w:sz w:val="18"/>
                <w:szCs w:val="18"/>
                <w:highlight w:val="none"/>
                <w:lang w:bidi="ar"/>
              </w:rPr>
              <w:t xml:space="preserve">1.运行平台：多种系统；</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2.可使用多通道或同时收集多个传感器的数据；可选择基于时间或基于事件的数据收集模式，包括需要输入值的事件；</w:t>
            </w:r>
            <w:r/>
          </w:p>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3.触发基于时间的传感器来启动数据收集；</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4.手动输入数据或使用剪贴簿输入数据；</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5.更改传感器上的显示单位；</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6.在数据收集之前绘制预测图形；</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7.根据需要显示一个、两个或三个图形；</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8.选择每个轴上绘制的图形，并选择线形或点样式的图形；</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9.计算所有或部分数据的叙述性统计值；</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10.将线条和曲线拟合到部分或全部数据；</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11.根据传感器列自定义计算的栏；</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12.使用图形数据进行内插和外插值计算</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无线电流传感器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电流范围:±1A和±0.1A</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最大电压：±10V</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最大电流:1.5A和0.5A</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输入阻抗：10MΩ</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线性：0.01%</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分辨率:0.030mA（±1A范围）和0.003mA（±0.1A范围）</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连接方式:无线：蓝牙</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有线：USB</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无线电压传感器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输入电压范围：20V</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最大安全电压：24V</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输入阻抗（接地）：10MΩ</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线性：0.01%</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最大采样速率：1000样本/秒</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USB规格：2.0</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无线规格：蓝牙4.2</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最大无线范围：30m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连接方式:无线：蓝牙</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有线：USB</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无线气体压强传感器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1.量程：0至400 kPa；最大采样速率：50样本/秒</w:t>
            </w:r>
            <w:r/>
          </w:p>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2.精度：±3kPa</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3.内部体积：0.8mL</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4.分辨率：0.03kPa</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5.USB规格：2.0</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6.无线规格：蓝牙4.2</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7.最大无线范围：30m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8.连接方式:无线：蓝牙</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9.有线：USB</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无线温度传感器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1.温度范围：-40到125°C；精度：±0.25℃；分辨率：0.01℃</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2.最大可承受温度：150℃.</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3.USB规格：2.0</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4.无线规格：蓝牙4.2</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5.最大无线范围：30m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6.连接方式:无线：蓝牙</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7.有线：USB</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无线浑浊度传感器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1.无线传感器，内置电极信号放大模块及无线模块，可充电电池供电；</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2.测量范围：0-1000NTU</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3.分辨力：0.1NTU</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4.USB规格：2.0</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无线规格：蓝牙4.2</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最大无线范围≥30m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连接方式:无线：蓝牙</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有线：USB</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none" w:color="000000" w:sz="4" w:space="0"/>
            </w:tcBorders>
            <w:tcW w:w="49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default"/>
                <w:color w:val="auto"/>
                <w:highlight w:val="none"/>
                <w:lang w:val="en-US" w:eastAsia="zh-CN"/>
              </w:rPr>
              <w:t xml:space="preserve">▲</w:t>
            </w:r>
            <w:r>
              <w:rPr>
                <w:rFonts w:hint="eastAsia" w:ascii="宋体" w:hAnsi="宋体" w:cs="宋体"/>
                <w:color w:val="auto"/>
                <w:sz w:val="18"/>
                <w:szCs w:val="18"/>
                <w:highlight w:val="none"/>
                <w:lang w:bidi="ar"/>
              </w:rPr>
              <w:t xml:space="preserve">无线热电偶温度传感器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范围（K型）：–200ºC至+1,400ºC，精度：±2.2ºC。</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兼容的热电偶线：J型，T型和K型线</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连接方式：无线蓝牙和USB端口</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default"/>
                <w:color w:val="auto"/>
                <w:highlight w:val="none"/>
                <w:lang w:val="en-US" w:eastAsia="zh-CN"/>
              </w:rPr>
              <w:t xml:space="preserve">▲</w:t>
            </w:r>
            <w:r>
              <w:rPr>
                <w:rFonts w:hint="eastAsia" w:ascii="宋体" w:hAnsi="宋体" w:cs="宋体"/>
                <w:color w:val="auto"/>
                <w:sz w:val="18"/>
                <w:szCs w:val="18"/>
                <w:highlight w:val="none"/>
                <w:lang w:bidi="ar"/>
              </w:rPr>
              <w:t xml:space="preserve">无线PH传感器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温度范围：5到80℃（读数不补偿）</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pH范围：0-14</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精度：±0.2PH</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PH等势值：PH7（温度没有影响的点）</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分辨率：0.01PH</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USB规格：2.0</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无线规格：蓝牙4.2</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最大无线范围≥30m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连接方式:无线：蓝牙</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有线：USB</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default"/>
                <w:color w:val="auto"/>
                <w:highlight w:val="none"/>
                <w:lang w:val="en-US" w:eastAsia="zh-CN"/>
              </w:rPr>
              <w:t xml:space="preserve">▲</w:t>
            </w:r>
            <w:r>
              <w:rPr>
                <w:rFonts w:hint="eastAsia" w:ascii="宋体" w:hAnsi="宋体" w:cs="宋体"/>
                <w:color w:val="auto"/>
                <w:sz w:val="18"/>
                <w:szCs w:val="18"/>
                <w:highlight w:val="none"/>
                <w:lang w:bidi="ar"/>
              </w:rPr>
              <w:t xml:space="preserve">无线电导率传感器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范围：0到20,000uS/cm（0至10000mg/L TDS），温度范围：不小于0至80°C，分辨率：≤0.01uS/cm。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类型：ABS材质，平行碳（石墨）电极精度：全量程的±1%（1-10,000uS/cm）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USB规格：2.0</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无线规格：蓝牙4.2</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最大无线范围≥30m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连接方式:无线：蓝牙</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有线：USB</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default"/>
                <w:color w:val="auto"/>
                <w:highlight w:val="none"/>
                <w:lang w:val="en-US" w:eastAsia="zh-CN"/>
              </w:rPr>
              <w:t xml:space="preserve">▲</w:t>
            </w:r>
            <w:r>
              <w:rPr>
                <w:rFonts w:hint="eastAsia" w:ascii="宋体" w:hAnsi="宋体" w:cs="宋体"/>
                <w:color w:val="auto"/>
                <w:sz w:val="18"/>
                <w:szCs w:val="18"/>
                <w:highlight w:val="none"/>
                <w:lang w:bidi="ar"/>
              </w:rPr>
              <w:t xml:space="preserve">无线氧气传感器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Style w:val="977"/>
                <w:rFonts w:hint="default"/>
                <w:color w:val="auto"/>
                <w:sz w:val="18"/>
                <w:szCs w:val="18"/>
                <w:highlight w:val="none"/>
                <w:lang w:bidi="ar"/>
              </w:rPr>
              <w:t xml:space="preserve">氧气传感器： </w:t>
            </w:r>
            <w:r>
              <w:rPr>
                <w:rStyle w:val="977"/>
                <w:rFonts w:hint="default"/>
                <w:color w:val="auto"/>
                <w:sz w:val="18"/>
                <w:szCs w:val="18"/>
                <w:highlight w:val="none"/>
                <w:lang w:bidi="ar"/>
              </w:rPr>
              <w:br/>
            </w:r>
            <w:r>
              <w:rPr>
                <w:rStyle w:val="977"/>
                <w:rFonts w:hint="default"/>
                <w:color w:val="auto"/>
                <w:sz w:val="18"/>
                <w:szCs w:val="18"/>
                <w:highlight w:val="none"/>
                <w:lang w:bidi="ar"/>
              </w:rPr>
              <w:t xml:space="preserve">1.量程：0–100% (0–1000 ppt)O</w:t>
            </w:r>
            <w:r>
              <w:rPr>
                <w:rStyle w:val="983"/>
                <w:rFonts w:hint="default"/>
                <w:color w:val="auto"/>
                <w:sz w:val="18"/>
                <w:szCs w:val="18"/>
                <w:highlight w:val="none"/>
                <w:lang w:bidi="ar"/>
              </w:rPr>
              <w:t xml:space="preserve">2</w:t>
            </w:r>
            <w:r>
              <w:rPr>
                <w:rStyle w:val="977"/>
                <w:rFonts w:hint="default"/>
                <w:color w:val="auto"/>
                <w:sz w:val="18"/>
                <w:szCs w:val="18"/>
                <w:highlight w:val="none"/>
                <w:lang w:bidi="ar"/>
              </w:rPr>
              <w:t xml:space="preserve">；精度：O</w:t>
            </w:r>
            <w:r>
              <w:rPr>
                <w:rStyle w:val="983"/>
                <w:rFonts w:hint="default"/>
                <w:color w:val="auto"/>
                <w:sz w:val="18"/>
                <w:szCs w:val="18"/>
                <w:highlight w:val="none"/>
                <w:lang w:bidi="ar"/>
              </w:rPr>
              <w:t xml:space="preserve">2</w:t>
            </w:r>
            <w:r>
              <w:rPr>
                <w:rStyle w:val="977"/>
                <w:rFonts w:hint="default"/>
                <w:color w:val="auto"/>
                <w:sz w:val="18"/>
                <w:szCs w:val="18"/>
                <w:highlight w:val="none"/>
                <w:lang w:bidi="ar"/>
              </w:rPr>
              <w:t xml:space="preserve">体积的±1%（760mm汞柱标准大气压下）；分辨率：0.01%O</w:t>
            </w:r>
            <w:r>
              <w:rPr>
                <w:rStyle w:val="983"/>
                <w:rFonts w:hint="default"/>
                <w:color w:val="auto"/>
                <w:sz w:val="18"/>
                <w:szCs w:val="18"/>
                <w:highlight w:val="none"/>
                <w:lang w:bidi="ar"/>
              </w:rPr>
              <w:t xml:space="preserve">2</w:t>
            </w:r>
            <w:r>
              <w:rPr>
                <w:rStyle w:val="977"/>
                <w:rFonts w:hint="default"/>
                <w:color w:val="auto"/>
                <w:sz w:val="18"/>
                <w:szCs w:val="18"/>
                <w:highlight w:val="none"/>
                <w:lang w:bidi="ar"/>
              </w:rPr>
              <w:br/>
            </w:r>
            <w:r>
              <w:rPr>
                <w:rStyle w:val="977"/>
                <w:rFonts w:hint="default"/>
                <w:color w:val="auto"/>
                <w:sz w:val="18"/>
                <w:szCs w:val="18"/>
                <w:highlight w:val="none"/>
                <w:lang w:bidi="ar"/>
              </w:rPr>
              <w:t xml:space="preserve">温度传感器：</w:t>
            </w:r>
            <w:r>
              <w:rPr>
                <w:rStyle w:val="977"/>
                <w:rFonts w:hint="default"/>
                <w:color w:val="auto"/>
                <w:sz w:val="18"/>
                <w:szCs w:val="18"/>
                <w:highlight w:val="none"/>
                <w:lang w:bidi="ar"/>
              </w:rPr>
              <w:br/>
            </w:r>
            <w:r>
              <w:rPr>
                <w:rStyle w:val="977"/>
                <w:rFonts w:hint="default"/>
                <w:color w:val="auto"/>
                <w:sz w:val="18"/>
                <w:szCs w:val="18"/>
                <w:highlight w:val="none"/>
                <w:lang w:bidi="ar"/>
              </w:rPr>
              <w:t xml:space="preserve">1.类型：热敏电阻</w:t>
            </w:r>
            <w:r>
              <w:rPr>
                <w:rStyle w:val="977"/>
                <w:rFonts w:hint="default"/>
                <w:color w:val="auto"/>
                <w:sz w:val="18"/>
                <w:szCs w:val="18"/>
                <w:highlight w:val="none"/>
                <w:lang w:bidi="ar"/>
              </w:rPr>
              <w:br/>
            </w:r>
            <w:r>
              <w:rPr>
                <w:rStyle w:val="977"/>
                <w:rFonts w:hint="default"/>
                <w:color w:val="auto"/>
                <w:sz w:val="18"/>
                <w:szCs w:val="18"/>
                <w:highlight w:val="none"/>
                <w:lang w:bidi="ar"/>
              </w:rPr>
              <w:t xml:space="preserve">2.精度：±0.5°C</w:t>
            </w:r>
            <w:r>
              <w:rPr>
                <w:rStyle w:val="977"/>
                <w:rFonts w:hint="default"/>
                <w:color w:val="auto"/>
                <w:sz w:val="18"/>
                <w:szCs w:val="18"/>
                <w:highlight w:val="none"/>
                <w:lang w:bidi="ar"/>
              </w:rPr>
              <w:br/>
            </w:r>
            <w:r>
              <w:rPr>
                <w:rStyle w:val="977"/>
                <w:rFonts w:hint="default"/>
                <w:color w:val="auto"/>
                <w:sz w:val="18"/>
                <w:szCs w:val="18"/>
                <w:highlight w:val="none"/>
                <w:lang w:bidi="ar"/>
              </w:rPr>
              <w:t xml:space="preserve">3.分辨率：0.1°C</w:t>
            </w:r>
            <w:r>
              <w:rPr>
                <w:rStyle w:val="977"/>
                <w:rFonts w:hint="default"/>
                <w:color w:val="auto"/>
                <w:sz w:val="18"/>
                <w:szCs w:val="18"/>
                <w:highlight w:val="none"/>
                <w:lang w:bidi="ar"/>
              </w:rPr>
              <w:br/>
            </w:r>
            <w:r>
              <w:rPr>
                <w:rStyle w:val="977"/>
                <w:rFonts w:hint="default"/>
                <w:color w:val="auto"/>
                <w:sz w:val="18"/>
                <w:szCs w:val="18"/>
                <w:highlight w:val="none"/>
                <w:lang w:bidi="ar"/>
              </w:rPr>
              <w:t xml:space="preserve">4.USB规格：2.0</w:t>
            </w:r>
            <w:r>
              <w:rPr>
                <w:rStyle w:val="977"/>
                <w:rFonts w:hint="default"/>
                <w:color w:val="auto"/>
                <w:sz w:val="18"/>
                <w:szCs w:val="18"/>
                <w:highlight w:val="none"/>
                <w:lang w:bidi="ar"/>
              </w:rPr>
              <w:br/>
            </w:r>
            <w:r>
              <w:rPr>
                <w:rStyle w:val="977"/>
                <w:rFonts w:hint="default"/>
                <w:color w:val="auto"/>
                <w:sz w:val="18"/>
                <w:szCs w:val="18"/>
                <w:highlight w:val="none"/>
                <w:lang w:bidi="ar"/>
              </w:rPr>
              <w:t xml:space="preserve">5.无线规格：蓝牙4.2</w:t>
            </w:r>
            <w:r>
              <w:rPr>
                <w:rStyle w:val="977"/>
                <w:rFonts w:hint="default"/>
                <w:color w:val="auto"/>
                <w:sz w:val="18"/>
                <w:szCs w:val="18"/>
                <w:highlight w:val="none"/>
                <w:lang w:bidi="ar"/>
              </w:rPr>
              <w:br/>
            </w:r>
            <w:r>
              <w:rPr>
                <w:rStyle w:val="977"/>
                <w:rFonts w:hint="default"/>
                <w:color w:val="auto"/>
                <w:sz w:val="18"/>
                <w:szCs w:val="18"/>
                <w:highlight w:val="none"/>
                <w:lang w:bidi="ar"/>
              </w:rPr>
              <w:t xml:space="preserve">6.最大无线范围≥30m</w:t>
            </w:r>
            <w:r>
              <w:rPr>
                <w:rStyle w:val="977"/>
                <w:rFonts w:hint="default"/>
                <w:color w:val="auto"/>
                <w:sz w:val="18"/>
                <w:szCs w:val="18"/>
                <w:highlight w:val="none"/>
                <w:lang w:bidi="ar"/>
              </w:rPr>
              <w:br/>
            </w:r>
            <w:r>
              <w:rPr>
                <w:rStyle w:val="977"/>
                <w:rFonts w:hint="default"/>
                <w:color w:val="auto"/>
                <w:sz w:val="18"/>
                <w:szCs w:val="18"/>
                <w:highlight w:val="none"/>
                <w:lang w:bidi="ar"/>
              </w:rPr>
              <w:t xml:space="preserve">7.正常操作温度范围：20到40℃</w:t>
            </w:r>
            <w:r>
              <w:rPr>
                <w:rStyle w:val="977"/>
                <w:rFonts w:hint="default"/>
                <w:color w:val="auto"/>
                <w:sz w:val="18"/>
                <w:szCs w:val="18"/>
                <w:highlight w:val="none"/>
                <w:lang w:bidi="ar"/>
              </w:rPr>
              <w:br/>
            </w:r>
            <w:r>
              <w:rPr>
                <w:rStyle w:val="977"/>
                <w:rFonts w:hint="default"/>
                <w:color w:val="auto"/>
                <w:sz w:val="18"/>
                <w:szCs w:val="18"/>
                <w:highlight w:val="none"/>
                <w:lang w:bidi="ar"/>
              </w:rPr>
              <w:t xml:space="preserve">8.操作湿度范围：5到95%</w:t>
            </w:r>
            <w:r>
              <w:rPr>
                <w:rStyle w:val="977"/>
                <w:rFonts w:hint="default"/>
                <w:color w:val="auto"/>
                <w:sz w:val="18"/>
                <w:szCs w:val="18"/>
                <w:highlight w:val="none"/>
                <w:lang w:bidi="ar"/>
              </w:rPr>
              <w:br/>
            </w:r>
            <w:r>
              <w:rPr>
                <w:rStyle w:val="977"/>
                <w:rFonts w:hint="default"/>
                <w:color w:val="auto"/>
                <w:sz w:val="18"/>
                <w:szCs w:val="18"/>
                <w:highlight w:val="none"/>
                <w:lang w:bidi="ar"/>
              </w:rPr>
              <w:t xml:space="preserve">9.有线：USB</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default"/>
                <w:color w:val="auto"/>
                <w:highlight w:val="none"/>
                <w:lang w:val="en-US" w:eastAsia="zh-CN"/>
              </w:rPr>
              <w:t xml:space="preserve">▲</w:t>
            </w:r>
            <w:r>
              <w:rPr>
                <w:rFonts w:hint="eastAsia" w:ascii="宋体" w:hAnsi="宋体" w:cs="宋体"/>
                <w:color w:val="auto"/>
                <w:sz w:val="18"/>
                <w:szCs w:val="18"/>
                <w:highlight w:val="none"/>
                <w:lang w:bidi="ar"/>
              </w:rPr>
              <w:t xml:space="preserve">无线二氧化碳传感器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Style w:val="977"/>
                <w:rFonts w:hint="default"/>
                <w:color w:val="auto"/>
                <w:sz w:val="18"/>
                <w:szCs w:val="18"/>
                <w:highlight w:val="none"/>
                <w:lang w:bidi="ar"/>
              </w:rPr>
              <w:t xml:space="preserve">二氧化碳通道：</w:t>
            </w:r>
            <w:r>
              <w:rPr>
                <w:rStyle w:val="977"/>
                <w:rFonts w:hint="default"/>
                <w:color w:val="auto"/>
                <w:sz w:val="18"/>
                <w:szCs w:val="18"/>
                <w:highlight w:val="none"/>
                <w:lang w:bidi="ar"/>
              </w:rPr>
              <w:br/>
            </w:r>
            <w:r>
              <w:rPr>
                <w:rStyle w:val="977"/>
                <w:rFonts w:hint="default"/>
                <w:color w:val="auto"/>
                <w:sz w:val="18"/>
                <w:szCs w:val="18"/>
                <w:highlight w:val="none"/>
                <w:lang w:bidi="ar"/>
              </w:rPr>
              <w:t xml:space="preserve">量程：0-100000 ppm；分辨率：1ppmC0</w:t>
            </w:r>
            <w:r>
              <w:rPr>
                <w:rStyle w:val="983"/>
                <w:rFonts w:hint="default"/>
                <w:color w:val="auto"/>
                <w:sz w:val="18"/>
                <w:szCs w:val="18"/>
                <w:highlight w:val="none"/>
                <w:lang w:bidi="ar"/>
              </w:rPr>
              <w:t xml:space="preserve">2</w:t>
            </w:r>
            <w:r>
              <w:rPr>
                <w:rStyle w:val="977"/>
                <w:rFonts w:hint="default"/>
                <w:color w:val="auto"/>
                <w:sz w:val="18"/>
                <w:szCs w:val="18"/>
                <w:highlight w:val="none"/>
                <w:lang w:bidi="ar"/>
              </w:rPr>
              <w:t xml:space="preserve">；精度：±100ppm（0-1000ppm）；读数的±5%+100ppm（1000-10000ppm)；读数的±10%（10000-50000ppm)；读数的±15%（50000-100000ppm)。</w:t>
            </w:r>
            <w:r>
              <w:rPr>
                <w:rStyle w:val="977"/>
                <w:rFonts w:hint="default"/>
                <w:color w:val="auto"/>
                <w:sz w:val="18"/>
                <w:szCs w:val="18"/>
                <w:highlight w:val="none"/>
                <w:lang w:bidi="ar"/>
              </w:rPr>
              <w:br/>
            </w:r>
            <w:r>
              <w:rPr>
                <w:rStyle w:val="977"/>
                <w:rFonts w:hint="default"/>
                <w:color w:val="auto"/>
                <w:sz w:val="18"/>
                <w:szCs w:val="18"/>
                <w:highlight w:val="none"/>
                <w:lang w:bidi="ar"/>
              </w:rPr>
              <w:t xml:space="preserve">预热时间：180秒</w:t>
            </w:r>
            <w:r>
              <w:rPr>
                <w:rStyle w:val="977"/>
                <w:rFonts w:hint="default"/>
                <w:color w:val="auto"/>
                <w:sz w:val="18"/>
                <w:szCs w:val="18"/>
                <w:highlight w:val="none"/>
                <w:lang w:bidi="ar"/>
              </w:rPr>
              <w:br/>
            </w:r>
            <w:r>
              <w:rPr>
                <w:rStyle w:val="977"/>
                <w:rFonts w:hint="default"/>
                <w:color w:val="auto"/>
                <w:sz w:val="18"/>
                <w:szCs w:val="18"/>
                <w:highlight w:val="none"/>
                <w:lang w:bidi="ar"/>
              </w:rPr>
              <w:t xml:space="preserve">气体采样模式：扩散</w:t>
            </w:r>
            <w:r>
              <w:rPr>
                <w:rStyle w:val="977"/>
                <w:rFonts w:hint="default"/>
                <w:color w:val="auto"/>
                <w:sz w:val="18"/>
                <w:szCs w:val="18"/>
                <w:highlight w:val="none"/>
                <w:lang w:bidi="ar"/>
              </w:rPr>
              <w:br/>
            </w:r>
            <w:r>
              <w:rPr>
                <w:rStyle w:val="977"/>
                <w:rFonts w:hint="default"/>
                <w:color w:val="auto"/>
                <w:sz w:val="18"/>
                <w:szCs w:val="18"/>
                <w:highlight w:val="none"/>
                <w:lang w:bidi="ar"/>
              </w:rPr>
              <w:t xml:space="preserve">温度传感器：</w:t>
            </w:r>
            <w:r>
              <w:rPr>
                <w:rStyle w:val="977"/>
                <w:rFonts w:hint="default"/>
                <w:color w:val="auto"/>
                <w:sz w:val="18"/>
                <w:szCs w:val="18"/>
                <w:highlight w:val="none"/>
                <w:lang w:bidi="ar"/>
              </w:rPr>
              <w:br/>
            </w:r>
            <w:r>
              <w:rPr>
                <w:rStyle w:val="977"/>
                <w:rFonts w:hint="default"/>
                <w:color w:val="auto"/>
                <w:sz w:val="18"/>
                <w:szCs w:val="18"/>
                <w:highlight w:val="none"/>
                <w:lang w:bidi="ar"/>
              </w:rPr>
              <w:t xml:space="preserve">精度：±0.5°C</w:t>
            </w:r>
            <w:r>
              <w:rPr>
                <w:rStyle w:val="977"/>
                <w:rFonts w:hint="default"/>
                <w:color w:val="auto"/>
                <w:sz w:val="18"/>
                <w:szCs w:val="18"/>
                <w:highlight w:val="none"/>
                <w:lang w:bidi="ar"/>
              </w:rPr>
              <w:br/>
            </w:r>
            <w:r>
              <w:rPr>
                <w:rStyle w:val="977"/>
                <w:rFonts w:hint="default"/>
                <w:color w:val="auto"/>
                <w:sz w:val="18"/>
                <w:szCs w:val="18"/>
                <w:highlight w:val="none"/>
                <w:lang w:bidi="ar"/>
              </w:rPr>
              <w:t xml:space="preserve">分辨率：0.1°C</w:t>
            </w:r>
            <w:r>
              <w:rPr>
                <w:rStyle w:val="977"/>
                <w:rFonts w:hint="default"/>
                <w:color w:val="auto"/>
                <w:sz w:val="18"/>
                <w:szCs w:val="18"/>
                <w:highlight w:val="none"/>
                <w:lang w:bidi="ar"/>
              </w:rPr>
              <w:br/>
            </w:r>
            <w:r>
              <w:rPr>
                <w:rStyle w:val="977"/>
                <w:rFonts w:hint="default"/>
                <w:color w:val="auto"/>
                <w:sz w:val="18"/>
                <w:szCs w:val="18"/>
                <w:highlight w:val="none"/>
                <w:lang w:bidi="ar"/>
              </w:rPr>
              <w:t xml:space="preserve">相对湿度传感器：</w:t>
            </w:r>
            <w:r>
              <w:rPr>
                <w:rStyle w:val="977"/>
                <w:rFonts w:hint="default"/>
                <w:color w:val="auto"/>
                <w:sz w:val="18"/>
                <w:szCs w:val="18"/>
                <w:highlight w:val="none"/>
                <w:lang w:bidi="ar"/>
              </w:rPr>
              <w:br/>
            </w:r>
            <w:r>
              <w:rPr>
                <w:rStyle w:val="977"/>
                <w:rFonts w:hint="default"/>
                <w:color w:val="auto"/>
                <w:sz w:val="18"/>
                <w:szCs w:val="18"/>
                <w:highlight w:val="none"/>
                <w:lang w:bidi="ar"/>
              </w:rPr>
              <w:t xml:space="preserve"> 范围：0到100%（不凝结）</w:t>
            </w:r>
            <w:r>
              <w:rPr>
                <w:rStyle w:val="977"/>
                <w:rFonts w:hint="default"/>
                <w:color w:val="auto"/>
                <w:sz w:val="18"/>
                <w:szCs w:val="18"/>
                <w:highlight w:val="none"/>
                <w:lang w:bidi="ar"/>
              </w:rPr>
              <w:br/>
            </w:r>
            <w:r>
              <w:rPr>
                <w:rStyle w:val="977"/>
                <w:rFonts w:hint="default"/>
                <w:color w:val="auto"/>
                <w:sz w:val="18"/>
                <w:szCs w:val="18"/>
                <w:highlight w:val="none"/>
                <w:lang w:bidi="ar"/>
              </w:rPr>
              <w:t xml:space="preserve"> 精度：±0.5%或者更高</w:t>
            </w:r>
            <w:r>
              <w:rPr>
                <w:rStyle w:val="977"/>
                <w:rFonts w:hint="default"/>
                <w:color w:val="auto"/>
                <w:sz w:val="18"/>
                <w:szCs w:val="18"/>
                <w:highlight w:val="none"/>
                <w:lang w:bidi="ar"/>
              </w:rPr>
              <w:br/>
            </w:r>
            <w:r>
              <w:rPr>
                <w:rStyle w:val="977"/>
                <w:rFonts w:hint="default"/>
                <w:color w:val="auto"/>
                <w:sz w:val="18"/>
                <w:szCs w:val="18"/>
                <w:highlight w:val="none"/>
                <w:lang w:bidi="ar"/>
              </w:rPr>
              <w:t xml:space="preserve">分辨率：0.1%</w:t>
            </w:r>
            <w:r>
              <w:rPr>
                <w:rStyle w:val="977"/>
                <w:rFonts w:hint="default"/>
                <w:color w:val="auto"/>
                <w:sz w:val="18"/>
                <w:szCs w:val="18"/>
                <w:highlight w:val="none"/>
                <w:lang w:bidi="ar"/>
              </w:rPr>
              <w:br/>
            </w:r>
            <w:r>
              <w:rPr>
                <w:rStyle w:val="977"/>
                <w:rFonts w:hint="default"/>
                <w:color w:val="auto"/>
                <w:sz w:val="18"/>
                <w:szCs w:val="18"/>
                <w:highlight w:val="none"/>
                <w:lang w:bidi="ar"/>
              </w:rPr>
              <w:t xml:space="preserve">USB规格：2.0</w:t>
            </w:r>
            <w:r>
              <w:rPr>
                <w:rStyle w:val="977"/>
                <w:rFonts w:hint="default"/>
                <w:color w:val="auto"/>
                <w:sz w:val="18"/>
                <w:szCs w:val="18"/>
                <w:highlight w:val="none"/>
                <w:lang w:bidi="ar"/>
              </w:rPr>
              <w:br/>
            </w:r>
            <w:r>
              <w:rPr>
                <w:rStyle w:val="977"/>
                <w:rFonts w:hint="default"/>
                <w:color w:val="auto"/>
                <w:sz w:val="18"/>
                <w:szCs w:val="18"/>
                <w:highlight w:val="none"/>
                <w:lang w:bidi="ar"/>
              </w:rPr>
              <w:t xml:space="preserve">无线规格：蓝牙4.2</w:t>
            </w:r>
            <w:r>
              <w:rPr>
                <w:rStyle w:val="977"/>
                <w:rFonts w:hint="default"/>
                <w:color w:val="auto"/>
                <w:sz w:val="18"/>
                <w:szCs w:val="18"/>
                <w:highlight w:val="none"/>
                <w:lang w:bidi="ar"/>
              </w:rPr>
              <w:br/>
            </w:r>
            <w:r>
              <w:rPr>
                <w:rStyle w:val="977"/>
                <w:rFonts w:hint="default"/>
                <w:color w:val="auto"/>
                <w:sz w:val="18"/>
                <w:szCs w:val="18"/>
                <w:highlight w:val="none"/>
                <w:lang w:bidi="ar"/>
              </w:rPr>
              <w:t xml:space="preserve">最大无线范围：30m</w:t>
            </w:r>
            <w:r>
              <w:rPr>
                <w:rStyle w:val="977"/>
                <w:rFonts w:hint="default"/>
                <w:color w:val="auto"/>
                <w:sz w:val="18"/>
                <w:szCs w:val="18"/>
                <w:highlight w:val="none"/>
                <w:lang w:bidi="ar"/>
              </w:rPr>
              <w:br/>
            </w:r>
            <w:r>
              <w:rPr>
                <w:rStyle w:val="977"/>
                <w:rFonts w:hint="default"/>
                <w:color w:val="auto"/>
                <w:sz w:val="18"/>
                <w:szCs w:val="18"/>
                <w:highlight w:val="none"/>
                <w:lang w:bidi="ar"/>
              </w:rPr>
              <w:t xml:space="preserve">连接方式:无线：蓝牙</w:t>
            </w:r>
            <w:r>
              <w:rPr>
                <w:rStyle w:val="977"/>
                <w:rFonts w:hint="default"/>
                <w:color w:val="auto"/>
                <w:sz w:val="18"/>
                <w:szCs w:val="18"/>
                <w:highlight w:val="none"/>
                <w:lang w:bidi="ar"/>
              </w:rPr>
              <w:br/>
            </w:r>
            <w:r>
              <w:rPr>
                <w:rStyle w:val="977"/>
                <w:rFonts w:hint="default"/>
                <w:color w:val="auto"/>
                <w:sz w:val="18"/>
                <w:szCs w:val="18"/>
                <w:highlight w:val="none"/>
                <w:lang w:bidi="ar"/>
              </w:rPr>
              <w:t xml:space="preserve">有线：USB</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default"/>
                <w:color w:val="auto"/>
                <w:highlight w:val="none"/>
                <w:lang w:val="en-US" w:eastAsia="zh-CN"/>
              </w:rPr>
              <w:t xml:space="preserve">▲</w:t>
            </w:r>
            <w:r>
              <w:rPr>
                <w:rFonts w:hint="eastAsia" w:ascii="宋体" w:hAnsi="宋体" w:cs="宋体"/>
                <w:color w:val="auto"/>
                <w:sz w:val="18"/>
                <w:szCs w:val="18"/>
                <w:highlight w:val="none"/>
                <w:lang w:bidi="ar"/>
              </w:rPr>
              <w:t xml:space="preserve">无线光学溶解氧传感器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Style w:val="977"/>
                <w:rFonts w:hint="default"/>
                <w:color w:val="auto"/>
                <w:highlight w:val="none"/>
                <w:lang w:bidi="ar"/>
              </w:rPr>
            </w:pPr>
            <w:r>
              <w:rPr>
                <w:rFonts w:hint="eastAsia" w:ascii="宋体" w:hAnsi="宋体" w:cs="宋体"/>
                <w:color w:val="auto"/>
                <w:sz w:val="18"/>
                <w:szCs w:val="18"/>
                <w:highlight w:val="none"/>
                <w:lang w:bidi="ar"/>
              </w:rPr>
              <w:t xml:space="preserve">该传感器有不少于5个测量通道:包含但不限于D0浓度、D0盐度、D0饱和度、温度、压强。溶解氧浓度范围（mg/L）：0到20mg/L，溶解氧饱和度范围（%）：0-300%。</w:t>
            </w:r>
            <w:r/>
          </w:p>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精度（mg/L）：±0.2mg/L</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类型：冷光</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响应时间：40秒内达到读数的90%</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温度补偿：自动从0到50℃</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无线规格：蓝牙4.2</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最大无线范围≥30m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连接方式:无线：蓝牙</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有线：USB</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加热磁力搅拌器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最高温度≥340℃</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最大转速≥1500rpm;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不锈钢陶瓷涂层极耐化学腐蚀；</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高清晰LCD显示屏可同时显示温度/转速的设定值和真实值；</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采用PID控温技术实时精准控制，确保加热过程的稳定可靠；</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可使用外置温度传感器，实现对样品的精确控温；</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三种升温模式可选（快速升温、标准升温及稳定升温），可根据实际实验需求灵活选择；</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可通过通讯接口连接电脑，实现对机器的远程操控及传输数据功能。</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default"/>
                <w:color w:val="auto"/>
                <w:highlight w:val="none"/>
                <w:lang w:val="en-US" w:eastAsia="zh-CN"/>
              </w:rPr>
              <w:t xml:space="preserve">▲</w:t>
            </w:r>
            <w:r>
              <w:rPr>
                <w:rFonts w:hint="eastAsia" w:ascii="宋体" w:hAnsi="宋体" w:cs="宋体"/>
                <w:color w:val="auto"/>
                <w:sz w:val="18"/>
                <w:szCs w:val="18"/>
                <w:highlight w:val="none"/>
                <w:lang w:bidi="ar"/>
              </w:rPr>
              <w:t xml:space="preserve">无线分光光度计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hint="eastAsia" w:ascii="宋体" w:hAnsi="宋体" w:eastAsia="宋体" w:cs="宋体"/>
                <w:b/>
                <w:bCs/>
                <w:i w:val="0"/>
                <w:iCs w:val="0"/>
                <w:color w:val="auto"/>
                <w:sz w:val="18"/>
                <w:szCs w:val="18"/>
                <w:highlight w:val="none"/>
                <w:u w:val="none"/>
                <w:lang w:val="en-US" w:eastAsia="zh-CN" w:bidi="ar"/>
              </w:rPr>
            </w:pPr>
            <w:r>
              <w:rPr>
                <w:rFonts w:hint="eastAsia" w:ascii="宋体" w:hAnsi="宋体" w:cs="宋体"/>
                <w:color w:val="auto"/>
                <w:sz w:val="18"/>
                <w:szCs w:val="18"/>
                <w:highlight w:val="none"/>
                <w:lang w:bidi="ar"/>
              </w:rPr>
              <w:t xml:space="preserve">光源：LED白炽灯</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探测器：线性CCD</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波长范围：380纳米-950纳米，光学分辨率（FWHM）：≤5.0nm，波长精度：±4.0nm，波长精度：±4.0nm。</w:t>
            </w:r>
            <w:r/>
          </w:p>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报告波长间隔：小于1nm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典型扫描时间：小于2秒</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操作温度：15到35℃</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支持荧光：两个激发源集中在405nm和500nm</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default"/>
                <w:color w:val="auto"/>
                <w:highlight w:val="none"/>
                <w:lang w:val="en-US" w:eastAsia="zh-CN"/>
              </w:rPr>
              <w:t xml:space="preserve">▲</w:t>
            </w:r>
            <w:r>
              <w:rPr>
                <w:rFonts w:hint="eastAsia" w:ascii="宋体" w:hAnsi="宋体" w:cs="宋体"/>
                <w:color w:val="auto"/>
                <w:sz w:val="18"/>
                <w:szCs w:val="18"/>
                <w:highlight w:val="none"/>
                <w:lang w:bidi="ar"/>
              </w:rPr>
              <w:t xml:space="preserve">无线色度计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范围：0至3（吸光度）（0到100%T）</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可用范围：</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0.05至1（吸光度）（90%至10%T）</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波长：430纳米，470纳米，565纳米，635纳米</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连接方式:无线：蓝牙</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有线：USB</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default"/>
                <w:color w:val="auto"/>
                <w:highlight w:val="none"/>
                <w:lang w:val="en-US" w:eastAsia="zh-CN"/>
              </w:rPr>
              <w:t xml:space="preserve">▲</w:t>
            </w:r>
            <w:r>
              <w:rPr>
                <w:rFonts w:hint="eastAsia" w:ascii="宋体" w:hAnsi="宋体" w:cs="宋体"/>
                <w:color w:val="auto"/>
                <w:sz w:val="18"/>
                <w:szCs w:val="18"/>
                <w:highlight w:val="none"/>
                <w:lang w:bidi="ar"/>
              </w:rPr>
              <w:t xml:space="preserve">无线滴数传感器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计数率:6滴/秒</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滴定用开口长≥3厘米</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插传感器圆孔（直径）≥7毫米和13毫米</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固定铁架台开口≥16毫米</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连接方式:无线：蓝牙</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有线：USB</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default"/>
                <w:color w:val="auto"/>
                <w:highlight w:val="none"/>
                <w:lang w:val="en-US" w:eastAsia="zh-CN"/>
              </w:rPr>
              <w:t xml:space="preserve">▲</w:t>
            </w:r>
            <w:r>
              <w:rPr>
                <w:rFonts w:hint="eastAsia" w:ascii="宋体" w:hAnsi="宋体" w:cs="宋体"/>
                <w:color w:val="auto"/>
                <w:sz w:val="18"/>
                <w:szCs w:val="18"/>
                <w:highlight w:val="none"/>
                <w:lang w:bidi="ar"/>
              </w:rPr>
              <w:t xml:space="preserve">无线氧化还原传感器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反响应时间：缓冲溶液中1秒内达到最终读数的90%，范围：-1000mV到+1000mV，分辨率：0.01mV。</w:t>
            </w:r>
            <w:r/>
          </w:p>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典型精度：±15mV</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USB规格：2.0</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无线规格：蓝牙4.2</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最大无线范围≥30m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连接方式:无线：蓝牙</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有线：USB</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default"/>
                <w:color w:val="auto"/>
                <w:highlight w:val="none"/>
                <w:lang w:val="en-US" w:eastAsia="zh-CN"/>
              </w:rPr>
              <w:t xml:space="preserve">▲</w:t>
            </w:r>
            <w:r>
              <w:rPr>
                <w:rFonts w:hint="eastAsia" w:ascii="宋体" w:hAnsi="宋体" w:cs="宋体"/>
                <w:color w:val="auto"/>
                <w:sz w:val="18"/>
                <w:szCs w:val="18"/>
                <w:highlight w:val="none"/>
                <w:lang w:bidi="ar"/>
              </w:rPr>
              <w:t xml:space="preserve">数字化传感器配套玻璃仪器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1.Y型反应管内≥20*80*70，材质：玻璃</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2.斜二口直筒型烧瓶≥250ml，口径29/19mm，材质：玻璃</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3.斜三口直筒型烧瓶≥500ml，口径34/24mm，材质：玻璃</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4.斜三口圆底烧瓶≥250ml，口径34/24/19mm，材质：玻璃</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5.硅胶塞带孔34#，材质：橡胶</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6.硅胶塞带孔24#，2只，材质：橡胶</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可配合气体压力传感器，氧气传感器，pH传感器，不锈钢温度传感器，氯离子传感器使用（有线和无线均可使用）</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r>
      <w:tr>
        <w:trPr>
          <w:jc w:val="center"/>
          <w:trHeight w:val="356"/>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bidi="ar"/>
              </w:rPr>
              <w:t xml:space="preserve">能源供给系统</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spacing w:after="180"/>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含有16个</w:t>
            </w:r>
            <w:r>
              <w:rPr>
                <w:rFonts w:hint="eastAsia" w:ascii="宋体" w:hAnsi="宋体" w:cs="宋体"/>
                <w:color w:val="auto"/>
                <w:sz w:val="18"/>
                <w:szCs w:val="18"/>
                <w:highlight w:val="none"/>
                <w:lang w:val="en-US" w:eastAsia="zh-CN" w:bidi="ar"/>
              </w:rPr>
              <w:t xml:space="preserve">能源</w:t>
            </w:r>
            <w:r>
              <w:rPr>
                <w:rFonts w:hint="eastAsia" w:ascii="宋体" w:hAnsi="宋体" w:cs="宋体"/>
                <w:color w:val="auto"/>
                <w:sz w:val="18"/>
                <w:szCs w:val="18"/>
                <w:highlight w:val="none"/>
                <w:lang w:bidi="ar"/>
              </w:rPr>
              <w:t xml:space="preserve">口：包含≥8个USB</w:t>
            </w:r>
            <w:r>
              <w:rPr>
                <w:rFonts w:hint="eastAsia" w:ascii="宋体" w:hAnsi="宋体" w:cs="宋体"/>
                <w:color w:val="auto"/>
                <w:sz w:val="18"/>
                <w:szCs w:val="18"/>
                <w:highlight w:val="none"/>
                <w:lang w:val="en-US" w:eastAsia="zh-CN" w:bidi="ar"/>
              </w:rPr>
              <w:t xml:space="preserve">能源</w:t>
            </w:r>
            <w:r>
              <w:rPr>
                <w:rFonts w:hint="eastAsia" w:ascii="宋体" w:hAnsi="宋体" w:cs="宋体"/>
                <w:color w:val="auto"/>
                <w:sz w:val="18"/>
                <w:szCs w:val="18"/>
                <w:highlight w:val="none"/>
                <w:lang w:bidi="ar"/>
              </w:rPr>
              <w:t xml:space="preserve">口以及≥8个传感器</w:t>
            </w:r>
            <w:r>
              <w:rPr>
                <w:rFonts w:hint="eastAsia" w:ascii="宋体" w:hAnsi="宋体" w:cs="宋体"/>
                <w:color w:val="auto"/>
                <w:sz w:val="18"/>
                <w:szCs w:val="18"/>
                <w:highlight w:val="none"/>
                <w:lang w:val="en-US" w:eastAsia="zh-CN" w:bidi="ar"/>
              </w:rPr>
              <w:t xml:space="preserve">能源</w:t>
            </w:r>
            <w:r>
              <w:rPr>
                <w:rFonts w:hint="eastAsia" w:ascii="宋体" w:hAnsi="宋体" w:cs="宋体"/>
                <w:color w:val="auto"/>
                <w:sz w:val="18"/>
                <w:szCs w:val="18"/>
                <w:highlight w:val="none"/>
                <w:lang w:bidi="ar"/>
              </w:rPr>
              <w:t xml:space="preserve">口。</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default"/>
                <w:color w:val="auto"/>
                <w:highlight w:val="none"/>
                <w:lang w:val="en-US" w:eastAsia="zh-CN"/>
              </w:rPr>
              <w:t xml:space="preserve">▲</w:t>
            </w:r>
            <w:r>
              <w:rPr>
                <w:rFonts w:hint="eastAsia" w:ascii="宋体" w:hAnsi="宋体" w:cs="宋体"/>
                <w:color w:val="auto"/>
                <w:sz w:val="18"/>
                <w:szCs w:val="18"/>
                <w:highlight w:val="none"/>
                <w:lang w:bidi="ar"/>
              </w:rPr>
              <w:t xml:space="preserve">无线数据分析软件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1.运行平台：微软系统苹果系统安卓系统；</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2.可使用多通道或同时收集多个传感器的数据；</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3.可选择基于时间或基于事件的数据收集模式，包括需要输入值的事件；</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4.触发基于时间的传感器来启动数据收集；</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5.手动输入数据或使用剪贴簿输入数据；</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6.更改传感器上的显示单位；</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7.在数据收集之前绘制预测图形；</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8.根据需要显示一个、两个或三个图形；</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9.选择每个轴上绘制的图形，并选择线形或点样式的图形；</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10.计算所有或部分数据的叙述性统计值；</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11.将线条和曲线拟合到部分或全部数据；</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12.根据传感器列自定义计算的栏；</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13.使用图形数据进行内插和外插值计算</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default"/>
                <w:color w:val="auto"/>
                <w:highlight w:val="none"/>
                <w:lang w:val="en-US" w:eastAsia="zh-CN"/>
              </w:rPr>
              <w:t xml:space="preserve">▲</w:t>
            </w:r>
            <w:r>
              <w:rPr>
                <w:rFonts w:hint="eastAsia" w:ascii="宋体" w:hAnsi="宋体" w:cs="宋体"/>
                <w:color w:val="auto"/>
                <w:sz w:val="18"/>
                <w:szCs w:val="18"/>
                <w:highlight w:val="none"/>
                <w:lang w:bidi="ar"/>
              </w:rPr>
              <w:t xml:space="preserve">无线气体压强传感器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范围：0至400kPa</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精度：±3kPa</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内部体积：0.8mL</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分辨率：0.03kPa</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最大采样速率：50样本/秒</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USB规格：2.0</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无线规格：蓝牙4.2</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最大无线范围≥30m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连接方式:无线：蓝牙</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有线：USB</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default"/>
                <w:color w:val="auto"/>
                <w:highlight w:val="none"/>
                <w:lang w:val="en-US" w:eastAsia="zh-CN"/>
              </w:rPr>
              <w:t xml:space="preserve">▲</w:t>
            </w:r>
            <w:r>
              <w:rPr>
                <w:rFonts w:hint="eastAsia" w:ascii="宋体" w:hAnsi="宋体" w:cs="宋体"/>
                <w:color w:val="auto"/>
                <w:sz w:val="18"/>
                <w:szCs w:val="18"/>
                <w:highlight w:val="none"/>
                <w:lang w:bidi="ar"/>
              </w:rPr>
              <w:t xml:space="preserve">无线温度传感器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温度范围：-40到125°C</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最大可承受温度：150℃</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精度：±0.25℃</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分辨率：0.01℃</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USB规格：2.0</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无线规格：蓝牙4.2</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最大无线范围≥30m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连接方式:无线：蓝牙</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有线：USB</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default"/>
                <w:color w:val="auto"/>
                <w:highlight w:val="none"/>
                <w:lang w:val="en-US" w:eastAsia="zh-CN"/>
              </w:rPr>
              <w:t xml:space="preserve">▲</w:t>
            </w:r>
            <w:r>
              <w:rPr>
                <w:rFonts w:hint="eastAsia" w:ascii="宋体" w:hAnsi="宋体" w:cs="宋体"/>
                <w:color w:val="auto"/>
                <w:sz w:val="18"/>
                <w:szCs w:val="18"/>
                <w:highlight w:val="none"/>
                <w:lang w:bidi="ar"/>
              </w:rPr>
              <w:t xml:space="preserve">无线PH传感器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温度范围：5到80℃（读数不补偿）</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pH范围：0-14</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精度：±0.2PH</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PH等势值：PH7（温度没有影响的点）</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分辨率：0.01PH</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USB规格：2.0</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无线规格：蓝牙4.2</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最大无线范围≥30m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连接方式:无线：蓝牙</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有线：USB</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default"/>
                <w:color w:val="auto"/>
                <w:highlight w:val="none"/>
                <w:lang w:val="en-US" w:eastAsia="zh-CN"/>
              </w:rPr>
              <w:t xml:space="preserve">▲</w:t>
            </w:r>
            <w:r>
              <w:rPr>
                <w:rFonts w:hint="eastAsia" w:ascii="宋体" w:hAnsi="宋体" w:cs="宋体"/>
                <w:color w:val="auto"/>
                <w:sz w:val="18"/>
                <w:szCs w:val="18"/>
                <w:highlight w:val="none"/>
                <w:lang w:bidi="ar"/>
              </w:rPr>
              <w:t xml:space="preserve">无线电导率传感器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范围：0到20,000uS/cm（0至10000mg/L）</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类型：ABS材质，平行碳（石墨）电极</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温度范围：0至80°C</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精度：全量程的±1%（1-10,000uS/cm）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分辨率：0.01uS/cm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USB规格：2.0</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无线规格：蓝牙4.2</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最大无线范围≥30m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连接方式:无线：蓝牙</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有线：USB</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default"/>
                <w:color w:val="auto"/>
                <w:highlight w:val="none"/>
                <w:lang w:val="en-US" w:eastAsia="zh-CN"/>
              </w:rPr>
              <w:t xml:space="preserve">▲</w:t>
            </w:r>
            <w:r>
              <w:rPr>
                <w:rFonts w:hint="eastAsia" w:ascii="宋体" w:hAnsi="宋体" w:cs="宋体"/>
                <w:color w:val="auto"/>
                <w:sz w:val="18"/>
                <w:szCs w:val="18"/>
                <w:highlight w:val="none"/>
                <w:lang w:bidi="ar"/>
              </w:rPr>
              <w:t xml:space="preserve">无线氧气传感器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氧气传感器：</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范围：0–100%(0–1000ppt)</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精度：O2体积的±1%</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分辨率：0.01%</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温度传感器：</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类型：热敏电阻</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精度：±0.5°C</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分辨率：0.1°C</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USB规格：2.0</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无线规格：蓝牙4.2</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最大无线范围≥30m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正常操作温度范围：20到40℃</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操作湿度范围：5到95%</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有线：USB</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default"/>
                <w:color w:val="auto"/>
                <w:highlight w:val="none"/>
                <w:lang w:val="en-US" w:eastAsia="zh-CN"/>
              </w:rPr>
              <w:t xml:space="preserve">▲</w:t>
            </w:r>
            <w:r>
              <w:rPr>
                <w:rFonts w:hint="eastAsia" w:ascii="宋体" w:hAnsi="宋体" w:cs="宋体"/>
                <w:color w:val="auto"/>
                <w:sz w:val="18"/>
                <w:szCs w:val="18"/>
                <w:highlight w:val="none"/>
                <w:lang w:bidi="ar"/>
              </w:rPr>
              <w:t xml:space="preserve">无线二氧化碳传感器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二氧化碳传感器：</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范围：0-100000ppm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精度：0到1,000ppm:±100ppm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1,000到10,000ppm:读数的±5%</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10,000ppm到50,000ppm:读数的±10%</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50,000到100,000ppm:读数的±15%</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分辨率：1ppm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预热时间：180秒</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气体采样模式：扩散</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温度传感器：</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精度：±0.5°C</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分辨率：0.1°C</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相对湿度传感器：</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范围：0到100%（不凝结）</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精度：±0.5%或者更高</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分辨率：0.1%</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USB规格：2.0</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无线规格：蓝牙4.2</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最大无线范围≥30m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连接方式:无线：蓝牙</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有线：USB</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加热磁力搅拌器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最高温度≥340℃</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最大转速≥1500rpm;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不锈钢陶瓷涂层极耐化学腐蚀；</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高清晰LCD显示屏可同时显示温度/转速的设定值和真实值；</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采用PID控温技术实时精准控制，确保加热过程的稳定可靠；</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可使用外置温度传感器，实现对样品的精确控温；</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三种升温模式可选（快速升温、标准升温及稳定升温），可根据实际实验需求灵活选择；</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可通过通讯接口连接电脑，实现对机器的远程操控及传输数据功能。</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default"/>
                <w:color w:val="auto"/>
                <w:highlight w:val="none"/>
                <w:lang w:val="en-US" w:eastAsia="zh-CN"/>
              </w:rPr>
              <w:t xml:space="preserve">▲</w:t>
            </w:r>
            <w:r>
              <w:rPr>
                <w:rFonts w:hint="eastAsia" w:ascii="宋体" w:hAnsi="宋体" w:cs="宋体"/>
                <w:color w:val="auto"/>
                <w:sz w:val="18"/>
                <w:szCs w:val="18"/>
                <w:highlight w:val="none"/>
                <w:lang w:bidi="ar"/>
              </w:rPr>
              <w:t xml:space="preserve">无线色度计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范围：0至3（吸光度）（0到100%T）</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可用范围：</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0.05至1（吸光度）（90%至10%T）</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波长：430纳米，470纳米，565纳米，635纳米</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连接方式:无线：蓝牙</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有线：USB</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default"/>
                <w:color w:val="auto"/>
                <w:highlight w:val="none"/>
                <w:lang w:val="en-US" w:eastAsia="zh-CN"/>
              </w:rPr>
              <w:t xml:space="preserve">▲</w:t>
            </w:r>
            <w:r>
              <w:rPr>
                <w:rFonts w:hint="eastAsia" w:ascii="宋体" w:hAnsi="宋体" w:cs="宋体"/>
                <w:color w:val="auto"/>
                <w:sz w:val="18"/>
                <w:szCs w:val="18"/>
                <w:highlight w:val="none"/>
                <w:lang w:bidi="ar"/>
              </w:rPr>
              <w:t xml:space="preserve">无线滴数传感器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准确滴计数率高达6滴/秒</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尺寸:</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滴定用开口长≥3厘米</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插传感器圆孔（直径）≥7毫米和13毫米</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固定铁架台开口≥16毫米</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全长≥15.5厘米，宽度≥4.5厘米，厚度≥1.8厘米</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从固定铁架台开口中心到滴定用开口中心的距离（理想值）≥10.5厘米</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从固定铁架台开口中心到插传感器圆孔中心的距离（理想）≥12厘米</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连接方式:无线：蓝牙</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有线：USB</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default"/>
                <w:color w:val="auto"/>
                <w:highlight w:val="none"/>
                <w:lang w:val="en-US" w:eastAsia="zh-CN"/>
              </w:rPr>
              <w:t xml:space="preserve">▲</w:t>
            </w:r>
            <w:r>
              <w:rPr>
                <w:rFonts w:hint="eastAsia" w:ascii="宋体" w:hAnsi="宋体" w:cs="宋体"/>
                <w:color w:val="auto"/>
                <w:sz w:val="18"/>
                <w:szCs w:val="18"/>
                <w:highlight w:val="none"/>
                <w:lang w:bidi="ar"/>
              </w:rPr>
              <w:t xml:space="preserve">无线氧化还原传感器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反应时间：1秒内达到最终读数的90%</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范围：-1000mV到+1000mV</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典型精度：±15mV</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分辨率：0.01mV</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USB规格：2.0</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无线规格：蓝牙4.2</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最大无线范围≥30m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连接方式:无线：蓝牙</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有线：USB</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default"/>
                <w:color w:val="auto"/>
                <w:highlight w:val="none"/>
                <w:lang w:val="en-US" w:eastAsia="zh-CN"/>
              </w:rPr>
              <w:t xml:space="preserve">▲</w:t>
            </w:r>
            <w:r>
              <w:rPr>
                <w:rFonts w:hint="eastAsia" w:ascii="宋体" w:hAnsi="宋体" w:cs="宋体"/>
                <w:color w:val="auto"/>
                <w:sz w:val="18"/>
                <w:szCs w:val="18"/>
                <w:highlight w:val="none"/>
                <w:lang w:bidi="ar"/>
              </w:rPr>
              <w:t xml:space="preserve">数字化传感器配套玻璃仪器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1.Y型反应管内≥20*80*70，材质：玻璃</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2.斜二口直筒型烧瓶≥250ml，口径29/19mm，材质：玻璃</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3.斜三口直筒型烧瓶≥500ml，口径34/24mm，材质：玻璃</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4.斜三口圆底烧瓶≥250ml，口径34/24/19mm，材质：玻璃</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5.硅胶塞带孔34#，材质：橡胶</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6.硅胶塞带孔24#，2只，材质：橡胶</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可配合气体压力传感器，氧气传感器，pH传感器，不锈钢温度传感器，氯离子传感器使用（有线和无线均可使用）</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w:t>
            </w:r>
            <w:r/>
          </w:p>
        </w:tc>
      </w:tr>
      <w:tr>
        <w:trPr>
          <w:jc w:val="center"/>
          <w:trHeight w:val="501"/>
        </w:trPr>
        <w:tc>
          <w:tcPr>
            <w:gridSpan w:val="2"/>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tcPr>
          <w:p>
            <w:pPr>
              <w:jc w:val="center"/>
              <w:widowControl/>
              <w:rPr>
                <w:rFonts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化学基础仪器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打孔器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产品由四支不同孔径带手柄的空芯钻头、顶屑杆（通条）组成。空芯管：a）每支空芯管长度为100mm）管外径分别为6mm,8mm,10mm公差±0.1mm。2.钻头：用无缝钢管制成；直线度0.05mm；刀口表面镀铬；刀刃无缺口或锯齿状；刀刃平面与手柄平行，并与钻头轴线垂直；刀刃平面与轴线的垂直度0.16mm；顶屑杆：直径3.5mm长106mm</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打孔夹板</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产品由上夹板、下夹板、螺钉及紧固蝴蝶螺母等组成。2.产品长175mm,宽40mm。上夹板应备有直径为6mm,8mm,10mm,12mm直穿孔4个。紧固螺钉与下夹板紧固为一体，不得松动；紧固螺钉长度80mm.上夹板上下高度可调，由蝴蝶螺目定位。上夹板、下夹板厚度11mm，具有足够强度。</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打孔器刮刀</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产品由刀架、刀片、刀片定位销钉、刀片张角定位螺钉和手柄组成。</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手摇钻孔器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1.可以完成对橡胶塞，软木塞的钻孔2.钻孔直径分别为7mm，9mm，11mm,13mm,最大钻孔深度35mm。由架体、手轮、钻杆及钻管组成。3.配套可钻7mm，9mm，11mm,13mm孔的钻管。</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电动钻孔器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1、全金属材质，适合在各种橡胶塞上进行电动打孔，打孔直径：约1-13mm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2、电机为铝浇制机壳，功率约700W，使用寿命长。</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3、安装触动式行程开关松手断电安全、高效、节能。</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4、带动双向旋转夹具。</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5、卧式。</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6、夹具横向平移约15mm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7、夹具纵向进给大于100mm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8、工作电压：220v±10%50hz</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电动离心机</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1、机壳采用PP材料外壳，内置保护钢套，简洁紧凑，噪音低：</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2、采用CPU微机控制系统，微机控制器及微电脑驱动程序可更精确控制转速、时间和相对离心机；</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3、最高转速：4000r/min</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4、最大相对离心力：2150xg</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5、最大容量：6×20ml</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6、电机：免维护无刷电机</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7、定时范围：1~99min</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8、噪声：≤50dB(A)</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9、电源：AC220v50Hz5A</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10、外形尺寸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280×220×265mm(L×W×H)</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11、主机加标配转子：12*5ml</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离心沉淀器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1.塑料手动离心沉淀器</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2.G形夹缩到较小的时候的长度约27cm长</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3.G形夹放到较大（6cm）的死后的长度约33cm</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金属酒精灯</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一、组成：酒精灯壶、棉灯芯。</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二、用不锈钢精致而成。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三、壶体规格</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∅84㎜×41㎜</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四、壶盖及灯芯</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∅50㎜×13㎜，</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∅13㎜×80㎜。</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酒精喷灯</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座式</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1.用黄铜制成。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2.密闭无渗漏。</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3.仪器由灯壶、灯管、空气调节器、预热盘、加料口等部分组成。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4.空气调节器可使调节片可靠稳定于调节范围内的任意位置，能自如地调节空气进量而调节火焰大小。</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5.壸体装酒精容积约250mL。喷管与各管焊接牢固，喷火燃烧而熔化焊接，无漏气。火苗调节杆柄在调节火苗时不变形。调节手轮不得因工作时焦熔。</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电加热器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密封式。</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1.额定电压AC220V±5％50Hz+5,额定功率</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1000W。</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2.密封式，有恒温控制，炉面温度自动控制在330℃～400℃。</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3.规格：</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220mm×220mm，不锈钢制。加热面板直径约155mm。高约16mm。黑色圆形</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蒸馏水器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1.蒸馏水产量</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5L</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22.水质要求：自来水、饮用水</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3.电热管功率及数量</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4.5kw*1支</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4.电源电压：AC220V/50HZ</w:t>
            </w:r>
            <w:r>
              <w:rPr>
                <w:rFonts w:hint="eastAsia" w:ascii="宋体" w:hAnsi="宋体" w:cs="宋体"/>
                <w:color w:val="auto"/>
                <w:sz w:val="18"/>
                <w:szCs w:val="18"/>
                <w:highlight w:val="none"/>
                <w:lang w:eastAsia="zh-CN" w:bidi="ar"/>
              </w:rPr>
              <w:t xml:space="preserve">（</w:t>
            </w:r>
            <w:r>
              <w:rPr>
                <w:rFonts w:hint="eastAsia" w:ascii="宋体" w:hAnsi="宋体" w:cs="宋体"/>
                <w:color w:val="auto"/>
                <w:sz w:val="18"/>
                <w:szCs w:val="18"/>
                <w:highlight w:val="none"/>
                <w:lang w:val="en-US" w:eastAsia="zh-CN" w:bidi="ar"/>
              </w:rPr>
              <w:t xml:space="preserve">±10%）</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5.外形尺寸：约25*71cm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蒸馏水器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5L</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390*280*850mm,输入电压220v，功率</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4.5kw，采用不锈钢材料，利用先进工艺焊接而成，冷凝器以不锈钢无缝管盘制，冷却效率高，出水量大。带有水位观察镜，方便监控水位。</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不锈钢密封扣结实耐用密封性好。电加热管采用无缝不锈钢管制成热效率高，使用寿命长。</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列管式烘干器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1.化学实验设备，供试管瓶子干燥用，仪器外壳采用不锈钢金属材质</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2.电热式。</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3.额定电压：220V</w:t>
            </w:r>
            <w:r>
              <w:rPr>
                <w:rFonts w:hint="eastAsia" w:ascii="宋体" w:hAnsi="宋体" w:cs="宋体"/>
                <w:color w:val="auto"/>
                <w:sz w:val="18"/>
                <w:szCs w:val="18"/>
                <w:highlight w:val="none"/>
                <w:lang w:eastAsia="zh-CN" w:bidi="ar"/>
              </w:rPr>
              <w:t xml:space="preserve">（</w:t>
            </w:r>
            <w:r>
              <w:rPr>
                <w:rFonts w:hint="eastAsia" w:ascii="宋体" w:hAnsi="宋体" w:cs="宋体"/>
                <w:color w:val="auto"/>
                <w:sz w:val="18"/>
                <w:szCs w:val="18"/>
                <w:highlight w:val="none"/>
                <w:lang w:val="en-US" w:eastAsia="zh-CN" w:bidi="ar"/>
              </w:rPr>
              <w:t xml:space="preserve">±10%）</w:t>
            </w:r>
            <w:r>
              <w:rPr>
                <w:rFonts w:hint="eastAsia" w:ascii="宋体" w:hAnsi="宋体" w:cs="宋体"/>
                <w:color w:val="auto"/>
                <w:sz w:val="18"/>
                <w:szCs w:val="18"/>
                <w:highlight w:val="none"/>
                <w:lang w:bidi="ar"/>
              </w:rPr>
              <w:t xml:space="preserve">。</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4.发热功率</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240W。</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5.干燥位</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13个。</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6.热风温度：50℃－60℃。</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7.绝缘电阻：大于20MΩ。</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8.干燥时间：3～5min。</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9.耐压强度：AC1.5KV、50HZ正弦波，历时1分钟，无击穿、飞弧现象。</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10.分别有风扇及加热两个按钮，并有指示灯提示。</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烘干箱</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1.内胆材质:不锈钢</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2.内胆尺寸：≥55cm*45cm*55cm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3.容积≥130L</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4.升温快慢：有</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5.电压功率：220V/2000W</w:t>
            </w:r>
            <w:r>
              <w:rPr>
                <w:rFonts w:hint="eastAsia" w:ascii="宋体" w:hAnsi="宋体" w:cs="宋体"/>
                <w:color w:val="auto"/>
                <w:sz w:val="18"/>
                <w:szCs w:val="18"/>
                <w:highlight w:val="none"/>
                <w:lang w:eastAsia="zh-CN" w:bidi="ar"/>
              </w:rPr>
              <w:t xml:space="preserve">（</w:t>
            </w:r>
            <w:r>
              <w:rPr>
                <w:rFonts w:hint="eastAsia" w:ascii="宋体" w:hAnsi="宋体" w:cs="宋体"/>
                <w:color w:val="auto"/>
                <w:sz w:val="18"/>
                <w:szCs w:val="18"/>
                <w:highlight w:val="none"/>
                <w:lang w:val="en-US" w:eastAsia="zh-CN" w:bidi="ar"/>
              </w:rPr>
              <w:t xml:space="preserve">±10%）</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6.温度范围：室内+10-300℃</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7.定时范围：1-9999分钟/小时</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8.分辨率：0.1℃</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9.加热方式：背部加热</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水浴锅</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numPr>
                <w:ilvl w:val="0"/>
                <w:numId w:val="2"/>
              </w:numPr>
              <w:jc w:val="left"/>
              <w:widowControl/>
              <w:rPr>
                <w:rFonts w:hint="eastAsia" w:ascii="宋体" w:hAnsi="宋体" w:cs="宋体"/>
                <w:color w:val="auto"/>
                <w:sz w:val="18"/>
                <w:szCs w:val="18"/>
                <w:highlight w:val="none"/>
                <w:lang w:val="en-US" w:eastAsia="zh-CN" w:bidi="ar"/>
              </w:rPr>
            </w:pPr>
            <w:r>
              <w:rPr>
                <w:rFonts w:hint="eastAsia" w:ascii="宋体" w:hAnsi="宋体" w:cs="宋体"/>
                <w:color w:val="auto"/>
                <w:sz w:val="18"/>
                <w:szCs w:val="18"/>
                <w:highlight w:val="none"/>
                <w:lang w:bidi="ar"/>
              </w:rPr>
              <w:t xml:space="preserve">控温精度：±1℃</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2.材质：不锈钢</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3.加热功率</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350W</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4.控温范围：RT-99.9℃</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5.显示方式：</w:t>
            </w:r>
            <w:r>
              <w:rPr>
                <w:rFonts w:hint="eastAsia" w:ascii="宋体" w:hAnsi="宋体" w:cs="宋体"/>
                <w:color w:val="auto"/>
                <w:sz w:val="18"/>
                <w:szCs w:val="18"/>
                <w:highlight w:val="none"/>
                <w:lang w:val="en-US" w:eastAsia="zh-CN" w:bidi="ar"/>
              </w:rPr>
              <w:t xml:space="preserve">数显</w:t>
            </w:r>
            <w:r/>
          </w:p>
          <w:p>
            <w:pPr>
              <w:numPr>
                <w:ilvl w:val="0"/>
                <w:numId w:val="0"/>
              </w:num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6.定时范围：0-999min</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7.孔数</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保温漏斗</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铜制.热滤漏斗铜制，具有夹层和侧管，夹层内可盛水，漏斗上沿有一注水口，侧管处用于加热。热滤漏斗内的玻璃漏斗其大小应与热滤漏斗相匹配，且应为短颈（比热滤漏斗的底端稍长）。</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bidi="ar"/>
              </w:rPr>
              <w:t xml:space="preserve">液体定量导出器1</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≥5ml，聚乙稀/高密度乙稀/橡胶(外套+推杆+胶塞)。</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val="en-US" w:eastAsia="zh-CN" w:bidi="ar"/>
              </w:rPr>
              <w:t xml:space="preserve">液体定量导出器2</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≥50mL，塑料，一次性使用无菌注射器</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val="en-US" w:eastAsia="zh-CN" w:bidi="ar"/>
              </w:rPr>
              <w:t xml:space="preserve">液体定量导出器3</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一、适用范围、规格：</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1.中学化学教学用。</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2.≥100mL。</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二、技术参数：</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1.塑料制品，外径≥35mm，筒身长不小于150mm。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2.注射管表面无缩迹、无溶迹、无毛刺。外形端正，厚薄均匀，内外表面清洁，无划伤。</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3.量值准确，刻度和数字清晰、无断线、不脱落。</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4.外筒与活塞之间配合严密，滑动自如。</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三、8支装</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塑料洗瓶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容积≥250ml。喷管直径≥7mm，插入洗瓶底部位置，喷头部位弯制成约60°角，喷嘴拉制成尖形，喷嘴直径≥φ1mm。</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试剂瓶托盘</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1.托盘外形尺寸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310mm×220mm。托盘应由搪瓷材料制造（或高分子材料）。</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实验用品提篮</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1.可固定试管，试剂瓶等仪器，底部有抽屉，带有试管架2.总高380mm3.主要材质：实木（厚度1cm）</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塑料水槽</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1.产品用无毒透明硬质塑料制成。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2.外形尺寸：≥270mm×200mm×100mm，壁厚≥2mm。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3.产品自≥1m高度处自由下落于水泥地面后无破损。</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碘升华凝华管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密闭式</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1.由玻璃密封管体和手柄组成，管的高度≥60mm，直径≥25mm，两端内凹面深度不小于10mm。管内密封碘的质量约0.1克。</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2.手柄长≥80mm，直径6±1mm。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3.管体外形端正，玻璃熔接平滑均匀，无气泡、无条纹。管体在≥90℃热水中检测无泄漏（无气泡溢出）。</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4.管体应耐≥80℃温差的急冷骤热。</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5.升华与凝华的全过程耗时约10分钟。</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bidi="ar"/>
              </w:rPr>
              <w:t xml:space="preserve">聚光</w:t>
            </w:r>
            <w:r>
              <w:rPr>
                <w:rFonts w:hint="eastAsia" w:ascii="宋体" w:hAnsi="宋体" w:cs="宋体"/>
                <w:color w:val="auto"/>
                <w:sz w:val="18"/>
                <w:szCs w:val="18"/>
                <w:highlight w:val="none"/>
                <w:lang w:val="en-US" w:eastAsia="zh-CN" w:bidi="ar"/>
              </w:rPr>
              <w:t xml:space="preserve">发光源</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由激光笔、配套</w:t>
            </w:r>
            <w:r>
              <w:rPr>
                <w:rFonts w:hint="eastAsia" w:ascii="宋体" w:hAnsi="宋体" w:cs="宋体"/>
                <w:color w:val="auto"/>
                <w:sz w:val="18"/>
                <w:szCs w:val="18"/>
                <w:highlight w:val="none"/>
                <w:lang w:val="en-US" w:eastAsia="zh-CN" w:bidi="ar"/>
              </w:rPr>
              <w:t xml:space="preserve">能源供给设备</w:t>
            </w:r>
            <w:r>
              <w:rPr>
                <w:rFonts w:hint="eastAsia" w:ascii="宋体" w:hAnsi="宋体" w:cs="宋体"/>
                <w:color w:val="auto"/>
                <w:sz w:val="18"/>
                <w:szCs w:val="18"/>
                <w:highlight w:val="none"/>
                <w:lang w:bidi="ar"/>
              </w:rPr>
              <w:t xml:space="preserve">组成</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方座支架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1.产品由底座、烧杯夹、大小铁环、垂直夹、平行夹、立杆等组成。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2.底座：铸铁制成，外层涂有防锈漆，规格：≥200mm×130mm。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3.立杆：直径为直径≥12mm，杆长≥600mm，一端为螺纹。立杆由优质铁制成，外层电镀。</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4.大铁环内径≥90mm，柄长≥105mm，小铁环内径≥50mm，柄长≥125mm,圆环≥120°处有一开口，宽约≥20mm。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5.底座放置平稳，支承夹持可靠，立杆与底座垂直，铁环组装后与立杆垂直。</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万能夹</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中学化学实验中夹持特殊器械或不规则物品用。成型规整、美观，表面无锈蚀，无损伤。具备可靠的强度和夹持能力，便于与实验装置配合、组装。</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1.圆环、支撑脚用料为φ≥6mm冷拉钢材质，表面喷漆或镀，铬防锈处理。</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2.支撑圆环直径外径φ≥130mm，φ内径≥90mm、壁厚≥5mm。圆环平面与放置台面平行，高≥138mm。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3.三支撑脚与圆环间焊接牢靠，分布均匀，焊点光滑、平稳。</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4.表面无明显的凹痕、裂缝、变形等缺陷；表面喷漆或涂镀层应均匀，不起泡、龟裂、脱落和磨损；无锈蚀及其他机械损伤。</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泥三角</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加热辅助设备。</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泥三角由黄泥棒、铁丝组成。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黄泥棒外径Φ≥10±0.5mm，长53±1mm，其中心孔能穿过约1mm的铁丝。</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三支棒组成等边三角形，黄泥棒：坚硬。</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试管架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塑料，≥6孔，白色</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漏斗架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1.木质，尺寸250ml-2孔/套</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滴定台</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矩形底座为天然大理石，尺寸不小于300mm×150mm×18mm，上平面抛光，底面四角嵌装橡胶脚垫，放置平稳。</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立杆直径不小于12mm，长度不小于600mm，表面镀铬。</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立杆与底座垂直度误差不大于3mm。</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滴定夹</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左右可夹持直长度为不小于800mm，容量为不小于50ml的滴定管两支，最大夹持直径不小于20mm，夹持竖质量不小于1kg。夹体、夹脚由铝合金铸制而成，表现防腐处理，两对夹脚均应套乳胶管。扭力弹簧表面镀锌。</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多用滴管架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可放滴管数不少于20个。</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移液管架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1.移液管架，塑料材质</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2.规格：梯形，20孔。</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比色管架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1.比色管架，木制</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2.规格:25ml*6孔1组，10ml*6孔1组，100ml*6孔1组</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3.孔径均匀</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组合式支架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由金属杆、定滑轮、滑块、支座、滑道、托盘支杆、托盘、万能夹、吊钩、铁环、烧瓶夹、调整支套组成</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托盘天平</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1.外形尺寸：≥200mm×70mm×135mm。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2.铸铁底座，表面喷塑，横梁铝制，表面钝化，称盘塑胶，刀子和刀承采用采用优质合金钢制成。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3.双盘、单杠杆、等臂，非封闭式横梁由铝合金制成。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4.最大称量为：100g,标尺称量为:0-5g,分度值0.1g,秤盘直径：≥70mm。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5.标尺光洁平直，连接部位固紧，分度线均匀，游码起点对准零线，移动时松紧适宜，当杠杆受到轻微冲击时，游码不移位。</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托盘天平</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1.最大称量500g，分度值0.5g。</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2.秤量允许误差为±0.5d(分度值)。</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3.砝码组合的总质量（包括标尺计量值）应不小于天平的最大秤量。</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4.冲压件及铸件表面应光洁平整，不应有毛刺、锋棱、裂纹和显见砂眼。</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5.电镀件的镀层应色泽均匀，不应有露底和显见的麻点、水迹、擦伤等缺陷。</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6.油漆件表面应平整光滑，色泽均匀，不应有露底、起泡、挂漆、擦伤等缺陷。</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电子天平</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100g，0.1g</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电子天平</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200g，0.001g</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电子天平</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400g，0.1g</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电子天平</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200g，0.0001g</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电子停表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0.1s，双道记时，塑壳；防水防震，防滑结构；机芯在表壳组件应稳固，液晶屏显示清晰、表玻璃透明无伤、印字清楚正确、表壳与玻璃后盖的配合应紧，不得有明显的缝隙；表壳外棱角无锋利感；镀层无气泡，不脱落。数码显示，具有显示月、日、上下午时间和累计时间显示功能；秒表计时可选择简易计时，分段计时，两段时间显示；</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bidi="ar"/>
              </w:rPr>
              <w:t xml:space="preserve">分馏实验</w:t>
            </w:r>
            <w:r>
              <w:rPr>
                <w:rFonts w:hint="eastAsia" w:ascii="宋体" w:hAnsi="宋体" w:cs="宋体"/>
                <w:color w:val="auto"/>
                <w:sz w:val="18"/>
                <w:szCs w:val="18"/>
                <w:highlight w:val="none"/>
                <w:lang w:val="en-US" w:eastAsia="zh-CN" w:bidi="ar"/>
              </w:rPr>
              <w:t xml:space="preserve">用温度测试器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红液温度计，测量范围：0～100℃。2最小分度值：1℃。3允许误差：±1℃。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水浴实验</w:t>
            </w:r>
            <w:r>
              <w:rPr>
                <w:rFonts w:hint="eastAsia" w:ascii="宋体" w:hAnsi="宋体" w:cs="宋体"/>
                <w:color w:val="auto"/>
                <w:sz w:val="18"/>
                <w:szCs w:val="18"/>
                <w:highlight w:val="none"/>
                <w:lang w:val="en-US" w:eastAsia="zh-CN" w:bidi="ar"/>
              </w:rPr>
              <w:t xml:space="preserve">用温度测试器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感温物质：水银，测量范围：0℃～100℃，最小分度值：1℃，允许误差±1℃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数字测温计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1.工作参数：220V±10%、2W</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2.外形尺寸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200×175×80mm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3.测温范围：-30～+310℃</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4.测量误差：±0.5℃</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5.显示方式</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4位</w:t>
            </w:r>
            <w:r>
              <w:rPr>
                <w:rFonts w:hint="eastAsia" w:ascii="宋体" w:hAnsi="宋体" w:cs="宋体"/>
                <w:color w:val="auto"/>
                <w:sz w:val="18"/>
                <w:szCs w:val="18"/>
                <w:highlight w:val="none"/>
                <w:lang w:val="en-US" w:eastAsia="zh-CN" w:bidi="ar"/>
              </w:rPr>
              <w:t xml:space="preserve">数显</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6.传感方式：直接接触式</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7.仪器面板上有LED、摄氏标志、华氏标志、摄氏/华氏切换按钮、温度测量接口及电源总开关</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8.可显示摄氏及华氏，并且可随即切换</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9.仪器带过载保险丝</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直流电流表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2.5级，0.6A，3A。测量范围：—0.2A—0—0.6A;—1A—0—3A。</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灵敏电流计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±300uA。测量机构：外磁式。仪表量程：（G0）—300～0～＋300μA（G1）±750mV。内阻：（G0）80—125Ω（G1）2400—3000Ω。</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多用电表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指针式，不低于2.5级，灵敏度：直流≥20KΩ/V，交流≥9KΩ/V。</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演示电流电压表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2.5级,检流，教学用指针式电表</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密度计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1.规格：0.9-1.0，0.8-0.9各一支2.材质：无铅玻璃3.属性：刻度清晰</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酸度计(pH计)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测量范围：pH0～14，分辨率：0.1.GB/T实验室pH计。</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原电池实验器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供中学化学课学生分组进行原电池实验用。产品由缸体、电极、导线、发光二极管（或电珠）等组成。缸体由透明塑料制成,实验有效容积不小于160ml，距缸口15mm处的缸壁上有溶液标志线。产品配备铜、锌电极二对，电极厚度约1.2mm，宽不小于18ｍｍ。产品配备叉头导线2根，长度不小于400mm。进行原电池实验时，能使发光二极管（或电珠）发光，连续发光时间不小于2min。</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贮气装置</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化学实验室设备，用于收集、贮存气体。由底座、手柄、支架、气球嘴、锁紧螺母、贮气球、气嘴、气嘴阀门、气胆阀门、手压球各部分组成。气球嘴、气嘴应紧固、牢靠,在使用中不得产生松动现象。底座与支架组装成后，底座未经调平，支架与底面的垂直度不大于5mm。气嘴阀门、气胆阀门的耐磨性能好，气密性良好。</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高中微型化学实验箱</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实验箱含各类化学实验仪器，主要以微型玻璃仪器为主，含微型蒸馏回馏装置，含定量试剂。</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溶液导电演示器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产品由塑料演示板及盛液盒等组成，演示板上有五组相同的演示二极管电路（每组约5个二极管），盛液盒</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5个。溶液导电演示器外形尺寸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380mm×100mm×280mm，面板上有电源开关及电源指示灯、12V电源连接柱。电解质导电强弱可通过二极管指示灯闪亮的多少进行判断，每组最多可亮5盏。盛液盒由盒体、盖、碳棒、导线等组成，盒体为透明，外形尺寸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54mm×60mm×34mm，背面有一扣子，可插入面板。碳棒直径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4mm，长度</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40mm。</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微型溶液导电实验器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1、机壳采用优质ABS塑料注塑成型，圆柱形手柄与导电强度显示一体，手柄上装有电源开关及电池盖方便更换电池，并刻有≥5个凹槽方便手握。强度显示面板上有三角形强度指示。</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2、供电</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3、带按钮开关，可独立测试任何溶液；</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4、指示灯个数：</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6个红色高亮发光二极管；</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5、测量头：两根</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φ2mm耐酸性圆头不锈钢杆，长度</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80mm；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6、整体尺寸：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196x58x50mm（长x宽x直径）含测量杆</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中和热测定仪</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教学用产品：里层为锥型玻璃烧杯，容积</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150mL，中间采用隔层，外层用ABS塑料成型，烧杯瓶口盖采用特制橡胶并开有二个小孔，其中一个孔插温度计，另一个孔插搅拌棒。</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化学实验废液处理装置</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1.仪器由主机（含搅拌机）、</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440ml试剂瓶4个、洗瓶、专用电源、水管、活性炭包、刷子、过滤布、滤布夹约4个、通针、胶皮手套、钥匙等组成，外形尺寸不小于510mm×310mm×370mm。</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气体实验微型装置</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以微型玻璃仪器为主，能完成氧气、氢气、二氧化碳、一氧化碳、氯气、氨气、二氧化硫、硫化氢、一氧化氮、二氧化氮等十几种气体的制备和性质实验，反应容器一般不超过30mL</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氢燃料电池演示器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1.两个质子交换膜电极，膜电极不小于33mm×33mm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2.2个装</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氢燃料电池实验器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两个质子交换膜电极，膜电极约35mm×35mm仪器由下四部分组成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1.电器部分：带风扇电机、电流表、电压表</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2.氢燃料电池。</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3.PEM（质子交换膜）水电解器。</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4.有机底座（</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352mm×150mm×16mm）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所有部件都用螺丝固定在底座上。牢固无松动现象。</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电解槽演示器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可以迅速电解饱和食盐水，提高纯度氢氧化钠。主要由阳极（钛钌铂等贵金属），阴极（铂金）离子交换膜，槽体等组成。</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丁达尔现象实验器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一、组成：黑色塑料壳体、加盖透明塑料容器、移动光源组成。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二、主要参数：</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1、规格：</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100㎜×50㎜×70㎜</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2、塑料加盖容器：2个，</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60㎜×20㎜×15㎜</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二氧化氮球</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不少于双球，内封NO2和N2O4</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放电反应实验仪</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通电两分钟之内即有氮气与氧气反应的现象，消耗功率不大于30W</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光化学实验演示器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1.仪器由机座、闪光装置、玻璃试管及安全防护罩等组成，能演示甲烷与氯气的反应2.2个装</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化学实验演示平台</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带演示显示装置</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炼铁高炉模型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一、组成：黑色塑料壳体、加盖透明塑料容器、移动光源组成。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二、主要参数：</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1、规格：</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100㎜×50㎜×70㎜</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2、塑料加盖容器：2个，</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60㎜×20㎜×15㎜</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分子结构模型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（高中演示）球直径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30-23mm包括碳氢氧氮硫磷，不少于89个球，109根棍子</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分子结构模型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分组（球直径约23-17mm）不带abs板</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金刚石结构模型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球直径不小于30mm仪器可组装金刚石晶体结构，由彩色橡胶球、金属杆、底座组成。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橡胶球直径不小于30mm。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球杆组装松紧适度，不应有自由转动、松脱，组装后不得有明显的弯曲变形及角度变化。</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教学演示效果明显。</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石墨结构模型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球直径不小于30mm仪器可组装石墨晶体结构，由彩色橡胶球、金属杆、底座组成。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橡胶球直径不小于30mm。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球杆组装松紧适度，不应有自由转动、松脱，组装后不得有明显的弯曲变形及角度变化。</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教学演示效果明显。</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碳-60结构模型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球直径不小于30mm模型不少于碳原子（3孔黑球）60个、单键60根、双键30根等构成，外形呈足球状。</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单键与双键便于区分，不容混淆。</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模型不少于12个五边形，与五边形周围是六边形，六边形周围是五边形交替搭建，孔管（棒）配合良好搭建容易。</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氯化钠晶体结构模型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球直径不小于30mm球杆组装松紧适度，不应有自由转动、松脱，组装后不得有明显的弯曲变形及角度变化见教学演示效果明显。</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碳的同素异形体结构模型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演示用，包括金钢石、石墨、碳三种结构模型：小型，不熟棍式，可拆卸，橡胶球直径不小于30mm.</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氯化铯晶体结构模型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符合中学化学教学的要求，球直径不小于30mm。球杆组装松紧适度，不应有自由转动、松脱，组装后不得有明显的弯曲变形及角度变化见2.3教学演示效果明显。</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二氧化碳晶体结构模型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一、组成:由蓝色、黑色塑料球、白色塑料杆组成。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二、组要参数：</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1、蓝色塑料球</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∅25mm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2、黑色塑料球</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∅28mm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3、白色塑料连接杆</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∅5mm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4、色彩鲜明、鲜艳。</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二氧化硅晶体结构模型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符合中学化学教学的要求，球直径不小于25mm。球杆组装松紧适度，不应有自由转动、松脱，组装后不得有明显的弯曲变形及角度变化。</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金属晶体结构模型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一、组成:由蓝色、绿色塑料球、白色塑料杆组成。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二、组要参数：</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1、蓝色、绿色塑料球</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∅28mm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2、白色塑料连接杆</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∅5mm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3、色彩鲜明、鲜艳。</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电子云杂化轨道模型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S、SP、SP2、SP3、Px、Py、Pz</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气体摩尔体积模型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整体由不少于6块，</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282mm*282mm,厚度</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2mm有机玻璃板构成，附带不少于8个透明塑料脚。</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沸腾焙烧炉模型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1、产品为沸腾焙烧炉的缩小模型，装置于底座上，外壳可局部剖开，能看清其内部结构。</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炉体上侧有炉气出口，下部两侧分别为加料室和出渣口，炉体外侧示水箱。空气分布板位于炉内下部，板上均匀装有若干个风帽，应正确显示风帽与分布板的结构关系。底座上另置一放大的风帽，示其内部结构。空气分布室呈倒锥形，其底部侧面有空气进口.加料室内空气分布板上部有加料口，下面有空气进口。炉壁剖面示炉壳和耐火砖内衬。</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3、模型高度尺寸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500mm，放大风帽高度尺寸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120mm。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4、沸腾焙烧炉模型技术条件</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硫酸接触室模型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直径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200mm×470mm竖截面模型</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氨合成塔模型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1、产品为氨合成塔缩小模型，模型外形示塔体及顶盖等。</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外壳剖开，应能看清塔内的环状空间及塔上部的触媒室和塔下部的热交换器等结构，外壳剖面上示其厚壁。触媒室示触媒层的形态，触媒层置于多孔板上。热交换器采用列管式，表现出其内部立体结构。中心管直径不小于热交换器列管直径的两倍，中心管上端应高出触媒层。模型必须正确显示气体在塔内的流动路线，并在各个适当位置用前头标明方向，反映前后气体的流经区域，用不同颜色加以区别。模型高度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800mm，直径尺寸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120mm。</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炼钢转炉模型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1、由烟罩、炉壳、耐火砖衬层、炉膛、炉底、控制箱及出钢口等组成。</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金属矿物、金属及合金标本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金属矿物标本由方铅矿、闪锌矿、黄铜矿、磁铁矿、铝土矿等组成，其矿物外形要求。金属标本由铁、铅、锌、铜、铝等组成。合金标本由钢、黄铜、不锈钢、铍铜、磷青铜等组成</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原油常见馏分标本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供中学化学教学使用。标本为石油分馏结构示意图，有各过程中的原油示样；分：原油、汽油、柴油、轻柴油、重油、重柴油、轻润滑油、重润滑油、渣油。装油瓶应透明、且无油溢出、密封良好、固定美观、牢固。包装盒上盖面应透明。包装盒应牢固。</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合成有机高分子材料标本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选用十种以上高分子材料标本。每种材料标本外形尺寸不小于50mm×15mm×1mm。选用新型及用途较为广泛的材料作为标本，样品特征明显，在标本盒内固定牢靠。每种样品均应有相应标志，及性质、特征、用途的文字简介。</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新型无机非金属材料标本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选用氧化铝陶瓷、氮化硅陶瓷、光导纤维等五种以上新型无机非金属材料标本。每种材料标本外形尺寸不小于50mm×15mm×1mm。选用新型及用途较为广泛的材料作为标本，样品特征明显，在标本盒内固定牢靠。每种样品均应有相应标志，及性质、特征、用途的文字简介。</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复合材料标本展示装置</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一、复合材料标本3盒</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二、裸眼3D显示终端1套：</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1，显示区域不大于10.1英寸，分辨率不小于2560*1600，垂直RGB 像素结构；</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2，双视点可见光人眼追踪，柱状透镜裸眼3D方案；</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3，支持左右格式的图片和视频播放，不得使用伪3D技术，侧面无黑色周期性斜纹；</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4，触控屏下光栅全贴合，2D画面清晰，柱状透镜光栅宽度不得大于5.5个子像素宽度；</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5，支持防蓝光订制方案，</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6，最佳观看视场角，不小于60°；</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7，CPU≥十核及以上处理器，机身具有工业散热设计；</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8，内存≥4GB ，存储≥64GB，存储最大支持512G及以上；</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9，数据接口类型为TYPE-C；</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10，自带播放器支持在线裸眼3D播放图片和视频，而且支持2D文档和3D文档混合编辑；</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11，支持左右画面一键切换功能</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三、3D在线资源1套</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1.、适用于高中化学教育课堂常态化教学，针对各学科重难点教学需求，提供丰富的、与教材大纲相匹配的三维微视频资源；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2、数字资源覆盖主流教材版本，覆盖高中化学学科资源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3、资源平台在线联网观看，不需要占用机器存储。</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4、同步优质数字资源中的三维微视频，支持2D/3D自动切换。不少于60部。</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EDTA滴定法；摩尔分数；量子数（第二部分）</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动态平衡的本质；平衡过程（物理平衡）；影响溶质在溶剂中溶解度的因素；化学反应及其特点</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形成离子化合物的有利因素-第一部分；有利于形成离子化合物的因素2；碱土金属的化学性质；碱金属的物理性质；配位化合物的介绍；配体的分类；金属氧化物与酸的反应；金属碳酸盐与酸的反应；PCI5的sp3d的杂化；六氟化硫的sp3d的杂化；二氧化硫的化学性质1；二氧化硫的化学性质稀硫酸的化学性质；二氧化硫的实验室制备；氨气的实验室制法；磷的化学性质；氯化钠的晶体结构</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10mL，材质：高硼硅玻璃</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25mL，材质：高硼硅玻璃</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50mL，材质：高硼硅玻璃</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100mL，材质：高硼硅玻璃</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500mL，材质：高硼硅玻璃</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1000mL，材质：高硼硅玻璃</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量杯</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250mL，材质：高硼硅玻璃</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容量瓶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50mL，材质：高硼硅玻璃</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容量瓶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100mL，材质：高硼硅玻璃</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容量瓶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250mL，材质：高硼硅玻璃</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容量瓶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500mL，材质：高硼硅玻璃</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容量瓶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1000mL，材质：高硼硅玻璃</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滴定管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酸式，25mL，材质：高硼硅玻璃</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滴定管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酸式，50mL，材质：高硼硅玻璃</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滴定管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碱式，25mL，材质：高硼硅玻璃</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滴定管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碱式，50mL，材质：高硼硅玻璃</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滴定管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聚四氟乙烯活塞，50mL，材质：高硼硅玻璃</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移液管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1mL，材质：高硼硅玻璃</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移液管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2mL，材质：高硼硅玻璃</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移液管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5mL，材质：高硼硅玻璃</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移液管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25mL，材质：高硼硅玻璃</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φ12mm×70mm，材质：高硼硅玻璃</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250</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φ15mm×150mm，材质：高硼硅玻璃</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252</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φ18mm×180mm，材质：高硼硅玻璃</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100</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φ20mm×200mm，材质：高硼硅玻璃</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100</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φ32mm×200mm，硬质，材质：高硼硅玻璃</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φ40mm×200mm，材质：高硼硅玻璃</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具支试管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φ18mm×180mm，材质：高硼硅玻璃</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具支试管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φ20mm×200mm，材质：高硼硅玻璃</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硬质玻璃管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φ15mm×150mm，材质：高硼硅玻璃</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硬质玻璃管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φ20mm×250mm，材质：高硼硅玻璃</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燃烧管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φ25mm×300mm，材质：高硼硅玻璃</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Y形试管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φ20mm，材质：高硼硅玻璃</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50mL，材质：高硼硅玻璃</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100mL，材质：高硼硅玻璃</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30</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250mL产品用硼硅玻璃制造。具底仪器应放置平稳。仪器的口部都应经磨砂、熔光或卷边处理。刻有标度的仪器，刻线应精确、清晰。外形平整、薄厚均匀，无明显偏斜。不应有薄皮气泡、透明疙瘩、结石、条纹等缺陷。</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30</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500mL，材质：高硼硅玻璃</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1000mL，材质：高硼硅玻璃</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烧瓶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圆底，长颈，250mL，材质：高硼硅玻璃</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烧瓶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圆底，短颈，厚口250mL，材质：高硼硅玻璃</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烧瓶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圆底，长颈，500mL，材质：高硼硅玻璃</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烧瓶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1．规格：平底，250ml。</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2．尺寸：瓶身直径：88±2mm；瓶底直径：44±1mm；瓶颈外径：25±1mm；瓶颈长88±3mm；瓶身厚：不小于1.2mm。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3．底部不允许有结石、节瘤存在。</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锥形瓶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100mL，材质：高硼硅玻璃</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锥形瓶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250mL，材质：高硼硅玻璃</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蒸馏烧瓶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250mL，材质：高硼硅玻璃</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三口烧瓶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250mL，材质：高硼硅玻璃</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150mL，单头</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250mL，单头</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250mL，双头</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气体洗瓶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抽滤瓶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1.规格：500mL，上下嘴2.材质：高硼硅玻璃，耐高温，耐腐蚀</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抽气管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1．灯工焊接牢固，喷水管应在球内中心位置，喷口对正下管孔，两孔间距不大于2.5mm。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2．喷口切割磨平，不得有歪斜及小缺点。</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3．磨砂浮子必须活动自如，不得阻塞不动。</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4．当水压在1kg/cm2的条件下，在5分钟内，要求水银柱抽至600mm。</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干燥器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1.规格：180mm2.材质：高硼硅玻璃，厚薄均匀，无气泡，表面光滑3.磨砂盖口，密封性好</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气体发生器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1.规格：250mL2.材质：玻璃（透光率好）3.瓶口密封性好，材质均匀，底座平稳表面光滑</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冷凝器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1.规格：直形，有效长度300mm2.材质：高硼硅玻璃，透明度高保证实验进行3.四氟小嘴棱角分明，皮管不易脱落，耐酸耐碱</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冷凝器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1.规格：球形，有效长度300mm2.材质：高硼硅玻璃，透明度高保证实验进行3.四氟小嘴棱角分明，皮管不易脱落，耐酸耐碱</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牛角管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1.规格：弯形，直径18mm×高度150mm2.材质：高硼硅玻璃，耐高温，耐腐蚀3.厚薄均匀，无气泡，透光率好，表面光滑</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漏斗</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1.规格：60mm，长颈2.材质：高硼硅玻璃，耐高温，耐腐蚀3.厚薄均匀，无气泡，透光率好，表面光滑</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漏斗</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1．规格：90mm。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2．漏斗口径：90mm±2mm；厚度：约2mm。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3．漏斗：72mm±1mm；斗柄外径：Φ10mm－11mm；斗柄长90mm±5mm；漏斗角度：60º。</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4．口边光滑平整，无毛边、快口及崩缺，角度正确，口边不得呈椭圆形及部规则多边形，斗柄应垂直，下口应磨成45º角，并将斜口边倒角不呈缺口。</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5．壁厚均匀，内壁光滑，斗柄接头处不允许严重折皱，斗柄垂直偏正不超过3－5mm。</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安全漏斗</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1.规格：直形，管长200mm2.材质：高硼硅玻璃，耐高温，耐腐蚀3.厚薄均匀，无气泡，透光率好，表面光滑</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安全漏斗</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1.规格：双球，管长200mm2.材质：高硼硅玻璃，耐高温，耐腐蚀3.厚薄均匀，无气泡，透光率好，表面光滑</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分液漏斗</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1.规格：锥(梨)形，100mL2.材质：高硼硅玻璃，耐高温，耐腐蚀3.厚薄均匀，无气泡，透光率好，表面光滑</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分液漏斗</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1.规格：球形，50ml2.材质：高硼硅玻璃，耐高温，耐腐蚀3.厚薄均匀，无气泡，透光率好，表面光滑</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布氏漏斗</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1.规格：80mm2.材质：加厚陶瓷，表面光滑，无突刺感</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T形管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1.规格：直径7mm～8mm2.材质：高硼硅玻璃，耐高温，耐腐蚀3.厚薄均匀，无气泡，透光率好，表面光滑</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Y形管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1.规格：直径7mm～8mm2.材质：高硼硅玻璃，耐高温，耐腐蚀3.厚薄均匀，无气泡，透光率好，表面光滑</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T形管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1.规格：T形管，整长100mm2.材质：高硼硅玻璃，耐高温，耐腐蚀3.厚薄均匀，无气泡，透光率好，表面光滑</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Y形管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1.规格：Y形管，整高100mm2.材质：高硼硅玻璃，耐高温，耐腐蚀3.厚薄均匀，无气泡，透光率好，表面光滑</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离心管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1.规格：10mL，15ml，50ml2.材质：pp聚丙烯材料</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干燥管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1.规格：单球，150mm2.材质：高硼硅玻璃，耐高温，耐腐蚀3.厚薄均匀，无气泡，透光率好，表面光滑</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干燥管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1.规格：U型，直径15mm×高度150mm2.材质：高硼硅玻璃，耐高温，耐腐蚀3.厚薄均匀，无气泡，透光率好，表面光滑</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干燥管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1.规格：U型，直径20mm×高度200mm2.材质：高硼硅玻璃，耐高温，耐腐蚀3.厚薄均匀，无气泡，透光率好，表面光滑</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干燥管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1.规格：U型，具支，直径15mm×高度150mm2.材质：高硼硅玻璃，耐高温，耐腐蚀3.厚薄均匀，无气泡，透光率好，表面光滑</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比色管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1.规格：25mL2.材质：高硼硅玻璃，耐高温，耐腐蚀3.厚薄均匀，无气泡，透光率好，表面光滑</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125</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活塞</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1.规格：直形2.材质：四氟直路活塞，玻璃直路活塞各1个</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活塞</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1.规格：T形2.材质：四氟直路活塞，玻璃直路活塞各1个</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圆水槽</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1.规格：直径200mm×高度100mm2.材质：玻璃</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圆水槽</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1.规格：直径270mm×高度140mm2.材质：玻璃</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玻璃钟罩</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1.规格：直径150mm×高度280mm，具上口2.材质：高硼硅玻璃</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钴玻璃片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1.规格：钴玻璃片，尺寸5*5cm</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集气瓶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1.规格：125mL，附毛玻璃片2.材质：高硼硅玻璃，耐高温，耐腐蚀3.厚薄均匀，无气泡，透光率好，表面光滑</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100</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集气瓶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1.规格：250mL，附毛玻璃片2.材质：高硼硅玻璃，耐高温，耐腐蚀3.厚薄均匀，无气泡，透光率好，表面光滑</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集气瓶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1.规格：500mL，附毛玻璃片2.材质：高硼硅玻璃，耐高温，耐腐蚀3.厚薄均匀，无气泡，透光率好，表面光滑</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液封除毒气集气瓶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1.规格：250mL2.材质：玻璃3.配套活塞，毛玻片，燃烧匙</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1.规格：60mL2.材质：硼硅玻璃3.可高温灭菌4.带磨砂瓶口</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192</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1.规格：125mL2.材质：硼硅玻璃3.可高温灭菌4.带磨砂瓶口</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1.规格：250mL2.材质：硼硅玻璃3.可高温灭菌4.带磨砂瓶口</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1.规格：500mL2.材质：硼硅玻璃3.可高温灭菌4.带磨砂瓶口</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1.规格：棕色，60mL2.材质：硼硅玻璃3.可高温灭菌4.带磨砂瓶口</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32</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1.规格：棕色，125mL2.材质：硼硅玻璃3.可高温灭菌4.带磨砂瓶口</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1.规格：棕色，250mL2.材质：硼硅玻璃3.可高温灭菌4.带磨砂瓶口</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1.规格：60mL2.材质：硼硅玻璃3.可高温灭菌4.带磨砂瓶口</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1.规格：125mL2.材质：硼硅玻璃3.可高温灭菌4.带磨砂瓶口</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192</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1.规格：250mL2.材质：硼硅玻璃3.可高温灭菌4.带磨砂瓶口</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1.规格：500mL2.材质：硼硅玻璃3.可高温灭菌4.带磨砂瓶口</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1.规格：1000mL2.材质：硼硅玻璃3.可高温灭菌4.带磨砂瓶口</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20</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1.规格：3000mL2.材质：硼硅玻璃3.可高温灭菌4.带磨砂瓶口</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1.规格：棕色，60mL2.材质：硼硅玻璃3.可高温灭菌4.带磨砂瓶口</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1.规格：棕色，125mL2.材质：硼硅玻璃3.可高温灭菌4.带磨砂瓶口</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1.规格：棕色，250mL2.材质：硼硅玻璃3.可高温灭菌4.带磨砂瓶口</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1.规格：棕色，500mL2.材质：硼硅玻璃3.可高温灭菌4.带磨砂瓶口</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1.规格：棕色，1000mL2.材质：硼硅玻璃3.可高温灭菌4.带磨砂瓶口</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1.规格：棕色，3000mL2.材质：硼硅玻璃3.可高温灭菌4.带磨砂瓶口</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下口瓶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1.规格：5000mL2.材质：高硼硅玻璃，耐高温，耐腐蚀3.厚薄均匀，无气泡，透光率好，表面光滑</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1.规格：30mL2.材质：高硼硅玻璃，耐高温，耐腐蚀3.厚薄均匀，无气泡，透光率好，表面光滑</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100</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1.规格：60mL2.材质：高硼硅玻璃，耐高温，耐腐蚀3.厚薄均匀，无气泡，透光率好，表面光滑</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240</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1.规格：棕色，30mL2.材质：高硼硅玻璃，耐高温，耐腐蚀3.厚薄均匀，无气泡，透光率好，表面光滑</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1.规格：棕色，60mL2.材质：高硼硅玻璃，耐高温，耐腐蚀3.厚薄均匀，无气泡，透光率好，表面光滑</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称量瓶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1.规格：直径25mm×高度40mm2.材质：高硼硅玻璃，耐高温，耐腐蚀3.厚薄均匀，无气泡，透光率好，表面光滑</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坩埚</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1.规格：30mL2.材质：加厚陶瓷，表面光滑，无突刺感</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坩埚钳</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1.规格：200mm2.材质：不锈钢</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烧杯夹</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1.表面镀有镍、铬的钢制品，头部套有橡胶管套。2.规格：35cm/40cm/45cm/50cm各一把</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镊子</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1.材质：不锈钢2.直头：12cm，14cm，16cm，18cm各一把</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试管夹</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1.木制，表面平整、挺直、无毛刺、无节疤、无裂纹、木身经脱脂干燥处理。数量1支2.镀铬钢丝试管夹：长度12cm。数量1支</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水止皮管夹</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1、本品供化学实验夹持乳胶管用。</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2、止水夹材料采用直径约1.8～2mm65锰钢丝加工制成Ｔ型弹簧夹。</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3、外形尺寸约为50×55×8mm，由夹子及挡板组成。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4、夹顶部绕张制约为Φ10mm的两圈，短臂手持两端高度不＜12mm。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5、压缩弹簧，其张开距离不＞20mm，手松开止水夹恢复原位。钢丝及挡板表面镀锌。</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螺旋皮管夹</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1．产品用钢材制成，应作防锈处理。</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2．产品制作应光滑、平整、无缺陷。</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3．产品的夹持范围最大应不小于20㎜，夹子的夹持应可靠，吻合好。</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4．螺母与螺杆螺纹应吻合好，旋动轻便，不应有卡死现象。</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陶土网</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产品由金属网和附在网上的陶土组成。2．金属网由直径0.1mm（±5%）的钢丝编织而成，密度均匀，织网密度间距2mm，金属网为边长125mm的正方形，边缘应作卷边处理，不散网、不翘丝。3．金属网上所附陶土圈为双面附着的正圆形，直径100mm，厚度为3mm，要求不散、不裂、不脱落。4．整体平整、美观，不翘角。</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隔热网</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环保型</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二连球</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1.二连球直径50mm，长度90mm，管长330mm，全长620mm2.材质：橡胶3.5个装</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燃烧匙</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1．产品由半圆面和金属丝结合制成。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2．半圆面为铜材制造，直径Φ约25㎜左右。要求光滑无毛剌、圆润。</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3．金属丝用Φ约3㎜的钢丝制造，长度为250㎜左右。</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4．半圆面与金属丝结合应牢固可靠，耐高温。</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药匙</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1．药匙采用塑料制成。药匙的宽度为12㎜，长度不小于130㎜。</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2．产品制作应光滑、平整、无毛剌、无缺陷。</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玻璃管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1.规格：直径5mm～直径6mm</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玻璃管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1.规格：直径7mm～直径8mm</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玻璃棒</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1.规格：直径3mm～直径4mm</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玻璃棒</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1.规格：直径5mm～直径6mm</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软胶塞</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0号～12号</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橡胶管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橡胶管，耐油、耐酸碱、耐热、耐压</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乳胶管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1．产品用优质乳胶制造。</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2．产品内径为5~6㎜，壁厚1㎜。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洗耳球</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约60mL</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试管刷</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1．产品由金属丝和绞合在其上的猪鬃毛制成，大、中、小各一个。</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2．金属丝用Φ3㎜左右的镀锌铁丝2根绞合，总长度不小于250㎜。</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3．制成的试管刷要求不散、不脱毛。</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4．整体平整、美观，猪鬃毛长度均匀。</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烧瓶刷</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1．产品由金属丝和绞合在其上的猪鬃毛制成。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2．金属丝用Φ3㎜左右的镀锌铁丝2根绞合，总长度不小于250㎜。</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3．制成的烧瓶刷呈鼓形，最大直径不小于Φ60㎜，长度不小于100㎜，要求不散、脱毛。</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4．整体平整、美观。</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滴定管刷</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总长700mm,毛长为180mm*30mm</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结晶皿</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1.规格：80mm2.材质：高硼硅玻璃，耐高温，耐腐蚀3.厚薄均匀，无气泡，透光率好，表面光滑</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表面皿</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1.规格：60mm2.材质：高硼硅玻璃，耐高温，耐腐蚀3.厚薄均匀，无气泡，透光率好，表面光滑</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表面皿</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1.规格：100mm2.材质：高硼硅玻璃，耐高温，耐腐蚀3.厚薄均匀，无气泡，透光率好，表面光滑</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研钵</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1.规格：直径60mm2.材质：加厚陶瓷，表面光滑，无突刺感</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研钵</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1.规格：直径90mm2.材质：加厚陶瓷，表面光滑，无突刺感</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蒸发皿</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1.规格：直径60mm2.材质：加厚陶瓷，表面光滑，无突刺感</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蒸发皿</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1.规格：直径100mm2.材质：加厚陶瓷，表面光滑，无突刺感</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反应板</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1.规格：6穴2.材质：陶瓷</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井穴板</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1.规格：9孔，0.7mL×92.材质：塑料</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井穴板</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1.规格：6孔，5mL×6，附带双导气管的井穴塞2.材质：塑料</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塑料多用滴管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1.规格：4mL2.材质：塑料</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500</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白金丝</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φ0.5mm×50mm；具金属柄，可拆卸</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高中化学实验材料</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小刀、棉花、木炭、火柴、蜡烛、剪刀、焊锡、炭棒、导线、电灯泡、木板、电池、电珠、砂纸等，各不少于一个</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电极材料</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石墨、铜、锌、镁、铁、锡等电极</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一字螺丝刀</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塑料柄一字螺丝刀。全长210mm，230mm，270mm各一把</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十字螺丝刀</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塑料柄十字螺丝刀。全长210mm，230mm，270mm各一把</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尖嘴钳</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材质:镍铬合金钢，规格6寸，8寸各一把</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手锤</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1.采用45号高碳钢精工铸造,表面抛光处理，敲击面热处理，硬度45-48HRC2.羊角锤头0.25KG，纤维手柄1把3.羊角锤头0.5KG，纤维手柄1把。</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三角锉刀</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1.刀口长200mm，带木柄1把2.刀口长320mm，带木柄1把</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剪刀</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不锈钢制造，刃口机磨，刀身抛光，剪切锋利，全新ABS料塑料手柄。全长150mm1把，180mm1把</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玻璃瓶盖开启器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1.玻璃瓶盖开启器，金属材质2.加厚夹齿，滑动调节0.5-11.2cm可用3.卡位凹槽设计</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玻璃管切割器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玻璃管切割器，不锈钢材质，刀片采用合金钢材质，耐高温、耐腐蚀、抗氧化、硬度高等特点</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bidi="ar"/>
              </w:rPr>
              <w:t xml:space="preserve">工作服</w:t>
            </w:r>
            <w:r>
              <w:rPr>
                <w:rFonts w:hint="eastAsia" w:ascii="宋体" w:hAnsi="宋体" w:cs="宋体"/>
                <w:color w:val="auto"/>
                <w:sz w:val="18"/>
                <w:szCs w:val="18"/>
                <w:highlight w:val="none"/>
                <w:lang w:val="en-US" w:eastAsia="zh-CN" w:bidi="ar"/>
              </w:rPr>
              <w:t xml:space="preserve">套装</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textDirection w:val="lrTb"/>
            <w:noWrap w:val="false"/>
          </w:tcPr>
          <w:p>
            <w:pPr>
              <w:jc w:val="left"/>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bidi="ar"/>
              </w:rPr>
              <w:t xml:space="preserve">物理、化学、生物实验教学用。制作用料为棉织品。服装规格以中号为主，身长120cm，颜色为白色。包含实验服及配套裤子一套。</w:t>
            </w:r>
            <w:r>
              <w:rPr>
                <w:rFonts w:hint="eastAsia" w:ascii="宋体" w:hAnsi="宋体" w:cs="宋体"/>
                <w:color w:val="auto"/>
                <w:sz w:val="18"/>
                <w:szCs w:val="18"/>
                <w:highlight w:val="none"/>
                <w:lang w:val="en-US" w:eastAsia="zh-CN" w:bidi="ar"/>
              </w:rPr>
              <w:t xml:space="preserve">配套保护罩一套</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实验防护屏</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1．产品为三片折叠式结构，由透明度好的有机玻璃制造。</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2．外形尺寸不小于650mm×360mm，厚度不小于5mm。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3．防护屏支撑牢靠，底座平稳。</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4．板面不得有划痕、裂纹等缺陷。</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5．合叶与屏板连接牢靠，经多次开合不得脱落。</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bl>
    <w:p>
      <w:pPr>
        <w:rPr>
          <w:rFonts w:hint="eastAsia"/>
          <w:color w:val="auto"/>
          <w:highlight w:val="none"/>
          <w:lang w:eastAsia="zh-CN"/>
        </w:rPr>
        <w:sectPr>
          <w:footerReference w:type="default" r:id="rId15"/>
          <w:footnotePr/>
          <w:endnotePr/>
          <w:type w:val="nextPage"/>
          <w:pgSz w:w="11906" w:h="16838" w:orient="portrait"/>
          <w:pgMar w:top="1440" w:right="1800" w:bottom="1440" w:left="1800" w:header="851" w:footer="850" w:gutter="0"/>
          <w:pgNumType w:start="1"/>
          <w:cols w:num="1" w:sep="0" w:space="720" w:equalWidth="1"/>
          <w:docGrid w:linePitch="360"/>
        </w:sectPr>
      </w:pPr>
      <w:r>
        <w:rPr>
          <w:rFonts w:hint="eastAsia"/>
          <w:color w:val="auto"/>
          <w:highlight w:val="none"/>
          <w:lang w:eastAsia="zh-CN"/>
        </w:rPr>
      </w:r>
      <w:r/>
    </w:p>
    <w:p>
      <w:pPr>
        <w:ind w:firstLine="480"/>
        <w:spacing w:line="360" w:lineRule="auto"/>
        <w:rPr>
          <w:rFonts w:hint="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lang w:eastAsia="zh-CN"/>
        </w:rPr>
        <w:t xml:space="preserve">包2：</w:t>
      </w:r>
      <w:r>
        <w:rPr>
          <w:rFonts w:hint="default" w:ascii="宋体" w:hAnsi="宋体" w:eastAsia="宋体" w:cs="宋体"/>
          <w:b/>
          <w:bCs w:val="0"/>
          <w:iCs/>
          <w:color w:val="auto"/>
          <w:szCs w:val="21"/>
          <w:highlight w:val="none"/>
          <w:lang w:val="en-US" w:eastAsia="zh-CN"/>
        </w:rPr>
        <w:t xml:space="preserve">物理</w:t>
      </w:r>
      <w:r>
        <w:rPr>
          <w:rFonts w:hint="eastAsia" w:ascii="宋体" w:hAnsi="宋体" w:eastAsia="宋体" w:cs="宋体"/>
          <w:b/>
          <w:bCs w:val="0"/>
          <w:iCs/>
          <w:color w:val="auto"/>
          <w:szCs w:val="21"/>
          <w:highlight w:val="none"/>
          <w:lang w:val="en-US" w:eastAsia="zh-CN"/>
        </w:rPr>
        <w:t xml:space="preserve">器材</w:t>
      </w:r>
      <w:r/>
    </w:p>
    <w:tbl>
      <w:tblPr>
        <w:tblStyle w:val="779"/>
        <w:tblW w:w="6212" w:type="pct"/>
        <w:tblInd w:w="-9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6"/>
        <w:gridCol w:w="638"/>
        <w:gridCol w:w="51"/>
        <w:gridCol w:w="1735"/>
        <w:gridCol w:w="5"/>
        <w:gridCol w:w="6583"/>
        <w:gridCol w:w="715"/>
        <w:gridCol w:w="50"/>
        <w:gridCol w:w="790"/>
        <w:gridCol w:w="5"/>
      </w:tblGrid>
      <w:tr>
        <w:trPr>
          <w:gridAfter w:val="1"/>
          <w:gridBefore w:val="1"/>
          <w:trHeight w:val="225"/>
        </w:trPr>
        <w:tc>
          <w:tcPr>
            <w:gridSpan w:val="8"/>
            <w:shd w:val="clear" w:color="auto" w:fill="auto"/>
            <w:tcW w:w="4990"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物理数字化设备</w:t>
            </w:r>
            <w:r/>
          </w:p>
        </w:tc>
      </w:tr>
      <w:tr>
        <w:trPr>
          <w:gridAfter w:val="1"/>
          <w:gridBefore w:val="1"/>
          <w:trHeight w:val="225"/>
        </w:trPr>
        <w:tc>
          <w:tcPr>
            <w:shd w:val="clear" w:color="auto" w:fill="auto"/>
            <w:tcW w:w="301"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gridSpan w:val="2"/>
            <w:shd w:val="clear" w:color="auto" w:fill="auto"/>
            <w:tcW w:w="843"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名称</w:t>
            </w:r>
            <w:r/>
          </w:p>
        </w:tc>
        <w:tc>
          <w:tcPr>
            <w:gridSpan w:val="2"/>
            <w:shd w:val="clear" w:color="auto" w:fill="auto"/>
            <w:tcW w:w="3111" w:type="pct"/>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参数</w:t>
            </w:r>
            <w:r/>
          </w:p>
        </w:tc>
        <w:tc>
          <w:tcPr>
            <w:shd w:val="clear" w:color="auto" w:fill="auto"/>
            <w:tcW w:w="337" w:type="pct"/>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单位</w:t>
            </w:r>
            <w:r/>
          </w:p>
        </w:tc>
        <w:tc>
          <w:tcPr>
            <w:gridSpan w:val="2"/>
            <w:shd w:val="clear" w:color="auto" w:fill="auto"/>
            <w:tcW w:w="396"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数量</w:t>
            </w:r>
            <w:r/>
          </w:p>
        </w:tc>
      </w:tr>
      <w:tr>
        <w:trPr>
          <w:gridAfter w:val="1"/>
          <w:gridBefore w:val="1"/>
          <w:trHeight w:val="2025"/>
        </w:trPr>
        <w:tc>
          <w:tcPr>
            <w:shd w:val="clear" w:color="auto" w:fill="auto"/>
            <w:tcW w:w="30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gridSpan w:val="2"/>
            <w:shd w:val="clear" w:color="auto" w:fill="auto"/>
            <w:tcW w:w="84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▲微电流传感器</w:t>
            </w:r>
            <w:r/>
          </w:p>
        </w:tc>
        <w:tc>
          <w:tcPr>
            <w:gridSpan w:val="2"/>
            <w:shd w:val="clear" w:color="auto" w:fill="auto"/>
            <w:tcW w:w="311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1.量程1：≥-100μA～+100μA，分辨率 ：≤0.1μA ；量程2：≥-10μA～10μA，分辨率：≤0.01μA。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2.传感器支持实现无线实验、usb线连实验连接方式。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3.传感器支持智能低功耗待机，智能关机。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4.传感器自带 M6 螺纹孔，轻松实现与多种实验装置的组装固定。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5.传感器具有数字标识码，能够使数据终端进行选择性连接，传感器使用时，无需数据采集器。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6.传感器采用Type-C数据传输及充电通用接口。</w:t>
            </w:r>
            <w:r/>
          </w:p>
        </w:tc>
        <w:tc>
          <w:tcPr>
            <w:shd w:val="clear" w:color="auto" w:fill="auto"/>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gridSpan w:val="2"/>
            <w:shd w:val="clear" w:color="auto" w:fill="auto"/>
            <w:tcW w:w="39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r>
      <w:tr>
        <w:trPr>
          <w:gridAfter w:val="1"/>
          <w:gridBefore w:val="1"/>
          <w:trHeight w:val="2475"/>
        </w:trPr>
        <w:tc>
          <w:tcPr>
            <w:shd w:val="clear" w:color="auto" w:fill="auto"/>
            <w:tcW w:w="30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gridSpan w:val="2"/>
            <w:shd w:val="clear" w:color="auto" w:fill="auto"/>
            <w:tcW w:w="84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▲三维磁传感器</w:t>
            </w:r>
            <w:r/>
          </w:p>
        </w:tc>
        <w:tc>
          <w:tcPr>
            <w:gridSpan w:val="2"/>
            <w:shd w:val="clear" w:color="auto" w:fill="auto"/>
            <w:tcW w:w="311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1.量程1：测量范围：X≤轴-5mT～+5mT，Y轴≤-5mT～+5mT，Z轴 ≤-5mT～+5mT；分辨率 ：≤0.001mT；量程2：X轴≥-130mT～+130mT，Y轴≥-130mT～+130mT，Z轴≥-130mT～+130mT ；分辨率：≤0.1mT；。</w:t>
            </w:r>
            <w:r>
              <w:rPr>
                <w:rFonts w:hint="eastAsia" w:ascii="宋体" w:hAnsi="宋体" w:eastAsia="宋体" w:cs="宋体"/>
                <w:b/>
                <w:bCs/>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2.可测量三个方向磁感应强度大小，可显示分值和合值。</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3.传感器支持实现无线实验、usb线连实验连接方式。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4.传感器支持智能低功耗待机，智能关机。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5.传感器自带 M6 螺纹孔，轻松实现与多种实验装置的组装固定。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6.传感器具有数字标识码，能够使数据终端进行选择性连接，传感器使用时，无需数据采集器。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7.传感器采用Type-C数据传输及充电通用接口。</w:t>
            </w:r>
            <w:r/>
          </w:p>
        </w:tc>
        <w:tc>
          <w:tcPr>
            <w:shd w:val="clear" w:color="auto" w:fill="auto"/>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gridSpan w:val="2"/>
            <w:shd w:val="clear" w:color="auto" w:fill="auto"/>
            <w:tcW w:w="39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r>
      <w:tr>
        <w:trPr>
          <w:gridAfter w:val="1"/>
          <w:gridBefore w:val="1"/>
          <w:trHeight w:val="90"/>
        </w:trPr>
        <w:tc>
          <w:tcPr>
            <w:shd w:val="clear" w:color="auto" w:fill="auto"/>
            <w:tcW w:w="30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gridSpan w:val="2"/>
            <w:shd w:val="clear" w:color="auto" w:fill="auto"/>
            <w:tcW w:w="84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▲力与加速度传感器</w:t>
            </w:r>
            <w:r/>
          </w:p>
        </w:tc>
        <w:tc>
          <w:tcPr>
            <w:gridSpan w:val="2"/>
            <w:shd w:val="clear" w:color="auto" w:fill="auto"/>
            <w:tcW w:w="311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1.量程：力：≥-50N～+50N，分辨率：≤0.01N</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2.3轴加速度（x、y、z）：≥-16g～+16g ，分辨率：≤0.01g；3轴角速度（x、y、z）：≥-35rad/s（-2000°/s）～+35rad/s（+2000°/s），精度：≤±2%F.S。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3.传感器手柄式结构，可用于测拉力（显示正值）和压力（显示负值）。</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4.传感器支持实现无线实验、usb线连实验连接方式。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5.传感器支持智能低功耗待机，智能关机。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6.传感器自带 M6 螺纹孔，轻松实现与多种实验装置的组装固定。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7.传感器具有数字标识码，能够使数据终端进行选择性连接，传感器使用时，无需数据采集器。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8.传感器采用Type-C数据传输及充电通用接口。</w:t>
            </w:r>
            <w:r/>
          </w:p>
        </w:tc>
        <w:tc>
          <w:tcPr>
            <w:shd w:val="clear" w:color="auto" w:fill="auto"/>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gridSpan w:val="2"/>
            <w:shd w:val="clear" w:color="auto" w:fill="auto"/>
            <w:tcW w:w="39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r>
      <w:tr>
        <w:trPr>
          <w:gridAfter w:val="1"/>
          <w:gridBefore w:val="1"/>
          <w:trHeight w:val="1350"/>
        </w:trPr>
        <w:tc>
          <w:tcPr>
            <w:shd w:val="clear" w:color="auto" w:fill="auto"/>
            <w:tcW w:w="30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gridSpan w:val="2"/>
            <w:shd w:val="clear" w:color="auto" w:fill="auto"/>
            <w:tcW w:w="84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▲微力传感器</w:t>
            </w:r>
            <w:r/>
          </w:p>
        </w:tc>
        <w:tc>
          <w:tcPr>
            <w:gridSpan w:val="2"/>
            <w:shd w:val="clear" w:color="auto" w:fill="auto"/>
            <w:tcW w:w="311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1.量程：≥-10N～+10N，分辨率：≤0.001N。</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2.传感器手柄式结构，可用于测拉力（显示正值）和压力（显示负值）。</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3.传感器支持实现无线实验、usb线连实验连接方式。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4.传感器支持智能低功耗待机，智能关机。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5.传感器自带 M6 螺纹孔，轻松实现与多种实验装置的组装固定。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6.传感器采用Type-C数据传输及充电通用接口。</w:t>
            </w:r>
            <w:r/>
          </w:p>
        </w:tc>
        <w:tc>
          <w:tcPr>
            <w:shd w:val="clear" w:color="auto" w:fill="auto"/>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gridSpan w:val="2"/>
            <w:shd w:val="clear" w:color="auto" w:fill="auto"/>
            <w:tcW w:w="39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r>
      <w:tr>
        <w:trPr>
          <w:gridAfter w:val="1"/>
          <w:gridBefore w:val="1"/>
          <w:trHeight w:val="1800"/>
        </w:trPr>
        <w:tc>
          <w:tcPr>
            <w:shd w:val="clear" w:color="auto" w:fill="auto"/>
            <w:tcW w:w="30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gridSpan w:val="2"/>
            <w:shd w:val="clear" w:color="auto" w:fill="auto"/>
            <w:tcW w:w="84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▲位移传感器</w:t>
            </w:r>
            <w:r/>
          </w:p>
        </w:tc>
        <w:tc>
          <w:tcPr>
            <w:gridSpan w:val="2"/>
            <w:shd w:val="clear" w:color="auto" w:fill="auto"/>
            <w:tcW w:w="311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1.量程：≥0cm～200cm，分辨率 ：≤1mm。</w:t>
            </w:r>
            <w:r>
              <w:rPr>
                <w:rFonts w:hint="eastAsia" w:ascii="宋体" w:hAnsi="宋体" w:eastAsia="宋体" w:cs="宋体"/>
                <w:b/>
                <w:bCs/>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2.由发射器和接收器构成，接收器与采集器连接，发射器由电池供电。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3.传感器易与现有实验装置（运动小车、弹簧振子等）组合。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4.传感器支持实现无线实验、usb线连实验连接方式。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5.传感器自带 M6 螺纹孔，轻松实现与多种实验装置的组装固定。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6.传感器具有数字标识码，能够使数据终端进行选择性连接，传感器使用时，无需数据采集器。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7.传感器采用Type-C数据传输及充电通用接口。</w:t>
            </w:r>
            <w:r/>
          </w:p>
        </w:tc>
        <w:tc>
          <w:tcPr>
            <w:shd w:val="clear" w:color="auto" w:fill="auto"/>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对</w:t>
            </w:r>
            <w:r/>
          </w:p>
        </w:tc>
        <w:tc>
          <w:tcPr>
            <w:gridSpan w:val="2"/>
            <w:shd w:val="clear" w:color="auto" w:fill="auto"/>
            <w:tcW w:w="39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r>
      <w:tr>
        <w:trPr>
          <w:gridAfter w:val="1"/>
          <w:gridBefore w:val="1"/>
          <w:trHeight w:val="4950"/>
        </w:trPr>
        <w:tc>
          <w:tcPr>
            <w:shd w:val="clear" w:color="auto" w:fill="auto"/>
            <w:tcW w:w="30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gridSpan w:val="2"/>
            <w:shd w:val="clear" w:color="auto" w:fill="auto"/>
            <w:tcW w:w="84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▲光电门传感器</w:t>
            </w:r>
            <w:r/>
          </w:p>
        </w:tc>
        <w:tc>
          <w:tcPr>
            <w:gridSpan w:val="2"/>
            <w:shd w:val="clear" w:color="auto" w:fill="auto"/>
            <w:tcW w:w="311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1.量程：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1）内嵌≥2路高速触发计时测速传感器，相当于2个传统光电门；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2）内嵌≥1路激光计时触发器，可以测量物体运动计时速度；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3）内嵌≥1路扩展触发器，可以外接震动开关、磁性开关、同步光电门等扩展模块；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分辨率 ：≤1μS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2.支持无线实验、usb线连实验两种实验模式。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3.传感器自带 M6 螺纹孔，轻松实现与多种实验装置的组装固定。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4.支持Type-C数据传输及充电通用接口。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5.通过软件于光电门结构能够实现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1）智能光门计时器模式：（不用设置挡光条宽度）直接测量出挡光时间及速度；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2）光门和摆锤模式：测量摆的周期、速度；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3）光门与光栅模式：测量位置、速度、加速度；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4）光门计时模式（1个光电门）：测量门内时间、速度（设置挡光条宽度）；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5）数字输入模式：实时采集光门状态（挡光/透光）；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6）通用计数模式：采集时间内挡光次数；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7）激光计时模式：配合激光发射装置，测量直径大于嵌入式光电门宽度的大物体的门内时间及速度。可以测量被 测物直径≥75mm的运动物速度。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8）激光计数模式：可以测量直径≥75mm物体单位时间通过的次数。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9）飞行计时模式：通过扩展接口，接入震动等触发器。可以测量通过光门时间及触发器触发的时间，如测量平抛运动初始速度及飞行时间等；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10)双门模式：通过扩展接口，接入扩展门模块能够测量2个门通过时间和门间时间，计算相应速度。</w:t>
            </w:r>
            <w:r/>
          </w:p>
        </w:tc>
        <w:tc>
          <w:tcPr>
            <w:shd w:val="clear" w:color="auto" w:fill="auto"/>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gridSpan w:val="2"/>
            <w:shd w:val="clear" w:color="auto" w:fill="auto"/>
            <w:tcW w:w="39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r>
      <w:tr>
        <w:trPr>
          <w:gridAfter w:val="1"/>
          <w:gridBefore w:val="1"/>
          <w:trHeight w:val="1800"/>
        </w:trPr>
        <w:tc>
          <w:tcPr>
            <w:shd w:val="clear" w:color="auto" w:fill="auto"/>
            <w:tcW w:w="30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gridSpan w:val="2"/>
            <w:shd w:val="clear" w:color="auto" w:fill="auto"/>
            <w:tcW w:w="84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▲声音传感器</w:t>
            </w:r>
            <w:r/>
          </w:p>
        </w:tc>
        <w:tc>
          <w:tcPr>
            <w:gridSpan w:val="2"/>
            <w:shd w:val="clear" w:color="auto" w:fill="auto"/>
            <w:tcW w:w="311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1.声波频率测量范围：≥10Hz～20kHz。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2.声级测量范围：≥20dB～130dB ；分辨率：≤0.1dB。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3.传感器支持智能低功耗待机，智能关机。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4.传感器支持实现无线实验、usb线连实验连接方式。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5.无线实验模式下，无需数据采集器与USB线，传感器可直接与电脑、平板、智慧黑板等终端无线连接进行实验数据采集。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6.传感器自带 M6 螺纹孔，轻松实现与多种实验装置的组装固定。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7.传感器采用Type-C数据传输及充电通用接口。</w:t>
            </w:r>
            <w:r/>
          </w:p>
        </w:tc>
        <w:tc>
          <w:tcPr>
            <w:shd w:val="clear" w:color="auto" w:fill="auto"/>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gridSpan w:val="2"/>
            <w:shd w:val="clear" w:color="auto" w:fill="auto"/>
            <w:tcW w:w="39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r>
      <w:tr>
        <w:trPr>
          <w:gridAfter w:val="1"/>
          <w:gridBefore w:val="1"/>
          <w:trHeight w:val="1125"/>
        </w:trPr>
        <w:tc>
          <w:tcPr>
            <w:shd w:val="clear" w:color="auto" w:fill="auto"/>
            <w:tcW w:w="30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gridSpan w:val="2"/>
            <w:shd w:val="clear" w:color="auto" w:fill="auto"/>
            <w:tcW w:w="84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▲温度传感器</w:t>
            </w:r>
            <w:r/>
          </w:p>
        </w:tc>
        <w:tc>
          <w:tcPr>
            <w:gridSpan w:val="2"/>
            <w:shd w:val="clear" w:color="auto" w:fill="auto"/>
            <w:tcW w:w="311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1.量程：≥-50ºC～200ºC，分辨率 ：≤0.1ºC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2.不锈钢探针，可测各种物体或溶液的温度。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3.能够实现无线实验、usb线连实验实验模式。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4.传感器自带 M6 螺纹孔，轻松实现与多种实验装置的组装固定。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5.传感器采用Type-C数据传输及充电通用接口。</w:t>
            </w:r>
            <w:r/>
          </w:p>
        </w:tc>
        <w:tc>
          <w:tcPr>
            <w:shd w:val="clear" w:color="auto" w:fill="auto"/>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gridSpan w:val="2"/>
            <w:shd w:val="clear" w:color="auto" w:fill="auto"/>
            <w:tcW w:w="39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r>
      <w:tr>
        <w:trPr>
          <w:gridAfter w:val="1"/>
          <w:gridBefore w:val="1"/>
          <w:trHeight w:val="1125"/>
        </w:trPr>
        <w:tc>
          <w:tcPr>
            <w:shd w:val="clear" w:color="auto" w:fill="auto"/>
            <w:tcW w:w="30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gridSpan w:val="2"/>
            <w:shd w:val="clear" w:color="auto" w:fill="auto"/>
            <w:tcW w:w="84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▲压强传感器</w:t>
            </w:r>
            <w:r/>
          </w:p>
        </w:tc>
        <w:tc>
          <w:tcPr>
            <w:gridSpan w:val="2"/>
            <w:shd w:val="clear" w:color="auto" w:fill="auto"/>
            <w:tcW w:w="311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1.量程：≥0～700kPa，分辨率 ：≤0.001kPa。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2.可用于直接测量气体的绝对压强，配件：20mL 注射器。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3.传感器支持实现无线实验、usb线连实验连接方式。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4.传感器自带 M6 螺纹孔，轻松实现与多种实验装置的组装固定。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5.传感器采用Type-C数据传输及充电通用接口。</w:t>
            </w:r>
            <w:r/>
          </w:p>
        </w:tc>
        <w:tc>
          <w:tcPr>
            <w:shd w:val="clear" w:color="auto" w:fill="auto"/>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gridSpan w:val="2"/>
            <w:shd w:val="clear" w:color="auto" w:fill="auto"/>
            <w:tcW w:w="39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r>
      <w:tr>
        <w:trPr>
          <w:gridAfter w:val="1"/>
          <w:gridBefore w:val="1"/>
          <w:trHeight w:val="2475"/>
        </w:trPr>
        <w:tc>
          <w:tcPr>
            <w:shd w:val="clear" w:color="auto" w:fill="auto"/>
            <w:tcW w:w="30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gridSpan w:val="2"/>
            <w:shd w:val="clear" w:color="auto" w:fill="auto"/>
            <w:tcW w:w="84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▲多量程电流传感器</w:t>
            </w:r>
            <w:r/>
          </w:p>
        </w:tc>
        <w:tc>
          <w:tcPr>
            <w:gridSpan w:val="2"/>
            <w:shd w:val="clear" w:color="auto" w:fill="auto"/>
            <w:tcW w:w="311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1.量程1：≥-3A～3A，分辨率 ：≤0.01A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量程2：≥-500mA～500mA，分辨率：≤0.1mA；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量程3：≥--20mA～+20mA，分辨率：≤0.01mA.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2.传感器支持软件选择档位，切换量程。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3.传感器支持实现无线实验、usb线连实验连接方式。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4.传感器支持智能低功耗待机，智能关机。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5.传感器自带 M6 螺纹孔，轻松实现与多种实验装置的组装固定。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6.传感器具有数字标识码，能够使数据终端进行选择性连接，传感器使用时，无需数据采集器。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7.传感器采用Type-C数据传输及充电通用接口。</w:t>
            </w:r>
            <w:r/>
          </w:p>
        </w:tc>
        <w:tc>
          <w:tcPr>
            <w:shd w:val="clear" w:color="auto" w:fill="auto"/>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gridSpan w:val="2"/>
            <w:shd w:val="clear" w:color="auto" w:fill="auto"/>
            <w:tcW w:w="39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 </w:t>
            </w:r>
            <w:r/>
          </w:p>
        </w:tc>
      </w:tr>
      <w:tr>
        <w:trPr>
          <w:gridAfter w:val="1"/>
          <w:gridBefore w:val="1"/>
          <w:trHeight w:val="2475"/>
        </w:trPr>
        <w:tc>
          <w:tcPr>
            <w:shd w:val="clear" w:color="auto" w:fill="auto"/>
            <w:tcW w:w="30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gridSpan w:val="2"/>
            <w:shd w:val="clear" w:color="auto" w:fill="auto"/>
            <w:tcW w:w="84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▲多量程电压传感器</w:t>
            </w:r>
            <w:r/>
          </w:p>
        </w:tc>
        <w:tc>
          <w:tcPr>
            <w:gridSpan w:val="2"/>
            <w:shd w:val="clear" w:color="auto" w:fill="auto"/>
            <w:tcW w:w="311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1.量程 1：≥-20V～+20V，分辨率 ：≤0.01V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量程 2：≥-5V～+5V，分辨率：≤0.001V；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量程 3：≥-500mV～+500mV，分辨率：≤0.1mV。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2.传感器支持软件选择档位，切换量程。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3.传感器支持实现无线实验、usb线连实验连接方式。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4.传感器支持智能低功耗待机，智能关机。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5.传感器自带 M6 螺纹孔，轻松实现与多种实验装置的组装固定。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6.传感器使用时，无需数据采集器,传感器具有数字标识码，能够使数据终端进行选择性连接。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7.传感器采用Type-C数据传输及充电通用接口。</w:t>
            </w:r>
            <w:r/>
          </w:p>
        </w:tc>
        <w:tc>
          <w:tcPr>
            <w:shd w:val="clear" w:color="auto" w:fill="auto"/>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gridSpan w:val="2"/>
            <w:shd w:val="clear" w:color="auto" w:fill="auto"/>
            <w:tcW w:w="39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 </w:t>
            </w:r>
            <w:r/>
          </w:p>
        </w:tc>
      </w:tr>
      <w:tr>
        <w:trPr>
          <w:gridAfter w:val="1"/>
          <w:gridBefore w:val="1"/>
          <w:trHeight w:val="450"/>
        </w:trPr>
        <w:tc>
          <w:tcPr>
            <w:shd w:val="clear" w:color="auto" w:fill="auto"/>
            <w:tcW w:w="30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gridSpan w:val="2"/>
            <w:shd w:val="clear" w:color="auto" w:fill="auto"/>
            <w:tcW w:w="84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附件</w:t>
            </w:r>
            <w:r/>
          </w:p>
        </w:tc>
        <w:tc>
          <w:tcPr>
            <w:gridSpan w:val="2"/>
            <w:shd w:val="clear" w:color="auto" w:fill="auto"/>
            <w:tcW w:w="311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支持PC或者笔记本蓝牙5.0高速传输。兼容蓝牙4.0、4.1、4.2，传输距离大于等于10米，信号稳定、支持大数据量连续传输、支持WIN8/10/11系统。</w:t>
            </w:r>
            <w:r/>
          </w:p>
        </w:tc>
        <w:tc>
          <w:tcPr>
            <w:shd w:val="clear" w:color="auto" w:fill="auto"/>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gridSpan w:val="2"/>
            <w:shd w:val="clear" w:color="auto" w:fill="auto"/>
            <w:tcW w:w="39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r>
      <w:tr>
        <w:trPr>
          <w:gridAfter w:val="1"/>
          <w:gridBefore w:val="1"/>
          <w:trHeight w:val="6842"/>
        </w:trPr>
        <w:tc>
          <w:tcPr>
            <w:shd w:val="clear" w:color="auto" w:fill="auto"/>
            <w:tcW w:w="30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gridSpan w:val="2"/>
            <w:shd w:val="clear" w:color="auto" w:fill="auto"/>
            <w:tcW w:w="84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传感器用软件系统</w:t>
            </w:r>
            <w:r/>
          </w:p>
        </w:tc>
        <w:tc>
          <w:tcPr>
            <w:gridSpan w:val="2"/>
            <w:shd w:val="clear" w:color="auto" w:fill="auto"/>
            <w:tcW w:w="311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一、系统环境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（1）支持台式机、笔记本、智慧黑板、平板等多种终端平台；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（2）支持Windows、Androd、 macOS、iOS、HarmonyOS、KylinOS和UOS等国产系统;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二、系统结构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（1）实验结构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系统包含通用软件、专用软件，通用软件能够自由设置根据需求灵活设置实验参数，如采集速率，图线参数，变量及公式等。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专用软件根据教材，不用设置打开软件就能开始实验；</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专用软件多种分类形式。方面查找实验；</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可以按教材划分；按年级（小学、初中、高中）划分；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按学科（物理、化学、生物、科学、地理）划分；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按教学对象（学生分组、教师演示、创新案例）划分；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教师自定义模版创建与管理（按年级、学科、教学对象)划分；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（2）布局结构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系统按多文档布局结构。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可选页面布局（≥16个）；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每个实验可以创建多个实验页（≥5个）；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每页可以设置多个模块组合（≥3个）；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系统可添加模块≥5个，如图形模块、表格模块、数字模块、仪表盘模块、示波器模块、柱状图模块、文本模块、图像模块；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通用软件能能够自由创建自定义实验。每个实验实验页≥5，不局限如下：实验指导页、实验数据表格页，实验图线分析页，实验数字显页、实验综合页（模块≥3个、至少包含有表格模块、数字模块、图形模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三、功能模块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（1）、数据通信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实现无线、有线传感自动搜索识别传感器、配置传感器，离线数据采集；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（2）、数据采集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支持手动采集/自动周期采集，可以设置采集频率；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支持定时实验，支持阙值开始/停止实验；</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支持多设备相同速率/不同速率实验；</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支持设备离线采集设置；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支持传感器量程切换、校准、调零、正负号。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（3）、数据量设置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传感器自动变量、可以设置数据变量、数据公式、数据常量；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实验运行，变量公式实现自动计算；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数据量可以设置小数位数、单位、手动变量支持数据保护避免重复输入或误删；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公式支持常规数学函数计算和三角函数计算，至少包含如下常用计算公式：+、-、x、/、幂运行、指数运算、对数运算、正弦、余弦、正切、反正弦、反余弦、反正切等。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（4）、数据显示功能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显示形式：图形、表格、仪表盘、示波器、数字、文本、图片；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图线可以（拖动或滚轮）任意调整放大缩小；可以区域放大；锁存坐标轴等、设置显示形式：点、线、颜色等；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图形数据曲线根据实验数据可以自动适应调整显示；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每个图形模块可以设置多区域显示：≥4个区域，同时采集≥4个纵轴变量与横轴变量的实时曲线。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每个图形模块可以设置多纵轴显示：≥4个纵轴变量，同时采集≥4个纵轴变量与横轴变量的实时曲线。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多实验记录显示：图线可以显示多次实验数据，每次实验数据曲线有相应的标识、可以任意显示某次实验数据或曲线、也可以显示多次实验数据进行对比分析。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（5）、数据分析功能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可以框选区域数据、单点数值显示、多重坐标对比、斜率、统计工具（求导、积分）、拟合分析工具≥8种（线性拟合、二次拟合、乘幂拟合、反比拟合、平方倒数拟合、正弦拟合、自然指数拟合、自然对数拟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（6）、数据表格功能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表格可以选中行列操作、增加列、删除指定列、删除指定行（手动实验）、统计工具（最大、最小、平均、标准、计数）、下载导出表格数据；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（7）、数据存储功能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实验实时存储数据、可随时调取历史运行数据；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实验可以保存实验模板（参数）页可以保存实验（参数及数据）；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存储实验可以任意拷贝、打开分析。也可把多页实验页存储成实验报告文档。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（8）、视频功能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实验录屏功能和摄像头及桌面捕捉录制并保存视频格式，方便回放实验操作、分析指导实验。</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（9）、AI智能辅助</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内嵌AI智能助手，自动捕捉实验数据或图线利用AI平台大数据对实验操数据进行分析处理、提出问题及指导。</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（10）、智能帮助及系统升级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实验模版点击帮助可查看实验视频；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查看软件操作指南视频；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传感器固件及软件版本更新，自动提醒用户更新终生免费升级。</w:t>
            </w:r>
            <w:r/>
          </w:p>
        </w:tc>
        <w:tc>
          <w:tcPr>
            <w:shd w:val="clear" w:color="auto" w:fill="auto"/>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gridSpan w:val="2"/>
            <w:shd w:val="clear" w:color="auto" w:fill="auto"/>
            <w:tcW w:w="39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r>
      <w:tr>
        <w:trPr>
          <w:gridAfter w:val="1"/>
          <w:gridBefore w:val="1"/>
          <w:trHeight w:val="8190"/>
        </w:trPr>
        <w:tc>
          <w:tcPr>
            <w:shd w:val="clear" w:color="auto" w:fill="auto"/>
            <w:tcW w:w="30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gridSpan w:val="2"/>
            <w:shd w:val="clear" w:color="auto" w:fill="auto"/>
            <w:tcW w:w="84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▲智能运动学系统</w:t>
            </w:r>
            <w:r/>
          </w:p>
        </w:tc>
        <w:tc>
          <w:tcPr>
            <w:gridSpan w:val="2"/>
            <w:shd w:val="clear" w:color="auto" w:fill="auto"/>
            <w:tcW w:w="311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小车轨道及附件：无线数智小车*2套、动力学轨道*1套、滑轮*2个、光电门支撑架*1套、挡光片*1套、轻质软弹簧*2个、固定螺栓*2个、钩码固定底座*1个、塑料透明小桶*1个、5g配重*6个、智能化电机*1套、摩擦块*1个、摩擦面*1套、50g钩码*5个、向心力转台*1个、直角夹1个、万向夹1个、铁架台夹子2个、铁架台2个、无线蓝牙适配器*1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1.无线数智小车：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1）数智小车内置蓝牙无线模块；数智小车与数据采集终端（电脑、平板或手机） 直接通过蓝牙无线连接，便于运动情况下的数据测量及各种实验环境中的数据采集；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2）数智小车使用时，无需数据采集器；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3）数智小车是多合一的传感器仪器，能够同时测量位移、速度、加速度、角速度、力；</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4）小车内置传感器具有数字标识码，便于数据终端选择性连接；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5）使用可充电锂聚合物，内置1500mAh大容量可充电电池；通用TypeC标准充电数据接口；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6）校零方式：可使用软件设置为自动校零或手动校零；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7）节能方式：传感器打开电源，但无连接或连接无活动，自动关闭电源；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主要部件及参数：无线数智小车2个；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1）力-测量范围：-50N~+50N，分辨率：0.01N；</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2）位移-分辨率：±0.2mm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3）速度-测量范围：±3m/s；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4）加速度-测量范围：3轴；-16g~+16g(g=9.8m/s²)；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5）陀螺仪-测量范围：-35rad/s~+35rad/s（±2000d/s）；</w:t>
            </w:r>
            <w:r/>
          </w:p>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2.动力学轨道：该运动学组件为一条长度为1.2米的低摩擦动力学轨道。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3、滑轮：滑轮专为牛顿力学实验设计，采用双轴承，结构坚固，确保实验精确，适用于动量、机械能守恒等研究。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智能化电机：智能减速电机、配套传动装置，配有防滑轮；增加运动的平稳性；配有1200mAh容量可充电锂电池；配有标准2.5mm耳机插孔，实现数字控制；能够实现智能调速；快速、慢速、前进，后退，停止等操作；电机与数智小车组合，可研究摩擦力等实验。</w:t>
            </w:r>
            <w:r/>
          </w:p>
        </w:tc>
        <w:tc>
          <w:tcPr>
            <w:shd w:val="clear" w:color="auto" w:fill="auto"/>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gridSpan w:val="2"/>
            <w:shd w:val="clear" w:color="auto" w:fill="auto"/>
            <w:tcW w:w="39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gridAfter w:val="1"/>
          <w:gridBefore w:val="1"/>
          <w:trHeight w:val="450"/>
        </w:trPr>
        <w:tc>
          <w:tcPr>
            <w:shd w:val="clear" w:color="auto" w:fill="auto"/>
            <w:tcW w:w="30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gridSpan w:val="2"/>
            <w:shd w:val="clear" w:color="auto" w:fill="auto"/>
            <w:tcW w:w="84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▲斜面上力的分解实验器</w:t>
            </w:r>
            <w:r/>
          </w:p>
        </w:tc>
        <w:tc>
          <w:tcPr>
            <w:gridSpan w:val="2"/>
            <w:shd w:val="clear" w:color="auto" w:fill="auto"/>
            <w:tcW w:w="311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1.由座架、直杆和内置式力传感器、角度标尺、重物构成。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2.内置力传感器连接滚轴转动自然。完成在斜面上力的分解合成实验。</w:t>
            </w:r>
            <w:r/>
          </w:p>
        </w:tc>
        <w:tc>
          <w:tcPr>
            <w:shd w:val="clear" w:color="auto" w:fill="auto"/>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gridSpan w:val="2"/>
            <w:shd w:val="clear" w:color="auto" w:fill="auto"/>
            <w:tcW w:w="39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r>
      <w:tr>
        <w:trPr>
          <w:gridAfter w:val="1"/>
          <w:gridBefore w:val="1"/>
          <w:trHeight w:val="2025"/>
        </w:trPr>
        <w:tc>
          <w:tcPr>
            <w:shd w:val="clear" w:color="auto" w:fill="auto"/>
            <w:tcW w:w="30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gridSpan w:val="2"/>
            <w:shd w:val="clear" w:color="auto" w:fill="auto"/>
            <w:tcW w:w="84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▲智能机械能守恒实验器</w:t>
            </w:r>
            <w:r/>
          </w:p>
        </w:tc>
        <w:tc>
          <w:tcPr>
            <w:gridSpan w:val="2"/>
            <w:shd w:val="clear" w:color="auto" w:fill="auto"/>
            <w:tcW w:w="311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机械能守恒实验器一：</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含亚克力板面与底坐、20*20*400mm铝型材支住，直径D=25mm不锈钢球1个、M3环扣1个、磁铁1个等；摆长35mm,摆线的质量不大于摆球质量1% 。有7个位置可固定光电门传感器，相邻固定位置的高度差为35mm；能够完成验证机械能守恒定律实验。必须搭配传感器：无线光电门（双门）1只（传感器需另配）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智能机械能守恒实验器二：</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含亚克力管（直径40mm，壁厚3mm，高1m）、管壁带有毫米刻度尺，方形底座支架，20*30圆柱形不锈钢，配合光电门（双光电门），可验证自由落体的机械能守恒定律。需光电门传感器（传感器需另配）配合使用。</w:t>
            </w:r>
            <w:r/>
          </w:p>
        </w:tc>
        <w:tc>
          <w:tcPr>
            <w:shd w:val="clear" w:color="auto" w:fill="auto"/>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gridSpan w:val="2"/>
            <w:shd w:val="clear" w:color="auto" w:fill="auto"/>
            <w:tcW w:w="39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gridAfter w:val="1"/>
          <w:gridBefore w:val="1"/>
          <w:trHeight w:val="675"/>
        </w:trPr>
        <w:tc>
          <w:tcPr>
            <w:shd w:val="clear" w:color="auto" w:fill="auto"/>
            <w:tcW w:w="30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gridSpan w:val="2"/>
            <w:shd w:val="clear" w:color="auto" w:fill="auto"/>
            <w:tcW w:w="84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▲环形线圈</w:t>
            </w:r>
            <w:r/>
          </w:p>
        </w:tc>
        <w:tc>
          <w:tcPr>
            <w:gridSpan w:val="2"/>
            <w:shd w:val="clear" w:color="auto" w:fill="auto"/>
            <w:tcW w:w="311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1.高灵敏度、无源、塑壳封装、带屏蔽；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2.与微电流传感器配合，可测得切割地磁场产生的感生电流，也可测得不同电器的电磁辐射强度。</w:t>
            </w:r>
            <w:r/>
          </w:p>
        </w:tc>
        <w:tc>
          <w:tcPr>
            <w:shd w:val="clear" w:color="auto" w:fill="auto"/>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gridSpan w:val="2"/>
            <w:shd w:val="clear" w:color="auto" w:fill="auto"/>
            <w:tcW w:w="39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r>
      <w:tr>
        <w:trPr>
          <w:gridAfter w:val="1"/>
          <w:gridBefore w:val="1"/>
          <w:trHeight w:val="450"/>
        </w:trPr>
        <w:tc>
          <w:tcPr>
            <w:shd w:val="clear" w:color="auto" w:fill="auto"/>
            <w:tcW w:w="30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gridSpan w:val="2"/>
            <w:shd w:val="clear" w:color="auto" w:fill="auto"/>
            <w:tcW w:w="84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▲通电螺线管</w:t>
            </w:r>
            <w:r/>
          </w:p>
        </w:tc>
        <w:tc>
          <w:tcPr>
            <w:gridSpan w:val="2"/>
            <w:shd w:val="clear" w:color="auto" w:fill="auto"/>
            <w:tcW w:w="311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1.外形尺寸≥长120mm，1200匝；</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2.可接学生电源，通过磁传感器测量，螺线管中间位置可产生匀强磁场。</w:t>
            </w:r>
            <w:r/>
          </w:p>
        </w:tc>
        <w:tc>
          <w:tcPr>
            <w:shd w:val="clear" w:color="auto" w:fill="auto"/>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gridSpan w:val="2"/>
            <w:shd w:val="clear" w:color="auto" w:fill="auto"/>
            <w:tcW w:w="39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r>
      <w:tr>
        <w:trPr>
          <w:gridAfter w:val="1"/>
          <w:gridBefore w:val="1"/>
          <w:trHeight w:val="1350"/>
        </w:trPr>
        <w:tc>
          <w:tcPr>
            <w:shd w:val="clear" w:color="auto" w:fill="auto"/>
            <w:tcW w:w="30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gridSpan w:val="2"/>
            <w:shd w:val="clear" w:color="auto" w:fill="auto"/>
            <w:tcW w:w="84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▲数字化摩擦力实验器</w:t>
            </w:r>
            <w:r/>
          </w:p>
        </w:tc>
        <w:tc>
          <w:tcPr>
            <w:gridSpan w:val="2"/>
            <w:shd w:val="clear" w:color="auto" w:fill="auto"/>
            <w:tcW w:w="311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1.尺寸：≤600*120mm，由电动机1只、开关1只、调压电源1套、底座1块、摩擦块1块、圆柱体铁块（100g)3块，铝质转动盘(25mm)1只，不锈钢柱1根，type-c充电接口组成。电动机的转速可调，转动方向可变，电源可充电。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2.可研究动摩擦力与不同相对速、不同压力、不同粗糙程度的关系；可描绘摩擦力随时间的变化曲线，探究最大静摩擦力及滑动摩擦力的相关规律。可搭配传感器：无线力/加速度传感器*1（传感器需另配）。</w:t>
            </w:r>
            <w:r/>
          </w:p>
        </w:tc>
        <w:tc>
          <w:tcPr>
            <w:shd w:val="clear" w:color="auto" w:fill="auto"/>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gridSpan w:val="2"/>
            <w:shd w:val="clear" w:color="auto" w:fill="auto"/>
            <w:tcW w:w="39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r>
      <w:tr>
        <w:trPr>
          <w:gridAfter w:val="1"/>
          <w:gridBefore w:val="1"/>
          <w:trHeight w:val="450"/>
        </w:trPr>
        <w:tc>
          <w:tcPr>
            <w:shd w:val="clear" w:color="auto" w:fill="auto"/>
            <w:tcW w:w="30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gridSpan w:val="2"/>
            <w:shd w:val="clear" w:color="auto" w:fill="auto"/>
            <w:tcW w:w="84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▲电阻定律实验器</w:t>
            </w:r>
            <w:r/>
          </w:p>
        </w:tc>
        <w:tc>
          <w:tcPr>
            <w:gridSpan w:val="2"/>
            <w:shd w:val="clear" w:color="auto" w:fill="auto"/>
            <w:tcW w:w="311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由直径不同的铁、铁铬、镍铬三种金属丝组成，配合电流、电压传感器使用，探究导体的电阻与长度、截面积的关系</w:t>
            </w:r>
            <w:r/>
          </w:p>
        </w:tc>
        <w:tc>
          <w:tcPr>
            <w:shd w:val="clear" w:color="auto" w:fill="auto"/>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gridSpan w:val="2"/>
            <w:shd w:val="clear" w:color="auto" w:fill="auto"/>
            <w:tcW w:w="39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r>
      <w:tr>
        <w:trPr>
          <w:gridAfter w:val="1"/>
          <w:gridBefore w:val="1"/>
          <w:trHeight w:val="1350"/>
        </w:trPr>
        <w:tc>
          <w:tcPr>
            <w:shd w:val="clear" w:color="auto" w:fill="auto"/>
            <w:tcW w:w="30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gridSpan w:val="2"/>
            <w:shd w:val="clear" w:color="auto" w:fill="auto"/>
            <w:tcW w:w="84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▲法拉第电磁感应（定律）实验器 </w:t>
            </w:r>
            <w:r/>
          </w:p>
        </w:tc>
        <w:tc>
          <w:tcPr>
            <w:gridSpan w:val="2"/>
            <w:shd w:val="clear" w:color="auto" w:fill="auto"/>
            <w:tcW w:w="311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1.由胶木底板1块、亚克力管1套、线圈1套3组线圈（100匝、200匝、400匝）、通过三档换项开关选择匝数、强磁铁（20*30mm)等组成尺寸≥300*300*1100mm；，可搭配传感器：无线电压传感器*1。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2.本实验教具通过在同一位置改变线圈的匝数来研究感应电动势与匝数之间的关系，通过磁铁经过线圈的速度代表磁通量的变化率，来研究感应电动势与磁通量变化率的关系。</w:t>
            </w:r>
            <w:r/>
          </w:p>
        </w:tc>
        <w:tc>
          <w:tcPr>
            <w:shd w:val="clear" w:color="auto" w:fill="auto"/>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gridSpan w:val="2"/>
            <w:shd w:val="clear" w:color="auto" w:fill="auto"/>
            <w:tcW w:w="39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gridAfter w:val="1"/>
          <w:gridBefore w:val="1"/>
          <w:trHeight w:val="450"/>
        </w:trPr>
        <w:tc>
          <w:tcPr>
            <w:shd w:val="clear" w:color="auto" w:fill="auto"/>
            <w:tcW w:w="30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gridSpan w:val="2"/>
            <w:shd w:val="clear" w:color="auto" w:fill="auto"/>
            <w:tcW w:w="84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▲法拉第电磁感应（定律）实验</w:t>
            </w:r>
            <w:r>
              <w:rPr>
                <w:rFonts w:hint="eastAsia" w:ascii="宋体" w:hAnsi="宋体" w:cs="宋体"/>
                <w:i w:val="0"/>
                <w:iCs w:val="0"/>
                <w:color w:val="auto"/>
                <w:sz w:val="18"/>
                <w:szCs w:val="18"/>
                <w:highlight w:val="none"/>
                <w:u w:val="none"/>
                <w:lang w:val="en-US" w:eastAsia="zh-CN" w:bidi="ar"/>
              </w:rPr>
              <w:t xml:space="preserve">设备</w:t>
            </w:r>
            <w:r/>
          </w:p>
        </w:tc>
        <w:tc>
          <w:tcPr>
            <w:gridSpan w:val="2"/>
            <w:shd w:val="clear" w:color="auto" w:fill="auto"/>
            <w:tcW w:w="311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小螺母管600匝，电阻12欧姆； 大线圈1000匝，电阻34欧姆；需智能电源（需另配），配合电流、电压传感器使用（传感器需另配）。</w:t>
            </w:r>
            <w:r/>
          </w:p>
        </w:tc>
        <w:tc>
          <w:tcPr>
            <w:shd w:val="clear" w:color="auto" w:fill="auto"/>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gridSpan w:val="2"/>
            <w:shd w:val="clear" w:color="auto" w:fill="auto"/>
            <w:tcW w:w="39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r>
      <w:tr>
        <w:trPr>
          <w:gridAfter w:val="1"/>
          <w:gridBefore w:val="1"/>
          <w:trHeight w:val="900"/>
        </w:trPr>
        <w:tc>
          <w:tcPr>
            <w:shd w:val="clear" w:color="auto" w:fill="auto"/>
            <w:tcW w:w="30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gridSpan w:val="2"/>
            <w:shd w:val="clear" w:color="auto" w:fill="auto"/>
            <w:tcW w:w="84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智能电源</w:t>
            </w:r>
            <w:r/>
          </w:p>
        </w:tc>
        <w:tc>
          <w:tcPr>
            <w:gridSpan w:val="2"/>
            <w:shd w:val="clear" w:color="auto" w:fill="auto"/>
            <w:tcW w:w="311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1、输出信号类型:直流、正弦波、三角波、锯齿波以及其他可编程波形；2、输出频率：1~20kHz；3、输出幅度：20V 精度 0.05%FS；4、输出功率：最大20V/2A。5、是法拉第电磁感应定律实验器Ⅱ的必备模块，二者组合使用，可完成研究磁通量的变化率与感生电动势的关系实验。</w:t>
            </w:r>
            <w:r/>
          </w:p>
        </w:tc>
        <w:tc>
          <w:tcPr>
            <w:shd w:val="clear" w:color="auto" w:fill="auto"/>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gridSpan w:val="2"/>
            <w:shd w:val="clear" w:color="auto" w:fill="auto"/>
            <w:tcW w:w="39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r>
      <w:tr>
        <w:trPr>
          <w:gridAfter w:val="1"/>
          <w:gridBefore w:val="1"/>
          <w:trHeight w:val="450"/>
        </w:trPr>
        <w:tc>
          <w:tcPr>
            <w:shd w:val="clear" w:color="auto" w:fill="auto"/>
            <w:tcW w:w="30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gridSpan w:val="2"/>
            <w:shd w:val="clear" w:color="auto" w:fill="auto"/>
            <w:tcW w:w="84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▲光学实验系统-高中版</w:t>
            </w:r>
            <w:r/>
          </w:p>
        </w:tc>
        <w:tc>
          <w:tcPr>
            <w:gridSpan w:val="2"/>
            <w:shd w:val="clear" w:color="auto" w:fill="auto"/>
            <w:tcW w:w="311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由长度 1.2 米轨道、可调光源座、光缝座、光屏座、相对光照度分布传感器、单缝、双缝、USB 数据线构成。可完成高中物理中光的干涉、衍射实验。</w:t>
            </w:r>
            <w:r/>
          </w:p>
        </w:tc>
        <w:tc>
          <w:tcPr>
            <w:shd w:val="clear" w:color="auto" w:fill="auto"/>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gridSpan w:val="2"/>
            <w:shd w:val="clear" w:color="auto" w:fill="auto"/>
            <w:tcW w:w="39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r>
      <w:tr>
        <w:trPr>
          <w:gridAfter w:val="1"/>
          <w:gridBefore w:val="1"/>
          <w:trHeight w:val="900"/>
        </w:trPr>
        <w:tc>
          <w:tcPr>
            <w:shd w:val="clear" w:color="auto" w:fill="auto"/>
            <w:tcW w:w="30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gridSpan w:val="2"/>
            <w:shd w:val="clear" w:color="auto" w:fill="auto"/>
            <w:tcW w:w="84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▲无线向心力实验器</w:t>
            </w:r>
            <w:r/>
          </w:p>
        </w:tc>
        <w:tc>
          <w:tcPr>
            <w:gridSpan w:val="2"/>
            <w:shd w:val="clear" w:color="auto" w:fill="auto"/>
            <w:tcW w:w="311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1.由长50cm铝型材，表面加带有刻度的亚克力面板，板上固定有力使用器固定件、小球定位管（直径3.0cm,长15cm)。半径分别为15mm、20mm、25mm的小球3只组成。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2.该实验要力传感器与转动平台配合完成（含转动平台）。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3.可探究向心力与质量、半径之间的关系。</w:t>
            </w:r>
            <w:r/>
          </w:p>
        </w:tc>
        <w:tc>
          <w:tcPr>
            <w:shd w:val="clear" w:color="auto" w:fill="auto"/>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gridSpan w:val="2"/>
            <w:shd w:val="clear" w:color="auto" w:fill="auto"/>
            <w:tcW w:w="39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r>
      <w:tr>
        <w:trPr>
          <w:gridAfter w:val="1"/>
          <w:gridBefore w:val="1"/>
          <w:trHeight w:val="1800"/>
        </w:trPr>
        <w:tc>
          <w:tcPr>
            <w:shd w:val="clear" w:color="auto" w:fill="auto"/>
            <w:tcW w:w="30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gridSpan w:val="2"/>
            <w:shd w:val="clear" w:color="auto" w:fill="auto"/>
            <w:tcW w:w="84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▲微电流传感器</w:t>
            </w:r>
            <w:r/>
          </w:p>
        </w:tc>
        <w:tc>
          <w:tcPr>
            <w:gridSpan w:val="2"/>
            <w:shd w:val="clear" w:color="auto" w:fill="auto"/>
            <w:tcW w:w="311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1.量程1：≥-100μA～+100μA，分辨率 ：≤0.1μA ；量程2：≥-10μA～10μA，分辨率：≤0.01μA。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2.传感器支持实现无线实验、usb线连实验连接方式。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3.传感器支持智能低功耗待机，智能关机。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4.传感器自带 M6 螺纹孔，轻松实现与多种实验装置的组装固定。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5.传感器具有数字标识码，能够使数据终端进行选择性连接，传感器使用时，无需数据采集器。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6.传感器采用Type-C数据传输及充电通用接口。</w:t>
            </w:r>
            <w:r/>
          </w:p>
        </w:tc>
        <w:tc>
          <w:tcPr>
            <w:shd w:val="clear" w:color="auto" w:fill="auto"/>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gridSpan w:val="2"/>
            <w:shd w:val="clear" w:color="auto" w:fill="auto"/>
            <w:tcW w:w="39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 </w:t>
            </w:r>
            <w:r/>
          </w:p>
        </w:tc>
      </w:tr>
      <w:tr>
        <w:trPr>
          <w:gridAfter w:val="1"/>
          <w:gridBefore w:val="1"/>
          <w:trHeight w:val="2250"/>
        </w:trPr>
        <w:tc>
          <w:tcPr>
            <w:shd w:val="clear" w:color="auto" w:fill="auto"/>
            <w:tcW w:w="30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c>
          <w:tcPr>
            <w:gridSpan w:val="2"/>
            <w:shd w:val="clear" w:color="auto" w:fill="auto"/>
            <w:tcW w:w="84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▲三维磁传感器</w:t>
            </w:r>
            <w:r/>
          </w:p>
        </w:tc>
        <w:tc>
          <w:tcPr>
            <w:gridSpan w:val="2"/>
            <w:shd w:val="clear" w:color="auto" w:fill="auto"/>
            <w:tcW w:w="311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1.量程1：测量范围：X≤轴-5mT～+5mT，Y轴≤-5mT～+5mT，Z轴 ≤-5mT～+5mT；分辨率 ：≤0.001mT；量程2：X轴≥-130mT～+130mT，Y轴≥-130mT～+130mT，Z轴≥-130mT～+130mT ；分辨率：≤0.1mT；。</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2.可测量三个方向磁感应强度大小，可显示分值和合值。</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3.传感器支持实现无线实验、usb线连实验连接方式。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4.传感器支持智能低功耗待机，智能关机。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5.传感器自带 M6 螺纹孔，轻松实现与多种实验装置的组装固定。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6.传感器具有数字标识码，能够使数据终端进行选择性连接，传感器使用时，无需数据采集器。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7.传感器采用Type-C数据传输及充电通用接口。</w:t>
            </w:r>
            <w:r/>
          </w:p>
        </w:tc>
        <w:tc>
          <w:tcPr>
            <w:shd w:val="clear" w:color="auto" w:fill="auto"/>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gridSpan w:val="2"/>
            <w:shd w:val="clear" w:color="auto" w:fill="auto"/>
            <w:tcW w:w="39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 </w:t>
            </w:r>
            <w:r/>
          </w:p>
        </w:tc>
      </w:tr>
      <w:tr>
        <w:trPr>
          <w:gridAfter w:val="1"/>
          <w:gridBefore w:val="1"/>
          <w:trHeight w:val="2250"/>
        </w:trPr>
        <w:tc>
          <w:tcPr>
            <w:shd w:val="clear" w:color="auto" w:fill="auto"/>
            <w:tcW w:w="30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c>
          <w:tcPr>
            <w:gridSpan w:val="2"/>
            <w:shd w:val="clear" w:color="auto" w:fill="auto"/>
            <w:tcW w:w="84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▲力与加速度传感器</w:t>
            </w:r>
            <w:r/>
          </w:p>
        </w:tc>
        <w:tc>
          <w:tcPr>
            <w:gridSpan w:val="2"/>
            <w:shd w:val="clear" w:color="auto" w:fill="auto"/>
            <w:tcW w:w="311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1.量程：力：≥-50N～+50N，分辨率：≤0.01N；3轴加速度（x、y、z）：≥-16g～+16g ，分辨率：≤0.01g；3轴角速度（x、y、z）：≥-35rad/s（-2000°/s）～+35rad/s（+2000°/s），精度：≤±2%F.S。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2.传感器手柄式结构，可用于测拉力（显示正值）和压力（显示负值）。</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3.传感器支持实现无线实验、usb线连实验连接方式。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4.传感器支持智能低功耗待机，智能关机。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5.传感器自带 M6 螺纹孔，轻松实现与多种实验装置的组装固定。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6.传感器具有数字标识码，能够使数据终端进行选择性连接，传感器使用时，无需数据采集器。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7.传感器采用Type-C数据传输及充电通用接口。</w:t>
            </w:r>
            <w:r/>
          </w:p>
        </w:tc>
        <w:tc>
          <w:tcPr>
            <w:shd w:val="clear" w:color="auto" w:fill="auto"/>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gridSpan w:val="2"/>
            <w:shd w:val="clear" w:color="auto" w:fill="auto"/>
            <w:tcW w:w="39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 </w:t>
            </w:r>
            <w:r/>
          </w:p>
        </w:tc>
      </w:tr>
      <w:tr>
        <w:trPr>
          <w:gridAfter w:val="1"/>
          <w:gridBefore w:val="1"/>
          <w:trHeight w:val="1800"/>
        </w:trPr>
        <w:tc>
          <w:tcPr>
            <w:shd w:val="clear" w:color="auto" w:fill="auto"/>
            <w:tcW w:w="30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w:t>
            </w:r>
            <w:r/>
          </w:p>
        </w:tc>
        <w:tc>
          <w:tcPr>
            <w:gridSpan w:val="2"/>
            <w:shd w:val="clear" w:color="auto" w:fill="auto"/>
            <w:tcW w:w="84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▲位移传感器</w:t>
            </w:r>
            <w:r/>
          </w:p>
        </w:tc>
        <w:tc>
          <w:tcPr>
            <w:gridSpan w:val="2"/>
            <w:shd w:val="clear" w:color="auto" w:fill="auto"/>
            <w:tcW w:w="311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1.量程：≥0cm～200cm，分辨率 ：≤1mm。无测量盲区。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2.由发射器和接收器构成，接收器与采集器连接，发射器由电池供电。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3.传感器易与现有实验装置（运动小车、弹簧振子等）组合。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4.传感器支持实现无线实验、usb线连实验连接方式。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5.传感器自带 M6 螺纹孔，轻松实现与多种实验装置的组装固定。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6.传感器具有数字标识码，能够使数据终端进行选择性连接，传感器使用时，无需数据采集器。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7.传感器采用Type-C数据传输及充电通用接口。</w:t>
            </w:r>
            <w:r/>
          </w:p>
        </w:tc>
        <w:tc>
          <w:tcPr>
            <w:shd w:val="clear" w:color="auto" w:fill="auto"/>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对</w:t>
            </w:r>
            <w:r/>
          </w:p>
        </w:tc>
        <w:tc>
          <w:tcPr>
            <w:gridSpan w:val="2"/>
            <w:shd w:val="clear" w:color="auto" w:fill="auto"/>
            <w:tcW w:w="39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 </w:t>
            </w:r>
            <w:r/>
          </w:p>
        </w:tc>
      </w:tr>
      <w:tr>
        <w:trPr>
          <w:gridAfter w:val="1"/>
          <w:gridBefore w:val="1"/>
          <w:trHeight w:val="2223"/>
        </w:trPr>
        <w:tc>
          <w:tcPr>
            <w:shd w:val="clear" w:color="auto" w:fill="auto"/>
            <w:tcW w:w="30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gridSpan w:val="2"/>
            <w:shd w:val="clear" w:color="auto" w:fill="auto"/>
            <w:tcW w:w="84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▲光电门传感器</w:t>
            </w:r>
            <w:r/>
          </w:p>
        </w:tc>
        <w:tc>
          <w:tcPr>
            <w:gridSpan w:val="2"/>
            <w:shd w:val="clear" w:color="auto" w:fill="auto"/>
            <w:tcW w:w="311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1.量程：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1）内嵌≥2路高速触发计时测速传感器，相当于2个传统光电门；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2）内嵌≥1路激光计时触发器，可以测量物体运动计时速度；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3）内嵌≥1路扩展触发器，可以外接震动开关、磁性开关、同步光电门等扩展模块；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分辨率 ：≤1μS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2.支持无线实验、usb线连实验两种实验模式。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3.传感器自带 M6 螺纹孔，轻松实现与多种实验装置的组装固定。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4.支持Type-C数据传输及充电通用接口。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5.通过软件于光电门结构能够实现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1）智能光门计时器模式：（不用设置挡光条宽度）直接测量出挡光时间及速度；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2）光门和摆锤模式：测量摆的周期、速度；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3）光门与光栅模式：测量位置、速度、加速度；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4）光门计时模式（1个光电门）：测量门内时间、速度（设置挡光条宽度）；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5）数字输入模式：实时采集光门状态（挡光/透光）；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6）通用计数模式：采集时间内挡光次数；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7）激光计时模式：配合激光发射装置，测量直径大于嵌入式光电门宽度的大物体的门内时间及速度。可以测量被 测物直径≥75mm的运动物速度。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8）激光计数模式：可以测量直径≥75mm物体单位时间通过的次数。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9）飞行计时模式：通过扩展接口，接入震动等触发器。可以测量通过光门时间及触发器触发的时间，如测量平抛运动初始速度及飞行时间等；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10)双门模式：通过扩展接口，接入扩展门模块能够测量2个门通过时间和门间时间，计算相应速度。</w:t>
            </w:r>
            <w:r/>
          </w:p>
        </w:tc>
        <w:tc>
          <w:tcPr>
            <w:shd w:val="clear" w:color="auto" w:fill="auto"/>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gridSpan w:val="2"/>
            <w:shd w:val="clear" w:color="auto" w:fill="auto"/>
            <w:tcW w:w="39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 </w:t>
            </w:r>
            <w:r/>
          </w:p>
        </w:tc>
      </w:tr>
      <w:tr>
        <w:trPr>
          <w:gridAfter w:val="1"/>
          <w:gridBefore w:val="1"/>
          <w:trHeight w:val="1800"/>
        </w:trPr>
        <w:tc>
          <w:tcPr>
            <w:shd w:val="clear" w:color="auto" w:fill="auto"/>
            <w:tcW w:w="30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gridSpan w:val="2"/>
            <w:shd w:val="clear" w:color="auto" w:fill="auto"/>
            <w:tcW w:w="84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▲声音传感器</w:t>
            </w:r>
            <w:r/>
          </w:p>
        </w:tc>
        <w:tc>
          <w:tcPr>
            <w:gridSpan w:val="2"/>
            <w:shd w:val="clear" w:color="auto" w:fill="auto"/>
            <w:tcW w:w="311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1.声波频率测量范围：≥10Hz～20kHz。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2.声级测量范围：≥20dB～130dB ；分辨率：≤0.1dB。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3.传感器支持智能低功耗待机，智能关机。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4.传感器支持实现无线实验、usb线连实验连接方式。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5.无线实验模式下，无需数据采集器与USB线，传感器可直接与电脑、平板、智慧黑板等终端无线连接进行实验数据采集。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6.传感器自带 M6 螺纹孔，轻松实现与多种实验装置的组装固定。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7.传感器采用Type-C数据传输及充电通用接口。</w:t>
            </w:r>
            <w:r/>
          </w:p>
        </w:tc>
        <w:tc>
          <w:tcPr>
            <w:shd w:val="clear" w:color="auto" w:fill="auto"/>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gridSpan w:val="2"/>
            <w:shd w:val="clear" w:color="auto" w:fill="auto"/>
            <w:tcW w:w="39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 </w:t>
            </w:r>
            <w:r/>
          </w:p>
        </w:tc>
      </w:tr>
      <w:tr>
        <w:trPr>
          <w:gridAfter w:val="1"/>
          <w:gridBefore w:val="1"/>
          <w:trHeight w:val="1125"/>
        </w:trPr>
        <w:tc>
          <w:tcPr>
            <w:shd w:val="clear" w:color="auto" w:fill="auto"/>
            <w:tcW w:w="30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gridSpan w:val="2"/>
            <w:shd w:val="clear" w:color="auto" w:fill="auto"/>
            <w:tcW w:w="84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▲温度传感器</w:t>
            </w:r>
            <w:r/>
          </w:p>
        </w:tc>
        <w:tc>
          <w:tcPr>
            <w:gridSpan w:val="2"/>
            <w:shd w:val="clear" w:color="auto" w:fill="auto"/>
            <w:tcW w:w="311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1.量程：≥-50ºC～200ºC，分辨率 ：≤0.1ºC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2.不锈钢探针，可测各种物体或溶液的温度。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3.能够实现无线实验、usb线连实验实验模式。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4.传感器自带 M6 螺纹孔，轻松实现与多种实验装置的组装固定。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5.传感器采用Type-C数据传输及充电通用接口。</w:t>
            </w:r>
            <w:r/>
          </w:p>
        </w:tc>
        <w:tc>
          <w:tcPr>
            <w:shd w:val="clear" w:color="auto" w:fill="auto"/>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gridSpan w:val="2"/>
            <w:shd w:val="clear" w:color="auto" w:fill="auto"/>
            <w:tcW w:w="39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 </w:t>
            </w:r>
            <w:r/>
          </w:p>
        </w:tc>
      </w:tr>
      <w:tr>
        <w:trPr>
          <w:gridAfter w:val="1"/>
          <w:gridBefore w:val="1"/>
          <w:trHeight w:val="1125"/>
        </w:trPr>
        <w:tc>
          <w:tcPr>
            <w:shd w:val="clear" w:color="auto" w:fill="auto"/>
            <w:tcW w:w="30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w:t>
            </w:r>
            <w:r/>
          </w:p>
        </w:tc>
        <w:tc>
          <w:tcPr>
            <w:gridSpan w:val="2"/>
            <w:shd w:val="clear" w:color="auto" w:fill="auto"/>
            <w:tcW w:w="84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▲压强传感器</w:t>
            </w:r>
            <w:r/>
          </w:p>
        </w:tc>
        <w:tc>
          <w:tcPr>
            <w:gridSpan w:val="2"/>
            <w:shd w:val="clear" w:color="auto" w:fill="auto"/>
            <w:tcW w:w="311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1.量程：≥0～700kPa，分辨率 ：≤0.001kPa。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2.可用于直接测量气体的绝对压强，配件：20mL 注射器。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3.传感器支持实现无线实验、usb线连实验连接方式。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4.传感器自带 M6 螺纹孔，轻松实现与多种实验装置的组装固定。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5.传感器采用Type-C数据传输及充电通用接口。</w:t>
            </w:r>
            <w:r/>
          </w:p>
        </w:tc>
        <w:tc>
          <w:tcPr>
            <w:shd w:val="clear" w:color="auto" w:fill="auto"/>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gridSpan w:val="2"/>
            <w:shd w:val="clear" w:color="auto" w:fill="auto"/>
            <w:tcW w:w="39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 </w:t>
            </w:r>
            <w:r/>
          </w:p>
        </w:tc>
      </w:tr>
      <w:tr>
        <w:trPr>
          <w:gridAfter w:val="1"/>
          <w:gridBefore w:val="1"/>
          <w:trHeight w:val="2250"/>
        </w:trPr>
        <w:tc>
          <w:tcPr>
            <w:shd w:val="clear" w:color="auto" w:fill="auto"/>
            <w:tcW w:w="30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w:t>
            </w:r>
            <w:r/>
          </w:p>
        </w:tc>
        <w:tc>
          <w:tcPr>
            <w:gridSpan w:val="2"/>
            <w:shd w:val="clear" w:color="auto" w:fill="auto"/>
            <w:tcW w:w="84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▲多量程电流传感器</w:t>
            </w:r>
            <w:r/>
          </w:p>
        </w:tc>
        <w:tc>
          <w:tcPr>
            <w:gridSpan w:val="2"/>
            <w:shd w:val="clear" w:color="auto" w:fill="auto"/>
            <w:tcW w:w="311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1.量程1：≥-3A～3A，分辨率 ：≤0.01A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量程2：≥-500mA～500mA，分辨率：≤0.1mA；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量程3：≥--20mA～+20mA，分辨率：≤0.01mA.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2.传感器支持软件选择档位，切换量程。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3.传感器支持实现无线实验、usb线连实验连接方式。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4.传感器支持智能低功耗待机，智能关机。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5.传感器自带 M6 螺纹孔，轻松实现与多种实验装置的组装固定。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6.传感器具有数字标识码，能够使数据终端进行选择性连接，传感器使用时，无需数据采集器。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7.传感器采用Type-C数据传输及充电通用接口。</w:t>
            </w:r>
            <w:r/>
          </w:p>
        </w:tc>
        <w:tc>
          <w:tcPr>
            <w:shd w:val="clear" w:color="auto" w:fill="auto"/>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gridSpan w:val="2"/>
            <w:shd w:val="clear" w:color="auto" w:fill="auto"/>
            <w:tcW w:w="39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 </w:t>
            </w:r>
            <w:r/>
          </w:p>
        </w:tc>
      </w:tr>
      <w:tr>
        <w:trPr>
          <w:gridAfter w:val="1"/>
          <w:gridBefore w:val="1"/>
          <w:trHeight w:val="2250"/>
        </w:trPr>
        <w:tc>
          <w:tcPr>
            <w:shd w:val="clear" w:color="auto" w:fill="auto"/>
            <w:tcW w:w="30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c>
          <w:tcPr>
            <w:gridSpan w:val="2"/>
            <w:shd w:val="clear" w:color="auto" w:fill="auto"/>
            <w:tcW w:w="84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▲多量程电压传感器</w:t>
            </w:r>
            <w:r/>
          </w:p>
        </w:tc>
        <w:tc>
          <w:tcPr>
            <w:gridSpan w:val="2"/>
            <w:shd w:val="clear" w:color="auto" w:fill="auto"/>
            <w:tcW w:w="311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1.量程 1：≥-20V～+20V，分辨率 ：≤0.01V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量程 2：≥-5V～+5V，分辨率：≤0.001V；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量程 3：≥-500mV～+500mV，分辨率：≤0.1mV。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2.传感器支持软件选择档位，切换量程。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3.传感器支持实现无线实验、usb线连实验连接方式。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4.传感器支持智能低功耗待机，智能关机。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5.传感器自带 M6 螺纹孔，轻松实现与多种实验装置的组装固定。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6.传感器使用时，无需数据采集器,传感器具有数字标识码，能够使数据终端进行选择性连接。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7.传感器采用Type-C数据传输及充电通用接口。</w:t>
            </w:r>
            <w:r/>
          </w:p>
        </w:tc>
        <w:tc>
          <w:tcPr>
            <w:shd w:val="clear" w:color="auto" w:fill="auto"/>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gridSpan w:val="2"/>
            <w:shd w:val="clear" w:color="auto" w:fill="auto"/>
            <w:tcW w:w="39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 </w:t>
            </w:r>
            <w:r/>
          </w:p>
        </w:tc>
      </w:tr>
      <w:tr>
        <w:trPr>
          <w:gridAfter w:val="1"/>
          <w:gridBefore w:val="1"/>
          <w:trHeight w:val="450"/>
        </w:trPr>
        <w:tc>
          <w:tcPr>
            <w:shd w:val="clear" w:color="auto" w:fill="auto"/>
            <w:tcW w:w="30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gridSpan w:val="2"/>
            <w:shd w:val="clear" w:color="auto" w:fill="auto"/>
            <w:tcW w:w="84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附件</w:t>
            </w:r>
            <w:r/>
          </w:p>
        </w:tc>
        <w:tc>
          <w:tcPr>
            <w:gridSpan w:val="2"/>
            <w:shd w:val="clear" w:color="auto" w:fill="auto"/>
            <w:tcW w:w="311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支持PC或者笔记本蓝牙5.0高速传输。兼容蓝牙4.0、4.1、4.2，传输距离大于等于10米，信号稳定、支持大数据量连续传输、支持WIN8/10/11系统。</w:t>
            </w:r>
            <w:r/>
          </w:p>
        </w:tc>
        <w:tc>
          <w:tcPr>
            <w:shd w:val="clear" w:color="auto" w:fill="auto"/>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gridSpan w:val="2"/>
            <w:shd w:val="clear" w:color="auto" w:fill="auto"/>
            <w:tcW w:w="39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 </w:t>
            </w:r>
            <w:r/>
          </w:p>
        </w:tc>
      </w:tr>
      <w:tr>
        <w:trPr>
          <w:gridAfter w:val="1"/>
          <w:gridBefore w:val="1"/>
          <w:trHeight w:val="675"/>
        </w:trPr>
        <w:tc>
          <w:tcPr>
            <w:shd w:val="clear" w:color="auto" w:fill="auto"/>
            <w:tcW w:w="30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w:t>
            </w:r>
            <w:r/>
          </w:p>
        </w:tc>
        <w:tc>
          <w:tcPr>
            <w:gridSpan w:val="2"/>
            <w:shd w:val="clear" w:color="auto" w:fill="auto"/>
            <w:tcW w:w="84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▲多用力学轨道</w:t>
            </w:r>
            <w:r/>
          </w:p>
        </w:tc>
        <w:tc>
          <w:tcPr>
            <w:gridSpan w:val="2"/>
            <w:shd w:val="clear" w:color="auto" w:fill="auto"/>
            <w:tcW w:w="311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基本配置：普通小车*2套、动力学轨道*1套、滑轮*1个、光电门支撑架*1套、挡光片*1套、轻质软弹簧*2个、固定螺栓*2个、钩码固定底座*1个、摩擦块*1个、摩擦面*1套、50g钩码*5个、塑料透明小桶*1个、5g配重*6个；</w:t>
            </w:r>
            <w:r/>
          </w:p>
        </w:tc>
        <w:tc>
          <w:tcPr>
            <w:shd w:val="clear" w:color="auto" w:fill="auto"/>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gridSpan w:val="2"/>
            <w:shd w:val="clear" w:color="auto" w:fill="auto"/>
            <w:tcW w:w="39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 </w:t>
            </w:r>
            <w:r/>
          </w:p>
        </w:tc>
      </w:tr>
      <w:tr>
        <w:trPr>
          <w:gridAfter w:val="1"/>
          <w:gridBefore w:val="1"/>
          <w:trHeight w:val="450"/>
        </w:trPr>
        <w:tc>
          <w:tcPr>
            <w:shd w:val="clear" w:color="auto" w:fill="auto"/>
            <w:tcW w:w="30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c>
          <w:tcPr>
            <w:gridSpan w:val="2"/>
            <w:shd w:val="clear" w:color="auto" w:fill="auto"/>
            <w:tcW w:w="84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▲斜面上力的分解实验</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器</w:t>
            </w:r>
            <w:r/>
          </w:p>
        </w:tc>
        <w:tc>
          <w:tcPr>
            <w:gridSpan w:val="2"/>
            <w:shd w:val="clear" w:color="auto" w:fill="auto"/>
            <w:tcW w:w="311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1.由座架、直杆和内置式力传感器、角度标尺、重物构成。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2.内置力传感器连接滚轴转动自然。完成在斜面上力的分解合成实验。</w:t>
            </w:r>
            <w:r/>
          </w:p>
        </w:tc>
        <w:tc>
          <w:tcPr>
            <w:shd w:val="clear" w:color="auto" w:fill="auto"/>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gridSpan w:val="2"/>
            <w:shd w:val="clear" w:color="auto" w:fill="auto"/>
            <w:tcW w:w="39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 </w:t>
            </w:r>
            <w:r/>
          </w:p>
        </w:tc>
      </w:tr>
      <w:tr>
        <w:trPr>
          <w:gridAfter w:val="1"/>
          <w:gridBefore w:val="1"/>
          <w:trHeight w:val="900"/>
        </w:trPr>
        <w:tc>
          <w:tcPr>
            <w:shd w:val="clear" w:color="auto" w:fill="auto"/>
            <w:tcW w:w="30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c>
          <w:tcPr>
            <w:gridSpan w:val="2"/>
            <w:shd w:val="clear" w:color="auto" w:fill="auto"/>
            <w:tcW w:w="84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▲机械能守恒实验器 I</w:t>
            </w:r>
            <w:r/>
          </w:p>
        </w:tc>
        <w:tc>
          <w:tcPr>
            <w:gridSpan w:val="2"/>
            <w:shd w:val="clear" w:color="auto" w:fill="auto"/>
            <w:tcW w:w="311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含亚克力板面与底坐、20*20*400mm铝型材支住，直径D=25mm不锈钢球1个、M3环扣1个、磁铁1个等；摆长35mm,摆线的质量不大于摆球质量1% 。有7个位置可固定光电门传感器，相邻固定位置的高度差为35mm；能够完成验证机械能守恒定律实验。必须搭配传感器：无线光电门（双门）1只（传感器需另配）</w:t>
            </w:r>
            <w:r/>
          </w:p>
        </w:tc>
        <w:tc>
          <w:tcPr>
            <w:shd w:val="clear" w:color="auto" w:fill="auto"/>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gridSpan w:val="2"/>
            <w:shd w:val="clear" w:color="auto" w:fill="auto"/>
            <w:tcW w:w="39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 </w:t>
            </w:r>
            <w:r/>
          </w:p>
        </w:tc>
      </w:tr>
      <w:tr>
        <w:trPr>
          <w:gridAfter w:val="1"/>
          <w:gridBefore w:val="1"/>
          <w:trHeight w:val="675"/>
        </w:trPr>
        <w:tc>
          <w:tcPr>
            <w:shd w:val="clear" w:color="auto" w:fill="auto"/>
            <w:tcW w:w="30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gridSpan w:val="2"/>
            <w:shd w:val="clear" w:color="auto" w:fill="auto"/>
            <w:tcW w:w="84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▲环形线圈</w:t>
            </w:r>
            <w:r/>
          </w:p>
        </w:tc>
        <w:tc>
          <w:tcPr>
            <w:gridSpan w:val="2"/>
            <w:shd w:val="clear" w:color="auto" w:fill="auto"/>
            <w:tcW w:w="311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1.高灵敏度、无源、塑壳封装、带屏蔽；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2.与微电流传感器配合，可测得切割地磁场产生的感生电流，也可测得不同电器的电磁辐射强度。</w:t>
            </w:r>
            <w:r/>
          </w:p>
        </w:tc>
        <w:tc>
          <w:tcPr>
            <w:shd w:val="clear" w:color="auto" w:fill="auto"/>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gridSpan w:val="2"/>
            <w:shd w:val="clear" w:color="auto" w:fill="auto"/>
            <w:tcW w:w="39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 </w:t>
            </w:r>
            <w:r/>
          </w:p>
        </w:tc>
      </w:tr>
      <w:tr>
        <w:trPr>
          <w:gridAfter w:val="1"/>
          <w:gridBefore w:val="1"/>
          <w:trHeight w:val="450"/>
        </w:trPr>
        <w:tc>
          <w:tcPr>
            <w:shd w:val="clear" w:color="auto" w:fill="auto"/>
            <w:tcW w:w="30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w:t>
            </w:r>
            <w:r/>
          </w:p>
        </w:tc>
        <w:tc>
          <w:tcPr>
            <w:gridSpan w:val="2"/>
            <w:shd w:val="clear" w:color="auto" w:fill="auto"/>
            <w:tcW w:w="84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▲通电螺线管</w:t>
            </w:r>
            <w:r/>
          </w:p>
        </w:tc>
        <w:tc>
          <w:tcPr>
            <w:gridSpan w:val="2"/>
            <w:shd w:val="clear" w:color="auto" w:fill="auto"/>
            <w:tcW w:w="311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1.外形尺寸≥长120mm，1200匝；</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2.可接学生电源，通过磁传感器测量，螺线管中间位置可产生匀强磁场。</w:t>
            </w:r>
            <w:r/>
          </w:p>
        </w:tc>
        <w:tc>
          <w:tcPr>
            <w:shd w:val="clear" w:color="auto" w:fill="auto"/>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gridSpan w:val="2"/>
            <w:shd w:val="clear" w:color="auto" w:fill="auto"/>
            <w:tcW w:w="39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 </w:t>
            </w:r>
            <w:r/>
          </w:p>
        </w:tc>
      </w:tr>
      <w:tr>
        <w:trPr>
          <w:gridAfter w:val="1"/>
          <w:gridBefore w:val="1"/>
          <w:trHeight w:val="1350"/>
        </w:trPr>
        <w:tc>
          <w:tcPr>
            <w:shd w:val="clear" w:color="auto" w:fill="auto"/>
            <w:tcW w:w="30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w:t>
            </w:r>
            <w:r/>
          </w:p>
        </w:tc>
        <w:tc>
          <w:tcPr>
            <w:gridSpan w:val="2"/>
            <w:shd w:val="clear" w:color="auto" w:fill="auto"/>
            <w:tcW w:w="84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▲数字化摩擦力实验器</w:t>
            </w:r>
            <w:r/>
          </w:p>
        </w:tc>
        <w:tc>
          <w:tcPr>
            <w:gridSpan w:val="2"/>
            <w:shd w:val="clear" w:color="auto" w:fill="auto"/>
            <w:tcW w:w="311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1.尺寸：≤600*120mm，由电动机1只、开关1只、调压电源1套、底座1块、摩擦块1块、圆柱体铁块（100g)3块，铝质转动盘(25mm)1只，不锈钢柱1根，Tyepc充电接口组成。电动机的转速可调，转动方向可变，电源可充电。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2.可研究动摩擦力与不同相对速、不同压力、不同粗糙程度的关系；可描绘摩擦力随时间的变化曲线，探究最大静摩擦力及滑动摩擦力的相关规律。可搭配传感器：无线力/加速度传感器*1（传感器需另配）。</w:t>
            </w:r>
            <w:r/>
          </w:p>
        </w:tc>
        <w:tc>
          <w:tcPr>
            <w:shd w:val="clear" w:color="auto" w:fill="auto"/>
            <w:tcW w:w="33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gridSpan w:val="2"/>
            <w:shd w:val="clear" w:color="auto" w:fill="auto"/>
            <w:tcW w:w="39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 </w:t>
            </w:r>
            <w:r/>
          </w:p>
        </w:tc>
      </w:tr>
      <w:tr>
        <w:trPr>
          <w:trHeight w:val="501"/>
        </w:trPr>
        <w:tc>
          <w:tcPr>
            <w:gridSpan w:val="10"/>
            <w:shd w:val="clear" w:color="auto" w:fill="auto"/>
            <w:tcMar>
              <w:left w:w="15" w:type="dxa"/>
              <w:top w:w="15" w:type="dxa"/>
              <w:right w:w="15" w:type="dxa"/>
            </w:tcMar>
            <w:tcW w:w="5000" w:type="pct"/>
            <w:vAlign w:val="center"/>
            <w:textDirection w:val="lrTb"/>
            <w:noWrap/>
          </w:tcPr>
          <w:p>
            <w:pPr>
              <w:jc w:val="center"/>
              <w:rPr>
                <w:rFonts w:ascii="宋体" w:hAnsi="宋体" w:cs="宋体"/>
                <w:color w:val="auto"/>
                <w:sz w:val="18"/>
                <w:szCs w:val="18"/>
                <w:highlight w:val="none"/>
              </w:rPr>
            </w:pPr>
            <w:r>
              <w:rPr>
                <w:rFonts w:hint="eastAsia" w:ascii="宋体" w:hAnsi="宋体" w:cs="宋体"/>
                <w:b/>
                <w:color w:val="auto"/>
                <w:sz w:val="18"/>
                <w:szCs w:val="18"/>
                <w:highlight w:val="none"/>
                <w:lang w:bidi="ar"/>
              </w:rPr>
              <w:t xml:space="preserve">物理基础仪器</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hint="eastAsia" w:ascii="宋体" w:hAnsi="宋体" w:eastAsia="宋体" w:cs="宋体"/>
                <w:b/>
                <w:bCs/>
                <w:color w:val="auto"/>
                <w:sz w:val="18"/>
                <w:szCs w:val="18"/>
                <w:highlight w:val="none"/>
                <w:lang w:val="en-US" w:eastAsia="zh-CN" w:bidi="ar"/>
              </w:rPr>
            </w:pPr>
            <w:r>
              <w:rPr>
                <w:rFonts w:hint="eastAsia" w:ascii="宋体" w:hAnsi="宋体" w:cs="宋体"/>
                <w:b/>
                <w:bCs/>
                <w:color w:val="auto"/>
                <w:sz w:val="18"/>
                <w:szCs w:val="18"/>
                <w:highlight w:val="none"/>
                <w:lang w:val="en-US" w:eastAsia="zh-CN" w:bidi="ar"/>
              </w:rPr>
              <w:t xml:space="preserve">序号</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hint="eastAsia" w:ascii="宋体" w:hAnsi="宋体" w:eastAsia="宋体" w:cs="宋体"/>
                <w:b/>
                <w:bCs/>
                <w:color w:val="auto"/>
                <w:sz w:val="18"/>
                <w:szCs w:val="18"/>
                <w:highlight w:val="none"/>
                <w:lang w:val="en-US" w:eastAsia="zh-CN" w:bidi="ar"/>
              </w:rPr>
            </w:pPr>
            <w:r>
              <w:rPr>
                <w:rFonts w:hint="eastAsia" w:ascii="宋体" w:hAnsi="宋体" w:cs="宋体"/>
                <w:b/>
                <w:bCs/>
                <w:color w:val="auto"/>
                <w:sz w:val="18"/>
                <w:szCs w:val="18"/>
                <w:highlight w:val="none"/>
                <w:lang w:val="en-US" w:eastAsia="zh-CN" w:bidi="ar"/>
              </w:rPr>
              <w:t xml:space="preserve">名称</w:t>
            </w:r>
            <w:r/>
          </w:p>
        </w:tc>
        <w:tc>
          <w:tcPr>
            <w:shd w:val="clear" w:color="auto" w:fill="auto"/>
            <w:tcMar>
              <w:left w:w="15" w:type="dxa"/>
              <w:top w:w="15" w:type="dxa"/>
              <w:right w:w="15" w:type="dxa"/>
            </w:tcMar>
            <w:tcW w:w="3108" w:type="pct"/>
            <w:vAlign w:val="center"/>
            <w:textDirection w:val="lrTb"/>
            <w:noWrap w:val="false"/>
          </w:tcPr>
          <w:p>
            <w:pPr>
              <w:jc w:val="center"/>
              <w:widowControl/>
              <w:rPr>
                <w:rFonts w:hint="eastAsia" w:ascii="宋体" w:hAnsi="宋体" w:eastAsia="宋体" w:cs="宋体"/>
                <w:b/>
                <w:bCs/>
                <w:color w:val="auto"/>
                <w:sz w:val="18"/>
                <w:szCs w:val="18"/>
                <w:highlight w:val="none"/>
                <w:lang w:val="en-US" w:eastAsia="zh-CN" w:bidi="ar"/>
              </w:rPr>
            </w:pPr>
            <w:r>
              <w:rPr>
                <w:rFonts w:hint="eastAsia" w:ascii="宋体" w:hAnsi="宋体" w:cs="宋体"/>
                <w:b/>
                <w:bCs/>
                <w:color w:val="auto"/>
                <w:sz w:val="18"/>
                <w:szCs w:val="18"/>
                <w:highlight w:val="none"/>
                <w:lang w:val="en-US" w:eastAsia="zh-CN" w:bidi="ar"/>
              </w:rPr>
              <w:t xml:space="preserve">参数</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hint="eastAsia" w:ascii="宋体" w:hAnsi="宋体" w:eastAsia="宋体" w:cs="宋体"/>
                <w:b/>
                <w:bCs/>
                <w:color w:val="auto"/>
                <w:sz w:val="18"/>
                <w:szCs w:val="18"/>
                <w:highlight w:val="none"/>
                <w:lang w:val="en-US" w:eastAsia="zh-CN" w:bidi="ar"/>
              </w:rPr>
            </w:pPr>
            <w:r>
              <w:rPr>
                <w:rFonts w:hint="eastAsia" w:ascii="宋体" w:hAnsi="宋体" w:cs="宋体"/>
                <w:b/>
                <w:bCs/>
                <w:color w:val="auto"/>
                <w:sz w:val="18"/>
                <w:szCs w:val="18"/>
                <w:highlight w:val="none"/>
                <w:lang w:val="en-US" w:eastAsia="zh-CN" w:bidi="ar"/>
              </w:rPr>
              <w:t xml:space="preserve">单位</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hint="eastAsia" w:ascii="宋体" w:hAnsi="宋体" w:eastAsia="宋体" w:cs="宋体"/>
                <w:b/>
                <w:bCs/>
                <w:color w:val="auto"/>
                <w:sz w:val="18"/>
                <w:szCs w:val="18"/>
                <w:highlight w:val="none"/>
                <w:lang w:val="en-US" w:eastAsia="zh-CN" w:bidi="ar"/>
              </w:rPr>
            </w:pPr>
            <w:r>
              <w:rPr>
                <w:rFonts w:hint="eastAsia" w:ascii="宋体" w:hAnsi="宋体" w:cs="宋体"/>
                <w:b/>
                <w:bCs/>
                <w:color w:val="auto"/>
                <w:sz w:val="18"/>
                <w:szCs w:val="18"/>
                <w:highlight w:val="none"/>
                <w:lang w:val="en-US" w:eastAsia="zh-CN" w:bidi="ar"/>
              </w:rPr>
              <w:t xml:space="preserve">数量</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打孔器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产品由四支不同孔径带手柄的空芯钻头、顶屑杆（通条）组成。空芯管：a）每支空芯管长度为100mm）管外径分别为6mm,8mm,10mm公差±0.1mm。2.钻头：用无缝钢管制成；直线度0.05mm；刀口表面镀铬；刀刃无缺口或锯齿状；刀刃平面与手柄平行，并与钻头轴线垂直；刀刃平面与轴线的垂直度0.16mm；顶屑杆：直径3.5mm长106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旋片式真空泵【可用于牛顿管】</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单相，供教师授课实验使用，抽速：1L/S，真空度5Pa，功率≥150W</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抽气筒</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手持式，由手柄、活塞、气筒组成。气筒有效长度不小于130mm，直径不小于40mm。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打气筒</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产品由气筒、踏脚、活塞、活塞杆、手柄、橡胶管、气针夹等组成</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风源</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额定电压220V</w:t>
            </w:r>
            <w:r>
              <w:rPr>
                <w:rFonts w:hint="eastAsia" w:ascii="宋体" w:hAnsi="宋体" w:cs="宋体"/>
                <w:color w:val="auto"/>
                <w:sz w:val="18"/>
                <w:szCs w:val="18"/>
                <w:highlight w:val="none"/>
                <w:lang w:eastAsia="zh-CN" w:bidi="ar"/>
              </w:rPr>
              <w:t xml:space="preserve">（</w:t>
            </w:r>
            <w:r>
              <w:rPr>
                <w:rFonts w:hint="eastAsia" w:ascii="宋体" w:hAnsi="宋体" w:cs="宋体"/>
                <w:color w:val="auto"/>
                <w:sz w:val="18"/>
                <w:szCs w:val="18"/>
                <w:highlight w:val="none"/>
                <w:lang w:val="en-US" w:eastAsia="zh-CN" w:bidi="ar"/>
              </w:rPr>
              <w:t xml:space="preserve">±10%）</w:t>
            </w:r>
            <w:r>
              <w:rPr>
                <w:rFonts w:hint="eastAsia" w:ascii="宋体" w:hAnsi="宋体" w:cs="宋体"/>
                <w:color w:val="auto"/>
                <w:sz w:val="18"/>
                <w:szCs w:val="18"/>
                <w:highlight w:val="none"/>
                <w:lang w:bidi="ar"/>
              </w:rPr>
              <w:t xml:space="preserve">，50Hz,</w:t>
            </w:r>
            <w:r>
              <w:rPr>
                <w:rFonts w:hint="eastAsia" w:ascii="宋体" w:hAnsi="宋体" w:cs="宋体"/>
                <w:color w:val="auto"/>
                <w:sz w:val="18"/>
                <w:szCs w:val="18"/>
                <w:highlight w:val="none"/>
                <w:lang w:val="en-US" w:eastAsia="zh-CN" w:bidi="ar"/>
              </w:rPr>
              <w:t xml:space="preserve">功率≥</w:t>
            </w:r>
            <w:r>
              <w:rPr>
                <w:rFonts w:hint="eastAsia" w:ascii="宋体" w:hAnsi="宋体" w:cs="宋体"/>
                <w:color w:val="auto"/>
                <w:sz w:val="18"/>
                <w:szCs w:val="18"/>
                <w:highlight w:val="none"/>
                <w:lang w:bidi="ar"/>
              </w:rPr>
              <w:t xml:space="preserve">1000W，应带有防过热保护装置，冷热风双项选择，配缩吹直头。三档控制开关。</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充磁器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1.充磁面为塑料面板,工作电压：220V±10%，额定电流：充磁3A，退磁2A</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2.充磁器两端标明N S标志，有充磁、消磁、电源按钮。充磁面板上有直径约4mm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3.充磁截面积</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42×25mm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4.整个充磁器高</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94mm，长</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155mm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望远镜</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7×35</w:t>
            </w:r>
            <w:r>
              <w:rPr>
                <w:rFonts w:hint="eastAsia" w:ascii="宋体" w:hAnsi="宋体" w:cs="宋体"/>
                <w:color w:val="auto"/>
                <w:sz w:val="18"/>
                <w:szCs w:val="18"/>
                <w:highlight w:val="none"/>
                <w:lang w:val="en-US" w:eastAsia="zh-CN" w:bidi="ar"/>
              </w:rPr>
              <w:t xml:space="preserve">mm</w:t>
            </w:r>
            <w:r>
              <w:rPr>
                <w:rFonts w:hint="eastAsia" w:ascii="宋体" w:hAnsi="宋体" w:cs="宋体"/>
                <w:color w:val="auto"/>
                <w:sz w:val="18"/>
                <w:szCs w:val="18"/>
                <w:highlight w:val="none"/>
                <w:lang w:bidi="ar"/>
              </w:rPr>
              <w:t xml:space="preserve">。2.由工程塑料、塑胶及光学玻璃等制成，配备挂绳及拎包。3.目镜及物镜均有保护装置，防止在不使用的情况下被灰尘污染。4.望远镜目镜可通过旋转改变间距，可适应不同用户。5.目镜连接部件中心镶嵌有一小指南针。5.从物镜和目镜方向向内看镜片，应无明显的破边和脏点。6.各运动部位的转动和移动应平滑，无松动或卡滞现象。机械传动运动部位应能自如的停留在任一位置上。7.目视观察望远镜中远方目标的成像，应明亮清晰，观看舒适，色彩逼真，物像无明显变形和色差，细节明辨，层次分明。</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酒精喷灯</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座式</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1.用黄铜制成。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2.密闭无渗漏。</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3.仪器由灯壶、灯管、空气调节器、预热盘、加料口等部分组成。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4.空气调节器可使调节片可靠稳定于调节范围内的任意位置，能自如地调节空气进量而调节火焰大小。</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5.壸体装酒精容积250mL。喷管与各管焊接牢固，喷火燃烧而熔化焊接，无漏气。火苗调节杆柄在调节火苗时不变形。调节手轮不得因工作时焦熔。</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注射器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刻度标注约100mL，玻璃材质，总长度约为240mm.内部活动管表面毛玻璃材质。</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透明盛液筒</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透明盛液筒体用聚苯乙烯一次注塑而成，透明度良好、不易损坏。</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 筒的外经约120mm，高度约303mm。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 筒体表面用透明不干胶粘贴表示深度的标尺和刻度标志，字体呈黑色。</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 筒体壁厚度约2mm，筒体底部安放平稳、牢固，造型美观。外形平整、无划痕、修正的边沿无变形破边等</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11</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透明水槽</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250mm×180mm×100mm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物理支架</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物理实验室通用仪器，可组装成垂直、平行、吊挂、夹持、放置等多种实验支架。立杆两支分别不小于450mm，65mm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13</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方座支架</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1.产品由底座、烧杯夹、大小铁环、垂直夹、平行夹、立杆等组成。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2.底座：铸铁制成，外层涂有防锈漆，规格：约200mm×130mm。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3.立杆：直径为直径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12mm，杆长</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600mm，一端为螺纹。立杆由优质铁制成，外层电镀。</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4.大铁环内径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90mm，柄长</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105mm，小铁环内径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50mm，柄长</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125mm,圆环</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120°处有一开口，宽</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20mm。 </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5.底座放置平稳，支承夹持可靠，立杆与底座垂直，铁环组装后与立杆垂直。</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14</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多功能实验支架</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1.本仪器为组合式，由底板、底座、复夹、烧瓶夹、铁环、立杆和圆托盘等组成。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2.底板尺寸：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210×135mm，尺寸公差±1mm。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3.两底座为Ａ型，一大一小，其上有供主杆插入的孔，立脚可调。</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4.立杆尺寸：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Φ12×1200mm，镀铬处理。</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5.大铁环内径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Φ90±1.5mm，小铁环内径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Φ50±1.5mm，柄长105±2mm。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6.台边夹夹紧厚≥70mm，夹入深度≥40mm。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7.圆托盘直径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Φ200±2mm，厚5mm。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8.吊钩卷内径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Φ120±0.3mm。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9.绝缘杆尺寸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Φ12×120mm，其上有2个接线柱。</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10.烧瓶夹夹口闭合间隙≤0.1ｍｍ，开口≥35mm。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11.万向夹转动方向调节范围≥120°，球头直径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Φ20mm。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12.复夹夹持直径范围Φ6～14mm，孔径Φ120±0.3mm。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15</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升降台</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1.仪器采用全金属材质，由两个工作台面、角形铝条、扁铁和螺杆等构成。台面用厚度约1.5mm的不锈钢板制成。升降范围不小于150mm，载重量约10kg</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2.工作台面：上面板</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150×150mm，下面板</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180×180mm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3.上基板升降平稳，无摇晃现象。升降杆转动灵活，滑动部件滑动平稳，无跳动。金属部件表面镀铬，镀层光洁，无脱皮，砂眼等缺陷</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16</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bidi="ar"/>
              </w:rPr>
              <w:t xml:space="preserve">储能装置</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1.额定电压：6V。</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2.额定容量：15Ah。</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w:t>
            </w:r>
            <w:r>
              <w:rPr>
                <w:rFonts w:hint="eastAsia" w:ascii="宋体" w:hAnsi="宋体" w:cs="宋体"/>
                <w:color w:val="auto"/>
                <w:sz w:val="18"/>
                <w:szCs w:val="18"/>
                <w:highlight w:val="none"/>
                <w:lang w:val="en-US" w:eastAsia="zh-CN" w:bidi="ar"/>
              </w:rPr>
              <w:t xml:space="preserve">储能装置</w:t>
            </w:r>
            <w:r>
              <w:rPr>
                <w:rFonts w:hint="eastAsia" w:ascii="宋体" w:hAnsi="宋体" w:cs="宋体"/>
                <w:color w:val="auto"/>
                <w:sz w:val="18"/>
                <w:szCs w:val="18"/>
                <w:highlight w:val="none"/>
                <w:lang w:bidi="ar"/>
              </w:rPr>
              <w:t xml:space="preserve">由3个额定电压为2V的单体</w:t>
            </w:r>
            <w:r>
              <w:rPr>
                <w:rFonts w:hint="eastAsia" w:ascii="宋体" w:hAnsi="宋体" w:cs="宋体"/>
                <w:color w:val="auto"/>
                <w:sz w:val="18"/>
                <w:szCs w:val="18"/>
                <w:highlight w:val="none"/>
                <w:lang w:val="en-US" w:eastAsia="zh-CN" w:bidi="ar"/>
              </w:rPr>
              <w:t xml:space="preserve">储能体</w:t>
            </w:r>
            <w:r>
              <w:rPr>
                <w:rFonts w:hint="eastAsia" w:ascii="宋体" w:hAnsi="宋体" w:cs="宋体"/>
                <w:color w:val="auto"/>
                <w:sz w:val="18"/>
                <w:szCs w:val="18"/>
                <w:highlight w:val="none"/>
                <w:lang w:bidi="ar"/>
              </w:rPr>
              <w:t xml:space="preserve">组成，结构采用阀控密封式结构，免维护式。</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4.外观无裂纹及明显变形，且标志清楚。</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17</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调压变压器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接触式调压器</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额定输出容量：2KVA；输入电压：220V 50Hz</w:t>
            </w:r>
            <w:r>
              <w:rPr>
                <w:rFonts w:hint="eastAsia" w:ascii="宋体" w:hAnsi="宋体" w:cs="宋体"/>
                <w:color w:val="auto"/>
                <w:sz w:val="18"/>
                <w:szCs w:val="18"/>
                <w:highlight w:val="none"/>
                <w:lang w:eastAsia="zh-CN" w:bidi="ar"/>
              </w:rPr>
              <w:t xml:space="preserve">（</w:t>
            </w:r>
            <w:r>
              <w:rPr>
                <w:rFonts w:hint="eastAsia" w:ascii="宋体" w:hAnsi="宋体" w:cs="宋体"/>
                <w:color w:val="auto"/>
                <w:sz w:val="18"/>
                <w:szCs w:val="18"/>
                <w:highlight w:val="none"/>
                <w:lang w:val="en-US" w:eastAsia="zh-CN" w:bidi="ar"/>
              </w:rPr>
              <w:t xml:space="preserve">±10%）</w:t>
            </w:r>
            <w:r>
              <w:rPr>
                <w:rFonts w:hint="eastAsia" w:ascii="宋体" w:hAnsi="宋体" w:cs="宋体"/>
                <w:color w:val="auto"/>
                <w:sz w:val="18"/>
                <w:szCs w:val="18"/>
                <w:highlight w:val="none"/>
                <w:lang w:bidi="ar"/>
              </w:rPr>
              <w:t xml:space="preserve">，输出电压0～250V，连续可调，额定输出电流：8A。调压转盘直径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110mm，指针长度</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35mm，产品外形尺寸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240×220×230mm。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18</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电池盒</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产品由塑料盒底、正负极弹簧片、插接件组成，盒底由塑料制成，接线柱采用红、黑两种颜色的接线柱。</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整体尺寸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72mm×41mm×51mm，盒体壁厚</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1.8mm，接线柱行程不小于5mm。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组</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100</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19</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感应圈</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外壳采用优质工程塑料一次注塑成型。上部有两个φ</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4mm安全</w:t>
            </w:r>
            <w:r>
              <w:rPr>
                <w:rFonts w:hint="eastAsia" w:ascii="宋体" w:hAnsi="宋体" w:cs="宋体"/>
                <w:color w:val="auto"/>
                <w:sz w:val="18"/>
                <w:szCs w:val="18"/>
                <w:highlight w:val="none"/>
                <w:lang w:val="en-US" w:eastAsia="zh-CN" w:bidi="ar"/>
              </w:rPr>
              <w:t xml:space="preserve">接口</w:t>
            </w:r>
            <w:r>
              <w:rPr>
                <w:rFonts w:hint="eastAsia" w:ascii="宋体" w:hAnsi="宋体" w:cs="宋体"/>
                <w:color w:val="auto"/>
                <w:sz w:val="18"/>
                <w:szCs w:val="18"/>
                <w:highlight w:val="none"/>
                <w:lang w:bidi="ar"/>
              </w:rPr>
              <w:t xml:space="preserve">。面板由船型电源开关、电流正反向开关、调整旋钮、及工作指示灯等组成。电源输入采用三芯插座并附带保险丝位于在仪器的后板。面板标示、仪器型号名称及警告标志采用不干胶，字体及颜色清晰牢固。</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技术参数：供电电压：AC220V±10%，50Hz ±5Hz，</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放电针约4×75mm切一端呈尖型，配套2根，可拆卸，距离可在10mm~100mm可调，供电电压在AC220V时，最大放电距离100mm。火花条数在两条以上，可连续工作15分钟以上    </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体积：</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250mm×170mm×160mm(长×宽×高 放电针插好时)</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20</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能量供给装置</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一、直流输出</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1.输出电压</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1档 标准值 250V满载时250±5%</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2档 标准值 300V满载时300±5%</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3档 标准值 600V满载时600±5%</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4档 标准值 1000V满载时1000±5%</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5档 标准值 1200V满载时1200±5%</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6档 标准值 1500V满载时1500±5%</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2.输出电流1档、2档额定电流为0.2A</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  3档、4档、5档、6档额定电流为0.1A</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3.输出纹波电压≤0.5V</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4.过载保护动作电流（1档、2档）0.25A+0.01A</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  （3档、4档、5档、6档）0.15A+0.01A</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规格</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278mm×245mm×120mm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21</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电子起电机</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由铝塑料箱机箱、电路、高压组件、电压、电流电压液晶数显系统、指示灯、调谐旋钮、点开关、电源开关等组成。可完成实验：火花放电实验；电场线实验；静电屏蔽实验；微静电观察盒实验；电场力（静电乒乓）实验；静电（雷电）危害实验；阴极射线管实验；电子风轮实验（静电电动机）；静电吸引水流实验；燃气爆发实验；物体耐压实验；钟摆小球实验；内燃</w:t>
            </w:r>
            <w:r>
              <w:rPr>
                <w:rFonts w:hint="eastAsia" w:ascii="宋体" w:hAnsi="宋体" w:cs="宋体"/>
                <w:color w:val="auto"/>
                <w:sz w:val="18"/>
                <w:szCs w:val="18"/>
                <w:highlight w:val="none"/>
                <w:lang w:bidi="ar"/>
              </w:rPr>
              <w:t xml:space="preserve">机工作原理实验；静电羽实验；球形放电与尖形放电比较；电子辉光放电实验（电晕放电）；避雷针实验；臭氧制取实验；制取二氧化氮实验；静电除尘实验；静电植绒实验；火烙导电实验等。产品使用电源： DC 6V（或4节AA5号电池）；功率：≤3W；产生高压静电：-17.5～+17.5KV；电子放电电流≤0.5mA。产品电路具有高内阻的恒流源，产生的高压静电控制在30～40KV，放电电流控制在0.5mA以下；产品设有安全保护装置、设有短路保护电路；两放电球之间的距离及电压大小可调。附带电源适配器及两头鳄鱼夹红黑导线各一根。</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22</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bidi="ar"/>
              </w:rPr>
              <w:t xml:space="preserve">教学用铅酸蓄电池</w:t>
            </w:r>
            <w:r>
              <w:rPr>
                <w:rFonts w:hint="eastAsia" w:ascii="宋体" w:hAnsi="宋体" w:cs="宋体"/>
                <w:color w:val="auto"/>
                <w:sz w:val="18"/>
                <w:szCs w:val="18"/>
                <w:highlight w:val="none"/>
                <w:lang w:val="en-US" w:eastAsia="zh-CN" w:bidi="ar"/>
              </w:rPr>
              <w:t xml:space="preserve">供能器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仪器不但设有可调充电电压、充电电流功能，同时还设有可调定时充电功能，充满电自动关停功能。被充电电池反接自动保护、短路过载自动保护等功能。</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产品主要采用CMOS集成电路，晶体管电路、双向可控硅控制电路，使产品具有输出电压调整范围大，充电脉冲电流稳定。波形失真少，功耗低抗干扰能力强等优点。产品结构设计合理，维护和维修简便。</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二、 规格及功能：单充阀控式铅蓄电池或单充可调内阻电池或组合式</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三、主要技术性能</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2-1、充电电压范围：2～12V分六档选择，可根据不同电池电压而定。</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2-2、充电电流：0～10A连续可调。</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2-3、定时设置：2～8小时，分五档选择。</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2-4、充电方式：恒压式全自动关停。</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2-5、工作环境：a）温度：0～40℃。</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b）相对湿度：＜90%。</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2-6、工作时间：连续。（满负荷连续工作时要注意通风散热）。</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2-7、外形尺寸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210×340×200mm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23</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木直尺</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1.用木材制作，表面平整、挺直、无毛刺。木材材质应无节疤、无裂纹、无伤痕，并经过脱脂干燥处理，含水率≤18％。</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2.尺身一面白底，印有黑色刻线和数字，最小刻度为1毫米，每5厘米为一大格，每10厘米的刻线上标有数字，有mm、cm、dm、m四种单位。</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3.漆层平整清洁、色调美观、厚薄均匀、有足够的附着力，在主要表面上不得有流挂、针孔、气泡等缺陷。</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4.刻线和数字排列整齐端正，刻线粗细一致。</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5.米尺的外形尺寸：约1000mm×25mm×8mm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全尺刻度累计误差≤2mm,尺面平面度≤3mm,尺边直线度≤2mm。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只</w:t>
            </w:r>
            <w:r/>
          </w:p>
        </w:tc>
        <w:tc>
          <w:tcPr>
            <w:gridSpan w:val="2"/>
            <w:shd w:val="clear" w:color="auto" w:fill="auto"/>
            <w:tcMar>
              <w:left w:w="15" w:type="dxa"/>
              <w:top w:w="15" w:type="dxa"/>
              <w:right w:w="15" w:type="dxa"/>
            </w:tcMar>
            <w:tcW w:w="375"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24</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钢直尺</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200mm,毫米刻度</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只</w:t>
            </w:r>
            <w:r/>
          </w:p>
        </w:tc>
        <w:tc>
          <w:tcPr>
            <w:gridSpan w:val="2"/>
            <w:shd w:val="clear" w:color="auto" w:fill="auto"/>
            <w:tcMar>
              <w:left w:w="15" w:type="dxa"/>
              <w:top w:w="15" w:type="dxa"/>
              <w:right w:w="15" w:type="dxa"/>
            </w:tcMar>
            <w:tcW w:w="375"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25</w:t>
            </w:r>
            <w:r/>
          </w:p>
        </w:tc>
        <w:tc>
          <w:tcPr>
            <w:gridSpan w:val="2"/>
            <w:shd w:val="clear" w:color="auto" w:fill="auto"/>
            <w:tcMar>
              <w:left w:w="15" w:type="dxa"/>
              <w:top w:w="15" w:type="dxa"/>
              <w:right w:w="15" w:type="dxa"/>
            </w:tcMar>
            <w:tcW w:w="821"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游标卡尺</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125mm，0.02mm</w:t>
            </w:r>
            <w:r/>
          </w:p>
        </w:tc>
        <w:tc>
          <w:tcPr>
            <w:gridSpan w:val="2"/>
            <w:shd w:val="clear" w:color="auto" w:fill="auto"/>
            <w:tcMar>
              <w:left w:w="15" w:type="dxa"/>
              <w:top w:w="15" w:type="dxa"/>
              <w:right w:w="15" w:type="dxa"/>
            </w:tcMar>
            <w:tcW w:w="361"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把</w:t>
            </w:r>
            <w:r/>
          </w:p>
        </w:tc>
        <w:tc>
          <w:tcPr>
            <w:gridSpan w:val="2"/>
            <w:shd w:val="clear" w:color="auto" w:fill="auto"/>
            <w:tcMar>
              <w:left w:w="15" w:type="dxa"/>
              <w:top w:w="15" w:type="dxa"/>
              <w:right w:w="15" w:type="dxa"/>
            </w:tcMar>
            <w:tcW w:w="375"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26</w:t>
            </w:r>
            <w:r/>
          </w:p>
        </w:tc>
        <w:tc>
          <w:tcPr>
            <w:gridSpan w:val="2"/>
            <w:shd w:val="clear" w:color="auto" w:fill="auto"/>
            <w:tcMar>
              <w:left w:w="15" w:type="dxa"/>
              <w:top w:w="15" w:type="dxa"/>
              <w:right w:w="15" w:type="dxa"/>
            </w:tcMar>
            <w:tcW w:w="821"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游标卡尺</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150mm，0.1 mm</w:t>
            </w:r>
            <w:r/>
          </w:p>
        </w:tc>
        <w:tc>
          <w:tcPr>
            <w:gridSpan w:val="2"/>
            <w:shd w:val="clear" w:color="auto" w:fill="auto"/>
            <w:tcMar>
              <w:left w:w="15" w:type="dxa"/>
              <w:top w:w="15" w:type="dxa"/>
              <w:right w:w="15" w:type="dxa"/>
            </w:tcMar>
            <w:tcW w:w="361"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把</w:t>
            </w:r>
            <w:r/>
          </w:p>
        </w:tc>
        <w:tc>
          <w:tcPr>
            <w:gridSpan w:val="2"/>
            <w:shd w:val="clear" w:color="auto" w:fill="auto"/>
            <w:tcMar>
              <w:left w:w="15" w:type="dxa"/>
              <w:top w:w="15" w:type="dxa"/>
              <w:right w:w="15" w:type="dxa"/>
            </w:tcMar>
            <w:tcW w:w="375"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27</w:t>
            </w:r>
            <w:r/>
          </w:p>
        </w:tc>
        <w:tc>
          <w:tcPr>
            <w:gridSpan w:val="2"/>
            <w:shd w:val="clear" w:color="auto" w:fill="auto"/>
            <w:tcMar>
              <w:left w:w="15" w:type="dxa"/>
              <w:top w:w="15" w:type="dxa"/>
              <w:right w:w="15" w:type="dxa"/>
            </w:tcMar>
            <w:tcW w:w="821"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游标卡尺</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150mm，0.05 mm</w:t>
            </w:r>
            <w:r/>
          </w:p>
        </w:tc>
        <w:tc>
          <w:tcPr>
            <w:gridSpan w:val="2"/>
            <w:shd w:val="clear" w:color="auto" w:fill="auto"/>
            <w:tcMar>
              <w:left w:w="15" w:type="dxa"/>
              <w:top w:w="15" w:type="dxa"/>
              <w:right w:w="15" w:type="dxa"/>
            </w:tcMar>
            <w:tcW w:w="361"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把</w:t>
            </w:r>
            <w:r/>
          </w:p>
        </w:tc>
        <w:tc>
          <w:tcPr>
            <w:gridSpan w:val="2"/>
            <w:shd w:val="clear" w:color="auto" w:fill="auto"/>
            <w:tcMar>
              <w:left w:w="15" w:type="dxa"/>
              <w:top w:w="15" w:type="dxa"/>
              <w:right w:w="15" w:type="dxa"/>
            </w:tcMar>
            <w:tcW w:w="375"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28</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外径千分尺</w:t>
            </w:r>
            <w:r/>
          </w:p>
        </w:tc>
        <w:tc>
          <w:tcPr>
            <w:shd w:val="clear" w:color="auto" w:fill="auto"/>
            <w:tcMar>
              <w:left w:w="15" w:type="dxa"/>
              <w:top w:w="15" w:type="dxa"/>
              <w:right w:w="15" w:type="dxa"/>
            </w:tcMar>
            <w:tcW w:w="3108" w:type="pct"/>
            <w:vAlign w:val="center"/>
            <w:textDirection w:val="lrTb"/>
            <w:noWrap w:val="false"/>
          </w:tcPr>
          <w:p>
            <w:pPr>
              <w:jc w:val="left"/>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bidi="ar"/>
              </w:rPr>
              <w:t xml:space="preserve">钢制</w:t>
            </w:r>
            <w:r>
              <w:rPr>
                <w:rFonts w:hint="eastAsia" w:ascii="宋体" w:hAnsi="宋体" w:cs="宋体"/>
                <w:color w:val="auto"/>
                <w:sz w:val="18"/>
                <w:szCs w:val="18"/>
                <w:highlight w:val="none"/>
                <w:lang w:eastAsia="zh-CN" w:bidi="ar"/>
              </w:rPr>
              <w:t xml:space="preserve">，</w:t>
            </w:r>
            <w:r>
              <w:rPr>
                <w:rFonts w:hint="eastAsia" w:ascii="宋体" w:hAnsi="宋体" w:cs="宋体"/>
                <w:color w:val="auto"/>
                <w:sz w:val="18"/>
                <w:szCs w:val="18"/>
                <w:highlight w:val="none"/>
                <w:lang w:val="en-US" w:eastAsia="zh-CN" w:bidi="ar"/>
              </w:rPr>
              <w:t xml:space="preserve">0-25mm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只</w:t>
            </w:r>
            <w:r/>
          </w:p>
        </w:tc>
        <w:tc>
          <w:tcPr>
            <w:gridSpan w:val="2"/>
            <w:shd w:val="clear" w:color="auto" w:fill="auto"/>
            <w:tcMar>
              <w:left w:w="15" w:type="dxa"/>
              <w:top w:w="15" w:type="dxa"/>
              <w:right w:w="15" w:type="dxa"/>
            </w:tcMar>
            <w:tcW w:w="375"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29</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数显游标卡尺</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量程约0-150mm，碳钢材质，精度0.01mm,塑料盒包装</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把</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30</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物理天平</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1.最大称量500g，分度值20mg。</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2.砝码组合的总质量（包括标尺计量值）应不小于天平的最大秤量。</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3.冲压件及铸件表面应光洁平整，不应有毛刺、锋棱、裂纹和显见砂眼。</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4.电镀件的镀层应色泽均匀，不应有露底和显见的麻点、水迹、擦伤等缺陷。</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5.油漆件表面应平整光滑，色泽均匀，不应有露底、起泡、挂漆、擦伤等缺陷。</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31</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托盘天平</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1.最大称量200g，分度值0.2 g。</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2.秤量允许误差为±0.5d(分度值)。</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3.砝码组合的总质量（包括标尺计量值）应不小于天平的最大秤量。</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4.冲压件及铸件表面应光洁平整，不应有毛刺、锋棱、裂纹和显见砂眼。</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5.电镀件的镀层应色泽均匀，不应有露底和显见的麻点、水迹、擦伤等缺陷。</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6.油漆件表面应平整光滑，色泽均匀，不应有露底、起泡、挂漆、擦伤等缺陷。</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32</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托盘天平</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1.最大称量500g，分度值0.5 g。</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2.秤量允许误差为±0.5d(分度值)。</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3.砝码组合的总质量（包括标尺计量值）应不小于天平的最大秤量。</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4.冲压件及铸件表面应光洁平整，不应有毛刺、锋棱、裂纹和显见砂眼。</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5.电镀件的镀层应色泽均匀，不应有露底和显见的麻点、水迹、擦伤等缺陷。</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6.油漆件表面应平整光滑，色泽均匀，不应有露底、起泡、挂漆、擦伤等缺陷。</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33</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电子天平</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100g，0.01g</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34</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电子天平</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1000g，0.1g</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35</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指针式体重计</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指针式体重计</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36</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金属钩码</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不少于：10g×1，20g×2，50g×2，200g×2</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37</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金属槽码</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不少于：2g×3，5g×2，10g×2，20g×2，50g×2，100g×2，200g×2，5g×1金属槽码盘和10g×1金属槽码盘</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38</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机械停表</w:t>
            </w:r>
            <w:r/>
          </w:p>
        </w:tc>
        <w:tc>
          <w:tcPr>
            <w:shd w:val="clear" w:color="auto" w:fill="auto"/>
            <w:tcMar>
              <w:left w:w="15" w:type="dxa"/>
              <w:top w:w="15" w:type="dxa"/>
              <w:right w:w="15" w:type="dxa"/>
            </w:tcMar>
            <w:tcW w:w="3108" w:type="pct"/>
            <w:vAlign w:val="center"/>
            <w:textDirection w:val="lrTb"/>
            <w:noWrap w:val="false"/>
          </w:tcPr>
          <w:p>
            <w:pPr>
              <w:jc w:val="left"/>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机械式，双键开始暂停归零</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块</w:t>
            </w:r>
            <w:r/>
          </w:p>
        </w:tc>
        <w:tc>
          <w:tcPr>
            <w:gridSpan w:val="2"/>
            <w:shd w:val="clear" w:color="auto" w:fill="auto"/>
            <w:tcMar>
              <w:left w:w="15" w:type="dxa"/>
              <w:top w:w="15" w:type="dxa"/>
              <w:right w:w="15" w:type="dxa"/>
            </w:tcMar>
            <w:tcW w:w="375"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39</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电子停表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1.有石英谐振器，分辨率约为0.01S，以标称电压为DC1.5V或DC3.0V的扣式电池为能源，液晶显示。</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2.具有计时（含累加计时）等功能、附挂绳。</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3.表玻璃透明无伤、印字清楚正确、表壳与玻璃后盖配合紧密，无明显的缝隙。</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4.使用可靠，各功能显示及相互转换正常。零部、组件不得自行脱落，字段显示清晰、无误。</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40</w:t>
            </w:r>
            <w:r/>
          </w:p>
        </w:tc>
        <w:tc>
          <w:tcPr>
            <w:gridSpan w:val="2"/>
            <w:shd w:val="clear" w:color="auto" w:fill="auto"/>
            <w:tcMar>
              <w:left w:w="15" w:type="dxa"/>
              <w:top w:w="15" w:type="dxa"/>
              <w:right w:w="15" w:type="dxa"/>
            </w:tcMar>
            <w:tcW w:w="821"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电火花计时器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多频电火花计时器 外壳采用工程塑料一次注塑成型。线路采用单片机精确控制。电源开关按压式、频率选择采用轻触式开关，两个放电迹点的时间间隔（打点周期）分别为20mS、50mS、100mS。</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电源供电220V ±10 50hz±5hz</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41</w:t>
            </w:r>
            <w:r/>
          </w:p>
        </w:tc>
        <w:tc>
          <w:tcPr>
            <w:gridSpan w:val="2"/>
            <w:shd w:val="clear" w:color="auto" w:fill="auto"/>
            <w:tcMar>
              <w:left w:w="15" w:type="dxa"/>
              <w:top w:w="15" w:type="dxa"/>
              <w:right w:w="15" w:type="dxa"/>
            </w:tcMar>
            <w:tcW w:w="821"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电磁打点计时器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本产品由打点器、重锤、纸带、复写纸和弓形夹等组成。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1.工作电压：50HZ 9V交流电；</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2.连续工作时间不超过10分钟；</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3.打点周期稳定，周期相对误差不大于1%；</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4.重锤质量为300g；</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5.当纸带移动速度约3m/s时，点子长度不大于1.2mm，不小于0.3mm；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6.纸带宽度为17.5mm；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42</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数字计时器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1.产品以单片微型计算机为核心，智能度高，数据存贮和处理能力强，操作简单。小数点、单位和量程可自动定位、换挡。可以计数、可测量速度、加速度、重力加速度、周期等物理量；</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2.工作条件：220V/50Hz；</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3.外形尺寸：≥230×260×90mm；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4.5位高亮度LED数码显示，溢出显示“1”；带2个光电门，配置3个光电门接口；</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5.计数范围0～99999，计时范围0.00ms～99999s，速度范围0.00～999cm/s，加速度范围0.00～999cm/s'，周期0.00ms～99999s,时标幅度5V；</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6.数据显示窗口可显示测量数据、光电门故障信息等；配置功能键、清零键、停止键、同步键（6V）及挡光框宽度选择键；</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43</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bidi="ar"/>
              </w:rPr>
              <w:t xml:space="preserve">比较不同物质的吸热能力</w:t>
            </w:r>
            <w:r>
              <w:rPr>
                <w:rFonts w:hint="eastAsia" w:ascii="宋体" w:hAnsi="宋体" w:cs="宋体"/>
                <w:color w:val="auto"/>
                <w:sz w:val="18"/>
                <w:szCs w:val="18"/>
                <w:highlight w:val="none"/>
                <w:lang w:val="en-US" w:eastAsia="zh-CN" w:bidi="ar"/>
              </w:rPr>
              <w:t xml:space="preserve">用测温器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val="en-US" w:eastAsia="zh-CN" w:bidi="ar"/>
              </w:rPr>
              <w:t xml:space="preserve">1</w:t>
            </w:r>
            <w:r>
              <w:rPr>
                <w:rFonts w:hint="eastAsia" w:ascii="宋体" w:hAnsi="宋体" w:cs="宋体"/>
                <w:color w:val="auto"/>
                <w:sz w:val="18"/>
                <w:szCs w:val="18"/>
                <w:highlight w:val="none"/>
                <w:lang w:bidi="ar"/>
              </w:rPr>
              <w:t xml:space="preserve">.测量范围：0℃～200℃；最小分度值：2℃；允许误差±1℃。</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val="en-US" w:eastAsia="zh-CN" w:bidi="ar"/>
              </w:rPr>
              <w:t xml:space="preserve">2</w:t>
            </w:r>
            <w:r>
              <w:rPr>
                <w:rFonts w:hint="eastAsia" w:ascii="宋体" w:hAnsi="宋体" w:cs="宋体"/>
                <w:color w:val="auto"/>
                <w:sz w:val="18"/>
                <w:szCs w:val="18"/>
                <w:highlight w:val="none"/>
                <w:lang w:bidi="ar"/>
              </w:rPr>
              <w:t xml:space="preserve">.玻璃应光洁透明，不得有裂痕。毛细管不得有明显的弯曲现象，其孔径应均匀，管壁内应清洁无杂质。</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val="en-US" w:eastAsia="zh-CN" w:bidi="ar"/>
              </w:rPr>
              <w:t xml:space="preserve">3</w:t>
            </w:r>
            <w:r>
              <w:rPr>
                <w:rFonts w:hint="eastAsia" w:ascii="宋体" w:hAnsi="宋体" w:cs="宋体"/>
                <w:color w:val="auto"/>
                <w:sz w:val="18"/>
                <w:szCs w:val="18"/>
                <w:highlight w:val="none"/>
                <w:lang w:bidi="ar"/>
              </w:rPr>
              <w:t xml:space="preserve">.感温液体（水银）必须纯洁、无杂质。液线不得中断。上升时不得有停滞和跳跃现象；下降时不得在管壁上留下液滴。</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44</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数字测温计</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1、测量范围：-55℃～+127℃  2、测量误差：±0.5℃3、显示：4位LED超高亮数码管  4、传感方式：直接接触 5、电源电压：AC220V±10%，50Hz  6、消耗功率：&lt;2W  7、产品尺寸：约200mm*175mm*70mm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45</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bidi="ar"/>
              </w:rPr>
              <w:t xml:space="preserve">探究影响蒸发快慢的因素</w:t>
            </w:r>
            <w:r>
              <w:rPr>
                <w:rFonts w:hint="eastAsia" w:ascii="宋体" w:hAnsi="宋体" w:cs="宋体"/>
                <w:color w:val="auto"/>
                <w:sz w:val="18"/>
                <w:szCs w:val="18"/>
                <w:highlight w:val="none"/>
                <w:lang w:val="en-US" w:eastAsia="zh-CN" w:bidi="ar"/>
              </w:rPr>
              <w:t xml:space="preserve">用测温器</w:t>
            </w:r>
            <w:r/>
          </w:p>
        </w:tc>
        <w:tc>
          <w:tcPr>
            <w:shd w:val="clear" w:color="auto" w:fill="auto"/>
            <w:tcMar>
              <w:left w:w="15" w:type="dxa"/>
              <w:top w:w="15" w:type="dxa"/>
              <w:right w:w="15" w:type="dxa"/>
            </w:tcMar>
            <w:tcW w:w="3108" w:type="pct"/>
            <w:vAlign w:val="center"/>
            <w:textDirection w:val="lrTb"/>
            <w:noWrap w:val="false"/>
          </w:tcPr>
          <w:p>
            <w:pPr>
              <w:numPr>
                <w:ilvl w:val="0"/>
                <w:numId w:val="3"/>
              </w:numPr>
              <w:jc w:val="left"/>
              <w:widowControl/>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电子式</w:t>
            </w:r>
            <w:r/>
          </w:p>
          <w:p>
            <w:pPr>
              <w:numPr>
                <w:ilvl w:val="0"/>
                <w:numId w:val="3"/>
              </w:numPr>
              <w:jc w:val="left"/>
              <w:widowControl/>
              <w:rPr>
                <w:rFonts w:hint="default"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感温金属探头</w:t>
            </w:r>
            <w:r/>
          </w:p>
          <w:p>
            <w:pPr>
              <w:numPr>
                <w:ilvl w:val="0"/>
                <w:numId w:val="3"/>
              </w:numPr>
              <w:jc w:val="left"/>
              <w:widowControl/>
              <w:rPr>
                <w:rFonts w:hint="default"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实验精度±0.1℃</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46</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红外人体表面温度快速筛检仪</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1、测量距离：约5cm-10cm。2、温度范围:30℃～50℃。3、分辨率：≤0.1℃。4、误差：≤0.2℃。5、反应时间：≤500ms。6、电源：内置高性能电池。</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47</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寒暑表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由木质材料镶嵌玻璃棒芯组成。 采用摄氏（℃）和华氏（℉）木板双刻度，面板标有：摄氏 -30℃～50℃；华氏 -20℃～120℃的标志。玻璃棒芯感温液，正面放大玻璃液读数。</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温度准确度：±1℃（0℃～30℃）</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最小分度值：1℃</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储藏条件：-30℃～60℃  </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尺寸：不小于250mm×49mm×9mm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48</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条形盒测力计</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1．本产品为压力量程1N的条形盒测力计。</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2．主刻线长为7±1mm，辅刻线长为6±1mm。刻度线及字迹清晰、均匀、工整。在0刻及量程的1/5、2/5、3/5、4/5及满刻度处应有数字标出刻度值。指针覆盖刻线部分的宽度不大于0.5mm。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3．船形外壳：塑料制，一次冲压制成。刻度面板固定良好。外壳尺寸为36mm×151mm×20mm。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4．本产品应有零位校准机构。</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5．使用寿命应不少于10000次。</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49</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条形盒测力计</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量程：0～10N（牛顿）。</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100 </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50</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条形盒测力计</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1．本产品为压力量程约2.5N的条形盒测力计。</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2．主刻线长为7±1mm，辅刻线长为6±1mm。刻度线及字迹清晰、均匀、工整。在0刻及量程的1/5、2/5、3/5、4/5及满刻度处应有数字标出刻度值。指针覆盖刻线部分的宽度不大于0.5mm。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3．船形外壳：塑料制，一次冲压制成。刻度面板固定良好。外壳尺寸为36mm×151mm×20mm。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4．本产品应有零位校准机构。</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5．使用寿命应不少于10000次。</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51</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条形盒测力计</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量程5N</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52</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圆盘测力计</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量程：0～5N（牛顿）。 测量力的大小，可以测量各个方向的压力和拉力</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分度值为量程的1／50，零点平均示差不大于1／4分度，任一点的平均示差不大于1个分度，任一点的重复称量的最大示差不大于1／2分度。</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53</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拉压测力计</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最大试验负荷10N，负荷分度值0.2N，最小负荷5.0N，示值误差±1%，最大试验力时主轴行程10mm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54</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双向测力计</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双向测力计主要由左右对称的标尺、拉压弹簧、指针架、拉杆、托架、挂钩、限拉片等组成。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量程10N 5N-0-5N</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55</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演示测力计（非数字）</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0N～2N</w:t>
            </w:r>
            <w:r/>
          </w:p>
        </w:tc>
        <w:tc>
          <w:tcPr>
            <w:gridSpan w:val="2"/>
            <w:shd w:val="clear" w:color="auto" w:fill="auto"/>
            <w:tcMar>
              <w:left w:w="15" w:type="dxa"/>
              <w:top w:w="15" w:type="dxa"/>
              <w:right w:w="15" w:type="dxa"/>
            </w:tcMar>
            <w:tcW w:w="361"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高中数字演示电表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外壳采用工程塑料注塑成型，数字演示多用电表量程手动切换。其面板采用不干胶面贴，字符、标示显示清晰，单面显示。显示位数5位，测试功能键在数字演示多用电表的下面轻触可转换档。设置了测试电流过载时自动保护功能。</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1准确度：±（a %×读数＋字数），保证准确度环境温度：（23±5）℃，相对湿度&lt;75 %,</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w:t>
            </w:r>
            <w:r>
              <w:rPr>
                <w:rFonts w:hint="eastAsia" w:ascii="宋体" w:hAnsi="宋体" w:cs="宋体"/>
                <w:color w:val="auto"/>
                <w:sz w:val="18"/>
                <w:szCs w:val="18"/>
                <w:highlight w:val="none"/>
                <w:lang w:val="en-US" w:eastAsia="zh-CN" w:bidi="ar"/>
              </w:rPr>
              <w:t xml:space="preserve">数</w:t>
            </w:r>
            <w:r>
              <w:rPr>
                <w:rFonts w:hint="eastAsia" w:ascii="宋体" w:hAnsi="宋体" w:cs="宋体"/>
                <w:color w:val="auto"/>
                <w:sz w:val="18"/>
                <w:szCs w:val="18"/>
                <w:highlight w:val="none"/>
                <w:lang w:bidi="ar"/>
              </w:rPr>
              <w:t xml:space="preserve">显，数码管高度为57mm，最大显示19999（4 1／2）位自动极性显示；量程显示和测量单位显示采用</w:t>
            </w:r>
            <w:r>
              <w:rPr>
                <w:rFonts w:hint="eastAsia" w:ascii="宋体" w:hAnsi="宋体" w:cs="宋体"/>
                <w:color w:val="auto"/>
                <w:sz w:val="18"/>
                <w:szCs w:val="18"/>
                <w:highlight w:val="none"/>
                <w:lang w:val="en-US" w:eastAsia="zh-CN" w:bidi="ar"/>
              </w:rPr>
              <w:t xml:space="preserve">数显</w:t>
            </w:r>
            <w:r>
              <w:rPr>
                <w:rFonts w:hint="eastAsia" w:ascii="宋体" w:hAnsi="宋体" w:cs="宋体"/>
                <w:color w:val="auto"/>
                <w:sz w:val="18"/>
                <w:szCs w:val="18"/>
                <w:highlight w:val="none"/>
                <w:lang w:bidi="ar"/>
              </w:rPr>
              <w:t xml:space="preserve">。</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3、超量程显示：“1”或0000。</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4、功能测试包括 : 直流电压（1mV～500V）,直流电流（1uA～10A）,交流电压（1mV～500V）,交流电流（1uA～10A）</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5、过载保护：各个量程档，当过载时，自动保护，过载显示1。</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57</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绝缘电阻表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500V。额定电压：500V，测量电阻范围：0～500MΩ</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58</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直流电流表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2.5级，0.6A，3A。；测量范围：—0.2A—0—0.6A; —1A—0—3A。</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只</w:t>
            </w:r>
            <w:r/>
          </w:p>
        </w:tc>
        <w:tc>
          <w:tcPr>
            <w:gridSpan w:val="2"/>
            <w:shd w:val="clear" w:color="auto" w:fill="auto"/>
            <w:tcMar>
              <w:left w:w="15" w:type="dxa"/>
              <w:top w:w="15" w:type="dxa"/>
              <w:right w:w="15" w:type="dxa"/>
            </w:tcMar>
            <w:tcW w:w="375"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59</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直流电压表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2.5级，3V，15V。. 测量范围—1V—0—3V; —5V—0—15V。灵敏度：伏特级1mA。</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只</w:t>
            </w:r>
            <w:r/>
          </w:p>
        </w:tc>
        <w:tc>
          <w:tcPr>
            <w:gridSpan w:val="2"/>
            <w:shd w:val="clear" w:color="auto" w:fill="auto"/>
            <w:tcMar>
              <w:left w:w="15" w:type="dxa"/>
              <w:top w:w="15" w:type="dxa"/>
              <w:right w:w="15" w:type="dxa"/>
            </w:tcMar>
            <w:tcW w:w="375"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60</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灵敏电流计</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±300μA</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只</w:t>
            </w:r>
            <w:r/>
          </w:p>
        </w:tc>
        <w:tc>
          <w:tcPr>
            <w:gridSpan w:val="2"/>
            <w:shd w:val="clear" w:color="auto" w:fill="auto"/>
            <w:tcMar>
              <w:left w:w="15" w:type="dxa"/>
              <w:top w:w="15" w:type="dxa"/>
              <w:right w:w="15" w:type="dxa"/>
            </w:tcMar>
            <w:tcW w:w="375"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61</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多用电表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准确度等级：DC电流、电压电阻2.5级，AC电压5级。灵敏度：DC：5KΩ/V     AC：2.5KΩ/V。测量范围： 直流电流0~1mA~10mA~100mA直流电压   2.5v~10v~50v~250v~500v 交流电压2.5v~10v~50v~250v~500v电    阻   R×1、R×10、R×100、R×1K中心电阻   15Ω、150Ω、1.5KΩ、15KΩ</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只</w:t>
            </w:r>
            <w:r/>
          </w:p>
        </w:tc>
        <w:tc>
          <w:tcPr>
            <w:gridSpan w:val="2"/>
            <w:shd w:val="clear" w:color="auto" w:fill="auto"/>
            <w:tcMar>
              <w:left w:w="15" w:type="dxa"/>
              <w:top w:w="15" w:type="dxa"/>
              <w:right w:w="15" w:type="dxa"/>
            </w:tcMar>
            <w:tcW w:w="375"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62</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多用电表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数字式，4—1/2位，电压﹑电流﹑电阻﹑温度测试﹑频率测试﹑电容﹑二极管测试</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63</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交流电流表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300/5A 非直接式</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只</w:t>
            </w:r>
            <w:r/>
          </w:p>
        </w:tc>
        <w:tc>
          <w:tcPr>
            <w:gridSpan w:val="2"/>
            <w:shd w:val="clear" w:color="auto" w:fill="auto"/>
            <w:tcMar>
              <w:left w:w="15" w:type="dxa"/>
              <w:top w:w="15" w:type="dxa"/>
              <w:right w:w="15" w:type="dxa"/>
            </w:tcMar>
            <w:tcW w:w="375"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64</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演示电流电压表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2.5级,教学用指针式电表 </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65</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演示微电流电阻表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微量直流检流，直流电压，电阻测量, 教学用指针式电表 </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66</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教学示波器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扫描范围：10HZ～100kHZ教学用单踪阴极射线示波器</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67</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电阻箱</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阻值可调范围0～9999Ω ，最小步进值1Ω 。外形尺寸150mm×120mm×60mm，电阻箱采用密封结构，外壳用PC塑料制成，电器开关部分采用PPT耐高温塑料制成，旋钮上标有三角形红色指示，颜色亮丽，外形美观大方，性能可靠。</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68</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电阻箱</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阻值可调范围0～99999.9Ω ，最小步进值0.1Ω 。外形尺寸180mm×135mm×70mm，电阻箱采用密封结构，外壳用PC塑料制成，电器开关部分采用PPT耐高温塑料制成，旋钮上标有三角形红色指示</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69</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携式直流单双臂电桥</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实验套件、配合教材供教师授课使用</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70</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微电流放大器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一路输入。低阻抗输入，放大倍数约一千倍。两路用于传感器，分别为电流型放大输出和电压型放大输出</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71</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虚拟电子测试仪器系统</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实验套件、配合教材供教师授课使用</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72</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湿度计</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指针式，由铁皮外壳、玻璃面罩、游丝、指针、刻度盘组成。铁皮外壳、外壳上装有悬挂装置。刻度盘为圆形，刻度盘厚度不小于1mm，直径不小于100mm。标有计量仪器标志。铁皮外壳、刻度盘的漆层附着牢固，不脱落，表面平整光滑、薄厚均匀，不应有剥落和露底。盘面印有0%～100%的刻度，最小分度值1%，刻度清晰，字迹清楚，示值允差±5%。指针转动灵活，无卡滞现象。</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73</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空盒气压表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800hPa～1060hPa，最小分度值1hPa，误差≤2.0hPa800～1060hpa，最小分度值1hpa，误差≤±2.0hpa</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74</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露点测定器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实验套件、配合教材供教师授课使用</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75</w:t>
            </w:r>
            <w:r/>
          </w:p>
        </w:tc>
        <w:tc>
          <w:tcPr>
            <w:gridSpan w:val="2"/>
            <w:shd w:val="clear" w:color="auto" w:fill="auto"/>
            <w:tcMar>
              <w:left w:w="15" w:type="dxa"/>
              <w:top w:w="15" w:type="dxa"/>
              <w:right w:w="15" w:type="dxa"/>
            </w:tcMar>
            <w:tcW w:w="821"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量角器(圆等分器)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由塑料注塑成型,色泽为黄色。量角器中间位置设有可拆卸画线工作手把</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1）外形尺寸：500mm×282mm×10（±0.2）mm2）有效工作尺寸为500mm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3）有效测量角度为0～180）手把实际高度52 mm、长度119mm，公差±0.1mm5）量角器直边印有0～50cm刻线6）每0.5cm一小格7）每1cm一中格8）每5cm一长格9）每10cm一长格，并标有以10为单位的读数值10）顺时针方向和逆时针方向均印有0～180°数字读数值11）角度分度格线为每1°为一小格12）每5°为一长格13）每10°为一长格，并标有以10°为单位和角度读数值</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76</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惯性演示器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由底座、钢球、圆片、弹簧钢片、立柱、底座等组成。底座为金属制，颜色呈蓝色。尺寸：约130mm×90mm×12mm。钢球直径约16mm。弹片由厚约0.6mm弹簧钢制成，表面防锈处理。立柱高45mm,直径为16mm,柱端有盛球的圆孔，圆孔直径约16mm。圆片直径约25mm，中心有盲孔，用细线固定于底座。</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77</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摩擦计</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1、产品由摩擦板和摩擦块组成。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 技术要求2.1 摩擦板和摩擦块均由经过脱脂、干燥处理，几何变形小、不易断裂、质地坚韧、细滑的优质木料制成，摩擦面无断、裂、节。2.2 摩擦板为</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500X45X10mm的木板，平面变形不大于1mm，摩擦面及其背面不涂漆。2.3 摩擦块为</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100X40X30mm的木块，质量为50g±2。摩擦面为</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100X40mm和100x30mm各一面，要求平直不上漆。大摩擦面的背面打有两个钩码孔，一端面质心线上有挂线钧。</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78</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螺旋弹簧组</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1、由钢丝绕成的螺旋弹簧2种一组组成；2、2种螺旋弹簧拉力限量分别为：5N、3N；3、表面镀镍防护，弹簧上端为圆环，下端有三角片，杆勾，指针组成。</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组</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79</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螺旋弹簧组</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由弹簧、指针、挂钩等组成。由钢丝绕成的螺旋弹簧表面电镀，5种为一组，其工作极限负荷分别为5N、3N、2N、1N、0.5N。3． 弹簧刚度选取分别为：5N为0.025N/mm，3N为0.015N/mm，2N为0.01N/mm，1N为0.005N/mm，0.5N为0.0025N/mm。4． 弹簧伸长长度200mm，分别达到5N、3N、2N、1N、0.5N拉力，其误差不大于2％。</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只</w:t>
            </w:r>
            <w:r/>
          </w:p>
        </w:tc>
        <w:tc>
          <w:tcPr>
            <w:gridSpan w:val="2"/>
            <w:shd w:val="clear" w:color="auto" w:fill="auto"/>
            <w:tcMar>
              <w:left w:w="15" w:type="dxa"/>
              <w:top w:w="15" w:type="dxa"/>
              <w:right w:w="15" w:type="dxa"/>
            </w:tcMar>
            <w:tcW w:w="375"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80</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帕斯卡球</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1.圆球由金属材料制成，直径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φ80mm，表面光洁度不低于▽5，圆球壁厚不小于3mm，容积约0.2升。 2.气筒由合金铝管制成，直径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φ25mm，长度</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200mm，气筒盖滚花。气筒与气筒盖的表面进行防锈处理。 3.活塞（牛皮碗或橡皮碗）应与气筒配套，松紧适当。活塞杆直径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φ6mm，长度</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250mm。表面镀铬，上端装有手柄。 4.铜质喷咀10个，喷咀孔内径0．4mm～0．6mm，喷咀分布在球体表面各个方向上。喷咀外表面有沟槽，以便扎接薄膜。 5.气筒与圆球同轴连接，连接处应加垫圈密封。 6.圆球装满水后，推动活塞，各喷阻的压力基本相同。 7.气筒与球体、喷咀与球体连接处、活塞与气筒壁接触处，不得漏水。</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81</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摩擦力演示器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供中学物理教学演示滑动摩擦力、静摩擦力存在、大小决定因素等实验用。产品由主机、演示测力计2N、支撑架摩擦块等组成。1.工作电压：220V 50Hz</w:t>
            </w:r>
            <w:r>
              <w:rPr>
                <w:rFonts w:hint="eastAsia" w:ascii="宋体" w:hAnsi="宋体" w:cs="宋体"/>
                <w:color w:val="auto"/>
                <w:sz w:val="18"/>
                <w:szCs w:val="18"/>
                <w:highlight w:val="none"/>
                <w:lang w:eastAsia="zh-CN" w:bidi="ar"/>
              </w:rPr>
              <w:t xml:space="preserve">（</w:t>
            </w:r>
            <w:r>
              <w:rPr>
                <w:rFonts w:hint="eastAsia" w:ascii="宋体" w:hAnsi="宋体" w:cs="宋体"/>
                <w:color w:val="auto"/>
                <w:sz w:val="18"/>
                <w:szCs w:val="18"/>
                <w:highlight w:val="none"/>
                <w:lang w:val="en-US" w:eastAsia="zh-CN" w:bidi="ar"/>
              </w:rPr>
              <w:t xml:space="preserve">±10%）</w:t>
            </w:r>
            <w:r>
              <w:rPr>
                <w:rFonts w:hint="eastAsia" w:ascii="宋体" w:hAnsi="宋体" w:cs="宋体"/>
                <w:color w:val="auto"/>
                <w:sz w:val="18"/>
                <w:szCs w:val="18"/>
                <w:highlight w:val="none"/>
                <w:lang w:bidi="ar"/>
              </w:rPr>
              <w:t xml:space="preserve">；2.电机功率</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50W；3.调速：无极调速；4.主机外壳采用冷轧板冲压成型，表面烤漆处理，外形尺寸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310mm×90mm×100mm。4.摩擦块为木质，中心有一沉孔，直径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27mm，深</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10mm，外形尺寸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80mm×45mm×22mm。两边有限位。</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82</w:t>
            </w:r>
            <w:r/>
          </w:p>
        </w:tc>
        <w:tc>
          <w:tcPr>
            <w:gridSpan w:val="2"/>
            <w:shd w:val="clear" w:color="auto" w:fill="auto"/>
            <w:tcMar>
              <w:left w:w="15" w:type="dxa"/>
              <w:top w:w="15" w:type="dxa"/>
              <w:right w:w="15" w:type="dxa"/>
            </w:tcMar>
            <w:tcW w:w="821"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微小形变演示器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产品主要由支架、形变板、刻度板、杠杆放大机构、槽码及挂盘等组成。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  支架采用冷轧铁板加工表面喷塑处理、形变板采用有机玻璃，板面平整光滑，无翘曲变形，两支承杆距离不小于300mm。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  仪器应有调零装置。</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  槽码不少于2个，质量为200g±10g。</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  教学演示效果明显。</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83</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力的合成分解演示器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产品主要由分度坐标盘、汇力环、测力计、调节器、滑轮、滑轮夹、主杆、底座等组成。分度左边盘尺寸为</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270mm×16mm。测力计量程约10N。主杆尺寸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12×370mm，底座直径为</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250mm，水平高度可通过三个脚进行调节。</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84</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高中静力学演示教具</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由塑料约4块地板、滑轮、三角型支架、带刻度的圆盘等组成，可完成高中静力学的所有试验。内用珍珠棉定位包装，外箱木质，并佩戴提手，提手内部为材质钢外用pvc塑料包括及卡锁</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85</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高中力学演示板</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由塑料约4块地板、滑轮、三角型支架、带刻度的圆盘等组成，通过仪器各组件插在底板表面，配合示图进行教学，可完成高中高中力学的大部分试验。仪器的部件多为塑料压制成型。内用珍珠棉定位包装，外箱木质，并佩戴提手，提手内部为材质钢外用pvc塑料包括及卡锁</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86</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滚摆</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滚摆由摆体（摆轮和摆轴）、悬线、支柱、横梁和底座组成。2． 摆轮直径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Φ125mm。摆轴直径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8mm，长</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160mm，轴上两个穿线孔距离</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140mm，穿线孔径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1.5mm。支柱高</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400mm，横梁长</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240mm。3． 摆体（摆轮和摆轴）重约0.65Kg4． 摆轴对摆轮的垂直度公差为0.25mm。5． 摆轴应粗细均匀。轴上二穿线孔对于摆轮的对称公差为0.5mm。6． 摆体重心偏移轴线公差为0.45mm。7． 摆轴镀铬。底座稳固、表面涂漆，支柱表面镀铬。所有材料均为金属制。</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87</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离心轨道</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产品由钢球、环形轨道及底座组成。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轨道成型规则圆滑，无锈蚀，球体在轨道上运动无阻滞、跳动或脱轨现象。</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 底座站立可靠，在水平台上放置平稳。</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88</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曲线运动速度方向演示器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由可拼接的铝合金“S”形轨道、钢球、钢球释放装置等组成。小钢球能够在轨道内自由滚动。</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89</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手摇离心转台</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转台由机座、主动轮（附摇柄）和从动轮等组成。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机座材料为铸铁，配有橡胶脚，平放、立放均平稳可靠。</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主动轮直径约φ240mm，从动轮直径约φ40mm。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主动轮和从动轮的中心距可调节。</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90</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电动离心转台</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产品为分4段可调式。主要由电机、调速器、底板、底脚、套管、支架、电源线等组成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技术参数：</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电机功率</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85W</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最高转速</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1150r/min</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使用电源电压:220V 50Hz</w:t>
            </w:r>
            <w:r>
              <w:rPr>
                <w:rFonts w:hint="eastAsia" w:ascii="宋体" w:hAnsi="宋体" w:cs="宋体"/>
                <w:color w:val="auto"/>
                <w:sz w:val="18"/>
                <w:szCs w:val="18"/>
                <w:highlight w:val="none"/>
                <w:lang w:eastAsia="zh-CN" w:bidi="ar"/>
              </w:rPr>
              <w:t xml:space="preserve">（</w:t>
            </w:r>
            <w:r>
              <w:rPr>
                <w:rFonts w:hint="eastAsia" w:ascii="宋体" w:hAnsi="宋体" w:cs="宋体"/>
                <w:color w:val="auto"/>
                <w:sz w:val="18"/>
                <w:szCs w:val="18"/>
                <w:highlight w:val="none"/>
                <w:lang w:val="en-US" w:eastAsia="zh-CN" w:bidi="ar"/>
              </w:rPr>
              <w:t xml:space="preserve">±10%）</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可与离心机械模、离心球、离心环、离心分液器、发音齿轮等型配套使用。</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91</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毛钱管(牛顿管)</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由长度</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1100mm 外径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46mm一端由工程塑料封闭，另一端带有活动的铜阀门组成。管内含有：直径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8mm刚球 、羽毛1根、直径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8mm木球 各一</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92</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伽利略理想斜面演示器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仪器为工程塑料制作制成，由基座，斜面轨道，斜面调节块、护球器、高度标尺、钢球、支脚、水准器和调平衡支架组成。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其中一端高度可连续升降，连接曲面过度光滑</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技术参数：</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轨道长度</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1200mm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斜面轨道可调高度：0～150mm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钢球：φ</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22mm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93</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运动合成分解演示器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用于高中物理数学中关于运动合成和分解的演示，可做匀速-匀速、匀速-匀加速运动合成。产品由小车、画板、画笔、X向传动装置、Y向传动装置、控制系统部分等组成。仪器外形尺寸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403mm×365mm×120mm。整个面板由金属制作，面板上标有0-25cm刻度，Y向透明标尺部分附0-18cm刻度。画板尺寸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25cm×19cm。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94</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演示轨道小车</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利用电火花计时器计时，车拖纸带式，打点有效距离大于900mm，轨道采用铝合金制成，表面氧化处理，带有卡槽方便电火花计时器安装调试，并带有释放装置，另一头带有带有扑捉装置。</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95</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轨道小车</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利用电火花计时器计时，车拖纸带式，打点有效距离大于600mm，轨道采用铝合金制成，表面氧化处理，带有卡槽及纸袋架方便电火花计时器安装调试，并带有释放装置，另一头带有带有滑轮及扑捉装置。</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96</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演示斜面小车</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1、整体是由斜面板、底板、小车砝码、支撑杆摩擦块各滑轮支架组成。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2、斜面板：木质材料，全长</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1.2米，表面光滑平直，不变形。                                             3、底板：长</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800mm，边上装有调节螺杆。                 </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4、支架滑轮：滑轮</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φ45mm，支架高度</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43mm，都是塑料注塑而成。                                         5、小车：塑料外壳，基本尺寸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101mm*62mm*40mm,内部带两块长</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34mm铁块，车轮用螺丝铁杆固定，是自由滑动。                                                </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6、摩擦块：木质材料，尺寸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99mm*80mm*37mm,顶部打有4个φ</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27.5*13mm孔，右侧打有2个φ</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27*6mm孔</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97</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斜面小车</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由木板、滑块、小车、重物桶、滑轮等组成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木板长</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810mm宽100mm厚度16mm一段安装有活动的滑轮，另一端装有护板的实木制成，其中一面印有精度5mm的刻度尺，。</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滑块由实木制成其尺寸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100*80*40mm，其中两面有4个与2个圆柱形槽孔用于放置砝码。</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小车优质工程塑料注塑成型，其尺寸为</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100*70*40mm车身有凹槽可放置砝码，前端有挂钩，后端有安装纸带装置。</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重物桶工程塑料注塑成型带盖可桶身带有小孔，用于穿线。</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98</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气垫导轨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铝制轨道，长度</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1.2m ，滑块</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150mm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产品由导轨、导轨支座、滑行器及有关实验附件组成。导轨采用铝合金型材制作，导轨工作面长度</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1200mm，导轨工作面夹角：90°，导轨一侧斜面筋上设有刻度尺，刻度尺全长1200mm，最小分度值为1mm，每10mm标注刻度数字。导轨脚距</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700mm，导轨进气口外径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φ30mm，导轨底部设有两个支座、一个支座为单脚支座，高度不可调，另一个为双脚支座，双脚支座上设有两只调节螺钉，用来调节导轨的纵向水平及横向水平；滑行器采用铝合金制作，长度</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120mm。实验附件包括：挡光片（</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100mm,50mm,30mm各2片）6片、挡光条（</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5mm）2个、紧固螺钉（M4×10mm）17只、滑轮2个、滑轮架1个、加重砝码（50g±0.5g，100g±1g各4个）、U形弹射器2个、圆形弹射器2个、挂钩架2个、牵引线3米、座架4个、橡皮泥1块、三定律弹射器1个、砝码桶1个、振子弹簧2个、光电门架2个、起始板1个、钢丝针（φ0.5mm）2根、固定螺钉（M4×25mm）2个、橡皮筋4根。仪器要求气源：风压＞5800Pa。</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99</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小型气源</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性能:1电源220V、50Hz </w:t>
            </w:r>
            <w:r>
              <w:rPr>
                <w:rFonts w:hint="eastAsia" w:ascii="宋体" w:hAnsi="宋体" w:cs="宋体"/>
                <w:color w:val="auto"/>
                <w:sz w:val="18"/>
                <w:szCs w:val="18"/>
                <w:highlight w:val="none"/>
                <w:lang w:eastAsia="zh-CN" w:bidi="ar"/>
              </w:rPr>
              <w:t xml:space="preserve">（</w:t>
            </w:r>
            <w:r>
              <w:rPr>
                <w:rFonts w:hint="eastAsia" w:ascii="宋体" w:hAnsi="宋体" w:cs="宋体"/>
                <w:color w:val="auto"/>
                <w:sz w:val="18"/>
                <w:szCs w:val="18"/>
                <w:highlight w:val="none"/>
                <w:lang w:val="en-US" w:eastAsia="zh-CN" w:bidi="ar"/>
              </w:rPr>
              <w:t xml:space="preserve">±10%）</w:t>
            </w:r>
            <w:r>
              <w:rPr>
                <w:rFonts w:hint="eastAsia" w:ascii="宋体" w:hAnsi="宋体" w:cs="宋体"/>
                <w:color w:val="auto"/>
                <w:sz w:val="18"/>
                <w:szCs w:val="18"/>
                <w:highlight w:val="none"/>
                <w:lang w:bidi="ar"/>
              </w:rPr>
              <w:t xml:space="preserve">2温度：-10~+40℃ 3相对湿度：不大于80％。4所有气垫导孔孔径不小于0.8mm,孔数不小于150个。5工作时间不小于60分钟，外壳温升不大于35℃。    </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100</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牛顿第二定律演示仪</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仪器由铝合金双轨道、两部小车、两个砝码桶等组成</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101</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牛顿第二定律实验仪</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牛顿第二定律实验仪</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102</w:t>
            </w:r>
            <w:r/>
          </w:p>
        </w:tc>
        <w:tc>
          <w:tcPr>
            <w:gridSpan w:val="2"/>
            <w:shd w:val="clear" w:color="auto" w:fill="auto"/>
            <w:tcMar>
              <w:left w:w="15" w:type="dxa"/>
              <w:top w:w="15" w:type="dxa"/>
              <w:right w:w="15" w:type="dxa"/>
            </w:tcMar>
            <w:tcW w:w="821"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反冲运动演示器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可演示液体及空气反冲。</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构成：由底板、上梁、旋转体（盛水槽）、喷嘴、立柱、水嘴、漏水斗、水管等组成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整机尺寸：220X178X230mm  ±2mm 长x宽x高</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液体反冲启动旋转所用液体不大于100mL，盛满水旋转时间不小于1分钟。</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气体反冲时气体压力不大于0.3兆帕，用嘴吹可轻松旋转。</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包装状态下尺寸</w:t>
            </w:r>
            <w:r>
              <w:rPr>
                <w:rFonts w:hint="eastAsia" w:ascii="宋体" w:hAnsi="宋体" w:cs="宋体"/>
                <w:color w:val="auto"/>
                <w:sz w:val="18"/>
                <w:szCs w:val="18"/>
                <w:highlight w:val="none"/>
                <w:lang w:eastAsia="zh-CN" w:bidi="ar"/>
              </w:rPr>
              <w:t xml:space="preserve">：</w:t>
            </w:r>
            <w:r>
              <w:rPr>
                <w:rFonts w:hint="eastAsia" w:ascii="宋体" w:hAnsi="宋体" w:cs="宋体"/>
                <w:color w:val="auto"/>
                <w:sz w:val="18"/>
                <w:szCs w:val="18"/>
                <w:highlight w:val="none"/>
                <w:lang w:bidi="ar"/>
              </w:rPr>
              <w:t xml:space="preserve">225mmX150mmX235mm ±2mm （长x宽x高）</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整机净重：约570克</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包装状态下重量：约730克</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103</w:t>
            </w:r>
            <w:r/>
          </w:p>
        </w:tc>
        <w:tc>
          <w:tcPr>
            <w:gridSpan w:val="2"/>
            <w:shd w:val="clear" w:color="auto" w:fill="auto"/>
            <w:tcMar>
              <w:left w:w="15" w:type="dxa"/>
              <w:top w:w="15" w:type="dxa"/>
              <w:right w:w="15" w:type="dxa"/>
            </w:tcMar>
            <w:tcW w:w="821"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超重失重演示器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记忆式。1  本仪器主要由可升降的指针式圆盘测力计、槽码和支架组成。支架上装有钢丝导轨、定滑轮、传动索、砝码吊袋、桌边夹等。2  指针式圆盘测力计上端有调零装置，刻度盘也可拨转。测力计有红色主指针、红色游标、蓝色游针。红色游标用以指示槽码静止时的重力；蓝色游标用以标定槽码在变速升降运动中对测力计的作用力。3  基本参数： 1) 测力计最大量程：2N（实验中槽码限挂1.5N内）。2) 测力计最小分度为0.02N。    </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 测力计误差：不大于0.02N。4) 槽码：共3个，每个重约50g。5) 测力计自重：约0.35kg4  外型尺寸：不小于250㎜×160㎜×60㎜。移动距离不小于1.5m,超重、失重加速度可调，灵敏测力计示数可见。4  外型尺寸：不小于250㎜×160㎜×60㎜。移动距离不小于1.5m,超重、失重加速度可调，灵敏测力计示数可见</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104</w:t>
            </w:r>
            <w:r/>
          </w:p>
        </w:tc>
        <w:tc>
          <w:tcPr>
            <w:gridSpan w:val="2"/>
            <w:shd w:val="clear" w:color="auto" w:fill="auto"/>
            <w:tcMar>
              <w:left w:w="15" w:type="dxa"/>
              <w:top w:w="15" w:type="dxa"/>
              <w:right w:w="15" w:type="dxa"/>
            </w:tcMar>
            <w:tcW w:w="821"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动能势能演示器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可完成半定量实验</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1、物体的动能跟质量和速度的关系</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2、物体的重力势能跟质量和高度的关系</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3、物体由于发生弹性形迹而具有的弹性势能。</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组成：由刻度板、轨道、钢球、底座、调平装置等组成。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刻度板由金属冲压而成，表面喷塑，PVC轨道及底部支撑架。</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105</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平抛竖落仪</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产品由仪器主体、释球板、撞击器和两颗钢球组成。长宽高尺寸分别</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133mm×70mm×180mm。仪器能被固定在物理支架上使用，也可放置在桌边使用。</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106</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平抛运动实验器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高中物理分组实验仪器，用于研究平抛物体的运动规律。由铝制导轨、钢球、玻璃球、重锤、安球槽、磁条、演示板、金属挡条和支脚螺丝等组成。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1.演示板上侧及左侧边缘表有互相垂直的两条标尺，最小刻度为5mm，上侧最大刻度为280mm,左侧最大刻度为300mm。演示板两侧附有金属挡条卡槽，共有约7个卡槽位置，挡条上附海绵条。</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2.铝合金型材轨道弯曲成型，平直段长度</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50mm，配钢球（直径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16mm），轨道配固定螺钉，上端有一夹持装置，可使钢球收放自如。</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3.金属质支座（规格</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340×130mm），支座上有三只调平螺钉，螺钉可调节支座高度。</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107</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平抛和碰撞实验器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全金属制作，表面喷塑</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可完成实验：</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研究平抛物体的运动，描绘平抛轨迹；求平抛初速度</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研究弹性碰撞中运量守恒和动能守恒</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主要由：图板、铝轨道、钢球、接球槽及支座等组成。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图板尺寸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340mm*340mm；轨道两端高度差</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80mm;轨道间距</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12mm；轨道平直长度</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50mm；钢球</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16mm。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108</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碰撞实验器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线质：精制鱼线               </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金属球：约5个，电镀金属球实心</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ABS塑材底座（支架电镀，底座烤漆）      </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90*75*95mm  球直径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10mm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109</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冲击摆实验器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1.产品应能供中学物理教学中学生分组进行“测定弹丸速度”的实验用，并可做平抛运动实验器。</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2.产品由弹簧枪、冲击摆、指示器、弹丸、底板及支架等组成。指示器、底板、支架为铁材质，已作防氧化处理。</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3.弹簧枪固定于底板上，由枪管、弹簧、枪栓、扳机等组成；发射出的弹丸可达到约5.4±0.25m/s、6.6±0.25m/s、7.7±0.30m/s三种不同的速度。</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4.底板尺寸为约400×120×13mm，支架高度约300mm。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5.指示器由角度盘、指针组成；角度盘最小角度为1°，最大角度为35°；指针力矩平衡，可随意停留在任一位置。</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6.弹丸为7.5±0.1gr的钢珠，射入摆块的命中率不低于95%。</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7.弹丸吸附于底板凹圆槽内，可避免配件的丢失。</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110</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运动频闪观测仪</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由机箱、背景刻度板、钢球释放电磁铁装置、频闪灯、频闪频率显示、成像装置、缓冲减振装置等组成。机箱全部采用金属材质制作。产品自带生产厂家的操作分析软件，分析软件安装在微机上，具备对各个实验中电磁铁的释放、频闪灯开关及频率调节、录像、慢放、截图、分析产生报表及各参数设置、工具、帮助文件等功能。背景刻度板上面印有厘米单位的刻度尺及坐标，方便观察运动量。频闪灯由若干个大功率的LED灯组成，由电脑控制及显示其频闪的频率及开关，并在机箱上显示频率，频闪调节范围：0-99</w:t>
            </w:r>
            <w:r>
              <w:rPr>
                <w:rFonts w:hint="eastAsia" w:ascii="宋体" w:hAnsi="宋体" w:cs="宋体"/>
                <w:color w:val="auto"/>
                <w:sz w:val="18"/>
                <w:szCs w:val="18"/>
                <w:highlight w:val="none"/>
                <w:lang w:bidi="ar"/>
              </w:rPr>
              <w:t xml:space="preserve">999.9Hz。成像装置由高清高速摄像头及支架组成。本产品可完成“物体自由落体”、“物体平抛”、“物体平抛与碰撞”、“自定义角度斜抛”、“匀加速等现象”等实验操作。其他性能：0.1Hz可调频闪光源，最大频率到99999.9Hz，高速USB数据通讯，自动数据处理与分析，支持视频的回放与轨迹的回放，多重数据的表现形式，所有功能电脑控制，运动规律清晰可见且不拖尾（在软件进行单帧播放时，实验钢球的运动轨迹清晰可见，无拖尾现象。），高清高速摄像机，显示屏界面设计合理且使用方便。利用打点生成轨迹等功能可产生坐标及报表。</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111</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向心力演示器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向心力演示器，数显型1.产品由可调节式支脚（4个）、控制面板、主机箱体、支架、光电门（2个）、摆球转动系统、摆球（大小各一个）等组成；2.控制面板上包括了计时数码面板、计圈数码面板、清零按钮、停止/计时按钮、转速调节开关、电源总开关；3.光电门分别套在上下两横杆上，光电门正面带透明的方框，方框内带红色刻度对比线；4.支架由左边立柱、上横杆及下横杆组成。左边立柱长</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 495mm，标有从上住下的0～30的刻度线；上横杆、下横杆长</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300mm，且均标有0～22的刻度线，最小刻度单位为1mm；左边立柱、上横杆及下横杆均为铝型材材质，其横截面大小</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30×30mm；5、摆球转动系统由电机等组成；6、计时数码面板、计圈数码面板所显示的字体应</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10mm宽</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20mm高；7、大、小摆球为经防氧化处理的金属球，且带细绳；大摆球直径为25±1mm,小摆球直径为20±1mm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112</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向心力演示器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1.本仪器由平台、电机、转臂、控制器、力传定钢球组成。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2.带有归零、校正、设置、锁定、启动等按钮。</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510*580*540mm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113</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向心力实验器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由套筒、弹簧、金属横臂、横臂挡板、变速盘、机座、脚垫、金属球、传动带、转动轮、手摇等组成。尺寸≥25*16*10cm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114</w:t>
            </w:r>
            <w:r/>
          </w:p>
        </w:tc>
        <w:tc>
          <w:tcPr>
            <w:gridSpan w:val="2"/>
            <w:shd w:val="clear" w:color="auto" w:fill="auto"/>
            <w:tcMar>
              <w:left w:w="15" w:type="dxa"/>
              <w:top w:w="15" w:type="dxa"/>
              <w:right w:w="15" w:type="dxa"/>
            </w:tcMar>
            <w:tcW w:w="821"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凹凸桥演示器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由塑钢框架、背板、模拟凹凸桥、调节旋钮等组成</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115</w:t>
            </w:r>
            <w:r/>
          </w:p>
        </w:tc>
        <w:tc>
          <w:tcPr>
            <w:gridSpan w:val="2"/>
            <w:shd w:val="clear" w:color="auto" w:fill="auto"/>
            <w:tcMar>
              <w:left w:w="15" w:type="dxa"/>
              <w:top w:w="15" w:type="dxa"/>
              <w:right w:w="15" w:type="dxa"/>
            </w:tcMar>
            <w:tcW w:w="821"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演示力矩盘</w:t>
            </w:r>
            <w:r/>
          </w:p>
        </w:tc>
        <w:tc>
          <w:tcPr>
            <w:shd w:val="clear" w:color="auto" w:fill="auto"/>
            <w:tcMar>
              <w:left w:w="15" w:type="dxa"/>
              <w:top w:w="15" w:type="dxa"/>
              <w:right w:w="15" w:type="dxa"/>
            </w:tcMar>
            <w:tcW w:w="3108" w:type="pct"/>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由塑料圆盘、底座、立杆、带线的插销6个组成。圆盘直径  270MM，盘面有四个同心圆，均匀分布若干个可以与插销配合的小孔。底座直径  250mm塑料材质中心由金属可以与立杆配合的嵌件，并带有螺孔用于调节平衡。立杆  直径12mm*长度240mm金属材质表面电镀。</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116</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动量传递演示器(碰撞球)</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长</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18cm，宽</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8cm，高</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18cm，挂有5只直径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20mm的钢球，5只钢球高度一致。</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520"/>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117</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微重力实验装置套装</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一.微重力实验装置</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微重力实验、自由落体坐标系和静止坐标系实验</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1.外形尺寸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680*680*1800mm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w:t>
            </w:r>
            <w:r>
              <w:rPr>
                <w:rFonts w:hint="eastAsia" w:ascii="宋体" w:hAnsi="宋体" w:cs="宋体"/>
                <w:color w:val="auto"/>
                <w:sz w:val="18"/>
                <w:szCs w:val="18"/>
                <w:highlight w:val="none"/>
                <w:lang w:bidi="ar"/>
              </w:rPr>
              <w:t xml:space="preserve">微重力实验装置由微重力环境和计算机数据处理装置两部分组成1、微重力实验环境结构:仪器由控制面板、起落台、光源、摄像机、静止坐标系、安装软件(光盘或移动U盘)、用于观察现象的配件等组成。2、计算机数据处理装置构成:笔记本电脑(自备)、双向传输接口控制模块组成和专用数据处理软件组成，完成对微重力环境的动作控制、自动采集相关数据，处理采集的数据及进行图像对比处理。可截取有效实验图像的播放，界面带测绘功能。微重力实验装置可与电脑进行双机通信的专用智能控制板连接，使得电脑中集成的软件能够与微重力实验装置进行实时通信。</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3.高精度数码频闪光源0～9999Hz连续可调。</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4.高速摄像机:焦距6mm，后焦距10.04，图象格式1/3连接座后焦12.5，孔径比1.2，尺寸直径30*35.2，最小拍摄距离0.2m，镜头结构3组4片，工作温度范围-20°℃～60°℃，视场角(对角1/351.131/4 39.51水平41.91 32.09，垂直32.09 24.39）</w:t>
            </w:r>
            <w:r>
              <w:rPr>
                <w:rFonts w:hint="eastAsia" w:ascii="宋体" w:hAnsi="宋体" w:cs="宋体"/>
                <w:color w:val="auto"/>
                <w:sz w:val="18"/>
                <w:szCs w:val="18"/>
                <w:highlight w:val="none"/>
                <w:lang w:bidi="ar"/>
              </w:rPr>
              <w:br/>
            </w:r>
            <w:r>
              <w:rPr>
                <w:rFonts w:hint="eastAsia" w:ascii="宋体" w:hAnsi="宋体" w:eastAsia="宋体" w:cs="宋体"/>
                <w:i w:val="0"/>
                <w:iCs w:val="0"/>
                <w:color w:val="auto"/>
                <w:sz w:val="18"/>
                <w:szCs w:val="18"/>
                <w:highlight w:val="none"/>
                <w:u w:val="none"/>
                <w:lang w:val="en-US" w:eastAsia="zh-CN" w:bidi="ar"/>
              </w:rPr>
              <w:t xml:space="preserve">▲</w:t>
            </w:r>
            <w:r>
              <w:rPr>
                <w:rFonts w:hint="eastAsia" w:ascii="宋体" w:hAnsi="宋体" w:cs="宋体"/>
                <w:color w:val="auto"/>
                <w:sz w:val="18"/>
                <w:szCs w:val="18"/>
                <w:highlight w:val="none"/>
                <w:lang w:bidi="ar"/>
              </w:rPr>
              <w:t xml:space="preserve">二.超导量子悬浮（圆盘测速）</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1.磁场与超导体间的特殊相互作用，部分磁场可穿透超导体，形成作用力，使超导浮子实现空中悬浮；​</w:t>
            </w:r>
            <w:r>
              <w:rPr>
                <w:rFonts w:hint="eastAsia" w:ascii="宋体" w:hAnsi="宋体" w:cs="宋体"/>
                <w:color w:val="auto"/>
                <w:sz w:val="18"/>
                <w:szCs w:val="18"/>
                <w:highlight w:val="none"/>
                <w:lang w:bidi="ar"/>
              </w:rPr>
              <w:br/>
            </w:r>
            <w:r>
              <w:rPr>
                <w:rFonts w:hint="eastAsia" w:ascii="宋体" w:hAnsi="宋体" w:eastAsia="宋体" w:cs="宋体"/>
                <w:i w:val="0"/>
                <w:iCs w:val="0"/>
                <w:color w:val="auto"/>
                <w:sz w:val="18"/>
                <w:szCs w:val="18"/>
                <w:highlight w:val="none"/>
                <w:u w:val="none"/>
                <w:lang w:val="en-US" w:eastAsia="zh-CN" w:bidi="ar"/>
              </w:rPr>
              <w:t xml:space="preserve">▲</w:t>
            </w:r>
            <w:r>
              <w:rPr>
                <w:rFonts w:hint="eastAsia" w:ascii="宋体" w:hAnsi="宋体" w:cs="宋体"/>
                <w:color w:val="auto"/>
                <w:sz w:val="18"/>
                <w:szCs w:val="18"/>
                <w:highlight w:val="none"/>
                <w:lang w:bidi="ar"/>
              </w:rPr>
              <w:t xml:space="preserve">2.装置铺设永磁体轨道（钕铁硼强磁体、轨道长度不少于 180cm），表面磁场≥2980Gs；浮子速度≥4cm/s（速度可调、悬浮高度≥2cm）；</w:t>
            </w:r>
            <w:r>
              <w:rPr>
                <w:rFonts w:hint="eastAsia" w:ascii="宋体" w:hAnsi="宋体" w:cs="宋体"/>
                <w:b/>
                <w:bCs/>
                <w:color w:val="auto"/>
                <w:sz w:val="18"/>
                <w:szCs w:val="18"/>
                <w:highlight w:val="none"/>
                <w:lang w:bidi="ar"/>
              </w:rPr>
              <w:br/>
            </w:r>
            <w:r>
              <w:rPr>
                <w:rFonts w:hint="eastAsia" w:ascii="宋体" w:hAnsi="宋体" w:cs="宋体"/>
                <w:color w:val="auto"/>
                <w:sz w:val="18"/>
                <w:szCs w:val="18"/>
                <w:highlight w:val="none"/>
                <w:lang w:bidi="ar"/>
              </w:rPr>
              <w:t xml:space="preserve">3.规格40*60*60cm（±2cm）。重量≥20Kg；</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4.配套软件：配备超导磁通穿透仿真实验软件，为实验分析与原理演示提供数字化支撑。​</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5.核心配件：满足实验操作与器件存放需求，包含矩形手持圆形永磁体和永磁体阵列、浮子（2 枚）及配套存储罐。​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6.实现要求：​可在永磁体矩阵和闭环永磁体轨道上开展浮子 360 度旋转、双浮子上下交错悬浮等教学演示；可在轨道上空实现稳定悬浮（3-5 分钟）；配套的超导磁通穿透仿真软件，涵盖磁场、频率、周期等核心参数的仿真分析功能；</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利用驱动模块实现对浮子执行加速等驱动操作，利用程序监控模块实时显示浮子运行速度。</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118</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音叉</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呈“Y”形的钢质发声器，45#钢经锻打而成，棱角整齐，表面镀铬。频率号以钢印载明。附木质共鸣箱两个，橡皮击槌一个，变频箍一个。 256Hz</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119</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音叉</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呈“Y”形的钢质发声器，45#钢经锻打而成，棱角整齐，表面镀铬。频率号以钢印载明。附木质共鸣箱两个，橡皮击槌一个，变频箍一个。 512Hz</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120</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纵波演示器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1、由支架、螺旋弹簧、振源及附件、连接杆和衬布等部件组成；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2、振子为圆柱体金属件。表面电镀，振子可在弹簧钢片上调整其高度；</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3、弹簧钢片应有足够瞧的长度和钢度，表面防锈处理。通赤改变振子的位置，其频率可调；</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4、螺旋弹簧需经防锈处理，有效圈数为180圈；</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5、支架为塑料注塑成型，无变形。连接后牢固可靠；</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6、衬布为白色；</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121</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声速测量仪</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1．产品要求说明声波分别在空气、液体、固体中的传播情况。</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2．产品由声源发生器、媒介容器、声波放大器等组成。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3．声源所发声音应清晰悦耳、动听。</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4．媒介容器应透明、无渗漏。</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5．声音放大器应不失真反映声源的声音，在声源关闭时应无任何杂音。</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6．声源发生器、声音放大器所用电源应有外接线柱，电源电压≤6V。</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122</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共振音叉</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本仪器为两支同效率音叉为一组，系用真快45#钢碳制成，棱角整齐，表面镀铬，其频率约440周/秒，叉枝截面</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6.5×16mm，音叉臂长约109mm，臂间距离</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17mm。有东北松制成的共鸣箱约一对，橡皮击槌约一个，改变频率的铜箍约一个。</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对</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123</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纵横波演示器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由支架、白布、弹簧、塑料球、金属感组成</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124</w:t>
            </w:r>
            <w:r/>
          </w:p>
        </w:tc>
        <w:tc>
          <w:tcPr>
            <w:gridSpan w:val="2"/>
            <w:shd w:val="clear" w:color="auto" w:fill="auto"/>
            <w:tcMar>
              <w:left w:w="15" w:type="dxa"/>
              <w:top w:w="15" w:type="dxa"/>
              <w:right w:w="15" w:type="dxa"/>
            </w:tcMar>
            <w:tcW w:w="821"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绳波演示器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本仪器用于研究在线上形成驻波的条件，证实横波在线上传播的速度与线之间的张力、单位线长的质量，以及线上波动频率的关系。</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使用电压AC220V  50HzZ </w:t>
            </w:r>
            <w:r>
              <w:rPr>
                <w:rFonts w:hint="eastAsia" w:ascii="宋体" w:hAnsi="宋体" w:cs="宋体"/>
                <w:color w:val="auto"/>
                <w:sz w:val="18"/>
                <w:szCs w:val="18"/>
                <w:highlight w:val="none"/>
                <w:lang w:eastAsia="zh-CN" w:bidi="ar"/>
              </w:rPr>
              <w:t xml:space="preserve">（</w:t>
            </w:r>
            <w:r>
              <w:rPr>
                <w:rFonts w:hint="eastAsia" w:ascii="宋体" w:hAnsi="宋体" w:cs="宋体"/>
                <w:color w:val="auto"/>
                <w:sz w:val="18"/>
                <w:szCs w:val="18"/>
                <w:highlight w:val="none"/>
                <w:lang w:val="en-US" w:eastAsia="zh-CN" w:bidi="ar"/>
              </w:rPr>
              <w:t xml:space="preserve">±10%）</w:t>
            </w:r>
            <w:r>
              <w:rPr>
                <w:rFonts w:hint="eastAsia" w:ascii="宋体" w:hAnsi="宋体" w:cs="宋体"/>
                <w:color w:val="auto"/>
                <w:sz w:val="18"/>
                <w:szCs w:val="18"/>
                <w:highlight w:val="none"/>
                <w:lang w:bidi="ar"/>
              </w:rPr>
              <w:t xml:space="preserve">电源采用分体式，可拆卸。面板安装有220V开关，220V指示灯，3位数码管，振幅调节旋钮，频率调节旋钮。背面印刷有绳波计算公式与图形。</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可演示横波、行波、驻波、模拟偏振。仪器由主机、固定横杆、三角支架、50g及20g砝码各一个、红线白线各一根等组成。主机面板安装有220V开关，220V指示灯，3位数码管，振幅调节旋钮，频率调节旋钮。背面印刷有绳波计算公式与图形。固定横杆上标有0-110厘米刻度线。</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125</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波动弹簧</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产品为扁钢丝弹簧，外径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80mm，高度</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120mm，圈数不小于180，两端为90°弯折半圆。</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126</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波动演示器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1.箱式</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50*20.5*26cm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3.有正、背两面分别能演示纵、横波的形成及传播</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4.2个装</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127</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发波水槽</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整机：</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185mm×235mm×210mm （长×宽×高）</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观察窗：</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290mm×230mm （长×宽）</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水槽：</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250mm×200mm×28mm （长×宽×深）</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光源盒：</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210mm×120mm×45mm  上下调到幅度不小于390mm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频率调节器：</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190mm×70mm×30mm（长×宽×高）上下调动不小于 40mm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128</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发波水槽</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仪器由水槽、振源及附件组成。水槽由透明有机玻璃制成，尺寸约280X280X30mm, 槽内四周放海绵用于防止反射波。振源由振荡电路、弹簧片连接器等组成。</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129</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弹簧振子</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1.长度</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29cm,由导轨，滑块，弹簧，刻度尺，进气管组成</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130</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弹簧振子</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由导轨、滑块、弹簧、刻度尺、进气管等组成。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导轨由工程塑料制成。呈倒“V”子型，上面布满小空，出气顺畅。</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滑块由工程塑料注塑而成，外表呈红色半透明。与弹簧一头连接，当有气时滑块在导轨上运行顺畅。</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刻度尺中间为0两边各约10cm刻度，精度约0.5cm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131</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弹簧振子振动图像描绘器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外形尺寸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350×240×105mm。本仪器由弹簧振子装置、高压脉冲装置、卷纸机构等三大部分组成。包括机壳（全新ABS工程塑料）、承纸轴、走纸轴、压纸轴、气垫导轨、滑块、弹簧、描绘笔（放电针）、纸卷、电源线、气源开关、描绘开关、描绘微调开关等组成，附送250V/1A保险丝1根。电源功率：≥50W。脉冲电压：≥10000V。</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描绘用纸（卷纸）：幅宽</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110mm、直径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50mm的热敏纸，共2卷。</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132</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简谐振动投影演示器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由金属机箱、白屏、激光器、六面镜等组成，通过激光照射六面镜投影到屏幕上显示正选曲线</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133</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匀速圆周运动投影器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匀速圆周运动投影器，由吊线横梁、吊线、吊杆、摆长调整器、电磁铁、小球、指示灯、电位器、电磁铁开关、机箱、转动盘、单摆球组成</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134</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单摆组</w:t>
            </w:r>
            <w:r/>
          </w:p>
        </w:tc>
        <w:tc>
          <w:tcPr>
            <w:shd w:val="clear" w:color="auto" w:fill="auto"/>
            <w:tcMar>
              <w:left w:w="15" w:type="dxa"/>
              <w:top w:w="15" w:type="dxa"/>
              <w:right w:w="15" w:type="dxa"/>
            </w:tcMar>
            <w:tcW w:w="3108" w:type="pct"/>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5个摆球。单摆组由五个摆球（其中钢球三</w:t>
            </w:r>
            <w:r>
              <w:rPr>
                <w:rFonts w:hint="eastAsia" w:ascii="宋体" w:hAnsi="宋体" w:cs="宋体"/>
                <w:color w:val="auto"/>
                <w:sz w:val="18"/>
                <w:szCs w:val="18"/>
                <w:highlight w:val="none"/>
                <w:lang w:bidi="ar"/>
              </w:rPr>
              <w:t xml:space="preserve">个，塑料球一个，有色金属球一个）、摆线和摆架组成。三个钢球中有两个质量相同，另一个质量较大；塑料球的直径与两个同质量的钢球相等；有色金属球的质量与两个同质量的钢球相等，体积不等。钢球表面镀铬抛光，无锈蚀；有色金属球表面经氧化处理，无锈蚀。大小相同,质量不同的各球直径差不大于0.1mm。所有摆球均沿直径方向钻孔，孔边圆滑，无毛刺。摆球钻螺纹孔，用螺钉固定摆线。每球附一根摆线,长度≥1200mm,线为轻质、结实、不易伸长的细线，无松散、无断丝。绕线架安装牢固、无锈蚀，可方便调节摆线长度,并能固定，保持摆长不变。</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绕线架距离合理，实验时摆球不易碰撞、摆线不易缠绕。</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线夹不易松脱，穿线孔孔口无毛刺，悬点明确，无松动。</w:t>
            </w:r>
            <w:r/>
          </w:p>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支架有足够刚性、无变形、无裂纹。  支杆有足够刚性、无锈蚀、装夹方便。</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组</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135</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单摆实验器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1.材质：金属、塑料</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2.摆球：27mm、20mm、20mm、12mm、12mm各一个</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组</w:t>
            </w:r>
            <w:r/>
          </w:p>
        </w:tc>
        <w:tc>
          <w:tcPr>
            <w:gridSpan w:val="2"/>
            <w:shd w:val="clear" w:color="auto" w:fill="auto"/>
            <w:tcMar>
              <w:left w:w="15" w:type="dxa"/>
              <w:top w:w="15" w:type="dxa"/>
              <w:right w:w="15" w:type="dxa"/>
            </w:tcMar>
            <w:tcW w:w="375"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136</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单摆振动图像演示器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由底座、单摆球、单摆角度板、立杆、电磁铁、走纸电机、保护罩等组成</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137</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单摆运动规律演示器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光电门计时，</w:t>
            </w:r>
            <w:r>
              <w:rPr>
                <w:rFonts w:hint="eastAsia" w:ascii="宋体" w:hAnsi="宋体" w:cs="宋体"/>
                <w:color w:val="auto"/>
                <w:sz w:val="18"/>
                <w:szCs w:val="18"/>
                <w:highlight w:val="none"/>
                <w:lang w:val="en-US" w:eastAsia="zh-CN" w:bidi="ar"/>
              </w:rPr>
              <w:t xml:space="preserve">尺寸≥</w:t>
            </w:r>
            <w:r>
              <w:rPr>
                <w:rFonts w:hint="eastAsia" w:ascii="宋体" w:hAnsi="宋体" w:cs="宋体"/>
                <w:color w:val="auto"/>
                <w:sz w:val="18"/>
                <w:szCs w:val="18"/>
                <w:highlight w:val="none"/>
                <w:lang w:bidi="ar"/>
              </w:rPr>
              <w:t xml:space="preserve">115cm*25cm，由横杆，标尺、底座等组成。</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138</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受迫振动和共振演示器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本仪器有支架. 5个摆长不等的塑料球.策动摆等组成。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支架及底座均采用冷轧板冲压而成，表面喷黑色塑粉。</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可演示受迫振动及演示振动现象</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技术参数：</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仪器尺寸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410mm×180mm×480mm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摆球：5个</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φ30实心塑料球</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重力球：钢</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φ20</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摆：可改变长度</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139</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共振演示器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本产品由电机、偏心轮、振子、弹簧、支架等组成。产品尺寸：约340mm×155mm×530mm。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140</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内聚力演示器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由两只带有金属挂钩的铅圆柱体组成，并配有挤压板和旋转式刮削器。2． 圆柱体直径φ</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20mm、长</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50mm。3． 铅的纯度不得低于99.9％。4． 铅圆柱体的有效使用长度不小于15mm。5． 挂钩镀铬。安装在圆柱体端面的中心。6． 圆柱体无砂眼气孔，表面漆层均匀、美观。7． 削平两圆柱体端面压接在一起后，承受纵向拉力不小于60牛顿。</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141</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空气压缩引火仪</w:t>
            </w:r>
            <w:r/>
          </w:p>
        </w:tc>
        <w:tc>
          <w:tcPr>
            <w:shd w:val="clear" w:color="auto" w:fill="auto"/>
            <w:tcMar>
              <w:left w:w="15" w:type="dxa"/>
              <w:top w:w="15" w:type="dxa"/>
              <w:right w:w="15" w:type="dxa"/>
            </w:tcMar>
            <w:tcW w:w="3108" w:type="pct"/>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1.空气压缩引火仪由手柄，桶盖，活塞，气缸，底座组成，高度  27cm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142</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双金属片</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由两层热膨胀系数不同的合金叠合而成。</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143</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气体做功内能减少演示器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用热敏电阻演示：1  用于中学物理和高中物理教学演示；2  结构：气泵  储气瓶  胶塞  底座  支架；3  技术要求：演示气体在膨胀时对外做功，气体内能减少，温度降低。</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144</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纸盘扬声器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1、初中物理演示仪器，本产品适用于中学物理实验使用。2、纸盘扬声器的直径不小于200mm，阻抗为8Ω，功率为5W ，动圈式。3、外观色调一致，表面整洁平整，无毛刺。</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145</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油膜实验器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由塑料盘、滴管、油酸等组成</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146</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浸润和不浸润现象演示器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由洁净的玻璃片、胶头滴管组成</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147</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液体表面张力演示器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由钢丝成型为六种不同几何形状的线框组成；分别为圆形线框：凸环形线框：三角体线框：正方体线框：收缩线框：双环线框</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148</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毛细现象演示器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由塑料盛液座、毛细管支架及五根内径大小不同的玻璃毛细管组成</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149</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伽尔顿板(道尔顿板)</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由漏斗、一组斜面、控制器、铜钉列阵、弧形导轨、木框、狭槽、钢珠、闸门、钢珠出口、钢珠盒、底脚等组成</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150</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气体定律实验器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1.由压力表、接头、固定架、体积标尺、内管、外管、橡皮帽、支架等</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151</w:t>
            </w:r>
            <w:r/>
          </w:p>
        </w:tc>
        <w:tc>
          <w:tcPr>
            <w:gridSpan w:val="2"/>
            <w:shd w:val="clear" w:color="auto" w:fill="auto"/>
            <w:tcMar>
              <w:left w:w="15" w:type="dxa"/>
              <w:top w:w="15" w:type="dxa"/>
              <w:right w:w="15" w:type="dxa"/>
            </w:tcMar>
            <w:tcW w:w="821"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玻意耳定律演示器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由金属底板、压力表、容器和阀门组成</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152</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盖·吕萨克定律演示器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由尺度板、橡皮塞、锥形瓶，红液温度计等组成</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153</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气压模拟演示器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产品主要由导向杆、配重块、透明筒、活动圆盘、塑料小球、振动板、底座、电机调速旋钮、电源接线柱、电源开关等组成</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154</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饱和水汽膨胀液化演示器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透明容器内能承受3个以上大气压，成雾明显，使用安全</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155</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玻棒(附丝绸)</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教师用，1.玻棒材质：有机玻璃、实心，</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14mm×300mm。2.丝绸尺寸应不小于360mm×360mm，桑蚕织品，颜色为本色或有机玻棒(附丝绸)，教师用</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对</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156</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胶棒(附毛皮)</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教师用，硬橡胶棒或聚碳酸酯棒(附毛皮)，毛皮为经过鞣制的猫皮、兔皮或羊羔皮。在规定工作条件下，用毛皮裹胶棒或聚碳酸酯棒做一次快速拉出，棒上所带电荷用指针式验电器检验，指针式验电器张角胶棒30°，聚碳酸酯棒45°。</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对</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157</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箔片验电器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本产品由外壳、圆球或圆盘、导电杆、箔片及中位卡组成。2． 外壳</w:t>
            </w:r>
            <w:r>
              <w:rPr>
                <w:rFonts w:hint="eastAsia" w:ascii="宋体" w:hAnsi="宋体" w:cs="宋体"/>
                <w:color w:val="auto"/>
                <w:sz w:val="18"/>
                <w:szCs w:val="18"/>
                <w:highlight w:val="none"/>
                <w:lang w:bidi="ar"/>
              </w:rPr>
              <w:t xml:space="preserve">应牢固、平整、底座平稳，透光部分应光洁透明，无气泡及划痕。3． 圆球或圆盘、导电杆及中位片用金属制成，镀铬抛光后，表面光洁无毛刺。安装后应紧固无松动及歪斜现象。4． 导电杆与外壳间应有绝缘套管，安装后应无明显缝隙，取下方便，不致损坏箔片。5． 金属箔片厚度不大于0.02mm，长度不小于25mm，带电时应能顺利张开，两边张角应对称，不飞翻弯曲，电荷消失后能完全回零。6． 在圆球或圆盘上加8KV的直流高压时，泊片的两边张开与中位片的角度应不小于45°。移去高压后，箔片张开角度保持30°以上的时间应不小于1分钟。</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对</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158</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指针验电器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产品由两只灵敏度相同的指针验电器组成。指针验电器由外壳、圆球或圆盘、导电杆、绝缘子、指针、指针架、接地线柱等构成。2． 壳体应连接牢固、平整周正，底座平稳，表面无明显划痕，壳体的演示面应有指针张开角度的刻度，如有活动门则门与壳体之间的配合应严密活动方便。3． 圆球或圆盘及导电杆用金属制成，镀铬抛光后，表面应光洁无毛刺。4． 圆球或圆盘</w:t>
            </w:r>
            <w:r>
              <w:rPr>
                <w:rFonts w:hint="eastAsia" w:ascii="宋体" w:hAnsi="宋体" w:cs="宋体"/>
                <w:color w:val="auto"/>
                <w:sz w:val="18"/>
                <w:szCs w:val="18"/>
                <w:highlight w:val="none"/>
                <w:lang w:bidi="ar"/>
              </w:rPr>
              <w:t xml:space="preserve">与导电杆之间用M4螺纹配合，装配后整体平整周正。5． 指针用薄金属片制成，长度不小于100mm，针体平直，表面光滑无毛刺，下部成箭头形，漆红色。6． 指针架用金属制成，镀铬抛光后表面光滑无毛刺。指针装在指针架上时，动作应灵敏可靠，不前后偏斜摇摆，电荷消失后应能顺利向零。7． 在圆球或圆盘上连接9KV直流高压电源的一极时，指针张开角度不小于45°，移去高压后，指针保持30°以上的时间应不小于10分钟。8． 本产品中两只验电器的指示灵敏度指针指示张角0°到60°范围内不得有明显的偏差。指针指示中不应有跳动现象。</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对</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159</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感应起电机</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在温度为20℃、相对湿度为65%的环境中，摇柄转速120转／分，火花放电距离不小于55mm。在温度为0～40℃范围，相对湿度小于80%的条件下，仪器应正常工作，火花放电距离不小于30mm。2． 起电盘采用直径275mm，厚3mm的有机玻璃板制成。3． 起电机两电梳之间采用无横梁、悬臂式结构。4． 底座采用绝缘性能优良的木</w:t>
            </w:r>
            <w:r>
              <w:rPr>
                <w:rFonts w:hint="eastAsia" w:ascii="宋体" w:hAnsi="宋体" w:cs="宋体"/>
                <w:color w:val="auto"/>
                <w:sz w:val="18"/>
                <w:szCs w:val="18"/>
                <w:highlight w:val="none"/>
                <w:lang w:bidi="ar"/>
              </w:rPr>
              <w:t xml:space="preserve">质材料制成。5． 起电盘径向跳动，两盘跳动量不大于1.5mm。6． 两盘盘面不平度应使起电盘在转动中两盘内侧任一点间距离不小于2.5mm，最大不超过5.5mm。7． 起电盘中心轴横向窜动量不大于1mm。手摇转柄轴横向窜动量不大于2mm。8． 起动盘转动应平稳灵活，在手摇转柄转速不大于120转／分的条件下，仪器无颤动现象。9． 电刷在起电盘上与铝箔接触良好。10． 电梳由针状金属杆或柬状裸铜丝制成。11． 起电盘上铝箔粘接整齐牢固。12． 莱顿瓶极板涂敷高度应不低于120mm，涂敷层牢固不得有划伤或局部脱落。</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160</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枕形导体</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 枕形导体由金属圆筒及半球、绝缘支杆底座组成。 将导体安装在绝缘支杆一端，另一端通过螺丝与底座紧固。</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副</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161</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小灯座</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1.小灯座由底板、接线柱、灯座等组成。 </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2.小灯座为螺旋式灯座。</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3.小灯座最高工作电压为36V，最大工作电流为2.5A。</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4.底座用黑色优质ABS工程塑料制成，表面平整光洁。外形尺寸约75×38×10mm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5.灯座用厚约0.5～0.6mm的铜片制做。灯座与两接线柱之间用宽大于5mm的铜片连接和灯座为一整体。</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6.小灯座上所有螺丝、螺母、垫片均为铜质。</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7.小电珠旋入后，接触良好可靠，无接触不良或短路。</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162</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单刀开关</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1.由底座，接线柱，闸刀，刀座，刀承和绝缘手柄组成。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2.底座：黑色塑料</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75mm×39mm×10mm  </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3.闸刀刀座采用铜片</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长50mm、宽8mm，厚0.6mm。工作电压不超过36V，工作电流不超过6A</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163</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滑动变阻器</w:t>
            </w:r>
            <w:r/>
          </w:p>
        </w:tc>
        <w:tc>
          <w:tcPr>
            <w:shd w:val="clear" w:color="auto" w:fill="auto"/>
            <w:tcMar>
              <w:left w:w="15" w:type="dxa"/>
              <w:top w:w="15" w:type="dxa"/>
              <w:right w:w="15" w:type="dxa"/>
            </w:tcMar>
            <w:tcW w:w="3108" w:type="pct"/>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1.规格：20Ω，2A；2.滑片为铜3.电阻圈采用康铜电阻丝缠绕4.支架采用铝制5.接线柱带有铁圈</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164</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滑动变阻器</w:t>
            </w:r>
            <w:r/>
          </w:p>
        </w:tc>
        <w:tc>
          <w:tcPr>
            <w:shd w:val="clear" w:color="auto" w:fill="auto"/>
            <w:tcMar>
              <w:left w:w="15" w:type="dxa"/>
              <w:top w:w="15" w:type="dxa"/>
              <w:right w:w="15" w:type="dxa"/>
            </w:tcMar>
            <w:tcW w:w="3108" w:type="pct"/>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1.规格：50Ω，1.5A2.滑片为铜3.电阻圈采用康铜电阻丝缠绕4.支架采用铝制5.接线柱带有铁圈</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165</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滑动变阻器</w:t>
            </w:r>
            <w:r/>
          </w:p>
        </w:tc>
        <w:tc>
          <w:tcPr>
            <w:shd w:val="clear" w:color="auto" w:fill="auto"/>
            <w:tcMar>
              <w:left w:w="15" w:type="dxa"/>
              <w:top w:w="15" w:type="dxa"/>
              <w:right w:w="15" w:type="dxa"/>
            </w:tcMar>
            <w:tcW w:w="3108" w:type="pct"/>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1.规格：200Ω，1.25A2.滑片为铜3.电阻圈采用康铜电阻丝缠绕4.支架采用铝制5.接线柱带有铁圈</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166</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电阻定律演示器</w:t>
            </w:r>
            <w:r/>
          </w:p>
        </w:tc>
        <w:tc>
          <w:tcPr>
            <w:shd w:val="clear" w:color="auto" w:fill="auto"/>
            <w:tcMar>
              <w:left w:w="15" w:type="dxa"/>
              <w:top w:w="15" w:type="dxa"/>
              <w:right w:w="15" w:type="dxa"/>
            </w:tcMar>
            <w:tcW w:w="3108" w:type="pct"/>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1.木底座2.接线柱8只3.金属丝4根，分别在两头用螺丝固定在相对应的接线柱上</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167</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电阻定律实验器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1.由镍铬丝（2根两根镍铬线为同一材质、同一规格的镍铬线，）、铜丝（1根）、铁丝（1根）、接线柱及塑料底板组成。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2.镍铬丝（2根，两根镍铬线为同一材质、同一规格的镍铬线）：直径Φ0.5±0.04mm，长度为500±2mm。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3.铜丝（1根）：直径Φ0.5±0.04mm，长度为500±2mm。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4.铁丝（1根）：直径Φ0.5±0.04mm，长度为500±2mm。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5.塑料底板外形尺寸为：540mm×135mm×20mm。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5.金属导线、接线柱与底板装接牢固、无松动现象。</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6.金属导线的材质在底板上有明显的标记。</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7.底板平整无变形。</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168</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演示线路实验板</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线路底板用工程塑料压制而成，宽度240mm±1mm，高度20mm±1mm，孔径尺寸φ6mm±0.2mm，孔心距离30mm±0.3mm。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紧固销用于底板拼合时应松紧适度，每块底板配备不少于6只。</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吊环拆卸应容易。三角支板用于是底板为支撑座将组装的演示板竖起。三角支板安装应松紧适度、拆卸方便。安装后，演示底板不应有明显晃动。三角支板由工程塑料制成。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各种插座插脚的直径为φ6±0.3mm，中心距为30mm的整数倍。</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169</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学生线路实验板</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高中学生组</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170</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单刀双掷开关</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工程一次注塑塑料底座，闸刀及连接片为铜，表面酸洗</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171</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焦耳定律演示器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本仪器由面板、密闭容器、气门螺帽、连接软管、U形玻璃管、高度标尺等组成</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172</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保险丝作用演示器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产品由面板及实验附件组成,面板上装有开关、交流电流表(5A)、灯座、保险丝接线柱、实验线路接线柱、电源输入接线柱等。</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2、面板上印有相应的实验电路图，电路图绘制正确，印刷清晰。</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3、实验附件包括0.5A、2A、保险丝各10个，15A保险丝1m；12V/21W灯泡1只，12V/8W小灯泡1只；；短路线 1根；康铜丝1根。</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4、使用12V6A电源。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5、产品能演示保险丝的作用（熔断）、保险丝的选用原则、线路短路特点和危险、用铜丝代替保险丝的危险性等实验。</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173</w:t>
            </w:r>
            <w:r/>
          </w:p>
        </w:tc>
        <w:tc>
          <w:tcPr>
            <w:gridSpan w:val="2"/>
            <w:shd w:val="clear" w:color="auto" w:fill="auto"/>
            <w:tcMar>
              <w:left w:w="15" w:type="dxa"/>
              <w:top w:w="15" w:type="dxa"/>
              <w:right w:w="15" w:type="dxa"/>
            </w:tcMar>
            <w:tcW w:w="821"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范氏起电机</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本仪器能产生几万伏高压电势，作为静电学科实验不可以缺少的仪器之一，用来演示电荷特性，电荷分布及对空气放电，尖端放电现象。</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二：主要参数</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1，电源：AC220/110V。</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2，功率：</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70W</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3，蓄电球直径：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200mm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4，放电球直径：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60mm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5，放电距离：大于60mm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6，整机体积：</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302*201*600mm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174</w:t>
            </w:r>
            <w:r/>
          </w:p>
        </w:tc>
        <w:tc>
          <w:tcPr>
            <w:gridSpan w:val="2"/>
            <w:shd w:val="clear" w:color="auto" w:fill="auto"/>
            <w:tcMar>
              <w:left w:w="15" w:type="dxa"/>
              <w:top w:w="15" w:type="dxa"/>
              <w:right w:w="15" w:type="dxa"/>
            </w:tcMar>
            <w:tcW w:w="821"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球形导体</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产品由底座、支杆和金属球体组成。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金属球体为表面镀镍（镀锌或镀铬）的金属空壳</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金属球直径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90mm，产品总成</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210mm。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175</w:t>
            </w:r>
            <w:r/>
          </w:p>
        </w:tc>
        <w:tc>
          <w:tcPr>
            <w:gridSpan w:val="2"/>
            <w:shd w:val="clear" w:color="auto" w:fill="auto"/>
            <w:tcMar>
              <w:left w:w="15" w:type="dxa"/>
              <w:top w:w="15" w:type="dxa"/>
              <w:right w:w="15" w:type="dxa"/>
            </w:tcMar>
            <w:tcW w:w="821"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验电器连接杆</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验电器连接杆，供物理静电实验中作活动的连接导体用。2 本产品由导电杆、绝缘与柄，压紧块及压紧螺钉组成。</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176</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移电球(验电球)</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产品由绝缘手柄及金属球构成。绝缘手柄采用长</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130mm的塑料棒制作；金属球采用直径约20mm钢球，表面镀铬。金属球与绝缘手柄端面接触良好，螺接牢靠。</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177</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验电羽</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产品由圆底座、支架、丝线等组成，每套配不少于两只。</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圆底座直径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70mm，产品总高</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120mm。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对</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178</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验电幡</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本产品的构造：一面长方形的钢丝网，用三根绝缘支柱支起，绝缘支柱由三部分组成，为增加仪器的稳定，使用铁底座，绝缘部分用有机玻璃制成，支杆部分与钢丝网固定，使用完毕，可将其自绝缘支杆中插出，将盒保存。在钢丝网的二面悬挂着红色的丝线。在</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400MM长的铜线网上三面各悬挂约10条丝线。</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179</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尖形布电器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成品由塑料底座、绝缘杆、金属尖形导体组成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塑料底座直径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99mm，高</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40mm。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绝缘杆长</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88mm。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金属尖形导体长</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180mm。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180</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正负电荷检验器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本仪器采用高倍放大电路，灵敏度极高，并采用互锁电路，一旦其中一只发光管变亮另一只发光管就不会再亮，只有胡伟以后，仪器才能重新工作。</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本仪器用来检验摩擦起电后的电荷、电容等带电体的正负，以及演示静电感应，能在空气潮湿的环境下正常实验。</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本仪器外观尺寸：约130mm×60mm×90mm。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181</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静电实验箱</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外箱采用铝塑箱内部由海绵定位包装，便于收纳与存放，安全。</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可做实验有静电羽、静电屏蔽、静电除尘、静电植绒、静电乒乓、静电转轮等</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182</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金属网罩</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结构由金属网罩和绝缘底盘组成，金属网罩顶部有圆孔用来插入连接器。连接器上端附有φ约13mm金属球，下端有链条。金属底盘φ</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215mm,用绝缘支柱固定在底座上             </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实验演示静电平衡时，导体内部的电场强度等始零，从而说明静电屏蔽原理</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183</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电荷间作用力演示器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全部木质结构，</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用于演示电荷间的作用力的大小与电荷之间的距离以及电荷量的大小有关。</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184</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库仑定律演示器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全透明结构，工作原理：把摩擦棒放在绸布正面（即光面）上，稍用力来回摩擦摩擦棒，然后将摩擦棒放在导电金属环来回滑动几次，使摩擦棒的电荷充分传导在金属球上，带电球与碰球带有同种电荷，相互排斥，观察带电金属球与碰球的距离。用手持绝缘棒上的金属球接触一下带电金属球碰球与带电金属球的距离会减小一半。</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150*350mm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185</w:t>
            </w:r>
            <w:r/>
          </w:p>
        </w:tc>
        <w:tc>
          <w:tcPr>
            <w:gridSpan w:val="2"/>
            <w:shd w:val="clear" w:color="auto" w:fill="auto"/>
            <w:tcMar>
              <w:left w:w="15" w:type="dxa"/>
              <w:top w:w="15" w:type="dxa"/>
              <w:right w:w="15" w:type="dxa"/>
            </w:tcMar>
            <w:tcW w:w="821"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电场线演示器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由5块透明电场线演示板组成，材料采用透明有机玻璃材料制作， 分别为单点电极演示板、双点电极演示板、平行板电极演示板、环形电极演示板、尖形导体演示板。五块演示板外形尺寸均</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107×91.5×6mm。单点电极演示板：单点电极采用M3×5接线柱，接线柱设在演示板的中心位置；双点电极演示板：双点电极采用M3×5接线柱，两接线柱位于演示板短边中心线上，两接线柱间距</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约30mm；平行板电极演示板：两条宽</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5mm，长</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45mm，厚度</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0.5mm的铜片用接线柱平行安装在演示板内，两平行板中心距为30mm；环形电极演示板：环形电极由宽</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5mm、厚</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0.5mm的铜片成形，外径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36mm，内径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24mm；尖形导体演示板：尖形导体由</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0.5mm的铜片制作，一端为</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R12mm的半圆形，一端为尖形，尖形导体总长</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36mm。所有演示板密封牢靠，无漏油现象。</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186</w:t>
            </w:r>
            <w:r/>
          </w:p>
        </w:tc>
        <w:tc>
          <w:tcPr>
            <w:gridSpan w:val="2"/>
            <w:shd w:val="clear" w:color="auto" w:fill="auto"/>
            <w:tcMar>
              <w:left w:w="15" w:type="dxa"/>
              <w:top w:w="15" w:type="dxa"/>
              <w:right w:w="15" w:type="dxa"/>
            </w:tcMar>
            <w:tcW w:w="821"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电势演示仪</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本仪器是根据新编高中物理教材《电场中的导体》教学内容教学需要而设计的，它利用绝缘丝线在电场中分布特点，形象的表示电场线的分布情况来反映内外导体电场状况以及各点之间的电势，电势差，等势面。该仪器操作方便，演示直观，效果明显，可见度大</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187</w:t>
            </w:r>
            <w:r/>
          </w:p>
        </w:tc>
        <w:tc>
          <w:tcPr>
            <w:gridSpan w:val="2"/>
            <w:shd w:val="clear" w:color="auto" w:fill="auto"/>
            <w:tcMar>
              <w:left w:w="15" w:type="dxa"/>
              <w:top w:w="15" w:type="dxa"/>
              <w:right w:w="15" w:type="dxa"/>
            </w:tcMar>
            <w:tcW w:w="821"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等势线描绘实验器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产品由底座、导电纸约2张、白纸约50张、复写纸约10张、固定架、表笔等组成。底座为塑料注塑成型，外形尺寸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180mm×120mm×14mm。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188</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平行板电容器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1、组成：本产品由两件置于底座上的带有机玻璃棒柄的铝板、一件带有机玻璃棒柄的介质板组成。              </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2、要求：铝板和介质板的直径不小于200mm、板厚不小于1mm，有机玻璃棒柄的直径不小于11mm。铝柄杆外露长度</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48mm,介质板</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85mm.              </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3、铝板和介板的板面应当光洁、无毛刺，板面的平面度误差不大于0.5mm，铝板应经涂覆处理             4、底座为塑料材质呈黑色厚度约9mm ， 装配后的平行板电容器的板面应与底座面垂直，经调节后，两块板面应相互平行，装配后的平行板电容器，两块板面间的距离和相对面积能任意调节 。         </w:t>
            </w:r>
            <w:r>
              <w:rPr>
                <w:rFonts w:hint="eastAsia" w:ascii="宋体" w:hAnsi="宋体" w:cs="宋体"/>
                <w:color w:val="auto"/>
                <w:sz w:val="18"/>
                <w:szCs w:val="18"/>
                <w:highlight w:val="none"/>
                <w:lang w:bidi="ar"/>
              </w:rPr>
              <w:t xml:space="preserve">                                                                                                                                                                                                                                                                </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189</w:t>
            </w:r>
            <w:r/>
          </w:p>
        </w:tc>
        <w:tc>
          <w:tcPr>
            <w:gridSpan w:val="2"/>
            <w:shd w:val="clear" w:color="auto" w:fill="auto"/>
            <w:tcMar>
              <w:left w:w="15" w:type="dxa"/>
              <w:top w:w="15" w:type="dxa"/>
              <w:right w:w="15" w:type="dxa"/>
            </w:tcMar>
            <w:tcW w:w="821"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电场中带电粒子运动模拟演示器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演示加速后的电子，在没有外来电场或磁场的作用时，按直线运动。（2）观察电子束在电场力的作用下发生的偏转。（3）观察电子束在磁场中所受的洛仑兹力。（4）说明热电子发射现象等。</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1、加速极电压 0～200伏  连续可调</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2、偏转板电压、电压幅度0～40伏连续可调、电压方向 上正、断路、下正三档</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 3、电源 220V±10%   50Hz</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4、功率消耗 小于8瓦</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190</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常用电容器示教板</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整体尺寸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340mm*26mm*8mm,木质材质，板面附有电解电容器、云母电容器、瓷片电容器、条轮电容器、贴片电容器、微调电容器、可变电容器。</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191</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常用电阻器示教板</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整体尺寸为</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400mm*280mm*12mm,钢板折弯而成，表面标注纹理清晰，附有电位器、碳膜电阻、金属膜电阻、热敏电阻、绕线电阻、水泥电阻、光敏电阻。</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192</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演示可调内阻电池</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由电池槽、溢水槽、电池槽盖板、探针、正负极板、气咀、气室、气管、开关、气筒等组成。正负极板插在两端电池槽内，气室上有气咀，气咀上套有导气管，探针选用来耐酸极化电动势较小的片状材料制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产品尺寸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220mm×85mm×95mm。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193</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演示电桥</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产品由电阻丝、刻度尺、滑键、支架等组成。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电阻丝有效长度</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1000mm，线径为不大于0.3mm的锰铜丝，电阻丝的另一端固定在刻度尺上，另一端有松紧调节装置。</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刻度尺质地均匀平直，无痕迹，无裂缝，有效刻度约1000mm。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滑键的滑块用无色透明塑料制成，能灵活滑动；按键为指针式，位于滑块中间，用厚约0.2～0.4mm锡磷青铜皮制成。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支架为木框制品。</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产品外形尺寸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1050mm×150mm×40mm。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194</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条形磁铁</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基本尺寸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150mm*25mm*15mm,两边一红一蓝，分别带有N，S字样。铝铁碳材质，不少于两块。</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对</w:t>
            </w:r>
            <w:r/>
          </w:p>
        </w:tc>
        <w:tc>
          <w:tcPr>
            <w:gridSpan w:val="2"/>
            <w:shd w:val="clear" w:color="auto" w:fill="auto"/>
            <w:tcMar>
              <w:left w:w="15" w:type="dxa"/>
              <w:top w:w="15" w:type="dxa"/>
              <w:right w:w="15" w:type="dxa"/>
            </w:tcMar>
            <w:tcW w:w="375"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195</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蹄形磁铁</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长</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105mm,厚度</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30mm,红蓝各一半，标有S、N字样。</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196</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磁感线演示器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套装不少于聚苯烯透明塑料板（内附铁磁针）2块，T054磁铁1对，U082磁铁1个构成。小磁针直径不大于1mm，在透明板孔内转动灵活。</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197</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立体磁感线演示器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仪器由不少于条形磁铁及六个矩形透明磁感应板立片、蹄形磁铁及月牙形透明磁感应板和固定支架组成。透明磁感应板上装有多个小磁针，磁针转动灵活，其板面应平整光洁、无碰伤、无划痕、无毛刺。透明磁感应板和固定支架易于组装插合。演示时显示磁力线分布的立体空间形状明显、直观。</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198</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磁感线演示板</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有机玻璃材质</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199</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电流磁场演示器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一、组成：本产品由黑色塑料支架、有机玻璃片、铜丝线圈、接线柱组成。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二、金属支架</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12㎜×65㎜</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三、有机玻璃片</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77㎜×140㎜×2.5㎜</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内嵌约12组铜丝线圈。</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200</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菱形小磁针</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约16个/套</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201</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翼形磁针</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由直线电流，环形电流和通电螺线管磁场三部分组成</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对</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202</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演示原副线圈</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1.演示原副线圈由演示原线圈、演示付线圈、软铁芯三部分组成。线圈标有绕线方向。</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2.演示原线圈骨架：圆筒内径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13mm；圆筒外径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25mm；绕线宽度</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65mm。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3.演示付线圈骨架：圆筒内径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35mm；圆筒外径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50mm；绕线宽度</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69mm。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4.铁芯：直径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12mm；长度</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105mm。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5.工作条件：环境温度：-10℃～40℃，相对湿度：≤85%</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.原付线圈骨架用高级黑色塑料制成，表面光洁。付线圈底座平整，直立于平面时无晃动。 </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203</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原副线圈</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1.原副线圈由原线圈、付线圈、软铁芯三部分组成。线圈标有绕线方向。</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2.原线圈骨架：圆筒内径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12mm；圆筒外径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18mm；绕线宽度</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57mm。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3.付线圈骨架：圆筒内径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25mm；圆筒外径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32mm；绕线宽度</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50mm。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4.铁芯：直径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10mm；长度</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87mm。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5.工作条件：环境温度：-10℃～40℃，相对湿度：≤85%</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6.原付线圈骨架用高级黑色塑料制成，表面光洁。付线圈底座平整，直立于平面时无晃动。 </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204</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演示电磁继电器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本产品主要由电磁系统和触点系统两部分组成。电磁系统包括电磁线圈、铁芯衔铁；触点系统包括常开、常闭触点各一对。本产品动作灵敏醒目，直观性强。底座长</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155mm，宽</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104mm。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205</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手摇交直流发电机</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电学仪器，供中学物理演示交直流发电机的结构和工作原理使用，可兼作小功率电源；结构：由定子、转子，电刷、转动机构、集流环（或换向器）、小灯座，底板等组成，底板采用木制底，规格</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300×200×16mm。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206</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阴极射线管</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1.演示阴极射线在磁场内发生偏转的现象，说明阴极射线是从阴极发射出的带电微粒流2.仪器附带底座，由高级塑料制成，直径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118mm。3.阴极射线管管体由玻璃制成，长</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300mm,中间端直径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42mm，两端直径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12.5mm4.由塑料泡沫盒定位包装</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207</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阴极射线管</w:t>
            </w:r>
            <w:r/>
          </w:p>
        </w:tc>
        <w:tc>
          <w:tcPr>
            <w:shd w:val="clear" w:color="auto" w:fill="auto"/>
            <w:tcMar>
              <w:left w:w="15" w:type="dxa"/>
              <w:top w:w="15" w:type="dxa"/>
              <w:right w:w="15" w:type="dxa"/>
            </w:tcMar>
            <w:tcW w:w="3108" w:type="pct"/>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主要组成：泡壳、挡板、荧光板、阴极、阳极、胶木座等组成。                                   配套仪器                                 </w:t>
            </w:r>
            <w:r/>
          </w:p>
          <w:p>
            <w:pPr>
              <w:numPr>
                <w:ilvl w:val="0"/>
                <w:numId w:val="4"/>
              </w:num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低电压直流供电系统:输出直流10-12V                     </w:t>
            </w:r>
            <w:r/>
          </w:p>
          <w:p>
            <w:pPr>
              <w:numPr>
                <w:ilvl w:val="0"/>
                <w:numId w:val="4"/>
              </w:numPr>
              <w:ind w:left="0" w:firstLine="0"/>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高压感应圈：火花距离50-80mm.                </w:t>
            </w:r>
            <w:r/>
          </w:p>
          <w:p>
            <w:pPr>
              <w:numPr>
                <w:ilvl w:val="0"/>
                <w:numId w:val="4"/>
              </w:numPr>
              <w:ind w:left="0" w:firstLine="0"/>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调压变电器：交流220V±10V。                 </w:t>
            </w:r>
            <w:r/>
          </w:p>
          <w:p>
            <w:pPr>
              <w:numPr>
                <w:ilvl w:val="0"/>
                <w:numId w:val="4"/>
              </w:numPr>
              <w:ind w:left="0" w:firstLine="0"/>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直流高压电流：输出直流250V-300V.            </w:t>
            </w:r>
            <w:r/>
          </w:p>
          <w:p>
            <w:pPr>
              <w:numPr>
                <w:ilvl w:val="0"/>
                <w:numId w:val="4"/>
              </w:numPr>
              <w:ind w:left="0" w:firstLine="0"/>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蹄形磁铁：开口50-70mm。                   </w:t>
            </w:r>
            <w:r/>
          </w:p>
          <w:p>
            <w:pPr>
              <w:numPr>
                <w:ilvl w:val="0"/>
                <w:numId w:val="0"/>
              </w:num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6、导线和带鳄鱼夹导线。</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208</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阴极射线管</w:t>
            </w:r>
            <w:r/>
          </w:p>
        </w:tc>
        <w:tc>
          <w:tcPr>
            <w:shd w:val="clear" w:color="auto" w:fill="auto"/>
            <w:tcMar>
              <w:left w:w="15" w:type="dxa"/>
              <w:top w:w="15" w:type="dxa"/>
              <w:right w:w="15" w:type="dxa"/>
            </w:tcMar>
            <w:tcW w:w="3108" w:type="pct"/>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阴极射线管，包含静电偏转管，磁效应管，示直进管，机械效应管</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209</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低频信号发生器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10Hz～1MHz，正弦波功率输出不小于5W</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210</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高频信号发生器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0.4MHZ～130MHZ分段连续可调，误差±5%,</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211</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教学信号发生器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445kHZ～1700kHZ，误差±5％；中频465kHZ,±2%;低频正弦波、方波、锯齿波信号,</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212</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条形强磁体</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150×25×15mm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213</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蹄形强磁体</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100×85×20/30mm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214</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强磁针</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高磁能积磁体</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215</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通电平行直导线相互作用演示器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1.产品能明显、完整地演示通电平行直导线间的电流相互作用（作用力）。</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2.产品由主机箱、平行直导线、连接导线、导线支架等组成，具有过载自动保护功能。</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3.通电触点为银触点，两银触点间的间距</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30mm。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4.两平行直导线为铜材料制管，其直径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4mm。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5.产品能瞬间提供60A以上的电流，以供实验所需。</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6.通电动作可连续操作次数大于20次。</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7.产品为低能耗产品，其功率小于25W。</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216</w:t>
            </w:r>
            <w:r/>
          </w:p>
        </w:tc>
        <w:tc>
          <w:tcPr>
            <w:gridSpan w:val="2"/>
            <w:shd w:val="clear" w:color="auto" w:fill="auto"/>
            <w:tcMar>
              <w:left w:w="15" w:type="dxa"/>
              <w:top w:w="15" w:type="dxa"/>
              <w:right w:w="15" w:type="dxa"/>
            </w:tcMar>
            <w:tcW w:w="821"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电流天平</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测定磁感应强度 力学 电磁学 物理实验仪器，用来说明载流导体在磁场中受到的作用及其规律。以建立磁感应强度B=F/IL的概念</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217</w:t>
            </w:r>
            <w:r/>
          </w:p>
        </w:tc>
        <w:tc>
          <w:tcPr>
            <w:gridSpan w:val="2"/>
            <w:shd w:val="clear" w:color="auto" w:fill="auto"/>
            <w:tcMar>
              <w:left w:w="15" w:type="dxa"/>
              <w:top w:w="15" w:type="dxa"/>
              <w:right w:w="15" w:type="dxa"/>
            </w:tcMar>
            <w:tcW w:w="821"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安培力演示器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由度盘、指针、度盘支柱、线框支架、接线柱、线框架板、线压板、线框、磁极板架、上磁极（N极）、下磁极（S极）、磁极板、底盘、压力调节螺钉等组成</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218</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自感现象演示器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塑料材质，面板尺寸为：</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415mm*260mm*40mm,能显示通电自然现象，断电自然现象原理，，两边印有两种现象线路图案，面板线路标示清晰上面配备灯泡、开关、接线柱等。</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219</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电磁感应演示器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1、磁感应强度：&gt;7MT。</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2、匀强磁场面积</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130×110mm2。</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3、磁场不均匀度：≤4％。</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4、工作电源电压：高中教学电源。4-1)磁极主体：两极串接：DC 16～24V、2A。4-2)直流电机模型：DC：8～12V。4-3)悬挂导体实验：DC 16～24V、3A。     </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5、主机外形尺寸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200×140×170mm。附有直流电机、直流发电机、转动线圈模型，底板尺寸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160mm*90mm。两边固定厚度</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1mm钢边，带有</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78mm*75mm*100mm方形线圈，</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92mm*60mm*15mm长方形线圈。磁场力板尺寸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90mm*90mm,上面带有约16根钢针</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220</w:t>
            </w:r>
            <w:r/>
          </w:p>
        </w:tc>
        <w:tc>
          <w:tcPr>
            <w:gridSpan w:val="2"/>
            <w:shd w:val="clear" w:color="auto" w:fill="auto"/>
            <w:tcMar>
              <w:left w:w="15" w:type="dxa"/>
              <w:top w:w="15" w:type="dxa"/>
              <w:right w:w="15" w:type="dxa"/>
            </w:tcMar>
            <w:tcW w:w="821"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楞次定律演示器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产品由底座、支架和约两个铝环组成。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两个铝环分别为开口环和闭口环，由铝制平衡杆连接。</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底座直径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66mm，闭口环直径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55mm，开口环直径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48.5mm，支架长</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87.5mm。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221</w:t>
            </w:r>
            <w:r/>
          </w:p>
        </w:tc>
        <w:tc>
          <w:tcPr>
            <w:gridSpan w:val="2"/>
            <w:shd w:val="clear" w:color="auto" w:fill="auto"/>
            <w:tcMar>
              <w:left w:w="15" w:type="dxa"/>
              <w:top w:w="15" w:type="dxa"/>
              <w:right w:w="15" w:type="dxa"/>
            </w:tcMar>
            <w:tcW w:w="821"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电磁阻尼演示器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由底座、条形磁铁、支架、摆锤组成。底板、支架为铁质，摆锤为铝合金阻尼片，底板尺寸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150mm*123mm*11mm,支架高度</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185mm.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222</w:t>
            </w:r>
            <w:r/>
          </w:p>
        </w:tc>
        <w:tc>
          <w:tcPr>
            <w:gridSpan w:val="2"/>
            <w:shd w:val="clear" w:color="auto" w:fill="auto"/>
            <w:tcMar>
              <w:left w:w="15" w:type="dxa"/>
              <w:top w:w="15" w:type="dxa"/>
              <w:right w:w="15" w:type="dxa"/>
            </w:tcMar>
            <w:tcW w:w="821"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电磁驱动演示器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由底座、支架、铝桶、手摇柄、磁铁组成</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223</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动能发电手电筒</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96mm*48mm,可手动发电，有蓄电功能</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224</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单匝线圈电机原理演示器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一、组成：本产品由强磁铁、转子、手摇柄、齿轮、固定底座、接线柱、集电环等组成。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二、主要参数：</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1、外观整体为黄色喷塑金属座：</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225mm×180mm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2、齿轮能灵活转动。</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3、本产品能使用交直流电源演示电机原理。</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225</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三相电机原理演示器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永磁式旋转磁场演示器由支架和一个有固定转轴的蹄形磁铁组成。磁铁蓝色一边是S极，红色一边是N极。</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2.电磁场旋转演示器由三个间隔相等的方形线圈组成，三个线圈分别包有红、黄、绿色绸带以示区别。底座上有三个接线柱，供外接三相电源用。</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3.磁针、铝框、塑料框、鼠笼转子上方都装有轴承，把它们装到针座上时，可以灵活转动。</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226</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手摇三相交流发电机</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1.产品由定子绕组、发电机转子、轴承支架、机座支架、传动齿轮、接线柱、导线、灯泡、底板、Y形负载板、三角形负载板等组成。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2.励磁电压为6V,转速为约1500转/分，输出频率为25Hz，输出功率不小于7W。</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3.空载输出相电压不小于10V，负载输出相电压不小于10V，负载输出线电压不小于16V。</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227</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三线电子开关</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产品由A、B、C三路信号输入放大器、开关型输出放大器、RC环形振荡器、循环脉冲发生器、稳压电源及50Hz移相电路等部分组成</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228</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交流电路特性演示器</w:t>
            </w:r>
            <w:r/>
          </w:p>
        </w:tc>
        <w:tc>
          <w:tcPr>
            <w:shd w:val="clear" w:color="auto" w:fill="auto"/>
            <w:tcMar>
              <w:left w:w="15" w:type="dxa"/>
              <w:top w:w="15" w:type="dxa"/>
              <w:right w:w="15" w:type="dxa"/>
            </w:tcMar>
            <w:tcW w:w="3108" w:type="pct"/>
            <w:vAlign w:val="center"/>
            <w:textDirection w:val="lrTb"/>
            <w:noWrap w:val="false"/>
          </w:tcPr>
          <w:p>
            <w:pPr>
              <w:jc w:val="left"/>
              <w:spacing w:after="180"/>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整体尺寸为：</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460mm*330mm*40mm,表面电路标注纹理清晰，附带电流表0-3mA，电压表0-8V，电感器，连接插孔，开关等。</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229</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可拆变压器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可拆变压器是由U型铁芯，原线圈，副线圈及变压器装拆紧固支架等部分组成。1铁芯截面积</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32*32mm²，铁芯条形截面积：</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32*27mm²， 3铁芯窗口：</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62*60mm² 4绝缘电阻：＞100MΩ，5工作环境：0-40℃，相对湿度：＜85％，6工作电源;a)220V、50Hz。b)用教学电源的交流输出部分2-24V.                             线圈参数：（原线圈）约1400匝 匝数0-200 线径约0.7mm 额定电流1A。约400匝（副线圈） 匝数0-400 线径约0.35 额定电流1.5A 。                          </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230</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可拆变压器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线圈骨架由塑料压制，为增强演示效果采用红、绿两种颜色</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231</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变压器原理说明器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产品结构：</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     1.. 本仪器由下例各部分组成 1) 铁心 2) 线圈 3) 极掌两件 4) 强阻尼摆 5 弱阻尼摆 6) 摆架 7) 自感现象示教板 8) 铝圈 9) 感应灯 10) 小灯泡6—8伏螺口小灯泡，共5只）</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   2． 技术参数： 1) 变压器的正常使用条件为：铁心闭合，线圈每匝承受电压不超过交流0.15伏特 2) 当变压器初级线圈用1600匝，次级线圈用400匝，输入电压为交流</w:t>
            </w:r>
            <w:r>
              <w:rPr>
                <w:rFonts w:hint="eastAsia" w:ascii="宋体" w:hAnsi="宋体" w:cs="宋体"/>
                <w:color w:val="auto"/>
                <w:sz w:val="18"/>
                <w:szCs w:val="18"/>
                <w:highlight w:val="none"/>
                <w:lang w:bidi="ar"/>
              </w:rPr>
              <w:t xml:space="preserve">220伏特时，；输出功率为50伏安。在此额定负载下，连续使用时温升不高于40℃. 3) 在铁心不闭合，线圈接220伏特交流电源的条件下，连续工作最长时间为：0—1600匝线圈不超过一分钟；0—800匝线圈不超过20秒 4) 在线圈接直流电源，连续工作时间不超过1分钟的条件下，线圈的最高工作电压及电流： 0-1600匝线圈为24伏特、0.5安培 0-800匝线圈为16伏特、1安培 0-400匝线圈为12伏特、3安培 5） U形铁心截面积不小于36×36（平方毫米）；条形铁轭截面积不小于36×32（平方毫米）。</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232</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日光灯原理演示器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演示板整体尺寸约：510mm*410mm*40mm,表面标注纹理清晰，配备15W，6500K，荧光灯管、启辉器、隔离变压器、荧光灯镇流器、开关等。</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233</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电子束演示器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基本结构由电子束管、电源装置、控制面板组成</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234</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阴极射线演示器</w:t>
            </w:r>
            <w:r/>
          </w:p>
        </w:tc>
        <w:tc>
          <w:tcPr>
            <w:shd w:val="clear" w:color="auto" w:fill="auto"/>
            <w:tcMar>
              <w:left w:w="15" w:type="dxa"/>
              <w:top w:w="15" w:type="dxa"/>
              <w:right w:w="15" w:type="dxa"/>
            </w:tcMar>
            <w:tcW w:w="3108" w:type="pct"/>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1.加速极电压：335-440V2.Y偏转板电压：0-70V3.扫描频率范围：25-50HZ4.X偏转板电压：-75-75V</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235</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门电路和传感器应用实验箱</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与门、或门、非门电路、干簧管、温度传感器、热敏电阻、光敏电阻、感温铁氧体、霍尔元件等应用实验</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236</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低气压放电管组</w:t>
            </w:r>
            <w:r/>
          </w:p>
        </w:tc>
        <w:tc>
          <w:tcPr>
            <w:shd w:val="clear" w:color="auto" w:fill="auto"/>
            <w:tcMar>
              <w:left w:w="15" w:type="dxa"/>
              <w:top w:w="15" w:type="dxa"/>
              <w:right w:w="15" w:type="dxa"/>
            </w:tcMar>
            <w:tcW w:w="3108" w:type="pct"/>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6支，支架尺寸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 340mm*120mm*450mm，玻璃管长</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400mm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237</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电谐振演示器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产品结构：1、发送部分2、接收部分 3、电感环 4、电感调节棒 5、塑料支架 6、使用说明书。技术性能 1、发送部分输人脉冲高压：20~40KV 放电间隙：0. 2-2mm 正常使用时调到约1mm振荡频率：约5MHz来顿瓶电容：约580pF 电感环尺寸：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580mmx280mm 2、接收部分 电感环尺寸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580mmx280mm 2、接收部分 最大接收距离：不小于0. 5m 来顿瓶电容：约580pF 可调电感环尺寸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580mmx280mm 3.工作环境，环境温度：0-+40℃ 相对湿度；不大于80%  4、包装箱尺寸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520mmx170mmx220mm </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238</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赫兹实验演示器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产品应由发送端、接收端两部分组成。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发射端有两个天线、指示灯、底座及支架组成天线厂不小于  </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接收端由天线、指示电压表、电流表及旋钮等组成，用电子感应圈为发射端连通高压后，接收端可以看到指示灯点亮，电压表与电流表指针发生明显的偏转。</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239</w:t>
            </w:r>
            <w:r/>
          </w:p>
        </w:tc>
        <w:tc>
          <w:tcPr>
            <w:gridSpan w:val="2"/>
            <w:shd w:val="clear" w:color="auto" w:fill="auto"/>
            <w:tcMar>
              <w:left w:w="15" w:type="dxa"/>
              <w:top w:w="15" w:type="dxa"/>
              <w:right w:w="15" w:type="dxa"/>
            </w:tcMar>
            <w:tcW w:w="821"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电磁振荡演示仪</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基本尺寸为</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410mm*260mm*40mm,表面标注纹理清晰。能演示等幅震荡，减负震荡采用集成电流振荡原理。</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240</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电磁波的发送和接收演示器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产品由发射机、接收机等组成。发射机部分主要由主机、振子天线、甚高频振荡器、调制信号发生器、调制信号接口电路、音频功放电路及电源电路等组成。主机的外形尺寸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225mm×145mm×97mm。接收机部分主要由调频接收器、电表演示接收器、放大接收器等组成。发射机工作频率约230MHz；振荡功率约3W；内调制信号1KHz，断续，音乐；外调制信号：≥1V的音频信号；使用电源220V±10﹪，50Hz。调谐接收器指示灯珠1.5V，100uA，接收距离≥0.5米。电表指示接收器的电表灵敏度＞200uA，接收距离≥3米。放大接收的外形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142mm×82mm×65mm，放大接收器的扬声器阻值8Ω，0.5VA。信号灯为5个</w:t>
            </w:r>
            <w:r>
              <w:rPr>
                <w:rFonts w:hint="eastAsia" w:ascii="宋体" w:hAnsi="宋体" w:cs="宋体"/>
                <w:color w:val="auto"/>
                <w:sz w:val="18"/>
                <w:szCs w:val="18"/>
                <w:highlight w:val="none"/>
                <w:lang w:val="en-US" w:eastAsia="zh-CN" w:bidi="ar"/>
              </w:rPr>
              <w:t xml:space="preserve">光源</w:t>
            </w:r>
            <w:r>
              <w:rPr>
                <w:rFonts w:hint="eastAsia" w:ascii="宋体" w:hAnsi="宋体" w:cs="宋体"/>
                <w:color w:val="auto"/>
                <w:sz w:val="18"/>
                <w:szCs w:val="18"/>
                <w:highlight w:val="none"/>
                <w:lang w:bidi="ar"/>
              </w:rPr>
              <w:t xml:space="preserve">显示。接收距离≥4米，使用电源DC6V。</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241</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电磁波的干涉衍射偏振演示器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仪器由带体效应管振荡器的发射器、喇叭接收器、振子接收器、反射板、木质折射体、木质吸收体及附件组成。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1、仪器采用声、光、电表指示多种形式进行显示。</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2、发射器的外形尺寸均</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130mm×72mm×267mm。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3、发射器工作频率：11±1.1GHz，输出功率：等幅输出时不小于10mW，内调制信号：1KHz、断续、音乐、三档，外调制信号≥1V输入阻抗1KΩ，使用电源：220V±10﹪，50±2Hz, 消耗功率不大于5W。</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4、喇叭接收器的外形尺寸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130mm×90mm×267mm。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5、喇叭接收器，放大器放大量：不小于60dB，接收距离：三十只发光二极管发光，不小于1m，扬声器发声不小于3m；使用电源：220V±10﹪，50±2Hz, 消耗功率 不大于3VA；</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6、振子接收器：检波二极管 2DV17，接收距离≥0.5m。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7、大反射板两件，尺寸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170mm×150mm×0.7mm。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8、小反射板一件，尺寸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170mm×50mm×0.7mm。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9、木质折射体尺寸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149mm×74mm×17mm。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10、木质吸收体尺寸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149mm×74mm×35mm。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242</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密立根油滴仪</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仪器可验证电荷的量子性与测定基本电荷，还可观察布朗运动。</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1、仪器由油滴盒、测量显微镜、电源喉头喷雾器、30ml钟油等几部分组成。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2、仪器外形尺寸不小于280mm×210mm×170mm。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3、油滴盒直径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84mm，高</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104mm。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4、仪器上面板附水平显示装置及量程500V的伏特表。</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5、测量显微镜目镜部分可旋转，总放大倍数：30倍；线视场：3≥mm；划分板总刻：2±0.01mm；物镜分辨率：100线/毫米。</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243</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电子比荷实验仪</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1.仪器由箱体、示波管等组成，箱体上端应附提手。面板上应附量程为3A的安培表、量程为1500V的伏特表、开关、旋钮等。详细参数如下：</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2.额定电压：AC,220V</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3.额定频率：50Hz</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4.最大输入功率不小于85W</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5.低压直流电源：电流强度0.2A～1.5A，1.5A～2.5A，各档连续可调。电流方向可转换。</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6.螺线管参数：螺线管单位长度匝数N=3800匝/米。</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7.示波管参数：焚光屏至y偏转板距离l≈0.148m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8.连续工作时间：1h</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9.使用环境条件：温度-10～40℃，相对湿度不大于85%（40℃）</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10.仪器外形尺寸应不小于380mm×190mm×320mm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11.质量：约11kg</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244</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半导体致冷器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1.了解半导体致冷器的基本原理。</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2.由致冷器、水槽、风扇、温度计等组成</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245</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整流电路实验器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1.熟悉电子示波器的使用方法</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2.掌握单相半波和单相桥式全波整流电路的工作原理。</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3.观察不同滤波器的滤波作用</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30*10*40cm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246</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光具盘</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可演示透镜的光学性质、球面镜的光学性质、光的反射、光的折射（利用有机玻璃砖与水槽）、漫反射、平面镜成象、光通过棱镜的色散与合成、凸透镜成像等实验。</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247</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凹面镜</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由圆形镜面、支杆及底座等组成</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248</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凸面镜</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由圆形镜面、支杆及底座等组成</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249</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玻璃砖</w:t>
            </w:r>
            <w:r/>
          </w:p>
        </w:tc>
        <w:tc>
          <w:tcPr>
            <w:shd w:val="clear" w:color="auto" w:fill="auto"/>
            <w:tcMar>
              <w:left w:w="15" w:type="dxa"/>
              <w:top w:w="15" w:type="dxa"/>
              <w:right w:w="15" w:type="dxa"/>
            </w:tcMar>
            <w:tcW w:w="3108" w:type="pct"/>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玻</w:t>
            </w:r>
            <w:r>
              <w:rPr>
                <w:rFonts w:hint="eastAsia" w:ascii="宋体" w:hAnsi="宋体" w:cs="宋体"/>
                <w:color w:val="auto"/>
                <w:sz w:val="18"/>
                <w:szCs w:val="18"/>
                <w:highlight w:val="none"/>
                <w:lang w:bidi="ar"/>
              </w:rPr>
              <w:t xml:space="preserve">璃砖为非等腰梯形，两底角分别  60°和45°。2． 玻璃砖用光学玻璃或普通玻璃磨制，其折射率应在1.50～1.55范围内。 3． 可以用脱脂棉、纱布清洁。4． 外形尺寸：上底长  35mm；两底角为60±0.5°和45±0.5°；高度为35±1mm；厚度为15±1mm。6． 玻璃砖中的一梯形面为粗加工面，光洁度为▽5，上下里底面、两斜面及另一样形面为精加工面，应进行抛光处理。7． 玻璃砖的上下两面底面平行度  0.10mm。8． 以抛光的梯形面为基标准面，上、下两底面、两斜面与基准面垂直度  0.1mm。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块</w:t>
            </w:r>
            <w:r/>
          </w:p>
        </w:tc>
        <w:tc>
          <w:tcPr>
            <w:gridSpan w:val="2"/>
            <w:shd w:val="clear" w:color="auto" w:fill="auto"/>
            <w:tcMar>
              <w:left w:w="15" w:type="dxa"/>
              <w:top w:w="15" w:type="dxa"/>
              <w:right w:w="15" w:type="dxa"/>
            </w:tcMar>
            <w:tcW w:w="375"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250</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光具座</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Φ约16mm，双轨，由导轨（包括支架）、滑块、标尺、附件等组成。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①.平凸透镜：Ф约50mm F=300±12mm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②.双凸透镜：Ф约30mm F=50±2mm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③.毛玻璃：</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80mm×100mm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④.“1”字屏一个：</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80mm×100mm；1字部分采用金属制成，屏及支杆采用优质塑料制成。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⑤.烛台约一只。</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⑥.干涉、衍射、偏振附件</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⑦.光源：采用6V 3W的经济灯泡，装在光源筒中，光源筒前面并配有Ф约36mm、F=50mm的双凸透镜，并可以利用调节灯泡前后、上下的位置来获得比较合</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适的光线进行演示。配有镀铬插杆1支。</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⑧.滑块，采用优质工程塑料、金属结合制成；采用卡扣式设计。</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⑨.双凸透镜：Ф：约40mm F=100±2mm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⑩.底座采用优质塑料与金属制成。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⑪.双凹透镜：Ф：约30mm F=-75±4.5mm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⑫.白屏约一个：</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80mm×100mm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⑬.标尺：约0～90cm </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251</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三棱镜</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产品由三棱镜、托架、支柱、底座等组成。2． 三棱镜体外形为正三棱柱，边长约25mm，相邻两角约60±0.5°，棱长约80mm。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252</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白光的色散与合成演示器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1．产品由三棱镜2个（一对）、光源、光屏及底座等组成。2.两块棱镜应配对，其折射率之差不大于0.003，中部色散之差不大于0.0004。3． 三棱镜的顶角为60±0.5°，有效边长不小于25mm，高度不小于25mm，非工作面磨砂。应有保护性倒角。4． 棱镜固定可靠，装卸方便。</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253</w:t>
            </w:r>
            <w:r/>
          </w:p>
        </w:tc>
        <w:tc>
          <w:tcPr>
            <w:gridSpan w:val="2"/>
            <w:shd w:val="clear" w:color="auto" w:fill="auto"/>
            <w:tcMar>
              <w:left w:w="15" w:type="dxa"/>
              <w:top w:w="15" w:type="dxa"/>
              <w:right w:w="15" w:type="dxa"/>
            </w:tcMar>
            <w:tcW w:w="821"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透镜及其应用实验器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1.由棱镜、棱镜台和光源等组成。2.棱镜为重量火石玻璃，顶角约为60°。3.光源额定电压为6-8V。4.棱镜台长</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140mm，宽90mm，高25mm。且台面装有进光狭缝及光源。5.白屏长约</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110mm，宽90mm。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254</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光的折射全反射实验器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由黑色塑料底座带光源支架约</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158×99×15mm）、半导体激光光源、玻璃砖约（</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45×25×17mm）、平面镜（</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40×17×2mm）、塑料水槽约（</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75×35×20mm）及光盘（塑料制品直径不小于95mm）组成。</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240"/>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255</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光的干涉衍射偏振演示器套装</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一.光的干涉衍射偏振演示器：</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本产品能演示物理光学中的干涉，衍射，偏振等实验。光源采用12V50W的卤钨灯经光学系统形成平行光，出口处的照度高，在约6*9米的教室内照度的条件下学生可坐在坐位上观察到各种光学现象。                          </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本产品构成如下：1.可转式光具座；2.附加梯形具座；3.短滑块；4.长滑块；5.光具架；6.光源装置；7.观察系统（由观察筒与放大装置两部分组成）及元件等组成。</w:t>
            </w:r>
            <w:r>
              <w:rPr>
                <w:rFonts w:hint="eastAsia" w:ascii="宋体" w:hAnsi="宋体" w:cs="宋体"/>
                <w:color w:val="auto"/>
                <w:sz w:val="18"/>
                <w:szCs w:val="18"/>
                <w:highlight w:val="none"/>
                <w:lang w:bidi="ar"/>
              </w:rPr>
              <w:br/>
            </w:r>
            <w:r>
              <w:rPr>
                <w:rFonts w:hint="eastAsia" w:ascii="宋体" w:hAnsi="宋体" w:eastAsia="宋体" w:cs="宋体"/>
                <w:i w:val="0"/>
                <w:iCs w:val="0"/>
                <w:color w:val="auto"/>
                <w:sz w:val="18"/>
                <w:szCs w:val="18"/>
                <w:highlight w:val="none"/>
                <w:u w:val="none"/>
                <w:lang w:val="en-US" w:eastAsia="zh-CN" w:bidi="ar"/>
              </w:rPr>
              <w:t xml:space="preserve">▲</w:t>
            </w:r>
            <w:r>
              <w:rPr>
                <w:rFonts w:hint="eastAsia" w:ascii="宋体" w:hAnsi="宋体" w:cs="宋体"/>
                <w:color w:val="auto"/>
                <w:sz w:val="18"/>
                <w:szCs w:val="18"/>
                <w:highlight w:val="none"/>
                <w:lang w:bidi="ar"/>
              </w:rPr>
              <w:t xml:space="preserve">二.纹影成像</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1.光线的偏折会造成部分光束出现扰动，经抛物面反射镜反射后无法完全汇聚于一点，此时通过 CCD 图像传感器进行观察，成像视场中与热气流对应的位置会因光线强度分布变化而产生亮暗差异，从而实现空气流动状态的可视化成像演示。</w:t>
            </w:r>
            <w:r>
              <w:rPr>
                <w:rFonts w:hint="eastAsia" w:ascii="宋体" w:hAnsi="宋体" w:cs="宋体"/>
                <w:color w:val="auto"/>
                <w:sz w:val="18"/>
                <w:szCs w:val="18"/>
                <w:highlight w:val="none"/>
                <w:lang w:bidi="ar"/>
              </w:rPr>
              <w:br/>
            </w:r>
            <w:r>
              <w:rPr>
                <w:rFonts w:hint="eastAsia" w:ascii="宋体" w:hAnsi="宋体" w:eastAsia="宋体" w:cs="宋体"/>
                <w:i w:val="0"/>
                <w:iCs w:val="0"/>
                <w:color w:val="auto"/>
                <w:sz w:val="18"/>
                <w:szCs w:val="18"/>
                <w:highlight w:val="none"/>
                <w:u w:val="none"/>
                <w:lang w:val="en-US" w:eastAsia="zh-CN" w:bidi="ar"/>
              </w:rPr>
              <w:t xml:space="preserve">▲</w:t>
            </w:r>
            <w:r>
              <w:rPr>
                <w:rFonts w:hint="eastAsia" w:ascii="宋体" w:hAnsi="宋体" w:cs="宋体"/>
                <w:color w:val="auto"/>
                <w:sz w:val="18"/>
                <w:szCs w:val="18"/>
                <w:highlight w:val="none"/>
                <w:lang w:bidi="ar"/>
              </w:rPr>
              <w:t xml:space="preserve">2.配套 1.5 米及以上导轨、信号发生器、输出光源、摄像头；</w:t>
            </w:r>
            <w:r>
              <w:rPr>
                <w:rFonts w:hint="eastAsia" w:ascii="MS Gothic" w:hAnsi="MS Gothic" w:eastAsia="MS Gothic" w:cs="MS Gothic"/>
                <w:color w:val="auto"/>
                <w:sz w:val="18"/>
                <w:szCs w:val="18"/>
                <w:highlight w:val="none"/>
                <w:lang w:bidi="ar"/>
              </w:rPr>
              <w:t xml:space="preserve">​</w:t>
            </w:r>
            <w:r>
              <w:rPr>
                <w:rFonts w:hint="eastAsia" w:ascii="宋体" w:hAnsi="宋体" w:cs="宋体"/>
                <w:color w:val="auto"/>
                <w:sz w:val="18"/>
                <w:szCs w:val="18"/>
                <w:highlight w:val="none"/>
                <w:lang w:bidi="ar"/>
              </w:rPr>
              <w:t xml:space="preserve">焦距（±10mm)：750mm，抛物面反射镜口径（±10mm)：203mm。视频输出：1920*1080P 及以上，60 帧及以上；</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3.显示设备：13.3 寸及以上； </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w:t>
            </w:r>
            <w:r>
              <w:rPr>
                <w:rFonts w:hint="eastAsia" w:ascii="MS Gothic" w:hAnsi="MS Gothic" w:eastAsia="MS Gothic" w:cs="MS Gothic"/>
                <w:color w:val="auto"/>
                <w:sz w:val="18"/>
                <w:szCs w:val="18"/>
                <w:highlight w:val="none"/>
                <w:lang w:bidi="ar"/>
              </w:rPr>
              <w:t xml:space="preserve">​</w:t>
            </w:r>
            <w:r>
              <w:rPr>
                <w:rFonts w:hint="eastAsia" w:ascii="宋体" w:hAnsi="宋体" w:cs="宋体"/>
                <w:color w:val="auto"/>
                <w:sz w:val="18"/>
                <w:szCs w:val="18"/>
                <w:highlight w:val="none"/>
                <w:lang w:bidi="ar"/>
              </w:rPr>
              <w:t xml:space="preserve">设备尺寸：≥200×40×52cm。</w:t>
            </w:r>
            <w:r>
              <w:rPr>
                <w:rFonts w:hint="eastAsia" w:ascii="MS Gothic" w:hAnsi="MS Gothic" w:eastAsia="MS Gothic" w:cs="MS Gothic"/>
                <w:color w:val="auto"/>
                <w:sz w:val="18"/>
                <w:szCs w:val="18"/>
                <w:highlight w:val="none"/>
                <w:lang w:bidi="ar"/>
              </w:rPr>
              <w:t xml:space="preserve">​</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5.实现功能</w:t>
            </w:r>
            <w:r>
              <w:rPr>
                <w:rFonts w:hint="eastAsia" w:ascii="MS Gothic" w:hAnsi="MS Gothic" w:eastAsia="MS Gothic" w:cs="MS Gothic"/>
                <w:color w:val="auto"/>
                <w:sz w:val="18"/>
                <w:szCs w:val="18"/>
                <w:highlight w:val="none"/>
                <w:lang w:bidi="ar"/>
              </w:rPr>
              <w:t xml:space="preserve">​</w:t>
            </w:r>
            <w:r>
              <w:rPr>
                <w:rFonts w:hint="eastAsia" w:ascii="宋体" w:hAnsi="宋体" w:cs="宋体"/>
                <w:color w:val="auto"/>
                <w:sz w:val="18"/>
                <w:szCs w:val="18"/>
                <w:highlight w:val="none"/>
                <w:lang w:bidi="ar"/>
              </w:rPr>
              <w:t xml:space="preserve">：可直观演示多种改变空气折射率的实验场景（包括电吹风机吹出的气流、打火机点火产生的热气流、蜡烛燃烧产生的白烟、手掌散发的温度场、二氧化碳倒入杯中形成的密度差、气球放气形成的气流等）。该设备还可适配化学实验（如氧气制备过程中的气流变化观测），并能配合阵列超声悬浮，实现空气驻波的可视化观察。</w:t>
            </w:r>
            <w:r>
              <w:rPr>
                <w:rFonts w:hint="eastAsia" w:ascii="MS Gothic" w:hAnsi="MS Gothic" w:eastAsia="MS Gothic" w:cs="MS Gothic"/>
                <w:color w:val="auto"/>
                <w:sz w:val="18"/>
                <w:szCs w:val="18"/>
                <w:highlight w:val="none"/>
                <w:lang w:bidi="ar"/>
              </w:rPr>
              <w:t xml:space="preserve">​</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256</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激光光学演示仪</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产品由激光器、扩束器、分束器、演示屏、度盘、移动尺及光学附件组成。激光器机箱及演示屏均采用厚度不小于1mm的铁板制作，机箱外形尺寸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415×140×120mm，演示屏尺寸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350×280mm；度盘直径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160mm。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257</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微型物理光学观察器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产品由微型激光器、多功能圆盘、横向纵向调节螺丝组成。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圆盘集单缝、双缝、三缝、多缝、单丝、小孔、异形孔、刀口于一体。</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多功能圆盘可随调节螺丝横向纵向调节。</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微型激光器底部可开启，需要两节干电池作电源。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观察器底板尺寸：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185mm×64mm×12mm。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微型激光器头部上端离底座</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131mm，多功能圆盘上端离底座最高</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141mm、最低</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122mm。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258</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双缝干涉实验仪</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双缝干涉实验仪是高中物理学生实验仪器，他与光具座和学生电源配套使用，可以观察白光和单色光通过双缝所产生的干涉图样，并可测量单色光的波长，如配上合适的单缝或多缝，可以观察单缝衍射和多缝衍射现象。</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259</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牛顿环</w:t>
            </w:r>
            <w:r/>
          </w:p>
        </w:tc>
        <w:tc>
          <w:tcPr>
            <w:shd w:val="clear" w:color="auto" w:fill="auto"/>
            <w:tcMar>
              <w:left w:w="15" w:type="dxa"/>
              <w:top w:w="15" w:type="dxa"/>
              <w:right w:w="15" w:type="dxa"/>
            </w:tcMar>
            <w:tcW w:w="3108" w:type="pct"/>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牛顿环带有平凸透镜玻璃片，直径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4.5CM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260</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光导纤维应用演示器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光导纤维是利用光导纤维制成的传光束作为传声、传像媒体，并结合光电效应、电子技术等结合成一个导光演示装置。</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主要技术参数：</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传声功率：≥300mW</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工作电源电压：DC6V</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261</w:t>
            </w:r>
            <w:r/>
          </w:p>
        </w:tc>
        <w:tc>
          <w:tcPr>
            <w:gridSpan w:val="2"/>
            <w:shd w:val="clear" w:color="auto" w:fill="auto"/>
            <w:tcMar>
              <w:left w:w="15" w:type="dxa"/>
              <w:top w:w="15" w:type="dxa"/>
              <w:right w:w="15" w:type="dxa"/>
            </w:tcMar>
            <w:tcW w:w="821"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光的偏振观察器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该仪器由带座框的两块偏振片组成，偏振片直径30～40㎜，座框外缘带有指示刻度和0～360°刻度，每一小格45°。</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262</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紫外线作用演示器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该仪器主体结构由约6W</w:t>
            </w:r>
            <w:r>
              <w:rPr>
                <w:rFonts w:hint="eastAsia" w:ascii="宋体" w:hAnsi="宋体" w:cs="宋体"/>
                <w:color w:val="auto"/>
                <w:sz w:val="18"/>
                <w:szCs w:val="18"/>
                <w:highlight w:val="none"/>
                <w:lang w:val="en-US" w:eastAsia="zh-CN" w:bidi="ar"/>
              </w:rPr>
              <w:t xml:space="preserve">光源</w:t>
            </w:r>
            <w:r>
              <w:rPr>
                <w:rFonts w:hint="eastAsia" w:ascii="宋体" w:hAnsi="宋体" w:cs="宋体"/>
                <w:color w:val="auto"/>
                <w:sz w:val="18"/>
                <w:szCs w:val="18"/>
                <w:highlight w:val="none"/>
                <w:lang w:bidi="ar"/>
              </w:rPr>
              <w:t xml:space="preserve">、254nm紫外线</w:t>
            </w:r>
            <w:r>
              <w:rPr>
                <w:rFonts w:hint="eastAsia" w:ascii="宋体" w:hAnsi="宋体" w:cs="宋体"/>
                <w:color w:val="auto"/>
                <w:sz w:val="18"/>
                <w:szCs w:val="18"/>
                <w:highlight w:val="none"/>
                <w:lang w:val="en-US" w:eastAsia="zh-CN" w:bidi="ar"/>
              </w:rPr>
              <w:t xml:space="preserve">光源</w:t>
            </w:r>
            <w:r>
              <w:rPr>
                <w:rFonts w:hint="eastAsia" w:ascii="宋体" w:hAnsi="宋体" w:cs="宋体"/>
                <w:color w:val="auto"/>
                <w:sz w:val="18"/>
                <w:szCs w:val="18"/>
                <w:highlight w:val="none"/>
                <w:lang w:bidi="ar"/>
              </w:rPr>
              <w:t xml:space="preserve">，365nm紫外线</w:t>
            </w:r>
            <w:r>
              <w:rPr>
                <w:rFonts w:hint="eastAsia" w:ascii="宋体" w:hAnsi="宋体" w:cs="宋体"/>
                <w:color w:val="auto"/>
                <w:sz w:val="18"/>
                <w:szCs w:val="18"/>
                <w:highlight w:val="none"/>
                <w:lang w:val="en-US" w:eastAsia="zh-CN" w:bidi="ar"/>
              </w:rPr>
              <w:t xml:space="preserve">光源</w:t>
            </w:r>
            <w:r>
              <w:rPr>
                <w:rFonts w:hint="eastAsia" w:ascii="宋体" w:hAnsi="宋体" w:cs="宋体"/>
                <w:color w:val="auto"/>
                <w:sz w:val="18"/>
                <w:szCs w:val="18"/>
                <w:highlight w:val="none"/>
                <w:lang w:bidi="ar"/>
              </w:rPr>
              <w:t xml:space="preserve">及滤色片、荧光片组成。2. 主要部件不少于：1) 滤色片4片。2) 防紫外线辐射罩壳。3) 防护罩壳固定罗丝。4) 白光、紫外线转换开头S1。  5) 254nm、365nm转换开关S2  。6) 电源开关S3 。 7) 底座 。8) 6W日光灯管 。9) H型254nm紫外线灯管。  10) 6W365nm紫外线灯管。 11) L为镇流器。3． 技术指标：1) 使用电压：220V±10%  AC 50-60Hz。2) 整机功率：＜12W。3＝ 灯管寿命：＞500小时。 </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263</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红外线作用演示器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仿宋_GB2312" w:hAnsi="宋体" w:eastAsia="仿宋_GB2312" w:cs="仿宋_GB2312"/>
                <w:color w:val="auto"/>
                <w:sz w:val="18"/>
                <w:szCs w:val="18"/>
                <w:highlight w:val="none"/>
              </w:rPr>
            </w:pPr>
            <w:r>
              <w:rPr>
                <w:rFonts w:hint="eastAsia" w:ascii="宋体" w:hAnsi="宋体" w:cs="宋体"/>
                <w:color w:val="auto"/>
                <w:sz w:val="18"/>
                <w:szCs w:val="18"/>
                <w:highlight w:val="none"/>
                <w:lang w:bidi="ar"/>
              </w:rPr>
              <w:t xml:space="preserve">1.本仪器由光阑（缝长不小于25mm，宽度不大于3mm）、三棱镜（顶角为60°±0.5°C）、毛玻璃屏、凹面镜、热辐射体、传感器光敏管、红外线发射管和接收管相对距离不小于90mm、能演示有关红外线的发现、性质和应用三组实验，操作方便、主动直观。2. 工作方便。3. 光源电压：12V±10%(AC或DC) 。光源电流：2～2.5A。4. 控制器电压：3V（DC）。5. 额定输入功率：≤25W。6. 接地说明：本仪器不需接地。</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264</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手持直视分光镜</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实验套件，配合教师授课使用</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265</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棱镜分光镜</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分光镜是中学物理实验仪器，用于说明分光镜的构造，观察连续光谱、明线光谱和吸收光谱、测定谱线的波长及普朗克恒量等</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266</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光谱管组</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光谱管组，带有  6支玻璃管</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267</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钠的吸收光谱演示器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钠的吸收光谱演示器，尺寸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19cm*20cm，由钠管加热炉，手持分光镜，立柱，底盘组成</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268</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光电效应演示器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金属机箱由主机、铜丝网、锌板、日光灯管、紫外线灯管、有机玻璃挡板、硬纸板、防辐射安全罩、灯管移动装置、细砂纸、保险丝、连接线、电源线等组成。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技术参数：</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使用电源：AC220V ±10% 频率50Hz ±2Hz</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在紫外线灯管的照射下产生的电流大于200uA</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产品整体尺寸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245×260×345mm，±2mm(长×宽×高)；</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主机</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260×245×120mm，±2mm(长×宽×高)；</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有机玻璃罩</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160×210×205mm，±2mm(长×宽×高)；</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锌板</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125×155×1mm(长×宽×厚)；</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铜丝网</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105×150mm，±2mm(长×宽)。</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269</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光电效应演示器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成品由主机、铜丝网、锌板、日光灯管、紫外线灯管、有机玻璃挡板、硬纸板、防辐射安全罩、灯管移动装置、细砂纸、保险丝、连接线、电源线等组成。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产品整体尺寸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245mm×260mm×345mm，主机尺寸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260×245×120mm，有机玻璃罩尺寸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160×210×205mm，锌板尺寸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125×155×1mm，铜丝网尺寸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105×150mm。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270</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太阳电池演示器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太阳能演示器由太阳能电池板、支架、音乐声响 器插件和电机插件组成（如图）。用于演示太阳能转 化成电能，并作各种应用。具有结构紧凑、操作简单，直观性强、趣味性强等特点。最大开路电压：3.5V 最大短路电流：50mA 音乐声响器插件工作电压：3V 工作电流：20mA电机插件工作电压：3V 工作电流：30mA </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271</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X射线演示仪</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该仪器采用特制的软X射线管，全封闭式结构，安全可靠，不用暗室。通过重铅防辐射玻璃窗清晰地观察X射线的特性实验，如穿透性， 荧光作用，感光作用，生物作用等。 X管工作电压 ≤30KV 阳极电流 ≤2mA 灯丝连续工作时间 ≥1h</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高压延续时间 ≤30s 　　　　</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电源 AC220V±22V or 110V±10V 50Hz±1Hz 　　　</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外形尺寸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420×260×350m 重量 约27Kg</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272</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盖革计数器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盖革计数器是检测放射性粒子的教学仪器，产品由计数器、探测器及其连线组成，供中学物理演示探测B、r粒子实验用。主要性能及参数：</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1、探测器采用J401γ,β、γ型计数管。</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2、盖革计数器的输出方式有两种：音响装置、数显计数装置。</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3、音响装置为扬声器或蜂鸣器，在标准教室的后排位置可听到响声。</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4、数显装置为红色发光数码管，最大功耗不小于100mW，最大计数为999，溢出后从零开始。</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5、探测器未接收到β或γ粒子时，正常听觉者在1.5米以外，听不到明显的杂音。</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6、外形尺寸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197mm×175mm×81mm。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7、计数管的保护外套拆装方便，与计数管配合良好。</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8、有轻触式复位按钮。</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9面板采用塑料加PVC不干胶面贴。</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273</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威尔逊云雾室</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210*180*190mm，可观察到A粒子的径迹</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274</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高温扩散云室</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220V</w:t>
            </w:r>
            <w:r>
              <w:rPr>
                <w:rFonts w:hint="eastAsia" w:ascii="宋体" w:hAnsi="宋体" w:cs="宋体"/>
                <w:color w:val="auto"/>
                <w:sz w:val="18"/>
                <w:szCs w:val="18"/>
                <w:highlight w:val="none"/>
                <w:lang w:eastAsia="zh-CN" w:bidi="ar"/>
              </w:rPr>
              <w:t xml:space="preserve">（</w:t>
            </w:r>
            <w:r>
              <w:rPr>
                <w:rFonts w:hint="eastAsia" w:ascii="宋体" w:hAnsi="宋体" w:cs="宋体"/>
                <w:color w:val="auto"/>
                <w:sz w:val="18"/>
                <w:szCs w:val="18"/>
                <w:highlight w:val="none"/>
                <w:lang w:val="en-US" w:eastAsia="zh-CN" w:bidi="ar"/>
              </w:rPr>
              <w:t xml:space="preserve">±10%）</w:t>
            </w:r>
            <w:r>
              <w:rPr>
                <w:rFonts w:hint="eastAsia" w:ascii="宋体" w:hAnsi="宋体" w:cs="宋体"/>
                <w:color w:val="auto"/>
                <w:sz w:val="18"/>
                <w:szCs w:val="18"/>
                <w:highlight w:val="none"/>
                <w:lang w:bidi="ar"/>
              </w:rPr>
              <w:t xml:space="preserve">电源，演示持续不间断，云雾现象明显，有专用放射源盒（铝盒内部灌铅），有三个视窗盖拉扣（体现三角固定的稳定性，安全可靠）</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275</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普朗克常量测定器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仪器由光源、光接收-直流放大显示箱（电气箱，内装有光电管）和滤色片等组成</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276</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液压机模型</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1.产品由大缸体、小缸体、角式截止阀、底座和压力弹簧构成。2.外形尺寸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340mmxl35mmx295mm 。3.重量约6．3KG。4.小活塞直径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14mm ，小活塞行程 ≥20mm 。5.大活塞直径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48mm ，大活塞上升高度 ≥50mm。 6.油箱容量约250ml 。7.最大工作压强：18KG／平方厘米 ，最大工作压力：</w:t>
            </w:r>
            <w:r>
              <w:rPr>
                <w:rFonts w:hint="eastAsia" w:ascii="宋体" w:hAnsi="宋体" w:cs="宋体"/>
                <w:color w:val="auto"/>
                <w:sz w:val="18"/>
                <w:szCs w:val="18"/>
                <w:highlight w:val="none"/>
                <w:lang w:val="en-US" w:eastAsia="zh-CN" w:bidi="ar"/>
              </w:rPr>
              <w:t xml:space="preserve">约</w:t>
            </w:r>
            <w:r>
              <w:rPr>
                <w:rFonts w:hint="eastAsia" w:ascii="宋体" w:hAnsi="宋体" w:cs="宋体"/>
                <w:color w:val="auto"/>
                <w:sz w:val="18"/>
                <w:szCs w:val="18"/>
                <w:highlight w:val="none"/>
                <w:lang w:bidi="ar"/>
              </w:rPr>
              <w:t xml:space="preserve">320KG。 8.工作台与顶板不平行度误差小于1mm。 9.在工作环境温度下，有机玻璃缸筒内壁应能耐受35KG/平方厘米压强而不破裂。 10.大活塞承受最大工作压力时，各机件在30分钟内无漏油。 </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277</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汽油机模型</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工作电压：直流1.5V～2V。2． 模型应示汽油机的汽缸体、进汽阀、排汽阀、汽阀弹簧、进汽道、排汽道、活塞、活塞环、连杆、曲轴、飞轮、火花塞、凸轮、水套。3． 模型在演示时，四个冲程工作过程动作准</w:t>
            </w:r>
            <w:r>
              <w:rPr>
                <w:rFonts w:hint="eastAsia" w:ascii="宋体" w:hAnsi="宋体" w:cs="宋体"/>
                <w:color w:val="auto"/>
                <w:sz w:val="18"/>
                <w:szCs w:val="18"/>
                <w:highlight w:val="none"/>
                <w:lang w:bidi="ar"/>
              </w:rPr>
              <w:t xml:space="preserve">确、前后衔接，并配有指示灯说明：冲程 进汽阀 排汽阀 活塞动作 指示灯吸气 打开   关闭   由上而下 吸气口指示灯亮压缩 关闭   关闭   由下而上 在压缩冲程结束及作功冲程开始的瞬间气缸顶部指示灯亮作功 关闭   关闭   由上而下 在压缩冲程结束及作功冲程开始的瞬间气缸顶部指示灯亮排气 关闭   打开   由下而上 排气口指示灯亮4． 仪器的转动和手动部分轻便灵活，无晃动和卡死现象。5． 电路排列整齐、接触良好。6． 用不同颜色表示有关机构。7． 产品主要部件光洁，无毛刺、无缺陷，金属构件应镀铬。</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278</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柴油机模型</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工作电压：直流1.5V～2V。2． 模型应示柴油机的汽缸体、进汽阀、排汽阀、汽阀弹簧、进汽道、排汽道、活塞、活塞环、连杆、曲轴、飞轮、火花塞、凸轮、水套。3． 模型在演示时，四个冲程工作过程动作准确、前后衔接，并配有</w:t>
            </w:r>
            <w:r>
              <w:rPr>
                <w:rFonts w:hint="eastAsia" w:ascii="宋体" w:hAnsi="宋体" w:cs="宋体"/>
                <w:color w:val="auto"/>
                <w:sz w:val="18"/>
                <w:szCs w:val="18"/>
                <w:highlight w:val="none"/>
                <w:lang w:bidi="ar"/>
              </w:rPr>
              <w:t xml:space="preserve">指示灯说明（见下表）：冲程 进汽阀 排汽阀 活塞动作  指示灯吸气 打开   关闭   由上而下  吸气口指示灯亮压缩 关闭   关闭   由下而上  在压缩冲程结束及作功冲程开始的瞬间气缸顶部指示灯亮作功 关闭   关闭   由上而下  在压缩冲程结束及作功冲程开始的瞬间气缸顶部指示灯亮排气 关闭   打开   由下而上  排气口指示灯亮4． 仪器的转动和手动部分轻便灵活，无晃动和卡死现象。5． 电路排列整齐、接触良好。6． 用不同颜色表示有关机构。7． 产品主要部件光洁，无毛刺、无缺陷，金属构件应镀铬。</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279</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磁分子模型</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磁分子模型主要由衬板、磁分子和吸转叶片及其支座组成。2． 磁分子模型的结构。a. 衬板由塑料或木材制成，板面尺寸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长270mm，宽170mm。衬板的色泽对磁分子的衬托要醒目，支座应平稳。B. 磁分子为：长为</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40mm，宽为</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12mm，两端为R6弧形的磁针。磁分子的排列为三排六行，间距为</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6mm，中心轴为可拆式。磁分子的北极（N）为红色，南极（S）为白色。</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280</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离心机械模型</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由离心干燥器，离心分离器，离心变速器组成。</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281</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晶体空间点阵模型</w:t>
            </w:r>
            <w:r/>
          </w:p>
        </w:tc>
        <w:tc>
          <w:tcPr>
            <w:shd w:val="clear" w:color="auto" w:fill="auto"/>
            <w:tcMar>
              <w:left w:w="15" w:type="dxa"/>
              <w:top w:w="15" w:type="dxa"/>
              <w:right w:w="15" w:type="dxa"/>
            </w:tcMar>
            <w:tcW w:w="3108" w:type="pct"/>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1.碳的同素异构体模型，包括金刚石、石墨、碳60，石墨烯4种结构模型，球管式，可拆卸。2.2氧化硅晶体模型，球直径  25mm。金属晶体模型，球直径  30mm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282</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蒸汽机模型</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吹动式1、工作压力：0.2bar；转数：300r/min～1000r/min；吹动式。</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 组成：由气缸、活塞、连杆、小飞轮、汽室、滑阀、凸轮、大飞轮、飞轮支架、底板组成。</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283</w:t>
            </w:r>
            <w:r/>
          </w:p>
        </w:tc>
        <w:tc>
          <w:tcPr>
            <w:gridSpan w:val="2"/>
            <w:shd w:val="clear" w:color="auto" w:fill="auto"/>
            <w:tcMar>
              <w:left w:w="15" w:type="dxa"/>
              <w:top w:w="15" w:type="dxa"/>
              <w:right w:w="15" w:type="dxa"/>
            </w:tcMar>
            <w:tcW w:w="821"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蒸汽轮机模型</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1.产品由外汽缸、缸体剖视体、叶轮支架、叶轮、叶轮轴、汽缸支架、底座等组成。2.所有材质为金属、有机玻璃、塑料制。外汽缸为透明塑料。为可动模型</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284</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燃气轮机模型</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透明有机材料 外形尺寸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200*125*131mm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285</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高压输变电模拟演示器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由演示板、升圧变压器、降圧变压器、转换开关、指示灯等组成塑料外框 外形尺寸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520*395*35mm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286</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车床变速器模型</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全透明外壳，有机材料 外形尺寸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170*145*90mm亚克力齿轮，铝合金轴心，可调档变速</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287</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汽车变速箱模型</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全透明外壳，有机材料 外形尺寸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170*145*90mm亚克力齿轮，铝合金轴心，可调档变速</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288</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机械机构模型</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曲柄摇杆机构、双曲柄机构、双摇杆机构、曲柄滑块机构、凸轮机构</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289</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机械传动模型</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含齿轮传动、皮带传动、链传动、蜗轮蜗杆传动、摩擦轮传动</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290</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液压传动模型</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液压千斤顶结构，液压缸内活塞、液压泵和单向阀工作过程清晰，全透明设计           </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外形尺寸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284*125*185mm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291</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汽车刹车系统模型</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全透明设计，真实演示汽车刹车的工作原理和工作全过程  外形尺寸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284*123*80mm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292</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量筒</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1．标称容量：10ml，量入式允差±0.1ml，量出式允差±0.2ml。</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2．最小分度：0.2ml。</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3．最高标线到内底最小距离：70mm。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4．最高标线到筒顶最小距离：25mm。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5．全高：约135mm±5mm。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6．壁厚：不小于1mm。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293</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量筒</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1．标称容量：50ml，量入式允差±0.25ml，量出式允差±1.0ml。</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2．最小分度：1.0ml。</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3．最高标线到内底最小距离：110mm。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4．最高标线到筒顶最小距离：30mm。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5．全高：195mm±10mm。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6．壁厚：不小于1mm。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7．产品符合《玻璃仪器通用技术要求》。</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8．产品符合GB12804－91《实验室玻璃仪器——量筒》的要求</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294</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量杯</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250mL，材质高硼硅玻璃</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295</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烧杯</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25mL产品用硼硅玻璃制造。具底仪器应放置平稳。仪器的口部都应经磨砂、熔光或卷边处理。刻有标度的仪器，刻线应精确、清晰。外形平整、薄厚均匀，无明显偏斜。不应有薄皮气泡、透明疙瘩、结石、条纹等缺陷。产品应消除内应力。在应力计下呈紫红色。</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296</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烧杯</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500mL产品用硼硅玻璃制造。具底仪器应放置平稳。仪器的口部都应经磨砂、熔光或卷边处理。刻有标度的仪器，刻线应精确、清晰。外形平整、薄厚均匀，无明显偏斜。不应有薄皮气泡、透明疙瘩、结石、条纹等缺陷。产品应消除内应力。</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297</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烧瓶</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1．规格：平底，250ml。</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2．尺寸：瓶身直径：88±2mm；瓶底直径：44±1mm；瓶颈外径：25±1mm；瓶颈长88±3mm；瓶身厚：不小于1.2mm。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3．底部不允许有结石、节瘤存在。</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298</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烧瓶</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1．规格：圆底，500ml。</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2．尺寸：瓶身外径：110±2mm；瓶颈外径：29±1mm；瓶颈长110±3mm；瓶身厚：不小于1.5mm。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3．底部不允许有结石、节瘤存在。</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299</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漏斗</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1．规格：90mm。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2．漏斗口径：90mm±2mm；厚度：约2mm。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3．漏斗：72mm±1mm；斗柄外径：Φ10mm－11mm；斗柄长90mm±5mm；漏斗角度：60º。</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4．口边光滑平整，无毛边、快口及崩缺，角度正确，口边不得呈椭圆形及部规则多边形，斗柄应垂直，下口应磨成45º角，并将斜口边倒角不呈缺口。</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5．壁厚均匀，内壁光滑，斗柄接头处不允许严重折皱，斗柄垂直偏正不超过3－5mm。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300</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分液漏斗</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1．球形，50ml。</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301</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平底管</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φ12mm×150mm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302</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T形管</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1．直径Φ7－8mm，直通管长度100mm，垂直管长度50mm。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2．灯工焊接牢固，口部平整烘光。</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303</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可密封长玻璃管</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可密封长玻璃管</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304</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镊子</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不锈钢</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305</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陶土网</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陶土材质，尺寸不小于125mm×125mm，0.8mm钢丝制成</w:t>
            </w:r>
            <w:r/>
          </w:p>
        </w:tc>
        <w:tc>
          <w:tcPr>
            <w:gridSpan w:val="2"/>
            <w:shd w:val="clear" w:color="auto" w:fill="auto"/>
            <w:tcMar>
              <w:left w:w="15" w:type="dxa"/>
              <w:top w:w="15" w:type="dxa"/>
              <w:right w:w="15" w:type="dxa"/>
            </w:tcMar>
            <w:tcW w:w="361"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306</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玻璃管</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材质：玻璃</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千克</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307</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乳胶管</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1．产品用优质乳胶制造。</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2．产品内径为5~6㎜，壁厚1㎜。</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米</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 </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308</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bidi="ar"/>
              </w:rPr>
              <w:t xml:space="preserve">研究非晶体的熔化特点</w:t>
            </w:r>
            <w:r>
              <w:rPr>
                <w:rFonts w:hint="eastAsia" w:ascii="宋体" w:hAnsi="宋体" w:cs="宋体"/>
                <w:color w:val="auto"/>
                <w:sz w:val="18"/>
                <w:szCs w:val="18"/>
                <w:highlight w:val="none"/>
                <w:lang w:val="en-US" w:eastAsia="zh-CN" w:bidi="ar"/>
              </w:rPr>
              <w:t xml:space="preserve">实验用耗材</w:t>
            </w:r>
            <w:r/>
          </w:p>
        </w:tc>
        <w:tc>
          <w:tcPr>
            <w:shd w:val="clear" w:color="auto" w:fill="auto"/>
            <w:tcMar>
              <w:left w:w="15" w:type="dxa"/>
              <w:top w:w="15" w:type="dxa"/>
              <w:right w:w="15" w:type="dxa"/>
            </w:tcMar>
            <w:tcW w:w="3108" w:type="pct"/>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val="en-US" w:eastAsia="zh-CN" w:bidi="ar"/>
              </w:rPr>
              <w:t xml:space="preserve">外</w:t>
            </w:r>
            <w:r>
              <w:rPr>
                <w:rFonts w:hint="eastAsia" w:ascii="宋体" w:hAnsi="宋体" w:cs="宋体"/>
                <w:color w:val="auto"/>
                <w:sz w:val="18"/>
                <w:szCs w:val="18"/>
                <w:highlight w:val="none"/>
                <w:lang w:bidi="ar"/>
              </w:rPr>
              <w:t xml:space="preserve">观：白色或淡黄色固体，无味无臭</w:t>
            </w:r>
            <w:r/>
          </w:p>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熔点：55～65 ℃</w:t>
            </w:r>
            <w:r/>
          </w:p>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滴熔点：约 60～70 ℃</w:t>
            </w:r>
            <w:r/>
          </w:p>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密度（25℃）：0.87～0.92 g/cm³</w:t>
            </w:r>
            <w:r/>
          </w:p>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含油量：≤0.5%～1.5%（精制级）</w:t>
            </w:r>
            <w:r/>
          </w:p>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光安定性：≤4～6 号（不褪色）</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千克</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309</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bidi="ar"/>
              </w:rPr>
              <w:t xml:space="preserve">油膜法</w:t>
            </w:r>
            <w:r>
              <w:rPr>
                <w:rFonts w:hint="eastAsia" w:ascii="宋体" w:hAnsi="宋体" w:cs="宋体"/>
                <w:color w:val="auto"/>
                <w:sz w:val="18"/>
                <w:szCs w:val="18"/>
                <w:highlight w:val="none"/>
                <w:lang w:val="en-US" w:eastAsia="zh-CN" w:bidi="ar"/>
              </w:rPr>
              <w:t xml:space="preserve">实验用耗材</w:t>
            </w:r>
            <w:r/>
          </w:p>
        </w:tc>
        <w:tc>
          <w:tcPr>
            <w:shd w:val="clear" w:color="auto" w:fill="auto"/>
            <w:tcMar>
              <w:left w:w="15" w:type="dxa"/>
              <w:top w:w="15" w:type="dxa"/>
              <w:right w:w="15" w:type="dxa"/>
            </w:tcMar>
            <w:tcW w:w="3108" w:type="pct"/>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外观：无色至淡黄色透明油状液体</w:t>
            </w:r>
            <w:r/>
          </w:p>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纯度：≥90%（实验常用≥95%）</w:t>
            </w:r>
            <w:r/>
          </w:p>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用途：油膜法估测分子大小、乳化剂、润滑剂</w:t>
            </w:r>
            <w:r/>
          </w:p>
          <w:p>
            <w:pPr>
              <w:jc w:val="left"/>
              <w:widowControl/>
              <w:rPr>
                <w:rFonts w:hint="default" w:ascii="宋体" w:hAnsi="宋体" w:eastAsia="宋体" w:cs="宋体"/>
                <w:color w:val="auto"/>
                <w:sz w:val="18"/>
                <w:szCs w:val="18"/>
                <w:highlight w:val="none"/>
                <w:lang w:val="en-US" w:eastAsia="zh-CN" w:bidi="ar"/>
              </w:rPr>
            </w:pPr>
            <w:r>
              <w:rPr>
                <w:rFonts w:hint="eastAsia" w:ascii="宋体" w:hAnsi="宋体" w:cs="宋体"/>
                <w:color w:val="auto"/>
                <w:sz w:val="18"/>
                <w:szCs w:val="18"/>
                <w:highlight w:val="none"/>
                <w:lang w:val="en-US" w:eastAsia="zh-CN" w:bidi="ar"/>
              </w:rPr>
              <w:t xml:space="preserve">不少于100ml</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份</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310</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val="en-US" w:eastAsia="zh-CN" w:bidi="ar"/>
              </w:rPr>
              <w:t xml:space="preserve">物理电学用</w:t>
            </w:r>
            <w:r>
              <w:rPr>
                <w:rFonts w:hint="eastAsia" w:ascii="宋体" w:hAnsi="宋体" w:cs="宋体"/>
                <w:color w:val="auto"/>
                <w:sz w:val="18"/>
                <w:szCs w:val="18"/>
                <w:highlight w:val="none"/>
                <w:lang w:bidi="ar"/>
              </w:rPr>
              <w:t xml:space="preserve">材料</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插口夹、香蕉插头、电阻丝、锌片、铜片、</w:t>
            </w:r>
            <w:r>
              <w:rPr>
                <w:rFonts w:hint="eastAsia" w:ascii="宋体" w:hAnsi="宋体" w:cs="宋体"/>
                <w:color w:val="auto"/>
                <w:sz w:val="18"/>
                <w:szCs w:val="18"/>
                <w:highlight w:val="none"/>
                <w:lang w:val="en-US" w:eastAsia="zh-CN" w:bidi="ar"/>
              </w:rPr>
              <w:t xml:space="preserve">能源储存器</w:t>
            </w:r>
            <w:r>
              <w:rPr>
                <w:rFonts w:hint="eastAsia" w:ascii="宋体" w:hAnsi="宋体" w:cs="宋体"/>
                <w:color w:val="auto"/>
                <w:sz w:val="18"/>
                <w:szCs w:val="18"/>
                <w:highlight w:val="none"/>
                <w:lang w:bidi="ar"/>
              </w:rPr>
              <w:t xml:space="preserve">、保险丝、保险管(不同规格的合金熔丝、保险管)、焊锡、绝缘胶布、导线等各不少于1个</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311</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电子元件</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电阻(碳膜电阻、瓷管电阻、线绕电阻、电位器、光敏电阻、热敏电阻等)；玩具电动机、电磁继电器、电容、电感、二极管、发光二极管、三极管、集成电路块等各不少于1个</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312</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bidi="ar"/>
              </w:rPr>
              <w:t xml:space="preserve">家庭电路器材</w:t>
            </w:r>
            <w:r>
              <w:rPr>
                <w:rFonts w:hint="eastAsia" w:ascii="宋体" w:hAnsi="宋体" w:cs="宋体"/>
                <w:color w:val="auto"/>
                <w:sz w:val="18"/>
                <w:szCs w:val="18"/>
                <w:highlight w:val="none"/>
                <w:lang w:val="en-US" w:eastAsia="zh-CN" w:bidi="ar"/>
              </w:rPr>
              <w:t xml:space="preserve">模型套装</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空气开关、漏电保护器、螺丝口灯座、卡口灯座、三孔插座、三孔插头、插入式保险盒、拉线开关、按钮开关、声控开关、光控开关、导线等各不少于1个</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313</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一般材料</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磁性橡胶片、乒乓球、大头针、回形针、橡胶泥、透明胶带、小蜡烛、灯芯、火柴、塑料板、木板、玻璃板、毛巾、棉布、橡皮筋、气球、塑料薄膜、锡箔纸、乳胶管、黄铜片、锌片等等各不少于1个</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314</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bidi="ar"/>
              </w:rPr>
              <w:t xml:space="preserve">增加</w:t>
            </w:r>
            <w:r>
              <w:rPr>
                <w:rFonts w:hint="eastAsia" w:ascii="宋体" w:hAnsi="宋体" w:cs="宋体"/>
                <w:color w:val="auto"/>
                <w:sz w:val="18"/>
                <w:szCs w:val="18"/>
                <w:highlight w:val="none"/>
                <w:lang w:val="en-US" w:eastAsia="zh-CN" w:bidi="ar"/>
              </w:rPr>
              <w:t xml:space="preserve">材料模型</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鳄鱼夹*100、30cm导线*100、白炽灯泡各60个、碳膜电阻*120个、电容4700μF*60个、二极管*60个、发光二极管*60个、大头针*2盒、图钉*2盒、20kΩ定值电阻*60个、木板（50*40cm）*60个、橡皮筋*2盒子、重锤线*60，三角板*60，圆规*60，验证机械能守恒用重物*60个，粉筛*60个，图钉*60盒等各不少于1份</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315</w:t>
            </w:r>
            <w:r/>
          </w:p>
        </w:tc>
        <w:tc>
          <w:tcPr>
            <w:gridSpan w:val="2"/>
            <w:shd w:val="clear" w:color="auto" w:fill="auto"/>
            <w:tcMar>
              <w:left w:w="15" w:type="dxa"/>
              <w:top w:w="15" w:type="dxa"/>
              <w:right w:w="15" w:type="dxa"/>
            </w:tcMar>
            <w:tcW w:w="821"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铁架台实验套装</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产品由底座、烧杯夹、大小铁环、垂直夹、平行夹、立杆等组成</w:t>
            </w:r>
            <w:r/>
          </w:p>
        </w:tc>
        <w:tc>
          <w:tcPr>
            <w:gridSpan w:val="2"/>
            <w:shd w:val="clear" w:color="auto" w:fill="auto"/>
            <w:tcMar>
              <w:left w:w="15" w:type="dxa"/>
              <w:top w:w="15" w:type="dxa"/>
              <w:right w:w="15" w:type="dxa"/>
            </w:tcMar>
            <w:tcW w:w="361"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316</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bidi="ar"/>
              </w:rPr>
              <w:t xml:space="preserve">电源储存器</w:t>
            </w:r>
            <w:r/>
          </w:p>
        </w:tc>
        <w:tc>
          <w:tcPr>
            <w:shd w:val="clear" w:color="auto" w:fill="auto"/>
            <w:tcMar>
              <w:left w:w="15" w:type="dxa"/>
              <w:top w:w="15" w:type="dxa"/>
              <w:right w:w="15" w:type="dxa"/>
            </w:tcMar>
            <w:tcW w:w="3108" w:type="pct"/>
            <w:vAlign w:val="center"/>
            <w:textDirection w:val="lrTb"/>
            <w:noWrap w:val="false"/>
          </w:tcPr>
          <w:p>
            <w:pPr>
              <w:jc w:val="left"/>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容</w:t>
            </w:r>
            <w:r>
              <w:rPr>
                <w:rFonts w:hint="eastAsia" w:ascii="宋体" w:hAnsi="宋体" w:cs="宋体"/>
                <w:color w:val="auto"/>
                <w:sz w:val="18"/>
                <w:szCs w:val="18"/>
                <w:highlight w:val="none"/>
                <w:lang w:val="en-US" w:eastAsia="zh-CN" w:bidi="ar"/>
              </w:rPr>
              <w:t xml:space="preserve">量≥3000</w:t>
            </w:r>
            <w:r>
              <w:rPr>
                <w:rFonts w:hint="eastAsia" w:ascii="宋体" w:hAnsi="宋体" w:cs="宋体"/>
                <w:color w:val="auto"/>
                <w:sz w:val="18"/>
                <w:szCs w:val="18"/>
                <w:highlight w:val="none"/>
                <w:lang w:bidi="ar"/>
              </w:rPr>
              <w:t xml:space="preserve">容量（mAh）</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组</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317</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电珠</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1.5V或2.5V或3.8V</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318</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bidi="ar"/>
              </w:rPr>
              <w:t xml:space="preserve">探究表面张力实验用耗材</w:t>
            </w:r>
            <w:r/>
          </w:p>
        </w:tc>
        <w:tc>
          <w:tcPr>
            <w:shd w:val="clear" w:color="auto" w:fill="auto"/>
            <w:tcMar>
              <w:left w:w="15" w:type="dxa"/>
              <w:top w:w="15" w:type="dxa"/>
              <w:right w:w="15" w:type="dxa"/>
            </w:tcMar>
            <w:tcW w:w="3108" w:type="pct"/>
            <w:vAlign w:val="center"/>
            <w:textDirection w:val="lrTb"/>
            <w:noWrap w:val="false"/>
          </w:tcPr>
          <w:p>
            <w:pPr>
              <w:jc w:val="left"/>
              <w:widowControl/>
              <w:rPr>
                <w:rFonts w:hint="eastAsia" w:ascii="宋体" w:hAnsi="宋体" w:cs="宋体"/>
                <w:color w:val="auto"/>
                <w:sz w:val="18"/>
                <w:szCs w:val="18"/>
                <w:highlight w:val="none"/>
                <w:lang w:val="en-US" w:eastAsia="zh-CN" w:bidi="ar"/>
              </w:rPr>
            </w:pPr>
            <w:r>
              <w:rPr>
                <w:rFonts w:hint="eastAsia" w:ascii="宋体" w:hAnsi="宋体" w:cs="宋体"/>
                <w:color w:val="auto"/>
                <w:sz w:val="18"/>
                <w:szCs w:val="18"/>
                <w:highlight w:val="none"/>
                <w:lang w:val="en-US" w:eastAsia="zh-CN" w:bidi="ar"/>
              </w:rPr>
              <w:t xml:space="preserve">外观：无色或淡黄色透明液体</w:t>
            </w:r>
            <w:r/>
          </w:p>
          <w:p>
            <w:pPr>
              <w:jc w:val="left"/>
              <w:widowControl/>
              <w:rPr>
                <w:rFonts w:hint="eastAsia" w:ascii="宋体" w:hAnsi="宋体" w:cs="宋体"/>
                <w:color w:val="auto"/>
                <w:sz w:val="18"/>
                <w:szCs w:val="18"/>
                <w:highlight w:val="none"/>
                <w:lang w:val="en-US" w:eastAsia="zh-CN" w:bidi="ar"/>
              </w:rPr>
            </w:pPr>
            <w:r>
              <w:rPr>
                <w:rFonts w:hint="eastAsia" w:ascii="宋体" w:hAnsi="宋体" w:cs="宋体"/>
                <w:color w:val="auto"/>
                <w:sz w:val="18"/>
                <w:szCs w:val="18"/>
                <w:highlight w:val="none"/>
                <w:lang w:val="en-US" w:eastAsia="zh-CN" w:bidi="ar"/>
              </w:rPr>
              <w:t xml:space="preserve">pH 值：6.5～8.0（中性 / 弱碱性，不伤仪器）</w:t>
            </w:r>
            <w:r/>
          </w:p>
          <w:p>
            <w:pPr>
              <w:jc w:val="left"/>
              <w:widowControl/>
              <w:rPr>
                <w:rFonts w:hint="eastAsia" w:ascii="宋体" w:hAnsi="宋体" w:cs="宋体"/>
                <w:color w:val="auto"/>
                <w:sz w:val="18"/>
                <w:szCs w:val="18"/>
                <w:highlight w:val="none"/>
                <w:lang w:val="en-US" w:eastAsia="zh-CN" w:bidi="ar"/>
              </w:rPr>
            </w:pPr>
            <w:r>
              <w:rPr>
                <w:rFonts w:hint="eastAsia" w:ascii="宋体" w:hAnsi="宋体" w:cs="宋体"/>
                <w:color w:val="auto"/>
                <w:sz w:val="18"/>
                <w:szCs w:val="18"/>
                <w:highlight w:val="none"/>
                <w:lang w:val="en-US" w:eastAsia="zh-CN" w:bidi="ar"/>
              </w:rPr>
              <w:t xml:space="preserve">主要成分：表面活性剂</w:t>
            </w:r>
            <w:r/>
          </w:p>
          <w:p>
            <w:pPr>
              <w:jc w:val="left"/>
              <w:widowControl/>
              <w:rPr>
                <w:rFonts w:hint="eastAsia" w:ascii="宋体" w:hAnsi="宋体" w:cs="宋体"/>
                <w:color w:val="auto"/>
                <w:sz w:val="18"/>
                <w:szCs w:val="18"/>
                <w:highlight w:val="none"/>
                <w:lang w:val="en-US" w:eastAsia="zh-CN" w:bidi="ar"/>
              </w:rPr>
            </w:pPr>
            <w:r>
              <w:rPr>
                <w:rFonts w:hint="eastAsia" w:ascii="宋体" w:hAnsi="宋体" w:cs="宋体"/>
                <w:color w:val="auto"/>
                <w:sz w:val="18"/>
                <w:szCs w:val="18"/>
                <w:highlight w:val="none"/>
                <w:lang w:val="en-US" w:eastAsia="zh-CN" w:bidi="ar"/>
              </w:rPr>
              <w:t xml:space="preserve">功能：降低水的表面张力</w:t>
            </w:r>
            <w:r/>
          </w:p>
          <w:p>
            <w:pPr>
              <w:jc w:val="left"/>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bidi="ar"/>
              </w:rPr>
              <w:t xml:space="preserve">规格：1000ml</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瓶</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319</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bidi="ar"/>
              </w:rPr>
              <w:t xml:space="preserve">非晶体熔化特点用耗材</w:t>
            </w:r>
            <w:r/>
          </w:p>
        </w:tc>
        <w:tc>
          <w:tcPr>
            <w:shd w:val="clear" w:color="auto" w:fill="auto"/>
            <w:tcMar>
              <w:left w:w="15" w:type="dxa"/>
              <w:top w:w="15" w:type="dxa"/>
              <w:right w:w="15" w:type="dxa"/>
            </w:tcMar>
            <w:tcW w:w="3108" w:type="pct"/>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外观：黄色或白色固体，有蜡质感</w:t>
            </w:r>
            <w:r/>
          </w:p>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状态：常温固态，加热软化</w:t>
            </w:r>
            <w:r/>
          </w:p>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熔点：62～67 ℃</w:t>
            </w:r>
            <w:r/>
          </w:p>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密度：0.95～0.97 g/cm³</w:t>
            </w:r>
            <w:r/>
          </w:p>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溶解性：不溶于水，溶于有机溶剂</w:t>
            </w:r>
            <w:r/>
          </w:p>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导热性：差，受热易局部熔化</w:t>
            </w:r>
            <w:r/>
          </w:p>
          <w:p>
            <w:pPr>
              <w:jc w:val="left"/>
              <w:widowControl/>
              <w:rPr>
                <w:rFonts w:hint="default" w:ascii="宋体" w:hAnsi="宋体" w:eastAsia="宋体" w:cs="宋体"/>
                <w:color w:val="auto"/>
                <w:sz w:val="18"/>
                <w:szCs w:val="18"/>
                <w:highlight w:val="none"/>
                <w:lang w:val="en-US" w:eastAsia="zh-CN" w:bidi="ar"/>
              </w:rPr>
            </w:pPr>
            <w:r>
              <w:rPr>
                <w:rFonts w:hint="eastAsia" w:ascii="宋体" w:hAnsi="宋体" w:cs="宋体"/>
                <w:color w:val="auto"/>
                <w:sz w:val="18"/>
                <w:szCs w:val="18"/>
                <w:highlight w:val="none"/>
                <w:lang w:val="en-US" w:eastAsia="zh-CN" w:bidi="ar"/>
              </w:rPr>
              <w:t xml:space="preserve">规格50g</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份</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320</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集成电路实验板(面包板)</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集成电路实验板(面包板)</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321</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传感器器材</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各种温度传感器(双金属片、热电偶、铂电阻、铜电阻、热敏电阻、半导体、感温铁氧体)、光敏电阻、硅光电池、光电二极管、湿敏电阻、干簧管、霍尔元件、气体压强传感器、酒精气体传感器等</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322</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晶体和非晶体样品</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实验套件，配合教师授课使用</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323</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滚珠盒</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自行车小滚珠不少于200粒，每颗直径约为4mm。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盒</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324</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演示实验器材</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云母片、电解电容器(25V，470µF～1000µF)、三极管、驻极体话筒、光声控延时开关、100kΩ可变电阻、1kΩ电阻、74LS00等</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325</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学生实验纸材</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打点纸带、墨粉纸、坐标纸、复印纸等</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100</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326</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电熨斗控温电路套件</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产品由双金属片、电热丝、弹性片、触电、绝缘支架、条文螺丝等组成，让学生了解电熨斗控制电路的基本原理</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盒</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327</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门锁防盗套件</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防盗报警电路器材套件（小永磁体、干簧管、74LS14、  2.2kΩ电阻、蜂鸣器(YMD或HMB)）</w:t>
            </w:r>
            <w:r/>
          </w:p>
        </w:tc>
        <w:tc>
          <w:tcPr>
            <w:gridSpan w:val="2"/>
            <w:shd w:val="clear" w:color="auto" w:fill="auto"/>
            <w:tcMar>
              <w:left w:w="15" w:type="dxa"/>
              <w:top w:w="15" w:type="dxa"/>
              <w:right w:w="15" w:type="dxa"/>
            </w:tcMar>
            <w:tcW w:w="361"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328</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光控开关套件</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光控开关实验器材套件（光敏电阻、74LS14、发光二极管、51kΩ可变电阻、330Ω电阻）</w:t>
            </w:r>
            <w:r/>
          </w:p>
        </w:tc>
        <w:tc>
          <w:tcPr>
            <w:gridSpan w:val="2"/>
            <w:shd w:val="clear" w:color="auto" w:fill="auto"/>
            <w:tcMar>
              <w:left w:w="15" w:type="dxa"/>
              <w:top w:w="15" w:type="dxa"/>
              <w:right w:w="15" w:type="dxa"/>
            </w:tcMar>
            <w:tcW w:w="361"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329</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火灾报警器演示套件</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实验套件，配合教师授课使用</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330</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箔片验电器器材套件</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实验套件，配合教师授课使用</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331</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简易无线话筒器材套件</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三极管、电容、电阻、漆包线、驻极体话筒、电池盒</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332</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环保动能手电筒器材套件</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产品尺寸：约96mm*48mm,可手动发电，有蓄电功能</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333</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简易收音机器材套件</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电容、可变电容器、磁性天线、二极管、小耳机</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334</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三极管放大电路器材套件</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三极管、电容、电阻、电池</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335</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光控路灯开关器材套件</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光敏电阻、电阻、三极管、二极管、继电器、直流稳压电源</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336</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遥控器器材套件</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由发射器和接收器组成</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337</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简易微型汽轮发电机器材套件</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微型发电机，汽轮机，压力锅炉，发光二极管</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338</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模型火箭器材套件</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实验套件，配合教师授课使用</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339</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滚上体</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采用木质底板表面烤漆、不锈钢轨道、工程塑料滚体组成。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不锈钢轨道：约φ13mm </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滚体橙色：长</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175mm×φ90中间最大</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整机尺寸：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840mm×100mm×240mm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340</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简单机器人</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实验套件，配合教师授课使用</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341</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频闪观察器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1、符合高中物理新编教材要求，通过频闪光源观察静态运动图片产生电影动态效果；</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2、仪器由底座、光源、控制器、静态图片圆盘等组成。</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342</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各种陀螺</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产品由两个圆盘连接而成，上盘直径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130mm，下盘直径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99mm，产品总高</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67mm，配有约6张圆纸片，可观察圆周运动和离心运动。</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343</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大回转轮</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实验套件，配合教师授课使用</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344</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三轨竟速</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本产品由三个同等高度不同路径的轨道、三个直径重量相同的钢球和控制器等组成，总长</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660mm，上板面高</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230mm，下板面高</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135mm，钢球直径不小于15mm。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345</w:t>
            </w:r>
            <w:r/>
          </w:p>
        </w:tc>
        <w:tc>
          <w:tcPr>
            <w:gridSpan w:val="2"/>
            <w:shd w:val="clear" w:color="auto" w:fill="auto"/>
            <w:tcMar>
              <w:left w:w="15" w:type="dxa"/>
              <w:top w:w="15" w:type="dxa"/>
              <w:right w:w="15" w:type="dxa"/>
            </w:tcMar>
            <w:tcW w:w="821"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翻转环实验器</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产品由底座、支架、金属环、钢球等组成。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产品外形尺寸：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530mm×160mm×565mm，圆环直径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395mm。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346</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离心力铁环</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产品由转台、点击、铁环、转轴等组成，主要演示弹形圆环在离心力的作用下变扁的物理现象。</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347</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滚动的方轮</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实验套件，配合教师授课使用</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348</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玩具赛车</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过山车轨道玩具赛车，向心力实验用</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349</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饮水鸟</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产品由可吸水鸟嘴、玻璃管、易挥发液体等组成，产品尺寸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190mm*50mm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350</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鱼洗</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鱼洗是一个由青铜铸造的、具有一对提拔的盆。产品上口直径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380mm，底座直径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195mm，盆高</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95mm，鱼洗总高</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130mm。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351</w:t>
            </w:r>
            <w:r/>
          </w:p>
        </w:tc>
        <w:tc>
          <w:tcPr>
            <w:gridSpan w:val="2"/>
            <w:shd w:val="clear" w:color="auto" w:fill="auto"/>
            <w:tcMar>
              <w:left w:w="15" w:type="dxa"/>
              <w:top w:w="15" w:type="dxa"/>
              <w:right w:w="15" w:type="dxa"/>
            </w:tcMar>
            <w:tcW w:w="821"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水火箭</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产品由一台硬塑料螺纹发射架（拉线把手可控发射）、一个</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1.25L头锥、一</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500ML头锥、3个双层密封螺纹喷嘴、2卷胶带、4个小号尾翼、4个大号尾翼组成，需自备可乐瓶和打气筒。</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352</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滴水起电机</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产品由支架、滴水装置、感应圈、盛水筒、绝缘垫等组成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产品尺寸：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400mm×160mm×540mm。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353</w:t>
            </w:r>
            <w:r/>
          </w:p>
        </w:tc>
        <w:tc>
          <w:tcPr>
            <w:gridSpan w:val="2"/>
            <w:shd w:val="clear" w:color="auto" w:fill="auto"/>
            <w:tcMar>
              <w:left w:w="15" w:type="dxa"/>
              <w:top w:w="15" w:type="dxa"/>
              <w:right w:w="15" w:type="dxa"/>
            </w:tcMar>
            <w:tcW w:w="821"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气体辉光球</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材料: ABS+glass玻璃  功能: 开/关/ 声控变压器： DC 12V 1000mA 输入：100-240V 50/60HZ    输出：12V DC 12W  功率：</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12W  直径：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20CM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354</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测电笔</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由测电头、绝缘手柄组成。采用数字显示；光示感应，数字显示准确、清晰；光亮显示明显。测量范围：交流12V—220V。手柄绝缘性能良好。</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gridSpan w:val="2"/>
            <w:shd w:val="clear" w:color="auto" w:fill="auto"/>
            <w:tcMar>
              <w:left w:w="15" w:type="dxa"/>
              <w:top w:w="15" w:type="dxa"/>
              <w:right w:w="15" w:type="dxa"/>
            </w:tcMar>
            <w:tcW w:w="375"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355</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一字螺丝刀</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塑料柄一字螺丝刀。　全长</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210mm。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356</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十字螺丝刀</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塑料柄十字螺丝刀。　全长</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210mm。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357</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尖嘴钳</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材质: 镍铬合金钢</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358</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电工刀</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长</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115mm, 塑料红色手柄</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359</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手摇钻</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木工工具</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360</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木锉</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木质材料，基本尺寸为</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200*65*50mm,呈黑色。</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361</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木工锯</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带把手锯</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362</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木工锤</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重约0.25kg</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363</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铇</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粗、细</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364</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斧</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木柄，铁头，长度</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350mm,木柄光滑不干裂。</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365</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钢手锯</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总长</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450mm,铁质材料，表面喷漆，锯条长</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310mm.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366</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剥线钳</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塑料注塑而成，分红黑两色，拨线最大尺寸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25mm,  总长度约</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170mm.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367</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钢丝钳</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钳体采用高碳钢，高频淬火；双色胶柄，开合灵活，手柄覆膜，表面防锈处理。</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368</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手锤</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由锤头和手柄组成</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369</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錾子</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金属制</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370</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锉刀(平板)</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250mm，带柄</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371</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三角锉刀</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刀口长</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200mm，带木柄</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372</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什锦锉</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用于微小部件的锉削加工</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373</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活扳手</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150mm或250mm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374</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手剪</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硬钢材质，剪铁皮、铜片、铝片等。</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375</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直角尺</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钳工工具</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376</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电烙铁</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220V-240V电压 ，</w:t>
            </w:r>
            <w:r>
              <w:rPr>
                <w:rFonts w:hint="eastAsia" w:ascii="宋体" w:hAnsi="宋体" w:cs="宋体"/>
                <w:color w:val="auto"/>
                <w:sz w:val="18"/>
                <w:szCs w:val="18"/>
                <w:highlight w:val="none"/>
                <w:lang w:val="en-US" w:eastAsia="zh-CN" w:bidi="ar"/>
              </w:rPr>
              <w:t xml:space="preserve">功率≥</w:t>
            </w:r>
            <w:r>
              <w:rPr>
                <w:rFonts w:hint="eastAsia" w:ascii="宋体" w:hAnsi="宋体" w:cs="宋体"/>
                <w:color w:val="auto"/>
                <w:sz w:val="18"/>
                <w:szCs w:val="18"/>
                <w:highlight w:val="none"/>
                <w:lang w:bidi="ar"/>
              </w:rPr>
              <w:t xml:space="preserve">60W</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377</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平口钳</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80mm，台钻上用</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378</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台钻</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φ1mm～φ13mm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379</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手电钻</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φ1mm～φ13mm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380</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钻头</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φ1mm～φ13mm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381</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台虎钳</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开口</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100mm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382</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砂轮机</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单相或三相，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300W，约3000r/min，含安全护板</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383</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钳工工作台</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可根据不同的要求加装方孔挂板、百页挂板、电源插座、脚轮、照明灯等。</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384</w:t>
            </w:r>
            <w:r/>
          </w:p>
        </w:tc>
        <w:tc>
          <w:tcPr>
            <w:gridSpan w:val="2"/>
            <w:shd w:val="clear" w:color="auto" w:fill="auto"/>
            <w:tcMar>
              <w:left w:w="15" w:type="dxa"/>
              <w:top w:w="15" w:type="dxa"/>
              <w:right w:w="15" w:type="dxa"/>
            </w:tcMar>
            <w:tcW w:w="821"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烙铁架</w:t>
            </w:r>
            <w:r/>
          </w:p>
        </w:tc>
        <w:tc>
          <w:tcPr>
            <w:shd w:val="clear" w:color="auto" w:fill="auto"/>
            <w:tcMar>
              <w:left w:w="15" w:type="dxa"/>
              <w:top w:w="15" w:type="dxa"/>
              <w:right w:w="15" w:type="dxa"/>
            </w:tcMar>
            <w:tcW w:w="3108" w:type="pct"/>
            <w:vAlign w:val="center"/>
            <w:textDirection w:val="lrTb"/>
            <w:noWrap/>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烙铁架</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385</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油石</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粗细两面</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386</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冲子</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冲子</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387</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水平尺</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三水泡型，水平面工作长度160mm～250mm</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388</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物理维修工具箱</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含民用剪刀、平口钳、尖嘴钳、剥线钳、斜口钳、钢丝钳、一字和十字螺丝刀、锥子、镊子等</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389</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工作服</w:t>
            </w:r>
            <w:r/>
          </w:p>
        </w:tc>
        <w:tc>
          <w:tcPr>
            <w:shd w:val="clear" w:color="auto" w:fill="auto"/>
            <w:tcMar>
              <w:left w:w="15" w:type="dxa"/>
              <w:top w:w="15" w:type="dxa"/>
              <w:right w:w="15" w:type="dxa"/>
            </w:tcMar>
            <w:tcW w:w="3108" w:type="pct"/>
            <w:vAlign w:val="center"/>
            <w:textDirection w:val="lrTb"/>
            <w:noWrap w:val="false"/>
          </w:tcPr>
          <w:p>
            <w:pPr>
              <w:jc w:val="left"/>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bidi="ar"/>
              </w:rPr>
              <w:t xml:space="preserve">物理、化学、生物实验教学用。制作用料为棉织品。服装规格以中号为主，身长120cm，颜色为白色。包含实验服及配套裤子一套。</w:t>
            </w:r>
            <w:r>
              <w:rPr>
                <w:rFonts w:hint="eastAsia" w:ascii="宋体" w:hAnsi="宋体" w:cs="宋体"/>
                <w:color w:val="auto"/>
                <w:sz w:val="18"/>
                <w:szCs w:val="18"/>
                <w:highlight w:val="none"/>
                <w:lang w:val="en-US" w:eastAsia="zh-CN" w:bidi="ar"/>
              </w:rPr>
              <w:t xml:space="preserve">配套保护罩一套</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件</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 </w:t>
            </w:r>
            <w:r/>
          </w:p>
        </w:tc>
      </w:tr>
      <w:tr>
        <w:trPr>
          <w:trHeight w:val="501"/>
        </w:trPr>
        <w:tc>
          <w:tcPr>
            <w:gridSpan w:val="3"/>
            <w:shd w:val="clear" w:color="auto" w:fill="auto"/>
            <w:tcMar>
              <w:left w:w="15" w:type="dxa"/>
              <w:top w:w="15" w:type="dxa"/>
              <w:right w:w="15" w:type="dxa"/>
            </w:tcMar>
            <w:tcW w:w="332" w:type="pct"/>
            <w:vAlign w:val="center"/>
            <w:textDirection w:val="lrTb"/>
            <w:noWrap/>
          </w:tcPr>
          <w:p>
            <w:pPr>
              <w:jc w:val="center"/>
              <w:widowControl/>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bidi="ar"/>
              </w:rPr>
              <w:t xml:space="preserve">39</w:t>
            </w:r>
            <w:r>
              <w:rPr>
                <w:rFonts w:hint="eastAsia" w:ascii="宋体" w:hAnsi="宋体" w:cs="宋体"/>
                <w:color w:val="auto"/>
                <w:sz w:val="18"/>
                <w:szCs w:val="18"/>
                <w:highlight w:val="none"/>
                <w:lang w:val="en-US" w:eastAsia="zh-CN" w:bidi="ar"/>
              </w:rPr>
              <w:t xml:space="preserve">0</w:t>
            </w:r>
            <w:r/>
          </w:p>
        </w:tc>
        <w:tc>
          <w:tcPr>
            <w:gridSpan w:val="2"/>
            <w:shd w:val="clear" w:color="auto" w:fill="auto"/>
            <w:tcMar>
              <w:left w:w="15" w:type="dxa"/>
              <w:top w:w="15" w:type="dxa"/>
              <w:right w:w="15" w:type="dxa"/>
            </w:tcMar>
            <w:tcW w:w="82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高压绝缘凳</w:t>
            </w:r>
            <w:r/>
          </w:p>
        </w:tc>
        <w:tc>
          <w:tcPr>
            <w:shd w:val="clear" w:color="auto" w:fill="auto"/>
            <w:tcMar>
              <w:left w:w="15" w:type="dxa"/>
              <w:top w:w="15" w:type="dxa"/>
              <w:right w:w="15" w:type="dxa"/>
            </w:tcMar>
            <w:tcW w:w="3108" w:type="pct"/>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高压绝缘凳</w:t>
            </w:r>
            <w:r/>
          </w:p>
        </w:tc>
        <w:tc>
          <w:tcPr>
            <w:gridSpan w:val="2"/>
            <w:shd w:val="clear" w:color="auto" w:fill="auto"/>
            <w:tcMar>
              <w:left w:w="15" w:type="dxa"/>
              <w:top w:w="15" w:type="dxa"/>
              <w:right w:w="15" w:type="dxa"/>
            </w:tcMar>
            <w:tcW w:w="361"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gridSpan w:val="2"/>
            <w:shd w:val="clear" w:color="auto" w:fill="auto"/>
            <w:tcMar>
              <w:left w:w="15" w:type="dxa"/>
              <w:top w:w="15" w:type="dxa"/>
              <w:right w:w="15" w:type="dxa"/>
            </w:tcMar>
            <w:tcW w:w="375" w:type="pct"/>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bl>
    <w:p>
      <w:pPr>
        <w:rPr>
          <w:rFonts w:hint="eastAsia"/>
          <w:color w:val="auto"/>
          <w:highlight w:val="none"/>
          <w:lang w:eastAsia="zh-CN"/>
        </w:rPr>
        <w:sectPr>
          <w:footnotePr/>
          <w:endnotePr/>
          <w:type w:val="nextPage"/>
          <w:pgSz w:w="11906" w:h="16838" w:orient="portrait"/>
          <w:pgMar w:top="1440" w:right="1800" w:bottom="1440" w:left="1800" w:header="851" w:footer="850" w:gutter="0"/>
          <w:pgNumType w:start="1"/>
          <w:cols w:num="1" w:sep="0" w:space="720" w:equalWidth="1"/>
          <w:docGrid w:linePitch="360"/>
        </w:sectPr>
      </w:pPr>
      <w:r>
        <w:rPr>
          <w:rFonts w:hint="eastAsia"/>
          <w:color w:val="auto"/>
          <w:highlight w:val="none"/>
          <w:lang w:eastAsia="zh-CN"/>
        </w:rPr>
      </w:r>
      <w:r/>
    </w:p>
    <w:p>
      <w:pPr>
        <w:ind w:firstLine="480"/>
        <w:spacing w:line="360" w:lineRule="auto"/>
        <w:rPr>
          <w:rFonts w:hint="default"/>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lang w:eastAsia="zh-CN"/>
        </w:rPr>
        <w:t xml:space="preserve">包3：</w:t>
      </w:r>
      <w:r>
        <w:rPr>
          <w:rFonts w:hint="eastAsia" w:ascii="宋体" w:hAnsi="宋体" w:cs="宋体"/>
          <w:b/>
          <w:bCs w:val="0"/>
          <w:iCs/>
          <w:color w:val="auto"/>
          <w:szCs w:val="21"/>
          <w:highlight w:val="none"/>
          <w:lang w:val="en-US" w:eastAsia="zh-CN"/>
        </w:rPr>
        <w:t xml:space="preserve">生物仪器</w:t>
      </w:r>
      <w:r/>
    </w:p>
    <w:p>
      <w:pPr>
        <w:rPr>
          <w:rFonts w:hint="eastAsia"/>
          <w:color w:val="auto"/>
          <w:highlight w:val="none"/>
          <w:lang w:eastAsia="zh-CN"/>
        </w:rPr>
      </w:pPr>
      <w:r>
        <w:rPr>
          <w:rFonts w:hint="eastAsia"/>
          <w:color w:val="auto"/>
          <w:highlight w:val="none"/>
          <w:lang w:eastAsia="zh-CN"/>
        </w:rPr>
      </w:r>
      <w:r/>
    </w:p>
    <w:tbl>
      <w:tblPr>
        <w:tblStyle w:val="779"/>
        <w:tblW w:w="5203" w:type="pct"/>
        <w:tblInd w:w="-17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28"/>
        <w:gridCol w:w="995"/>
        <w:gridCol w:w="6595"/>
        <w:gridCol w:w="331"/>
        <w:gridCol w:w="419"/>
      </w:tblGrid>
      <w:tr>
        <w:trPr>
          <w:trHeight w:val="46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生物数字化设备</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718"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数量</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▲无线数据分析软件</w:t>
            </w:r>
            <w:r>
              <w:rPr>
                <w:rFonts w:hint="eastAsia" w:ascii="宋体" w:hAnsi="宋体" w:cs="宋体"/>
                <w:i w:val="0"/>
                <w:iCs w:val="0"/>
                <w:color w:val="auto"/>
                <w:sz w:val="18"/>
                <w:szCs w:val="18"/>
                <w:highlight w:val="none"/>
                <w:u w:val="none"/>
                <w:lang w:val="en-US" w:eastAsia="zh-CN" w:bidi="ar"/>
              </w:rPr>
              <w:t xml:space="preserve">学习套装</w:t>
            </w:r>
            <w:r/>
          </w:p>
        </w:tc>
        <w:tc>
          <w:tcPr>
            <w:shd w:val="clear" w:color="auto" w:fill="auto"/>
            <w:tcBorders>
              <w:top w:val="single" w:color="000000" w:sz="4" w:space="0"/>
              <w:left w:val="single" w:color="000000" w:sz="4" w:space="0"/>
              <w:bottom w:val="single" w:color="000000" w:sz="4" w:space="0"/>
              <w:right w:val="single" w:color="000000" w:sz="4" w:space="0"/>
            </w:tcBorders>
            <w:tcW w:w="3718" w:type="pct"/>
            <w:vAlign w:val="top"/>
            <w:textDirection w:val="lrTb"/>
            <w:noWrap w:val="false"/>
          </w:tcPr>
          <w:p>
            <w:pPr>
              <w:numPr>
                <w:ilvl w:val="0"/>
                <w:numId w:val="5"/>
              </w:num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运行平台：微软系统苹果系统安卓系统；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2.可使用多通道或同时收集多个传感器的数据；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 支持定时实验，支持阙值开始/停止实验；</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4.手动输入数据；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5.更改传感器上的显示单位；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6.根据需要显示一个、两个或三个图形；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7.选择每个轴上绘制的图形，并选择线形或点样式的图形；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8.计算所有或部分数据的叙述性统计值；</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9.将线条和曲线拟合到部分或全部数据；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10.根据传感器列自定义计算的栏；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11.实验录屏功能和摄像头及桌面捕捉录制并保存视频格式，方便回放实验操作、分析指导实验。</w:t>
            </w:r>
            <w:r/>
          </w:p>
          <w:p>
            <w:pPr>
              <w:numPr>
                <w:ilvl w:val="-1"/>
                <w:numId w:val="0"/>
              </w:numPr>
              <w:jc w:val="left"/>
              <w:keepLines w:val="0"/>
              <w:keepNext w:val="0"/>
              <w:widowControl/>
              <w:rPr>
                <w:rFonts w:hint="eastAsia" w:ascii="宋体" w:hAnsi="宋体" w:cs="宋体"/>
                <w:color w:val="auto"/>
                <w:sz w:val="18"/>
                <w:szCs w:val="18"/>
                <w:highlight w:val="none"/>
                <w:u w:val="none"/>
                <w:lang w:bidi="ar"/>
              </w:rPr>
              <w:suppressLineNumbers w:val="0"/>
            </w:pPr>
            <w:r>
              <w:rPr>
                <w:rFonts w:hint="eastAsia" w:ascii="宋体" w:hAnsi="宋体" w:eastAsia="宋体" w:cs="宋体"/>
                <w:color w:val="auto"/>
                <w:sz w:val="18"/>
                <w:szCs w:val="18"/>
                <w:highlight w:val="none"/>
                <w:u w:val="none"/>
                <w:lang w:val="en-US" w:eastAsia="zh-CN" w:bidi="ar"/>
              </w:rPr>
              <w:t xml:space="preserve">12.</w:t>
            </w:r>
            <w:r>
              <w:rPr>
                <w:rFonts w:hint="eastAsia" w:ascii="宋体" w:hAnsi="宋体" w:cs="宋体"/>
                <w:color w:val="auto"/>
                <w:sz w:val="18"/>
                <w:szCs w:val="18"/>
                <w:highlight w:val="none"/>
                <w:u w:val="none"/>
                <w:lang w:bidi="ar"/>
              </w:rPr>
              <w:t xml:space="preserve">人体解剖和生理过程的图像仿真探究系统</w:t>
            </w:r>
            <w:r/>
          </w:p>
          <w:p>
            <w:pPr>
              <w:numPr>
                <w:ilvl w:val="-1"/>
                <w:numId w:val="0"/>
              </w:numPr>
              <w:jc w:val="left"/>
              <w:keepLines w:val="0"/>
              <w:keepNext w:val="0"/>
              <w:widowControl/>
              <w:rPr>
                <w:rFonts w:hint="default" w:ascii="宋体" w:hAnsi="宋体" w:cs="宋体"/>
                <w:color w:val="auto"/>
                <w:sz w:val="18"/>
                <w:szCs w:val="18"/>
                <w:highlight w:val="none"/>
                <w:lang w:val="en-US" w:eastAsia="zh-CN"/>
              </w:rPr>
              <w:suppressLineNumbers w:val="0"/>
            </w:pPr>
            <w:r>
              <w:rPr>
                <w:rFonts w:hint="eastAsia" w:ascii="宋体" w:hAnsi="宋体" w:cs="宋体"/>
                <w:color w:val="auto"/>
                <w:sz w:val="18"/>
                <w:szCs w:val="18"/>
                <w:highlight w:val="none"/>
                <w:u w:val="none"/>
                <w:lang w:val="en-US" w:eastAsia="zh-CN" w:bidi="ar"/>
              </w:rPr>
              <w:t xml:space="preserve">①</w:t>
            </w:r>
            <w:r>
              <w:rPr>
                <w:rFonts w:hint="eastAsia" w:ascii="宋体" w:hAnsi="宋体" w:cs="宋体"/>
                <w:color w:val="auto"/>
                <w:sz w:val="18"/>
                <w:szCs w:val="18"/>
                <w:highlight w:val="none"/>
                <w:u w:val="none"/>
                <w:lang w:bidi="ar"/>
              </w:rPr>
              <w:t xml:space="preserve">本探究系统为梯度线圈3D场景，可通过鼠标左右键及滚轮实现拖动、旋转及缩放功能。</w:t>
            </w:r>
            <w:r>
              <w:rPr>
                <w:rFonts w:hint="eastAsia" w:ascii="宋体" w:hAnsi="宋体" w:cs="宋体"/>
                <w:color w:val="auto"/>
                <w:sz w:val="18"/>
                <w:szCs w:val="18"/>
                <w:highlight w:val="none"/>
                <w:u w:val="none"/>
                <w:lang w:bidi="ar"/>
              </w:rPr>
              <w:br/>
            </w:r>
            <w:r>
              <w:rPr>
                <w:rFonts w:hint="eastAsia" w:ascii="宋体" w:hAnsi="宋体" w:cs="宋体"/>
                <w:color w:val="auto"/>
                <w:sz w:val="18"/>
                <w:szCs w:val="18"/>
                <w:highlight w:val="none"/>
                <w:u w:val="none"/>
                <w:lang w:val="en-US" w:eastAsia="zh-CN" w:bidi="ar"/>
              </w:rPr>
              <w:t xml:space="preserve">②</w:t>
            </w:r>
            <w:r>
              <w:rPr>
                <w:rFonts w:hint="eastAsia" w:ascii="宋体" w:hAnsi="宋体" w:cs="宋体"/>
                <w:color w:val="auto"/>
                <w:sz w:val="18"/>
                <w:szCs w:val="18"/>
                <w:highlight w:val="none"/>
                <w:u w:val="none"/>
                <w:lang w:bidi="ar"/>
              </w:rPr>
              <w:t xml:space="preserve">通过选取各个标签，切换显示的内容。注意观察各个梯度线圈的形状。关闭y、z梯度场，调节x梯度场大小，观察中心区域的磁场分布变化。</w:t>
            </w:r>
            <w:r>
              <w:rPr>
                <w:rFonts w:hint="eastAsia" w:ascii="宋体" w:hAnsi="宋体" w:cs="宋体"/>
                <w:color w:val="auto"/>
                <w:sz w:val="18"/>
                <w:szCs w:val="18"/>
                <w:highlight w:val="none"/>
                <w:u w:val="none"/>
                <w:lang w:bidi="ar"/>
              </w:rPr>
              <w:br/>
            </w:r>
            <w:r>
              <w:rPr>
                <w:rFonts w:hint="eastAsia" w:ascii="宋体" w:hAnsi="宋体" w:cs="宋体"/>
                <w:color w:val="auto"/>
                <w:sz w:val="18"/>
                <w:szCs w:val="18"/>
                <w:highlight w:val="none"/>
                <w:u w:val="none"/>
                <w:lang w:val="en-US" w:eastAsia="zh-CN" w:bidi="ar"/>
              </w:rPr>
              <w:t xml:space="preserve">③</w:t>
            </w:r>
            <w:r>
              <w:rPr>
                <w:rFonts w:hint="eastAsia" w:ascii="宋体" w:hAnsi="宋体" w:cs="宋体"/>
                <w:color w:val="auto"/>
                <w:sz w:val="18"/>
                <w:szCs w:val="18"/>
                <w:highlight w:val="none"/>
                <w:u w:val="none"/>
                <w:lang w:bidi="ar"/>
              </w:rPr>
              <w:t xml:space="preserve">结合线圈形状，不同线圈中的电流方向。同理分别观察y、z梯度场特点。</w:t>
            </w:r>
            <w:r>
              <w:rPr>
                <w:rFonts w:hint="eastAsia" w:ascii="宋体" w:hAnsi="宋体" w:cs="宋体"/>
                <w:color w:val="auto"/>
                <w:sz w:val="18"/>
                <w:szCs w:val="18"/>
                <w:highlight w:val="none"/>
                <w:u w:val="none"/>
                <w:lang w:bidi="ar"/>
              </w:rPr>
              <w:br/>
            </w:r>
            <w:r>
              <w:rPr>
                <w:rFonts w:hint="eastAsia" w:ascii="宋体" w:hAnsi="宋体" w:cs="宋体"/>
                <w:color w:val="auto"/>
                <w:sz w:val="18"/>
                <w:szCs w:val="18"/>
                <w:highlight w:val="none"/>
                <w:u w:val="none"/>
                <w:lang w:val="en-US" w:eastAsia="zh-CN" w:bidi="ar"/>
              </w:rPr>
              <w:t xml:space="preserve">④</w:t>
            </w:r>
            <w:r>
              <w:rPr>
                <w:rFonts w:hint="eastAsia" w:ascii="宋体" w:hAnsi="宋体" w:cs="宋体"/>
                <w:color w:val="auto"/>
                <w:sz w:val="18"/>
                <w:szCs w:val="18"/>
                <w:highlight w:val="none"/>
                <w:u w:val="none"/>
                <w:lang w:bidi="ar"/>
              </w:rPr>
              <w:t xml:space="preserve">点击箭头开始自动扫描。通过扫描空间中各点的值，后进行傅里叶变换，可以实现对人体图像的扫描重建。初始时，空间信息未知，蒙上一层阴影表示;揭开阴影表示该信息已测可以点击加速箭头提高扫描速度。</w:t>
            </w:r>
            <w:r>
              <w:rPr>
                <w:rFonts w:hint="eastAsia" w:ascii="宋体" w:hAnsi="宋体" w:cs="宋体"/>
                <w:color w:val="auto"/>
                <w:sz w:val="18"/>
                <w:szCs w:val="18"/>
                <w:highlight w:val="none"/>
                <w:u w:val="none"/>
                <w:lang w:bidi="ar"/>
              </w:rPr>
              <w:br/>
            </w:r>
            <w:r>
              <w:rPr>
                <w:rFonts w:hint="eastAsia" w:ascii="宋体" w:hAnsi="宋体" w:cs="宋体"/>
                <w:color w:val="auto"/>
                <w:sz w:val="18"/>
                <w:szCs w:val="18"/>
                <w:highlight w:val="none"/>
                <w:u w:val="none"/>
                <w:lang w:val="en-US" w:eastAsia="zh-CN" w:bidi="ar"/>
              </w:rPr>
              <w:t xml:space="preserve">⑤</w:t>
            </w:r>
            <w:r>
              <w:rPr>
                <w:rFonts w:hint="eastAsia" w:ascii="宋体" w:hAnsi="宋体" w:cs="宋体"/>
                <w:color w:val="auto"/>
                <w:sz w:val="18"/>
                <w:szCs w:val="18"/>
                <w:highlight w:val="none"/>
                <w:u w:val="none"/>
                <w:lang w:bidi="ar"/>
              </w:rPr>
              <w:t xml:space="preserve">可以点击重置重新扫描，观测空间中各点与梯度场的关系。这里假设已经通过z进行切片，现在利用x与y进行空间编码。</w:t>
            </w:r>
            <w:r>
              <w:rPr>
                <w:rFonts w:hint="eastAsia" w:ascii="宋体" w:hAnsi="宋体" w:cs="宋体"/>
                <w:color w:val="auto"/>
                <w:sz w:val="18"/>
                <w:szCs w:val="18"/>
                <w:highlight w:val="none"/>
                <w:u w:val="none"/>
                <w:lang w:bidi="ar"/>
              </w:rPr>
              <w:br/>
            </w:r>
            <w:r>
              <w:rPr>
                <w:rFonts w:hint="eastAsia" w:ascii="宋体" w:hAnsi="宋体" w:cs="宋体"/>
                <w:color w:val="auto"/>
                <w:sz w:val="18"/>
                <w:szCs w:val="18"/>
                <w:highlight w:val="none"/>
                <w:u w:val="none"/>
                <w:lang w:val="en-US" w:eastAsia="zh-CN" w:bidi="ar"/>
              </w:rPr>
              <w:t xml:space="preserve">⑥</w:t>
            </w:r>
            <w:r>
              <w:rPr>
                <w:rFonts w:hint="eastAsia" w:ascii="宋体" w:hAnsi="宋体" w:cs="宋体"/>
                <w:color w:val="auto"/>
                <w:sz w:val="18"/>
                <w:szCs w:val="18"/>
                <w:highlight w:val="none"/>
                <w:u w:val="none"/>
                <w:lang w:bidi="ar"/>
              </w:rPr>
              <w:t xml:space="preserve">点击橡皮进行手动扫描。可以调节橡皮的形状和大小。观测不同空间位置的信息。由于空间的对称性，只需要扫描一半的空间即可。通过点击按钮可以切换显示空间的实部与虚部，在扫描时，实部与虚部信息同时获得。</w:t>
            </w:r>
            <w:r>
              <w:rPr>
                <w:rFonts w:hint="eastAsia" w:ascii="宋体" w:hAnsi="宋体" w:cs="宋体"/>
                <w:color w:val="auto"/>
                <w:sz w:val="18"/>
                <w:szCs w:val="18"/>
                <w:highlight w:val="none"/>
                <w:u w:val="none"/>
                <w:lang w:bidi="ar"/>
              </w:rPr>
              <w:br/>
            </w:r>
            <w:r>
              <w:rPr>
                <w:rFonts w:hint="eastAsia" w:ascii="宋体" w:hAnsi="宋体" w:cs="宋体"/>
                <w:color w:val="auto"/>
                <w:sz w:val="18"/>
                <w:szCs w:val="18"/>
                <w:highlight w:val="none"/>
                <w:u w:val="none"/>
                <w:lang w:val="en-US" w:eastAsia="zh-CN" w:bidi="ar"/>
              </w:rPr>
              <w:t xml:space="preserve">⑦</w:t>
            </w:r>
            <w:r>
              <w:rPr>
                <w:rFonts w:hint="eastAsia" w:ascii="宋体" w:hAnsi="宋体" w:cs="宋体"/>
                <w:color w:val="auto"/>
                <w:sz w:val="18"/>
                <w:szCs w:val="18"/>
                <w:highlight w:val="none"/>
                <w:u w:val="none"/>
                <w:lang w:bidi="ar"/>
              </w:rPr>
              <w:t xml:space="preserve">仿真切换不同样品（大脑、心脏、肠胃、肾脏、肺等），观测不同图像的空间特点。调节分辨率，观测不同分辨率影响。</w:t>
            </w:r>
            <w:r/>
          </w:p>
        </w:tc>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▲无线光色传感器</w:t>
            </w:r>
            <w:r/>
          </w:p>
        </w:tc>
        <w:tc>
          <w:tcPr>
            <w:shd w:val="clear" w:color="auto" w:fill="auto"/>
            <w:tcBorders>
              <w:top w:val="single" w:color="000000" w:sz="4" w:space="0"/>
              <w:left w:val="single" w:color="000000" w:sz="4" w:space="0"/>
              <w:bottom w:val="single" w:color="000000" w:sz="4" w:space="0"/>
              <w:right w:val="single" w:color="000000" w:sz="4" w:space="0"/>
            </w:tcBorders>
            <w:tcW w:w="3718" w:type="pct"/>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1.光强范围：0Lx～5000LX~150000Lx；自动量程 ；分辨率：≤1Lx</w:t>
            </w:r>
            <w:r>
              <w:rPr>
                <w:rFonts w:hint="eastAsia" w:ascii="宋体" w:hAnsi="宋体" w:eastAsia="宋体" w:cs="宋体"/>
                <w:b/>
                <w:bCs/>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2.蓝牙模块：低功耗蓝牙，兼容蓝牙4.0、蓝牙5.0，数据传输空中速率≥2Mbps；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3.传感器使用时，无需数据采集器；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4.传感器具有数字标识码，能够使数据终端进行选择性连接.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5.连接方式:无线：蓝牙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有线：USB</w:t>
            </w:r>
            <w:r/>
          </w:p>
        </w:tc>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▲无线温度传感器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371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1.温度范围：≥-50ºC～200ºC，分辨率 ：≤0.1ºC</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2.蓝牙模块：低功耗蓝牙，兼容蓝牙4.0、蓝牙5.0，数据传输空中速率≥2Mbps；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3.传感器使用时，无需数据采集器；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4.传感器具有数字标识码，能够使数据终端进行选择性连接.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5.连接方式:无线：蓝牙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有线：USB</w:t>
            </w:r>
            <w:r/>
          </w:p>
        </w:tc>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▲无线氧气传感器</w:t>
            </w:r>
            <w:r/>
          </w:p>
        </w:tc>
        <w:tc>
          <w:tcPr>
            <w:shd w:val="clear" w:color="auto" w:fill="auto"/>
            <w:tcBorders>
              <w:top w:val="single" w:color="000000" w:sz="4" w:space="0"/>
              <w:left w:val="single" w:color="000000" w:sz="4" w:space="0"/>
              <w:bottom w:val="single" w:color="000000" w:sz="4" w:space="0"/>
              <w:right w:val="single" w:color="000000" w:sz="4" w:space="0"/>
            </w:tcBorders>
            <w:tcW w:w="3718" w:type="pct"/>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氧气传感器：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量程：0-100% (0-1000 ppt) O2；精度：O2 体积的±1%（760mm 汞柱标准大气压下）；分辨率：0.1% O2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类型：热敏电阻</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精度： ±0.5 °C</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2.蓝牙模块：低功耗蓝牙，兼容蓝牙4.0、蓝牙5.0，数据传输空中速率≥2Mbps；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3.传感器使用时，无需数据采集器；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4.传感器具有数字标识码，能够使数据终端进行选择性连接.</w:t>
            </w:r>
            <w:r>
              <w:rPr>
                <w:rFonts w:hint="eastAsia" w:ascii="宋体" w:hAnsi="宋体" w:eastAsia="宋体" w:cs="宋体"/>
                <w:b/>
                <w:bCs/>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5.连接方式:无线：蓝牙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有线：USB。 </w:t>
            </w:r>
            <w:r/>
          </w:p>
        </w:tc>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▲无线二氧化碳传感器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3718" w:type="pct"/>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1.二氧化碳传感器：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量程：0～200000ppm；分辨率：≤1ppmC02；</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温度传感器：量程：≥-40ºC～125ºC</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精度： ±0.5 °C</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分辨率：≤0.1 °C</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相对湿度传感器：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范围：0 到 100%（不凝结）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精度： ±0.5%或者更高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分辨率：≤0.1%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2.蓝牙模块：低功耗蓝牙，兼容蓝牙4.0、蓝牙5.0，数据传输空中速率≥2Mbps；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3.传感器使用时，无需数据采集器；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4.传感器具有数字标识码，能够使数据终端进行选择性连接.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5.连接方式:无线：蓝牙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有线：USB</w:t>
            </w:r>
            <w:r/>
          </w:p>
        </w:tc>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▲无线光学溶解氧传感器</w:t>
            </w:r>
            <w:r/>
          </w:p>
        </w:tc>
        <w:tc>
          <w:tcPr>
            <w:shd w:val="clear" w:color="auto" w:fill="auto"/>
            <w:tcBorders>
              <w:top w:val="single" w:color="000000" w:sz="4" w:space="0"/>
              <w:left w:val="single" w:color="000000" w:sz="4" w:space="0"/>
              <w:bottom w:val="single" w:color="000000" w:sz="4" w:space="0"/>
              <w:right w:val="single" w:color="000000" w:sz="4" w:space="0"/>
            </w:tcBorders>
            <w:tcW w:w="3718" w:type="pct"/>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1.溶解氧浓度量程：0 到 20 mg/L；气中氧：0 ～100%，分辨率：≤0.1%；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测量范围：≥ 0～50℃，分辨率 ：≤0.1℃。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自动温度补偿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荧光检测技术，不用填充电极缓冲液。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2.蓝牙模块：低功耗蓝牙，兼容蓝牙4.0、蓝牙5.0，数据传输空中速率≥2Mbps；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3.传感器使用时，无需数据采集器；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4.传感器具有数字标识码，能够使数据终端进行选择性连接.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5.连接方式:无线：蓝牙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有线：USB</w:t>
            </w:r>
            <w:r/>
          </w:p>
        </w:tc>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加热磁力搅拌器</w:t>
            </w:r>
            <w:r/>
          </w:p>
        </w:tc>
        <w:tc>
          <w:tcPr>
            <w:shd w:val="clear" w:color="auto" w:fill="auto"/>
            <w:tcBorders>
              <w:top w:val="single" w:color="000000" w:sz="4" w:space="0"/>
              <w:left w:val="single" w:color="000000" w:sz="4" w:space="0"/>
              <w:bottom w:val="single" w:color="000000" w:sz="4" w:space="0"/>
              <w:right w:val="single" w:color="000000" w:sz="4" w:space="0"/>
            </w:tcBorders>
            <w:tcW w:w="3718" w:type="pct"/>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最高温度≥300℃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最大转速≥1500rpm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不锈钢陶瓷涂层极耐化学腐蚀；</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高清晰 LCD 显示屏可同时显示温度/转速的设定值和真实值；</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采用PID 控温技术实时精准控制，确保加热过程的稳定可靠；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可使用外置温度传感器，实现对样品的精确控温；</w:t>
            </w:r>
            <w:r/>
          </w:p>
        </w:tc>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▲无线pH 传感器</w:t>
            </w:r>
            <w:r/>
          </w:p>
        </w:tc>
        <w:tc>
          <w:tcPr>
            <w:shd w:val="clear" w:color="auto" w:fill="auto"/>
            <w:tcBorders>
              <w:top w:val="single" w:color="000000" w:sz="4" w:space="0"/>
              <w:left w:val="single" w:color="000000" w:sz="4" w:space="0"/>
              <w:bottom w:val="single" w:color="000000" w:sz="4" w:space="0"/>
              <w:right w:val="single" w:color="000000" w:sz="4" w:space="0"/>
            </w:tcBorders>
            <w:tcW w:w="3718" w:type="pct"/>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1.量程：pH 0-14；分辨率：0.01pH</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2.蓝牙模块：低功耗蓝牙，兼容蓝牙4.0、蓝牙5.0，数据传输空中速率≥2Mbps；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3.传感器使用时，无需数据采集器；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4.传感器具有数字标识码，能够使数据终端进行选择性连接.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5.连接方式:无线：蓝牙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有线：USB</w:t>
            </w:r>
            <w:r/>
          </w:p>
        </w:tc>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▲无线土壤湿度传感器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3718" w:type="pct"/>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1.连接到分析软件，软件识别传感器具有的唯一 ID，可快速分辨并选择性连接，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可与其它传感器在同一软件下使用。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2.外观：一体化设计，电极信号放大模块及无线蓝牙模块内置在传感器中，锂电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池供电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3.量程：湿度≥0～100%，分辨率：≤0.1％；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量程：温度≥-40ºC～80ºC，分辨率：≤0.1ºC。</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4.蓝牙模块：低功耗蓝牙，兼容蓝牙4.0、蓝牙5.0，数据传输空中速率≥2Mbps；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5.传感器使用时，无需数据采集器；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6.连接方式:无线：蓝牙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有线：USB</w:t>
            </w:r>
            <w:r/>
          </w:p>
        </w:tc>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▲无线色度/浊度二合一传感器</w:t>
            </w:r>
            <w:r/>
          </w:p>
        </w:tc>
        <w:tc>
          <w:tcPr>
            <w:shd w:val="clear" w:color="auto" w:fill="auto"/>
            <w:tcBorders>
              <w:top w:val="single" w:color="000000" w:sz="4" w:space="0"/>
              <w:left w:val="single" w:color="000000" w:sz="4" w:space="0"/>
              <w:bottom w:val="single" w:color="000000" w:sz="4" w:space="0"/>
              <w:right w:val="single" w:color="000000" w:sz="4" w:space="0"/>
            </w:tcBorders>
            <w:tcW w:w="3718" w:type="pct"/>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1、量程：透光率（6通道）：0～100% ，分辨率≤0.02%；</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量程：吸光度（6通道）≤0～3；</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通道数：≥6通道 ：450 nm (紫色 )，500nm (蓝色 )，550 nm（绿色），570nm (黄色 )，600 nm (橙色 )，650 nm ( 红色)。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量程：≥0～400NTU，分辨率≤0.1NUT。</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2、连接方式：无线蓝牙；有线：USB 连接至终端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3.蓝牙模块：低功耗蓝牙，兼容蓝牙4.0、蓝牙5.0，数据传输空中速率≥2Mbps；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4.传感器使用时，无需数据采集器；</w:t>
            </w:r>
            <w:r/>
          </w:p>
        </w:tc>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▲双开口生命瓶（2000ml)</w:t>
            </w:r>
            <w:r/>
          </w:p>
        </w:tc>
        <w:tc>
          <w:tcPr>
            <w:shd w:val="clear" w:color="auto" w:fill="auto"/>
            <w:tcBorders>
              <w:top w:val="single" w:color="000000" w:sz="4" w:space="0"/>
              <w:left w:val="single" w:color="000000" w:sz="4" w:space="0"/>
              <w:bottom w:val="single" w:color="000000" w:sz="4" w:space="0"/>
              <w:right w:val="single" w:color="000000" w:sz="4" w:space="0"/>
            </w:tcBorders>
            <w:tcW w:w="3718" w:type="pct"/>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配合二氧化碳和氧气传感器附件（光合作用瓶）(≥2000ml）</w:t>
            </w:r>
            <w:r/>
          </w:p>
        </w:tc>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▲无线乙醇蒸汽传感器</w:t>
            </w:r>
            <w:r/>
          </w:p>
        </w:tc>
        <w:tc>
          <w:tcPr>
            <w:shd w:val="clear" w:color="auto" w:fill="auto"/>
            <w:tcBorders>
              <w:top w:val="single" w:color="000000" w:sz="4" w:space="0"/>
              <w:left w:val="single" w:color="000000" w:sz="4" w:space="0"/>
              <w:bottom w:val="single" w:color="000000" w:sz="4" w:space="0"/>
              <w:right w:val="single" w:color="000000" w:sz="4" w:space="0"/>
            </w:tcBorders>
            <w:tcW w:w="3718" w:type="pct"/>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1.量程：≥0～5000ppm（0～9mg/L），分辨率：≤1ppm。</w:t>
            </w:r>
            <w:r>
              <w:rPr>
                <w:rFonts w:hint="eastAsia" w:ascii="宋体" w:hAnsi="宋体" w:eastAsia="宋体" w:cs="宋体"/>
                <w:b/>
                <w:bCs/>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2.蓝牙模块：低功耗蓝牙，兼容蓝牙4.0、蓝牙5.0，数据传输空中速率≥2Mbps；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3.传感器使用时，无需数据采集器；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4.传感器具有数字标识码，能够使数据终端进行选择性连接.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5.连接方式:无线：蓝牙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有线：USB</w:t>
            </w:r>
            <w:r/>
          </w:p>
        </w:tc>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▲导气瓶250（2 个开口）</w:t>
            </w:r>
            <w:r/>
          </w:p>
        </w:tc>
        <w:tc>
          <w:tcPr>
            <w:shd w:val="clear" w:color="auto" w:fill="auto"/>
            <w:tcBorders>
              <w:top w:val="single" w:color="000000" w:sz="4" w:space="0"/>
              <w:left w:val="single" w:color="000000" w:sz="4" w:space="0"/>
              <w:bottom w:val="single" w:color="000000" w:sz="4" w:space="0"/>
              <w:right w:val="single" w:color="000000" w:sz="4" w:space="0"/>
            </w:tcBorders>
            <w:tcW w:w="3718" w:type="pct"/>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导气瓶≥250ml（双开口）</w:t>
            </w:r>
            <w:r/>
          </w:p>
        </w:tc>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能源供给装置</w:t>
            </w:r>
            <w:r/>
          </w:p>
        </w:tc>
        <w:tc>
          <w:tcPr>
            <w:shd w:val="clear" w:color="auto" w:fill="auto"/>
            <w:tcBorders>
              <w:top w:val="single" w:color="000000" w:sz="4" w:space="0"/>
              <w:left w:val="single" w:color="000000" w:sz="4" w:space="0"/>
              <w:bottom w:val="single" w:color="000000" w:sz="4" w:space="0"/>
              <w:right w:val="single" w:color="000000" w:sz="4" w:space="0"/>
            </w:tcBorders>
            <w:tcW w:w="3718" w:type="pct"/>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含有≥10个USB</w:t>
            </w:r>
            <w:r>
              <w:rPr>
                <w:rFonts w:hint="eastAsia" w:ascii="宋体" w:hAnsi="宋体" w:cs="宋体"/>
                <w:i w:val="0"/>
                <w:iCs w:val="0"/>
                <w:color w:val="auto"/>
                <w:sz w:val="18"/>
                <w:szCs w:val="18"/>
                <w:highlight w:val="none"/>
                <w:u w:val="none"/>
                <w:lang w:val="en-US" w:eastAsia="zh-CN" w:bidi="ar"/>
              </w:rPr>
              <w:t xml:space="preserve">能源</w:t>
            </w:r>
            <w:r>
              <w:rPr>
                <w:rFonts w:hint="eastAsia" w:ascii="宋体" w:hAnsi="宋体" w:eastAsia="宋体" w:cs="宋体"/>
                <w:i w:val="0"/>
                <w:iCs w:val="0"/>
                <w:color w:val="auto"/>
                <w:sz w:val="18"/>
                <w:szCs w:val="18"/>
                <w:highlight w:val="none"/>
                <w:u w:val="none"/>
                <w:lang w:val="en-US" w:eastAsia="zh-CN" w:bidi="ar"/>
              </w:rPr>
              <w:t xml:space="preserve">口。</w:t>
            </w:r>
            <w:r/>
          </w:p>
        </w:tc>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▲数字化传感器配套玻璃仪器</w:t>
            </w:r>
            <w:r/>
          </w:p>
        </w:tc>
        <w:tc>
          <w:tcPr>
            <w:shd w:val="clear" w:color="auto" w:fill="auto"/>
            <w:tcBorders>
              <w:top w:val="single" w:color="000000" w:sz="4" w:space="0"/>
              <w:left w:val="single" w:color="000000" w:sz="4" w:space="0"/>
              <w:bottom w:val="single" w:color="000000" w:sz="4" w:space="0"/>
              <w:right w:val="single" w:color="000000" w:sz="4" w:space="0"/>
            </w:tcBorders>
            <w:tcW w:w="3718" w:type="pct"/>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1.Y 型反应管内≥20*80*70，材质：玻璃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2.斜二口直筒型烧瓶≥250ml，口径 29/19mm，材质：玻璃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3.斜三口直筒型烧瓶≥500ml，口径 34/24mm，材质：玻璃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4.斜三口圆底烧瓶≥250ml，口径 34/24/19mm，材质：玻璃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5.硅胶塞带孔 34#，材质：橡胶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6.硅胶塞带孔 24#，2 只，材质：橡胶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可配合气体压力传感器，氧气传感器，pH 传感器，不锈钢温度传感器，氯离子传感器使用（有线和无线均可使用）</w:t>
            </w:r>
            <w:r/>
          </w:p>
        </w:tc>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▲无线数据分析软件</w:t>
            </w:r>
            <w:r/>
          </w:p>
        </w:tc>
        <w:tc>
          <w:tcPr>
            <w:shd w:val="clear" w:color="auto" w:fill="auto"/>
            <w:tcBorders>
              <w:top w:val="single" w:color="000000" w:sz="4" w:space="0"/>
              <w:left w:val="single" w:color="000000" w:sz="4" w:space="0"/>
              <w:bottom w:val="single" w:color="000000" w:sz="4" w:space="0"/>
              <w:right w:val="single" w:color="000000" w:sz="4" w:space="0"/>
            </w:tcBorders>
            <w:tcW w:w="3718" w:type="pct"/>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1.运行平台：微软系统苹果系统安卓系统；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2.可使用多通道或同时收集多个传感器的数据；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 支持定时实验，支持阙值开始/停止实验；</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4.手动输入数据；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5.更改传感器上的显示单位；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6.根据需要显示一个、两个或三个图形；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7.选择每个轴上绘制的图形，并选择线形或点样式的图形；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8.计算所有或部分数据的叙述性统计值；</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9.将线条和曲线拟合到部分或全部数据；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10.根据传感器列自定义计算的栏；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11.实验录屏功能和摄像头及桌面捕捉录制并保存视频格式，方便回放实验操作、分析指导实验。</w:t>
            </w:r>
            <w:r/>
          </w:p>
        </w:tc>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▲无线温度传感器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371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1.温度范围：≥-50ºC～200ºC，分辨率 ：≤0.1ºC</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2.蓝牙模块：低功耗蓝牙，兼容蓝牙4.0、蓝牙5.0，数据传输空中速率≥2Mbps；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3.传感器使用时，无需数据采集器；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4.传感器具有数字标识码，能够使数据终端进行选择性连接.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5.连接方式:无线：蓝牙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有线：USB</w:t>
            </w:r>
            <w:r/>
          </w:p>
        </w:tc>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▲无线氧气传感器</w:t>
            </w:r>
            <w:r/>
          </w:p>
        </w:tc>
        <w:tc>
          <w:tcPr>
            <w:shd w:val="clear" w:color="auto" w:fill="auto"/>
            <w:tcBorders>
              <w:top w:val="single" w:color="000000" w:sz="4" w:space="0"/>
              <w:left w:val="single" w:color="000000" w:sz="4" w:space="0"/>
              <w:bottom w:val="single" w:color="000000" w:sz="4" w:space="0"/>
              <w:right w:val="single" w:color="000000" w:sz="4" w:space="0"/>
            </w:tcBorders>
            <w:tcW w:w="3718" w:type="pct"/>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1.氧气传感器：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量程：0-100% (0-1000 ppt) O2；精度：O2 体积的±1%（760mm 汞柱标准大气压下）；分辨率：0.1% O2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类型：热敏电阻</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精度： ±0.5 °C</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2.蓝牙模块：低功耗蓝牙，兼容蓝牙4.0、蓝牙5.0，数据传输空中速率≥2Mbps；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3.传感器使用时，无需数据采集器；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4.传感器具有数字标识码，能够使数据终端进行选择性连接.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5.连接方式:无线：蓝牙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有线：USB</w:t>
            </w:r>
            <w:r/>
          </w:p>
        </w:tc>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▲无线二氧化碳传感器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3718" w:type="pct"/>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1.二氧化碳传感器：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量程：0～200000ppm；分辨率：≤1ppm C02；</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温度传感器：量程：≥-40ºC～125ºC</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精度： ±0.5 °C</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分辨率：≤0.1 °C</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相对湿度传感器：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范围：0 到 100%（不凝结）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精度： ±0.5%或者更高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分辨率：≤0.1%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2.蓝牙模块：低功耗蓝牙，兼容蓝牙4.0、蓝牙5.0，数据传输空中速率≥2Mbps；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3.传感器使用时，无需数据采集器；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4.传感器具有数字标识码，能够使数据终端进行选择性连接.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5.连接方式:无线：蓝牙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有线：USB</w:t>
            </w:r>
            <w:r/>
          </w:p>
        </w:tc>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▲无线蓝牙溶解氧/温度二合一传感器</w:t>
            </w:r>
            <w:r/>
          </w:p>
        </w:tc>
        <w:tc>
          <w:tcPr>
            <w:shd w:val="clear" w:color="auto" w:fill="auto"/>
            <w:tcBorders>
              <w:top w:val="single" w:color="000000" w:sz="4" w:space="0"/>
              <w:left w:val="single" w:color="000000" w:sz="4" w:space="0"/>
              <w:bottom w:val="single" w:color="000000" w:sz="4" w:space="0"/>
              <w:right w:val="single" w:color="000000" w:sz="4" w:space="0"/>
            </w:tcBorders>
            <w:tcW w:w="3718" w:type="pct"/>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溶解氧浓度量程：0 到 20 mg/L；气中氧：0 ～100%，分辨率：≤0.1%；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测量范围：≥ 0～50℃，分辨率 ：≤0.1℃。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自动温度补偿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荧光检测技术，不用填充电极缓冲液。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2.蓝牙模块：低功耗蓝牙，兼容蓝牙4.0、蓝牙5.0，数据传输空中速率≥2Mbps；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3.传感器使用时，无需数据采集器；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4.传感器具有数字标识码，能够使数据终端进行选择性连接.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5.连接方式:无线：蓝牙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有线：USB。</w:t>
            </w:r>
            <w:r/>
          </w:p>
        </w:tc>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加热磁力搅拌器</w:t>
            </w:r>
            <w:r/>
          </w:p>
        </w:tc>
        <w:tc>
          <w:tcPr>
            <w:shd w:val="clear" w:color="auto" w:fill="auto"/>
            <w:tcBorders>
              <w:top w:val="single" w:color="000000" w:sz="4" w:space="0"/>
              <w:left w:val="single" w:color="000000" w:sz="4" w:space="0"/>
              <w:bottom w:val="single" w:color="000000" w:sz="4" w:space="0"/>
              <w:right w:val="single" w:color="000000" w:sz="4" w:space="0"/>
            </w:tcBorders>
            <w:tcW w:w="3718" w:type="pct"/>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最高温度≥300℃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最大转速≥1500rpm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不锈钢陶瓷涂层极耐化学腐蚀；</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高清晰 LCD 显示屏可同时显示温度/转速的设定值和真实值；</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采用PID 控温技术实时精准控制，确保加热过程的稳定可靠；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可使用外置温度传感器，实现对样品的精确控温；</w:t>
            </w:r>
            <w:r/>
          </w:p>
        </w:tc>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▲无线 PH传感器</w:t>
            </w:r>
            <w:r/>
          </w:p>
        </w:tc>
        <w:tc>
          <w:tcPr>
            <w:shd w:val="clear" w:color="auto" w:fill="auto"/>
            <w:tcBorders>
              <w:top w:val="single" w:color="000000" w:sz="4" w:space="0"/>
              <w:left w:val="single" w:color="000000" w:sz="4" w:space="0"/>
              <w:bottom w:val="single" w:color="000000" w:sz="4" w:space="0"/>
              <w:right w:val="single" w:color="000000" w:sz="4" w:space="0"/>
            </w:tcBorders>
            <w:tcW w:w="3718" w:type="pct"/>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1.量程：PH 0-14；分辨率：0.01PH</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2.蓝牙模块：低功耗蓝牙，兼容蓝牙4.0、蓝牙5.0，数据传输空中速率≥2Mbps；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3.传感器使用时，无需数据采集器；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4.传感器具有数字标识码，能够使数据终端进行选择性连接.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5.连接方式:无线：蓝牙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有线：USB</w:t>
            </w:r>
            <w:r/>
          </w:p>
        </w:tc>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▲双开口生命瓶（2000ml)</w:t>
            </w:r>
            <w:r/>
          </w:p>
        </w:tc>
        <w:tc>
          <w:tcPr>
            <w:shd w:val="clear" w:color="auto" w:fill="auto"/>
            <w:tcBorders>
              <w:top w:val="single" w:color="000000" w:sz="4" w:space="0"/>
              <w:left w:val="single" w:color="000000" w:sz="4" w:space="0"/>
              <w:bottom w:val="single" w:color="000000" w:sz="4" w:space="0"/>
              <w:right w:val="single" w:color="000000" w:sz="4" w:space="0"/>
            </w:tcBorders>
            <w:tcW w:w="3718" w:type="pct"/>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配合二氧化碳和氧气传感器附件（光合作用瓶）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(≥2000ml）</w:t>
            </w:r>
            <w:r/>
          </w:p>
        </w:tc>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▲无线乙醇蒸汽传感器</w:t>
            </w:r>
            <w:r/>
          </w:p>
        </w:tc>
        <w:tc>
          <w:tcPr>
            <w:shd w:val="clear" w:color="auto" w:fill="auto"/>
            <w:tcBorders>
              <w:top w:val="single" w:color="000000" w:sz="4" w:space="0"/>
              <w:left w:val="single" w:color="000000" w:sz="4" w:space="0"/>
              <w:bottom w:val="single" w:color="000000" w:sz="4" w:space="0"/>
              <w:right w:val="single" w:color="000000" w:sz="4" w:space="0"/>
            </w:tcBorders>
            <w:tcW w:w="3718" w:type="pct"/>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1.量程：≥0～5000ppm（0～9mg/L），分辨率：≤1ppm。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2.蓝牙模块：低功耗蓝牙，兼容蓝牙4.0、蓝牙5.0，数据传输空中速率≥2Mbps；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3.传感器使用时，无需数据采集器；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4.传感器具有数字标识码，能够使数据终端进行选择性连接.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5.连接方式:无线：蓝牙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有线：USB</w:t>
            </w:r>
            <w:r/>
          </w:p>
        </w:tc>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▲导气瓶250（2 个开口）</w:t>
            </w:r>
            <w:r/>
          </w:p>
        </w:tc>
        <w:tc>
          <w:tcPr>
            <w:shd w:val="clear" w:color="auto" w:fill="auto"/>
            <w:tcBorders>
              <w:top w:val="single" w:color="000000" w:sz="4" w:space="0"/>
              <w:left w:val="single" w:color="000000" w:sz="4" w:space="0"/>
              <w:bottom w:val="single" w:color="000000" w:sz="4" w:space="0"/>
              <w:right w:val="single" w:color="000000" w:sz="4" w:space="0"/>
            </w:tcBorders>
            <w:tcW w:w="3718" w:type="pct"/>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导气瓶≥250ml（双开口）</w:t>
            </w:r>
            <w:r/>
          </w:p>
        </w:tc>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能源供给装置</w:t>
            </w:r>
            <w:r/>
          </w:p>
        </w:tc>
        <w:tc>
          <w:tcPr>
            <w:shd w:val="clear" w:color="auto" w:fill="auto"/>
            <w:tcBorders>
              <w:top w:val="single" w:color="000000" w:sz="4" w:space="0"/>
              <w:left w:val="single" w:color="000000" w:sz="4" w:space="0"/>
              <w:bottom w:val="single" w:color="000000" w:sz="4" w:space="0"/>
              <w:right w:val="single" w:color="000000" w:sz="4" w:space="0"/>
            </w:tcBorders>
            <w:tcW w:w="3718" w:type="pct"/>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含有≥10个USB</w:t>
            </w:r>
            <w:r>
              <w:rPr>
                <w:rFonts w:hint="eastAsia" w:ascii="宋体" w:hAnsi="宋体" w:cs="宋体"/>
                <w:i w:val="0"/>
                <w:iCs w:val="0"/>
                <w:color w:val="auto"/>
                <w:sz w:val="18"/>
                <w:szCs w:val="18"/>
                <w:highlight w:val="none"/>
                <w:u w:val="none"/>
                <w:lang w:val="en-US" w:eastAsia="zh-CN" w:bidi="ar"/>
              </w:rPr>
              <w:t xml:space="preserve">能源</w:t>
            </w:r>
            <w:r>
              <w:rPr>
                <w:rFonts w:hint="eastAsia" w:ascii="宋体" w:hAnsi="宋体" w:eastAsia="宋体" w:cs="宋体"/>
                <w:i w:val="0"/>
                <w:iCs w:val="0"/>
                <w:color w:val="auto"/>
                <w:sz w:val="18"/>
                <w:szCs w:val="18"/>
                <w:highlight w:val="none"/>
                <w:u w:val="none"/>
                <w:lang w:val="en-US" w:eastAsia="zh-CN" w:bidi="ar"/>
              </w:rPr>
              <w:t xml:space="preserve">口。</w:t>
            </w:r>
            <w:r/>
          </w:p>
        </w:tc>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▲数字化传感器配套玻璃仪器</w:t>
            </w:r>
            <w:r/>
          </w:p>
        </w:tc>
        <w:tc>
          <w:tcPr>
            <w:shd w:val="clear" w:color="auto" w:fill="auto"/>
            <w:tcBorders>
              <w:top w:val="single" w:color="000000" w:sz="4" w:space="0"/>
              <w:left w:val="single" w:color="000000" w:sz="4" w:space="0"/>
              <w:bottom w:val="single" w:color="000000" w:sz="4" w:space="0"/>
              <w:right w:val="single" w:color="000000" w:sz="4" w:space="0"/>
            </w:tcBorders>
            <w:tcW w:w="3718" w:type="pct"/>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1.Y 型反应管内≥20*80*70，材质：玻璃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2.斜二口直筒型烧瓶≥250ml，口径 29/19mm，材质：玻璃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3.斜三口直筒型烧瓶≥500ml，口径 34/24mm，材质：玻璃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4.斜三口圆底烧瓶≥250ml，口径 34/24/19mm，材质：玻璃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5.硅胶塞带孔 34#，材质：橡胶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6.硅胶塞带孔 24#，2 只，材质：橡胶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可配合气体压力传感器，氧气传感器，pH 传感器，不锈钢温度传感器，氯离子传感器使用（有线和无线均可使用）</w:t>
            </w:r>
            <w:r/>
          </w:p>
        </w:tc>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bl>
    <w:p>
      <w:pPr>
        <w:rPr>
          <w:rFonts w:hint="eastAsia"/>
          <w:color w:val="auto"/>
          <w:highlight w:val="none"/>
          <w:lang w:eastAsia="zh-CN"/>
        </w:rPr>
      </w:pPr>
      <w:r>
        <w:rPr>
          <w:rFonts w:hint="eastAsia"/>
          <w:color w:val="auto"/>
          <w:highlight w:val="none"/>
          <w:lang w:eastAsia="zh-CN"/>
        </w:rPr>
      </w:r>
      <w:r/>
    </w:p>
    <w:p>
      <w:pPr>
        <w:rPr>
          <w:rFonts w:hint="eastAsia"/>
          <w:color w:val="auto"/>
          <w:highlight w:val="none"/>
          <w:lang w:eastAsia="zh-CN"/>
        </w:rPr>
      </w:pPr>
      <w:r>
        <w:rPr>
          <w:rFonts w:hint="eastAsia"/>
          <w:color w:val="auto"/>
          <w:highlight w:val="none"/>
          <w:lang w:eastAsia="zh-CN"/>
        </w:rPr>
      </w:r>
      <w:r/>
    </w:p>
    <w:tbl>
      <w:tblPr>
        <w:tblStyle w:val="779"/>
        <w:tblW w:w="8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9"/>
        <w:gridCol w:w="975"/>
        <w:gridCol w:w="6576"/>
        <w:gridCol w:w="364"/>
        <w:gridCol w:w="410"/>
      </w:tblGrid>
      <w:tr>
        <w:trPr>
          <w:jc w:val="center"/>
          <w:trHeight w:val="501"/>
        </w:trPr>
        <w:tc>
          <w:tcPr>
            <w:gridSpan w:val="5"/>
            <w:shd w:val="clear" w:color="auto" w:fill="auto"/>
            <w:tcW w:w="8854" w:type="dxa"/>
            <w:vAlign w:val="center"/>
            <w:textDirection w:val="lrTb"/>
            <w:noWrap/>
          </w:tcPr>
          <w:p>
            <w:pPr>
              <w:jc w:val="center"/>
              <w:rPr>
                <w:rFonts w:ascii="宋体" w:hAnsi="宋体" w:cs="宋体"/>
                <w:color w:val="auto"/>
                <w:sz w:val="18"/>
                <w:szCs w:val="18"/>
                <w:highlight w:val="none"/>
              </w:rPr>
            </w:pPr>
            <w:r>
              <w:rPr>
                <w:rFonts w:hint="eastAsia" w:ascii="宋体" w:hAnsi="宋体" w:cs="宋体"/>
                <w:b/>
                <w:bCs/>
                <w:color w:val="auto"/>
                <w:sz w:val="18"/>
                <w:szCs w:val="18"/>
                <w:highlight w:val="none"/>
                <w:lang w:bidi="ar"/>
              </w:rPr>
              <w:t xml:space="preserve">生物基础仪器</w:t>
            </w:r>
            <w:r/>
          </w:p>
        </w:tc>
      </w:tr>
      <w:tr>
        <w:trPr>
          <w:jc w:val="center"/>
          <w:trHeight w:val="501"/>
        </w:trPr>
        <w:tc>
          <w:tcPr>
            <w:shd w:val="clear" w:color="auto" w:fill="auto"/>
            <w:tcW w:w="529" w:type="dxa"/>
            <w:vAlign w:val="center"/>
            <w:textDirection w:val="lrTb"/>
            <w:noWrap/>
          </w:tcPr>
          <w:p>
            <w:pPr>
              <w:jc w:val="center"/>
              <w:widowControl/>
              <w:rPr>
                <w:rFonts w:hint="eastAsia" w:ascii="宋体" w:hAnsi="宋体" w:eastAsia="宋体" w:cs="宋体"/>
                <w:b/>
                <w:bCs/>
                <w:color w:val="auto"/>
                <w:sz w:val="18"/>
                <w:szCs w:val="18"/>
                <w:highlight w:val="none"/>
                <w:lang w:val="en-US" w:eastAsia="zh-CN" w:bidi="ar"/>
              </w:rPr>
            </w:pPr>
            <w:r>
              <w:rPr>
                <w:rFonts w:hint="eastAsia" w:ascii="宋体" w:hAnsi="宋体" w:cs="宋体"/>
                <w:b/>
                <w:bCs/>
                <w:color w:val="auto"/>
                <w:sz w:val="18"/>
                <w:szCs w:val="18"/>
                <w:highlight w:val="none"/>
                <w:lang w:val="en-US" w:eastAsia="zh-CN" w:bidi="ar"/>
              </w:rPr>
              <w:t xml:space="preserve">序号</w:t>
            </w:r>
            <w:r/>
          </w:p>
        </w:tc>
        <w:tc>
          <w:tcPr>
            <w:shd w:val="clear" w:color="auto" w:fill="auto"/>
            <w:tcW w:w="975" w:type="dxa"/>
            <w:vAlign w:val="center"/>
            <w:textDirection w:val="lrTb"/>
            <w:noWrap w:val="false"/>
          </w:tcPr>
          <w:p>
            <w:pPr>
              <w:jc w:val="center"/>
              <w:widowControl/>
              <w:rPr>
                <w:rFonts w:hint="eastAsia" w:ascii="宋体" w:hAnsi="宋体" w:eastAsia="宋体" w:cs="宋体"/>
                <w:b/>
                <w:bCs/>
                <w:color w:val="auto"/>
                <w:sz w:val="18"/>
                <w:szCs w:val="18"/>
                <w:highlight w:val="none"/>
                <w:lang w:val="en-US" w:eastAsia="zh-CN" w:bidi="ar"/>
              </w:rPr>
            </w:pPr>
            <w:r>
              <w:rPr>
                <w:rFonts w:hint="eastAsia" w:ascii="宋体" w:hAnsi="宋体" w:cs="宋体"/>
                <w:b/>
                <w:bCs/>
                <w:color w:val="auto"/>
                <w:sz w:val="18"/>
                <w:szCs w:val="18"/>
                <w:highlight w:val="none"/>
                <w:lang w:val="en-US" w:eastAsia="zh-CN" w:bidi="ar"/>
              </w:rPr>
              <w:t xml:space="preserve">名称</w:t>
            </w:r>
            <w:r/>
          </w:p>
        </w:tc>
        <w:tc>
          <w:tcPr>
            <w:shd w:val="clear" w:color="auto" w:fill="auto"/>
            <w:tcW w:w="6576" w:type="dxa"/>
            <w:vAlign w:val="center"/>
            <w:textDirection w:val="lrTb"/>
            <w:noWrap w:val="false"/>
          </w:tcPr>
          <w:p>
            <w:pPr>
              <w:jc w:val="left"/>
              <w:widowControl/>
              <w:rPr>
                <w:rFonts w:hint="eastAsia" w:ascii="宋体" w:hAnsi="宋体" w:eastAsia="宋体" w:cs="宋体"/>
                <w:b/>
                <w:bCs/>
                <w:color w:val="auto"/>
                <w:sz w:val="18"/>
                <w:szCs w:val="18"/>
                <w:highlight w:val="none"/>
                <w:lang w:val="en-US" w:eastAsia="zh-CN" w:bidi="ar"/>
              </w:rPr>
            </w:pPr>
            <w:r>
              <w:rPr>
                <w:rFonts w:hint="eastAsia" w:ascii="宋体" w:hAnsi="宋体" w:cs="宋体"/>
                <w:b/>
                <w:bCs/>
                <w:color w:val="auto"/>
                <w:sz w:val="18"/>
                <w:szCs w:val="18"/>
                <w:highlight w:val="none"/>
                <w:lang w:val="en-US" w:eastAsia="zh-CN" w:bidi="ar"/>
              </w:rPr>
              <w:t xml:space="preserve">参数</w:t>
            </w:r>
            <w:r/>
          </w:p>
        </w:tc>
        <w:tc>
          <w:tcPr>
            <w:shd w:val="clear" w:color="auto" w:fill="auto"/>
            <w:tcW w:w="364" w:type="dxa"/>
            <w:vAlign w:val="center"/>
            <w:textDirection w:val="lrTb"/>
            <w:noWrap w:val="false"/>
          </w:tcPr>
          <w:p>
            <w:pPr>
              <w:jc w:val="center"/>
              <w:widowControl/>
              <w:rPr>
                <w:rFonts w:hint="eastAsia" w:ascii="宋体" w:hAnsi="宋体" w:eastAsia="宋体" w:cs="宋体"/>
                <w:b/>
                <w:bCs/>
                <w:color w:val="auto"/>
                <w:sz w:val="18"/>
                <w:szCs w:val="18"/>
                <w:highlight w:val="none"/>
                <w:lang w:val="en-US" w:eastAsia="zh-CN" w:bidi="ar"/>
              </w:rPr>
            </w:pPr>
            <w:r>
              <w:rPr>
                <w:rFonts w:hint="eastAsia" w:ascii="宋体" w:hAnsi="宋体" w:cs="宋体"/>
                <w:b/>
                <w:bCs/>
                <w:color w:val="auto"/>
                <w:sz w:val="18"/>
                <w:szCs w:val="18"/>
                <w:highlight w:val="none"/>
                <w:lang w:val="en-US" w:eastAsia="zh-CN" w:bidi="ar"/>
              </w:rPr>
              <w:t xml:space="preserve">单位</w:t>
            </w:r>
            <w:r/>
          </w:p>
        </w:tc>
        <w:tc>
          <w:tcPr>
            <w:shd w:val="clear" w:color="auto" w:fill="auto"/>
            <w:tcW w:w="410" w:type="dxa"/>
            <w:vAlign w:val="center"/>
            <w:textDirection w:val="lrTb"/>
            <w:noWrap/>
          </w:tcPr>
          <w:p>
            <w:pPr>
              <w:jc w:val="center"/>
              <w:widowControl/>
              <w:rPr>
                <w:rFonts w:hint="eastAsia" w:ascii="宋体" w:hAnsi="宋体" w:eastAsia="宋体" w:cs="宋体"/>
                <w:b/>
                <w:bCs/>
                <w:color w:val="auto"/>
                <w:sz w:val="18"/>
                <w:szCs w:val="18"/>
                <w:highlight w:val="none"/>
                <w:lang w:val="en-US" w:eastAsia="zh-CN" w:bidi="ar"/>
              </w:rPr>
            </w:pPr>
            <w:r>
              <w:rPr>
                <w:rFonts w:hint="eastAsia" w:ascii="宋体" w:hAnsi="宋体" w:cs="宋体"/>
                <w:b/>
                <w:bCs/>
                <w:color w:val="auto"/>
                <w:sz w:val="18"/>
                <w:szCs w:val="18"/>
                <w:highlight w:val="none"/>
                <w:lang w:val="en-US" w:eastAsia="zh-CN" w:bidi="ar"/>
              </w:rPr>
              <w:t xml:space="preserve">数量</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打孔器</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产品由≥四支不同孔径带手柄的空芯钻头、顶屑杆（通条）组成。空芯管：a）每支空芯管长度约100mmb）管外径分别为6mm,8mm,10mm公差±0.1mm。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钻头：用无缝钢管制成；直线度约0.05mm；刀口表面镀铬；刀刃无缺口或锯齿状；刀刃平面与手柄平行，并与钻头轴线垂直；=</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仪器车</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1、采用不锈钢材质。</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2、支架底部用万向轮组装，</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辆</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放大镜</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手持型，放大倍数为3×，有效通光孔径≥40mm。</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28</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电动离心机</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1、机壳采用特殊PP材料外壳，内置保护钢套，简洁紧凑，噪音低：</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2、采用先进的CPU微机控制系统，微机控制器及微电脑驱动程序可更精确控制转速、时间和相对离心机；</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3、最高转速：4000r/min</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4、最大相对离心力：2150xg</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5、最大容量</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6×20ml</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6、电机：免维护无刷电机</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7、定时范围：1~99min</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8、噪声：≤50dB(A)</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9、电源：AC220v50Hz5A</w:t>
            </w:r>
            <w:r>
              <w:rPr>
                <w:rFonts w:hint="eastAsia" w:ascii="宋体" w:hAnsi="宋体" w:cs="宋体"/>
                <w:color w:val="auto"/>
                <w:sz w:val="18"/>
                <w:szCs w:val="18"/>
                <w:highlight w:val="none"/>
                <w:lang w:eastAsia="zh-CN" w:bidi="ar"/>
              </w:rPr>
              <w:t xml:space="preserve">（</w:t>
            </w:r>
            <w:r>
              <w:rPr>
                <w:rFonts w:hint="eastAsia" w:ascii="宋体" w:hAnsi="宋体" w:cs="宋体"/>
                <w:color w:val="auto"/>
                <w:sz w:val="18"/>
                <w:szCs w:val="18"/>
                <w:highlight w:val="none"/>
                <w:lang w:val="en-US" w:eastAsia="zh-CN" w:bidi="ar"/>
              </w:rPr>
              <w:t xml:space="preserve">±10%）</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10、外形尺寸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280×220×265mm(L×W×H)</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11、主机加标配转子：12*5ml</w:t>
            </w:r>
            <w:r/>
          </w:p>
        </w:tc>
        <w:tc>
          <w:tcPr>
            <w:shd w:val="clear" w:color="auto" w:fill="auto"/>
            <w:tcW w:w="364"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电动离心机</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转速约3000r/min～16000r/min</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约1.5mL×12+0.5mL×12</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无刷电机，带电锁</w:t>
            </w:r>
            <w:r/>
          </w:p>
        </w:tc>
        <w:tc>
          <w:tcPr>
            <w:shd w:val="clear" w:color="auto" w:fill="auto"/>
            <w:tcW w:w="364"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生物显微镜</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1、光学系统:独立色差校正光学系统。</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2、目镜：WF10×/18mm，补偿平场目镜。</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3、物镜：独立消色差物镜4X/NA0.1/WD26.7mm；10X/NA0.25/WD5.4mm；40X/NA0.65/WD0.4mm(弹簧)</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4、镜筒：30°铰链双目镜筒，360°旋转观察，瞳间距48mm-75mm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5、转换器：N634四孔定位转换器。</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调焦机构:粗微同轴调焦手轮，微调0.4mm/转，格值0.004mm，粗调行程20mm.采用行星齿轮结构，极限位置可以自动反转，消除使用者操作或误操作造成的破坏，提高仪器使用寿命，齿轮采用自润滑工艺，减少维护的同时，使操作舒适。</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7、照明：0.5WLED，全色谱，数字调光，多功能拨档开关。支持30min无调光操作自动进入关机状态，避免用户忘记关机，更节能环保。</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8、聚光镜：固定式，N.A.1.25阿贝聚光镜，配可变光阑</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9、载物台：机械式，面积：115mm×125mm，移动范围：70mm×26mm，配单片片夹组。金属表面采用静电喷涂工艺，可起到防潮，防碱，抗酒精、丙酮，耐磨、耐盐雾的效果。</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10、显示屏：机身搭载1.3寸OLED显示屏，更直观显示当前光源模式、亮度数值，便于用户记录还原观察数据。支持屏幕定制显示用户名称，让用户拥有自己的专属标签。</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11、Type-C接口可输入可输出，可通过充电宝输入给显微镜供电，也可连接给外接设备（平板、手机、摄像装置等）输出供电。USB-A口仅作为电源输出给外接设备供电。一台显微镜最多允许给另外两台显微镜或外接设备连接供电。</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12、颜色编码孔径光阑系统，调整孔径光阑与物镜色环匹配的颜色区域，可快速定位合适的孔径光阑，根据不同样本微调以获取最清晰的图像</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13、Type-C接口*1（电源输入/输出DC5V/1A），UCB-A接口*1(仅电源输出DC5V/1A)，DC接口*1(仅电源输出DC12V/2.5A)</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14、电源输入：AC100~240V50/60Hz电源适配器转换DC12V/2.5A或Type-C5V/1A输入。</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15、用机械使标本在5mm*5mm范围内移动时的离焦量≤0.005mm。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16、载物台受5N水平方向作用力最大位移≤0.008mm；不重复性≤0.001mm。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17、微调机构空回≤0.004mm。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18、左右放大率差≤0.15%、零视度时左右系统目镜端面位置差≤0.15mm；双目系统左右视场中心偏差，上下≤0.05mm,左右内侧≤0.15mm;左右外侧≤0.105mm;双目系统左右两侧像面光谱色一致，明暗差≤6.2%；</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19、所有物镜均保证齐焦，10X转40齐焦不超过0.03mm;10X转4X齐焦不超过0.027mm.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20、转换器稳定性：转换器稳定性不大于0.008mm.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21、目镜放大率准确度不超过±1.95%。</w:t>
            </w:r>
            <w:r/>
          </w:p>
        </w:tc>
        <w:tc>
          <w:tcPr>
            <w:shd w:val="clear" w:color="auto" w:fill="auto"/>
            <w:tcW w:w="364"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磁力加热搅拌器</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1、搅拌转速：100~1500r/min</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2、最大搅拌量：5000ml</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3、电机转距：20mN·m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4、最长定时：250分钟</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5、加热盘尺寸：≥φ145mm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6、定时精度：1分钟</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7、液体控温精度：±1℃</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8、外形尺寸：≥245*150*125mm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9、液体控温范围：室温~150℃（1000ml内）</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恒温培养箱</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1、控温范围：室温+5-65℃不锈钢内胆。微电脑智能数显控温，设定和实测温度同时数定显示，空气电热管加热，外观新颖，温度波动±0.5℃，具有定时，超温报警功能，带观察窗。</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2、大屏幕液晶显示，多组数据一屏显示，菜单式操作界面，简单易懂，便于操作。</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3、双层门结构，隔热性能好，观察箱内情况时不影响箱内温度。</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4、采用镜面不锈钢内胆，四角半圆弧设计易清洁，箱内搁板间距可调。</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5、箱体外壳采用优质冷轧钢板制造，表面静电喷塑</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6、电热膜加热方式，加热速度快。</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7、控温范围：室温+5-65℃</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8、恒温波动度：±0.5℃</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9、温度分辨率：0.1℃</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10、定时范围：1~9999min</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11、容积：≥80L</w:t>
            </w:r>
            <w:r/>
          </w:p>
        </w:tc>
        <w:tc>
          <w:tcPr>
            <w:shd w:val="clear" w:color="auto" w:fill="auto"/>
            <w:tcW w:w="364"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w:t>
            </w:r>
            <w:r/>
          </w:p>
        </w:tc>
        <w:tc>
          <w:tcPr>
            <w:shd w:val="clear" w:color="auto" w:fill="auto"/>
            <w:tcW w:w="975" w:type="dxa"/>
            <w:vAlign w:val="center"/>
            <w:textDirection w:val="lrTb"/>
            <w:noWrap/>
          </w:tcPr>
          <w:p>
            <w:pPr>
              <w:jc w:val="center"/>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bidi="ar"/>
              </w:rPr>
              <w:t xml:space="preserve">微量液体导出器</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5ml，聚乙稀/高密度乙稀/橡胶(外套+推杆+胶塞)。</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w:t>
            </w:r>
            <w:r/>
          </w:p>
        </w:tc>
        <w:tc>
          <w:tcPr>
            <w:shd w:val="clear" w:color="auto" w:fill="auto"/>
            <w:tcW w:w="975"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val="en-US" w:eastAsia="zh-CN" w:bidi="ar"/>
              </w:rPr>
              <w:t xml:space="preserve">微量液体导出器</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50mL，聚乙稀/高密度乙稀/橡胶(外套+推杆+胶塞)。</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11</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整理箱</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尺寸：≥500*400*300mm，带有提手，滚轮，可密封。</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塑料洗瓶</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瓶体用无毒塑料制成，容积</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250ml。</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13</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方座支架</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1.产品由底座、烧杯夹、大小铁环、垂直夹、平行夹、立杆等组成。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2.底座：铸铁制成，外层涂有防锈漆，规格：约200mm×130mm。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3.立杆：直径为直径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12mm，杆长</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600mm，一端为螺纹。立杆由优质铁制成，外层电镀。</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4.大铁环内径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90mm，柄长</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105mm，小铁环内径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50mm，柄长</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125mm,圆环120°处有一开口，宽</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5.底座放置平稳，支承夹持可靠，立杆与底座垂直，铁环组装后与立杆垂直。</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14</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三脚架</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1.圆环、支撑脚用料</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φ6mm冷拉钢材质，表面喷漆或镀，铬防锈处理。</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2.支撑圆环直径外径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φ130mm，φ内径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90mm、壁厚</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5mm。圆环平面与放置台面平行，高</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138mm。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3.三支撑脚与圆环间焊接牢靠，分布均匀，焊点光滑、平稳。</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4.表面无明显的凹痕、裂缝、变形等缺陷；表面喷漆或涂镀层应均匀，不起泡、龟裂、脱落和磨损；无锈蚀及其他机械损伤。</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15</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试管架</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实验室用具，供放置试管用。木质或塑料制成,约12孔,外形尺寸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445×80×105mm。上板尺寸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445×35×5mm；孔径为22</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1mm。下板尺寸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445×80×15mm。连接上下板的立柱为</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17×80mm。含管柱为：直径φ</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85×80mm。</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16</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试管架</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32孔，铝合金，与φ</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15mm×150mm试管匹配</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17</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托盘天平</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1.最大称量200g，分度值0.2g。</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2.秤量允许误差为±0.5d(分度值)。</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3.砝码组合的总质量（包括标尺计量值）应不小于天平的最大秤量。</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4.冲压件及铸件表面应光洁平整，不应有毛刺、锋棱、裂纹和显见砂眼。</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5.电镀件的镀层应色泽均匀，不应有露底和显见的麻点、水迹、擦伤等缺陷。</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6.油漆件表面应平整光滑，色泽均匀，不应有露底、起泡、挂漆、擦伤等缺陷。</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W w:w="41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18</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电子天平</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200g，0.01g</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W w:w="41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19</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分析天平</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最大称量200g精度0.1mg底座大理石，木框玻璃罩</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20</w:t>
            </w:r>
            <w:r/>
          </w:p>
        </w:tc>
        <w:tc>
          <w:tcPr>
            <w:shd w:val="clear" w:color="auto" w:fill="auto"/>
            <w:tcW w:w="975"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bidi="ar"/>
              </w:rPr>
              <w:t xml:space="preserve">酶活性测试器</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测量范围：0～100℃。2最小分度值：1℃。3允许误差：±1℃。</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21</w:t>
            </w:r>
            <w:r/>
          </w:p>
        </w:tc>
        <w:tc>
          <w:tcPr>
            <w:shd w:val="clear" w:color="auto" w:fill="auto"/>
            <w:tcW w:w="975"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水浴实验用测试器</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测量范围：0℃～100℃，最小分度值：1℃，允许误差±1℃</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22</w:t>
            </w:r>
            <w:r/>
          </w:p>
        </w:tc>
        <w:tc>
          <w:tcPr>
            <w:shd w:val="clear" w:color="auto" w:fill="auto"/>
            <w:tcW w:w="975"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pH计</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测量范围：pH0～14，分辨率：0.1</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23</w:t>
            </w:r>
            <w:r/>
          </w:p>
        </w:tc>
        <w:tc>
          <w:tcPr>
            <w:shd w:val="clear" w:color="auto" w:fill="auto"/>
            <w:tcW w:w="975"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血球计数板</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血球计数板是一块特制的厚型载玻片，载玻片上有4条槽而构成3个平台。中间的平台较宽，其中间又被一短横槽分隔成两半，每个半边上面各有一个计数区，计数区被分成9个大方格。中间的大方格为计数室。计数室分为16个中方格，而每个中方格又分成25个小方格；或计数室分成25个中方格，而每个中方格又分成16个小方格。大方格每边长度允许误差为±1%。</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片</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24</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计数器</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1.8个通道，独立计数，声音提示，不自动清零</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25</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接种环</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由手柄、接种杆、接种环组成。塑料手柄长</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86mm，最大直径不小于8.5mm，接种杆有黄铜加头部三爪轧头组成，接种杆长不小于90mm，头部滚有直齿，与接种杆以螺旋连接且旋转灵活。接种环：长度不小于50mm，直径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0.6mm。</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26</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研磨过滤器</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容量20mL</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27</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直尖头剪</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直尖头，约140mm</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把</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28</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剪</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长度约10.5cm，不锈钢材质</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把</w:t>
            </w:r>
            <w:r/>
          </w:p>
        </w:tc>
        <w:tc>
          <w:tcPr>
            <w:shd w:val="clear" w:color="auto" w:fill="auto"/>
            <w:tcW w:w="41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29</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刀柄</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4号刀柄配23号刀片</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把</w:t>
            </w:r>
            <w:r/>
          </w:p>
        </w:tc>
        <w:tc>
          <w:tcPr>
            <w:shd w:val="clear" w:color="auto" w:fill="auto"/>
            <w:tcW w:w="41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30</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刀片</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23号刀片配4号刀柄，10片装</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包</w:t>
            </w:r>
            <w:r/>
          </w:p>
        </w:tc>
        <w:tc>
          <w:tcPr>
            <w:shd w:val="clear" w:color="auto" w:fill="auto"/>
            <w:tcW w:w="41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31</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尖头镊</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尖头，约125mm</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把</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32</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阔头镊</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阔头，约125mm</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把</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33</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单弯镊</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单弯，约160mm</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把</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34</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直唇头齿镊</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直唇头齿，约100mm</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把</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35</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电泳仪</w:t>
            </w:r>
            <w:r/>
          </w:p>
        </w:tc>
        <w:tc>
          <w:tcPr>
            <w:shd w:val="clear" w:color="auto" w:fill="auto"/>
            <w:tcW w:w="6576" w:type="dxa"/>
            <w:vAlign w:val="center"/>
            <w:textDirection w:val="lrTb"/>
            <w:noWrap w:val="false"/>
          </w:tcPr>
          <w:p>
            <w:p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适用普通蛋白，核酸电泳。产品特点</w:t>
            </w:r>
            <w:r/>
          </w:p>
          <w:p>
            <w:pPr>
              <w:numPr>
                <w:ilvl w:val="0"/>
                <w:numId w:val="6"/>
              </w:numPr>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在工作状态中，可以实时微调</w:t>
            </w:r>
            <w:r/>
          </w:p>
          <w:p>
            <w:pPr>
              <w:numPr>
                <w:ilvl w:val="0"/>
                <w:numId w:val="6"/>
              </w:numPr>
              <w:ind w:left="0" w:firstLine="0"/>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微电脑智能控制</w:t>
            </w:r>
            <w:r/>
          </w:p>
          <w:p>
            <w:pPr>
              <w:numPr>
                <w:ilvl w:val="0"/>
                <w:numId w:val="6"/>
              </w:numPr>
              <w:ind w:left="0" w:firstLine="0"/>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显示终端同时显示电压，电流和定时时间</w:t>
            </w:r>
            <w:r/>
          </w:p>
          <w:p>
            <w:pPr>
              <w:numPr>
                <w:ilvl w:val="0"/>
                <w:numId w:val="6"/>
              </w:numPr>
              <w:ind w:left="0" w:firstLine="0"/>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采用开关电源输出</w:t>
            </w:r>
            <w:r/>
          </w:p>
          <w:p>
            <w:pPr>
              <w:numPr>
                <w:ilvl w:val="0"/>
                <w:numId w:val="6"/>
              </w:numPr>
              <w:ind w:left="0" w:firstLine="0"/>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具有存储记忆功能</w:t>
            </w:r>
            <w:r/>
          </w:p>
          <w:p>
            <w:pPr>
              <w:numPr>
                <w:ilvl w:val="0"/>
                <w:numId w:val="6"/>
              </w:numPr>
              <w:ind w:left="0" w:firstLine="0"/>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具有过压、过流、过载、变载、空载等多项报警保护功能</w:t>
            </w:r>
            <w:r/>
          </w:p>
          <w:p>
            <w:pPr>
              <w:numPr>
                <w:ilvl w:val="0"/>
                <w:numId w:val="6"/>
              </w:numPr>
              <w:ind w:left="0" w:firstLine="0"/>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外型尺寸（ W × D × H）</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235mm×295mm×95mm</w:t>
            </w:r>
            <w:r/>
          </w:p>
          <w:p>
            <w:pPr>
              <w:numPr>
                <w:ilvl w:val="0"/>
                <w:numId w:val="6"/>
              </w:numPr>
              <w:ind w:left="0" w:firstLine="0"/>
              <w:jc w:val="lef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并联输出：4组</w:t>
            </w:r>
            <w:r/>
          </w:p>
          <w:p>
            <w:pPr>
              <w:numPr>
                <w:ilvl w:val="0"/>
                <w:numId w:val="0"/>
              </w:num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9.输出范围（显示分辨率）：6 ～ 600</w:t>
            </w:r>
            <w:r>
              <w:rPr>
                <w:rFonts w:hint="eastAsia" w:ascii="宋体" w:hAnsi="宋体" w:cs="宋体"/>
                <w:color w:val="auto"/>
                <w:sz w:val="18"/>
                <w:szCs w:val="18"/>
                <w:highlight w:val="none"/>
                <w:lang w:val="en-US" w:eastAsia="zh-CN" w:bidi="ar"/>
              </w:rPr>
              <w:t xml:space="preserve">V</w:t>
            </w:r>
            <w:r>
              <w:rPr>
                <w:rFonts w:hint="eastAsia" w:ascii="宋体" w:hAnsi="宋体" w:cs="宋体"/>
                <w:color w:val="auto"/>
                <w:sz w:val="18"/>
                <w:szCs w:val="18"/>
                <w:highlight w:val="none"/>
                <w:lang w:bidi="ar"/>
              </w:rPr>
              <w:t xml:space="preserve">（1V）</w:t>
            </w:r>
            <w:r>
              <w:rPr>
                <w:rFonts w:hint="eastAsia" w:ascii="宋体" w:hAnsi="宋体" w:cs="宋体"/>
                <w:color w:val="auto"/>
                <w:sz w:val="18"/>
                <w:szCs w:val="18"/>
                <w:highlight w:val="none"/>
                <w:lang w:eastAsia="zh-CN" w:bidi="ar"/>
              </w:rPr>
              <w:t xml:space="preserve">，</w:t>
            </w:r>
            <w:r>
              <w:rPr>
                <w:rFonts w:hint="eastAsia" w:ascii="宋体" w:hAnsi="宋体" w:cs="宋体"/>
                <w:color w:val="auto"/>
                <w:sz w:val="18"/>
                <w:szCs w:val="18"/>
                <w:highlight w:val="none"/>
                <w:lang w:bidi="ar"/>
              </w:rPr>
              <w:t xml:space="preserve"> 4 ～ 400mA（1mA）</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36</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恒温震荡器</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室温+5℃～60℃，±1℃，容量：100mL锥形瓶25个或以上</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37</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双垂直电泳槽</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1.高透明度聚碳酸酯注塑成型槽体，经久耐用，方便观察2.聚碳酸酯注塑成型制胶器，具备真正的原位制胶功能3.无缓冲液渗</w:t>
            </w:r>
            <w:r>
              <w:rPr>
                <w:rFonts w:hint="eastAsia" w:ascii="宋体" w:hAnsi="宋体" w:cs="宋体"/>
                <w:color w:val="auto"/>
                <w:sz w:val="18"/>
                <w:szCs w:val="18"/>
                <w:highlight w:val="none"/>
                <w:lang w:bidi="ar"/>
              </w:rPr>
              <w:t xml:space="preserve">漏现象4.避免气泡渗入玻璃板之间5.凝胶底面与玻璃板平齐，避免形成气泡6.结构精巧，操作简便，满足不同厚度的凝胶需要7.制胶、电泳一体化设计，使用简单方便8.限位功能，操作准确9.可同时做双板胶，条带清晰10.高柔韧性导线，开盖断电设计，确保安全11.电极头可更换，方便维修12.外型尺寸：（L×W×H）：140mm×100mm×150mm （±10%）13.凝胶板规格：（L × W）：83 mm× 75mm （±10%）  14.试样格：10、15 齿、1.0、1.5mm 厚，0.75mm15.缓冲液总容量</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400ml</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38</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水平电泳槽</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1.制胶器模具成型，可以制作四种尺寸不同的胶2.透明上盖开孔式设计，便于散热，方便观察3.凝胶托盘带有荧光标尺，便于观察4.高柔韧性导线</w:t>
            </w:r>
            <w:r>
              <w:rPr>
                <w:rFonts w:hint="eastAsia" w:ascii="宋体" w:hAnsi="宋体" w:cs="宋体"/>
                <w:color w:val="auto"/>
                <w:sz w:val="18"/>
                <w:szCs w:val="18"/>
                <w:highlight w:val="none"/>
                <w:lang w:bidi="ar"/>
              </w:rPr>
              <w:t xml:space="preserve">，开盖断电，确保安全5.聚碳酸酯注塑成型，无渗漏6.桥式设计，节省缓冲液7.耐高温，不变形8.限位功能，操作准确9.可拆卸电极架及电极头，方便彻底清洗和维修10.外型尺寸：（L × W × H）：310mm×150mm×120mm（±10%）11.凝胶板规格（L×W）：大胶120mm×120mm；宽胶60mm×120mm ；长胶120mm×60mm；小胶60mm× 60mm12.试样格：2+3 齿（ 2.0mm 厚），6+13 齿，8+18 齿（1.5mm 厚），11+25 齿（1.0mm 厚）可用排枪加样</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39</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台式高速离心机</w:t>
            </w:r>
            <w:r/>
          </w:p>
        </w:tc>
        <w:tc>
          <w:tcPr>
            <w:shd w:val="clear" w:color="auto" w:fill="auto"/>
            <w:tcW w:w="6576"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val="en-US" w:eastAsia="zh-CN" w:bidi="ar"/>
              </w:rPr>
              <w:t xml:space="preserve">1</w:t>
            </w:r>
            <w:r>
              <w:rPr>
                <w:rFonts w:hint="eastAsia" w:ascii="宋体" w:hAnsi="宋体" w:cs="宋体"/>
                <w:color w:val="auto"/>
                <w:sz w:val="18"/>
                <w:szCs w:val="18"/>
                <w:highlight w:val="none"/>
                <w:lang w:bidi="ar"/>
              </w:rPr>
              <w:t xml:space="preserve">、最高转速</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16000rpm；</w:t>
            </w:r>
            <w:r>
              <w:rPr>
                <w:rFonts w:hint="eastAsia" w:ascii="宋体" w:hAnsi="宋体" w:cs="宋体"/>
                <w:color w:val="auto"/>
                <w:sz w:val="18"/>
                <w:szCs w:val="18"/>
                <w:highlight w:val="none"/>
                <w:lang w:val="en-US" w:eastAsia="zh-CN" w:bidi="ar"/>
              </w:rPr>
              <w:t xml:space="preserve">2</w:t>
            </w:r>
            <w:r>
              <w:rPr>
                <w:rFonts w:hint="eastAsia" w:ascii="宋体" w:hAnsi="宋体" w:cs="宋体"/>
                <w:color w:val="auto"/>
                <w:sz w:val="18"/>
                <w:szCs w:val="18"/>
                <w:highlight w:val="none"/>
                <w:lang w:bidi="ar"/>
              </w:rPr>
              <w:t xml:space="preserve">、最大相对离心力：17800xg；</w:t>
            </w:r>
            <w:r>
              <w:rPr>
                <w:rFonts w:hint="eastAsia" w:ascii="宋体" w:hAnsi="宋体" w:cs="宋体"/>
                <w:color w:val="auto"/>
                <w:sz w:val="18"/>
                <w:szCs w:val="18"/>
                <w:highlight w:val="none"/>
                <w:lang w:val="en-US" w:eastAsia="zh-CN" w:bidi="ar"/>
              </w:rPr>
              <w:t xml:space="preserve">3</w:t>
            </w:r>
            <w:r>
              <w:rPr>
                <w:rFonts w:hint="eastAsia" w:ascii="宋体" w:hAnsi="宋体" w:cs="宋体"/>
                <w:color w:val="auto"/>
                <w:sz w:val="18"/>
                <w:szCs w:val="18"/>
                <w:highlight w:val="none"/>
                <w:lang w:bidi="ar"/>
              </w:rPr>
              <w:t xml:space="preserve">、定时范围：0~99min；</w:t>
            </w:r>
            <w:r>
              <w:rPr>
                <w:rFonts w:hint="eastAsia" w:ascii="宋体" w:hAnsi="宋体" w:cs="宋体"/>
                <w:color w:val="auto"/>
                <w:sz w:val="18"/>
                <w:szCs w:val="18"/>
                <w:highlight w:val="none"/>
                <w:lang w:val="en-US" w:eastAsia="zh-CN" w:bidi="ar"/>
              </w:rPr>
              <w:t xml:space="preserve">4</w:t>
            </w:r>
            <w:r>
              <w:rPr>
                <w:rFonts w:hint="eastAsia" w:ascii="宋体" w:hAnsi="宋体" w:cs="宋体"/>
                <w:color w:val="auto"/>
                <w:sz w:val="18"/>
                <w:szCs w:val="18"/>
                <w:highlight w:val="none"/>
                <w:lang w:bidi="ar"/>
              </w:rPr>
              <w:t xml:space="preserve">、电源：220V50Hz10A</w:t>
            </w:r>
            <w:r>
              <w:rPr>
                <w:rFonts w:hint="eastAsia" w:ascii="宋体" w:hAnsi="宋体" w:cs="宋体"/>
                <w:color w:val="auto"/>
                <w:sz w:val="18"/>
                <w:szCs w:val="18"/>
                <w:highlight w:val="none"/>
                <w:lang w:eastAsia="zh-CN" w:bidi="ar"/>
              </w:rPr>
              <w:t xml:space="preserve">（</w:t>
            </w:r>
            <w:r>
              <w:rPr>
                <w:rFonts w:hint="eastAsia" w:ascii="宋体" w:hAnsi="宋体" w:cs="宋体"/>
                <w:color w:val="auto"/>
                <w:sz w:val="18"/>
                <w:szCs w:val="18"/>
                <w:highlight w:val="none"/>
                <w:lang w:val="en-US" w:eastAsia="zh-CN" w:bidi="ar"/>
              </w:rPr>
              <w:t xml:space="preserve">±10%）</w:t>
            </w:r>
            <w:r>
              <w:rPr>
                <w:rFonts w:hint="eastAsia" w:ascii="宋体" w:hAnsi="宋体" w:cs="宋体"/>
                <w:color w:val="auto"/>
                <w:sz w:val="18"/>
                <w:szCs w:val="18"/>
                <w:highlight w:val="none"/>
                <w:lang w:bidi="ar"/>
              </w:rPr>
              <w:t xml:space="preserve">；</w:t>
            </w:r>
            <w:r>
              <w:rPr>
                <w:rFonts w:hint="eastAsia" w:ascii="宋体" w:hAnsi="宋体" w:cs="宋体"/>
                <w:color w:val="auto"/>
                <w:sz w:val="18"/>
                <w:szCs w:val="18"/>
                <w:highlight w:val="none"/>
                <w:lang w:val="en-US" w:eastAsia="zh-CN" w:bidi="ar"/>
              </w:rPr>
              <w:t xml:space="preserve">5</w:t>
            </w:r>
            <w:r>
              <w:rPr>
                <w:rFonts w:hint="eastAsia" w:ascii="宋体" w:hAnsi="宋体" w:cs="宋体"/>
                <w:color w:val="auto"/>
                <w:sz w:val="18"/>
                <w:szCs w:val="18"/>
                <w:highlight w:val="none"/>
                <w:lang w:bidi="ar"/>
              </w:rPr>
              <w:t xml:space="preserve">、转子配置角转子：12x1.5ml20x0.5ml。</w:t>
            </w:r>
            <w:r/>
          </w:p>
        </w:tc>
        <w:tc>
          <w:tcPr>
            <w:shd w:val="clear" w:color="auto" w:fill="auto"/>
            <w:tcW w:w="364"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40</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台式低速离心机</w:t>
            </w:r>
            <w:r/>
          </w:p>
        </w:tc>
        <w:tc>
          <w:tcPr>
            <w:shd w:val="clear" w:color="auto" w:fill="auto"/>
            <w:tcW w:w="6576"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1、机壳采用PP材料外壳，内置保护钢套，简洁紧凑，噪音低：</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2、采用CPU微机控制系统，微机控制器及微电脑驱动程序可更精确控制转速、时间和相对离心机；</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3、最高转速：4000r/min</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4、最大相对离心力：2150xg</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5、最大容量：6×20ml</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6、电机：免维护无刷电机</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7、定时范围：1~99min</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8、噪声：≤50dB(A)</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9、电源：AC220v50Hz5A</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10、外形尺寸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280×220×265mm(L×W×H)</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11、主机加标配转子</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12x20ml</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41</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台式冷冻离心机</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最高转速</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16500rpm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最大离心力</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18757x9</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最大容量</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6x50ml</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定时范围1min~99min59s</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转速精度±10r/min</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温度精度±1℃</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温度设置范围-20℃~40℃</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支持电源AC220+22V50Hz15A</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总功率</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800W</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整机噪声≤65dB(A)</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离心腔直径Ф280mm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外形尺寸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480x560x360(mm)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角转子</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6*50ml尖底</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42</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微量进样器</w:t>
            </w:r>
            <w:r/>
          </w:p>
        </w:tc>
        <w:tc>
          <w:tcPr>
            <w:shd w:val="clear" w:color="auto" w:fill="auto"/>
            <w:tcW w:w="6576"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1.规格：50µL2.材质：主题玻璃+不锈钢材质，活塞采用聚四氟乙烯材质。</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43</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凝胶色谱柱</w:t>
            </w:r>
            <w:r/>
          </w:p>
        </w:tc>
        <w:tc>
          <w:tcPr>
            <w:shd w:val="clear" w:color="auto" w:fill="auto"/>
            <w:tcW w:w="6576"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凝胶色谱柱，规格</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16mm×500mm</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44</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全消毒手动单道可调式移液器0.5-10μL</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1.规格：0.5-10μL；</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2.流线型的外观设计，符合人体工程学，握持舒服;有较高的精度、准确性和均一性；</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3.使用标准配备工具，可在实验室方便快捷地进行校准和维修；</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4.大而清晰的数字显示窗，任何角度都可以观察到;更加智能可靠的体积调节装置，单手可完成体积设置；</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5.采用极佳的耐热材质，可整支高温高压灭菌，无需拆卸。并且可整支紫外消毒。</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W w:w="41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45</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全消毒手动单道可调式移液器10-100μL</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1.规格：10-100μL；</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2.流线型的外观设计，符合人体工程学，握持舒服;有较高的精度、准确性和均一性；</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3.使用标准配备工具，可在实验室方便快捷地进行校准和维修；</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4.大而清晰的数字显示窗，任何角度都可以观察到;更加智能可靠的体积调节装置，单手可完成体积设置；</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5.采用极佳的耐热材质，可整支高温高压灭菌，无需拆卸。并且可整支紫外消毒。</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W w:w="41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46</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全消毒手动单道可调式移液器20-200μL</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1.规格：20-200μL；</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2.流线型的外观设计，符合人体工程学，握持舒服;有较高的精度、准确性和均一性；</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3.使用标准配备工具，可在实验室方便快捷地进行校准和维修；</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4.大而清晰的数字显示窗，任何角度都可以观察到;更加智能可靠的体积调节装置，单手可完成体积设置；</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5.采用极佳的耐热材质，可整支高温高压灭菌，无需拆卸。并且可整支紫外消毒。</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W w:w="41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47</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全消毒手动单道可调式移液器100-1000μL</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1.规格：100-1000μL；</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2.流线型的外观设计，符合人体工程学，握持舒服;有较高的精度、准确性和均一性；</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3.使用标准配备工具，可在实验室方便快捷地进行校准和维修；</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4.大而清晰的数字显示窗，任何角度都可以观察到;更加智能可靠的体积调节装置，单手可完成体积设置；</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5.采用极佳的耐热材质，可整支高温高压灭菌，无需拆卸。并且可整支紫外消毒。</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W w:w="41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48</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全消毒手动单道可调式移液器500-5000μL</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1.规格：500-5000μL；</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2.流线型的外观设计，符合人体工程学，握持舒服;有较高的精度、准确性和均一性；</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3.使用标准配备工具，可在实验室方便快捷地进行校准和维修；</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4.大而清晰的数字显示窗，任何角度都可以观察到;更加智能可靠的体积调节装置，单手可完成体积设置；</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5.采用极佳的耐热材质，可整支高温高压灭菌，无需拆卸。并且可整支紫外消毒。</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W w:w="41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49</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移液器架</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透明有机玻璃制成，可放置约5支移液器</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50</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DNA电泳图谱观察仪</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1、光源：LED4×11个发光灯管，其发光光谱的波峰为468nm±3nm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2、观察窗：黄色透明玻璃，在波长为542nm±3nm处可滤掉50%光线</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3、观察面积：120×120（mm）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4、电源：220V±10%50Hz±2%</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5、输出电压：5V2A</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51</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玻璃三角刮刀(涂布器)</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玻璃材质</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52</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始祖鸟化石及复原模型</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组成：展示头、颈、躯干、尾、翼、足；头部布满鳞片，体被羽毛，尾羽对称排列；头顶平，嘴无喙具齿，鼻孔位于上颌前端；上三指彼此分离，指分节指端具爪；趾分节，三趾向前一趾向后，部与趾均具鳞片；齿着白色，眼、爪、体、底座颜色应有区别；</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2、规格：生物模型，始祖鸟复原模型的身体大小和姿态根据化石模型的比例来确定，体长</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450mm。</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53</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细胞亚显微结构模型</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组成：模型为放大两万倍的高等动物细胞立体亚显微结构，换装部分细胞器和细胞壁可演示高等植物细胞的亚显微结构。细胞表面呈不规则的高低起伏，展示内吞、外排。细胞核呈半球形，位于细胞的近中心处。核表面有一极薄的核膜，腹上有许多核孔，核内有核仁和染色质；</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2、用途：用于讲解真核细胞的内部结构、动植物细胞结构的相互联系和区别。</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54</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细胞膜结构模型观察套装</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一、细胞膜结构模型（1套）</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1、生物模型；</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2、材质：材质为PVC；</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3、用途：用于讲解细胞膜结构结构。</w:t>
            </w:r>
            <w:r>
              <w:rPr>
                <w:rFonts w:hint="eastAsia" w:ascii="宋体" w:hAnsi="宋体" w:cs="宋体"/>
                <w:color w:val="auto"/>
                <w:sz w:val="18"/>
                <w:szCs w:val="18"/>
                <w:highlight w:val="none"/>
                <w:lang w:bidi="ar"/>
              </w:rPr>
              <w:br/>
            </w:r>
            <w:r>
              <w:rPr>
                <w:rFonts w:hint="eastAsia" w:ascii="宋体" w:hAnsi="宋体" w:eastAsia="宋体" w:cs="宋体"/>
                <w:i w:val="0"/>
                <w:iCs w:val="0"/>
                <w:color w:val="auto"/>
                <w:sz w:val="18"/>
                <w:szCs w:val="18"/>
                <w:highlight w:val="none"/>
                <w:u w:val="none"/>
                <w:lang w:val="en-US" w:eastAsia="zh-CN" w:bidi="ar"/>
              </w:rPr>
              <w:t xml:space="preserve">▲</w:t>
            </w:r>
            <w:r>
              <w:rPr>
                <w:rFonts w:hint="eastAsia" w:ascii="宋体" w:hAnsi="宋体" w:cs="宋体"/>
                <w:color w:val="auto"/>
                <w:sz w:val="18"/>
                <w:szCs w:val="18"/>
                <w:highlight w:val="none"/>
                <w:lang w:bidi="ar"/>
              </w:rPr>
              <w:t xml:space="preserve">二、裸眼3D显示终端1套：</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1，显示区域不大于10.1英寸，分辨率不小于2560*1600，垂直RGB 像素结构；</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2，双视点可见光人眼追踪，柱状透镜裸眼3D方案；</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3，支持左右格式的图片和视频播放，不得使用伪3D技术，侧面无黑色周期性斜纹；</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4，触控屏下光栅全贴合，2D画面清晰，柱状透镜光栅宽度不得大于5.5个子像素宽度；</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5，支持防蓝光订制方案，</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6，最佳观看视场角，不小于60°；</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7，CPU≥十核及以上处理器，机身具有工业散热设计；</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8，内存≥4GB ，存储≥64GB，存储最大支持512G及以上；</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9，数据接口类型为TYPE-C；</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10，自带播放器支持在线裸眼3D播放图片和视频，而且支持2D文档和3D文档混合编辑；</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11，支持左右画面一键切换功能</w:t>
            </w:r>
            <w:r>
              <w:rPr>
                <w:rFonts w:hint="eastAsia" w:ascii="宋体" w:hAnsi="宋体" w:cs="宋体"/>
                <w:color w:val="auto"/>
                <w:sz w:val="18"/>
                <w:szCs w:val="18"/>
                <w:highlight w:val="none"/>
                <w:lang w:bidi="ar"/>
              </w:rPr>
              <w:br/>
            </w:r>
            <w:r>
              <w:rPr>
                <w:rFonts w:hint="eastAsia" w:ascii="宋体" w:hAnsi="宋体" w:eastAsia="宋体" w:cs="宋体"/>
                <w:i w:val="0"/>
                <w:iCs w:val="0"/>
                <w:color w:val="auto"/>
                <w:sz w:val="18"/>
                <w:szCs w:val="18"/>
                <w:highlight w:val="none"/>
                <w:u w:val="none"/>
                <w:lang w:val="en-US" w:eastAsia="zh-CN" w:bidi="ar"/>
              </w:rPr>
              <w:t xml:space="preserve">▲</w:t>
            </w:r>
            <w:r>
              <w:rPr>
                <w:rFonts w:hint="eastAsia" w:ascii="宋体" w:hAnsi="宋体" w:cs="宋体"/>
                <w:color w:val="auto"/>
                <w:sz w:val="18"/>
                <w:szCs w:val="18"/>
                <w:highlight w:val="none"/>
                <w:lang w:bidi="ar"/>
              </w:rPr>
              <w:t xml:space="preserve">三、3D在线资源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1、适用于高中生物教育课堂常态化教学，针对各学科重难点教学需求，提供丰富的、与教材大纲相匹配的三维微视频资源；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2、数字资源覆盖主流教材版本，覆盖高中生物学科资源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3、资源平台在线联网观看，不需要占用机器存储。</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4、同步优质数字资源中的三维微视频，支持2D/3D自动切换。不少于40部。</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细胞核脱氧核糖核酸；单糖和二糖；细胞膜的生理机能；白细胞的功能；化学渗透（ATP合成）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植物的呼吸作用；植物组织（分生组织）；有丝分裂；减数分裂；阿米巴虫的二分裂生殖；蛋白质的合成；基因工程的应用；皮肤；兴奋的传递；食虫类植物；消化与排泄系统</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胸骨与肋骨；呼吸和循环系统</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四、配套能源供给设备1套。</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55</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细胞膜流动镶嵌模型组件</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1、组成：模型由细胞膜流动镶嵌模型、磷脂分子、蛋白分子等组成；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2、材质；材质为PVC；</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3、用途：用于中学生物教学中直观讲授细胞膜结构。</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减数分裂中染色体变化模型组件</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1、染色体科拆分、自由组合；</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2、用途：生物模型，通过模拟减数分裂过程中染色体变化的活动，了解减数分裂过程中染色体数目和行为变化。</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57</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DNA结构模型</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用于讲解DNA双螺旋结构，模型的各部分用塑料管连接而成</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58</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DNA双螺旋结构模型组件</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四种碱基、脱氧核糖、磷酸彼此分离</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59</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验证基因分离规律玉米标本</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验证基因分离规律玉米标本</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60</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验证基因自由组合规律玉米标本</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验证基因自由组合规律玉米标本</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61</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验证基因连锁与互换规律玉米标本</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验证基因连锁与互换规律玉米标本</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62</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蚕豆叶下表皮装片</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细胞质着色均匀，细胞核明显，细胞界限清晰</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片</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63</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植物细胞有丝分裂</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洋葱根尖纵切</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片</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64</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胞间连丝切片</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细胞质着色均匀，细胞核明显，细胞界限清晰</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片</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65</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黑藻叶装片</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显示细胞核及叶绿体</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片</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66</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酵母菌装片</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细胞质着色均匀，细胞核明显，细胞界限清晰</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片</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67</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水绵装片</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细胞质着色均匀，细胞核明显，细胞界限清晰</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片</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68</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大肠杆菌涂片</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细胞质着色均匀，细胞核明显，细胞界限清晰</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片</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69</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动物细胞有丝分裂(马蛔虫受精卵切片)</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细胞质着色均匀，细胞核明显，细胞界限清晰</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片</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70</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草履虫分裂生殖装片</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细胞质着色均匀，细胞核明显，细胞界限清晰</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片</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71</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蝗虫精巢减数分裂切片</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细胞质着色均匀，细胞核明显，细胞界限清晰</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片</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72</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蛙血涂片</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细胞质着色均匀，细胞核明显，细胞界限清晰</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片</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73</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表皮细胞装片</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细胞质着色均匀，细胞核明显，细胞界限清晰</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片</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74</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骨骼肌纵横切</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细胞质着色均匀，细胞核明显，细胞界限清晰</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片</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75</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平滑肌分离装片</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细胞质着色均匀，细胞核明显，细胞界限清晰</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片</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76</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心肌切片</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细胞质着色均匀，细胞核明显，细胞界限清晰</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片</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77</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运动神经元装片</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细胞质着色均匀，细胞核明显，细胞界限清晰</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片</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78</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胰腺切片(示胰岛)</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细胞质着色均匀，细胞核明显，细胞界限清晰</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片</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79</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正常人染色体装片</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细胞质着色均匀，细胞核明显，细胞界限清晰</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片</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80</w:t>
            </w:r>
            <w:r/>
          </w:p>
        </w:tc>
        <w:tc>
          <w:tcPr>
            <w:shd w:val="clear" w:color="auto" w:fill="auto"/>
            <w:tcW w:w="975"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DNA和RAN在细胞中的分布</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细胞质着色均匀，细胞核明显，细胞界限清晰</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片</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81</w:t>
            </w:r>
            <w:r/>
          </w:p>
        </w:tc>
        <w:tc>
          <w:tcPr>
            <w:shd w:val="clear" w:color="auto" w:fill="auto"/>
            <w:tcW w:w="975"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线粒体切片</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细胞质着色均匀，细胞核明显，细胞界限清晰</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片</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82</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量筒</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10mL，材质：高硼硅玻璃</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83</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量筒</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25mL，材质：高硼硅玻璃</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84</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量筒</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50mL，材质：高硼硅玻璃</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85</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量筒</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100mL，材质：高硼硅玻璃</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86</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量筒</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500mL，材质：高硼硅玻璃</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87</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量筒</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1000mL，材质：高硼硅玻璃</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88</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容量瓶</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25mL，材质：高硼硅玻璃</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89</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容量瓶</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100mL，材质：高硼硅玻璃</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90</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容量瓶</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250mL，材质：高硼硅玻璃</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91</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容量瓶</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500mL，材质：高硼硅玻璃</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92</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容量瓶</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1000mL，材质：高硼硅玻璃</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93</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移液管</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1mL，材质：高硼硅玻璃</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94</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移液管</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2mL，材质：高硼硅玻璃</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95</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移液管</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5mL，材质：高硼硅玻璃</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96</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移液管</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10mL，材质：高硼硅玻璃</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97</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试管</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φ15mm×150mm，材质：高硼硅玻璃</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shd w:val="clear" w:color="auto" w:fill="auto"/>
            <w:tcW w:w="41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100</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98</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烧杯</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50mL，材质：高硼硅玻璃</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100</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99</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烧杯</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100mL，材质：高硼硅玻璃</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120</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100</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烧杯</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250mL产品用硼硅玻璃制造。具底仪器应放置平稳。仪器的口部都应经磨砂、熔光或卷边处理。刻有标度的仪器，刻线应精确、清晰。外形平整、薄厚均匀，无明显偏斜。不应有薄皮气泡、透明疙瘩、结石、条纹等缺陷。产品应消除内应力。在应力计下呈紫红色。</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101</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烧杯</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500mL，材质：高硼硅玻璃</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102</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烧杯</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1000mL，材质：高硼硅玻璃</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103</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锥形瓶</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50mL，材质：高硼硅玻璃</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250</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104</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锥形瓶</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100mL，材质：高硼硅玻璃</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250</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105</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锥形瓶</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250mL，材质：高硼硅玻璃</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50</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106</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锥形瓶</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500mL，材质：高硼硅玻璃</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50</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107</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蒸馏烧瓶</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250mL，材质：高硼硅玻璃</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108</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酒精灯</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150mL，单头</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109</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干燥器</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160mm，材质：高硼硅玻璃</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110</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蒸馏水瓶</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蒸馏水瓶，材质：高硼硅玻璃</w:t>
            </w:r>
            <w:r/>
          </w:p>
        </w:tc>
        <w:tc>
          <w:tcPr>
            <w:shd w:val="clear" w:color="auto" w:fill="auto"/>
            <w:tcW w:w="364" w:type="dxa"/>
            <w:vAlign w:val="bottom"/>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111</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冷凝器</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直固，300mm</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112</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漏斗</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val="en-US" w:eastAsia="zh-CN" w:bidi="ar"/>
              </w:rPr>
              <w:t xml:space="preserve">6</w:t>
            </w:r>
            <w:r>
              <w:rPr>
                <w:rFonts w:hint="eastAsia" w:ascii="宋体" w:hAnsi="宋体" w:cs="宋体"/>
                <w:color w:val="auto"/>
                <w:sz w:val="18"/>
                <w:szCs w:val="18"/>
                <w:highlight w:val="none"/>
                <w:lang w:bidi="ar"/>
              </w:rPr>
              <w:t xml:space="preserve">0mm</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113</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漏斗</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1．规格：90mm。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2．漏斗口径：90mm±2mm；厚度：约2mm。</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3．漏斗：72mm±1mm；斗柄外径：Φ10mm－11mm；斗柄长90mm±5mm；漏斗角度：60º。</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4．口边光滑平整，无毛边、快口及崩缺，角度正确，口边不得呈椭圆形及部规则多边形，斗柄应垂直，下口应磨成45º角，并将斜口边倒角不呈缺口。</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5．壁厚均匀，内壁光滑，斗柄接头处不允许严重折皱，斗柄垂直偏正不超过3－5mm。</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114</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滴管</w:t>
            </w:r>
            <w:r/>
          </w:p>
        </w:tc>
        <w:tc>
          <w:tcPr>
            <w:shd w:val="clear" w:color="auto" w:fill="auto"/>
            <w:tcW w:w="6576" w:type="dxa"/>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1.滴管规格：1-5ML2.材质：PE聚乙烯材质3.回弹性好，刻度清晰，耐腐蚀，吸力强</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shd w:val="clear" w:color="auto" w:fill="auto"/>
            <w:tcW w:w="41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100</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115</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比色管</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约25mL，材质：高硼硅玻璃</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shd w:val="clear" w:color="auto" w:fill="auto"/>
            <w:tcW w:w="41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150</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116</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广口瓶</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约250mL，材质：高硼硅玻璃</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100</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117</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细口瓶</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约250mL，材质：高硼硅玻璃</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118</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细口瓶</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约500mL，材质：高硼硅玻璃</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119</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细口瓶</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约1000mL，材质：高硼硅玻璃</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120</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滴瓶</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约30mL，材质：高硼硅玻璃</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100</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121</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滴瓶</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约60mL，材质：高硼硅玻璃</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100</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122</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滴瓶</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棕色，30mL，材质：高硼硅玻璃</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200</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123</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滴瓶</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棕色，60mL，材质：高硼硅玻璃</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200</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124</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试管夹</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木制</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把</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28</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125</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石棉网</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1．产品由金属网和附在网上的石棉组成。</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2．金属网由Φ0.1㎜左右的钢丝编织而成，密度均匀，织网密度间距不大于2㎜，金属网为边长不小于125㎜的正方形，边缘应作卷边处理，不散网、不翘丝。</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3．金属网上所附石棉圈为双面附着的正圆形，直径不小于Φ100㎜，厚度为3㎜左右，要求不散、不裂、不脱落。</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4．整体平整、美观，不翘角。</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126</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药匙</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1．药匙采用塑料制成。药匙的宽度为12㎜，长度不小于130㎜。</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2．产品制作应光滑、平整、无毛剌、无缺陷。</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把</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127</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玻璃棒</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φ5mm～φ6mm</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千克</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128</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洗耳球</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60mL,总长</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100mm,球直径</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50mm</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129</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培养皿</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φ60mm</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W w:w="41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250</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130</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培养皿</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φ120mm</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131</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研钵</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瓷,φ60mm</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132</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载玻片</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76*25mm，钠钙玻璃制品，</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盒</w:t>
            </w:r>
            <w:r/>
          </w:p>
        </w:tc>
        <w:tc>
          <w:tcPr>
            <w:shd w:val="clear" w:color="auto" w:fill="auto"/>
            <w:tcW w:w="41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133</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盖玻片</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18*18mm，钠钙玻璃制品，</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包</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134</w:t>
            </w:r>
            <w:r/>
          </w:p>
        </w:tc>
        <w:tc>
          <w:tcPr>
            <w:shd w:val="clear" w:color="auto" w:fill="auto"/>
            <w:tcW w:w="975"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牛肉膏蛋白胨培养基试剂</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牛肉膏蛋白胨培养基试剂</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135</w:t>
            </w:r>
            <w:r/>
          </w:p>
        </w:tc>
        <w:tc>
          <w:tcPr>
            <w:shd w:val="clear" w:color="auto" w:fill="auto"/>
            <w:tcW w:w="975"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尿素培养基试剂</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尿素培养基试剂</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136</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纤维素分解菌培养及鉴别培养基试剂</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纤维素分解菌培养及鉴别培养基试剂</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137</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血红蛋白提取及分离试剂</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血红蛋白提取及分离试剂</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138</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植物组织培养基试剂盒</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MS培养基，附适用于月季或菊花生根和发芽的相关激素</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139</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牛肉膏蛋白胨培养基</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牛肉膏蛋白胨培养基</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140</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分离及鉴定土壤中能分解尿素的细菌培养基</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分离及鉴定土壤中能分解尿素的细菌培养基</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141</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纤维素分解菌培养及鉴别培养基</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纤维素分解菌培养及鉴别培养基</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142</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血红蛋白提取及分离试剂盒</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血红蛋白提取及分离试剂盒</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143</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PCR扩增实验试剂盒</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PCR全套试剂</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144</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琼脂糖凝胶电泳实验试剂盒</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电泳全套试剂</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145</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转基因植物DNA杂交鉴定试剂盒</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大豆或其他植物</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146</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测电笔</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测量范围:100～500V，尺寸:</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15（mm）。</w:t>
            </w:r>
            <w:r/>
          </w:p>
        </w:tc>
        <w:tc>
          <w:tcPr>
            <w:shd w:val="clear" w:color="auto" w:fill="auto"/>
            <w:tcW w:w="364"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147</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一字螺丝刀</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塑料柄一字螺丝刀。全长</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210mm。</w:t>
            </w:r>
            <w:r/>
          </w:p>
        </w:tc>
        <w:tc>
          <w:tcPr>
            <w:shd w:val="clear" w:color="auto" w:fill="auto"/>
            <w:tcW w:w="364"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148</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十字螺丝刀</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塑料柄十字螺丝刀。全长</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210mm。</w:t>
            </w:r>
            <w:r/>
          </w:p>
        </w:tc>
        <w:tc>
          <w:tcPr>
            <w:shd w:val="clear" w:color="auto" w:fill="auto"/>
            <w:tcW w:w="364"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支</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149</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木工锤</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重约0.25kg</w:t>
            </w:r>
            <w:r/>
          </w:p>
        </w:tc>
        <w:tc>
          <w:tcPr>
            <w:shd w:val="clear" w:color="auto" w:fill="auto"/>
            <w:tcW w:w="364"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把</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150</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钢手锯</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由钢锯弓、钢锯条组成。金属锯身，锯弓尺寸可以调节，锯条长度300mm。手柄握捏部位应光滑舒适。采用钢材。锯架表面不应有裂纹，锈渍、毛刺、剥落等缺陷，表面处理色泽一致。锯条不少于10条。锯条和锯弓配合良好。</w:t>
            </w:r>
            <w:r/>
          </w:p>
        </w:tc>
        <w:tc>
          <w:tcPr>
            <w:shd w:val="clear" w:color="auto" w:fill="auto"/>
            <w:tcW w:w="364"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把</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151</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剥线钳</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由钳头和钳柄组成</w:t>
            </w:r>
            <w:r/>
          </w:p>
        </w:tc>
        <w:tc>
          <w:tcPr>
            <w:shd w:val="clear" w:color="auto" w:fill="auto"/>
            <w:tcW w:w="364"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把</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152</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钢丝钳</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开口</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150mm，采用45号高碳钢精工铸造，整体精抛光、热处理，钳口高频淬火，硬度45-48HRC，PVC全新料环保手柄</w:t>
            </w:r>
            <w:r/>
          </w:p>
        </w:tc>
        <w:tc>
          <w:tcPr>
            <w:shd w:val="clear" w:color="auto" w:fill="auto"/>
            <w:tcW w:w="364"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把</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153</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活扳手</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开口</w:t>
            </w:r>
            <w:r>
              <w:rPr>
                <w:rFonts w:hint="eastAsia" w:ascii="宋体" w:hAnsi="宋体" w:cs="宋体"/>
                <w:color w:val="auto"/>
                <w:sz w:val="18"/>
                <w:szCs w:val="18"/>
                <w:highlight w:val="none"/>
                <w:lang w:val="en-US" w:eastAsia="zh-CN" w:bidi="ar"/>
              </w:rPr>
              <w:t xml:space="preserve">≥</w:t>
            </w:r>
            <w:r>
              <w:rPr>
                <w:rFonts w:hint="eastAsia" w:ascii="宋体" w:hAnsi="宋体" w:cs="宋体"/>
                <w:color w:val="auto"/>
                <w:sz w:val="18"/>
                <w:szCs w:val="18"/>
                <w:highlight w:val="none"/>
                <w:lang w:bidi="ar"/>
              </w:rPr>
              <w:t xml:space="preserve">150mm,采用45号高碳钢精工锻造，扳口精密加工，开口灵活，加簧蜗杆保持扳口稳定。</w:t>
            </w:r>
            <w:r/>
          </w:p>
        </w:tc>
        <w:tc>
          <w:tcPr>
            <w:shd w:val="clear" w:color="auto" w:fill="auto"/>
            <w:tcW w:w="364"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把</w:t>
            </w:r>
            <w:r/>
          </w:p>
        </w:tc>
        <w:tc>
          <w:tcPr>
            <w:shd w:val="clear" w:color="auto" w:fill="auto"/>
            <w:tcW w:w="41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r>
      <w:tr>
        <w:trPr>
          <w:jc w:val="center"/>
          <w:trHeight w:val="501"/>
        </w:trPr>
        <w:tc>
          <w:tcPr>
            <w:shd w:val="clear" w:color="auto" w:fill="auto"/>
            <w:tcW w:w="529"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154</w:t>
            </w:r>
            <w:r/>
          </w:p>
        </w:tc>
        <w:tc>
          <w:tcPr>
            <w:shd w:val="clear" w:color="auto" w:fill="auto"/>
            <w:tcW w:w="9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工作服</w:t>
            </w:r>
            <w:r/>
          </w:p>
        </w:tc>
        <w:tc>
          <w:tcPr>
            <w:shd w:val="clear" w:color="auto" w:fill="auto"/>
            <w:tcW w:w="6576"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物理、化学、生物实验教学用。制作用料为棉织品。服装规格以中号为主，身长120cm，颜色为白色。包含实验服及配套裤子一套。</w:t>
            </w:r>
            <w:r>
              <w:rPr>
                <w:rFonts w:hint="eastAsia" w:ascii="宋体" w:hAnsi="宋体" w:cs="宋体"/>
                <w:color w:val="auto"/>
                <w:sz w:val="18"/>
                <w:szCs w:val="18"/>
                <w:highlight w:val="none"/>
                <w:lang w:val="en-US" w:eastAsia="zh-CN" w:bidi="ar"/>
              </w:rPr>
              <w:t xml:space="preserve">配套保护罩一套</w:t>
            </w:r>
            <w:r/>
          </w:p>
        </w:tc>
        <w:tc>
          <w:tcPr>
            <w:shd w:val="clear" w:color="auto" w:fill="auto"/>
            <w:tcW w:w="36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件</w:t>
            </w:r>
            <w:r/>
          </w:p>
        </w:tc>
        <w:tc>
          <w:tcPr>
            <w:shd w:val="clear" w:color="auto" w:fill="auto"/>
            <w:tcW w:w="41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 </w:t>
            </w:r>
            <w:r/>
          </w:p>
        </w:tc>
      </w:tr>
    </w:tbl>
    <w:p>
      <w:pPr>
        <w:rPr>
          <w:rFonts w:hint="eastAsia"/>
          <w:color w:val="auto"/>
          <w:highlight w:val="none"/>
          <w:lang w:eastAsia="zh-CN"/>
        </w:rPr>
        <w:sectPr>
          <w:footnotePr/>
          <w:endnotePr/>
          <w:type w:val="nextPage"/>
          <w:pgSz w:w="11906" w:h="16838" w:orient="portrait"/>
          <w:pgMar w:top="1440" w:right="1800" w:bottom="1440" w:left="1800" w:header="851" w:footer="850" w:gutter="0"/>
          <w:pgNumType w:start="1"/>
          <w:cols w:num="1" w:sep="0" w:space="720" w:equalWidth="1"/>
          <w:docGrid w:linePitch="360"/>
        </w:sectPr>
      </w:pPr>
      <w:r>
        <w:rPr>
          <w:rFonts w:hint="eastAsia"/>
          <w:color w:val="auto"/>
          <w:highlight w:val="none"/>
          <w:lang w:eastAsia="zh-CN"/>
        </w:rPr>
      </w:r>
      <w:r/>
    </w:p>
    <w:p>
      <w:pPr>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lang w:eastAsia="zh-CN"/>
        </w:rPr>
        <w:t xml:space="preserve">二、</w:t>
      </w:r>
      <w:r>
        <w:rPr>
          <w:rFonts w:hint="eastAsia" w:ascii="宋体" w:hAnsi="宋体" w:eastAsia="宋体" w:cs="宋体"/>
          <w:b/>
          <w:bCs w:val="0"/>
          <w:iCs/>
          <w:color w:val="auto"/>
          <w:szCs w:val="21"/>
          <w:highlight w:val="none"/>
        </w:rPr>
        <w:t xml:space="preserve">其它要求</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1.本项目为交钥匙工程，项目包含货物制作、安装、施工、运输、调试验收相关的技术指导和售后服务、利润、保险、税金、以及所包含的风险、责任等所有费用均包含在报价内，请各投标人认真考虑其各种风险。除合同另有规定之外，伴随服务的费用均已含在合同价款中，采购人不再另行支付。</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2.供货、安装时间</w:t>
      </w:r>
      <w:r/>
    </w:p>
    <w:p>
      <w:pPr>
        <w:ind w:firstLine="480"/>
        <w:spacing w:line="360" w:lineRule="auto"/>
        <w:rPr>
          <w:rFonts w:hint="eastAsia" w:ascii="宋体" w:hAnsi="宋体" w:eastAsia="宋体" w:cs="宋体"/>
          <w:bCs/>
          <w:iCs/>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iCs/>
          <w:color w:val="auto"/>
          <w:szCs w:val="21"/>
          <w:highlight w:val="none"/>
          <w:lang w:val="en-US" w:eastAsia="zh-CN"/>
        </w:rPr>
        <w:t xml:space="preserve">合同签订之日起30日</w:t>
      </w:r>
      <w:r>
        <w:rPr>
          <w:rFonts w:hint="eastAsia" w:ascii="宋体" w:hAnsi="宋体" w:eastAsia="宋体" w:cs="宋体"/>
          <w:bCs/>
          <w:iCs/>
          <w:color w:val="auto"/>
          <w:szCs w:val="21"/>
          <w:highlight w:val="none"/>
          <w:lang w:val="en-US" w:eastAsia="zh-CN"/>
        </w:rPr>
        <w:t xml:space="preserve">（除不可抗力、非中标人原因）全部供货及安装完毕，并完成全部验收、文档整理工作。若因供应商原因导致货物不能按要求安装使用，采购人有权追究其责任。供应商可先到项目地点充分了解地理位置、情况、道路、储存空间、装卸限制及施工配合等任何其他足以影响投标报价的情况，任何因忽视或误解项目现场而导致的索赔或工期延长申请将不被批准。</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lang w:val="en-US" w:eastAsia="zh-CN"/>
        </w:rPr>
        <w:t xml:space="preserve">3.交货</w:t>
      </w:r>
      <w:r>
        <w:rPr>
          <w:rFonts w:hint="eastAsia" w:ascii="宋体" w:hAnsi="宋体" w:eastAsia="宋体" w:cs="宋体"/>
          <w:b/>
          <w:bCs w:val="0"/>
          <w:iCs/>
          <w:color w:val="auto"/>
          <w:szCs w:val="21"/>
          <w:highlight w:val="none"/>
        </w:rPr>
        <w:t xml:space="preserve">地点</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采购人指定地点。</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4.产品要求</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按采购人提出基本技术要求生产样品，招标后不得擅自更改产品样式和降低质量，供货方提供的产品必须达到现行中华人民共和国国家、行业有关标准、技术规范的要求，保证提供的货物完全符合规定的质量、规格、性能和安全的要求，保证所有产品不存在任何安全隐患。</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5.质量要求</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由于本项目所采购物品使用对象是</w:t>
      </w:r>
      <w:r>
        <w:rPr>
          <w:rFonts w:hint="eastAsia" w:ascii="宋体" w:hAnsi="宋体" w:cs="宋体"/>
          <w:bCs/>
          <w:iCs/>
          <w:color w:val="auto"/>
          <w:szCs w:val="21"/>
          <w:highlight w:val="none"/>
          <w:lang w:val="en-US" w:eastAsia="zh-CN"/>
        </w:rPr>
        <w:t xml:space="preserve">中</w:t>
      </w:r>
      <w:r>
        <w:rPr>
          <w:rFonts w:hint="eastAsia" w:ascii="宋体" w:hAnsi="宋体" w:eastAsia="宋体" w:cs="宋体"/>
          <w:bCs/>
          <w:iCs/>
          <w:color w:val="auto"/>
          <w:szCs w:val="21"/>
          <w:highlight w:val="none"/>
        </w:rPr>
        <w:t xml:space="preserve">学生，对安全、健康、环保等要求高，家长、学校、社会关注度高，投标人所提供的物品须符合国家关于安全、健康、环保等方面的要求。所购产品须原装出厂的、全新的、包装完好的产品，提供正规发票或来源渠道证明、产品供应商名单和联系方式、保修卡等。如发现使用假冒伪劣产品、三无产品，一经查实，立即终止合同，所有款项一律不付、不退，并将来货封存，交由质量监督部门处理，并按其处罚意见，处以罚款。</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6.供货验收</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（1）供应商在交验货物时必须同时提供国家法定或授权的检验机构按照国家有关法规以及招标文件中规定的标准，对</w:t>
      </w:r>
      <w:r>
        <w:rPr>
          <w:rFonts w:hint="eastAsia" w:ascii="宋体" w:hAnsi="宋体" w:cs="宋体"/>
          <w:bCs/>
          <w:iCs/>
          <w:color w:val="auto"/>
          <w:szCs w:val="21"/>
          <w:highlight w:val="none"/>
          <w:lang w:eastAsia="zh-CN"/>
        </w:rPr>
        <w:t xml:space="preserve">货物</w:t>
      </w:r>
      <w:r>
        <w:rPr>
          <w:rFonts w:hint="eastAsia" w:ascii="宋体" w:hAnsi="宋体" w:eastAsia="宋体" w:cs="宋体"/>
          <w:bCs/>
          <w:iCs/>
          <w:color w:val="auto"/>
          <w:szCs w:val="21"/>
          <w:highlight w:val="none"/>
        </w:rPr>
        <w:t xml:space="preserve">进行的环保（特别是甲醛含量）、质量等检验检测报告。</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（2）采购人将在交付验收前随机对教室进行环保抽检，检测结果必须达到国家相关规定要求，检测费由中标供应商支付。如果检测不合格一切后果由中标供应商负责。</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（3）安装队伍必须加强管理，遵守现场的一切规章制度，文明安装，注意安全。项目实施过程中若发生相关的安全事故由供应商自行负责。</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7.售后服务</w:t>
      </w:r>
      <w:r/>
    </w:p>
    <w:p>
      <w:pPr>
        <w:ind w:firstLine="480"/>
        <w:jc w:val="center"/>
        <w:spacing w:line="360" w:lineRule="auto"/>
        <w:rPr>
          <w:rFonts w:hint="eastAsia" w:ascii="宋体" w:hAnsi="宋体" w:eastAsia="宋体" w:cs="宋体"/>
          <w:i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提供有关售后服务的管理制度、售后服务机构的分布情况、售后服务人员的数量、素质、技术水平及售后服务的反应能力。自验收合格之日起，所有产品及配件提供不少于 3 年免费质保，质保期内全免费上门。质保期满后，供应商须提供最优惠的维修价格（人工费、出厂价零配件费、其他材料费等）进行相关服务，在设备寿命期内，供应商应能保证采购人更换到原厂正宗的零部件，保证维修配件的供应和及时维修，维修价格保持不变</w:t>
      </w:r>
      <w:r/>
    </w:p>
    <w:p>
      <w:pPr>
        <w:ind w:firstLine="0"/>
        <w:jc w:val="left"/>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（政策调整因素除外）。</w:t>
      </w:r>
      <w:r/>
    </w:p>
    <w:p>
      <w:pPr>
        <w:pStyle w:val="771"/>
        <w:rPr>
          <w:rFonts w:hint="eastAsia"/>
          <w:color w:val="auto"/>
          <w:highlight w:val="none"/>
          <w:lang w:val="en-US" w:eastAsia="zh-CN"/>
        </w:rPr>
        <w:sectPr>
          <w:footerReference w:type="default" r:id="rId16"/>
          <w:footnotePr/>
          <w:endnotePr/>
          <w:type w:val="nextPage"/>
          <w:pgSz w:w="11906" w:h="16838" w:orient="portrait"/>
          <w:pgMar w:top="1440" w:right="1800" w:bottom="1440" w:left="1800" w:header="851" w:footer="850" w:gutter="0"/>
          <w:pgNumType w:start="1"/>
          <w:cols w:num="1" w:sep="0" w:space="720" w:equalWidth="1"/>
          <w:docGrid w:linePitch="360"/>
        </w:sectPr>
      </w:pPr>
      <w:r>
        <w:rPr>
          <w:rFonts w:hint="eastAsia"/>
          <w:color w:val="auto"/>
          <w:highlight w:val="none"/>
          <w:lang w:val="en-US" w:eastAsia="zh-CN"/>
        </w:rPr>
      </w:r>
      <w:r/>
    </w:p>
    <w:p>
      <w:pPr>
        <w:pStyle w:val="769"/>
        <w:jc w:val="center"/>
        <w:keepLines/>
        <w:keepNext/>
        <w:pageBreakBefore w:val="0"/>
        <w:spacing w:before="0" w:after="0" w:line="360" w:lineRule="auto"/>
        <w:widowControl w:val="off"/>
        <w:rPr>
          <w:color w:val="auto"/>
          <w:highlight w:val="none"/>
        </w:rPr>
      </w:pPr>
      <w:r>
        <w:rPr>
          <w:rFonts w:hint="eastAsia" w:ascii="宋体" w:hAnsi="宋体" w:eastAsia="宋体" w:cs="Times New Roman"/>
          <w:b/>
          <w:bCs/>
          <w:color w:val="auto"/>
          <w:sz w:val="36"/>
          <w:szCs w:val="36"/>
          <w:highlight w:val="none"/>
          <w:lang w:val="en-US" w:eastAsia="zh-CN"/>
        </w:rPr>
        <w:t xml:space="preserve">第五章 评标方法及评标标准</w:t>
      </w:r>
      <w:bookmarkEnd w:id="54"/>
      <w:r/>
      <w:bookmarkEnd w:id="55"/>
      <w:r/>
      <w:r/>
    </w:p>
    <w:p>
      <w:pPr>
        <w:pStyle w:val="960"/>
        <w:ind w:firstLine="422"/>
        <w:rPr>
          <w:rFonts w:ascii="宋体" w:hAnsi="宋体"/>
          <w:b/>
          <w:color w:val="auto"/>
          <w:sz w:val="21"/>
          <w:szCs w:val="21"/>
          <w:highlight w:val="none"/>
        </w:rPr>
      </w:pPr>
      <w:r>
        <w:rPr>
          <w:rFonts w:hint="eastAsia" w:ascii="宋体" w:hAnsi="宋体"/>
          <w:b/>
          <w:color w:val="auto"/>
          <w:sz w:val="21"/>
          <w:szCs w:val="21"/>
          <w:highlight w:val="none"/>
        </w:rPr>
        <w:t xml:space="preserve">一、评标方法</w:t>
      </w:r>
      <w:r/>
    </w:p>
    <w:p>
      <w:pPr>
        <w:pStyle w:val="960"/>
        <w:ind w:firstLine="420"/>
        <w:rPr>
          <w:rFonts w:ascii="宋体" w:hAnsi="宋体"/>
          <w:color w:val="auto"/>
          <w:sz w:val="21"/>
          <w:szCs w:val="21"/>
          <w:highlight w:val="none"/>
        </w:rPr>
      </w:pPr>
      <w:r>
        <w:rPr>
          <w:rFonts w:hint="eastAsia" w:ascii="宋体" w:hAnsi="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b/>
          <w:color w:val="auto"/>
          <w:szCs w:val="21"/>
          <w:highlight w:val="none"/>
        </w:rPr>
      </w:pPr>
      <w:r/>
      <w:bookmarkStart w:id="56" w:name="_Toc449016388"/>
      <w:r/>
      <w:bookmarkStart w:id="57" w:name="_Toc449017024"/>
      <w:r>
        <w:rPr>
          <w:rFonts w:ascii="宋体" w:hAnsi="宋体"/>
          <w:b/>
          <w:color w:val="auto"/>
          <w:szCs w:val="21"/>
          <w:highlight w:val="none"/>
        </w:rPr>
        <w:t xml:space="preserve">二、</w:t>
      </w:r>
      <w:r>
        <w:rPr>
          <w:rFonts w:hint="eastAsia" w:ascii="宋体" w:hAnsi="宋体"/>
          <w:b/>
          <w:color w:val="auto"/>
          <w:szCs w:val="21"/>
          <w:highlight w:val="none"/>
        </w:rPr>
        <w:t xml:space="preserve">政府采购政策功能落实</w:t>
      </w:r>
      <w:bookmarkEnd w:id="56"/>
      <w:r/>
      <w:bookmarkEnd w:id="57"/>
      <w:r/>
      <w:r/>
    </w:p>
    <w:p>
      <w:pPr>
        <w:ind w:firstLine="420"/>
        <w:spacing w:line="360" w:lineRule="auto"/>
        <w:rPr>
          <w:rFonts w:ascii="宋体" w:hAnsi="宋体"/>
          <w:b/>
          <w:color w:val="auto"/>
          <w:szCs w:val="21"/>
          <w:highlight w:val="none"/>
        </w:rPr>
      </w:pPr>
      <w:r>
        <w:rPr>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60"/>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1、小微型企业价格扣除</w:t>
      </w:r>
      <w:r/>
    </w:p>
    <w:p>
      <w:pPr>
        <w:pStyle w:val="960"/>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（1）本项目对小型和微型企业产品给予20%（工程5%）的扣除价格，用扣除后的价格参与评审。</w:t>
      </w:r>
      <w:r/>
    </w:p>
    <w:p>
      <w:pPr>
        <w:pStyle w:val="960"/>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（2）供应商需按照采购文件的要求提供相应的《企业声明函》。</w:t>
      </w:r>
      <w:r/>
    </w:p>
    <w:p>
      <w:pPr>
        <w:pStyle w:val="960"/>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2、残疾人福利单位价格扣除</w:t>
      </w:r>
      <w:r/>
    </w:p>
    <w:p>
      <w:pPr>
        <w:pStyle w:val="960"/>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（1）本项目对残疾人福利性单位视同小型、微型企业，给予</w:t>
      </w:r>
      <w:r>
        <w:rPr>
          <w:rFonts w:hint="eastAsia" w:ascii="宋体" w:hAnsi="宋体" w:eastAsia="宋体" w:cs="Times New Roman"/>
          <w:color w:val="auto"/>
          <w:sz w:val="21"/>
          <w:szCs w:val="21"/>
          <w:highlight w:val="none"/>
          <w:lang w:val="en-US" w:eastAsia="zh-CN"/>
        </w:rPr>
        <w:t xml:space="preserve">20%（工程5%）</w:t>
      </w:r>
      <w:r>
        <w:rPr>
          <w:rFonts w:hint="eastAsia" w:ascii="宋体" w:hAnsi="宋体" w:eastAsia="宋体" w:cs="Times New Roman"/>
          <w:color w:val="auto"/>
          <w:sz w:val="21"/>
          <w:szCs w:val="21"/>
          <w:highlight w:val="none"/>
        </w:rPr>
        <w:t xml:space="preserve">的价格扣除，用扣除后的价格参与评审。</w:t>
      </w:r>
      <w:r/>
    </w:p>
    <w:p>
      <w:pPr>
        <w:pStyle w:val="960"/>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（2）残疾人福利单位需按照采购文件的要求提供《残疾人福利性单位声明函》。</w:t>
      </w:r>
      <w:r/>
    </w:p>
    <w:p>
      <w:pPr>
        <w:pStyle w:val="960"/>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（3）残疾人福利单位标准请参照《关于促进残疾人就业政府采购政策的通知》（财库〔2017〕141号）。</w:t>
      </w:r>
      <w:r/>
    </w:p>
    <w:p>
      <w:pPr>
        <w:pStyle w:val="960"/>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3、监狱和戒毒企业价格扣除</w:t>
      </w:r>
      <w:r/>
    </w:p>
    <w:p>
      <w:pPr>
        <w:pStyle w:val="960"/>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（1）本项目对监狱和戒毒企业（简称监狱企业）视同小型、微型企业，给予</w:t>
      </w:r>
      <w:r>
        <w:rPr>
          <w:rFonts w:hint="eastAsia" w:ascii="宋体" w:hAnsi="宋体" w:eastAsia="宋体" w:cs="Times New Roman"/>
          <w:color w:val="auto"/>
          <w:sz w:val="21"/>
          <w:szCs w:val="21"/>
          <w:highlight w:val="none"/>
          <w:lang w:val="en-US" w:eastAsia="zh-CN"/>
        </w:rPr>
        <w:t xml:space="preserve">20%（工程 5%）</w:t>
      </w:r>
      <w:r>
        <w:rPr>
          <w:rFonts w:hint="eastAsia" w:ascii="宋体" w:hAnsi="宋体" w:eastAsia="宋体" w:cs="Times New Roman"/>
          <w:color w:val="auto"/>
          <w:sz w:val="21"/>
          <w:szCs w:val="21"/>
          <w:highlight w:val="none"/>
        </w:rPr>
        <w:t xml:space="preserve">的价格扣除，用扣除后的价格参与评审。</w:t>
      </w:r>
      <w:r/>
    </w:p>
    <w:p>
      <w:pPr>
        <w:pStyle w:val="960"/>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60"/>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（3）监狱企业标准请参照《关于政府采购支持监狱企业发展有关问题的通知》（财库[2014]68号）。</w:t>
      </w:r>
      <w:r/>
    </w:p>
    <w:p>
      <w:pPr>
        <w:pStyle w:val="960"/>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4、残疾人福利单位、监狱企业属于小型、微型企业的，不重复享受政策。</w:t>
      </w:r>
      <w:r/>
    </w:p>
    <w:p>
      <w:pPr>
        <w:pStyle w:val="960"/>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Times New Roman"/>
          <w:color w:val="auto"/>
          <w:sz w:val="21"/>
          <w:szCs w:val="21"/>
          <w:highlight w:val="none"/>
          <w:lang w:val="en-US" w:eastAsia="zh-CN"/>
        </w:rPr>
        <w:t xml:space="preserve">联合体6%（工程2%）</w:t>
      </w:r>
      <w:r>
        <w:rPr>
          <w:rFonts w:hint="eastAsia" w:ascii="宋体" w:hAnsi="宋体" w:eastAsia="宋体" w:cs="Times New Roman"/>
          <w:color w:val="auto"/>
          <w:sz w:val="21"/>
          <w:szCs w:val="21"/>
          <w:highlight w:val="none"/>
        </w:rPr>
        <w:t xml:space="preserve">的价格扣除，用扣除后的价格参与评审。 </w:t>
      </w:r>
      <w:r/>
    </w:p>
    <w:p>
      <w:pPr>
        <w:pStyle w:val="960"/>
        <w:ind w:firstLine="420"/>
        <w:keepLines w:val="0"/>
        <w:keepNext w:val="0"/>
        <w:pageBreakBefore w:val="0"/>
        <w:spacing w:before="0" w:after="0"/>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6、联合体各方均为小型、微型企业（残疾人福利单位、监狱企业）的，联合体享受20%(工程5%)的价格扣除，用扣除后的价格参与评审。</w:t>
      </w:r>
      <w:r/>
    </w:p>
    <w:p>
      <w:pPr>
        <w:pStyle w:val="982"/>
        <w:ind w:firstLine="420"/>
        <w:spacing w:line="360" w:lineRule="auto"/>
        <w:rPr>
          <w:rFonts w:hint="eastAsia" w:ascii="宋体" w:hAnsi="宋体" w:cs="宋体"/>
          <w:b/>
          <w:bCs/>
          <w:color w:val="auto"/>
          <w:szCs w:val="21"/>
          <w:highlight w:val="none"/>
        </w:rPr>
      </w:pPr>
      <w:r>
        <w:rPr>
          <w:rFonts w:hint="eastAsia" w:ascii="宋体" w:hAnsi="宋体"/>
          <w:color w:val="auto"/>
          <w:sz w:val="21"/>
          <w:szCs w:val="21"/>
          <w:highlight w:val="none"/>
          <w:lang w:val="en-US" w:eastAsia="zh-CN"/>
        </w:rPr>
        <w:t xml:space="preserve">三、</w:t>
      </w:r>
      <w:r>
        <w:rPr>
          <w:rFonts w:hint="eastAsia" w:ascii="宋体" w:hAnsi="宋体" w:cs="宋体"/>
          <w:b/>
          <w:bCs/>
          <w:color w:val="auto"/>
          <w:szCs w:val="21"/>
          <w:highlight w:val="none"/>
        </w:rPr>
        <w:t xml:space="preserve">其他要求及说明</w:t>
      </w:r>
      <w:r/>
    </w:p>
    <w:p>
      <w:pPr>
        <w:pStyle w:val="982"/>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采购需求所列需提供证明文件的产品，中标人需在收到中标通知后的 5 个工作日内，向采购人提交相关证明文件原件及对应产品，配合完成核查工作。经核查，若产品功能不符合采购要求或证明文件存在虚假情形，将按提供虚假材料处理，取消其中标资格，由此产生的一切损失由中标人承担。</w:t>
      </w:r>
      <w:r/>
    </w:p>
    <w:p>
      <w:pPr>
        <w:pStyle w:val="982"/>
        <w:ind w:firstLine="420"/>
        <w:spacing w:line="360" w:lineRule="auto"/>
        <w:rPr>
          <w:rStyle w:val="807"/>
          <w:rFonts w:hint="eastAsia" w:ascii="宋体" w:hAnsi="宋体" w:eastAsia="宋体" w:cs="宋体"/>
          <w:b w:val="0"/>
          <w:bCs w:val="0"/>
          <w:color w:val="auto"/>
          <w:sz w:val="21"/>
          <w:szCs w:val="21"/>
          <w:highlight w:val="none"/>
          <w:lang w:val="en-US" w:eastAsia="zh-CN"/>
        </w:rPr>
      </w:pPr>
      <w:r>
        <w:rPr>
          <w:rFonts w:hint="eastAsia" w:ascii="宋体" w:hAnsi="宋体" w:cs="宋体"/>
          <w:color w:val="auto"/>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本次招标产品（含核心组件、配套设备）</w:t>
      </w:r>
      <w:r>
        <w:rPr>
          <w:rStyle w:val="807"/>
          <w:rFonts w:hint="eastAsia" w:ascii="宋体" w:hAnsi="宋体" w:eastAsia="宋体" w:cs="宋体"/>
          <w:b w:val="0"/>
          <w:bCs w:val="0"/>
          <w:color w:val="auto"/>
          <w:sz w:val="21"/>
          <w:szCs w:val="21"/>
          <w:highlight w:val="none"/>
        </w:rPr>
        <w:t xml:space="preserve">禁止贴牌</w:t>
      </w:r>
      <w:r>
        <w:rPr>
          <w:rStyle w:val="807"/>
          <w:rFonts w:hint="eastAsia" w:ascii="宋体" w:hAnsi="宋体" w:eastAsia="宋体" w:cs="宋体"/>
          <w:b w:val="0"/>
          <w:bCs w:val="0"/>
          <w:color w:val="auto"/>
          <w:sz w:val="21"/>
          <w:szCs w:val="21"/>
          <w:highlight w:val="none"/>
          <w:lang w:val="en-US" w:eastAsia="zh-CN"/>
        </w:rPr>
        <w:t xml:space="preserve">供应。</w:t>
      </w:r>
      <w:r/>
    </w:p>
    <w:p>
      <w:pPr>
        <w:ind w:firstLine="420"/>
        <w:rPr>
          <w:color w:val="auto"/>
          <w:highlight w:val="none"/>
        </w:rPr>
      </w:pPr>
      <w:r>
        <w:rPr>
          <w:color w:val="auto"/>
          <w:highlight w:val="none"/>
        </w:rPr>
      </w:r>
      <w:r/>
    </w:p>
    <w:p>
      <w:pPr>
        <w:pStyle w:val="960"/>
        <w:ind w:firstLine="420"/>
        <w:keepLines w:val="0"/>
        <w:keepNext w:val="0"/>
        <w:pageBreakBefore w:val="0"/>
        <w:spacing w:before="0" w:after="0"/>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r>
      <w:r/>
    </w:p>
    <w:p>
      <w:pPr>
        <w:numPr>
          <w:ilvl w:val="0"/>
          <w:numId w:val="0"/>
        </w:numPr>
        <w:ind w:left="208" w:firstLine="632"/>
        <w:jc w:val="both"/>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四、评标标准</w:t>
      </w:r>
      <w:r/>
    </w:p>
    <w:p>
      <w:pPr>
        <w:pStyle w:val="982"/>
        <w:numPr>
          <w:ilvl w:val="0"/>
          <w:numId w:val="0"/>
        </w:numPr>
        <w:ind w:firstLine="211"/>
        <w:jc w:val="both"/>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pStyle w:val="982"/>
        <w:numPr>
          <w:ilvl w:val="0"/>
          <w:numId w:val="0"/>
        </w:numPr>
        <w:ind w:firstLine="211"/>
        <w:jc w:val="center"/>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包1化学器材评分标准</w:t>
      </w:r>
      <w:r/>
    </w:p>
    <w:tbl>
      <w:tblPr>
        <w:tblStyle w:val="779"/>
        <w:tblW w:w="480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23"/>
        <w:gridCol w:w="6572"/>
      </w:tblGrid>
      <w:tr>
        <w:trPr>
          <w:jc w:val="center"/>
          <w:trHeight w:val="20"/>
        </w:trPr>
        <w:tc>
          <w:tcPr>
            <w:shd w:val="clear" w:color="000000" w:fill="ffffff"/>
            <w:tcW w:w="990" w:type="pct"/>
            <w:vAlign w:val="center"/>
            <w:textDirection w:val="lrTb"/>
            <w:noWrap w:val="false"/>
          </w:tcPr>
          <w:p>
            <w:pPr>
              <w:jc w:val="center"/>
              <w:widowControl/>
              <w:rPr>
                <w:rFonts w:ascii="宋体" w:hAnsi="宋体" w:cs="宋体"/>
                <w:b/>
                <w:bCs/>
                <w:color w:val="auto"/>
                <w:sz w:val="21"/>
                <w:szCs w:val="21"/>
                <w:highlight w:val="none"/>
              </w:rPr>
            </w:pPr>
            <w:r>
              <w:rPr>
                <w:rFonts w:hint="eastAsia" w:ascii="宋体" w:hAnsi="宋体"/>
                <w:color w:val="auto"/>
                <w:sz w:val="21"/>
                <w:szCs w:val="21"/>
                <w:highlight w:val="none"/>
              </w:rPr>
              <w:t xml:space="preserve">评审内容</w:t>
            </w:r>
            <w:r/>
          </w:p>
        </w:tc>
        <w:tc>
          <w:tcPr>
            <w:shd w:val="clear" w:color="000000" w:fill="ffffff"/>
            <w:tcW w:w="4009" w:type="pct"/>
            <w:vAlign w:val="center"/>
            <w:textDirection w:val="lrTb"/>
            <w:noWrap w:val="false"/>
          </w:tcPr>
          <w:p>
            <w:pPr>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评审标准</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价格分</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（30分）</w:t>
            </w:r>
            <w:r/>
          </w:p>
        </w:tc>
        <w:tc>
          <w:tcPr>
            <w:shd w:val="clear" w:color="auto" w:fill="auto"/>
            <w:tcW w:w="4009" w:type="pct"/>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olor w:val="auto"/>
                <w:highlight w:val="none"/>
              </w:rPr>
              <w:t xml:space="preserve">以满足招标文件要求且投标价格最低的投标报价为评标基准价，其价格分为满分</w:t>
            </w:r>
            <w:r>
              <w:rPr>
                <w:rFonts w:ascii="宋体" w:hAnsi="宋体"/>
                <w:color w:val="auto"/>
                <w:highlight w:val="none"/>
              </w:rPr>
              <w:t xml:space="preserve">30</w:t>
            </w:r>
            <w:r>
              <w:rPr>
                <w:rFonts w:hint="eastAsia" w:ascii="宋体" w:hAnsi="宋体"/>
                <w:color w:val="auto"/>
                <w:highlight w:val="none"/>
              </w:rPr>
              <w:t xml:space="preserve">分。其他投标人的价格分统一按照下列公示计算：投标报价得分＝（评标基准价</w:t>
            </w:r>
            <w:r>
              <w:rPr>
                <w:rFonts w:ascii="宋体" w:hAnsi="宋体"/>
                <w:color w:val="auto"/>
                <w:highlight w:val="none"/>
              </w:rPr>
              <w:t xml:space="preserve">/</w:t>
            </w:r>
            <w:r>
              <w:rPr>
                <w:rFonts w:hint="eastAsia" w:ascii="宋体" w:hAnsi="宋体"/>
                <w:color w:val="auto"/>
                <w:highlight w:val="none"/>
              </w:rPr>
              <w:t xml:space="preserve">投标报价）×</w:t>
            </w:r>
            <w:r>
              <w:rPr>
                <w:rFonts w:ascii="宋体" w:hAnsi="宋体"/>
                <w:color w:val="auto"/>
                <w:highlight w:val="none"/>
              </w:rPr>
              <w:t xml:space="preserve">30</w:t>
            </w:r>
            <w:r>
              <w:rPr>
                <w:rFonts w:hint="eastAsia" w:ascii="宋体" w:hAnsi="宋体"/>
                <w:color w:val="auto"/>
                <w:highlight w:val="none"/>
              </w:rPr>
              <w:t xml:space="preserve">×1</w:t>
            </w:r>
            <w:r>
              <w:rPr>
                <w:rFonts w:ascii="宋体" w:hAnsi="宋体"/>
                <w:color w:val="auto"/>
                <w:highlight w:val="none"/>
              </w:rPr>
              <w:t xml:space="preserve">0</w:t>
            </w:r>
            <w:r>
              <w:rPr>
                <w:rFonts w:hint="eastAsia" w:ascii="宋体" w:hAnsi="宋体"/>
                <w:color w:val="auto"/>
                <w:highlight w:val="none"/>
              </w:rPr>
              <w:t xml:space="preserve">0%（小数点后保留2位）</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技术参数</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18</w:t>
            </w:r>
            <w:r>
              <w:rPr>
                <w:rFonts w:hint="eastAsia" w:ascii="宋体" w:hAnsi="宋体" w:cs="宋体"/>
                <w:color w:val="auto"/>
                <w:sz w:val="21"/>
                <w:szCs w:val="21"/>
                <w:highlight w:val="none"/>
              </w:rPr>
              <w:t xml:space="preserve">分）</w:t>
            </w:r>
            <w:r/>
          </w:p>
        </w:tc>
        <w:tc>
          <w:tcPr>
            <w:shd w:val="clear" w:color="auto" w:fill="auto"/>
            <w:tcW w:w="4009" w:type="pct"/>
            <w:vAlign w:val="center"/>
            <w:textDirection w:val="lrTb"/>
            <w:noWrap w:val="false"/>
          </w:tcPr>
          <w:p>
            <w:pPr>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rPr>
              <w:t xml:space="preserve">设备技术参数全部满足招标要求的得满分</w:t>
            </w:r>
            <w:r>
              <w:rPr>
                <w:rFonts w:hint="eastAsia" w:ascii="宋体" w:hAnsi="宋体" w:cs="宋体"/>
                <w:color w:val="auto"/>
                <w:sz w:val="21"/>
                <w:szCs w:val="21"/>
                <w:highlight w:val="none"/>
                <w:lang w:val="en-US" w:eastAsia="zh-CN"/>
              </w:rPr>
              <w:t xml:space="preserve">18</w:t>
            </w:r>
            <w:r>
              <w:rPr>
                <w:rFonts w:hint="eastAsia" w:ascii="宋体" w:hAnsi="宋体" w:cs="宋体"/>
                <w:color w:val="auto"/>
                <w:sz w:val="21"/>
                <w:szCs w:val="21"/>
                <w:highlight w:val="none"/>
              </w:rPr>
              <w:t xml:space="preserve">分；指标有一项负偏离扣0.2分，扣完为止。（不含产品演示项）</w:t>
            </w:r>
            <w:r>
              <w:rPr>
                <w:rFonts w:hint="eastAsia" w:ascii="宋体" w:hAnsi="宋体" w:cs="宋体"/>
                <w:color w:val="auto"/>
                <w:sz w:val="21"/>
                <w:szCs w:val="21"/>
                <w:highlight w:val="none"/>
                <w:lang w:eastAsia="zh-CN"/>
              </w:rPr>
              <w:t xml:space="preserve">。</w:t>
            </w:r>
            <w:r/>
          </w:p>
          <w:p>
            <w:pPr>
              <w:rPr>
                <w:rFonts w:ascii="宋体" w:hAnsi="宋体" w:cs="宋体"/>
                <w:color w:val="auto"/>
                <w:sz w:val="21"/>
                <w:szCs w:val="21"/>
                <w:highlight w:val="none"/>
              </w:rPr>
            </w:pPr>
            <w:r>
              <w:rPr>
                <w:rFonts w:hint="eastAsia" w:ascii="宋体" w:hAnsi="宋体" w:cs="宋体"/>
                <w:b/>
                <w:bCs/>
                <w:color w:val="auto"/>
                <w:sz w:val="21"/>
                <w:szCs w:val="21"/>
                <w:highlight w:val="none"/>
                <w:lang w:val="en-US" w:eastAsia="zh-CN"/>
              </w:rPr>
              <w:t xml:space="preserve">注：投标人需在“技术参数响应及偏离表”中如实详细填列所投产品的参数，如有偏离须在偏离表中注明，未填写的，视为完全响应。</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业绩</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p>
        </w:tc>
        <w:tc>
          <w:tcPr>
            <w:shd w:val="clear" w:color="auto" w:fill="auto"/>
            <w:tcW w:w="4009" w:type="pct"/>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业绩：投标人提供自202</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年1月1日（以合同签订时间为准）以来承担的类似项目的业绩，每提供一份合同资料得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分，最多得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分。(提供采购合同</w:t>
            </w:r>
            <w:r>
              <w:rPr>
                <w:rFonts w:hint="eastAsia" w:ascii="宋体" w:hAnsi="宋体" w:cs="宋体"/>
                <w:color w:val="auto"/>
                <w:sz w:val="21"/>
                <w:szCs w:val="21"/>
                <w:highlight w:val="none"/>
                <w:lang w:val="en-US" w:eastAsia="zh-CN"/>
              </w:rPr>
              <w:t xml:space="preserve">原件扫描件</w:t>
            </w:r>
            <w:r>
              <w:rPr>
                <w:rFonts w:hint="eastAsia" w:ascii="宋体" w:hAnsi="宋体" w:cs="宋体"/>
                <w:color w:val="auto"/>
                <w:sz w:val="21"/>
                <w:szCs w:val="21"/>
                <w:highlight w:val="none"/>
              </w:rPr>
              <w:t xml:space="preserve">）</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项目设备安装调试的实施方案</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tc>
        <w:tc>
          <w:tcPr>
            <w:shd w:val="clear" w:color="auto" w:fill="auto"/>
            <w:tcW w:w="4009" w:type="pct"/>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根据投标人提供的设备安装调试的实施方案内容是否全面、详细、人员、材料、机械设备计划等方面综合评定，实施方案全面详细，各方面措施完备可操作性强，人员、材料、机械设备计划可行性强得5分，实施方案较全面详细，各方面措施较完备可操作性较强，人员、材料、机械设备计划较可行性较强得3分，实施方案基本全面，各方面措施基本完备可操作性较弱，人员、材料、机械设备计划基本可行得1分。不提供不得分。</w:t>
            </w:r>
            <w:r/>
          </w:p>
        </w:tc>
      </w:tr>
      <w:tr>
        <w:trPr>
          <w:jc w:val="center"/>
          <w:trHeight w:val="20"/>
        </w:trPr>
        <w:tc>
          <w:tcPr>
            <w:shd w:val="clear" w:color="auto" w:fill="auto"/>
            <w:tcW w:w="990" w:type="pct"/>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项目供货方案</w:t>
            </w:r>
            <w:r/>
          </w:p>
          <w:p>
            <w:pPr>
              <w:jc w:val="center"/>
              <w:widowControl/>
              <w:rPr>
                <w:rFonts w:hint="eastAsia" w:ascii="宋体" w:hAnsi="宋体" w:cs="宋体"/>
                <w:color w:val="auto"/>
                <w:sz w:val="21"/>
                <w:szCs w:val="21"/>
                <w:highlight w:val="none"/>
              </w:rPr>
            </w:pP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分）</w:t>
            </w:r>
            <w:r/>
          </w:p>
        </w:tc>
        <w:tc>
          <w:tcPr>
            <w:shd w:val="clear" w:color="auto" w:fill="auto"/>
            <w:tcW w:w="4009" w:type="pct"/>
            <w:vAlign w:val="center"/>
            <w:textDirection w:val="lrTb"/>
            <w:noWrap w:val="false"/>
          </w:tcPr>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投标人针对本采购项目提供对产品生产制造、质量保证、供货计划方面的方案：</w:t>
            </w:r>
            <w:r/>
          </w:p>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方案完整、合理可行，实施流程清晰明确，供货计划安排得当，得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方案较完整、基本合理可行，实施流程比较清晰，供货计划符合要求，得</w:t>
            </w:r>
            <w:r>
              <w:rPr>
                <w:rFonts w:hint="eastAsia" w:ascii="宋体" w:hAnsi="宋体" w:eastAsia="宋体" w:cs="宋体"/>
                <w:color w:val="auto"/>
                <w:sz w:val="21"/>
                <w:szCs w:val="21"/>
                <w:highlight w:val="none"/>
                <w:lang w:eastAsia="zh-CN"/>
              </w:rPr>
              <w:t xml:space="preserve">3</w:t>
            </w:r>
            <w:r>
              <w:rPr>
                <w:rFonts w:hint="eastAsia" w:ascii="宋体" w:hAnsi="宋体" w:cs="宋体"/>
                <w:color w:val="auto"/>
                <w:sz w:val="21"/>
                <w:szCs w:val="21"/>
                <w:highlight w:val="none"/>
              </w:rPr>
              <w:t xml:space="preserve">分；</w:t>
            </w:r>
            <w:r/>
          </w:p>
          <w:p>
            <w:pPr>
              <w:jc w:val="left"/>
              <w:widowControl/>
              <w:rPr>
                <w:color w:val="auto"/>
                <w:highlight w:val="none"/>
              </w:rPr>
            </w:pPr>
            <w:r>
              <w:rPr>
                <w:rFonts w:hint="eastAsia" w:ascii="宋体" w:hAnsi="宋体" w:cs="宋体"/>
                <w:color w:val="auto"/>
                <w:sz w:val="21"/>
                <w:szCs w:val="21"/>
                <w:highlight w:val="none"/>
              </w:rPr>
              <w:t xml:space="preserve">方案笼统，可行性一般，规定时间内能够供货，得</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w:t>
            </w:r>
            <w:r/>
          </w:p>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未提供方案的不得分。</w:t>
            </w:r>
            <w:r/>
          </w:p>
        </w:tc>
      </w:tr>
      <w:tr>
        <w:trPr>
          <w:jc w:val="center"/>
          <w:trHeight w:val="20"/>
        </w:trPr>
        <w:tc>
          <w:tcPr>
            <w:shd w:val="clear" w:color="auto" w:fill="auto"/>
            <w:tcW w:w="99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项目应急方案、验收方案</w:t>
            </w:r>
            <w:r/>
          </w:p>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分)</w:t>
            </w:r>
            <w:r/>
          </w:p>
        </w:tc>
        <w:tc>
          <w:tcPr>
            <w:shd w:val="clear" w:color="auto" w:fill="auto"/>
            <w:tcW w:w="4009" w:type="pct"/>
            <w:vAlign w:val="center"/>
            <w:textDirection w:val="lrTb"/>
            <w:noWrap w:val="false"/>
          </w:tcPr>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针对本项目制定的质量问题应急处理方案：</w:t>
            </w:r>
            <w:r/>
          </w:p>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应急方案考虑周全，处理方式合理得当得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应急方案有一定欠缺，处理方式基本合理得3分；</w:t>
            </w:r>
            <w:r/>
          </w:p>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应急方案不可行或者处理方式不得当的得1分；</w:t>
            </w:r>
            <w:r/>
          </w:p>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未提供应急处理方案的不得分。</w:t>
            </w:r>
            <w:r/>
          </w:p>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针对本项目制定的验收方案：</w:t>
            </w:r>
            <w:r/>
          </w:p>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验收方案完整，标准合理，程序可行的得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验收方案较完整、标准较合理，程序较可行的得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w:t>
            </w:r>
            <w:r/>
          </w:p>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验收方案不全或者标准不明确、程序不清晰的得1分；</w:t>
            </w:r>
            <w:r/>
          </w:p>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未提供验收方案的不得分。</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售后服务方案情况</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（5分）</w:t>
            </w:r>
            <w:r/>
          </w:p>
        </w:tc>
        <w:tc>
          <w:tcPr>
            <w:shd w:val="clear" w:color="auto" w:fill="auto"/>
            <w:tcW w:w="4009" w:type="pct"/>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评委根据供应商提供的售后服务方案（如培训体系及培训方案、服务体系、服务内容、故障解决方案、专业技术人员保障及服务电话）进行评分，售后服务方案完整，针对性强，可操作性强的得5分；售后服务方案较完整，针对性较强，可操作性较强的得3分；售后服务方案基本完整，针对性较弱，可操作性较弱的得1分。不提供不得分。</w:t>
            </w:r>
            <w:r/>
          </w:p>
        </w:tc>
      </w:tr>
      <w:tr>
        <w:trPr>
          <w:jc w:val="center"/>
          <w:trHeight w:val="20"/>
        </w:trPr>
        <w:tc>
          <w:tcPr>
            <w:shd w:val="clear" w:color="auto" w:fill="auto"/>
            <w:tcW w:w="99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质量保证体系及安装安全保障方案</w:t>
            </w:r>
            <w:r/>
          </w:p>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w:t>
            </w:r>
            <w:r/>
          </w:p>
        </w:tc>
        <w:tc>
          <w:tcPr>
            <w:shd w:val="clear" w:color="auto" w:fill="auto"/>
            <w:tcW w:w="4009"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依据质量保证体系及安装安全保障，措施方案可靠且针对性强等进行评价，措施方案可靠且针对性强的得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分，措施方案合理且针对性一般的得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分，措施方案一般且针对性弱得1分。</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产品</w:t>
            </w:r>
            <w:r>
              <w:rPr>
                <w:rFonts w:hint="eastAsia" w:ascii="宋体" w:hAnsi="宋体" w:cs="宋体"/>
                <w:color w:val="auto"/>
                <w:sz w:val="21"/>
                <w:szCs w:val="21"/>
                <w:highlight w:val="none"/>
                <w:lang w:val="en-US" w:eastAsia="zh-CN" w:bidi="ar"/>
              </w:rPr>
              <w:t xml:space="preserve">现场</w:t>
            </w:r>
            <w:r>
              <w:rPr>
                <w:rFonts w:hint="eastAsia" w:ascii="宋体" w:hAnsi="宋体" w:cs="宋体"/>
                <w:color w:val="auto"/>
                <w:sz w:val="21"/>
                <w:szCs w:val="21"/>
                <w:highlight w:val="none"/>
              </w:rPr>
              <w:t xml:space="preserve">演示</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分）</w:t>
            </w:r>
            <w:r/>
          </w:p>
        </w:tc>
        <w:tc>
          <w:tcPr>
            <w:shd w:val="clear" w:color="auto" w:fill="auto"/>
            <w:tcW w:w="4009" w:type="pct"/>
            <w:textDirection w:val="lrTb"/>
            <w:noWrap w:val="false"/>
          </w:tcPr>
          <w:p>
            <w:pPr>
              <w:jc w:val="left"/>
              <w:widowControl/>
              <w:rPr>
                <w:color w:val="auto"/>
                <w:sz w:val="21"/>
                <w:szCs w:val="21"/>
                <w:highlight w:val="none"/>
              </w:rPr>
            </w:pPr>
            <w:r>
              <w:rPr>
                <w:rFonts w:hint="eastAsia" w:ascii="宋体" w:hAnsi="宋体" w:cs="宋体"/>
                <w:color w:val="auto"/>
                <w:sz w:val="21"/>
                <w:szCs w:val="21"/>
                <w:highlight w:val="none"/>
              </w:rPr>
              <w:t xml:space="preserve">为保证产品质量要求，开标现场投标人按照要求提供样品及演示，根据样品整体的制作质量、制作工艺水平、款式、结构需求是否符合招标文件的要求、功能参数达成度、演示效果等方面打分（</w:t>
            </w:r>
            <w:r>
              <w:rPr>
                <w:rFonts w:hint="eastAsia" w:ascii="宋体" w:hAnsi="宋体" w:cs="宋体"/>
                <w:color w:val="auto"/>
                <w:sz w:val="21"/>
                <w:szCs w:val="21"/>
                <w:highlight w:val="none"/>
                <w:lang w:val="en-US" w:eastAsia="zh-CN"/>
              </w:rPr>
              <w:t xml:space="preserve">任意一点不满足不得分</w:t>
            </w:r>
            <w:r>
              <w:rPr>
                <w:rFonts w:hint="eastAsia" w:ascii="宋体" w:hAnsi="宋体" w:cs="宋体"/>
                <w:color w:val="auto"/>
                <w:sz w:val="21"/>
                <w:szCs w:val="21"/>
                <w:highlight w:val="none"/>
              </w:rPr>
              <w:t xml:space="preserve">）。本项演示最高分为1</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分，满足1条功能得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rPr>
              <w:br/>
            </w:r>
            <w:r>
              <w:rPr>
                <w:rFonts w:hint="eastAsia" w:ascii="宋体" w:hAnsi="宋体" w:cs="宋体"/>
                <w:b/>
                <w:bCs/>
                <w:color w:val="auto"/>
                <w:sz w:val="21"/>
                <w:szCs w:val="21"/>
                <w:highlight w:val="none"/>
              </w:rPr>
              <w:t xml:space="preserve">一、“无线二氧化碳传感器”功能演示:</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1、要求传感器无线蓝牙连接终端，终端为PC电脑、笔记本电脑、平板电脑，手机等；同学科教室的传感器采用统一软件以便于教学开展。</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2、单个本传感器可同时显示二氧化碳、温度、湿度三个参数；</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3、检测呼出的空气中二氧化碳、温度、湿度变化图线。</w:t>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二、“复合材料标本展示装置”功能演示：</w:t>
            </w:r>
            <w:r/>
          </w:p>
          <w:p>
            <w:pPr>
              <w:jc w:val="left"/>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1、要求裸眼3D显示终端在播放3D视频时候能够打开人眼追踪模式，出现双眼追踪效果</w:t>
            </w:r>
            <w:r>
              <w:rPr>
                <w:rFonts w:hint="eastAsia" w:ascii="宋体" w:hAnsi="宋体" w:cs="宋体"/>
                <w:color w:val="auto"/>
                <w:sz w:val="21"/>
                <w:szCs w:val="21"/>
                <w:highlight w:val="none"/>
                <w:lang w:eastAsia="zh-CN"/>
              </w:rPr>
              <w:t xml:space="preserve">；</w:t>
            </w:r>
            <w:r/>
          </w:p>
          <w:p>
            <w:pPr>
              <w:jc w:val="left"/>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2、要求裸眼3D显示终端在不播放3D视频或者图片时，能正常显示2D画面，在播放器里面播放视频或者图片时，画面直接是3D效果，无需手动调节</w:t>
            </w:r>
            <w:r>
              <w:rPr>
                <w:rFonts w:hint="eastAsia" w:ascii="宋体" w:hAnsi="宋体" w:cs="宋体"/>
                <w:color w:val="auto"/>
                <w:sz w:val="21"/>
                <w:szCs w:val="21"/>
                <w:highlight w:val="none"/>
                <w:lang w:eastAsia="zh-CN"/>
              </w:rPr>
              <w:t xml:space="preserve">；</w:t>
            </w:r>
            <w:r/>
          </w:p>
          <w:p>
            <w:pPr>
              <w:jc w:val="left"/>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3、高中化学视频资源内容需包含：原子半径及其类型、原子半径的周期变化趋势、原子核外电子构型和元素在周期表中的位置、化学键合、共价键、共价键的裂变、甲烷、氨气的实验室制法、磷的化学性质、氯化钠的晶体结构，满足这10部资源</w:t>
            </w:r>
            <w:r>
              <w:rPr>
                <w:rFonts w:hint="eastAsia" w:ascii="宋体" w:hAnsi="宋体" w:cs="宋体"/>
                <w:color w:val="auto"/>
                <w:sz w:val="21"/>
                <w:szCs w:val="21"/>
                <w:highlight w:val="none"/>
                <w:lang w:eastAsia="zh-CN"/>
              </w:rPr>
              <w:t xml:space="preserve">。</w:t>
            </w:r>
            <w:r/>
          </w:p>
        </w:tc>
      </w:tr>
    </w:tbl>
    <w:p>
      <w:pPr>
        <w:pStyle w:val="982"/>
        <w:numPr>
          <w:ilvl w:val="0"/>
          <w:numId w:val="0"/>
        </w:num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keepLines w:val="0"/>
        <w:keepNext w:val="0"/>
        <w:pageBreakBefore w:val="0"/>
        <w:spacing w:line="400" w:lineRule="exact"/>
        <w:widowControl w:val="off"/>
        <w:rPr>
          <w:rFonts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：1、评委应对以上各得分项独立评分，投标人最终得分为所有评委评分汇总的平均值。</w:t>
      </w:r>
      <w:r/>
    </w:p>
    <w:p>
      <w:pPr>
        <w:ind w:left="422" w:hanging="422"/>
        <w:jc w:val="left"/>
        <w:keepLines w:val="0"/>
        <w:keepNext w:val="0"/>
        <w:pageBreakBefore w:val="0"/>
        <w:spacing w:line="400" w:lineRule="exact"/>
        <w:widowControl w:val="off"/>
        <w:rPr>
          <w:rFonts w:ascii="宋体" w:hAnsi="宋体" w:cs="宋体"/>
          <w:color w:val="auto"/>
          <w:highlight w:val="none"/>
        </w:rPr>
      </w:pPr>
      <w:r>
        <w:rPr>
          <w:rFonts w:hint="eastAsia" w:ascii="宋体" w:hAnsi="宋体" w:cs="宋体"/>
          <w:color w:val="auto"/>
          <w:highlight w:val="none"/>
        </w:rPr>
        <w:t xml:space="preserve">    2、以上参与评分的相关证书、合同等其他证明材料，均</w:t>
      </w:r>
      <w:r>
        <w:rPr>
          <w:rFonts w:hint="eastAsia" w:ascii="宋体" w:hAnsi="宋体" w:cs="宋体"/>
          <w:color w:val="auto"/>
          <w:highlight w:val="none"/>
          <w:lang w:val="en-US" w:eastAsia="zh-CN"/>
        </w:rPr>
        <w:t xml:space="preserve">须</w:t>
      </w:r>
      <w:r>
        <w:rPr>
          <w:rFonts w:hint="eastAsia" w:ascii="宋体" w:hAnsi="宋体" w:cs="宋体"/>
          <w:color w:val="auto"/>
          <w:highlight w:val="none"/>
        </w:rPr>
        <w:t xml:space="preserve">以原件扫描件形式上传</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否则不得分。</w:t>
      </w:r>
      <w:r/>
    </w:p>
    <w:p>
      <w:pPr>
        <w:rPr>
          <w:color w:val="auto"/>
          <w:highlight w:val="none"/>
        </w:rPr>
      </w:pPr>
      <w:r>
        <w:rPr>
          <w:color w:val="auto"/>
          <w:highlight w:val="none"/>
        </w:rPr>
        <w:br w:type="page" w:clear="all"/>
      </w:r>
      <w:r/>
    </w:p>
    <w:p>
      <w:pPr>
        <w:numPr>
          <w:ilvl w:val="0"/>
          <w:numId w:val="0"/>
        </w:numPr>
        <w:jc w:val="cente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包</w:t>
      </w:r>
      <w:r>
        <w:rPr>
          <w:rFonts w:hint="eastAsia" w:ascii="宋体" w:hAnsi="宋体" w:cs="宋体"/>
          <w:b/>
          <w:bCs/>
          <w:color w:val="auto"/>
          <w:sz w:val="21"/>
          <w:szCs w:val="21"/>
          <w:highlight w:val="none"/>
          <w:lang w:val="en-US" w:eastAsia="zh-CN" w:bidi="ar-SA"/>
        </w:rPr>
        <w:t xml:space="preserve">2物理器材</w:t>
      </w:r>
      <w:r>
        <w:rPr>
          <w:rFonts w:hint="eastAsia" w:ascii="宋体" w:hAnsi="宋体" w:eastAsia="宋体" w:cs="宋体"/>
          <w:b/>
          <w:bCs/>
          <w:color w:val="auto"/>
          <w:sz w:val="21"/>
          <w:szCs w:val="21"/>
          <w:highlight w:val="none"/>
          <w:lang w:val="en-US" w:eastAsia="zh-CN" w:bidi="ar-SA"/>
        </w:rPr>
        <w:t xml:space="preserve">评标标准</w:t>
      </w:r>
      <w:r/>
    </w:p>
    <w:tbl>
      <w:tblPr>
        <w:tblStyle w:val="779"/>
        <w:tblW w:w="480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23"/>
        <w:gridCol w:w="6572"/>
      </w:tblGrid>
      <w:tr>
        <w:trPr>
          <w:jc w:val="center"/>
          <w:trHeight w:val="20"/>
        </w:trPr>
        <w:tc>
          <w:tcPr>
            <w:shd w:val="clear" w:color="000000" w:fill="ffffff"/>
            <w:tcW w:w="990" w:type="pct"/>
            <w:vAlign w:val="center"/>
            <w:textDirection w:val="lrTb"/>
            <w:noWrap w:val="false"/>
          </w:tcPr>
          <w:p>
            <w:pPr>
              <w:jc w:val="center"/>
              <w:widowControl/>
              <w:rPr>
                <w:rFonts w:ascii="宋体" w:hAnsi="宋体" w:cs="宋体"/>
                <w:b/>
                <w:bCs/>
                <w:color w:val="auto"/>
                <w:sz w:val="21"/>
                <w:szCs w:val="21"/>
                <w:highlight w:val="none"/>
              </w:rPr>
            </w:pPr>
            <w:r>
              <w:rPr>
                <w:rFonts w:hint="eastAsia" w:ascii="宋体" w:hAnsi="宋体"/>
                <w:color w:val="auto"/>
                <w:sz w:val="21"/>
                <w:szCs w:val="21"/>
                <w:highlight w:val="none"/>
              </w:rPr>
              <w:t xml:space="preserve">评审内容</w:t>
            </w:r>
            <w:r/>
          </w:p>
        </w:tc>
        <w:tc>
          <w:tcPr>
            <w:shd w:val="clear" w:color="000000" w:fill="ffffff"/>
            <w:tcW w:w="4009" w:type="pct"/>
            <w:vAlign w:val="center"/>
            <w:textDirection w:val="lrTb"/>
            <w:noWrap w:val="false"/>
          </w:tcPr>
          <w:p>
            <w:pPr>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评审标准</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价格分</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（30分）</w:t>
            </w:r>
            <w:r/>
          </w:p>
        </w:tc>
        <w:tc>
          <w:tcPr>
            <w:shd w:val="clear" w:color="auto" w:fill="auto"/>
            <w:tcW w:w="4009" w:type="pct"/>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olor w:val="auto"/>
                <w:highlight w:val="none"/>
              </w:rPr>
              <w:t xml:space="preserve">以满足招标文件要求且投标价格最低的投标报价为评标基准价，其价格分为满分</w:t>
            </w:r>
            <w:r>
              <w:rPr>
                <w:rFonts w:ascii="宋体" w:hAnsi="宋体"/>
                <w:color w:val="auto"/>
                <w:highlight w:val="none"/>
              </w:rPr>
              <w:t xml:space="preserve">30</w:t>
            </w:r>
            <w:r>
              <w:rPr>
                <w:rFonts w:hint="eastAsia" w:ascii="宋体" w:hAnsi="宋体"/>
                <w:color w:val="auto"/>
                <w:highlight w:val="none"/>
              </w:rPr>
              <w:t xml:space="preserve">分。其他投标人的价格分统一按照下列公示计算：投标报价得分＝（评标基准价</w:t>
            </w:r>
            <w:r>
              <w:rPr>
                <w:rFonts w:ascii="宋体" w:hAnsi="宋体"/>
                <w:color w:val="auto"/>
                <w:highlight w:val="none"/>
              </w:rPr>
              <w:t xml:space="preserve">/</w:t>
            </w:r>
            <w:r>
              <w:rPr>
                <w:rFonts w:hint="eastAsia" w:ascii="宋体" w:hAnsi="宋体"/>
                <w:color w:val="auto"/>
                <w:highlight w:val="none"/>
              </w:rPr>
              <w:t xml:space="preserve">投标报价）×</w:t>
            </w:r>
            <w:r>
              <w:rPr>
                <w:rFonts w:ascii="宋体" w:hAnsi="宋体"/>
                <w:color w:val="auto"/>
                <w:highlight w:val="none"/>
              </w:rPr>
              <w:t xml:space="preserve">30</w:t>
            </w:r>
            <w:r>
              <w:rPr>
                <w:rFonts w:hint="eastAsia" w:ascii="宋体" w:hAnsi="宋体"/>
                <w:color w:val="auto"/>
                <w:highlight w:val="none"/>
              </w:rPr>
              <w:t xml:space="preserve">×1</w:t>
            </w:r>
            <w:r>
              <w:rPr>
                <w:rFonts w:ascii="宋体" w:hAnsi="宋体"/>
                <w:color w:val="auto"/>
                <w:highlight w:val="none"/>
              </w:rPr>
              <w:t xml:space="preserve">0</w:t>
            </w:r>
            <w:r>
              <w:rPr>
                <w:rFonts w:hint="eastAsia" w:ascii="宋体" w:hAnsi="宋体"/>
                <w:color w:val="auto"/>
                <w:highlight w:val="none"/>
              </w:rPr>
              <w:t xml:space="preserve">0%（小数点后保留2位）</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技术参数</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17</w:t>
            </w:r>
            <w:r>
              <w:rPr>
                <w:rFonts w:hint="eastAsia" w:ascii="宋体" w:hAnsi="宋体" w:cs="宋体"/>
                <w:color w:val="auto"/>
                <w:sz w:val="21"/>
                <w:szCs w:val="21"/>
                <w:highlight w:val="none"/>
              </w:rPr>
              <w:t xml:space="preserve">分）</w:t>
            </w:r>
            <w:r/>
          </w:p>
        </w:tc>
        <w:tc>
          <w:tcPr>
            <w:shd w:val="clear" w:color="auto" w:fill="auto"/>
            <w:tcW w:w="4009" w:type="pct"/>
            <w:vAlign w:val="center"/>
            <w:textDirection w:val="lrTb"/>
            <w:noWrap w:val="false"/>
          </w:tcPr>
          <w:p>
            <w:pPr>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rPr>
              <w:t xml:space="preserve">设备技术参数全部满足招标要求的得满分</w:t>
            </w:r>
            <w:r>
              <w:rPr>
                <w:rFonts w:hint="eastAsia" w:ascii="宋体" w:hAnsi="宋体" w:cs="宋体"/>
                <w:color w:val="auto"/>
                <w:sz w:val="21"/>
                <w:szCs w:val="21"/>
                <w:highlight w:val="none"/>
                <w:lang w:val="en-US" w:eastAsia="zh-CN"/>
              </w:rPr>
              <w:t xml:space="preserve">17</w:t>
            </w:r>
            <w:r>
              <w:rPr>
                <w:rFonts w:hint="eastAsia" w:ascii="宋体" w:hAnsi="宋体" w:cs="宋体"/>
                <w:color w:val="auto"/>
                <w:sz w:val="21"/>
                <w:szCs w:val="21"/>
                <w:highlight w:val="none"/>
              </w:rPr>
              <w:t xml:space="preserve">分；指标有一项负偏离扣0.2分，扣完为止。（不含产品演示项）</w:t>
            </w:r>
            <w:r>
              <w:rPr>
                <w:rFonts w:hint="eastAsia" w:ascii="宋体" w:hAnsi="宋体" w:cs="宋体"/>
                <w:color w:val="auto"/>
                <w:sz w:val="21"/>
                <w:szCs w:val="21"/>
                <w:highlight w:val="none"/>
                <w:lang w:eastAsia="zh-CN"/>
              </w:rPr>
              <w:t xml:space="preserve">。</w:t>
            </w:r>
            <w:r/>
          </w:p>
          <w:p>
            <w:pPr>
              <w:rPr>
                <w:rFonts w:ascii="宋体" w:hAnsi="宋体" w:cs="宋体"/>
                <w:color w:val="auto"/>
                <w:sz w:val="21"/>
                <w:szCs w:val="21"/>
                <w:highlight w:val="none"/>
              </w:rPr>
            </w:pPr>
            <w:r>
              <w:rPr>
                <w:rFonts w:hint="eastAsia" w:ascii="宋体" w:hAnsi="宋体" w:cs="宋体"/>
                <w:b/>
                <w:bCs/>
                <w:color w:val="auto"/>
                <w:sz w:val="21"/>
                <w:szCs w:val="21"/>
                <w:highlight w:val="none"/>
                <w:lang w:val="en-US" w:eastAsia="zh-CN"/>
              </w:rPr>
              <w:t xml:space="preserve">注：投标人需在“技术参数响应及偏离表”中如实详细填列所投产品的参数，如有偏离须在偏离表中注明，未填写的，视为完全响应。</w:t>
            </w:r>
            <w:r/>
          </w:p>
        </w:tc>
      </w:tr>
      <w:tr>
        <w:trPr>
          <w:jc w:val="center"/>
          <w:trHeight w:val="9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业绩</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p>
        </w:tc>
        <w:tc>
          <w:tcPr>
            <w:shd w:val="clear" w:color="auto" w:fill="auto"/>
            <w:tcW w:w="4009" w:type="pct"/>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业绩：投标人提供自202</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年1月1日（以合同签订时间为准）以来承担的类似项目的业绩，每提供一份合同资料得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分，最多得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分。(提供采购合同</w:t>
            </w:r>
            <w:r>
              <w:rPr>
                <w:rFonts w:hint="eastAsia" w:ascii="宋体" w:hAnsi="宋体" w:cs="宋体"/>
                <w:color w:val="auto"/>
                <w:sz w:val="21"/>
                <w:szCs w:val="21"/>
                <w:highlight w:val="none"/>
                <w:lang w:val="en-US" w:eastAsia="zh-CN"/>
              </w:rPr>
              <w:t xml:space="preserve">原件扫描件</w:t>
            </w:r>
            <w:r>
              <w:rPr>
                <w:rFonts w:hint="eastAsia" w:ascii="宋体" w:hAnsi="宋体" w:cs="宋体"/>
                <w:color w:val="auto"/>
                <w:sz w:val="21"/>
                <w:szCs w:val="21"/>
                <w:highlight w:val="none"/>
              </w:rPr>
              <w:t xml:space="preserve">）</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项目设备安装调试的实施方案</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（5分）</w:t>
            </w:r>
            <w:r/>
          </w:p>
        </w:tc>
        <w:tc>
          <w:tcPr>
            <w:shd w:val="clear" w:color="auto" w:fill="auto"/>
            <w:tcW w:w="4009" w:type="pct"/>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根据投标人提供的设备安装调试的实施方案内容是否全面、详细、人员、材料、机械设备计划等方面综合评定，实施方案全面详细，各方面措施完备可操作性强，人员、材料、机械设备计划可行性强得5分，实施方案较全面详细，各方面措施较完备可操作性较强，人员、材料、机械设备计划较可行性较强得3分，实施方案基本全面，各方面措施基本完备可操作性较弱，人员、材料、机械设备计划基本可行得1分。不提供不得分。</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质量保证体系及安装安全保障方案</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w:t>
            </w:r>
            <w:r/>
          </w:p>
        </w:tc>
        <w:tc>
          <w:tcPr>
            <w:shd w:val="clear" w:color="auto" w:fill="auto"/>
            <w:tcW w:w="4009" w:type="pct"/>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依据质量保证体系及安装安全保障，措施方案可靠且针对性强等进行评价，措施方案可靠且针对性强的得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分，措施方案合理且针对性一般的得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分，措施方案一般且针对性弱得1分。</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售后服务方案情况</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（5分）</w:t>
            </w:r>
            <w:r/>
          </w:p>
        </w:tc>
        <w:tc>
          <w:tcPr>
            <w:shd w:val="clear" w:color="auto" w:fill="auto"/>
            <w:tcW w:w="4009" w:type="pct"/>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评委根据供应商提供的售后服务方案（如培训体系及培训方案、服务体系、服务内容、故障解决方案、专业技术人员保障及服务电话）进行评分，售后服务方案完整，针对性强，可操作性强的得5分；售后服务方案较完整，针对性较强，可操作性较强的得3分；售后服务方案基本完整，针对性较弱，可操作性较弱的得1分。不提供不得分。</w:t>
            </w:r>
            <w:r/>
          </w:p>
        </w:tc>
      </w:tr>
      <w:tr>
        <w:trPr>
          <w:jc w:val="center"/>
          <w:trHeight w:val="20"/>
        </w:trPr>
        <w:tc>
          <w:tcPr>
            <w:shd w:val="clear" w:color="auto" w:fill="auto"/>
            <w:tcW w:w="99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项目应急方案、验收方案</w:t>
            </w:r>
            <w:r/>
          </w:p>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分)</w:t>
            </w:r>
            <w:r/>
          </w:p>
        </w:tc>
        <w:tc>
          <w:tcPr>
            <w:shd w:val="clear" w:color="auto" w:fill="auto"/>
            <w:tcW w:w="4009" w:type="pct"/>
            <w:vAlign w:val="center"/>
            <w:textDirection w:val="lrTb"/>
            <w:noWrap w:val="false"/>
          </w:tcPr>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针对本项目制定的质量问题应急处理方案：</w:t>
            </w:r>
            <w:r/>
          </w:p>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应急方案考虑周全，处理方式合理得当得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应急方案有一定欠缺，处理方式基本合理得3分；</w:t>
            </w:r>
            <w:r/>
          </w:p>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应急方案不可行或者处理方式不得当的得1分；</w:t>
            </w:r>
            <w:r/>
          </w:p>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未提供应急处理方案的不得分。</w:t>
            </w:r>
            <w:r/>
          </w:p>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针对本项目制定的验收方案：</w:t>
            </w:r>
            <w:r/>
          </w:p>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验收方案完整，标准合理，程序可行的得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验收方案较完整、标准较合理，程序较可行的得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w:t>
            </w:r>
            <w:r/>
          </w:p>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验收方案不全或者标准不明确、程序不清晰的得1分；</w:t>
            </w:r>
            <w:r/>
          </w:p>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未提供验收方案的不得分。</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样品展示</w:t>
            </w:r>
            <w:r/>
          </w:p>
          <w:p>
            <w:pPr>
              <w:jc w:val="center"/>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6分）</w:t>
            </w:r>
            <w:r/>
          </w:p>
        </w:tc>
        <w:tc>
          <w:tcPr>
            <w:shd w:val="clear" w:color="auto" w:fill="auto"/>
            <w:tcW w:w="4009" w:type="pct"/>
            <w:vAlign w:val="center"/>
            <w:textDirection w:val="lrTb"/>
            <w:noWrap w:val="false"/>
          </w:tcPr>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评委根据投标人提供“</w:t>
            </w:r>
            <w:r>
              <w:rPr>
                <w:rFonts w:hint="default" w:ascii="宋体" w:hAnsi="宋体" w:cs="宋体"/>
                <w:b/>
                <w:bCs/>
                <w:color w:val="auto"/>
                <w:sz w:val="21"/>
                <w:szCs w:val="21"/>
                <w:highlight w:val="none"/>
                <w:u w:val="single"/>
              </w:rPr>
              <w:t xml:space="preserve">三维磁传感器</w:t>
            </w:r>
            <w:r>
              <w:rPr>
                <w:rFonts w:hint="eastAsia" w:ascii="宋体" w:hAnsi="宋体" w:cs="宋体"/>
                <w:color w:val="auto"/>
                <w:sz w:val="21"/>
                <w:szCs w:val="21"/>
                <w:highlight w:val="none"/>
              </w:rPr>
              <w:t xml:space="preserve">”样品进行评分： </w:t>
            </w:r>
            <w:r/>
          </w:p>
          <w:p>
            <w:pPr>
              <w:ind w:left="0" w:firstLine="0"/>
              <w:jc w:val="left"/>
              <w:widowControl/>
              <w:rPr>
                <w:rFonts w:hint="default" w:ascii="宋体" w:hAnsi="宋体" w:cs="宋体"/>
                <w:color w:val="auto"/>
                <w:sz w:val="21"/>
                <w:szCs w:val="21"/>
                <w:highlight w:val="none"/>
              </w:rPr>
            </w:pPr>
            <w:r>
              <w:rPr>
                <w:rFonts w:hint="default" w:ascii="宋体" w:hAnsi="宋体" w:cs="宋体"/>
                <w:color w:val="auto"/>
                <w:sz w:val="21"/>
                <w:szCs w:val="21"/>
                <w:highlight w:val="none"/>
              </w:rPr>
              <w:t xml:space="preserve">从样品的标识规范性、工艺精致性、瑕疵性（工艺有瑕疵指的是：脱胶、明显透胶、鼓泡、凹陷、压痕、表面划伤、麻点；表面存在裂缝、叠缝、波纹不均匀、不圆滑、锈蚀现象；零件间结合牢固；涂层存在手感不光滑，有明显粒子、涨边或不平整现象；电镀层存在剥落、返锈、毛刺、起泡、针孔、裂纹、花斑、划痕、烧焦现象；人体接触或收藏物品的部位有毛刺、刃口、棱角等等）等维度进行打分，样品提供不完整或者不符合招标文件的不得分。</w:t>
            </w:r>
            <w:r/>
          </w:p>
          <w:p>
            <w:pPr>
              <w:jc w:val="left"/>
              <w:widowControl/>
              <w:rPr>
                <w:rFonts w:hint="default"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①</w:t>
            </w:r>
            <w:r>
              <w:rPr>
                <w:rFonts w:hint="default" w:ascii="宋体" w:hAnsi="宋体" w:cs="宋体"/>
                <w:color w:val="auto"/>
                <w:sz w:val="21"/>
                <w:szCs w:val="21"/>
                <w:highlight w:val="none"/>
              </w:rPr>
              <w:t xml:space="preserve">标识规范、工艺精致、瑕疵较少得</w:t>
            </w:r>
            <w:r>
              <w:rPr>
                <w:rFonts w:hint="eastAsia" w:ascii="宋体" w:hAnsi="宋体" w:cs="宋体"/>
                <w:color w:val="auto"/>
                <w:sz w:val="21"/>
                <w:szCs w:val="21"/>
                <w:highlight w:val="none"/>
                <w:lang w:val="en-US" w:eastAsia="zh-CN"/>
              </w:rPr>
              <w:t xml:space="preserve">3</w:t>
            </w:r>
            <w:r>
              <w:rPr>
                <w:rFonts w:hint="default" w:ascii="宋体" w:hAnsi="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②</w:t>
            </w:r>
            <w:r>
              <w:rPr>
                <w:rFonts w:hint="default" w:ascii="宋体" w:hAnsi="宋体" w:cs="宋体"/>
                <w:color w:val="auto"/>
                <w:sz w:val="21"/>
                <w:szCs w:val="21"/>
                <w:highlight w:val="none"/>
              </w:rPr>
              <w:t xml:space="preserve">标识规范、工艺一般、瑕疵较多得</w:t>
            </w:r>
            <w:r>
              <w:rPr>
                <w:rFonts w:hint="eastAsia" w:ascii="宋体" w:hAnsi="宋体" w:cs="宋体"/>
                <w:color w:val="auto"/>
                <w:sz w:val="21"/>
                <w:szCs w:val="21"/>
                <w:highlight w:val="none"/>
                <w:lang w:val="en-US" w:eastAsia="zh-CN"/>
              </w:rPr>
              <w:t xml:space="preserve">2</w:t>
            </w:r>
            <w:r>
              <w:rPr>
                <w:rFonts w:hint="default" w:ascii="宋体" w:hAnsi="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③</w:t>
            </w:r>
            <w:r>
              <w:rPr>
                <w:rFonts w:hint="default" w:ascii="宋体" w:hAnsi="宋体" w:cs="宋体"/>
                <w:color w:val="auto"/>
                <w:sz w:val="21"/>
                <w:szCs w:val="21"/>
                <w:highlight w:val="none"/>
              </w:rPr>
              <w:t xml:space="preserve">标识规范、工艺较差、瑕疵很多得</w:t>
            </w:r>
            <w:r>
              <w:rPr>
                <w:rFonts w:hint="eastAsia" w:ascii="宋体" w:hAnsi="宋体" w:cs="宋体"/>
                <w:color w:val="auto"/>
                <w:sz w:val="21"/>
                <w:szCs w:val="21"/>
                <w:highlight w:val="none"/>
                <w:lang w:val="en-US" w:eastAsia="zh-CN"/>
              </w:rPr>
              <w:t xml:space="preserve">1</w:t>
            </w:r>
            <w:r>
              <w:rPr>
                <w:rFonts w:hint="default" w:ascii="宋体" w:hAnsi="宋体" w:cs="宋体"/>
                <w:color w:val="auto"/>
                <w:sz w:val="21"/>
                <w:szCs w:val="21"/>
                <w:highlight w:val="none"/>
              </w:rPr>
              <w:t xml:space="preserve">分。</w:t>
            </w:r>
            <w:r/>
          </w:p>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评委根据投标人提供</w:t>
            </w:r>
            <w:r>
              <w:rPr>
                <w:rFonts w:hint="eastAsia" w:ascii="宋体" w:hAnsi="宋体" w:cs="宋体"/>
                <w:color w:val="auto"/>
                <w:sz w:val="21"/>
                <w:szCs w:val="21"/>
                <w:highlight w:val="none"/>
                <w:lang w:eastAsia="zh-CN"/>
              </w:rPr>
              <w:t xml:space="preserve">“</w:t>
            </w:r>
            <w:r>
              <w:rPr>
                <w:rFonts w:hint="default" w:ascii="宋体" w:hAnsi="宋体" w:cs="宋体"/>
                <w:b/>
                <w:bCs/>
                <w:color w:val="auto"/>
                <w:sz w:val="21"/>
                <w:szCs w:val="21"/>
                <w:highlight w:val="none"/>
                <w:u w:val="single"/>
              </w:rPr>
              <w:t xml:space="preserve">光电门传感器</w:t>
            </w:r>
            <w:r>
              <w:rPr>
                <w:rFonts w:hint="eastAsia" w:ascii="宋体" w:hAnsi="宋体" w:cs="宋体"/>
                <w:b/>
                <w:bCs/>
                <w:color w:val="auto"/>
                <w:sz w:val="21"/>
                <w:szCs w:val="21"/>
                <w:highlight w:val="none"/>
                <w:u w:val="single"/>
                <w:lang w:eastAsia="zh-CN"/>
              </w:rPr>
              <w:t xml:space="preserve">”</w:t>
            </w:r>
            <w:r>
              <w:rPr>
                <w:rFonts w:hint="eastAsia" w:ascii="宋体" w:hAnsi="宋体" w:cs="宋体"/>
                <w:color w:val="auto"/>
                <w:sz w:val="21"/>
                <w:szCs w:val="21"/>
                <w:highlight w:val="none"/>
              </w:rPr>
              <w:t xml:space="preserve">样品进行评分： </w:t>
            </w:r>
            <w:r/>
          </w:p>
          <w:p>
            <w:pPr>
              <w:ind w:left="0" w:firstLine="0"/>
              <w:jc w:val="left"/>
              <w:widowControl/>
              <w:rPr>
                <w:rFonts w:hint="default" w:ascii="宋体" w:hAnsi="宋体" w:cs="宋体"/>
                <w:color w:val="auto"/>
                <w:sz w:val="21"/>
                <w:szCs w:val="21"/>
                <w:highlight w:val="none"/>
              </w:rPr>
            </w:pPr>
            <w:r>
              <w:rPr>
                <w:rFonts w:hint="default" w:ascii="宋体" w:hAnsi="宋体" w:cs="宋体"/>
                <w:color w:val="auto"/>
                <w:sz w:val="21"/>
                <w:szCs w:val="21"/>
                <w:highlight w:val="none"/>
              </w:rPr>
              <w:t xml:space="preserve">从样品的标识规范性、工艺精致性、瑕疵性（工艺有瑕疵指的是：脱胶、明显透胶、鼓泡、凹陷、压痕、表面划伤、麻点；表面存在裂缝、叠缝、波纹不均匀、不圆滑、锈蚀现象；零件间结合牢固；涂层存在手感不光滑，有明显粒子、涨边或不平整现象；电镀层存在剥落、返锈、毛刺、起泡、针孔、裂纹、花斑、划痕、烧焦现象；人体接触或收藏物品的部位有毛刺、刃口、棱角等等）等维度进行打分，样品提供不完整或者不符合招标文件的不得分。</w:t>
            </w:r>
            <w:r/>
          </w:p>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①</w:t>
            </w:r>
            <w:r>
              <w:rPr>
                <w:rFonts w:hint="default" w:ascii="宋体" w:hAnsi="宋体" w:cs="宋体"/>
                <w:color w:val="auto"/>
                <w:sz w:val="21"/>
                <w:szCs w:val="21"/>
                <w:highlight w:val="none"/>
              </w:rPr>
              <w:t xml:space="preserve">标识规范、工艺精致、瑕疵较少得</w:t>
            </w:r>
            <w:r>
              <w:rPr>
                <w:rFonts w:hint="eastAsia" w:ascii="宋体" w:hAnsi="宋体" w:cs="宋体"/>
                <w:color w:val="auto"/>
                <w:sz w:val="21"/>
                <w:szCs w:val="21"/>
                <w:highlight w:val="none"/>
                <w:lang w:val="en-US" w:eastAsia="zh-CN"/>
              </w:rPr>
              <w:t xml:space="preserve">3</w:t>
            </w:r>
            <w:r>
              <w:rPr>
                <w:rFonts w:hint="default" w:ascii="宋体" w:hAnsi="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②</w:t>
            </w:r>
            <w:r>
              <w:rPr>
                <w:rFonts w:hint="default" w:ascii="宋体" w:hAnsi="宋体" w:cs="宋体"/>
                <w:color w:val="auto"/>
                <w:sz w:val="21"/>
                <w:szCs w:val="21"/>
                <w:highlight w:val="none"/>
              </w:rPr>
              <w:t xml:space="preserve">标识规范、工艺一般、瑕疵较多得</w:t>
            </w:r>
            <w:r>
              <w:rPr>
                <w:rFonts w:hint="eastAsia" w:ascii="宋体" w:hAnsi="宋体" w:cs="宋体"/>
                <w:color w:val="auto"/>
                <w:sz w:val="21"/>
                <w:szCs w:val="21"/>
                <w:highlight w:val="none"/>
                <w:lang w:val="en-US" w:eastAsia="zh-CN"/>
              </w:rPr>
              <w:t xml:space="preserve">2</w:t>
            </w:r>
            <w:r>
              <w:rPr>
                <w:rFonts w:hint="default" w:ascii="宋体" w:hAnsi="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③</w:t>
            </w:r>
            <w:r>
              <w:rPr>
                <w:rFonts w:hint="default" w:ascii="宋体" w:hAnsi="宋体" w:cs="宋体"/>
                <w:color w:val="auto"/>
                <w:sz w:val="21"/>
                <w:szCs w:val="21"/>
                <w:highlight w:val="none"/>
              </w:rPr>
              <w:t xml:space="preserve">标识规范、工艺较差、瑕疵很多得</w:t>
            </w:r>
            <w:r>
              <w:rPr>
                <w:rFonts w:hint="eastAsia" w:ascii="宋体" w:hAnsi="宋体" w:cs="宋体"/>
                <w:color w:val="auto"/>
                <w:sz w:val="21"/>
                <w:szCs w:val="21"/>
                <w:highlight w:val="none"/>
                <w:lang w:val="en-US" w:eastAsia="zh-CN"/>
              </w:rPr>
              <w:t xml:space="preserve">1</w:t>
            </w:r>
            <w:r>
              <w:rPr>
                <w:rFonts w:hint="default" w:ascii="宋体" w:hAnsi="宋体" w:cs="宋体"/>
                <w:color w:val="auto"/>
                <w:sz w:val="21"/>
                <w:szCs w:val="21"/>
                <w:highlight w:val="none"/>
              </w:rPr>
              <w:t xml:space="preserve">分。</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产品</w:t>
            </w:r>
            <w:r>
              <w:rPr>
                <w:rFonts w:hint="eastAsia" w:ascii="宋体" w:hAnsi="宋体" w:cs="宋体"/>
                <w:color w:val="auto"/>
                <w:sz w:val="21"/>
                <w:szCs w:val="21"/>
                <w:highlight w:val="none"/>
                <w:lang w:val="en-US" w:eastAsia="zh-CN"/>
              </w:rPr>
              <w:t xml:space="preserve">现场</w:t>
            </w:r>
            <w:r>
              <w:rPr>
                <w:rFonts w:hint="eastAsia" w:ascii="宋体" w:hAnsi="宋体" w:cs="宋体"/>
                <w:color w:val="auto"/>
                <w:sz w:val="21"/>
                <w:szCs w:val="21"/>
                <w:highlight w:val="none"/>
              </w:rPr>
              <w:t xml:space="preserve">演示</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（18分）</w:t>
            </w:r>
            <w:r/>
          </w:p>
        </w:tc>
        <w:tc>
          <w:tcPr>
            <w:shd w:val="clear" w:color="auto" w:fill="auto"/>
            <w:tcW w:w="4009" w:type="pct"/>
            <w:textDirection w:val="lrTb"/>
            <w:noWrap w:val="false"/>
          </w:tcPr>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为保证产品质量要求，开标现场投标人按照要求提供样品及演示，根据样品整体的制作质量、制作工艺水平、款式、结构需求是否符合招标文件的要求、功能参数达成度、演示效果等方面打分（</w:t>
            </w:r>
            <w:r>
              <w:rPr>
                <w:rFonts w:hint="eastAsia" w:ascii="宋体" w:hAnsi="宋体" w:cs="宋体"/>
                <w:color w:val="auto"/>
                <w:sz w:val="21"/>
                <w:szCs w:val="21"/>
                <w:highlight w:val="none"/>
                <w:lang w:val="en-US" w:eastAsia="zh-CN"/>
              </w:rPr>
              <w:t xml:space="preserve">任意一点不满足不得分</w:t>
            </w:r>
            <w:r>
              <w:rPr>
                <w:rFonts w:hint="eastAsia" w:ascii="宋体" w:hAnsi="宋体" w:cs="宋体"/>
                <w:color w:val="auto"/>
                <w:sz w:val="21"/>
                <w:szCs w:val="21"/>
                <w:highlight w:val="none"/>
              </w:rPr>
              <w:t xml:space="preserve">）。本项演示最高分为1</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分，满足1条功能得</w:t>
            </w:r>
            <w:r>
              <w:rPr>
                <w:rFonts w:hint="eastAsia" w:ascii="宋体" w:hAnsi="宋体" w:cs="宋体"/>
                <w:color w:val="auto"/>
                <w:sz w:val="21"/>
                <w:szCs w:val="21"/>
                <w:highlight w:val="none"/>
                <w:lang w:val="en-US" w:eastAsia="zh-CN"/>
              </w:rPr>
              <w:t xml:space="preserve">1.5</w:t>
            </w:r>
            <w:r>
              <w:rPr>
                <w:rFonts w:hint="eastAsia" w:ascii="宋体" w:hAnsi="宋体" w:cs="宋体"/>
                <w:color w:val="auto"/>
                <w:sz w:val="21"/>
                <w:szCs w:val="21"/>
                <w:highlight w:val="none"/>
              </w:rPr>
              <w:t xml:space="preserve">分；</w:t>
            </w:r>
            <w:r/>
          </w:p>
          <w:p>
            <w:pPr>
              <w:jc w:val="left"/>
              <w:widowControl/>
              <w:rPr>
                <w:rFonts w:hint="eastAsia" w:ascii="宋体" w:hAnsi="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一、</w:t>
            </w:r>
            <w:r>
              <w:rPr>
                <w:rFonts w:hint="eastAsia" w:ascii="宋体" w:hAnsi="宋体" w:cs="宋体"/>
                <w:b/>
                <w:bCs/>
                <w:color w:val="auto"/>
                <w:sz w:val="21"/>
                <w:szCs w:val="21"/>
                <w:highlight w:val="none"/>
              </w:rPr>
              <w:t xml:space="preserve">“</w:t>
            </w:r>
            <w:r>
              <w:rPr>
                <w:rFonts w:hint="eastAsia" w:ascii="宋体" w:hAnsi="宋体" w:eastAsia="宋体" w:cs="宋体"/>
                <w:b/>
                <w:bCs/>
                <w:i w:val="0"/>
                <w:iCs w:val="0"/>
                <w:color w:val="auto"/>
                <w:sz w:val="21"/>
                <w:szCs w:val="21"/>
                <w:highlight w:val="none"/>
                <w:u w:val="none"/>
                <w:lang w:val="en-US" w:eastAsia="zh-CN" w:bidi="ar"/>
              </w:rPr>
              <w:t xml:space="preserve">智能运动学系统</w:t>
            </w:r>
            <w:r>
              <w:rPr>
                <w:rFonts w:hint="eastAsia" w:ascii="宋体" w:hAnsi="宋体" w:cs="宋体"/>
                <w:b/>
                <w:bCs/>
                <w:color w:val="auto"/>
                <w:sz w:val="21"/>
                <w:szCs w:val="21"/>
                <w:highlight w:val="none"/>
              </w:rPr>
              <w:t xml:space="preserve">”功能演示，要求如下:</w:t>
            </w:r>
            <w:r/>
          </w:p>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1、小车前端具有力传感器，可测量拉力和压力。</w:t>
            </w:r>
            <w:r/>
          </w:p>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2、小车内置位移、速度、加速度、角速度，便于测量运动中的物体的位移、受力情况，加速度和角速度。</w:t>
            </w:r>
            <w:r/>
          </w:p>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3、传感器唯一性：传感器已设唯一ID号，ID号显示在传感器外侧；</w:t>
            </w:r>
            <w:r/>
          </w:p>
          <w:p>
            <w:pPr>
              <w:jc w:val="left"/>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4、实验演示：</w:t>
            </w:r>
            <w:r/>
          </w:p>
          <w:p>
            <w:pPr>
              <w:jc w:val="left"/>
              <w:widowControl/>
              <w:rPr>
                <w:rFonts w:hint="default"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t xml:space="preserve">可完成探究弹簧弹力与形变量的关系实验：</w:t>
            </w:r>
            <w:r/>
          </w:p>
          <w:p>
            <w:pPr>
              <w:jc w:val="left"/>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①</w:t>
            </w:r>
            <w:r>
              <w:rPr>
                <w:rFonts w:hint="default" w:ascii="宋体" w:hAnsi="宋体" w:cs="宋体"/>
                <w:color w:val="auto"/>
                <w:sz w:val="21"/>
                <w:szCs w:val="21"/>
                <w:highlight w:val="none"/>
                <w:lang w:val="en-US" w:eastAsia="zh-CN"/>
              </w:rPr>
              <w:t xml:space="preserve">调平水平支架，使轨道水平。</w:t>
            </w:r>
            <w:r/>
          </w:p>
          <w:p>
            <w:pPr>
              <w:jc w:val="left"/>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②</w:t>
            </w:r>
            <w:r>
              <w:rPr>
                <w:rFonts w:hint="default" w:ascii="宋体" w:hAnsi="宋体" w:cs="宋体"/>
                <w:color w:val="auto"/>
                <w:sz w:val="21"/>
                <w:szCs w:val="21"/>
                <w:highlight w:val="none"/>
                <w:lang w:val="en-US" w:eastAsia="zh-CN"/>
              </w:rPr>
              <w:t xml:space="preserve">无线智能小车与计算机连接。实验采用无线智能小车和弹簧完成。</w:t>
            </w:r>
            <w:r/>
          </w:p>
          <w:p>
            <w:pPr>
              <w:jc w:val="left"/>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③</w:t>
            </w:r>
            <w:r>
              <w:rPr>
                <w:rFonts w:hint="default" w:ascii="宋体" w:hAnsi="宋体" w:cs="宋体"/>
                <w:color w:val="auto"/>
                <w:sz w:val="21"/>
                <w:szCs w:val="21"/>
                <w:highlight w:val="none"/>
                <w:lang w:val="en-US" w:eastAsia="zh-CN"/>
              </w:rPr>
              <w:t xml:space="preserve">对内置力、位移置零，对位移反向。</w:t>
            </w:r>
            <w:r/>
          </w:p>
          <w:p>
            <w:pPr>
              <w:jc w:val="left"/>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④</w:t>
            </w:r>
            <w:r>
              <w:rPr>
                <w:rFonts w:hint="default" w:ascii="宋体" w:hAnsi="宋体" w:cs="宋体"/>
                <w:color w:val="auto"/>
                <w:sz w:val="21"/>
                <w:szCs w:val="21"/>
                <w:highlight w:val="none"/>
                <w:lang w:val="en-US" w:eastAsia="zh-CN"/>
              </w:rPr>
              <w:t xml:space="preserve">在轨道上，对小车施加一个力，使无线小车拉动弹簧；</w:t>
            </w:r>
            <w:r/>
          </w:p>
          <w:p>
            <w:pPr>
              <w:jc w:val="left"/>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⑤</w:t>
            </w:r>
            <w:r>
              <w:rPr>
                <w:rFonts w:hint="default" w:ascii="宋体" w:hAnsi="宋体" w:cs="宋体"/>
                <w:color w:val="auto"/>
                <w:sz w:val="21"/>
                <w:szCs w:val="21"/>
                <w:highlight w:val="none"/>
                <w:lang w:val="en-US" w:eastAsia="zh-CN"/>
              </w:rPr>
              <w:t xml:space="preserve">实时采集力与位置的数据；</w:t>
            </w:r>
            <w:r/>
          </w:p>
          <w:p>
            <w:pPr>
              <w:jc w:val="left"/>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⑥</w:t>
            </w:r>
            <w:r>
              <w:rPr>
                <w:rFonts w:hint="default" w:ascii="宋体" w:hAnsi="宋体" w:cs="宋体"/>
                <w:color w:val="auto"/>
                <w:sz w:val="21"/>
                <w:szCs w:val="21"/>
                <w:highlight w:val="none"/>
                <w:lang w:val="en-US" w:eastAsia="zh-CN"/>
              </w:rPr>
              <w:t xml:space="preserve">获取F-△X的图像，可对图像进行线性拟合；实际数据点与拟合曲线的误差R&gt;0.98（数据点紧密围绕拟合曲线分布）,RMSE&lt;0.01（平均误差&lt;0.01N）。</w:t>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二、“力与加速度传感器”功能演示，要求如下:</w:t>
            </w:r>
            <w:r/>
          </w:p>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1、无线蓝牙力与加速度传感器传感器与终端（电脑或平板或手机）使用无线方式连接，无需数据采集器、数据线；</w:t>
            </w:r>
            <w:r/>
          </w:p>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2、传感器与终端连接后，在数据采集软件中，须能显示力-时间、加速度X-时间或加速度Y-时间或加速度Z-时间、角速度X-时间或角速度Y-时间或角速度Z-时间、倾角X-时间或倾角Y-时间或倾角Z-时间的实时数据曲线。</w:t>
            </w:r>
            <w:r/>
          </w:p>
          <w:p>
            <w:pPr>
              <w:jc w:val="left"/>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3、实验演示：</w:t>
            </w:r>
            <w:r/>
          </w:p>
          <w:p>
            <w:pPr>
              <w:jc w:val="left"/>
              <w:widowControl/>
              <w:rPr>
                <w:rFonts w:hint="eastAsia"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t xml:space="preserve">使用1个无线力与加速度传感器、1套向心力实验器、1套多功能转动平台演示向心力与角速度关系实验</w:t>
            </w:r>
            <w:r>
              <w:rPr>
                <w:rFonts w:hint="eastAsia" w:ascii="宋体" w:hAnsi="宋体" w:cs="宋体"/>
                <w:color w:val="auto"/>
                <w:sz w:val="21"/>
                <w:szCs w:val="21"/>
                <w:highlight w:val="none"/>
                <w:lang w:val="en-US" w:eastAsia="zh-CN"/>
              </w:rPr>
              <w:t xml:space="preserve">：</w:t>
            </w:r>
            <w:r/>
          </w:p>
          <w:p>
            <w:pPr>
              <w:jc w:val="left"/>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①</w:t>
            </w:r>
            <w:r>
              <w:rPr>
                <w:rFonts w:hint="default" w:ascii="宋体" w:hAnsi="宋体" w:cs="宋体"/>
                <w:color w:val="auto"/>
                <w:sz w:val="21"/>
                <w:szCs w:val="21"/>
                <w:highlight w:val="none"/>
                <w:lang w:val="en-US" w:eastAsia="zh-CN"/>
              </w:rPr>
              <w:t xml:space="preserve">开始实验后，实时采集并在数据采集软件中显示向心力与角速度的关系的图像（采样频率不低于20赫兹，即一秒钟内采集的数据点不低于20个）；</w:t>
            </w:r>
            <w:r/>
          </w:p>
          <w:p>
            <w:pPr>
              <w:jc w:val="left"/>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②</w:t>
            </w:r>
            <w:r>
              <w:rPr>
                <w:rFonts w:hint="default" w:ascii="宋体" w:hAnsi="宋体" w:cs="宋体"/>
                <w:color w:val="auto"/>
                <w:sz w:val="21"/>
                <w:szCs w:val="21"/>
                <w:highlight w:val="none"/>
                <w:lang w:val="en-US" w:eastAsia="zh-CN"/>
              </w:rPr>
              <w:t xml:space="preserve">演示数据采集软件公式编辑功能：通过公式编辑功能获取角速度平方数据，并在数据采集软件中显示向心力与角速度平方的关系的图像；</w:t>
            </w:r>
            <w:r/>
          </w:p>
          <w:p>
            <w:pPr>
              <w:jc w:val="left"/>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③</w:t>
            </w:r>
            <w:r>
              <w:rPr>
                <w:rFonts w:hint="default" w:ascii="宋体" w:hAnsi="宋体" w:cs="宋体"/>
                <w:color w:val="auto"/>
                <w:sz w:val="21"/>
                <w:szCs w:val="21"/>
                <w:highlight w:val="none"/>
                <w:lang w:val="en-US" w:eastAsia="zh-CN"/>
              </w:rPr>
              <w:t xml:space="preserve">利用数据采集软件的数据拟合功能，对向心力与角速度平方的关系的数据点进行线性拟合的数据处理操作，实际数据点与拟合曲线的相关系数r&gt;0.9（数据点紧密围绕拟合曲线分布）,RMSE&lt;0.02（平均误差&lt;0.02）。</w:t>
            </w:r>
            <w:r/>
          </w:p>
          <w:p>
            <w:pPr>
              <w:numPr>
                <w:ilvl w:val="0"/>
                <w:numId w:val="7"/>
              </w:num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“微重力实验装置套装”中的“超导量子悬浮（圆盘测速）”功能演示：</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1、演示利用高温超导材料磁通钉扎特性，实现闭环永磁体轨道、永磁体矩阵上的悬浮教学演示，永磁体轨道可实现360度旋转。</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2、演示双浮子上下交错悬浮。</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3、演示通过驱动模块、程序监控模块，可对浮子实现驱动功能，实现加速、控制过程，并可以通过程序实时显示浮子的速度。</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4、演示超导磁通穿透仿真软件，仿真计算参数包含但不限于磁场（B)、频率（f)、周期（T)等，显示电流分布、磁场分布。</w:t>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四、“光的干涉衍射偏振演示器套装”中的“纹影成像”功能演示：</w:t>
            </w:r>
            <w:r/>
          </w:p>
          <w:p>
            <w:pPr>
              <w:jc w:val="left"/>
              <w:widowControl/>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1、通过信号发生器输出光源、显示设备、摄像头在1.5米长轨道上，演示在点光源和抛物面反射镜之间的打火机火源、手掌温度、蜡烛白烟热源产生热气流，使刀口仪点光源和反射镜间经过热气流的光线发生偏折，使部分光线出现扰动，通过CCD观察成像视场中与热气流对应位置出会产生亮暗的变化，实现了空气成像现象。</w:t>
            </w:r>
            <w:r/>
          </w:p>
        </w:tc>
      </w:tr>
    </w:tbl>
    <w:p>
      <w:pPr>
        <w:spacing w:line="400" w:lineRule="exact"/>
        <w:rPr>
          <w:rFonts w:hint="eastAsia" w:ascii="宋体" w:hAnsi="宋体" w:cs="宋体"/>
          <w:b/>
          <w:bCs/>
          <w:color w:val="auto"/>
          <w:highlight w:val="none"/>
        </w:rPr>
      </w:pPr>
      <w:r>
        <w:rPr>
          <w:rFonts w:hint="eastAsia" w:ascii="宋体" w:hAnsi="宋体" w:cs="宋体"/>
          <w:b/>
          <w:bCs/>
          <w:color w:val="auto"/>
          <w:highlight w:val="none"/>
        </w:rPr>
      </w:r>
      <w:r/>
    </w:p>
    <w:p>
      <w:pPr>
        <w:spacing w:line="400" w:lineRule="exact"/>
        <w:rPr>
          <w:rFonts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：1、评委应对以上各得分项独立评分，投标人最终得分为所有评委评分汇总的平均值。</w:t>
      </w:r>
      <w:r/>
    </w:p>
    <w:p>
      <w:pPr>
        <w:numPr>
          <w:ilvl w:val="0"/>
          <w:numId w:val="0"/>
        </w:numPr>
        <w:ind w:left="422" w:hanging="422"/>
        <w:jc w:val="left"/>
        <w:spacing w:line="400" w:lineRule="exact"/>
        <w:rPr>
          <w:rFonts w:hint="eastAsia" w:ascii="宋体" w:hAnsi="宋体" w:cs="宋体"/>
          <w:color w:val="auto"/>
          <w:highlight w:val="none"/>
        </w:rPr>
      </w:pPr>
      <w:r>
        <w:rPr>
          <w:rFonts w:hint="eastAsia" w:ascii="宋体" w:hAnsi="宋体" w:eastAsia="宋体" w:cs="宋体"/>
          <w:color w:val="auto"/>
          <w:sz w:val="21"/>
          <w:szCs w:val="22"/>
          <w:highlight w:val="none"/>
          <w:lang w:val="en-US" w:eastAsia="zh-CN" w:bidi="ar-SA"/>
        </w:rPr>
        <w:t xml:space="preserve">2、</w:t>
      </w:r>
      <w:r>
        <w:rPr>
          <w:rFonts w:hint="eastAsia" w:ascii="宋体" w:hAnsi="宋体" w:cs="宋体"/>
          <w:color w:val="auto"/>
          <w:highlight w:val="none"/>
        </w:rPr>
        <w:t xml:space="preserve">以上参与评分的相关证书、合同等其他证明材料，均须以原件扫描件形式上传，否则</w:t>
      </w:r>
      <w:r>
        <w:rPr>
          <w:rFonts w:hint="eastAsia" w:ascii="宋体" w:hAnsi="宋体" w:cs="宋体"/>
          <w:color w:val="auto"/>
          <w:highlight w:val="none"/>
          <w:lang w:val="en-US" w:eastAsia="zh-CN"/>
        </w:rPr>
        <w:t xml:space="preserve">不</w:t>
      </w:r>
      <w:r>
        <w:rPr>
          <w:rFonts w:hint="eastAsia" w:ascii="宋体" w:hAnsi="宋体" w:cs="宋体"/>
          <w:color w:val="auto"/>
          <w:highlight w:val="none"/>
        </w:rPr>
        <w:t xml:space="preserve">得分。</w:t>
      </w:r>
      <w:r/>
    </w:p>
    <w:p>
      <w:pPr>
        <w:numPr>
          <w:ilvl w:val="0"/>
          <w:numId w:val="0"/>
        </w:numPr>
        <w:jc w:val="left"/>
        <w:spacing w:line="400" w:lineRule="exact"/>
        <w:widowControl w:val="off"/>
        <w:rPr>
          <w:rFonts w:hint="eastAsia" w:ascii="宋体" w:hAnsi="宋体" w:cs="宋体"/>
          <w:color w:val="auto"/>
          <w:highlight w:val="none"/>
        </w:rPr>
      </w:pPr>
      <w:r>
        <w:rPr>
          <w:rFonts w:hint="eastAsia" w:ascii="宋体" w:hAnsi="宋体" w:cs="宋体"/>
          <w:color w:val="auto"/>
          <w:highlight w:val="none"/>
        </w:rPr>
      </w:r>
      <w:r/>
    </w:p>
    <w:p>
      <w:pPr>
        <w:numPr>
          <w:ilvl w:val="0"/>
          <w:numId w:val="0"/>
        </w:numPr>
        <w:jc w:val="both"/>
        <w:rPr>
          <w:rFonts w:hint="eastAsia" w:ascii="宋体" w:hAnsi="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r>
      <w:r/>
    </w:p>
    <w:p>
      <w:pPr>
        <w:numPr>
          <w:ilvl w:val="0"/>
          <w:numId w:val="0"/>
        </w:numPr>
        <w:jc w:val="both"/>
        <w:rPr>
          <w:rFonts w:hint="eastAsia" w:ascii="宋体" w:hAnsi="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r>
      <w:r/>
    </w:p>
    <w:p>
      <w:pP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br w:type="page" w:clear="all"/>
      </w:r>
      <w:r/>
    </w:p>
    <w:p>
      <w:pPr>
        <w:numPr>
          <w:ilvl w:val="0"/>
          <w:numId w:val="0"/>
        </w:numPr>
        <w:jc w:val="cente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包</w:t>
      </w:r>
      <w:r>
        <w:rPr>
          <w:rFonts w:hint="eastAsia" w:ascii="宋体" w:hAnsi="宋体" w:cs="宋体"/>
          <w:b/>
          <w:bCs/>
          <w:color w:val="auto"/>
          <w:sz w:val="21"/>
          <w:szCs w:val="21"/>
          <w:highlight w:val="none"/>
          <w:lang w:val="en-US" w:eastAsia="zh-CN" w:bidi="ar-SA"/>
        </w:rPr>
        <w:t xml:space="preserve">3生物器材</w:t>
      </w:r>
      <w:r>
        <w:rPr>
          <w:rFonts w:hint="eastAsia" w:ascii="宋体" w:hAnsi="宋体" w:eastAsia="宋体" w:cs="宋体"/>
          <w:b/>
          <w:bCs/>
          <w:color w:val="auto"/>
          <w:sz w:val="21"/>
          <w:szCs w:val="21"/>
          <w:highlight w:val="none"/>
          <w:lang w:val="en-US" w:eastAsia="zh-CN" w:bidi="ar-SA"/>
        </w:rPr>
        <w:t xml:space="preserve">评标标准</w:t>
      </w:r>
      <w:r/>
    </w:p>
    <w:tbl>
      <w:tblPr>
        <w:tblStyle w:val="779"/>
        <w:tblW w:w="480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23"/>
        <w:gridCol w:w="6572"/>
      </w:tblGrid>
      <w:tr>
        <w:trPr>
          <w:jc w:val="center"/>
          <w:trHeight w:val="20"/>
        </w:trPr>
        <w:tc>
          <w:tcPr>
            <w:shd w:val="clear" w:color="000000" w:fill="ffffff"/>
            <w:tcW w:w="990" w:type="pct"/>
            <w:vAlign w:val="center"/>
            <w:textDirection w:val="lrTb"/>
            <w:noWrap w:val="false"/>
          </w:tcPr>
          <w:p>
            <w:pPr>
              <w:jc w:val="center"/>
              <w:widowControl/>
              <w:rPr>
                <w:rFonts w:ascii="宋体" w:hAnsi="宋体" w:cs="宋体"/>
                <w:b/>
                <w:bCs/>
                <w:color w:val="auto"/>
                <w:sz w:val="21"/>
                <w:szCs w:val="21"/>
                <w:highlight w:val="none"/>
              </w:rPr>
            </w:pPr>
            <w:r>
              <w:rPr>
                <w:rFonts w:hint="eastAsia" w:ascii="宋体" w:hAnsi="宋体"/>
                <w:color w:val="auto"/>
                <w:sz w:val="21"/>
                <w:szCs w:val="21"/>
                <w:highlight w:val="none"/>
              </w:rPr>
              <w:t xml:space="preserve">评审内容</w:t>
            </w:r>
            <w:r/>
          </w:p>
        </w:tc>
        <w:tc>
          <w:tcPr>
            <w:shd w:val="clear" w:color="000000" w:fill="ffffff"/>
            <w:tcW w:w="4009" w:type="pct"/>
            <w:vAlign w:val="center"/>
            <w:textDirection w:val="lrTb"/>
            <w:noWrap w:val="false"/>
          </w:tcPr>
          <w:p>
            <w:pPr>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评审标准</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价格分</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（30分）</w:t>
            </w:r>
            <w:r/>
          </w:p>
        </w:tc>
        <w:tc>
          <w:tcPr>
            <w:shd w:val="clear" w:color="auto" w:fill="auto"/>
            <w:tcW w:w="4009" w:type="pct"/>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olor w:val="auto"/>
                <w:highlight w:val="none"/>
              </w:rPr>
              <w:t xml:space="preserve">以满足招标文件要求且投标价格最低的投标报价为评标基准价，其价格分为满分</w:t>
            </w:r>
            <w:r>
              <w:rPr>
                <w:rFonts w:ascii="宋体" w:hAnsi="宋体"/>
                <w:color w:val="auto"/>
                <w:highlight w:val="none"/>
              </w:rPr>
              <w:t xml:space="preserve">30</w:t>
            </w:r>
            <w:r>
              <w:rPr>
                <w:rFonts w:hint="eastAsia" w:ascii="宋体" w:hAnsi="宋体"/>
                <w:color w:val="auto"/>
                <w:highlight w:val="none"/>
              </w:rPr>
              <w:t xml:space="preserve">分。其他投标人的价格分统一按照下列公示计算：投标报价得分＝（评标基准价</w:t>
            </w:r>
            <w:r>
              <w:rPr>
                <w:rFonts w:ascii="宋体" w:hAnsi="宋体"/>
                <w:color w:val="auto"/>
                <w:highlight w:val="none"/>
              </w:rPr>
              <w:t xml:space="preserve">/</w:t>
            </w:r>
            <w:r>
              <w:rPr>
                <w:rFonts w:hint="eastAsia" w:ascii="宋体" w:hAnsi="宋体"/>
                <w:color w:val="auto"/>
                <w:highlight w:val="none"/>
              </w:rPr>
              <w:t xml:space="preserve">投标报价）×</w:t>
            </w:r>
            <w:r>
              <w:rPr>
                <w:rFonts w:ascii="宋体" w:hAnsi="宋体"/>
                <w:color w:val="auto"/>
                <w:highlight w:val="none"/>
              </w:rPr>
              <w:t xml:space="preserve">30</w:t>
            </w:r>
            <w:r>
              <w:rPr>
                <w:rFonts w:hint="eastAsia" w:ascii="宋体" w:hAnsi="宋体"/>
                <w:color w:val="auto"/>
                <w:highlight w:val="none"/>
              </w:rPr>
              <w:t xml:space="preserve">×1</w:t>
            </w:r>
            <w:r>
              <w:rPr>
                <w:rFonts w:ascii="宋体" w:hAnsi="宋体"/>
                <w:color w:val="auto"/>
                <w:highlight w:val="none"/>
              </w:rPr>
              <w:t xml:space="preserve">0</w:t>
            </w:r>
            <w:r>
              <w:rPr>
                <w:rFonts w:hint="eastAsia" w:ascii="宋体" w:hAnsi="宋体"/>
                <w:color w:val="auto"/>
                <w:highlight w:val="none"/>
              </w:rPr>
              <w:t xml:space="preserve">0%（小数点后保留2位）</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技术参数</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19</w:t>
            </w:r>
            <w:r>
              <w:rPr>
                <w:rFonts w:hint="eastAsia" w:ascii="宋体" w:hAnsi="宋体" w:cs="宋体"/>
                <w:color w:val="auto"/>
                <w:sz w:val="21"/>
                <w:szCs w:val="21"/>
                <w:highlight w:val="none"/>
              </w:rPr>
              <w:t xml:space="preserve">分）</w:t>
            </w:r>
            <w:r/>
          </w:p>
        </w:tc>
        <w:tc>
          <w:tcPr>
            <w:shd w:val="clear" w:color="auto" w:fill="auto"/>
            <w:tcW w:w="4009" w:type="pct"/>
            <w:vAlign w:val="center"/>
            <w:textDirection w:val="lrTb"/>
            <w:noWrap w:val="false"/>
          </w:tcPr>
          <w:p>
            <w:pPr>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rPr>
              <w:t xml:space="preserve">设备技术参数全部满足招标要求的得满分</w:t>
            </w:r>
            <w:r>
              <w:rPr>
                <w:rFonts w:hint="eastAsia" w:ascii="宋体" w:hAnsi="宋体" w:cs="宋体"/>
                <w:color w:val="auto"/>
                <w:sz w:val="21"/>
                <w:szCs w:val="21"/>
                <w:highlight w:val="none"/>
                <w:lang w:val="en-US" w:eastAsia="zh-CN"/>
              </w:rPr>
              <w:t xml:space="preserve">19</w:t>
            </w:r>
            <w:r>
              <w:rPr>
                <w:rFonts w:hint="eastAsia" w:ascii="宋体" w:hAnsi="宋体" w:cs="宋体"/>
                <w:color w:val="auto"/>
                <w:sz w:val="21"/>
                <w:szCs w:val="21"/>
                <w:highlight w:val="none"/>
              </w:rPr>
              <w:t xml:space="preserve">分；指标有一项负偏离扣0.2分，扣完为止。（不含产品演示项）</w:t>
            </w:r>
            <w:r>
              <w:rPr>
                <w:rFonts w:hint="eastAsia" w:ascii="宋体" w:hAnsi="宋体" w:cs="宋体"/>
                <w:color w:val="auto"/>
                <w:sz w:val="21"/>
                <w:szCs w:val="21"/>
                <w:highlight w:val="none"/>
                <w:lang w:eastAsia="zh-CN"/>
              </w:rPr>
              <w:t xml:space="preserve">。</w:t>
            </w:r>
            <w:r/>
          </w:p>
          <w:p>
            <w:pPr>
              <w:rPr>
                <w:rFonts w:ascii="宋体" w:hAnsi="宋体" w:cs="宋体"/>
                <w:color w:val="auto"/>
                <w:sz w:val="21"/>
                <w:szCs w:val="21"/>
                <w:highlight w:val="none"/>
              </w:rPr>
            </w:pPr>
            <w:r>
              <w:rPr>
                <w:rFonts w:hint="eastAsia" w:ascii="宋体" w:hAnsi="宋体" w:cs="宋体"/>
                <w:b/>
                <w:bCs/>
                <w:color w:val="auto"/>
                <w:sz w:val="21"/>
                <w:szCs w:val="21"/>
                <w:highlight w:val="none"/>
                <w:lang w:val="en-US" w:eastAsia="zh-CN"/>
              </w:rPr>
              <w:t xml:space="preserve">注：投标人需在“技术参数响应及偏离表”中如实详细填列所投产品的参数，如有偏离须在偏离表中注明，未填写的，视为完全响应。</w:t>
            </w:r>
            <w:r/>
          </w:p>
        </w:tc>
      </w:tr>
      <w:tr>
        <w:trPr>
          <w:jc w:val="center"/>
          <w:trHeight w:val="9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业绩</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tc>
        <w:tc>
          <w:tcPr>
            <w:shd w:val="clear" w:color="auto" w:fill="auto"/>
            <w:tcW w:w="4009" w:type="pct"/>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业绩：投标人提供自202</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年1月1日（以合同签订时间为准）以来承担的类似项目的业绩，每提供一份合同资料得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分，最多得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分。(提供采购合同</w:t>
            </w:r>
            <w:r>
              <w:rPr>
                <w:rFonts w:hint="eastAsia" w:ascii="宋体" w:hAnsi="宋体" w:cs="宋体"/>
                <w:color w:val="auto"/>
                <w:sz w:val="21"/>
                <w:szCs w:val="21"/>
                <w:highlight w:val="none"/>
                <w:lang w:val="en-US" w:eastAsia="zh-CN"/>
              </w:rPr>
              <w:t xml:space="preserve">原件扫描件</w:t>
            </w:r>
            <w:r>
              <w:rPr>
                <w:rFonts w:hint="eastAsia" w:ascii="宋体" w:hAnsi="宋体" w:cs="宋体"/>
                <w:color w:val="auto"/>
                <w:sz w:val="21"/>
                <w:szCs w:val="21"/>
                <w:highlight w:val="none"/>
              </w:rPr>
              <w:t xml:space="preserve">）</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项目设备安装调试的实施方案</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（5分）</w:t>
            </w:r>
            <w:r/>
          </w:p>
        </w:tc>
        <w:tc>
          <w:tcPr>
            <w:shd w:val="clear" w:color="auto" w:fill="auto"/>
            <w:tcW w:w="4009" w:type="pct"/>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根据投标人提供的设备安装调试的实施方案内容是否全面、详细、人员、材料、机械设备计划等方面综合评定，实施方案全面详细，各方面措施完备可操作性强，人员、材料、机械设备计划可行性强得5分，实施方案较全面详细，各方面措施较完备可操作性较强，人员、材料、机械设备计划较可行性较强得3分，实施方案基本全面，各方面措施基本完备可操作性较弱，人员、材料、机械设备计划基本可行得1分。不提供不得分。</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质量保证体系及安装安全保障方案</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w:t>
            </w:r>
            <w:r/>
          </w:p>
        </w:tc>
        <w:tc>
          <w:tcPr>
            <w:shd w:val="clear" w:color="auto" w:fill="auto"/>
            <w:tcW w:w="4009" w:type="pct"/>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依据质量保证体系及安装安全保障，措施方案可靠且针对性强等进行评价，措施方案可靠且针对性强的得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分，措施方案合理且针对性一般的得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分，措施方案一般且针对性弱得1分。</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售后服务方案情况</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（5分）</w:t>
            </w:r>
            <w:r/>
          </w:p>
        </w:tc>
        <w:tc>
          <w:tcPr>
            <w:shd w:val="clear" w:color="auto" w:fill="auto"/>
            <w:tcW w:w="4009" w:type="pct"/>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评委根据供应商提供的售后服务方案（如培训体系及培训方案、服务体系、服务内容、故障解决方案、专业技术人员保障及服务电话）进行评分，售后服务方案完整，针对性强，可操作性强的得5分；售后服务方案较完整，针对性较强，可操作性较强的得3分；售后服务方案基本完整，针对性较弱，可操作性较弱的得1分。不提供不得分。</w:t>
            </w:r>
            <w:r/>
          </w:p>
        </w:tc>
      </w:tr>
      <w:tr>
        <w:trPr>
          <w:jc w:val="center"/>
          <w:trHeight w:val="20"/>
        </w:trPr>
        <w:tc>
          <w:tcPr>
            <w:shd w:val="clear" w:color="auto" w:fill="auto"/>
            <w:tcW w:w="99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项目应急方案、验收方案</w:t>
            </w:r>
            <w:r/>
          </w:p>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分)</w:t>
            </w:r>
            <w:r/>
          </w:p>
        </w:tc>
        <w:tc>
          <w:tcPr>
            <w:shd w:val="clear" w:color="auto" w:fill="auto"/>
            <w:tcW w:w="4009" w:type="pct"/>
            <w:vAlign w:val="center"/>
            <w:textDirection w:val="lrTb"/>
            <w:noWrap w:val="false"/>
          </w:tcPr>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针对本项目制定的质量问题应急处理方案：</w:t>
            </w:r>
            <w:r/>
          </w:p>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应急方案考虑周全，处理方式合理得当得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应急方案有一定欠缺，处理方式基本合理得3分；</w:t>
            </w:r>
            <w:r/>
          </w:p>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应急方案不可行或者处理方式不得当的得1分；</w:t>
            </w:r>
            <w:r/>
          </w:p>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未提供应急处理方案的不得分。</w:t>
            </w:r>
            <w:r/>
          </w:p>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针对本项目制定的验收方案：</w:t>
            </w:r>
            <w:r/>
          </w:p>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验收方案完整，标准合理，程序可行的得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验收方案较完整、标准较合理，程序较可行的得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w:t>
            </w:r>
            <w:r/>
          </w:p>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验收方案不全或者标准不明确、程序不清晰的得1分；</w:t>
            </w:r>
            <w:r/>
          </w:p>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未提供验收方案的不得分。</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样品展示</w:t>
            </w:r>
            <w:r/>
          </w:p>
          <w:p>
            <w:pPr>
              <w:jc w:val="center"/>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9分）</w:t>
            </w:r>
            <w:r/>
          </w:p>
        </w:tc>
        <w:tc>
          <w:tcPr>
            <w:shd w:val="clear" w:color="auto" w:fill="auto"/>
            <w:tcW w:w="4009" w:type="pct"/>
            <w:vAlign w:val="center"/>
            <w:textDirection w:val="lrTb"/>
            <w:noWrap w:val="false"/>
          </w:tcPr>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评委根据投标人提供“</w:t>
            </w:r>
            <w:r>
              <w:rPr>
                <w:rFonts w:hint="default" w:ascii="宋体" w:hAnsi="宋体" w:cs="宋体"/>
                <w:b/>
                <w:bCs/>
                <w:color w:val="auto"/>
                <w:sz w:val="21"/>
                <w:szCs w:val="21"/>
                <w:highlight w:val="none"/>
                <w:u w:val="single"/>
              </w:rPr>
              <w:t xml:space="preserve">无线二氧化碳传感器</w:t>
            </w:r>
            <w:r>
              <w:rPr>
                <w:rFonts w:hint="eastAsia" w:ascii="宋体" w:hAnsi="宋体" w:cs="宋体"/>
                <w:color w:val="auto"/>
                <w:sz w:val="21"/>
                <w:szCs w:val="21"/>
                <w:highlight w:val="none"/>
              </w:rPr>
              <w:t xml:space="preserve">”样品进行评分： </w:t>
            </w:r>
            <w:r/>
          </w:p>
          <w:p>
            <w:pPr>
              <w:ind w:left="0" w:firstLine="0"/>
              <w:jc w:val="left"/>
              <w:widowControl/>
              <w:rPr>
                <w:rFonts w:hint="default" w:ascii="宋体" w:hAnsi="宋体" w:cs="宋体"/>
                <w:color w:val="auto"/>
                <w:sz w:val="21"/>
                <w:szCs w:val="21"/>
                <w:highlight w:val="none"/>
              </w:rPr>
            </w:pPr>
            <w:r>
              <w:rPr>
                <w:rFonts w:hint="default" w:ascii="宋体" w:hAnsi="宋体" w:cs="宋体"/>
                <w:color w:val="auto"/>
                <w:sz w:val="21"/>
                <w:szCs w:val="21"/>
                <w:highlight w:val="none"/>
              </w:rPr>
              <w:t xml:space="preserve">从样品的标识规范性、工艺精致性、瑕疵性（工艺有瑕疵指的是：脱胶、明显透胶、鼓泡、凹陷、压痕、表面划伤、麻点；表面存在裂缝、叠缝、波纹不均匀、不圆滑、锈蚀现象；零件间结合牢固；涂层存在手感不光滑，有明显粒子、涨边或不平整现象；电镀层存在剥落、返锈、毛刺、起泡、针孔、裂纹、花斑、划痕、烧焦现象；人体接触或收藏物品的部位有毛刺、刃口、棱角等等）等维度进行打分，样品提供不完整或者不符合招标文件的不得分。</w:t>
            </w:r>
            <w:r/>
          </w:p>
          <w:p>
            <w:pPr>
              <w:jc w:val="left"/>
              <w:widowControl/>
              <w:rPr>
                <w:rFonts w:hint="default"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①</w:t>
            </w:r>
            <w:r>
              <w:rPr>
                <w:rFonts w:hint="default" w:ascii="宋体" w:hAnsi="宋体" w:cs="宋体"/>
                <w:color w:val="auto"/>
                <w:sz w:val="21"/>
                <w:szCs w:val="21"/>
                <w:highlight w:val="none"/>
              </w:rPr>
              <w:t xml:space="preserve">标识规范、工艺精致、瑕疵较少得</w:t>
            </w:r>
            <w:r>
              <w:rPr>
                <w:rFonts w:hint="eastAsia" w:ascii="宋体" w:hAnsi="宋体" w:cs="宋体"/>
                <w:color w:val="auto"/>
                <w:sz w:val="21"/>
                <w:szCs w:val="21"/>
                <w:highlight w:val="none"/>
                <w:lang w:val="en-US" w:eastAsia="zh-CN"/>
              </w:rPr>
              <w:t xml:space="preserve">3</w:t>
            </w:r>
            <w:r>
              <w:rPr>
                <w:rFonts w:hint="default" w:ascii="宋体" w:hAnsi="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②</w:t>
            </w:r>
            <w:r>
              <w:rPr>
                <w:rFonts w:hint="default" w:ascii="宋体" w:hAnsi="宋体" w:cs="宋体"/>
                <w:color w:val="auto"/>
                <w:sz w:val="21"/>
                <w:szCs w:val="21"/>
                <w:highlight w:val="none"/>
              </w:rPr>
              <w:t xml:space="preserve">标识规范、工艺一般、瑕疵较多得</w:t>
            </w:r>
            <w:r>
              <w:rPr>
                <w:rFonts w:hint="eastAsia" w:ascii="宋体" w:hAnsi="宋体" w:cs="宋体"/>
                <w:color w:val="auto"/>
                <w:sz w:val="21"/>
                <w:szCs w:val="21"/>
                <w:highlight w:val="none"/>
                <w:lang w:val="en-US" w:eastAsia="zh-CN"/>
              </w:rPr>
              <w:t xml:space="preserve">2</w:t>
            </w:r>
            <w:r>
              <w:rPr>
                <w:rFonts w:hint="default" w:ascii="宋体" w:hAnsi="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③</w:t>
            </w:r>
            <w:r>
              <w:rPr>
                <w:rFonts w:hint="default" w:ascii="宋体" w:hAnsi="宋体" w:cs="宋体"/>
                <w:color w:val="auto"/>
                <w:sz w:val="21"/>
                <w:szCs w:val="21"/>
                <w:highlight w:val="none"/>
              </w:rPr>
              <w:t xml:space="preserve">标识规范、工艺较差、瑕疵很多得</w:t>
            </w:r>
            <w:r>
              <w:rPr>
                <w:rFonts w:hint="eastAsia" w:ascii="宋体" w:hAnsi="宋体" w:cs="宋体"/>
                <w:color w:val="auto"/>
                <w:sz w:val="21"/>
                <w:szCs w:val="21"/>
                <w:highlight w:val="none"/>
                <w:lang w:val="en-US" w:eastAsia="zh-CN"/>
              </w:rPr>
              <w:t xml:space="preserve">1</w:t>
            </w:r>
            <w:r>
              <w:rPr>
                <w:rFonts w:hint="default" w:ascii="宋体" w:hAnsi="宋体" w:cs="宋体"/>
                <w:color w:val="auto"/>
                <w:sz w:val="21"/>
                <w:szCs w:val="21"/>
                <w:highlight w:val="none"/>
              </w:rPr>
              <w:t xml:space="preserve">分。</w:t>
            </w:r>
            <w:r/>
          </w:p>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评委根据投标人提供</w:t>
            </w:r>
            <w:r>
              <w:rPr>
                <w:rFonts w:hint="eastAsia" w:ascii="宋体" w:hAnsi="宋体" w:cs="宋体"/>
                <w:color w:val="auto"/>
                <w:sz w:val="21"/>
                <w:szCs w:val="21"/>
                <w:highlight w:val="none"/>
                <w:lang w:eastAsia="zh-CN"/>
              </w:rPr>
              <w:t xml:space="preserve">“</w:t>
            </w:r>
            <w:r>
              <w:rPr>
                <w:rFonts w:hint="default" w:ascii="宋体" w:hAnsi="宋体" w:cs="宋体"/>
                <w:b/>
                <w:bCs/>
                <w:color w:val="auto"/>
                <w:sz w:val="21"/>
                <w:szCs w:val="21"/>
                <w:highlight w:val="none"/>
                <w:u w:val="single"/>
              </w:rPr>
              <w:t xml:space="preserve">无线土壤湿度传感器</w:t>
            </w:r>
            <w:r>
              <w:rPr>
                <w:rFonts w:hint="eastAsia" w:ascii="宋体" w:hAnsi="宋体" w:cs="宋体"/>
                <w:b/>
                <w:bCs/>
                <w:color w:val="auto"/>
                <w:sz w:val="21"/>
                <w:szCs w:val="21"/>
                <w:highlight w:val="none"/>
                <w:u w:val="single"/>
                <w:lang w:eastAsia="zh-CN"/>
              </w:rPr>
              <w:t xml:space="preserve">”</w:t>
            </w:r>
            <w:r>
              <w:rPr>
                <w:rFonts w:hint="eastAsia" w:ascii="宋体" w:hAnsi="宋体" w:cs="宋体"/>
                <w:color w:val="auto"/>
                <w:sz w:val="21"/>
                <w:szCs w:val="21"/>
                <w:highlight w:val="none"/>
              </w:rPr>
              <w:t xml:space="preserve">样品进行评分： </w:t>
            </w:r>
            <w:r/>
          </w:p>
          <w:p>
            <w:pPr>
              <w:ind w:left="0" w:firstLine="0"/>
              <w:jc w:val="left"/>
              <w:widowControl/>
              <w:rPr>
                <w:rFonts w:hint="default" w:ascii="宋体" w:hAnsi="宋体" w:cs="宋体"/>
                <w:color w:val="auto"/>
                <w:sz w:val="21"/>
                <w:szCs w:val="21"/>
                <w:highlight w:val="none"/>
              </w:rPr>
            </w:pPr>
            <w:r>
              <w:rPr>
                <w:rFonts w:hint="default" w:ascii="宋体" w:hAnsi="宋体" w:cs="宋体"/>
                <w:color w:val="auto"/>
                <w:sz w:val="21"/>
                <w:szCs w:val="21"/>
                <w:highlight w:val="none"/>
              </w:rPr>
              <w:t xml:space="preserve">从样品的标识规范性、工艺精致性、瑕疵性（工艺有瑕疵指的是：脱胶、明显透胶、鼓泡、凹陷、压痕、表面划伤、麻点；表面存在裂缝、叠缝、波纹不均匀、不圆滑、锈蚀现象；零件间结合牢固；涂层存在手感不光滑，有明显粒子、涨边或不平整现象；电镀层存在剥落、返锈、毛刺、起泡、针孔、裂纹、花斑、划痕、烧焦现象；人体接触或收藏物品的部位有毛刺、刃口、棱角等等）等维度进行打分，样品提供不完整或者不符合招标文件的不得分。</w:t>
            </w:r>
            <w:r/>
          </w:p>
          <w:p>
            <w:pPr>
              <w:jc w:val="left"/>
              <w:widowControl/>
              <w:rPr>
                <w:rFonts w:hint="default"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①</w:t>
            </w:r>
            <w:r>
              <w:rPr>
                <w:rFonts w:hint="default" w:ascii="宋体" w:hAnsi="宋体" w:cs="宋体"/>
                <w:color w:val="auto"/>
                <w:sz w:val="21"/>
                <w:szCs w:val="21"/>
                <w:highlight w:val="none"/>
              </w:rPr>
              <w:t xml:space="preserve">标识规范、工艺精致、瑕疵较少得</w:t>
            </w:r>
            <w:r>
              <w:rPr>
                <w:rFonts w:hint="eastAsia" w:ascii="宋体" w:hAnsi="宋体" w:cs="宋体"/>
                <w:color w:val="auto"/>
                <w:sz w:val="21"/>
                <w:szCs w:val="21"/>
                <w:highlight w:val="none"/>
                <w:lang w:val="en-US" w:eastAsia="zh-CN"/>
              </w:rPr>
              <w:t xml:space="preserve">3</w:t>
            </w:r>
            <w:r>
              <w:rPr>
                <w:rFonts w:hint="default" w:ascii="宋体" w:hAnsi="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②</w:t>
            </w:r>
            <w:r>
              <w:rPr>
                <w:rFonts w:hint="default" w:ascii="宋体" w:hAnsi="宋体" w:cs="宋体"/>
                <w:color w:val="auto"/>
                <w:sz w:val="21"/>
                <w:szCs w:val="21"/>
                <w:highlight w:val="none"/>
              </w:rPr>
              <w:t xml:space="preserve">标识规范、工艺一般、瑕疵较多得</w:t>
            </w:r>
            <w:r>
              <w:rPr>
                <w:rFonts w:hint="eastAsia" w:ascii="宋体" w:hAnsi="宋体" w:cs="宋体"/>
                <w:color w:val="auto"/>
                <w:sz w:val="21"/>
                <w:szCs w:val="21"/>
                <w:highlight w:val="none"/>
                <w:lang w:val="en-US" w:eastAsia="zh-CN"/>
              </w:rPr>
              <w:t xml:space="preserve">2</w:t>
            </w:r>
            <w:r>
              <w:rPr>
                <w:rFonts w:hint="default" w:ascii="宋体" w:hAnsi="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③</w:t>
            </w:r>
            <w:r>
              <w:rPr>
                <w:rFonts w:hint="default" w:ascii="宋体" w:hAnsi="宋体" w:cs="宋体"/>
                <w:color w:val="auto"/>
                <w:sz w:val="21"/>
                <w:szCs w:val="21"/>
                <w:highlight w:val="none"/>
              </w:rPr>
              <w:t xml:space="preserve">标识规范、工艺较差、瑕疵很多得</w:t>
            </w:r>
            <w:r>
              <w:rPr>
                <w:rFonts w:hint="eastAsia" w:ascii="宋体" w:hAnsi="宋体" w:cs="宋体"/>
                <w:color w:val="auto"/>
                <w:sz w:val="21"/>
                <w:szCs w:val="21"/>
                <w:highlight w:val="none"/>
                <w:lang w:val="en-US" w:eastAsia="zh-CN"/>
              </w:rPr>
              <w:t xml:space="preserve">1</w:t>
            </w:r>
            <w:r>
              <w:rPr>
                <w:rFonts w:hint="default" w:ascii="宋体" w:hAnsi="宋体" w:cs="宋体"/>
                <w:color w:val="auto"/>
                <w:sz w:val="21"/>
                <w:szCs w:val="21"/>
                <w:highlight w:val="none"/>
              </w:rPr>
              <w:t xml:space="preserve">分。</w:t>
            </w:r>
            <w:r/>
          </w:p>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评委根据投标人提供</w:t>
            </w:r>
            <w:r>
              <w:rPr>
                <w:rFonts w:hint="eastAsia" w:ascii="宋体" w:hAnsi="宋体" w:cs="宋体"/>
                <w:b/>
                <w:bCs/>
                <w:color w:val="auto"/>
                <w:sz w:val="21"/>
                <w:szCs w:val="21"/>
                <w:highlight w:val="none"/>
                <w:u w:val="single"/>
                <w:lang w:eastAsia="zh-CN"/>
              </w:rPr>
              <w:t xml:space="preserve">“</w:t>
            </w:r>
            <w:r>
              <w:rPr>
                <w:rFonts w:hint="default" w:ascii="宋体" w:hAnsi="宋体" w:cs="宋体"/>
                <w:b/>
                <w:bCs/>
                <w:color w:val="auto"/>
                <w:sz w:val="21"/>
                <w:szCs w:val="21"/>
                <w:highlight w:val="none"/>
                <w:u w:val="single"/>
              </w:rPr>
              <w:t xml:space="preserve">无线色度/浊度二合一传感器</w:t>
            </w:r>
            <w:r>
              <w:rPr>
                <w:rFonts w:hint="eastAsia" w:ascii="宋体" w:hAnsi="宋体" w:cs="宋体"/>
                <w:b/>
                <w:bCs/>
                <w:color w:val="auto"/>
                <w:sz w:val="21"/>
                <w:szCs w:val="21"/>
                <w:highlight w:val="none"/>
                <w:u w:val="single"/>
                <w:lang w:eastAsia="zh-CN"/>
              </w:rPr>
              <w:t xml:space="preserve">”</w:t>
            </w:r>
            <w:r>
              <w:rPr>
                <w:rFonts w:hint="eastAsia" w:ascii="宋体" w:hAnsi="宋体" w:cs="宋体"/>
                <w:color w:val="auto"/>
                <w:sz w:val="21"/>
                <w:szCs w:val="21"/>
                <w:highlight w:val="none"/>
              </w:rPr>
              <w:t xml:space="preserve">样品进行评分： </w:t>
            </w:r>
            <w:r/>
          </w:p>
          <w:p>
            <w:pPr>
              <w:ind w:left="0" w:firstLine="0"/>
              <w:jc w:val="left"/>
              <w:widowControl/>
              <w:rPr>
                <w:rFonts w:hint="default" w:ascii="宋体" w:hAnsi="宋体" w:cs="宋体"/>
                <w:color w:val="auto"/>
                <w:sz w:val="21"/>
                <w:szCs w:val="21"/>
                <w:highlight w:val="none"/>
              </w:rPr>
            </w:pPr>
            <w:r>
              <w:rPr>
                <w:rFonts w:hint="default" w:ascii="宋体" w:hAnsi="宋体" w:cs="宋体"/>
                <w:color w:val="auto"/>
                <w:sz w:val="21"/>
                <w:szCs w:val="21"/>
                <w:highlight w:val="none"/>
              </w:rPr>
              <w:t xml:space="preserve">从样品的标识规范性、工艺精致性、瑕疵性（工艺有瑕疵指的是：脱胶、明显透胶、鼓泡、凹陷、压痕、表面划伤、麻点；表面存在裂缝、叠缝、波纹不均匀、不圆滑、锈蚀现象；零件间结合牢固；涂层存在手感不光滑，有明显粒子、涨边或不平整现象；电镀层存在剥落、返锈、毛刺、起泡、针孔、裂纹、花斑、划痕、烧焦现象；人体接触或收藏物品的部位有毛刺、刃口、棱角等等）等维度进行打分，样品提供不完整或者不符合招标文件的不得分。</w:t>
            </w:r>
            <w:r/>
          </w:p>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①</w:t>
            </w:r>
            <w:r>
              <w:rPr>
                <w:rFonts w:hint="default" w:ascii="宋体" w:hAnsi="宋体" w:cs="宋体"/>
                <w:color w:val="auto"/>
                <w:sz w:val="21"/>
                <w:szCs w:val="21"/>
                <w:highlight w:val="none"/>
              </w:rPr>
              <w:t xml:space="preserve">标识规范、工艺精致、瑕疵较少得</w:t>
            </w:r>
            <w:r>
              <w:rPr>
                <w:rFonts w:hint="eastAsia" w:ascii="宋体" w:hAnsi="宋体" w:cs="宋体"/>
                <w:color w:val="auto"/>
                <w:sz w:val="21"/>
                <w:szCs w:val="21"/>
                <w:highlight w:val="none"/>
                <w:lang w:val="en-US" w:eastAsia="zh-CN"/>
              </w:rPr>
              <w:t xml:space="preserve">3</w:t>
            </w:r>
            <w:r>
              <w:rPr>
                <w:rFonts w:hint="default" w:ascii="宋体" w:hAnsi="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②</w:t>
            </w:r>
            <w:r>
              <w:rPr>
                <w:rFonts w:hint="default" w:ascii="宋体" w:hAnsi="宋体" w:cs="宋体"/>
                <w:color w:val="auto"/>
                <w:sz w:val="21"/>
                <w:szCs w:val="21"/>
                <w:highlight w:val="none"/>
              </w:rPr>
              <w:t xml:space="preserve">标识规范、工艺一般、瑕疵较多得</w:t>
            </w:r>
            <w:r>
              <w:rPr>
                <w:rFonts w:hint="eastAsia" w:ascii="宋体" w:hAnsi="宋体" w:cs="宋体"/>
                <w:color w:val="auto"/>
                <w:sz w:val="21"/>
                <w:szCs w:val="21"/>
                <w:highlight w:val="none"/>
                <w:lang w:val="en-US" w:eastAsia="zh-CN"/>
              </w:rPr>
              <w:t xml:space="preserve">2</w:t>
            </w:r>
            <w:r>
              <w:rPr>
                <w:rFonts w:hint="default" w:ascii="宋体" w:hAnsi="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③</w:t>
            </w:r>
            <w:r>
              <w:rPr>
                <w:rFonts w:hint="default" w:ascii="宋体" w:hAnsi="宋体" w:cs="宋体"/>
                <w:color w:val="auto"/>
                <w:sz w:val="21"/>
                <w:szCs w:val="21"/>
                <w:highlight w:val="none"/>
              </w:rPr>
              <w:t xml:space="preserve">标识规范、工艺较差、瑕疵很多得</w:t>
            </w:r>
            <w:r>
              <w:rPr>
                <w:rFonts w:hint="eastAsia" w:ascii="宋体" w:hAnsi="宋体" w:cs="宋体"/>
                <w:color w:val="auto"/>
                <w:sz w:val="21"/>
                <w:szCs w:val="21"/>
                <w:highlight w:val="none"/>
                <w:lang w:val="en-US" w:eastAsia="zh-CN"/>
              </w:rPr>
              <w:t xml:space="preserve">1</w:t>
            </w:r>
            <w:r>
              <w:rPr>
                <w:rFonts w:hint="default" w:ascii="宋体" w:hAnsi="宋体" w:cs="宋体"/>
                <w:color w:val="auto"/>
                <w:sz w:val="21"/>
                <w:szCs w:val="21"/>
                <w:highlight w:val="none"/>
              </w:rPr>
              <w:t xml:space="preserve">分。</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产品</w:t>
            </w:r>
            <w:r>
              <w:rPr>
                <w:rFonts w:hint="eastAsia" w:ascii="宋体" w:hAnsi="宋体" w:cs="宋体"/>
                <w:color w:val="auto"/>
                <w:sz w:val="21"/>
                <w:szCs w:val="21"/>
                <w:highlight w:val="none"/>
                <w:lang w:val="en-US" w:eastAsia="zh-CN"/>
              </w:rPr>
              <w:t xml:space="preserve">现场</w:t>
            </w:r>
            <w:r>
              <w:rPr>
                <w:rFonts w:hint="eastAsia" w:ascii="宋体" w:hAnsi="宋体" w:cs="宋体"/>
                <w:color w:val="auto"/>
                <w:sz w:val="21"/>
                <w:szCs w:val="21"/>
                <w:highlight w:val="none"/>
              </w:rPr>
              <w:t xml:space="preserve">演示</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tc>
        <w:tc>
          <w:tcPr>
            <w:shd w:val="clear" w:color="auto" w:fill="auto"/>
            <w:tcW w:w="4009" w:type="pct"/>
            <w:textDirection w:val="lrTb"/>
            <w:noWrap w:val="false"/>
          </w:tcPr>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为保证产品质量要求，开标现场投标人按照要求提供样品及演示，根据样品整体的制作质量、制作工艺水平、款式、结构需求是否符合招标文件的要求、功能参数达成度、演示效果等方面打分（</w:t>
            </w:r>
            <w:r>
              <w:rPr>
                <w:rFonts w:hint="eastAsia" w:ascii="宋体" w:hAnsi="宋体" w:cs="宋体"/>
                <w:color w:val="auto"/>
                <w:sz w:val="21"/>
                <w:szCs w:val="21"/>
                <w:highlight w:val="none"/>
                <w:lang w:val="en-US" w:eastAsia="zh-CN"/>
              </w:rPr>
              <w:t xml:space="preserve">任意一点不满足不得分</w:t>
            </w:r>
            <w:r>
              <w:rPr>
                <w:rFonts w:hint="eastAsia" w:ascii="宋体" w:hAnsi="宋体" w:cs="宋体"/>
                <w:color w:val="auto"/>
                <w:sz w:val="21"/>
                <w:szCs w:val="21"/>
                <w:highlight w:val="none"/>
              </w:rPr>
              <w:t xml:space="preserve">）。本项演示最高分为1</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分，满足1条功能得</w:t>
            </w:r>
            <w:r>
              <w:rPr>
                <w:rFonts w:hint="eastAsia" w:ascii="宋体" w:hAnsi="宋体" w:cs="宋体"/>
                <w:color w:val="auto"/>
                <w:sz w:val="21"/>
                <w:szCs w:val="21"/>
                <w:highlight w:val="none"/>
                <w:lang w:val="en-US" w:eastAsia="zh-CN"/>
              </w:rPr>
              <w:t xml:space="preserve">1.5</w:t>
            </w:r>
            <w:r>
              <w:rPr>
                <w:rFonts w:hint="eastAsia" w:ascii="宋体" w:hAnsi="宋体" w:cs="宋体"/>
                <w:color w:val="auto"/>
                <w:sz w:val="21"/>
                <w:szCs w:val="21"/>
                <w:highlight w:val="none"/>
              </w:rPr>
              <w:t xml:space="preserve">分；</w:t>
            </w:r>
            <w:r/>
          </w:p>
          <w:p>
            <w:pPr>
              <w:jc w:val="left"/>
              <w:widowControl/>
              <w:rPr>
                <w:rFonts w:hint="eastAsia" w:ascii="宋体" w:hAnsi="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一、</w:t>
            </w:r>
            <w:r>
              <w:rPr>
                <w:rFonts w:hint="eastAsia" w:ascii="宋体" w:hAnsi="宋体" w:cs="宋体"/>
                <w:b/>
                <w:bCs/>
                <w:color w:val="auto"/>
                <w:sz w:val="21"/>
                <w:szCs w:val="21"/>
                <w:highlight w:val="none"/>
              </w:rPr>
              <w:t xml:space="preserve">“</w:t>
            </w:r>
            <w:r>
              <w:rPr>
                <w:rFonts w:hint="eastAsia" w:ascii="宋体" w:hAnsi="宋体" w:eastAsia="宋体" w:cs="宋体"/>
                <w:b/>
                <w:bCs/>
                <w:i w:val="0"/>
                <w:iCs w:val="0"/>
                <w:color w:val="auto"/>
                <w:sz w:val="21"/>
                <w:szCs w:val="21"/>
                <w:highlight w:val="none"/>
                <w:u w:val="none"/>
                <w:lang w:val="en-US" w:eastAsia="zh-CN" w:bidi="ar"/>
              </w:rPr>
              <w:t xml:space="preserve">无线数据分析软件</w:t>
            </w:r>
            <w:r>
              <w:rPr>
                <w:rFonts w:hint="eastAsia" w:ascii="宋体" w:hAnsi="宋体" w:cs="宋体"/>
                <w:b/>
                <w:bCs/>
                <w:i w:val="0"/>
                <w:iCs w:val="0"/>
                <w:color w:val="auto"/>
                <w:sz w:val="21"/>
                <w:szCs w:val="21"/>
                <w:highlight w:val="none"/>
                <w:u w:val="none"/>
                <w:lang w:val="en-US" w:eastAsia="zh-CN" w:bidi="ar"/>
              </w:rPr>
              <w:t xml:space="preserve">学习套装</w:t>
            </w:r>
            <w:r>
              <w:rPr>
                <w:rFonts w:hint="eastAsia" w:ascii="宋体" w:hAnsi="宋体" w:cs="宋体"/>
                <w:b/>
                <w:bCs/>
                <w:color w:val="auto"/>
                <w:sz w:val="21"/>
                <w:szCs w:val="21"/>
                <w:highlight w:val="none"/>
              </w:rPr>
              <w:t xml:space="preserve">”的“人体解剖和生理过程的图像仿真探究系统”功能演示，要求如下:</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1、本探究系统为梯度线圈3D场景，可通过鼠标左右键及滚轮实现拖动、旋转及缩放功能。</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2、通过选取各个标签，切换显示的内容。可以观察各个梯度线圈的形状。关闭y、z梯度场，调节x梯度场大小，观察中心区域的磁场分布变化。</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演示点击橡皮进行手动扫描。可以调节橡皮的形状和大小。观测不同空间位置的信息。由于空间的对称性，只需要扫描一半的空间即可。通过点击按钮可以切换显示空间的实部与虚部，在扫描时，实部与虚部信息同时获得；</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4、演示通过仿真软件切换不同样品（大脑、心脏、肠胃、肾脏、肺等），观测不同图像的空间特点。调节分辨率，观测不同分辨率影响。</w:t>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二、“无线蓝牙溶解氧/温度二合一传感器”功能演示，要求如下:</w:t>
            </w:r>
            <w:r/>
          </w:p>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1、传感器内置无线模块与终端（电脑或平板或手机）连接使用无线方式，无需数据采集器、数据线；</w:t>
            </w:r>
            <w:r/>
          </w:p>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2、能够实现无线实验、usb线连实验两种实验模式。</w:t>
            </w:r>
            <w:r/>
          </w:p>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3、荧光检测技术，无需填充电极缓冲液。</w:t>
            </w:r>
            <w:r/>
          </w:p>
          <w:p>
            <w:pPr>
              <w:jc w:val="left"/>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4、实验演示：</w:t>
            </w:r>
            <w:r/>
          </w:p>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①</w:t>
            </w:r>
            <w:r>
              <w:rPr>
                <w:rFonts w:hint="eastAsia" w:ascii="宋体" w:hAnsi="宋体" w:cs="宋体"/>
                <w:color w:val="auto"/>
                <w:sz w:val="21"/>
                <w:szCs w:val="21"/>
                <w:highlight w:val="none"/>
              </w:rPr>
              <w:t xml:space="preserve">采用未知溶解氧浓度的水，固定好传感器、采用无线连接软件、开始采集后软件要同时显示溶解氧</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温度</w:t>
            </w:r>
            <w:r>
              <w:rPr>
                <w:rFonts w:hint="eastAsia" w:ascii="宋体" w:hAnsi="宋体" w:cs="宋体"/>
                <w:color w:val="auto"/>
                <w:sz w:val="21"/>
                <w:szCs w:val="21"/>
                <w:highlight w:val="none"/>
                <w:lang w:val="en-US" w:eastAsia="zh-CN"/>
              </w:rPr>
              <w:t xml:space="preserve">和时间</w:t>
            </w:r>
            <w:r>
              <w:rPr>
                <w:rFonts w:hint="eastAsia" w:ascii="宋体" w:hAnsi="宋体" w:cs="宋体"/>
                <w:color w:val="auto"/>
                <w:sz w:val="21"/>
                <w:szCs w:val="21"/>
                <w:highlight w:val="none"/>
              </w:rPr>
              <w:t xml:space="preserve">的变化曲线。</w:t>
            </w:r>
            <w:r/>
          </w:p>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②</w:t>
            </w:r>
            <w:r>
              <w:rPr>
                <w:rFonts w:hint="eastAsia" w:ascii="宋体" w:hAnsi="宋体" w:cs="宋体"/>
                <w:color w:val="auto"/>
                <w:sz w:val="21"/>
                <w:szCs w:val="21"/>
                <w:highlight w:val="none"/>
              </w:rPr>
              <w:t xml:space="preserve">随着水温逐渐加热、软件中能明显看出随温度变化水中溶解氧的含量变化。温度升高水中溶解氧含量明显变低。</w:t>
            </w:r>
            <w:r/>
          </w:p>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三</w:t>
            </w:r>
            <w:r>
              <w:rPr>
                <w:rFonts w:hint="eastAsia" w:ascii="宋体" w:hAnsi="宋体" w:cs="宋体"/>
                <w:b/>
                <w:bCs/>
                <w:color w:val="auto"/>
                <w:sz w:val="21"/>
                <w:szCs w:val="21"/>
                <w:highlight w:val="none"/>
              </w:rPr>
              <w:t xml:space="preserve">、“细胞膜结构模型观察套装”</w:t>
            </w:r>
            <w:r>
              <w:rPr>
                <w:rFonts w:hint="eastAsia" w:ascii="宋体" w:hAnsi="宋体" w:cs="宋体"/>
                <w:b/>
                <w:bCs/>
                <w:color w:val="auto"/>
                <w:sz w:val="21"/>
                <w:szCs w:val="21"/>
                <w:highlight w:val="none"/>
                <w:lang w:val="en-US" w:eastAsia="zh-CN"/>
              </w:rPr>
              <w:t xml:space="preserve">中的“</w:t>
            </w:r>
            <w:r>
              <w:rPr>
                <w:rFonts w:hint="eastAsia" w:ascii="宋体" w:hAnsi="宋体" w:cs="宋体"/>
                <w:b/>
                <w:bCs/>
                <w:color w:val="auto"/>
                <w:sz w:val="21"/>
                <w:szCs w:val="21"/>
                <w:highlight w:val="none"/>
                <w:lang w:bidi="ar"/>
              </w:rPr>
              <w:t xml:space="preserve">裸眼3D显示终端</w:t>
            </w:r>
            <w:r>
              <w:rPr>
                <w:rFonts w:hint="eastAsia" w:ascii="宋体" w:hAnsi="宋体" w:cs="宋体"/>
                <w:b/>
                <w:bCs/>
                <w:color w:val="auto"/>
                <w:sz w:val="21"/>
                <w:szCs w:val="21"/>
                <w:highlight w:val="none"/>
                <w:lang w:eastAsia="zh-CN" w:bidi="ar"/>
              </w:rPr>
              <w:t xml:space="preserve">”</w:t>
            </w:r>
            <w:r>
              <w:rPr>
                <w:rFonts w:hint="eastAsia" w:ascii="宋体" w:hAnsi="宋体" w:cs="宋体"/>
                <w:b/>
                <w:bCs/>
                <w:color w:val="auto"/>
                <w:sz w:val="21"/>
                <w:szCs w:val="21"/>
                <w:highlight w:val="none"/>
              </w:rPr>
              <w:t xml:space="preserve">功能演示：</w:t>
            </w:r>
            <w:r/>
          </w:p>
          <w:p>
            <w:pPr>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、要求裸眼3D显示终端在不播放3D视频或者图片时，能正常显示2D画面，在播放器里面播放视频或者图片时，画面直接是3D效果，无需手动调节。</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高中化学视频资源内容需包含：有丝分裂、减数分裂、阿米巴虫的二分裂生殖、蛋白质的合成、基因工程的应用、皮肤兴奋的传递、食虫类植物、消化与排泄系统、胸骨与肋骨、呼吸和循环系统，满足这10部资源</w:t>
            </w:r>
            <w:r>
              <w:rPr>
                <w:rFonts w:hint="eastAsia" w:ascii="宋体" w:hAnsi="宋体" w:eastAsia="宋体" w:cs="宋体"/>
                <w:color w:val="auto"/>
                <w:sz w:val="21"/>
                <w:szCs w:val="21"/>
                <w:highlight w:val="none"/>
                <w:lang w:eastAsia="zh-CN"/>
              </w:rPr>
              <w:t xml:space="preserve">。</w:t>
            </w:r>
            <w:r/>
          </w:p>
        </w:tc>
      </w:tr>
    </w:tbl>
    <w:p>
      <w:pPr>
        <w:numPr>
          <w:ilvl w:val="0"/>
          <w:numId w:val="0"/>
        </w:numPr>
        <w:ind w:left="0" w:firstLine="0"/>
        <w:jc w:val="left"/>
        <w:spacing w:before="120" w:after="120" w:line="360" w:lineRule="auto"/>
        <w:rPr>
          <w:rFonts w:hint="eastAsia"/>
          <w:b/>
          <w:bCs/>
          <w:color w:val="auto"/>
          <w:highlight w:val="none"/>
          <w:lang w:val="en-US" w:eastAsia="zh-CN"/>
        </w:rPr>
      </w:pPr>
      <w:r>
        <w:rPr>
          <w:rFonts w:hint="eastAsia"/>
          <w:b/>
          <w:bCs/>
          <w:color w:val="auto"/>
          <w:highlight w:val="none"/>
          <w:lang w:val="en-US" w:eastAsia="zh-CN"/>
        </w:rPr>
      </w:r>
      <w:r/>
    </w:p>
    <w:p>
      <w:pPr>
        <w:spacing w:line="400" w:lineRule="exact"/>
        <w:rPr>
          <w:rFonts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：1、评委应对以上各得分项独立评分，投标人最终得分为所有评委评分汇总的平均值。</w:t>
      </w:r>
      <w:r/>
    </w:p>
    <w:p>
      <w:pPr>
        <w:numPr>
          <w:ilvl w:val="0"/>
          <w:numId w:val="0"/>
        </w:numPr>
        <w:ind w:left="422" w:hanging="422"/>
        <w:jc w:val="left"/>
        <w:spacing w:line="400" w:lineRule="exact"/>
        <w:rPr>
          <w:rFonts w:hint="eastAsia" w:ascii="宋体" w:hAnsi="宋体" w:cs="宋体"/>
          <w:color w:val="auto"/>
          <w:highlight w:val="none"/>
        </w:rPr>
      </w:pPr>
      <w:r>
        <w:rPr>
          <w:rFonts w:hint="eastAsia" w:ascii="宋体" w:hAnsi="宋体" w:cs="宋体"/>
          <w:color w:val="auto"/>
          <w:sz w:val="21"/>
          <w:szCs w:val="22"/>
          <w:highlight w:val="none"/>
          <w:lang w:val="en-US" w:eastAsia="zh-CN" w:bidi="ar-SA"/>
        </w:rPr>
        <w:t xml:space="preserve">2</w:t>
      </w:r>
      <w:r>
        <w:rPr>
          <w:rFonts w:hint="eastAsia" w:ascii="宋体" w:hAnsi="宋体" w:eastAsia="宋体" w:cs="宋体"/>
          <w:color w:val="auto"/>
          <w:sz w:val="21"/>
          <w:szCs w:val="22"/>
          <w:highlight w:val="none"/>
          <w:lang w:val="en-US" w:eastAsia="zh-CN" w:bidi="ar-SA"/>
        </w:rPr>
        <w:t xml:space="preserve">、</w:t>
      </w:r>
      <w:r>
        <w:rPr>
          <w:rFonts w:hint="eastAsia" w:ascii="宋体" w:hAnsi="宋体" w:cs="宋体"/>
          <w:color w:val="auto"/>
          <w:highlight w:val="none"/>
        </w:rPr>
        <w:t xml:space="preserve">以上参与评分的相关证书、合同等其他证明材料，均须以原件扫描件形式上传，否则</w:t>
      </w:r>
      <w:r>
        <w:rPr>
          <w:rFonts w:hint="eastAsia" w:ascii="宋体" w:hAnsi="宋体" w:cs="宋体"/>
          <w:color w:val="auto"/>
          <w:highlight w:val="none"/>
          <w:lang w:val="en-US" w:eastAsia="zh-CN"/>
        </w:rPr>
        <w:t xml:space="preserve">不</w:t>
      </w:r>
      <w:r>
        <w:rPr>
          <w:rFonts w:hint="eastAsia" w:ascii="宋体" w:hAnsi="宋体" w:cs="宋体"/>
          <w:color w:val="auto"/>
          <w:highlight w:val="none"/>
        </w:rPr>
        <w:t xml:space="preserve">得分。</w:t>
      </w:r>
      <w:r/>
    </w:p>
    <w:p>
      <w:pPr>
        <w:numPr>
          <w:ilvl w:val="0"/>
          <w:numId w:val="8"/>
        </w:numPr>
        <w:ind w:left="0" w:firstLine="0"/>
        <w:jc w:val="left"/>
        <w:spacing w:line="400" w:lineRule="exact"/>
        <w:rPr>
          <w:rFonts w:hint="eastAsia"/>
          <w:color w:val="auto"/>
          <w:highlight w:val="none"/>
        </w:rPr>
      </w:pPr>
      <w:r>
        <w:rPr>
          <w:rFonts w:hint="eastAsia"/>
          <w:color w:val="auto"/>
          <w:highlight w:val="none"/>
        </w:rPr>
        <w:br w:type="page" w:clear="all"/>
      </w:r>
      <w:r/>
    </w:p>
    <w:p>
      <w:pPr>
        <w:keepLines w:val="0"/>
        <w:keepNext w:val="0"/>
        <w:pageBreakBefore w:val="0"/>
        <w:spacing w:line="360" w:lineRule="auto"/>
        <w:rPr>
          <w:rFonts w:hint="eastAsia"/>
          <w:color w:val="auto"/>
          <w:highlight w:val="none"/>
        </w:rPr>
      </w:pPr>
      <w:r>
        <w:rPr>
          <w:rFonts w:hint="eastAsia"/>
          <w:color w:val="auto"/>
          <w:highlight w:val="none"/>
        </w:rPr>
      </w:r>
      <w:r/>
    </w:p>
    <w:p>
      <w:pPr>
        <w:pStyle w:val="769"/>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t xml:space="preserve"> </w:t>
      </w:r>
      <w:bookmarkStart w:id="58" w:name="_Toc9166"/>
      <w:r>
        <w:rPr>
          <w:rFonts w:hint="eastAsia" w:ascii="宋体" w:hAnsi="宋体" w:eastAsia="宋体" w:cs="Times New Roman"/>
          <w:b/>
          <w:bCs/>
          <w:color w:val="auto"/>
          <w:sz w:val="36"/>
          <w:szCs w:val="36"/>
          <w:highlight w:val="none"/>
          <w:lang w:val="en-US" w:eastAsia="zh-CN"/>
        </w:rPr>
        <w:t xml:space="preserve">第六章 投标文件格式</w:t>
      </w:r>
      <w:bookmarkEnd w:id="58"/>
      <w:r>
        <w:rPr>
          <w:rFonts w:hint="eastAsia" w:ascii="宋体" w:hAnsi="宋体" w:eastAsia="宋体" w:cs="Times New Roman"/>
          <w:b/>
          <w:bCs/>
          <w:color w:val="auto"/>
          <w:sz w:val="36"/>
          <w:szCs w:val="36"/>
          <w:highlight w:val="none"/>
          <w:lang w:val="en-US" w:eastAsia="zh-CN"/>
        </w:rPr>
        <w:t xml:space="preserve"> </w:t>
      </w:r>
      <w:r/>
    </w:p>
    <w:p>
      <w:pPr>
        <w:spacing w:line="360" w:lineRule="auto"/>
        <w:rPr>
          <w:rFonts w:ascii="黑体" w:eastAsia="黑体"/>
          <w:bCs/>
          <w:color w:val="auto"/>
          <w:sz w:val="44"/>
          <w:highlight w:val="none"/>
        </w:rPr>
      </w:pPr>
      <w:r>
        <w:rPr>
          <w:rFonts w:ascii="黑体" w:eastAsia="黑体"/>
          <w:bCs/>
          <w:color w:val="auto"/>
          <w:sz w:val="44"/>
          <w:highlight w:val="none"/>
        </w:rPr>
      </w:r>
      <w:r/>
    </w:p>
    <w:p>
      <w:pPr>
        <w:pStyle w:val="795"/>
        <w:rPr>
          <w:rFonts w:ascii="黑体" w:eastAsia="黑体"/>
          <w:bCs/>
          <w:color w:val="auto"/>
          <w:sz w:val="44"/>
          <w:highlight w:val="none"/>
        </w:rPr>
      </w:pPr>
      <w:r>
        <w:rPr>
          <w:rFonts w:ascii="黑体" w:eastAsia="黑体"/>
          <w:bCs/>
          <w:color w:val="auto"/>
          <w:sz w:val="44"/>
          <w:highlight w:val="none"/>
        </w:rPr>
      </w:r>
      <w:r/>
    </w:p>
    <w:p>
      <w:pPr>
        <w:rPr>
          <w:rFonts w:ascii="黑体" w:eastAsia="黑体"/>
          <w:bCs/>
          <w:color w:val="auto"/>
          <w:sz w:val="44"/>
          <w:highlight w:val="none"/>
        </w:rPr>
      </w:pPr>
      <w:r>
        <w:rPr>
          <w:rFonts w:ascii="黑体" w:eastAsia="黑体"/>
          <w:bCs/>
          <w:color w:val="auto"/>
          <w:sz w:val="44"/>
          <w:highlight w:val="none"/>
        </w:rPr>
      </w:r>
      <w:r/>
    </w:p>
    <w:p>
      <w:pPr>
        <w:pStyle w:val="795"/>
        <w:rPr>
          <w:color w:val="auto"/>
          <w:highlight w:val="none"/>
        </w:rPr>
      </w:pPr>
      <w:r>
        <w:rPr>
          <w:color w:val="auto"/>
          <w:highlight w:val="none"/>
        </w:rPr>
      </w:r>
      <w:r/>
    </w:p>
    <w:p>
      <w:pPr>
        <w:jc w:val="center"/>
        <w:spacing w:line="360" w:lineRule="auto"/>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spacing w:line="360" w:lineRule="auto"/>
        <w:rPr>
          <w:rFonts w:ascii="宋体" w:hAnsi="宋体"/>
          <w:b/>
          <w:color w:val="auto"/>
          <w:sz w:val="72"/>
          <w:highlight w:val="none"/>
        </w:rPr>
      </w:pPr>
      <w:r>
        <w:rPr>
          <w:rFonts w:ascii="宋体" w:hAnsi="宋体"/>
          <w:b/>
          <w:color w:val="auto"/>
          <w:sz w:val="72"/>
          <w:highlight w:val="none"/>
        </w:rPr>
      </w:r>
      <w:r/>
    </w:p>
    <w:p>
      <w:pPr>
        <w:jc w:val="center"/>
        <w:spacing w:line="360" w:lineRule="auto"/>
        <w:rPr>
          <w:rFonts w:ascii="宋体" w:hAnsi="宋体"/>
          <w:b/>
          <w:color w:val="auto"/>
          <w:sz w:val="72"/>
          <w:highlight w:val="none"/>
        </w:rPr>
      </w:pPr>
      <w:r>
        <w:rPr>
          <w:rFonts w:ascii="宋体" w:hAnsi="宋体"/>
          <w:b/>
          <w:color w:val="auto"/>
          <w:sz w:val="72"/>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pStyle w:val="795"/>
        <w:rPr>
          <w:color w:val="auto"/>
          <w:highlight w:val="none"/>
        </w:rPr>
      </w:pPr>
      <w:r>
        <w:rPr>
          <w:color w:val="auto"/>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五、投标配置与分项报价表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pStyle w:val="770"/>
        <w:numPr>
          <w:ilvl w:val="0"/>
          <w:numId w:val="9"/>
        </w:numPr>
        <w:spacing w:line="360" w:lineRule="auto"/>
        <w:rPr>
          <w:rFonts w:hint="eastAsia" w:asciiTheme="minorEastAsia" w:hAnsiTheme="minorEastAsia" w:eastAsiaTheme="minorEastAsia"/>
          <w:color w:val="auto"/>
          <w:sz w:val="32"/>
          <w:highlight w:val="none"/>
        </w:rPr>
      </w:pPr>
      <w:r>
        <w:rPr>
          <w:rFonts w:hint="eastAsia" w:ascii="宋体" w:hAnsi="宋体"/>
          <w:color w:val="auto"/>
          <w:sz w:val="32"/>
          <w:szCs w:val="32"/>
          <w:highlight w:val="none"/>
        </w:rPr>
        <w:br w:type="page" w:clear="all"/>
      </w:r>
      <w:bookmarkStart w:id="59" w:name="_Toc7159"/>
      <w:r/>
      <w:bookmarkStart w:id="60" w:name="_Toc9167"/>
      <w:r>
        <w:rPr>
          <w:rFonts w:hint="eastAsia" w:asciiTheme="minorEastAsia" w:hAnsiTheme="minorEastAsia" w:eastAsiaTheme="minorEastAsia"/>
          <w:color w:val="auto"/>
          <w:sz w:val="32"/>
          <w:highlight w:val="none"/>
        </w:rPr>
        <w:t xml:space="preserve">资格审查响应对照表</w:t>
      </w:r>
      <w:bookmarkEnd w:id="59"/>
      <w:r/>
      <w:bookmarkEnd w:id="60"/>
      <w:r/>
      <w:r/>
    </w:p>
    <w:tbl>
      <w:tblPr>
        <w:tblStyle w:val="7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jc w:val="center"/>
          <w:trHeight w:val="647"/>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5447"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2158"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jc w:val="center"/>
          <w:trHeight w:val="335"/>
        </w:trPr>
        <w:tc>
          <w:tcPr>
            <w:gridSpan w:val="3"/>
            <w:tcW w:w="8251" w:type="dxa"/>
            <w:vAlign w:val="center"/>
            <w:textDirection w:val="lrTb"/>
            <w:noWrap w:val="false"/>
          </w:tcPr>
          <w:p>
            <w:pPr>
              <w:spacing w:line="360" w:lineRule="auto"/>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jc w:val="center"/>
          <w:trHeight w:val="761"/>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 w:val="21"/>
                <w:szCs w:val="21"/>
                <w:highlight w:val="none"/>
              </w:rPr>
            </w:pPr>
            <w:r>
              <w:rPr>
                <w:rFonts w:hint="eastAsia" w:ascii="宋体" w:hAnsi="宋体" w:eastAsia="宋体" w:cs="宋体"/>
                <w:color w:val="auto"/>
                <w:sz w:val="21"/>
                <w:szCs w:val="21"/>
                <w:highlight w:val="none"/>
              </w:rPr>
              <w:t xml:space="preserve">法人或者其他组织的营业执照等证明文件，自然人的身份证明（身份证为正、反面）</w:t>
            </w:r>
            <w:r/>
          </w:p>
        </w:tc>
        <w:tc>
          <w:tcPr>
            <w:tcW w:w="215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360" w:lineRule="auto"/>
              <w:rPr>
                <w:rFonts w:ascii="宋体" w:hAnsi="宋体"/>
                <w:iCs/>
                <w:color w:val="auto"/>
                <w:sz w:val="21"/>
                <w:szCs w:val="21"/>
                <w:highlight w:val="none"/>
              </w:rPr>
            </w:pPr>
            <w:r>
              <w:rPr>
                <w:rFonts w:hint="eastAsia" w:ascii="宋体" w:hAnsi="宋体" w:eastAsia="宋体" w:cs="宋体"/>
                <w:color w:val="auto"/>
                <w:sz w:val="21"/>
                <w:szCs w:val="21"/>
                <w:highlight w:val="none"/>
              </w:rPr>
              <w:t xml:space="preserve">依法缴纳职工社会保障资金的证明材料</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依法纳税的缴款凭证</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17"/>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具有良好的商业信誉和健全的财务会计制度</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具备履行合同所必需的设备和专业技术能力</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6</w:t>
            </w:r>
            <w:r/>
          </w:p>
        </w:tc>
        <w:tc>
          <w:tcPr>
            <w:tcW w:w="5447"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参加本次政府采购活动前3年内在经营活动中没有重大违法记录的书面声明</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7</w:t>
            </w:r>
            <w:r/>
          </w:p>
        </w:tc>
        <w:tc>
          <w:tcPr>
            <w:tcW w:w="5447"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未被“信用中国”网站（www.creditchina.gov.cn）、</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中国政府采购网"</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www.ccgp.gov.cn）列入失信被执行人、重大税收违法案件当事人名单、政府采购严重违法失信行为记录名单</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8</w:t>
            </w:r>
            <w:r/>
          </w:p>
        </w:tc>
        <w:tc>
          <w:tcPr>
            <w:tcW w:w="5447" w:type="dxa"/>
            <w:vAlign w:val="center"/>
            <w:textDirection w:val="lrTb"/>
            <w:noWrap w:val="false"/>
          </w:tcPr>
          <w:p>
            <w:pPr>
              <w:spacing w:line="360" w:lineRule="auto"/>
              <w:rPr>
                <w:rFonts w:ascii="宋体" w:hAnsi="宋体" w:cs="宋体"/>
                <w:color w:val="auto"/>
                <w:sz w:val="21"/>
                <w:szCs w:val="21"/>
                <w:highlight w:val="none"/>
              </w:rPr>
            </w:pPr>
            <w:r>
              <w:rPr>
                <w:rFonts w:hint="eastAsia" w:ascii="宋体" w:hAnsi="宋体" w:eastAsia="宋体" w:cs="宋体"/>
                <w:color w:val="auto"/>
                <w:sz w:val="21"/>
                <w:szCs w:val="21"/>
                <w:highlight w:val="none"/>
              </w:rPr>
              <w:t xml:space="preserve">供应商信用承诺函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9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jc w:val="center"/>
          <w:trHeight w:val="40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9</w:t>
            </w:r>
            <w:r/>
          </w:p>
        </w:tc>
        <w:tc>
          <w:tcPr>
            <w:tcW w:w="5447" w:type="dxa"/>
            <w:vAlign w:val="center"/>
            <w:textDirection w:val="lrTb"/>
            <w:noWrap w:val="false"/>
          </w:tcPr>
          <w:p>
            <w:pPr>
              <w:spacing w:line="360" w:lineRule="auto"/>
              <w:rPr>
                <w:rFonts w:hint="eastAsia" w:ascii="宋体" w:hAnsi="宋体" w:eastAsia="宋体" w:cs="宋体"/>
                <w:color w:val="auto"/>
                <w:szCs w:val="21"/>
                <w:highlight w:val="none"/>
                <w:lang w:val="en-US" w:eastAsia="zh-CN"/>
              </w:rPr>
            </w:pPr>
            <w:r>
              <w:rPr>
                <w:rFonts w:hint="eastAsia" w:ascii="宋体" w:hAnsi="宋体" w:cs="宋体"/>
                <w:i/>
                <w:iCs/>
                <w:color w:val="auto"/>
                <w:szCs w:val="21"/>
                <w:highlight w:val="none"/>
                <w:u w:val="single"/>
                <w:lang w:val="en-US" w:eastAsia="zh-CN"/>
              </w:rPr>
              <w:t xml:space="preserve">根据《政府采购促进中小企业发展管理办法》的规定，本项目专门面向中小企业采购，投标人投标时须提供《中小企业声明函》，《中小企业声明函》不符合要求或未提供的，投标文件无效</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jc w:val="center"/>
          <w:trHeight w:val="389"/>
        </w:trPr>
        <w:tc>
          <w:tcPr>
            <w:tcW w:w="646" w:type="dxa"/>
            <w:vAlign w:val="center"/>
            <w:textDirection w:val="lrTb"/>
            <w:noWrap w:val="false"/>
          </w:tcPr>
          <w:p>
            <w:pPr>
              <w:jc w:val="cente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w:t>
            </w:r>
            <w:r/>
          </w:p>
        </w:tc>
        <w:tc>
          <w:tcPr>
            <w:tcW w:w="5447" w:type="dxa"/>
            <w:vAlign w:val="center"/>
            <w:textDirection w:val="lrTb"/>
            <w:noWrap w:val="false"/>
          </w:tcPr>
          <w:p>
            <w:pPr>
              <w:jc w:val="left"/>
              <w:keepLines w:val="0"/>
              <w:keepNext w:val="0"/>
              <w:pageBreakBefore w:val="0"/>
              <w:spacing w:line="360" w:lineRule="auto"/>
              <w:widowControl w:val="off"/>
              <w:rPr>
                <w:rFonts w:hint="eastAsia" w:ascii="宋体" w:hAnsi="宋体"/>
                <w:iCs/>
                <w:color w:val="auto"/>
                <w:sz w:val="21"/>
                <w:szCs w:val="21"/>
                <w:highlight w:val="none"/>
              </w:rPr>
            </w:pPr>
            <w:r>
              <w:rPr>
                <w:rFonts w:hint="eastAsia" w:ascii="宋体" w:hAnsi="宋体"/>
                <w:iCs/>
                <w:color w:val="auto"/>
                <w:sz w:val="21"/>
                <w:szCs w:val="21"/>
                <w:highlight w:val="none"/>
              </w:rPr>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jc w:val="center"/>
          <w:trHeight w:val="400"/>
        </w:trPr>
        <w:tc>
          <w:tcPr>
            <w:tcW w:w="646"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13</w:t>
            </w:r>
            <w:r/>
          </w:p>
        </w:tc>
        <w:tc>
          <w:tcPr>
            <w:tcW w:w="5447" w:type="dxa"/>
            <w:vAlign w:val="center"/>
            <w:textDirection w:val="lrTb"/>
            <w:noWrap w:val="false"/>
          </w:tcPr>
          <w:p>
            <w:pPr>
              <w:jc w:val="both"/>
              <w:spacing w:line="360" w:lineRule="auto"/>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00"/>
        </w:trPr>
        <w:tc>
          <w:tcPr>
            <w:tcW w:w="646"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14</w:t>
            </w:r>
            <w:r/>
          </w:p>
        </w:tc>
        <w:tc>
          <w:tcPr>
            <w:tcW w:w="5447" w:type="dxa"/>
            <w:vAlign w:val="center"/>
            <w:textDirection w:val="lrTb"/>
            <w:noWrap w:val="false"/>
          </w:tcPr>
          <w:p>
            <w:pPr>
              <w:jc w:val="both"/>
              <w:spacing w:line="360" w:lineRule="auto"/>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pStyle w:val="795"/>
        <w:rPr>
          <w:color w:val="auto"/>
          <w:highlight w:val="none"/>
        </w:rPr>
      </w:pPr>
      <w:r>
        <w:rPr>
          <w:color w:val="auto"/>
          <w:highlight w:val="none"/>
        </w:rPr>
      </w:r>
      <w:r/>
    </w:p>
    <w:p>
      <w:pPr>
        <w:rPr>
          <w:rFonts w:ascii="宋体" w:hAnsi="宋体"/>
          <w:b/>
          <w:color w:val="auto"/>
          <w:sz w:val="28"/>
          <w:szCs w:val="28"/>
          <w:highlight w:val="none"/>
        </w:rPr>
      </w:pPr>
      <w:r>
        <w:rPr>
          <w:rFonts w:ascii="宋体" w:hAnsi="宋体"/>
          <w:b/>
          <w:color w:val="auto"/>
          <w:sz w:val="28"/>
          <w:szCs w:val="28"/>
          <w:highlight w:val="none"/>
        </w:rPr>
        <w:br w:type="page" w:clear="all"/>
      </w:r>
      <w:r/>
    </w:p>
    <w:p>
      <w:pPr>
        <w:jc w:val="center"/>
        <w:keepLines w:val="0"/>
        <w:keepNext w:val="0"/>
        <w:pageBreakBefore w:val="0"/>
        <w:spacing w:before="157" w:after="157" w:line="360" w:lineRule="auto"/>
        <w:widowControl w:val="off"/>
        <w:rPr>
          <w:rFonts w:ascii="Times New Roman" w:hAnsi="Times New Roman"/>
          <w:color w:val="auto"/>
          <w:sz w:val="28"/>
          <w:szCs w:val="28"/>
          <w:highlight w:val="none"/>
        </w:rPr>
      </w:pPr>
      <w:r>
        <w:rPr>
          <w:rFonts w:ascii="宋体" w:hAnsi="宋体"/>
          <w:b/>
          <w:color w:val="auto"/>
          <w:sz w:val="28"/>
          <w:szCs w:val="28"/>
          <w:highlight w:val="none"/>
        </w:rPr>
        <w:t xml:space="preserve">基本资格条件承诺函</w:t>
      </w:r>
      <w:r/>
    </w:p>
    <w:p>
      <w:pPr>
        <w:ind w:firstLine="420"/>
        <w:spacing w:line="560" w:lineRule="exact"/>
        <w:rPr>
          <w:rFonts w:ascii="宋体" w:hAnsi="宋体"/>
          <w:color w:val="auto"/>
          <w:highlight w:val="none"/>
        </w:rPr>
      </w:pPr>
      <w:r>
        <w:rPr>
          <w:rFonts w:ascii="宋体" w:hAnsi="宋体"/>
          <w:color w:val="auto"/>
          <w:highlight w:val="none"/>
        </w:rPr>
        <w:t xml:space="preserve">致</w:t>
      </w:r>
      <w:r>
        <w:rPr>
          <w:rFonts w:ascii="宋体" w:hAnsi="宋体"/>
          <w:color w:val="auto"/>
          <w:highlight w:val="none"/>
          <w:u w:val="single"/>
        </w:rPr>
        <w:t xml:space="preserve">                   （采购代理机构名称）</w:t>
      </w:r>
      <w:r>
        <w:rPr>
          <w:rFonts w:ascii="宋体" w:hAnsi="宋体"/>
          <w:color w:val="auto"/>
          <w:highlight w:val="none"/>
        </w:rPr>
        <w:t xml:space="preserve">：</w:t>
      </w:r>
      <w:r/>
    </w:p>
    <w:p>
      <w:pPr>
        <w:ind w:firstLine="420"/>
        <w:spacing w:line="560" w:lineRule="exact"/>
        <w:rPr>
          <w:rFonts w:ascii="宋体" w:hAnsi="宋体"/>
          <w:color w:val="auto"/>
          <w:highlight w:val="none"/>
        </w:rPr>
      </w:pPr>
      <w:r>
        <w:rPr>
          <w:rFonts w:hint="eastAsia" w:ascii="宋体" w:hAnsi="宋体"/>
          <w:color w:val="auto"/>
          <w:highlight w:val="none"/>
        </w:rPr>
        <w:t xml:space="preserve">我公司自愿参加</w:t>
      </w:r>
      <w:r>
        <w:rPr>
          <w:rFonts w:ascii="宋体" w:hAnsi="宋体"/>
          <w:color w:val="auto"/>
          <w:highlight w:val="none"/>
          <w:u w:val="single"/>
        </w:rPr>
        <w:t xml:space="preserve">                   （</w:t>
      </w:r>
      <w:r>
        <w:rPr>
          <w:rFonts w:hint="eastAsia" w:ascii="宋体" w:hAnsi="宋体"/>
          <w:color w:val="auto"/>
          <w:highlight w:val="none"/>
          <w:u w:val="single"/>
        </w:rPr>
        <w:t xml:space="preserve">项目</w:t>
      </w:r>
      <w:r>
        <w:rPr>
          <w:rFonts w:ascii="宋体" w:hAnsi="宋体"/>
          <w:color w:val="auto"/>
          <w:highlight w:val="none"/>
          <w:u w:val="single"/>
        </w:rPr>
        <w:t xml:space="preserve">名称）</w:t>
      </w:r>
      <w:r>
        <w:rPr>
          <w:rFonts w:hint="eastAsia" w:ascii="宋体" w:hAnsi="宋体"/>
          <w:color w:val="auto"/>
          <w:highlight w:val="none"/>
        </w:rPr>
        <w:t xml:space="preserve">政府采购活动，并</w:t>
      </w:r>
      <w:r>
        <w:rPr>
          <w:rFonts w:ascii="宋体" w:hAnsi="宋体"/>
          <w:color w:val="auto"/>
          <w:highlight w:val="none"/>
        </w:rPr>
        <w:t xml:space="preserve">郑重承诺：</w:t>
      </w:r>
      <w:r/>
    </w:p>
    <w:p>
      <w:pPr>
        <w:ind w:firstLine="420"/>
        <w:spacing w:line="560" w:lineRule="exact"/>
        <w:rPr>
          <w:rFonts w:ascii="宋体" w:hAnsi="宋体"/>
          <w:color w:val="auto"/>
          <w:highlight w:val="none"/>
        </w:rPr>
      </w:pPr>
      <w:r>
        <w:rPr>
          <w:rFonts w:ascii="宋体" w:hAnsi="宋体"/>
          <w:color w:val="auto"/>
          <w:highlight w:val="none"/>
        </w:rPr>
        <w:t xml:space="preserve">1.我方具有良好的商业信誉和健全的财务会计制度，具有履行合同所必需的设备和专业技术能力，具</w:t>
      </w:r>
      <w:r>
        <w:rPr>
          <w:rFonts w:ascii="宋体" w:hAnsi="宋体"/>
          <w:color w:val="auto"/>
          <w:highlight w:val="none"/>
          <w:lang w:val="zh-CN"/>
        </w:rPr>
        <w:t xml:space="preserve">有依法缴纳税收和社会保障金的良好记录</w:t>
      </w:r>
      <w:r>
        <w:rPr>
          <w:rFonts w:ascii="宋体" w:hAnsi="宋体"/>
          <w:color w:val="auto"/>
          <w:highlight w:val="none"/>
        </w:rPr>
        <w:t xml:space="preserve">，参加本项目采购活动前三年内无重大违法活动记录。</w:t>
      </w:r>
      <w:r/>
    </w:p>
    <w:p>
      <w:pPr>
        <w:ind w:firstLine="420"/>
        <w:spacing w:line="560" w:lineRule="exact"/>
        <w:rPr>
          <w:rFonts w:ascii="宋体" w:hAnsi="宋体"/>
          <w:color w:val="auto"/>
          <w:highlight w:val="none"/>
        </w:rPr>
      </w:pPr>
      <w:r>
        <w:rPr>
          <w:rFonts w:ascii="宋体" w:hAnsi="宋体"/>
          <w:color w:val="auto"/>
          <w:highlight w:val="none"/>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ascii="宋体" w:hAnsi="宋体"/>
          <w:color w:val="auto"/>
          <w:highlight w:val="none"/>
        </w:rPr>
      </w:pPr>
      <w:r>
        <w:rPr>
          <w:rFonts w:ascii="宋体" w:hAnsi="宋体"/>
          <w:color w:val="auto"/>
          <w:highlight w:val="none"/>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color w:val="auto"/>
          <w:highlight w:val="none"/>
        </w:rPr>
      </w:pPr>
      <w:r>
        <w:rPr>
          <w:rFonts w:ascii="宋体" w:hAnsi="宋体"/>
          <w:color w:val="auto"/>
          <w:highlight w:val="none"/>
        </w:rPr>
        <w:t xml:space="preserve">我方对以上承诺负全部法律责任。</w:t>
      </w:r>
      <w:r/>
    </w:p>
    <w:p>
      <w:pPr>
        <w:ind w:firstLine="420"/>
        <w:spacing w:line="560" w:lineRule="exact"/>
        <w:rPr>
          <w:rFonts w:ascii="宋体" w:hAnsi="宋体"/>
          <w:color w:val="auto"/>
          <w:highlight w:val="none"/>
        </w:rPr>
      </w:pPr>
      <w:r>
        <w:rPr>
          <w:rFonts w:ascii="宋体" w:hAnsi="宋体"/>
          <w:color w:val="auto"/>
          <w:highlight w:val="none"/>
        </w:rPr>
        <w:t xml:space="preserve">特此承诺。</w:t>
      </w:r>
      <w:r/>
    </w:p>
    <w:p>
      <w:pPr>
        <w:ind w:firstLine="420"/>
        <w:spacing w:line="560" w:lineRule="exact"/>
        <w:rPr>
          <w:rFonts w:ascii="宋体" w:hAnsi="宋体"/>
          <w:color w:val="auto"/>
          <w:highlight w:val="none"/>
        </w:rPr>
      </w:pPr>
      <w:r>
        <w:rPr>
          <w:rFonts w:ascii="宋体" w:hAnsi="宋体"/>
          <w:color w:val="auto"/>
          <w:highlight w:val="none"/>
        </w:rPr>
      </w:r>
      <w:r/>
    </w:p>
    <w:p>
      <w:pPr>
        <w:ind w:firstLine="420"/>
        <w:jc w:val="center"/>
        <w:spacing w:line="560" w:lineRule="exact"/>
        <w:rPr>
          <w:rFonts w:ascii="宋体" w:hAnsi="宋体"/>
          <w:color w:val="auto"/>
          <w:highlight w:val="none"/>
        </w:rPr>
      </w:pPr>
      <w:r>
        <w:rPr>
          <w:rFonts w:hint="eastAsia" w:ascii="宋体" w:hAnsi="宋体"/>
          <w:color w:val="auto"/>
          <w:highlight w:val="none"/>
          <w:lang w:val="en-US" w:eastAsia="zh-CN"/>
        </w:rPr>
        <w:t xml:space="preserve">                              </w:t>
      </w:r>
      <w:r>
        <w:rPr>
          <w:rFonts w:hint="eastAsia" w:ascii="宋体" w:hAnsi="宋体"/>
          <w:color w:val="auto"/>
          <w:highlight w:val="none"/>
        </w:rPr>
        <w:t xml:space="preserve">法定代表人（签章）：</w:t>
      </w:r>
      <w:r/>
    </w:p>
    <w:p>
      <w:pPr>
        <w:ind w:firstLine="420"/>
        <w:jc w:val="right"/>
        <w:spacing w:line="560" w:lineRule="exact"/>
        <w:rPr>
          <w:rFonts w:ascii="宋体" w:hAnsi="宋体"/>
          <w:color w:val="auto"/>
          <w:highlight w:val="none"/>
        </w:rPr>
      </w:pPr>
      <w:r>
        <w:rPr>
          <w:rFonts w:hint="eastAsia" w:ascii="宋体" w:hAnsi="宋体"/>
          <w:color w:val="auto"/>
          <w:highlight w:val="none"/>
        </w:rPr>
        <w:t xml:space="preserve">        </w:t>
      </w:r>
      <w:r/>
    </w:p>
    <w:p>
      <w:pPr>
        <w:ind w:firstLine="420"/>
        <w:jc w:val="center"/>
        <w:spacing w:line="560" w:lineRule="exact"/>
        <w:rPr>
          <w:rFonts w:ascii="宋体" w:hAnsi="宋体"/>
          <w:color w:val="auto"/>
          <w:highlight w:val="none"/>
        </w:rPr>
      </w:pPr>
      <w:r>
        <w:rPr>
          <w:rFonts w:hint="eastAsia" w:ascii="宋体" w:hAnsi="宋体"/>
          <w:color w:val="auto"/>
          <w:highlight w:val="none"/>
          <w:lang w:val="en-US" w:eastAsia="zh-CN"/>
        </w:rPr>
        <w:t xml:space="preserve">                              </w:t>
      </w:r>
      <w:r>
        <w:rPr>
          <w:rFonts w:hint="eastAsia" w:ascii="宋体" w:hAnsi="宋体"/>
          <w:color w:val="auto"/>
          <w:highlight w:val="none"/>
        </w:rPr>
        <w:t xml:space="preserve">供应商名称（签章）：</w:t>
      </w:r>
      <w:r/>
    </w:p>
    <w:p>
      <w:pPr>
        <w:ind w:firstLine="420"/>
        <w:jc w:val="right"/>
        <w:spacing w:line="560" w:lineRule="exact"/>
        <w:rPr>
          <w:rFonts w:ascii="宋体" w:hAnsi="宋体"/>
          <w:color w:val="auto"/>
          <w:highlight w:val="none"/>
        </w:rPr>
      </w:pPr>
      <w:r>
        <w:rPr>
          <w:rFonts w:ascii="宋体" w:hAnsi="宋体"/>
          <w:color w:val="auto"/>
          <w:highlight w:val="none"/>
        </w:rPr>
      </w:r>
      <w:r/>
    </w:p>
    <w:p>
      <w:pPr>
        <w:jc w:val="right"/>
        <w:spacing w:line="360" w:lineRule="auto"/>
        <w:rPr>
          <w:rFonts w:ascii="宋体" w:hAnsi="宋体"/>
          <w:color w:val="auto"/>
          <w:highlight w:val="none"/>
        </w:rPr>
      </w:pPr>
      <w:r>
        <w:rPr>
          <w:rFonts w:ascii="宋体" w:hAnsi="宋体"/>
          <w:color w:val="auto"/>
          <w:highlight w:val="none"/>
        </w:rPr>
        <w:t xml:space="preserve">年   月   日</w:t>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rPr>
          <w:rFonts w:hint="eastAsia" w:ascii="宋体" w:hAnsi="宋体"/>
          <w:b/>
          <w:color w:val="auto"/>
          <w:szCs w:val="21"/>
          <w:highlight w:val="none"/>
        </w:rPr>
      </w:pPr>
      <w:r>
        <w:rPr>
          <w:rFonts w:hint="eastAsia" w:ascii="宋体" w:hAnsi="宋体"/>
          <w:b/>
          <w:color w:val="auto"/>
          <w:szCs w:val="21"/>
          <w:highlight w:val="none"/>
        </w:rPr>
        <w:br w:type="page" w:clear="all"/>
      </w:r>
      <w:r/>
    </w:p>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供应商信用承诺书</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 xml:space="preserve">承诺主体名称：</w:t>
      </w:r>
      <w:r>
        <w:rPr>
          <w:rFonts w:hint="eastAsia" w:ascii="宋体" w:hAnsi="宋体"/>
          <w:color w:val="auto"/>
          <w:szCs w:val="21"/>
          <w:highlight w:val="none"/>
          <w:u w:val="single"/>
          <w:lang w:val="en-US" w:eastAsia="zh-CN"/>
        </w:rPr>
        <w:t xml:space="preserve">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rPr>
          <w:rFonts w:hint="eastAsia" w:ascii="宋体" w:hAnsi="宋体"/>
          <w:color w:val="auto"/>
          <w:szCs w:val="21"/>
          <w:highlight w:val="none"/>
          <w:u w:val="single"/>
          <w:lang w:val="en-US" w:eastAsia="zh-CN"/>
        </w:rPr>
        <w:t xml:space="preserve">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 xml:space="preserve">项目政府采购活动郑重承诺如下: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spacing w:line="360" w:lineRule="auto"/>
        <w:rPr>
          <w:rFonts w:ascii="宋体" w:hAnsi="宋体"/>
          <w:color w:val="auto"/>
          <w:szCs w:val="21"/>
          <w:highlight w:val="none"/>
        </w:rPr>
      </w:pPr>
      <w:r>
        <w:rPr>
          <w:rFonts w:ascii="宋体" w:hAnsi="宋体"/>
          <w:color w:val="auto"/>
          <w:szCs w:val="21"/>
          <w:highlight w:val="none"/>
        </w:rPr>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年    月    日</w:t>
      </w:r>
      <w:r/>
    </w:p>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rPr>
          <w:rFonts w:ascii="宋体" w:hAnsi="宋体"/>
          <w:b/>
          <w:bCs/>
          <w:color w:val="auto"/>
          <w:highlight w:val="none"/>
        </w:rPr>
      </w:pPr>
      <w:r>
        <w:rPr>
          <w:rFonts w:hint="eastAsia" w:ascii="宋体" w:hAnsi="宋体"/>
          <w:b/>
          <w:bCs/>
          <w:color w:val="auto"/>
          <w:highlight w:val="none"/>
        </w:rPr>
        <w:br w:type="page" w:clear="all"/>
      </w:r>
      <w:r/>
    </w:p>
    <w:p>
      <w:pPr>
        <w:jc w:val="center"/>
        <w:spacing w:line="360" w:lineRule="auto"/>
        <w:rPr>
          <w:rFonts w:hint="eastAsia" w:ascii="宋体" w:hAnsi="宋体"/>
          <w:b/>
          <w:bCs/>
          <w:color w:val="auto"/>
          <w:highlight w:val="none"/>
        </w:rPr>
      </w:pPr>
      <w:r>
        <w:rPr>
          <w:rFonts w:hint="eastAsia" w:ascii="宋体" w:hAnsi="宋体"/>
          <w:b/>
          <w:bCs/>
          <w:color w:val="auto"/>
          <w:highlight w:val="none"/>
        </w:rPr>
        <w:t xml:space="preserve">投标函格式</w:t>
      </w:r>
      <w:r/>
    </w:p>
    <w:p>
      <w:pPr>
        <w:pStyle w:val="960"/>
        <w:ind w:firstLine="0"/>
        <w:spacing w:before="0" w:after="0"/>
        <w:rPr>
          <w:rFonts w:ascii="宋体" w:hAnsi="宋体"/>
          <w:color w:val="auto"/>
          <w:sz w:val="21"/>
          <w:szCs w:val="21"/>
          <w:highlight w:val="none"/>
        </w:rPr>
      </w:pPr>
      <w:r>
        <w:rPr>
          <w:rFonts w:hint="eastAsia" w:ascii="宋体" w:hAnsi="宋体"/>
          <w:color w:val="auto"/>
          <w:sz w:val="21"/>
          <w:szCs w:val="21"/>
          <w:highlight w:val="none"/>
        </w:rPr>
        <w:t xml:space="preserve">致：</w:t>
      </w:r>
      <w:r>
        <w:rPr>
          <w:rFonts w:hint="eastAsia" w:hAnsi="宋体"/>
          <w:color w:val="auto"/>
          <w:sz w:val="21"/>
          <w:highlight w:val="none"/>
        </w:rPr>
        <w:t xml:space="preserve">（代理机构名称）</w:t>
      </w:r>
      <w:r/>
    </w:p>
    <w:p>
      <w:pPr>
        <w:pStyle w:val="960"/>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960"/>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960"/>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960"/>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960"/>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960"/>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960"/>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60"/>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60"/>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960"/>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960"/>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960"/>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960"/>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960"/>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960"/>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960"/>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960"/>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961"/>
        <w:ind w:firstLine="422"/>
        <w:jc w:val="center"/>
        <w:spacing w:after="312"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96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（投标人名称）授权</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6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年</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月</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日起生效，特此声明。</w:t>
      </w:r>
      <w:r/>
    </w:p>
    <w:p>
      <w:pPr>
        <w:pStyle w:val="961"/>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961"/>
        <w:ind w:firstLine="420"/>
        <w:spacing w:line="360" w:lineRule="auto"/>
        <w:rPr>
          <w:rFonts w:hint="default" w:ascii="宋体" w:hAnsi="宋体"/>
          <w:color w:val="auto"/>
          <w:sz w:val="21"/>
          <w:szCs w:val="21"/>
          <w:highlight w:val="none"/>
          <w:lang w:val="en-US"/>
        </w:rPr>
      </w:pPr>
      <w:r>
        <w:rPr>
          <w:rFonts w:hint="eastAsia" w:ascii="宋体" w:hAnsi="宋体"/>
          <w:color w:val="auto"/>
          <w:sz w:val="21"/>
          <w:szCs w:val="21"/>
          <w:highlight w:val="none"/>
        </w:rPr>
        <w:t xml:space="preserve">被授权人姓名：</w:t>
      </w:r>
      <w:r>
        <w:rPr>
          <w:rFonts w:hint="eastAsia" w:ascii="宋体" w:hAnsi="宋体"/>
          <w:color w:val="auto"/>
          <w:sz w:val="21"/>
          <w:szCs w:val="21"/>
          <w:highlight w:val="none"/>
          <w:u w:val="single"/>
          <w:lang w:val="en-US" w:eastAsia="zh-CN"/>
        </w:rPr>
        <w:t xml:space="preserve">                        </w:t>
      </w:r>
      <w:r/>
    </w:p>
    <w:p>
      <w:pPr>
        <w:pStyle w:val="961"/>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lang w:val="en-US" w:eastAsia="zh-CN"/>
        </w:rPr>
        <w:t xml:space="preserve">                     </w:t>
      </w:r>
      <w:r/>
    </w:p>
    <w:p>
      <w:pPr>
        <w:pStyle w:val="961"/>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hint="eastAsia" w:ascii="宋体" w:hAnsi="宋体"/>
          <w:color w:val="auto"/>
          <w:sz w:val="21"/>
          <w:szCs w:val="21"/>
          <w:highlight w:val="none"/>
          <w:u w:val="single"/>
          <w:lang w:val="en-US" w:eastAsia="zh-CN"/>
        </w:rPr>
        <w:t xml:space="preserve">                            </w:t>
      </w:r>
      <w:r/>
    </w:p>
    <w:p>
      <w:pPr>
        <w:pStyle w:val="961"/>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rFonts w:hint="eastAsia" w:ascii="宋体" w:hAnsi="宋体"/>
          <w:color w:val="auto"/>
          <w:sz w:val="21"/>
          <w:szCs w:val="21"/>
          <w:highlight w:val="none"/>
          <w:u w:val="single"/>
          <w:lang w:val="en-US" w:eastAsia="zh-CN"/>
        </w:rPr>
        <w:t xml:space="preserve">                            </w:t>
      </w:r>
      <w:r/>
    </w:p>
    <w:p>
      <w:pPr>
        <w:pStyle w:val="961"/>
        <w:ind w:firstLine="420"/>
        <w:spacing w:line="360" w:lineRule="auto"/>
        <w:rPr>
          <w:color w:val="auto"/>
          <w:sz w:val="21"/>
          <w:szCs w:val="21"/>
          <w:highlight w:val="none"/>
        </w:rPr>
      </w:pPr>
      <w:r>
        <w:rPr>
          <w:rFonts w:hint="eastAsia"/>
          <w:color w:val="auto"/>
          <w:sz w:val="21"/>
          <w:szCs w:val="21"/>
          <w:highlight w:val="none"/>
        </w:rPr>
        <w:t xml:space="preserve">日期：</w:t>
      </w:r>
      <w:r>
        <w:rPr>
          <w:rFonts w:hint="eastAsia" w:ascii="宋体" w:hAnsi="宋体"/>
          <w:color w:val="auto"/>
          <w:sz w:val="21"/>
          <w:szCs w:val="21"/>
          <w:highlight w:val="none"/>
          <w:u w:val="single"/>
          <w:lang w:val="en-US" w:eastAsia="zh-CN"/>
        </w:rPr>
        <w:t xml:space="preserve">                                </w:t>
      </w:r>
      <w:r>
        <w:rPr>
          <w:color w:val="auto"/>
          <w:sz w:val="21"/>
          <w:szCs w:val="21"/>
          <w:highlight w:val="none"/>
        </w:rPr>
        <w:t xml:space="preserve"> </w:t>
      </w:r>
      <w:r/>
    </w:p>
    <w:p>
      <w:pPr>
        <w:spacing w:line="360" w:lineRule="auto"/>
        <w:rPr>
          <w:rFonts w:ascii="宋体" w:hAnsi="宋体"/>
          <w:bCs/>
          <w:color w:val="auto"/>
          <w:highlight w:val="none"/>
        </w:rPr>
      </w:pPr>
      <w:r>
        <w:rPr>
          <w:rFonts w:ascii="宋体" w:hAnsi="宋体"/>
          <w:bCs/>
          <w:color w:val="auto"/>
          <w:highlight w:val="none"/>
        </w:rPr>
      </w:r>
      <w:r/>
    </w:p>
    <w:p>
      <w:pPr>
        <w:ind w:firstLine="420"/>
        <w:spacing w:line="360" w:lineRule="auto"/>
        <w:rPr>
          <w:rFonts w:ascii="宋体" w:hAnsi="宋体"/>
          <w:bCs/>
          <w:color w:val="auto"/>
          <w:highlight w:val="none"/>
        </w:rPr>
        <w:sectPr>
          <w:footnotePr/>
          <w:endnotePr/>
          <w:type w:val="nextPage"/>
          <w:pgSz w:w="11906" w:h="16838" w:orient="portrait"/>
          <w:pgMar w:top="1440" w:right="1800" w:bottom="1440" w:left="1800" w:header="851" w:footer="850" w:gutter="0"/>
          <w:pgNumType w:start="1"/>
          <w:cols w:num="1" w:sep="0" w:space="720" w:equalWidth="1"/>
          <w:docGrid w:linePitch="360"/>
        </w:sectPr>
      </w:pPr>
      <w:r>
        <w:rPr>
          <w:rFonts w:hint="eastAsia" w:ascii="宋体" w:hAnsi="宋体"/>
          <w:bCs/>
          <w:color w:val="auto"/>
          <w:highlight w:val="none"/>
        </w:rPr>
        <w:t xml:space="preserve">被授权人身份证复印件</w:t>
      </w:r>
      <w:r/>
    </w:p>
    <w:p>
      <w:pPr>
        <w:pStyle w:val="770"/>
        <w:spacing w:line="360" w:lineRule="auto"/>
        <w:rPr>
          <w:rFonts w:asciiTheme="minorEastAsia" w:hAnsiTheme="minorEastAsia" w:eastAsiaTheme="minorEastAsia"/>
          <w:color w:val="auto"/>
          <w:sz w:val="32"/>
          <w:highlight w:val="none"/>
        </w:rPr>
      </w:pPr>
      <w:r/>
      <w:bookmarkStart w:id="61" w:name="_Toc13313"/>
      <w:r/>
      <w:bookmarkStart w:id="62" w:name="_Toc27055"/>
      <w:r>
        <w:rPr>
          <w:rFonts w:hint="eastAsia" w:asciiTheme="minorEastAsia" w:hAnsiTheme="minorEastAsia" w:eastAsiaTheme="minorEastAsia"/>
          <w:color w:val="auto"/>
          <w:sz w:val="32"/>
          <w:highlight w:val="none"/>
        </w:rPr>
        <w:t xml:space="preserve">二、符合性审查响应对照表</w:t>
      </w:r>
      <w:bookmarkEnd w:id="61"/>
      <w:r/>
      <w:bookmarkEnd w:id="62"/>
      <w:r/>
      <w:r/>
    </w:p>
    <w:tbl>
      <w:tblPr>
        <w:tblStyle w:val="779"/>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80"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jc w:val="center"/>
          <w:trHeight w:val="585"/>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val="0"/>
                <w:bCs/>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keepLines w:val="0"/>
              <w:keepNext w:val="0"/>
              <w:pageBreakBefore w:val="0"/>
              <w:spacing w:line="360" w:lineRule="auto"/>
              <w:widowControl w:val="off"/>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keepLines w:val="0"/>
              <w:keepNext w:val="0"/>
              <w:pageBreakBefore w:val="0"/>
              <w:spacing w:line="360" w:lineRule="auto"/>
              <w:widowControl w:val="off"/>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17"/>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keepLines w:val="0"/>
              <w:keepNext w:val="0"/>
              <w:pageBreakBefore w:val="0"/>
              <w:spacing w:line="360" w:lineRule="auto"/>
              <w:widowControl w:val="off"/>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Style w:val="770"/>
        <w:spacing w:line="360" w:lineRule="auto"/>
        <w:rPr>
          <w:rFonts w:hint="eastAsia" w:asciiTheme="minorEastAsia" w:hAnsiTheme="minorEastAsia" w:eastAsiaTheme="minorEastAsia"/>
          <w:color w:val="auto"/>
          <w:sz w:val="32"/>
          <w:highlight w:val="none"/>
        </w:rPr>
      </w:pPr>
      <w:r/>
      <w:bookmarkStart w:id="63" w:name="_Toc17600"/>
      <w:r/>
      <w:bookmarkStart w:id="64" w:name="_Toc30257"/>
      <w:r/>
      <w:r/>
    </w:p>
    <w:p>
      <w:pPr>
        <w:pStyle w:val="770"/>
        <w:spacing w:line="360" w:lineRule="auto"/>
        <w:rPr>
          <w:rFonts w:asciiTheme="minorEastAsia" w:hAnsiTheme="minorEastAsia" w:eastAsiaTheme="minorEastAsia"/>
          <w:color w:val="auto"/>
          <w:sz w:val="32"/>
          <w:highlight w:val="none"/>
        </w:rPr>
      </w:pPr>
      <w:r>
        <w:rPr>
          <w:rFonts w:hint="eastAsia" w:asciiTheme="minorEastAsia" w:hAnsiTheme="minorEastAsia" w:eastAsiaTheme="minorEastAsia"/>
          <w:color w:val="auto"/>
          <w:sz w:val="32"/>
          <w:highlight w:val="none"/>
        </w:rPr>
        <w:t xml:space="preserve">三、非实质性响应对照表</w:t>
      </w:r>
      <w:bookmarkEnd w:id="63"/>
      <w:r/>
      <w:bookmarkEnd w:id="64"/>
      <w:r/>
      <w:r/>
    </w:p>
    <w:tbl>
      <w:tblPr>
        <w:tblStyle w:val="779"/>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680"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jc w:val="center"/>
          <w:trHeight w:val="585"/>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olor w:val="auto"/>
                <w:szCs w:val="21"/>
                <w:highlight w:val="none"/>
              </w:rPr>
              <w:t xml:space="preserve">《企业声明函》</w:t>
            </w:r>
            <w:r/>
          </w:p>
        </w:tc>
        <w:tc>
          <w:tcPr>
            <w:tcW w:w="1680"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rPr>
          <w:color w:val="auto"/>
          <w:highlight w:val="none"/>
        </w:rPr>
      </w:pPr>
      <w:r>
        <w:rPr>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rPr>
          <w:rFonts w:hint="eastAsia"/>
          <w:b/>
          <w:bCs/>
          <w:color w:val="auto"/>
          <w:highlight w:val="none"/>
        </w:rPr>
      </w:pPr>
      <w:r>
        <w:rPr>
          <w:rFonts w:hint="eastAsia"/>
          <w:b/>
          <w:bCs/>
          <w:color w:val="auto"/>
          <w:highlight w:val="none"/>
        </w:rPr>
        <w:br w:type="page" w:clear="all"/>
      </w:r>
      <w:r/>
    </w:p>
    <w:p>
      <w:pPr>
        <w:jc w:val="center"/>
        <w:keepLines w:val="0"/>
        <w:keepNext w:val="0"/>
        <w:pageBreakBefore w:val="0"/>
        <w:spacing w:before="157" w:line="360" w:lineRule="auto"/>
        <w:widowControl w:val="off"/>
        <w:rPr>
          <w:b/>
          <w:bCs/>
          <w:color w:val="auto"/>
          <w:highlight w:val="none"/>
        </w:rPr>
      </w:pPr>
      <w:r>
        <w:rPr>
          <w:rFonts w:hint="eastAsia"/>
          <w:b/>
          <w:bCs/>
          <w:color w:val="auto"/>
          <w:highlight w:val="none"/>
        </w:rPr>
        <w:t xml:space="preserve">中小企业声明函（货物）</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（项目名称）</w:t>
      </w:r>
      <w:r>
        <w:rPr>
          <w:rFonts w:hint="eastAsia" w:ascii="宋体" w:hAnsi="宋体" w:eastAsia="宋体" w:cs="宋体"/>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（采购文件中明确的所属行业）行业（不得对行业类别修改）</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"br1"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highlight w:val="none"/>
          <w:vertAlign w:val="superscript"/>
        </w:rPr>
        <w:t xml:space="preserve">1</w:t>
      </w:r>
      <w:r>
        <w:rPr>
          <w:rFonts w:hint="eastAsia" w:ascii="宋体" w:hAnsi="宋体" w:eastAsia="宋体" w:cs="宋体"/>
          <w:color w:val="auto"/>
          <w:spacing w:val="-1"/>
          <w:highlight w:val="none"/>
          <w:vertAlign w:val="superscript"/>
        </w:rPr>
        <w:fldChar w:fldCharType="end"/>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（中型企业、小型企业、微型企业）；</w:t>
      </w:r>
      <w:r/>
    </w:p>
    <w:p>
      <w:pPr>
        <w:ind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2.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（采购文件中明确的所属行业）行业（不得对行业类别修改）；</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（中型企业、小型企业、微型企业）；</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jc w:val="left"/>
        <w:keepLines w:val="0"/>
        <w:keepNext w:val="0"/>
        <w:pageBreakBefore w:val="0"/>
        <w:spacing w:line="420" w:lineRule="exact"/>
        <w:widowControl w:val="off"/>
        <w:rPr>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w:t>
      </w:r>
      <w:r>
        <w:rPr>
          <w:rFonts w:hint="eastAsia"/>
          <w:color w:val="auto"/>
          <w:highlight w:val="none"/>
        </w:rPr>
        <w:t xml:space="preserve">企业的负责人为同一人的情形。</w:t>
      </w:r>
      <w:r/>
    </w:p>
    <w:p>
      <w:pPr>
        <w:ind w:firstLine="420"/>
        <w:jc w:val="left"/>
        <w:keepLines w:val="0"/>
        <w:keepNext w:val="0"/>
        <w:pageBreakBefore w:val="0"/>
        <w:spacing w:line="420" w:lineRule="exact"/>
        <w:widowControl w:val="off"/>
        <w:rPr>
          <w:color w:val="auto"/>
          <w:highlight w:val="none"/>
        </w:rPr>
      </w:pPr>
      <w:r>
        <w:rPr>
          <w:rFonts w:hint="eastAsia"/>
          <w:color w:val="auto"/>
          <w:highlight w:val="none"/>
        </w:rPr>
        <w:t xml:space="preserve">本企业对上述声明内容的真实性负责。如有虚假，将依法承担相应责任。</w:t>
      </w:r>
      <w:r/>
    </w:p>
    <w:p>
      <w:pPr>
        <w:jc w:val="left"/>
        <w:keepLines w:val="0"/>
        <w:keepNext w:val="0"/>
        <w:pageBreakBefore w:val="0"/>
        <w:spacing w:line="420" w:lineRule="exact"/>
        <w:widowControl w:val="off"/>
        <w:rPr>
          <w:color w:val="auto"/>
          <w:highlight w:val="none"/>
        </w:rPr>
      </w:pPr>
      <w:r>
        <w:rPr>
          <w:rFonts w:hint="eastAsia" w:ascii="宋体" w:hAnsi="宋体"/>
          <w:color w:val="auto"/>
          <w:highlight w:val="none"/>
        </w:rPr>
        <w:t xml:space="preserve">注： 1、</w:t>
      </w:r>
      <w:r>
        <w:rPr>
          <w:rFonts w:hint="eastAsia"/>
          <w:color w:val="auto"/>
          <w:highlight w:val="none"/>
        </w:rPr>
        <w:t xml:space="preserve">从业人员（不仅指在职职工）、营业收入、资产总额填报上一年度数据，无上一年度数据的新成立企业可不填报。</w:t>
      </w:r>
      <w:r/>
    </w:p>
    <w:p>
      <w:pPr>
        <w:ind w:firstLine="420"/>
        <w:keepLines w:val="0"/>
        <w:keepNext w:val="0"/>
        <w:pageBreakBefore w:val="0"/>
        <w:spacing w:line="420" w:lineRule="exact"/>
        <w:widowControl w:val="off"/>
        <w:rPr>
          <w:rFonts w:ascii="宋体" w:hAnsi="宋体"/>
          <w:color w:val="auto"/>
          <w:highlight w:val="none"/>
        </w:rPr>
      </w:pPr>
      <w:r>
        <w:rPr>
          <w:rFonts w:hint="eastAsia" w:ascii="宋体" w:hAnsi="宋体"/>
          <w:color w:val="auto"/>
          <w:highlight w:val="none"/>
        </w:rPr>
        <w:t xml:space="preserve">2、供应商如不提供此声明函，价格将不做相应扣除。</w:t>
      </w:r>
      <w:r/>
    </w:p>
    <w:p>
      <w:pPr>
        <w:keepLines w:val="0"/>
        <w:keepNext w:val="0"/>
        <w:pageBreakBefore w:val="0"/>
        <w:spacing w:line="420" w:lineRule="exact"/>
        <w:widowControl w:val="off"/>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keepLines w:val="0"/>
        <w:keepNext w:val="0"/>
        <w:pageBreakBefore w:val="0"/>
        <w:spacing w:line="420" w:lineRule="exact"/>
        <w:widowControl w:val="off"/>
        <w:rPr>
          <w:color w:val="auto"/>
          <w:highlight w:val="none"/>
        </w:rPr>
      </w:pPr>
      <w:r>
        <w:rPr>
          <w:rFonts w:hint="eastAsia"/>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keepLines w:val="0"/>
        <w:keepNext w:val="0"/>
        <w:pageBreakBefore w:val="0"/>
        <w:spacing w:line="420" w:lineRule="exact"/>
        <w:widowControl w:val="off"/>
        <w:rPr>
          <w:color w:val="auto"/>
          <w:highlight w:val="none"/>
        </w:rPr>
      </w:pPr>
      <w:r>
        <w:rPr>
          <w:rFonts w:hint="eastAsia"/>
          <w:color w:val="auto"/>
          <w:highlight w:val="none"/>
        </w:rPr>
        <w:t xml:space="preserve">5</w:t>
      </w:r>
      <w:r>
        <w:rPr>
          <w:color w:val="auto"/>
          <w:highlight w:val="none"/>
        </w:rPr>
        <w:t xml:space="preserve">、声明函应涵盖本项目(分包)所有货物，否则价格不作扣除。</w:t>
      </w:r>
      <w:r/>
    </w:p>
    <w:p>
      <w:pPr>
        <w:ind w:firstLine="420"/>
        <w:jc w:val="left"/>
        <w:keepLines w:val="0"/>
        <w:keepNext w:val="0"/>
        <w:pageBreakBefore w:val="0"/>
        <w:spacing w:line="420" w:lineRule="exact"/>
        <w:widowControl w:val="off"/>
        <w:rPr>
          <w:rFonts w:ascii="宋体" w:hAnsi="宋体"/>
          <w:color w:val="auto"/>
          <w:szCs w:val="21"/>
          <w:highlight w:val="none"/>
        </w:rPr>
      </w:pPr>
      <w:r>
        <w:rPr>
          <w:rFonts w:hint="eastAsia"/>
          <w:color w:val="auto"/>
          <w:highlight w:val="none"/>
        </w:rPr>
        <w:t xml:space="preserve">6、</w:t>
      </w:r>
      <w:r>
        <w:rPr>
          <w:rFonts w:hint="eastAsia" w:ascii="宋体" w:hAnsi="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keepLines w:val="0"/>
        <w:keepNext w:val="0"/>
        <w:pageBreakBefore w:val="0"/>
        <w:spacing w:line="420" w:lineRule="exact"/>
        <w:widowControl w:val="off"/>
        <w:rPr>
          <w:rFonts w:ascii="宋体" w:hAnsi="宋体"/>
          <w:color w:val="auto"/>
          <w:szCs w:val="21"/>
          <w:highlight w:val="none"/>
        </w:rPr>
      </w:pPr>
      <w:r>
        <w:rPr>
          <w:rFonts w:hint="eastAsia" w:ascii="宋体" w:hAnsi="宋体"/>
          <w:color w:val="auto"/>
          <w:szCs w:val="21"/>
          <w:highlight w:val="none"/>
        </w:rPr>
        <w:t xml:space="preserve">7、</w:t>
      </w:r>
      <w:r>
        <w:rPr>
          <w:rFonts w:hint="eastAsia" w:ascii="宋体" w:hAnsi="宋体" w:cs="Arial"/>
          <w:bCs/>
          <w:color w:val="auto"/>
          <w:szCs w:val="21"/>
          <w:highlight w:val="none"/>
          <w:shd w:val="clear" w:color="auto" w:fill="ffffff"/>
        </w:rPr>
        <w:t xml:space="preserve">《政府采购法》第七十七条第一款：</w:t>
      </w:r>
      <w:r>
        <w:rPr>
          <w:rFonts w:hint="eastAsia" w:ascii="宋体" w:hAnsi="宋体"/>
          <w:bCs/>
          <w:color w:val="auto"/>
          <w:szCs w:val="21"/>
          <w:highlight w:val="none"/>
          <w:shd w:val="clear" w:color="auto" w:fill="ffffff"/>
        </w:rPr>
        <w:t xml:space="preserve">提供虚假材料谋取中标、成交的</w:t>
      </w:r>
      <w:r>
        <w:rPr>
          <w:rFonts w:hint="eastAsia" w:ascii="宋体" w:hAnsi="宋体" w:cs="Arial"/>
          <w:bCs/>
          <w:color w:val="auto"/>
          <w:szCs w:val="21"/>
          <w:highlight w:val="none"/>
          <w:shd w:val="clear" w:color="auto" w:fill="ffffff"/>
        </w:rPr>
        <w:t xml:space="preserve">，</w:t>
      </w:r>
      <w:r>
        <w:rPr>
          <w:rFonts w:hint="eastAsia" w:ascii="宋体" w:hAnsi="宋体"/>
          <w:bCs/>
          <w:color w:val="auto"/>
          <w:szCs w:val="21"/>
          <w:highlight w:val="none"/>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keepLines w:val="0"/>
        <w:keepNext w:val="0"/>
        <w:pageBreakBefore w:val="0"/>
        <w:spacing w:line="420" w:lineRule="exact"/>
        <w:widowControl w:val="off"/>
        <w:rPr>
          <w:color w:val="auto"/>
          <w:highlight w:val="none"/>
        </w:rPr>
      </w:pPr>
      <w:r>
        <w:rPr>
          <w:rFonts w:hint="eastAsia"/>
          <w:color w:val="auto"/>
          <w:highlight w:val="none"/>
        </w:rPr>
        <w:t xml:space="preserve">企业名称（盖章）：</w:t>
      </w:r>
      <w:r/>
    </w:p>
    <w:p>
      <w:pPr>
        <w:jc w:val="center"/>
        <w:keepLines w:val="0"/>
        <w:keepNext w:val="0"/>
        <w:pageBreakBefore w:val="0"/>
        <w:spacing w:line="420" w:lineRule="exact"/>
        <w:widowControl w:val="off"/>
        <w:rPr>
          <w:color w:val="auto"/>
          <w:highlight w:val="none"/>
        </w:rPr>
      </w:pPr>
      <w:r>
        <w:rPr>
          <w:rFonts w:hint="eastAsia"/>
          <w:color w:val="auto"/>
          <w:highlight w:val="none"/>
        </w:rPr>
        <w:t xml:space="preserve">                             日 期：</w:t>
      </w:r>
      <w:r/>
    </w:p>
    <w:p>
      <w:pPr>
        <w:pStyle w:val="770"/>
        <w:jc w:val="center"/>
        <w:spacing w:before="300" w:after="300" w:line="360" w:lineRule="auto"/>
        <w:widowControl/>
        <w:rPr>
          <w:rFonts w:ascii="宋体" w:hAnsi="宋体"/>
          <w:color w:val="auto"/>
          <w:sz w:val="21"/>
          <w:szCs w:val="21"/>
          <w:highlight w:val="none"/>
        </w:rPr>
      </w:pPr>
      <w:r/>
      <w:bookmarkStart w:id="65" w:name="_Toc29667"/>
      <w:r/>
      <w:bookmarkStart w:id="66" w:name="_Toc20920"/>
      <w:r/>
      <w:bookmarkStart w:id="67" w:name="_Toc14516"/>
      <w:r>
        <w:rPr>
          <w:rFonts w:hint="eastAsia" w:ascii="宋体" w:hAnsi="宋体" w:cs="微软雅黑"/>
          <w:bCs w:val="0"/>
          <w:color w:val="auto"/>
          <w:sz w:val="21"/>
          <w:szCs w:val="21"/>
          <w:highlight w:val="none"/>
        </w:rPr>
        <w:t xml:space="preserve">中小微企业划型标准 </w:t>
      </w:r>
      <w:bookmarkEnd w:id="65"/>
      <w:r/>
      <w:bookmarkEnd w:id="66"/>
      <w:r/>
      <w:bookmarkEnd w:id="67"/>
      <w:r/>
      <w:r/>
    </w:p>
    <w:p>
      <w:pPr>
        <w:pStyle w:val="803"/>
        <w:ind w:firstLine="420"/>
        <w:keepLines w:val="0"/>
        <w:keepNext w:val="0"/>
        <w:pageBreakBefore w:val="0"/>
        <w:spacing w:before="300" w:after="212" w:line="360" w:lineRule="auto"/>
        <w:widowControl/>
        <w:rPr>
          <w:rStyle w:val="807"/>
          <w:rFonts w:hint="eastAsia" w:ascii="宋体" w:hAnsi="宋体" w:cs="仿宋"/>
          <w:color w:val="auto"/>
          <w:sz w:val="21"/>
          <w:szCs w:val="21"/>
          <w:highlight w:val="none"/>
        </w:rPr>
      </w:pPr>
      <w:r>
        <w:rPr>
          <w:rStyle w:val="807"/>
          <w:rFonts w:hint="eastAsia" w:ascii="宋体" w:hAnsi="宋体" w:cs="仿宋"/>
          <w:color w:val="auto"/>
          <w:sz w:val="21"/>
          <w:szCs w:val="21"/>
          <w:highlight w:val="none"/>
        </w:rPr>
        <w:t xml:space="preserve">中小微企业划型标准如下：</w:t>
      </w:r>
      <w:r/>
    </w:p>
    <w:tbl>
      <w:tblPr>
        <w:tblStyle w:val="779"/>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行业名称</w:t>
            </w:r>
            <w:r/>
          </w:p>
        </w:tc>
        <w:tc>
          <w:tcPr>
            <w:tcMar>
              <w:left w:w="105" w:type="dxa"/>
              <w:top w:w="0" w:type="dxa"/>
              <w:right w:w="105" w:type="dxa"/>
              <w:bottom w:w="0" w:type="dxa"/>
            </w:tcMar>
            <w:tcW w:w="1718"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指标名称</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计量单位</w:t>
            </w:r>
            <w:r/>
          </w:p>
        </w:tc>
        <w:tc>
          <w:tcPr>
            <w:tcMar>
              <w:left w:w="105" w:type="dxa"/>
              <w:top w:w="0" w:type="dxa"/>
              <w:right w:w="105" w:type="dxa"/>
              <w:bottom w:w="0" w:type="dxa"/>
            </w:tcMar>
            <w:tcW w:w="1892"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中型</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小型</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微型</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农、林、牧、渔</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Y＜50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工业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Y＜300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建筑业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6000≤Y＜80000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300≤Y＜6000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Y＜300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5000≤Z＜80000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300≤Z＜5000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Z＜300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批发业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5≤X＜20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X＜5</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零售业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10≤X＜50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交通运输业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200≤Y＜3000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Y＜200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仓储业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邮政业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住宿业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餐饮业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信息传输业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100≤X＜2000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1000≤Y＜100000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软件和信息技术服务业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Y＜50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房地产开发经营</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1000≤Y＜200000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5000≤Z＜10000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Y＜2000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物业管理</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1000≤Y＜5000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Y＜500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租赁和商务服务业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8000≤Z＜120000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100≤Z＜8000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其他未列明行业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bl>
    <w:p>
      <w:pPr>
        <w:pStyle w:val="803"/>
        <w:ind w:firstLine="420"/>
        <w:spacing w:before="300" w:after="452" w:line="360" w:lineRule="auto"/>
        <w:widowControl/>
        <w:rPr>
          <w:rStyle w:val="807"/>
          <w:rFonts w:cs="仿宋"/>
          <w:b w:val="0"/>
          <w:color w:val="auto"/>
          <w:sz w:val="21"/>
          <w:szCs w:val="21"/>
          <w:highlight w:val="none"/>
        </w:rPr>
      </w:pPr>
      <w:r>
        <w:rPr>
          <w:rStyle w:val="807"/>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807"/>
          <w:rFonts w:ascii="宋体" w:hAnsi="宋体" w:cs="仿宋"/>
          <w:b w:val="0"/>
          <w:color w:val="auto"/>
          <w:sz w:val="21"/>
          <w:szCs w:val="21"/>
          <w:highlight w:val="none"/>
        </w:rPr>
        <w:br w:type="page" w:clear="all"/>
      </w:r>
      <w:r/>
    </w:p>
    <w:p>
      <w:pPr>
        <w:ind w:left="0" w:firstLine="0"/>
        <w:jc w:val="center"/>
        <w:spacing w:line="360" w:lineRule="auto"/>
        <w:rPr>
          <w:rFonts w:ascii="宋体" w:hAnsi="宋体"/>
          <w:b/>
          <w:bCs/>
          <w:color w:val="auto"/>
          <w:highlight w:val="none"/>
        </w:rPr>
      </w:pPr>
      <w:r>
        <w:rPr>
          <w:rFonts w:hint="eastAsia" w:ascii="宋体" w:hAnsi="宋体"/>
          <w:b/>
          <w:bCs/>
          <w:color w:val="auto"/>
          <w:highlight w:val="none"/>
        </w:rPr>
        <w:t xml:space="preserve">残疾人福利性单位声明函</w:t>
      </w:r>
      <w:r/>
    </w:p>
    <w:p>
      <w:pPr>
        <w:ind w:firstLine="624"/>
        <w:spacing w:line="360" w:lineRule="auto"/>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360" w:lineRule="auto"/>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360" w:lineRule="auto"/>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360" w:lineRule="auto"/>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spacing w:line="360" w:lineRule="auto"/>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770"/>
        <w:spacing w:line="360" w:lineRule="auto"/>
        <w:rPr>
          <w:rFonts w:asciiTheme="minorEastAsia" w:hAnsiTheme="minorEastAsia" w:eastAsiaTheme="minorEastAsia"/>
          <w:color w:val="auto"/>
          <w:sz w:val="32"/>
          <w:highlight w:val="none"/>
        </w:rPr>
      </w:pPr>
      <w:r/>
      <w:bookmarkStart w:id="68" w:name="_Toc26139"/>
      <w:r/>
      <w:bookmarkStart w:id="69" w:name="_Toc27571"/>
      <w:r>
        <w:rPr>
          <w:rFonts w:hint="eastAsia" w:asciiTheme="minorEastAsia" w:hAnsiTheme="minorEastAsia" w:eastAsiaTheme="minorEastAsia"/>
          <w:color w:val="auto"/>
          <w:sz w:val="32"/>
          <w:highlight w:val="none"/>
        </w:rPr>
        <w:t xml:space="preserve">四、开标一览表</w:t>
      </w:r>
      <w:bookmarkEnd w:id="68"/>
      <w:r/>
      <w:bookmarkEnd w:id="69"/>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分包号(如有)： </w:t>
      </w:r>
      <w:r/>
    </w:p>
    <w:tbl>
      <w:tblPr>
        <w:tblStyle w:val="779"/>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ind w:firstLine="480"/>
              <w:spacing w:line="360" w:lineRule="auto"/>
              <w:rPr>
                <w:rFonts w:ascii="宋体" w:hAnsi="宋体" w:eastAsia="宋体" w:cs="宋体"/>
                <w:color w:val="auto"/>
                <w:sz w:val="21"/>
                <w:szCs w:val="21"/>
                <w:highlight w:val="none"/>
              </w:rPr>
            </w:pPr>
            <w:r>
              <w:rPr>
                <w:rFonts w:hint="eastAsia" w:ascii="宋体" w:hAnsi="宋体"/>
                <w:color w:val="auto"/>
                <w:szCs w:val="21"/>
                <w:highlight w:val="none"/>
              </w:rPr>
              <w:t xml:space="preserve">                       </w:t>
            </w:r>
            <w:r>
              <w:rPr>
                <w:rFonts w:hint="eastAsia" w:ascii="宋体" w:hAnsi="宋体" w:eastAsia="宋体" w:cs="宋体"/>
                <w:color w:val="auto"/>
                <w:sz w:val="21"/>
                <w:szCs w:val="21"/>
                <w:highlight w:val="none"/>
              </w:rPr>
              <w:t xml:space="preserve">  投标货物及服务名称</w:t>
            </w:r>
            <w:r/>
          </w:p>
        </w:tc>
        <w:tc>
          <w:tcPr>
            <w:tcW w:w="6405"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投标总报价</w:t>
            </w:r>
            <w:r/>
          </w:p>
        </w:tc>
      </w:tr>
      <w:tr>
        <w:trPr>
          <w:cantSplit/>
          <w:trHeight w:val="1697"/>
        </w:trPr>
        <w:tc>
          <w:tcPr>
            <w:tcW w:w="2481" w:type="dxa"/>
            <w:vAlign w:val="center"/>
            <w:textDirection w:val="lrTb"/>
            <w:noWrap w:val="false"/>
          </w:tcPr>
          <w:p>
            <w:pPr>
              <w:pStyle w:val="784"/>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405" w:type="dxa"/>
            <w:vAlign w:val="center"/>
            <w:textDirection w:val="lrTb"/>
            <w:noWrap w:val="false"/>
          </w:tcPr>
          <w:p>
            <w:pPr>
              <w:pStyle w:val="960"/>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大写：</w:t>
            </w:r>
            <w:r/>
          </w:p>
          <w:p>
            <w:pPr>
              <w:pStyle w:val="960"/>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小写：                             （人民币：元）</w:t>
            </w:r>
            <w:r/>
          </w:p>
          <w:p>
            <w:pPr>
              <w:pStyle w:val="960"/>
              <w:ind w:firstLine="0"/>
              <w:spacing w:before="0" w:after="0"/>
              <w:rPr>
                <w:rFonts w:ascii="宋体" w:hAnsi="宋体" w:cs="宋体"/>
                <w:color w:val="auto"/>
                <w:sz w:val="21"/>
                <w:szCs w:val="21"/>
                <w:highlight w:val="none"/>
              </w:rPr>
            </w:pPr>
            <w:r>
              <w:rPr>
                <w:rFonts w:ascii="宋体" w:hAnsi="宋体" w:cs="宋体"/>
                <w:color w:val="auto"/>
                <w:sz w:val="21"/>
                <w:szCs w:val="21"/>
                <w:highlight w:val="none"/>
              </w:rPr>
            </w:r>
            <w:r/>
          </w:p>
        </w:tc>
      </w:tr>
    </w:tbl>
    <w:p>
      <w:pPr>
        <w:spacing w:line="360" w:lineRule="auto"/>
        <w:rPr>
          <w:rFonts w:ascii="宋体" w:hAnsi="宋体"/>
          <w:color w:val="auto"/>
          <w:szCs w:val="21"/>
          <w:highlight w:val="none"/>
        </w:rPr>
      </w:pPr>
      <w:r>
        <w:rPr>
          <w:rFonts w:ascii="宋体" w:hAnsi="宋体"/>
          <w:color w:val="auto"/>
          <w:szCs w:val="21"/>
          <w:highlight w:val="none"/>
        </w:rPr>
      </w:r>
      <w:r/>
    </w:p>
    <w:p>
      <w:pPr>
        <w:ind w:firstLine="480"/>
        <w:spacing w:line="360" w:lineRule="auto"/>
        <w:rPr>
          <w:rFonts w:ascii="宋体" w:hAnsi="宋体"/>
          <w:color w:val="auto"/>
          <w:sz w:val="32"/>
          <w:szCs w:val="32"/>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780"/>
        <w:ind w:firstLine="640"/>
        <w:spacing w:line="360" w:lineRule="auto"/>
        <w:rPr>
          <w:rFonts w:ascii="宋体" w:hAnsi="宋体"/>
          <w:color w:val="auto"/>
          <w:sz w:val="32"/>
          <w:szCs w:val="32"/>
          <w:highlight w:val="none"/>
        </w:rPr>
      </w:pPr>
      <w:r>
        <w:rPr>
          <w:rFonts w:ascii="宋体" w:hAnsi="宋体"/>
          <w:color w:val="auto"/>
          <w:sz w:val="32"/>
          <w:szCs w:val="32"/>
          <w:highlight w:val="none"/>
        </w:rPr>
      </w:r>
      <w:r/>
    </w:p>
    <w:p>
      <w:pPr>
        <w:pStyle w:val="780"/>
        <w:ind w:firstLine="640"/>
        <w:spacing w:line="360" w:lineRule="auto"/>
        <w:rPr>
          <w:rFonts w:ascii="宋体" w:hAnsi="宋体"/>
          <w:color w:val="auto"/>
          <w:sz w:val="32"/>
          <w:szCs w:val="32"/>
          <w:highlight w:val="none"/>
        </w:rPr>
      </w:pPr>
      <w:r>
        <w:rPr>
          <w:rFonts w:ascii="宋体" w:hAnsi="宋体"/>
          <w:color w:val="auto"/>
          <w:sz w:val="32"/>
          <w:szCs w:val="32"/>
          <w:highlight w:val="none"/>
        </w:rPr>
      </w:r>
      <w:r/>
    </w:p>
    <w:p>
      <w:pPr>
        <w:spacing w:line="360" w:lineRule="auto"/>
        <w:rPr>
          <w:rFonts w:ascii="宋体" w:hAnsi="宋体"/>
          <w:color w:val="auto"/>
          <w:sz w:val="32"/>
          <w:szCs w:val="32"/>
          <w:highlight w:val="none"/>
        </w:rPr>
      </w:pPr>
      <w:r>
        <w:rPr>
          <w:rFonts w:hint="eastAsia" w:ascii="宋体" w:hAnsi="宋体"/>
          <w:color w:val="auto"/>
          <w:sz w:val="32"/>
          <w:szCs w:val="32"/>
          <w:highlight w:val="none"/>
        </w:rPr>
        <w:br w:type="page" w:clear="all"/>
      </w:r>
      <w:r/>
    </w:p>
    <w:p>
      <w:pPr>
        <w:pStyle w:val="770"/>
        <w:spacing w:line="360" w:lineRule="auto"/>
        <w:rPr>
          <w:rFonts w:asciiTheme="minorEastAsia" w:hAnsiTheme="minorEastAsia" w:eastAsiaTheme="minorEastAsia"/>
          <w:color w:val="auto"/>
          <w:sz w:val="32"/>
          <w:highlight w:val="none"/>
        </w:rPr>
      </w:pPr>
      <w:r/>
      <w:bookmarkStart w:id="70" w:name="_Toc12991"/>
      <w:r/>
      <w:bookmarkStart w:id="71" w:name="_Toc25042"/>
      <w:r>
        <w:rPr>
          <w:rFonts w:hint="eastAsia" w:asciiTheme="minorEastAsia" w:hAnsiTheme="minorEastAsia" w:eastAsiaTheme="minorEastAsia"/>
          <w:color w:val="auto"/>
          <w:sz w:val="32"/>
          <w:highlight w:val="none"/>
        </w:rPr>
        <w:t xml:space="preserve">五、投标产品配置及分项报价表</w:t>
      </w:r>
      <w:bookmarkEnd w:id="70"/>
      <w:r/>
      <w:bookmarkEnd w:id="71"/>
      <w:r/>
      <w:r/>
    </w:p>
    <w:tbl>
      <w:tblPr>
        <w:tblStyle w:val="779"/>
        <w:tblW w:w="100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1206"/>
        <w:gridCol w:w="776"/>
        <w:gridCol w:w="1168"/>
        <w:gridCol w:w="665"/>
        <w:gridCol w:w="1130"/>
        <w:gridCol w:w="1130"/>
        <w:gridCol w:w="1391"/>
        <w:gridCol w:w="1371"/>
      </w:tblGrid>
      <w:tr>
        <w:trPr>
          <w:cantSplit/>
          <w:jc w:val="center"/>
          <w:trHeight w:val="397"/>
        </w:trPr>
        <w:tc>
          <w:tcPr>
            <w:gridSpan w:val="9"/>
            <w:tcW w:w="10079"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auto"/>
                <w:sz w:val="20"/>
                <w:szCs w:val="20"/>
                <w:highlight w:val="none"/>
                <w:u w:val="none"/>
                <w:lang w:val="en-US" w:eastAsia="zh-CN" w:bidi="ar"/>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项目名称：</w:t>
            </w:r>
            <w:r/>
          </w:p>
          <w:p>
            <w:pPr>
              <w:pStyle w:val="771"/>
              <w:rPr>
                <w:rFonts w:hint="default"/>
                <w:color w:val="auto"/>
                <w:highlight w:val="none"/>
                <w:lang w:val="en-US" w:eastAsia="zh-CN"/>
              </w:rPr>
            </w:pPr>
            <w:r>
              <w:rPr>
                <w:rFonts w:hint="eastAsia" w:ascii="微软雅黑" w:hAnsi="微软雅黑" w:eastAsia="微软雅黑" w:cs="微软雅黑"/>
                <w:b/>
                <w:bCs/>
                <w:i w:val="0"/>
                <w:iCs w:val="0"/>
                <w:color w:val="auto"/>
                <w:sz w:val="20"/>
                <w:szCs w:val="20"/>
                <w:highlight w:val="none"/>
                <w:u w:val="none"/>
                <w:lang w:val="en-US" w:eastAsia="zh-CN" w:bidi="ar"/>
              </w:rPr>
              <w:t xml:space="preserve">包号：</w:t>
            </w:r>
            <w:r/>
          </w:p>
        </w:tc>
      </w:tr>
      <w:tr>
        <w:trPr>
          <w:cantSplit/>
          <w:jc w:val="center"/>
          <w:trHeight w:val="1014"/>
        </w:trPr>
        <w:tc>
          <w:tcPr>
            <w:tcW w:w="1242" w:type="dxa"/>
            <w:vAlign w:val="center"/>
            <w:textDirection w:val="lrTb"/>
            <w:noWrap w:val="false"/>
          </w:tcPr>
          <w:p>
            <w:pPr>
              <w:jc w:val="center"/>
              <w:keepLines w:val="0"/>
              <w:keepNext w:val="0"/>
              <w:widowControl/>
              <w:rPr>
                <w:rFonts w:ascii="宋体" w:hAnsi="宋体"/>
                <w:color w:val="auto"/>
                <w:szCs w:val="21"/>
                <w:highlight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序号</w:t>
            </w:r>
            <w:r/>
          </w:p>
        </w:tc>
        <w:tc>
          <w:tcPr>
            <w:tcW w:w="1206" w:type="dxa"/>
            <w:vAlign w:val="center"/>
            <w:textDirection w:val="lrTb"/>
            <w:noWrap w:val="false"/>
          </w:tcPr>
          <w:p>
            <w:pPr>
              <w:jc w:val="center"/>
              <w:keepLines w:val="0"/>
              <w:keepNext w:val="0"/>
              <w:widowControl/>
              <w:rPr>
                <w:rFonts w:ascii="宋体" w:hAnsi="宋体"/>
                <w:color w:val="auto"/>
                <w:szCs w:val="21"/>
                <w:highlight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物料名称</w:t>
            </w:r>
            <w:r/>
          </w:p>
        </w:tc>
        <w:tc>
          <w:tcPr>
            <w:tcW w:w="776" w:type="dxa"/>
            <w:vAlign w:val="center"/>
            <w:textDirection w:val="lrTb"/>
            <w:noWrap w:val="false"/>
          </w:tcPr>
          <w:p>
            <w:pPr>
              <w:jc w:val="center"/>
              <w:keepLines w:val="0"/>
              <w:keepNext w:val="0"/>
              <w:widowControl/>
              <w:rPr>
                <w:rFonts w:ascii="宋体" w:hAnsi="宋体"/>
                <w:color w:val="auto"/>
                <w:szCs w:val="21"/>
                <w:highlight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品牌</w:t>
            </w:r>
            <w:r/>
          </w:p>
        </w:tc>
        <w:tc>
          <w:tcPr>
            <w:tcW w:w="1168" w:type="dxa"/>
            <w:vAlign w:val="center"/>
            <w:textDirection w:val="lrTb"/>
            <w:noWrap w:val="false"/>
          </w:tcPr>
          <w:p>
            <w:pPr>
              <w:jc w:val="center"/>
              <w:keepLines w:val="0"/>
              <w:keepNext w:val="0"/>
              <w:widowControl/>
              <w:rPr>
                <w:rFonts w:ascii="宋体" w:hAnsi="宋体"/>
                <w:color w:val="auto"/>
                <w:szCs w:val="21"/>
                <w:highlight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材质或技术参数描述</w:t>
            </w:r>
            <w:r/>
          </w:p>
        </w:tc>
        <w:tc>
          <w:tcPr>
            <w:tcW w:w="665" w:type="dxa"/>
            <w:vAlign w:val="center"/>
            <w:textDirection w:val="lrTb"/>
            <w:noWrap w:val="false"/>
          </w:tcPr>
          <w:p>
            <w:pPr>
              <w:jc w:val="center"/>
              <w:keepLines w:val="0"/>
              <w:keepNext w:val="0"/>
              <w:widowControl/>
              <w:rPr>
                <w:rFonts w:ascii="宋体" w:hAnsi="宋体"/>
                <w:color w:val="auto"/>
                <w:szCs w:val="21"/>
                <w:highlight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数量</w:t>
            </w:r>
            <w:r/>
          </w:p>
        </w:tc>
        <w:tc>
          <w:tcPr>
            <w:tcW w:w="1130" w:type="dxa"/>
            <w:vAlign w:val="center"/>
            <w:textDirection w:val="lrTb"/>
            <w:noWrap w:val="false"/>
          </w:tcPr>
          <w:p>
            <w:pPr>
              <w:jc w:val="center"/>
              <w:keepLines w:val="0"/>
              <w:keepNext w:val="0"/>
              <w:widowControl/>
              <w:rPr>
                <w:rFonts w:ascii="宋体" w:hAnsi="宋体"/>
                <w:color w:val="auto"/>
                <w:szCs w:val="21"/>
                <w:highlight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单位</w:t>
            </w:r>
            <w:r/>
          </w:p>
        </w:tc>
        <w:tc>
          <w:tcPr>
            <w:tcW w:w="1130" w:type="dxa"/>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lang w:val="en-US" w:eastAsia="zh-CN" w:bidi="ar"/>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单价（元）</w:t>
            </w:r>
            <w:r/>
          </w:p>
        </w:tc>
        <w:tc>
          <w:tcPr>
            <w:tcW w:w="1391" w:type="dxa"/>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lang w:val="en-US" w:eastAsia="zh-CN" w:bidi="ar"/>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总价（元）</w:t>
            </w:r>
            <w:r/>
          </w:p>
        </w:tc>
        <w:tc>
          <w:tcPr>
            <w:tcW w:w="1371" w:type="dxa"/>
            <w:vAlign w:val="center"/>
            <w:textDirection w:val="lrTb"/>
            <w:noWrap w:val="false"/>
          </w:tcPr>
          <w:p>
            <w:pPr>
              <w:jc w:val="center"/>
              <w:keepLines w:val="0"/>
              <w:keepNext w:val="0"/>
              <w:widowControl/>
              <w:rPr>
                <w:rFonts w:hint="default" w:ascii="微软雅黑" w:hAnsi="微软雅黑" w:eastAsia="微软雅黑" w:cs="微软雅黑"/>
                <w:b/>
                <w:bCs/>
                <w:i w:val="0"/>
                <w:iCs w:val="0"/>
                <w:color w:val="auto"/>
                <w:sz w:val="20"/>
                <w:szCs w:val="20"/>
                <w:highlight w:val="none"/>
                <w:u w:val="none"/>
                <w:lang w:val="en-US" w:eastAsia="zh-CN" w:bidi="ar"/>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备注</w:t>
            </w:r>
            <w:r/>
          </w:p>
        </w:tc>
      </w:tr>
      <w:tr>
        <w:trPr>
          <w:cantSplit/>
          <w:jc w:val="center"/>
          <w:trHeight w:val="408"/>
        </w:trPr>
        <w:tc>
          <w:tcPr>
            <w:tcW w:w="1242" w:type="dxa"/>
            <w:vAlign w:val="center"/>
            <w:textDirection w:val="lrTb"/>
            <w:noWrap w:val="false"/>
          </w:tcPr>
          <w:p>
            <w:pPr>
              <w:jc w:val="center"/>
              <w:spacing w:line="360" w:lineRule="auto"/>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w:t>
            </w:r>
            <w:r/>
          </w:p>
        </w:tc>
        <w:tc>
          <w:tcPr>
            <w:tcW w:w="1206"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776"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68"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665"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30"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30"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91"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71"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r>
      <w:tr>
        <w:trPr>
          <w:cantSplit/>
          <w:jc w:val="center"/>
          <w:trHeight w:val="408"/>
        </w:trPr>
        <w:tc>
          <w:tcPr>
            <w:tcW w:w="1242" w:type="dxa"/>
            <w:vAlign w:val="center"/>
            <w:textDirection w:val="lrTb"/>
            <w:noWrap w:val="false"/>
          </w:tcPr>
          <w:p>
            <w:pPr>
              <w:jc w:val="center"/>
              <w:spacing w:line="360" w:lineRule="auto"/>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w:t>
            </w:r>
            <w:r/>
          </w:p>
        </w:tc>
        <w:tc>
          <w:tcPr>
            <w:tcW w:w="1206"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776"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68"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665"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30"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30"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91"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71"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r>
      <w:tr>
        <w:trPr>
          <w:cantSplit/>
          <w:jc w:val="center"/>
          <w:trHeight w:val="408"/>
        </w:trPr>
        <w:tc>
          <w:tcPr>
            <w:tcW w:w="1242"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206"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776"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68"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665"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30"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30"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91"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71"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r>
      <w:tr>
        <w:trPr>
          <w:cantSplit/>
          <w:jc w:val="center"/>
          <w:trHeight w:val="610"/>
        </w:trPr>
        <w:tc>
          <w:tcPr>
            <w:tcW w:w="1242"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合计</w:t>
            </w:r>
            <w:r/>
          </w:p>
        </w:tc>
        <w:tc>
          <w:tcPr>
            <w:gridSpan w:val="5"/>
            <w:tcW w:w="4945" w:type="dxa"/>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 </w:t>
            </w:r>
            <w:r/>
          </w:p>
        </w:tc>
        <w:tc>
          <w:tcPr>
            <w:tcW w:w="1130" w:type="dxa"/>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91" w:type="dxa"/>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71" w:type="dxa"/>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r>
    </w:tbl>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rPr>
          <w:rFonts w:asciiTheme="minorEastAsia" w:hAnsiTheme="minorEastAsia" w:eastAsiaTheme="minorEastAsia"/>
          <w:color w:val="auto"/>
          <w:sz w:val="32"/>
          <w:szCs w:val="32"/>
          <w:highlight w:val="none"/>
        </w:rPr>
      </w:pPr>
      <w:r>
        <w:rPr>
          <w:color w:val="auto"/>
          <w:highlight w:val="none"/>
        </w:rPr>
        <w:br w:type="page" w:clear="all"/>
      </w:r>
      <w:r/>
    </w:p>
    <w:p>
      <w:pPr>
        <w:pStyle w:val="770"/>
        <w:spacing w:line="360" w:lineRule="auto"/>
        <w:rPr>
          <w:rFonts w:asciiTheme="minorEastAsia" w:hAnsiTheme="minorEastAsia" w:eastAsiaTheme="minorEastAsia"/>
          <w:color w:val="auto"/>
          <w:highlight w:val="none"/>
        </w:rPr>
      </w:pPr>
      <w:r/>
      <w:bookmarkStart w:id="72" w:name="_Toc8605"/>
      <w:r/>
      <w:bookmarkStart w:id="73" w:name="_Toc24330"/>
      <w:r>
        <w:rPr>
          <w:rFonts w:hint="eastAsia" w:asciiTheme="minorEastAsia" w:hAnsiTheme="minorEastAsia" w:eastAsiaTheme="minorEastAsia"/>
          <w:color w:val="auto"/>
          <w:sz w:val="32"/>
          <w:highlight w:val="none"/>
        </w:rPr>
        <w:t xml:space="preserve">六、技术参数响应及偏离表</w:t>
      </w:r>
      <w:bookmarkEnd w:id="72"/>
      <w:r/>
      <w:bookmarkEnd w:id="73"/>
      <w:r/>
      <w:r/>
    </w:p>
    <w:tbl>
      <w:tblPr>
        <w:tblStyle w:val="779"/>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W w:w="255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招标要求</w:t>
            </w:r>
            <w:r/>
          </w:p>
        </w:tc>
        <w:tc>
          <w:tcPr>
            <w:tcW w:w="270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投标响应</w:t>
            </w:r>
            <w:r/>
          </w:p>
        </w:tc>
        <w:tc>
          <w:tcPr>
            <w:tcW w:w="1458"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21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bl>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spacing w:line="360" w:lineRule="auto"/>
        <w:rPr>
          <w:rFonts w:ascii="黑体" w:hAnsi="Arial" w:eastAsia="黑体"/>
          <w:b/>
          <w:color w:val="auto"/>
          <w:sz w:val="36"/>
          <w:highlight w:val="none"/>
        </w:rPr>
      </w:pPr>
      <w:r>
        <w:rPr>
          <w:rFonts w:ascii="黑体" w:hAnsi="Arial" w:eastAsia="黑体"/>
          <w:b/>
          <w:color w:val="auto"/>
          <w:sz w:val="36"/>
          <w:highlight w:val="none"/>
        </w:rPr>
      </w:r>
      <w:r/>
    </w:p>
    <w:p>
      <w:pPr>
        <w:rPr>
          <w:rFonts w:hint="eastAsia" w:asciiTheme="minorEastAsia" w:hAnsiTheme="minorEastAsia" w:eastAsiaTheme="minorEastAsia"/>
          <w:color w:val="auto"/>
          <w:sz w:val="32"/>
          <w:highlight w:val="none"/>
        </w:rPr>
      </w:pPr>
      <w:r/>
      <w:bookmarkStart w:id="74" w:name="_Hlt26955054"/>
      <w:r/>
      <w:bookmarkEnd w:id="74"/>
      <w:r/>
      <w:bookmarkStart w:id="75" w:name="_Toc6354"/>
      <w:r>
        <w:rPr>
          <w:rFonts w:hint="eastAsia" w:asciiTheme="minorEastAsia" w:hAnsiTheme="minorEastAsia" w:eastAsiaTheme="minorEastAsia"/>
          <w:color w:val="auto"/>
          <w:sz w:val="32"/>
          <w:highlight w:val="none"/>
        </w:rPr>
        <w:br w:type="page" w:clear="all"/>
      </w:r>
      <w:r/>
    </w:p>
    <w:p>
      <w:pPr>
        <w:pStyle w:val="770"/>
        <w:spacing w:line="360" w:lineRule="auto"/>
        <w:rPr>
          <w:rFonts w:asciiTheme="minorEastAsia" w:hAnsiTheme="minorEastAsia" w:eastAsiaTheme="minorEastAsia"/>
          <w:color w:val="auto"/>
          <w:sz w:val="32"/>
          <w:highlight w:val="none"/>
        </w:rPr>
      </w:pPr>
      <w:r/>
      <w:bookmarkStart w:id="76" w:name="_Toc25045"/>
      <w:r>
        <w:rPr>
          <w:rFonts w:hint="eastAsia" w:asciiTheme="minorEastAsia" w:hAnsiTheme="minorEastAsia" w:eastAsiaTheme="minorEastAsia"/>
          <w:color w:val="auto"/>
          <w:sz w:val="32"/>
          <w:highlight w:val="none"/>
        </w:rPr>
        <w:t xml:space="preserve">七、商务条款响应及偏离表</w:t>
      </w:r>
      <w:bookmarkEnd w:id="75"/>
      <w:r/>
      <w:bookmarkEnd w:id="76"/>
      <w:r/>
      <w:r/>
    </w:p>
    <w:tbl>
      <w:tblPr>
        <w:tblStyle w:val="779"/>
        <w:tblW w:w="859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jc w:val="cente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bookmarkStart w:id="77" w:name="_Hlt26609391"/>
            <w:r/>
            <w:bookmarkEnd w:id="77"/>
            <w:r/>
            <w:bookmarkStart w:id="78" w:name="_Hlt26955056"/>
            <w:r/>
            <w:bookmarkEnd w:id="78"/>
            <w:r/>
            <w:bookmarkStart w:id="79" w:name="_Hlt26671372"/>
            <w:r/>
            <w:bookmarkEnd w:id="79"/>
            <w:r/>
            <w:bookmarkStart w:id="80" w:name="_Hlt26955064"/>
            <w:r/>
            <w:bookmarkEnd w:id="80"/>
            <w:r/>
            <w:bookmarkStart w:id="81" w:name="_Hlt26580838"/>
            <w:r/>
            <w:bookmarkEnd w:id="81"/>
            <w:r/>
            <w:bookmarkStart w:id="82" w:name="_Hlt24879081"/>
            <w:r/>
            <w:bookmarkEnd w:id="82"/>
            <w:r/>
            <w:bookmarkStart w:id="83" w:name="_Hlt26671343"/>
            <w:r/>
            <w:bookmarkEnd w:id="83"/>
            <w:r/>
            <w:bookmarkStart w:id="84" w:name="_Hlt26782999"/>
            <w:r/>
            <w:bookmarkEnd w:id="84"/>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仿宋_GB2312" w:hAnsi="Arial"/>
          <w:color w:val="auto"/>
          <w:sz w:val="30"/>
          <w:highlight w:val="none"/>
        </w:rPr>
      </w:pPr>
      <w:r>
        <w:rPr>
          <w:rFonts w:ascii="仿宋_GB2312" w:hAnsi="Arial"/>
          <w:color w:val="auto"/>
          <w:sz w:val="30"/>
          <w:highlight w:val="none"/>
        </w:rPr>
      </w:r>
      <w:r/>
    </w:p>
    <w:p>
      <w:pPr>
        <w:pStyle w:val="780"/>
        <w:ind w:firstLine="480"/>
        <w:spacing w:line="360" w:lineRule="auto"/>
        <w:rPr>
          <w:rFonts w:ascii="宋体" w:hAnsi="宋体"/>
          <w:color w:val="auto"/>
          <w:sz w:val="24"/>
          <w:highlight w:val="none"/>
        </w:rPr>
      </w:pPr>
      <w:r/>
      <w:bookmarkStart w:id="85" w:name="_Hlt26955066"/>
      <w:r/>
      <w:bookmarkEnd w:id="85"/>
      <w:r/>
      <w:bookmarkStart w:id="86" w:name="_Hlt26671374"/>
      <w:r/>
      <w:bookmarkEnd w:id="86"/>
      <w:r/>
      <w:bookmarkStart w:id="87" w:name="_Hlt26609389"/>
      <w:r/>
      <w:bookmarkEnd w:id="87"/>
      <w:r/>
      <w:bookmarkStart w:id="88" w:name="_Toc462564146"/>
      <w:r/>
      <w:r/>
    </w:p>
    <w:p>
      <w:pPr>
        <w:pStyle w:val="780"/>
        <w:ind w:firstLine="480"/>
        <w:spacing w:line="360" w:lineRule="auto"/>
        <w:rPr>
          <w:rFonts w:ascii="宋体" w:hAnsi="宋体"/>
          <w:color w:val="auto"/>
          <w:sz w:val="24"/>
          <w:highlight w:val="none"/>
        </w:rPr>
      </w:pPr>
      <w:r>
        <w:rPr>
          <w:rFonts w:ascii="宋体" w:hAnsi="宋体"/>
          <w:color w:val="auto"/>
          <w:sz w:val="24"/>
          <w:highlight w:val="none"/>
        </w:rPr>
      </w:r>
      <w:r/>
    </w:p>
    <w:p>
      <w:pPr>
        <w:pStyle w:val="780"/>
        <w:ind w:firstLine="480"/>
        <w:spacing w:line="360" w:lineRule="auto"/>
        <w:rPr>
          <w:rFonts w:ascii="宋体" w:hAnsi="宋体"/>
          <w:color w:val="auto"/>
          <w:sz w:val="24"/>
          <w:highlight w:val="none"/>
        </w:rPr>
      </w:pPr>
      <w:r>
        <w:rPr>
          <w:rFonts w:ascii="宋体" w:hAnsi="宋体"/>
          <w:color w:val="auto"/>
          <w:sz w:val="24"/>
          <w:highlight w:val="none"/>
        </w:rPr>
      </w:r>
      <w:r/>
    </w:p>
    <w:p>
      <w:pPr>
        <w:pStyle w:val="780"/>
        <w:ind w:firstLine="480"/>
        <w:spacing w:line="360" w:lineRule="auto"/>
        <w:rPr>
          <w:rFonts w:ascii="宋体" w:hAnsi="宋体"/>
          <w:color w:val="auto"/>
          <w:sz w:val="24"/>
          <w:highlight w:val="none"/>
        </w:rPr>
      </w:pPr>
      <w:r>
        <w:rPr>
          <w:rFonts w:ascii="宋体" w:hAnsi="宋体"/>
          <w:color w:val="auto"/>
          <w:sz w:val="24"/>
          <w:highlight w:val="none"/>
        </w:rPr>
      </w:r>
      <w:r/>
    </w:p>
    <w:p>
      <w:pPr>
        <w:pStyle w:val="780"/>
        <w:ind w:firstLine="480"/>
        <w:spacing w:line="360" w:lineRule="auto"/>
        <w:rPr>
          <w:rFonts w:ascii="宋体" w:hAnsi="宋体"/>
          <w:color w:val="auto"/>
          <w:sz w:val="24"/>
          <w:highlight w:val="none"/>
        </w:rPr>
      </w:pPr>
      <w:r>
        <w:rPr>
          <w:rFonts w:hint="eastAsia" w:ascii="宋体" w:hAnsi="宋体"/>
          <w:color w:val="auto"/>
          <w:sz w:val="24"/>
          <w:highlight w:val="none"/>
        </w:rPr>
        <w:t xml:space="preserve">.</w:t>
      </w:r>
      <w:r/>
    </w:p>
    <w:p>
      <w:pPr>
        <w:pStyle w:val="780"/>
        <w:ind w:firstLine="480"/>
        <w:spacing w:line="360" w:lineRule="auto"/>
        <w:rPr>
          <w:rFonts w:ascii="宋体" w:hAnsi="宋体"/>
          <w:color w:val="auto"/>
          <w:sz w:val="24"/>
          <w:highlight w:val="none"/>
        </w:rPr>
      </w:pPr>
      <w:r>
        <w:rPr>
          <w:rFonts w:ascii="宋体" w:hAnsi="宋体"/>
          <w:color w:val="auto"/>
          <w:sz w:val="24"/>
          <w:highlight w:val="none"/>
        </w:rPr>
      </w:r>
      <w:r/>
    </w:p>
    <w:p>
      <w:pPr>
        <w:pStyle w:val="780"/>
        <w:ind w:firstLine="480"/>
        <w:spacing w:line="360" w:lineRule="auto"/>
        <w:rPr>
          <w:rFonts w:ascii="宋体" w:hAnsi="宋体"/>
          <w:color w:val="auto"/>
          <w:sz w:val="24"/>
          <w:highlight w:val="none"/>
        </w:rPr>
      </w:pPr>
      <w:r>
        <w:rPr>
          <w:rFonts w:ascii="宋体" w:hAnsi="宋体"/>
          <w:color w:val="auto"/>
          <w:sz w:val="24"/>
          <w:highlight w:val="none"/>
        </w:rPr>
      </w:r>
      <w:r/>
    </w:p>
    <w:p>
      <w:pPr>
        <w:pStyle w:val="780"/>
        <w:ind w:firstLine="480"/>
        <w:spacing w:line="360" w:lineRule="auto"/>
        <w:rPr>
          <w:rFonts w:ascii="宋体" w:hAnsi="宋体"/>
          <w:color w:val="auto"/>
          <w:sz w:val="24"/>
          <w:highlight w:val="none"/>
        </w:rPr>
      </w:pPr>
      <w:r>
        <w:rPr>
          <w:rFonts w:ascii="宋体" w:hAnsi="宋体"/>
          <w:color w:val="auto"/>
          <w:sz w:val="24"/>
          <w:highlight w:val="none"/>
        </w:rPr>
      </w:r>
      <w:r/>
    </w:p>
    <w:p>
      <w:pPr>
        <w:pStyle w:val="780"/>
        <w:ind w:firstLine="480"/>
        <w:spacing w:line="360" w:lineRule="auto"/>
        <w:rPr>
          <w:rFonts w:ascii="宋体" w:hAnsi="宋体"/>
          <w:color w:val="auto"/>
          <w:sz w:val="24"/>
          <w:highlight w:val="none"/>
        </w:rPr>
      </w:pPr>
      <w:r>
        <w:rPr>
          <w:rFonts w:ascii="宋体" w:hAnsi="宋体"/>
          <w:color w:val="auto"/>
          <w:sz w:val="24"/>
          <w:highlight w:val="none"/>
        </w:rPr>
      </w:r>
      <w:r/>
    </w:p>
    <w:p>
      <w:pPr>
        <w:pStyle w:val="780"/>
        <w:ind w:firstLine="480"/>
        <w:spacing w:line="360" w:lineRule="auto"/>
        <w:rPr>
          <w:rFonts w:ascii="宋体" w:hAnsi="宋体"/>
          <w:color w:val="auto"/>
          <w:sz w:val="24"/>
          <w:highlight w:val="none"/>
        </w:rPr>
      </w:pPr>
      <w:r>
        <w:rPr>
          <w:rFonts w:ascii="宋体" w:hAnsi="宋体"/>
          <w:color w:val="auto"/>
          <w:sz w:val="24"/>
          <w:highlight w:val="none"/>
        </w:rPr>
      </w:r>
      <w:r/>
    </w:p>
    <w:p>
      <w:pPr>
        <w:pStyle w:val="780"/>
        <w:ind w:firstLine="480"/>
        <w:spacing w:line="360" w:lineRule="auto"/>
        <w:rPr>
          <w:rFonts w:ascii="宋体" w:hAnsi="宋体"/>
          <w:color w:val="auto"/>
          <w:sz w:val="24"/>
          <w:highlight w:val="none"/>
        </w:rPr>
      </w:pPr>
      <w:r>
        <w:rPr>
          <w:rFonts w:ascii="宋体" w:hAnsi="宋体"/>
          <w:color w:val="auto"/>
          <w:sz w:val="24"/>
          <w:highlight w:val="none"/>
        </w:rPr>
      </w:r>
      <w:r/>
    </w:p>
    <w:p>
      <w:pPr>
        <w:pStyle w:val="780"/>
        <w:ind w:firstLine="480"/>
        <w:spacing w:line="360" w:lineRule="auto"/>
        <w:rPr>
          <w:rFonts w:ascii="宋体" w:hAnsi="宋体"/>
          <w:color w:val="auto"/>
          <w:sz w:val="24"/>
          <w:highlight w:val="none"/>
        </w:rPr>
      </w:pPr>
      <w:r>
        <w:rPr>
          <w:rFonts w:ascii="宋体" w:hAnsi="宋体"/>
          <w:color w:val="auto"/>
          <w:sz w:val="24"/>
          <w:highlight w:val="none"/>
        </w:rPr>
      </w:r>
      <w:r/>
    </w:p>
    <w:p>
      <w:pPr>
        <w:pStyle w:val="780"/>
        <w:ind w:firstLine="480"/>
        <w:spacing w:line="360" w:lineRule="auto"/>
        <w:rPr>
          <w:rFonts w:ascii="宋体" w:hAnsi="宋体"/>
          <w:color w:val="auto"/>
          <w:sz w:val="24"/>
          <w:highlight w:val="none"/>
        </w:rPr>
      </w:pPr>
      <w:r>
        <w:rPr>
          <w:rFonts w:ascii="宋体" w:hAnsi="宋体"/>
          <w:color w:val="auto"/>
          <w:sz w:val="24"/>
          <w:highlight w:val="none"/>
        </w:rPr>
      </w:r>
      <w:r/>
    </w:p>
    <w:p>
      <w:pPr>
        <w:pStyle w:val="780"/>
        <w:ind w:firstLine="480"/>
        <w:spacing w:line="360" w:lineRule="auto"/>
        <w:rPr>
          <w:rFonts w:ascii="宋体" w:hAnsi="宋体"/>
          <w:color w:val="auto"/>
          <w:sz w:val="24"/>
          <w:highlight w:val="none"/>
        </w:rPr>
      </w:pPr>
      <w:r>
        <w:rPr>
          <w:rFonts w:ascii="宋体" w:hAnsi="宋体"/>
          <w:color w:val="auto"/>
          <w:sz w:val="24"/>
          <w:highlight w:val="none"/>
        </w:rPr>
      </w:r>
      <w:r/>
    </w:p>
    <w:p>
      <w:pPr>
        <w:pStyle w:val="780"/>
        <w:ind w:firstLine="480"/>
        <w:spacing w:line="360" w:lineRule="auto"/>
        <w:rPr>
          <w:rFonts w:ascii="宋体" w:hAnsi="宋体"/>
          <w:color w:val="auto"/>
          <w:sz w:val="24"/>
          <w:highlight w:val="none"/>
        </w:rPr>
      </w:pPr>
      <w:r>
        <w:rPr>
          <w:rFonts w:ascii="宋体" w:hAnsi="宋体"/>
          <w:color w:val="auto"/>
          <w:sz w:val="24"/>
          <w:highlight w:val="none"/>
        </w:rPr>
      </w:r>
      <w:bookmarkEnd w:id="88"/>
      <w:r/>
    </w:p>
    <w:p>
      <w:pPr>
        <w:pStyle w:val="780"/>
        <w:ind w:firstLine="480"/>
        <w:spacing w:line="360" w:lineRule="auto"/>
        <w:rPr>
          <w:rFonts w:ascii="宋体" w:hAnsi="宋体"/>
          <w:color w:val="auto"/>
          <w:sz w:val="24"/>
          <w:highlight w:val="none"/>
        </w:rPr>
      </w:pPr>
      <w:r>
        <w:rPr>
          <w:rFonts w:ascii="宋体" w:hAnsi="宋体"/>
          <w:color w:val="auto"/>
          <w:sz w:val="24"/>
          <w:highlight w:val="none"/>
        </w:rPr>
      </w:r>
      <w:r/>
    </w:p>
    <w:p>
      <w:pPr>
        <w:jc w:val="center"/>
        <w:spacing w:before="312" w:line="360" w:lineRule="auto"/>
        <w:rPr>
          <w:rFonts w:ascii="宋体" w:hAnsi="宋体"/>
          <w:b/>
          <w:color w:val="auto"/>
          <w:highlight w:val="none"/>
        </w:rPr>
      </w:pPr>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779"/>
        <w:tblW w:w="80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81"/>
        <w:gridCol w:w="3930"/>
      </w:tblGrid>
      <w:tr>
        <w:trPr/>
        <w:tc>
          <w:tcPr>
            <w:tcW w:w="4081"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货物类</w:t>
            </w:r>
            <w:r/>
          </w:p>
        </w:tc>
        <w:tc>
          <w:tcPr>
            <w:tcW w:w="3930"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4081"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3930"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br w:type="page" w:clear="all"/>
      </w:r>
      <w:r/>
    </w:p>
    <w:p>
      <w:pPr>
        <w:ind w:firstLine="211"/>
        <w:jc w:val="center"/>
        <w:spacing w:line="360" w:lineRule="auto"/>
        <w:rPr>
          <w:rFonts w:ascii="宋体" w:hAnsi="宋体"/>
          <w:b/>
          <w:color w:val="auto"/>
          <w:highlight w:val="none"/>
        </w:rPr>
      </w:pPr>
      <w:r>
        <w:rPr>
          <w:rFonts w:hint="eastAsia" w:ascii="宋体" w:hAnsi="宋体"/>
          <w:b/>
          <w:color w:val="auto"/>
          <w:highlight w:val="none"/>
        </w:rPr>
        <w:t xml:space="preserve">联合体协议（如有）</w:t>
      </w:r>
      <w:r/>
    </w:p>
    <w:p>
      <w:pPr>
        <w:ind w:firstLine="211"/>
        <w:jc w:val="center"/>
        <w:spacing w:line="360" w:lineRule="auto"/>
        <w:rPr>
          <w:rFonts w:ascii="宋体" w:hAnsi="宋体"/>
          <w:b/>
          <w:color w:val="auto"/>
          <w:highlight w:val="none"/>
        </w:rPr>
      </w:pPr>
      <w:r>
        <w:rPr>
          <w:rFonts w:ascii="宋体" w:hAnsi="宋体"/>
          <w:b/>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（联合体中各供应商全称）在此达成以下协议：</w:t>
      </w:r>
      <w:r/>
    </w:p>
    <w:p>
      <w:pPr>
        <w:ind w:firstLine="645"/>
        <w:spacing w:line="360" w:lineRule="auto"/>
        <w:rPr>
          <w:rFonts w:ascii="宋体" w:hAnsi="宋体"/>
          <w:color w:val="auto"/>
          <w:highlight w:val="none"/>
        </w:rPr>
      </w:pPr>
      <w:r>
        <w:rPr>
          <w:rFonts w:hint="eastAsia" w:ascii="宋体" w:hAnsi="宋体"/>
          <w:color w:val="auto"/>
          <w:highlight w:val="none"/>
        </w:rPr>
        <w:t xml:space="preserve">1、我们自愿组成联合体，参加代理机构组织的采购编号为（项目编号）（项目全称）的政府采购活动。</w:t>
      </w:r>
      <w:r/>
    </w:p>
    <w:p>
      <w:pPr>
        <w:ind w:firstLine="645"/>
        <w:spacing w:line="360" w:lineRule="auto"/>
        <w:rPr>
          <w:rFonts w:ascii="宋体" w:hAnsi="宋体"/>
          <w:color w:val="auto"/>
          <w:highlight w:val="none"/>
        </w:rPr>
      </w:pPr>
      <w:r>
        <w:rPr>
          <w:rFonts w:hint="eastAsia" w:ascii="宋体" w:hAnsi="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olor w:val="auto"/>
          <w:highlight w:val="none"/>
        </w:rPr>
      </w:pPr>
      <w:r>
        <w:rPr>
          <w:rFonts w:hint="eastAsia" w:ascii="宋体" w:hAnsi="宋体"/>
          <w:color w:val="auto"/>
          <w:sz w:val="24"/>
          <w:highlight w:val="none"/>
        </w:rPr>
        <w:t xml:space="preserve">                                       </w:t>
      </w:r>
      <w:r>
        <w:rPr>
          <w:rFonts w:hint="eastAsia" w:ascii="宋体" w:hAnsi="宋体"/>
          <w:color w:val="auto"/>
          <w:highlight w:val="none"/>
        </w:rPr>
        <w:t xml:space="preserve"> </w:t>
      </w:r>
      <w:r/>
    </w:p>
    <w:p>
      <w:pPr>
        <w:ind w:firstLine="4620"/>
        <w:spacing w:line="360" w:lineRule="auto"/>
        <w:rPr>
          <w:rFonts w:ascii="宋体" w:hAnsi="宋体"/>
          <w:color w:val="auto"/>
          <w:highlight w:val="none"/>
        </w:rPr>
      </w:pPr>
      <w:r>
        <w:rPr>
          <w:rFonts w:hint="eastAsia" w:ascii="宋体" w:hAnsi="宋体"/>
          <w:color w:val="auto"/>
          <w:highlight w:val="none"/>
        </w:rPr>
        <w:t xml:space="preserve">所有供应商全称：</w:t>
      </w:r>
      <w:r/>
    </w:p>
    <w:p>
      <w:pPr>
        <w:ind w:firstLine="645"/>
        <w:spacing w:line="360" w:lineRule="auto"/>
        <w:rPr>
          <w:rFonts w:ascii="宋体" w:hAnsi="宋体"/>
          <w:color w:val="auto"/>
          <w:highlight w:val="none"/>
        </w:rPr>
      </w:pPr>
      <w:r>
        <w:rPr>
          <w:rFonts w:hint="eastAsia" w:ascii="宋体" w:hAnsi="宋体"/>
          <w:color w:val="auto"/>
          <w:highlight w:val="none"/>
        </w:rPr>
        <w:t xml:space="preserve">                                      法定代表人：  </w:t>
      </w:r>
      <w:r/>
    </w:p>
    <w:p>
      <w:pPr>
        <w:ind w:firstLine="4620"/>
        <w:spacing w:line="360" w:lineRule="auto"/>
        <w:rPr>
          <w:rFonts w:ascii="宋体" w:hAnsi="宋体"/>
          <w:color w:val="auto"/>
          <w:highlight w:val="none"/>
        </w:rPr>
      </w:pPr>
      <w:r>
        <w:rPr>
          <w:rFonts w:hint="eastAsia" w:ascii="宋体" w:hAnsi="宋体"/>
          <w:color w:val="auto"/>
          <w:highlight w:val="none"/>
        </w:rPr>
        <w:t xml:space="preserve">日期：</w:t>
      </w:r>
      <w:r/>
    </w:p>
    <w:p>
      <w:pPr>
        <w:spacing w:line="360" w:lineRule="auto"/>
        <w:rPr>
          <w:color w:val="auto"/>
          <w:highlight w:val="none"/>
        </w:rPr>
      </w:pPr>
      <w:r>
        <w:rPr>
          <w:color w:val="auto"/>
          <w:highlight w:val="none"/>
        </w:rPr>
      </w:r>
      <w:r/>
    </w:p>
    <w:p>
      <w:pPr>
        <w:jc w:val="left"/>
        <w:spacing w:before="100" w:beforeAutospacing="1" w:after="143"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sectPr>
      <w:footnotePr/>
      <w:endnotePr/>
      <w:type w:val="nextPage"/>
      <w:pgSz w:w="11906" w:h="16838" w:orient="portrait"/>
      <w:pgMar w:top="1440" w:right="1800" w:bottom="1440" w:left="1800"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MS Gothic">
    <w:panose1 w:val="020B0609070205080204"/>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default">
    <w:panose1 w:val="020B0503020202020204"/>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center"/>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pP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center"/>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PAGE   \* MERGEFORMAT</w:instrText>
    </w:r>
    <w:r>
      <w:rPr>
        <w:rFonts w:hint="eastAsia" w:ascii="宋体" w:hAnsi="宋体" w:eastAsia="宋体" w:cs="宋体"/>
      </w:rPr>
      <w:fldChar w:fldCharType="separate"/>
    </w:r>
    <w:r>
      <w:rPr>
        <w:rFonts w:hint="eastAsia" w:ascii="宋体" w:hAnsi="宋体" w:eastAsia="宋体" w:cs="宋体"/>
        <w:lang w:val="zh-CN"/>
      </w:rPr>
      <w:t xml:space="preserve">6</w:t>
    </w:r>
    <w:r>
      <w:rPr>
        <w:rFonts w:hint="eastAsia" w:ascii="宋体" w:hAnsi="宋体" w:eastAsia="宋体" w:cs="宋体"/>
        <w:lang w:val="zh-CN"/>
      </w:rPr>
      <w:fldChar w:fldCharType="end"/>
    </w:r>
    <w:r/>
  </w:p>
  <w:p>
    <w:pPr>
      <w:pStyle w:val="79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center"/>
      <w:rPr>
        <w:rFonts w:hint="eastAsia" w:ascii="宋体" w:hAnsi="宋体" w:eastAsia="宋体" w:cs="宋体"/>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3"/>
                            <w:jc w:val="center"/>
                          </w:pPr>
                          <w:r>
                            <w:rPr>
                              <w:rFonts w:hint="eastAsia" w:ascii="宋体" w:hAnsi="宋体" w:eastAsia="宋体" w:cs="宋体"/>
                            </w:rPr>
                            <w:fldChar w:fldCharType="begin"/>
                          </w:r>
                          <w:r>
                            <w:rPr>
                              <w:rFonts w:hint="eastAsia" w:ascii="宋体" w:hAnsi="宋体" w:eastAsia="宋体" w:cs="宋体"/>
                            </w:rPr>
                            <w:instrText xml:space="preserve">PAGE   \* MERGEFORMAT</w:instrText>
                          </w:r>
                          <w:r>
                            <w:rPr>
                              <w:rFonts w:hint="eastAsia" w:ascii="宋体" w:hAnsi="宋体" w:eastAsia="宋体" w:cs="宋体"/>
                            </w:rPr>
                            <w:fldChar w:fldCharType="separate"/>
                          </w:r>
                          <w:r>
                            <w:rPr>
                              <w:rFonts w:hint="eastAsia" w:ascii="宋体" w:hAnsi="宋体" w:eastAsia="宋体" w:cs="宋体"/>
                              <w:lang w:val="zh-CN"/>
                            </w:rPr>
                            <w:t xml:space="preserve">6</w:t>
                          </w:r>
                          <w:r>
                            <w:rPr>
                              <w:rFonts w:hint="eastAsia" w:ascii="宋体" w:hAnsi="宋体" w:eastAsia="宋体" w:cs="宋体"/>
                              <w:lang w:val="zh-CN"/>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3"/>
                      <w:jc w:val="center"/>
                    </w:pPr>
                    <w:r>
                      <w:rPr>
                        <w:rFonts w:hint="eastAsia" w:ascii="宋体" w:hAnsi="宋体" w:eastAsia="宋体" w:cs="宋体"/>
                      </w:rPr>
                      <w:fldChar w:fldCharType="begin"/>
                    </w:r>
                    <w:r>
                      <w:rPr>
                        <w:rFonts w:hint="eastAsia" w:ascii="宋体" w:hAnsi="宋体" w:eastAsia="宋体" w:cs="宋体"/>
                      </w:rPr>
                      <w:instrText xml:space="preserve">PAGE   \* MERGEFORMAT</w:instrText>
                    </w:r>
                    <w:r>
                      <w:rPr>
                        <w:rFonts w:hint="eastAsia" w:ascii="宋体" w:hAnsi="宋体" w:eastAsia="宋体" w:cs="宋体"/>
                      </w:rPr>
                      <w:fldChar w:fldCharType="separate"/>
                    </w:r>
                    <w:r>
                      <w:rPr>
                        <w:rFonts w:hint="eastAsia" w:ascii="宋体" w:hAnsi="宋体" w:eastAsia="宋体" w:cs="宋体"/>
                        <w:lang w:val="zh-CN"/>
                      </w:rPr>
                      <w:t xml:space="preserve">6</w:t>
                    </w:r>
                    <w:r>
                      <w:rPr>
                        <w:rFonts w:hint="eastAsia" w:ascii="宋体" w:hAnsi="宋体" w:eastAsia="宋体" w:cs="宋体"/>
                        <w:lang w:val="zh-CN"/>
                      </w:rPr>
                      <w:fldChar w:fldCharType="end"/>
                    </w:r>
                    <w:r/>
                  </w:p>
                </w:txbxContent>
              </v:textbox>
            </v:shape>
          </w:pict>
        </mc:Fallback>
      </mc:AlternateContent>
    </w:r>
    <w:r/>
  </w:p>
  <w:p>
    <w:pPr>
      <w:pStyle w:val="79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center"/>
      <w:rPr>
        <w:rFonts w:hint="eastAsia" w:ascii="宋体" w:hAnsi="宋体" w:eastAsia="宋体" w:cs="宋体"/>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3"/>
                            <w:jc w:val="center"/>
                          </w:pPr>
                          <w:r>
                            <w:rPr>
                              <w:rFonts w:hint="eastAsia" w:ascii="宋体" w:hAnsi="宋体" w:eastAsia="宋体" w:cs="宋体"/>
                            </w:rPr>
                            <w:fldChar w:fldCharType="begin"/>
                          </w:r>
                          <w:r>
                            <w:rPr>
                              <w:rFonts w:hint="eastAsia" w:ascii="宋体" w:hAnsi="宋体" w:eastAsia="宋体" w:cs="宋体"/>
                            </w:rPr>
                            <w:instrText xml:space="preserve">PAGE   \* MERGEFORMAT</w:instrText>
                          </w:r>
                          <w:r>
                            <w:rPr>
                              <w:rFonts w:hint="eastAsia" w:ascii="宋体" w:hAnsi="宋体" w:eastAsia="宋体" w:cs="宋体"/>
                            </w:rPr>
                            <w:fldChar w:fldCharType="separate"/>
                          </w:r>
                          <w:r>
                            <w:rPr>
                              <w:rFonts w:hint="eastAsia" w:ascii="宋体" w:hAnsi="宋体" w:eastAsia="宋体" w:cs="宋体"/>
                              <w:lang w:val="zh-CN"/>
                            </w:rPr>
                            <w:t xml:space="preserve">6</w:t>
                          </w:r>
                          <w:r>
                            <w:rPr>
                              <w:rFonts w:hint="eastAsia" w:ascii="宋体" w:hAnsi="宋体" w:eastAsia="宋体" w:cs="宋体"/>
                              <w:lang w:val="zh-CN"/>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3"/>
                      <w:jc w:val="center"/>
                    </w:pPr>
                    <w:r>
                      <w:rPr>
                        <w:rFonts w:hint="eastAsia" w:ascii="宋体" w:hAnsi="宋体" w:eastAsia="宋体" w:cs="宋体"/>
                      </w:rPr>
                      <w:fldChar w:fldCharType="begin"/>
                    </w:r>
                    <w:r>
                      <w:rPr>
                        <w:rFonts w:hint="eastAsia" w:ascii="宋体" w:hAnsi="宋体" w:eastAsia="宋体" w:cs="宋体"/>
                      </w:rPr>
                      <w:instrText xml:space="preserve">PAGE   \* MERGEFORMAT</w:instrText>
                    </w:r>
                    <w:r>
                      <w:rPr>
                        <w:rFonts w:hint="eastAsia" w:ascii="宋体" w:hAnsi="宋体" w:eastAsia="宋体" w:cs="宋体"/>
                      </w:rPr>
                      <w:fldChar w:fldCharType="separate"/>
                    </w:r>
                    <w:r>
                      <w:rPr>
                        <w:rFonts w:hint="eastAsia" w:ascii="宋体" w:hAnsi="宋体" w:eastAsia="宋体" w:cs="宋体"/>
                        <w:lang w:val="zh-CN"/>
                      </w:rPr>
                      <w:t xml:space="preserve">6</w:t>
                    </w:r>
                    <w:r>
                      <w:rPr>
                        <w:rFonts w:hint="eastAsia" w:ascii="宋体" w:hAnsi="宋体" w:eastAsia="宋体" w:cs="宋体"/>
                        <w:lang w:val="zh-CN"/>
                      </w:rPr>
                      <w:fldChar w:fldCharType="end"/>
                    </w:r>
                    <w:r/>
                  </w:p>
                </w:txbxContent>
              </v:textbox>
            </v:shape>
          </w:pict>
        </mc:Fallback>
      </mc:AlternateContent>
    </w:r>
    <w:r/>
  </w:p>
  <w:p>
    <w:pPr>
      <w:pStyle w:val="79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jc w:val="center"/>
      <w:rPr>
        <w:rFonts w:hint="eastAsia" w:ascii="宋体" w:hAnsi="宋体" w:eastAsia="宋体" w:cs="宋体"/>
        <w:lang w:val="en-US" w:eastAsia="zh-CN"/>
      </w:rPr>
    </w:pPr>
    <w:r>
      <w:rPr>
        <w:rFonts w:hint="eastAsia" w:ascii="宋体" w:hAnsi="宋体" w:eastAsia="宋体" w:cs="宋体"/>
        <w:lang w:val="en-US" w:eastAsia="zh-CN"/>
      </w:rPr>
      <w:t xml:space="preserve">JSWS-2023GK02</w:t>
    </w:r>
    <w:r>
      <w:rPr>
        <w:rFonts w:hint="eastAsia" w:ascii="宋体" w:hAnsi="宋体" w:cs="宋体"/>
        <w:lang w:val="en-US" w:eastAsia="zh-CN"/>
      </w:rPr>
      <w:t xml:space="preserve">2</w:t>
    </w:r>
    <w:r>
      <w:rPr>
        <w:rFonts w:hint="eastAsia" w:ascii="宋体" w:hAnsi="宋体" w:eastAsia="宋体" w:cs="宋体"/>
        <w:lang w:val="en-US" w:eastAsia="zh-CN"/>
      </w:rPr>
      <w:t xml:space="preserve">#                                                 江苏闻韶工程咨询有限公司</w:t>
    </w:r>
    <w:r/>
  </w:p>
  <w:p>
    <w:pPr>
      <w:pStyle w:val="794"/>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jc w:val="right"/>
      <w:rPr>
        <w:rFonts w:hint="eastAsia" w:ascii="宋体" w:hAnsi="宋体" w:eastAsia="宋体" w:cs="宋体"/>
        <w:lang w:val="en-US" w:eastAsia="zh-CN"/>
      </w:rPr>
    </w:pPr>
    <w:r>
      <w:rPr>
        <w:rFonts w:hint="eastAsia" w:ascii="宋体" w:hAnsi="宋体" w:eastAsia="宋体" w:cs="宋体"/>
        <w:lang w:val="en-US" w:eastAsia="zh-CN"/>
      </w:rPr>
      <w:t xml:space="preserve">                                     </w:t>
    </w:r>
    <w:r>
      <w:rPr>
        <w:rFonts w:hint="eastAsia" w:ascii="宋体" w:hAnsi="宋体" w:cs="宋体"/>
        <w:lang w:val="en-US" w:eastAsia="zh-CN"/>
      </w:rPr>
      <w:t xml:space="preserve">江苏志诚工程咨询管理有限公司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jc w:val="right"/>
    </w:pPr>
    <w:r>
      <w:rPr>
        <w:rFonts w:hint="eastAsia" w:ascii="宋体" w:hAnsi="宋体" w:eastAsia="宋体" w:cs="宋体"/>
        <w:lang w:val="en-US" w:eastAsia="zh-CN"/>
      </w:rPr>
      <w:t xml:space="preserve">                                     </w:t>
    </w:r>
    <w:r>
      <w:rPr>
        <w:rFonts w:hint="eastAsia" w:ascii="宋体" w:hAnsi="宋体" w:cs="宋体"/>
        <w:lang w:val="en-US" w:eastAsia="zh-CN"/>
      </w:rPr>
      <w:t xml:space="preserve">江苏志诚工程咨询管理有限公司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3"/>
  </w:num>
  <w:num w:numId="4">
    <w:abstractNumId w:val="1"/>
  </w:num>
  <w:num w:numId="5">
    <w:abstractNumId w:val="8"/>
  </w:num>
  <w:num w:numId="6">
    <w:abstractNumId w:val="0"/>
  </w:num>
  <w:num w:numId="7">
    <w:abstractNumId w:val="6"/>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8"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69">
    <w:name w:val="Heading 1"/>
    <w:basedOn w:val="768"/>
    <w:next w:val="768"/>
    <w:uiPriority w:val="9"/>
    <w:qFormat/>
    <w:pPr>
      <w:keepLines/>
      <w:keepNext/>
      <w:spacing w:before="340" w:after="330" w:line="578" w:lineRule="auto"/>
      <w:outlineLvl w:val="0"/>
    </w:pPr>
    <w:rPr>
      <w:b/>
      <w:bCs/>
      <w:sz w:val="44"/>
      <w:szCs w:val="44"/>
    </w:rPr>
  </w:style>
  <w:style w:type="paragraph" w:styleId="770">
    <w:name w:val="Heading 2"/>
    <w:basedOn w:val="768"/>
    <w:next w:val="78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71">
    <w:name w:val="Heading 3"/>
    <w:basedOn w:val="768"/>
    <w:next w:val="768"/>
    <w:uiPriority w:val="0"/>
    <w:qFormat/>
    <w:pPr>
      <w:keepLines/>
      <w:keepNext/>
      <w:spacing w:before="260" w:after="260" w:line="416" w:lineRule="auto"/>
      <w:outlineLvl w:val="2"/>
    </w:pPr>
    <w:rPr>
      <w:b/>
      <w:bCs/>
      <w:sz w:val="32"/>
      <w:szCs w:val="32"/>
    </w:rPr>
  </w:style>
  <w:style w:type="paragraph" w:styleId="772">
    <w:name w:val="Heading 4"/>
    <w:basedOn w:val="768"/>
    <w:next w:val="768"/>
    <w:link w:val="815"/>
    <w:uiPriority w:val="9"/>
    <w:unhideWhenUsed/>
    <w:qFormat/>
    <w:pPr>
      <w:keepLines/>
      <w:keepNext/>
      <w:spacing w:before="320" w:after="200"/>
      <w:outlineLvl w:val="3"/>
    </w:pPr>
    <w:rPr>
      <w:rFonts w:ascii="Arial" w:hAnsi="Arial" w:eastAsia="Arial" w:cs="Arial"/>
      <w:b/>
      <w:bCs/>
      <w:sz w:val="26"/>
      <w:szCs w:val="26"/>
    </w:rPr>
  </w:style>
  <w:style w:type="paragraph" w:styleId="773">
    <w:name w:val="Heading 5"/>
    <w:basedOn w:val="768"/>
    <w:next w:val="768"/>
    <w:link w:val="816"/>
    <w:uiPriority w:val="9"/>
    <w:unhideWhenUsed/>
    <w:qFormat/>
    <w:pPr>
      <w:keepLines/>
      <w:keepNext/>
      <w:spacing w:before="320" w:after="200"/>
      <w:outlineLvl w:val="4"/>
    </w:pPr>
    <w:rPr>
      <w:rFonts w:ascii="Arial" w:hAnsi="Arial" w:eastAsia="Arial" w:cs="Arial"/>
      <w:b/>
      <w:bCs/>
      <w:sz w:val="24"/>
      <w:szCs w:val="24"/>
    </w:rPr>
  </w:style>
  <w:style w:type="paragraph" w:styleId="774">
    <w:name w:val="Heading 6"/>
    <w:basedOn w:val="768"/>
    <w:next w:val="768"/>
    <w:link w:val="817"/>
    <w:uiPriority w:val="9"/>
    <w:unhideWhenUsed/>
    <w:qFormat/>
    <w:pPr>
      <w:keepLines/>
      <w:keepNext/>
      <w:spacing w:before="320" w:after="200"/>
      <w:outlineLvl w:val="5"/>
    </w:pPr>
    <w:rPr>
      <w:rFonts w:ascii="Arial" w:hAnsi="Arial" w:eastAsia="Arial" w:cs="Arial"/>
      <w:b/>
      <w:bCs/>
      <w:sz w:val="22"/>
      <w:szCs w:val="22"/>
    </w:rPr>
  </w:style>
  <w:style w:type="paragraph" w:styleId="775">
    <w:name w:val="Heading 7"/>
    <w:basedOn w:val="768"/>
    <w:next w:val="768"/>
    <w:link w:val="818"/>
    <w:uiPriority w:val="9"/>
    <w:unhideWhenUsed/>
    <w:qFormat/>
    <w:pPr>
      <w:keepLines/>
      <w:keepNext/>
      <w:spacing w:before="320" w:after="200"/>
      <w:outlineLvl w:val="6"/>
    </w:pPr>
    <w:rPr>
      <w:rFonts w:ascii="Arial" w:hAnsi="Arial" w:eastAsia="Arial" w:cs="Arial"/>
      <w:b/>
      <w:bCs/>
      <w:i/>
      <w:iCs/>
      <w:sz w:val="22"/>
      <w:szCs w:val="22"/>
    </w:rPr>
  </w:style>
  <w:style w:type="paragraph" w:styleId="776">
    <w:name w:val="Heading 8"/>
    <w:basedOn w:val="768"/>
    <w:next w:val="768"/>
    <w:link w:val="819"/>
    <w:uiPriority w:val="9"/>
    <w:unhideWhenUsed/>
    <w:qFormat/>
    <w:pPr>
      <w:keepLines/>
      <w:keepNext/>
      <w:spacing w:before="320" w:after="200"/>
      <w:outlineLvl w:val="7"/>
    </w:pPr>
    <w:rPr>
      <w:rFonts w:ascii="Arial" w:hAnsi="Arial" w:eastAsia="Arial" w:cs="Arial"/>
      <w:i/>
      <w:iCs/>
      <w:sz w:val="22"/>
      <w:szCs w:val="22"/>
    </w:rPr>
  </w:style>
  <w:style w:type="paragraph" w:styleId="777">
    <w:name w:val="Heading 9"/>
    <w:basedOn w:val="768"/>
    <w:next w:val="768"/>
    <w:link w:val="820"/>
    <w:uiPriority w:val="9"/>
    <w:unhideWhenUsed/>
    <w:qFormat/>
    <w:pPr>
      <w:keepLines/>
      <w:keepNext/>
      <w:spacing w:before="320" w:after="200"/>
      <w:outlineLvl w:val="8"/>
    </w:pPr>
    <w:rPr>
      <w:rFonts w:ascii="Arial" w:hAnsi="Arial" w:eastAsia="Arial" w:cs="Arial"/>
      <w:i/>
      <w:iCs/>
      <w:sz w:val="21"/>
      <w:szCs w:val="21"/>
    </w:rPr>
  </w:style>
  <w:style w:type="character" w:styleId="778" w:default="1">
    <w:name w:val="Default Paragraph Font"/>
    <w:uiPriority w:val="1"/>
    <w:semiHidden/>
    <w:unhideWhenUsed/>
    <w:qFormat/>
  </w:style>
  <w:style w:type="table" w:styleId="779" w:default="1">
    <w:name w:val="Normal Table"/>
    <w:uiPriority w:val="99"/>
    <w:semiHidden/>
    <w:unhideWhenUsed/>
    <w:qFormat/>
    <w:tblPr>
      <w:tblCellMar>
        <w:left w:w="108" w:type="dxa"/>
        <w:top w:w="0" w:type="dxa"/>
        <w:right w:w="108" w:type="dxa"/>
        <w:bottom w:w="0" w:type="dxa"/>
      </w:tblCellMar>
    </w:tblPr>
  </w:style>
  <w:style w:type="paragraph" w:styleId="780">
    <w:name w:val="Normal Indent"/>
    <w:basedOn w:val="768"/>
    <w:uiPriority w:val="0"/>
    <w:unhideWhenUsed/>
    <w:qFormat/>
    <w:pPr>
      <w:ind w:firstLine="420"/>
    </w:pPr>
  </w:style>
  <w:style w:type="paragraph" w:styleId="781">
    <w:name w:val="toc 7"/>
    <w:basedOn w:val="768"/>
    <w:next w:val="768"/>
    <w:uiPriority w:val="39"/>
    <w:unhideWhenUsed/>
    <w:qFormat/>
    <w:pPr>
      <w:ind w:left="1701" w:right="0" w:firstLine="0"/>
      <w:spacing w:after="57"/>
    </w:pPr>
  </w:style>
  <w:style w:type="paragraph" w:styleId="782">
    <w:name w:val="Caption"/>
    <w:basedOn w:val="768"/>
    <w:next w:val="76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83">
    <w:name w:val="annotation text"/>
    <w:basedOn w:val="768"/>
    <w:uiPriority w:val="0"/>
    <w:qFormat/>
    <w:pPr>
      <w:jc w:val="left"/>
    </w:pPr>
  </w:style>
  <w:style w:type="paragraph" w:styleId="784">
    <w:name w:val="Body Text"/>
    <w:basedOn w:val="768"/>
    <w:uiPriority w:val="0"/>
    <w:qFormat/>
    <w:rPr>
      <w:rFonts w:ascii="楷体_GB2312" w:hAnsi="Arial" w:eastAsia="楷体_GB2312"/>
      <w:sz w:val="28"/>
      <w:szCs w:val="28"/>
    </w:rPr>
  </w:style>
  <w:style w:type="paragraph" w:styleId="785">
    <w:name w:val="Body Text Indent"/>
    <w:basedOn w:val="768"/>
    <w:uiPriority w:val="99"/>
    <w:unhideWhenUsed/>
    <w:qFormat/>
    <w:pPr>
      <w:ind w:left="420"/>
      <w:spacing w:after="120"/>
    </w:pPr>
  </w:style>
  <w:style w:type="paragraph" w:styleId="786">
    <w:name w:val="index 4"/>
    <w:basedOn w:val="768"/>
    <w:next w:val="768"/>
    <w:uiPriority w:val="99"/>
    <w:unhideWhenUsed/>
    <w:qFormat/>
    <w:pPr>
      <w:ind w:left="600"/>
    </w:pPr>
    <w:rPr>
      <w:rFonts w:asciiTheme="minorHAnsi" w:hAnsiTheme="minorHAnsi" w:eastAsiaTheme="minorEastAsia" w:cstheme="minorBidi"/>
      <w:szCs w:val="22"/>
    </w:rPr>
  </w:style>
  <w:style w:type="paragraph" w:styleId="787">
    <w:name w:val="toc 5"/>
    <w:basedOn w:val="768"/>
    <w:next w:val="768"/>
    <w:uiPriority w:val="39"/>
    <w:unhideWhenUsed/>
    <w:qFormat/>
    <w:pPr>
      <w:ind w:left="1134" w:right="0" w:firstLine="0"/>
      <w:spacing w:after="57"/>
    </w:pPr>
  </w:style>
  <w:style w:type="paragraph" w:styleId="788">
    <w:name w:val="toc 3"/>
    <w:basedOn w:val="768"/>
    <w:next w:val="768"/>
    <w:uiPriority w:val="39"/>
    <w:unhideWhenUsed/>
    <w:qFormat/>
    <w:pPr>
      <w:ind w:left="567" w:right="0" w:firstLine="0"/>
      <w:spacing w:after="57"/>
    </w:pPr>
  </w:style>
  <w:style w:type="paragraph" w:styleId="789">
    <w:name w:val="Plain Text"/>
    <w:basedOn w:val="768"/>
    <w:uiPriority w:val="99"/>
    <w:qFormat/>
    <w:rPr>
      <w:rFonts w:ascii="宋体" w:hAnsi="Courier New"/>
      <w:sz w:val="20"/>
      <w:szCs w:val="21"/>
    </w:rPr>
  </w:style>
  <w:style w:type="paragraph" w:styleId="790">
    <w:name w:val="toc 8"/>
    <w:basedOn w:val="768"/>
    <w:next w:val="768"/>
    <w:uiPriority w:val="39"/>
    <w:unhideWhenUsed/>
    <w:qFormat/>
    <w:pPr>
      <w:ind w:left="1984" w:right="0" w:firstLine="0"/>
      <w:spacing w:after="57"/>
    </w:pPr>
  </w:style>
  <w:style w:type="paragraph" w:styleId="791">
    <w:name w:val="endnote text"/>
    <w:basedOn w:val="768"/>
    <w:link w:val="957"/>
    <w:uiPriority w:val="99"/>
    <w:semiHidden/>
    <w:unhideWhenUsed/>
    <w:qFormat/>
    <w:pPr>
      <w:spacing w:after="0" w:line="240" w:lineRule="auto"/>
    </w:pPr>
    <w:rPr>
      <w:sz w:val="20"/>
    </w:rPr>
  </w:style>
  <w:style w:type="paragraph" w:styleId="792">
    <w:name w:val="Balloon Text"/>
    <w:basedOn w:val="768"/>
    <w:link w:val="962"/>
    <w:uiPriority w:val="0"/>
    <w:qFormat/>
    <w:rPr>
      <w:sz w:val="18"/>
      <w:szCs w:val="18"/>
    </w:rPr>
  </w:style>
  <w:style w:type="paragraph" w:styleId="793">
    <w:name w:val="Footer"/>
    <w:basedOn w:val="768"/>
    <w:uiPriority w:val="99"/>
    <w:unhideWhenUsed/>
    <w:qFormat/>
    <w:pPr>
      <w:jc w:val="left"/>
      <w:tabs>
        <w:tab w:val="center" w:pos="4153" w:leader="none"/>
        <w:tab w:val="right" w:pos="8306" w:leader="none"/>
      </w:tabs>
    </w:pPr>
    <w:rPr>
      <w:sz w:val="18"/>
      <w:szCs w:val="18"/>
    </w:rPr>
  </w:style>
  <w:style w:type="paragraph" w:styleId="794">
    <w:name w:val="Header"/>
    <w:basedOn w:val="76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95">
    <w:name w:val="toc 1"/>
    <w:basedOn w:val="768"/>
    <w:next w:val="768"/>
    <w:uiPriority w:val="39"/>
    <w:unhideWhenUsed/>
    <w:qFormat/>
  </w:style>
  <w:style w:type="paragraph" w:styleId="796">
    <w:name w:val="toc 4"/>
    <w:basedOn w:val="768"/>
    <w:next w:val="768"/>
    <w:uiPriority w:val="39"/>
    <w:unhideWhenUsed/>
    <w:qFormat/>
    <w:pPr>
      <w:ind w:left="850" w:right="0" w:firstLine="0"/>
      <w:spacing w:after="57"/>
    </w:pPr>
  </w:style>
  <w:style w:type="paragraph" w:styleId="797">
    <w:name w:val="Subtitle"/>
    <w:basedOn w:val="768"/>
    <w:next w:val="768"/>
    <w:link w:val="823"/>
    <w:uiPriority w:val="11"/>
    <w:qFormat/>
    <w:pPr>
      <w:spacing w:before="200" w:after="200"/>
    </w:pPr>
    <w:rPr>
      <w:sz w:val="24"/>
      <w:szCs w:val="24"/>
    </w:rPr>
  </w:style>
  <w:style w:type="paragraph" w:styleId="798">
    <w:name w:val="footnote text"/>
    <w:basedOn w:val="768"/>
    <w:link w:val="956"/>
    <w:uiPriority w:val="99"/>
    <w:semiHidden/>
    <w:unhideWhenUsed/>
    <w:qFormat/>
    <w:pPr>
      <w:spacing w:after="40" w:line="240" w:lineRule="auto"/>
    </w:pPr>
    <w:rPr>
      <w:sz w:val="18"/>
    </w:rPr>
  </w:style>
  <w:style w:type="paragraph" w:styleId="799">
    <w:name w:val="toc 6"/>
    <w:basedOn w:val="768"/>
    <w:next w:val="768"/>
    <w:uiPriority w:val="39"/>
    <w:unhideWhenUsed/>
    <w:qFormat/>
    <w:pPr>
      <w:ind w:left="1417" w:right="0" w:firstLine="0"/>
      <w:spacing w:after="57"/>
    </w:pPr>
  </w:style>
  <w:style w:type="paragraph" w:styleId="800">
    <w:name w:val="table of figures"/>
    <w:basedOn w:val="768"/>
    <w:next w:val="768"/>
    <w:uiPriority w:val="99"/>
    <w:unhideWhenUsed/>
    <w:qFormat/>
    <w:pPr>
      <w:spacing w:after="0" w:afterAutospacing="0"/>
    </w:pPr>
  </w:style>
  <w:style w:type="paragraph" w:styleId="801">
    <w:name w:val="toc 2"/>
    <w:basedOn w:val="768"/>
    <w:next w:val="768"/>
    <w:uiPriority w:val="0"/>
    <w:qFormat/>
    <w:pPr>
      <w:ind w:left="420"/>
    </w:pPr>
  </w:style>
  <w:style w:type="paragraph" w:styleId="802">
    <w:name w:val="toc 9"/>
    <w:basedOn w:val="768"/>
    <w:next w:val="768"/>
    <w:uiPriority w:val="39"/>
    <w:unhideWhenUsed/>
    <w:qFormat/>
    <w:pPr>
      <w:ind w:left="2268" w:right="0" w:firstLine="0"/>
      <w:spacing w:after="57"/>
    </w:pPr>
  </w:style>
  <w:style w:type="paragraph" w:styleId="803">
    <w:name w:val="Normal (Web)"/>
    <w:basedOn w:val="768"/>
    <w:uiPriority w:val="0"/>
    <w:qFormat/>
    <w:rPr>
      <w:rFonts w:ascii="Times New Roman" w:hAnsi="Times New Roman"/>
      <w:sz w:val="24"/>
    </w:rPr>
  </w:style>
  <w:style w:type="paragraph" w:styleId="804">
    <w:name w:val="Title"/>
    <w:basedOn w:val="768"/>
    <w:next w:val="768"/>
    <w:link w:val="822"/>
    <w:uiPriority w:val="10"/>
    <w:qFormat/>
    <w:pPr>
      <w:contextualSpacing/>
      <w:spacing w:before="300" w:after="200"/>
    </w:pPr>
    <w:rPr>
      <w:sz w:val="48"/>
      <w:szCs w:val="48"/>
    </w:rPr>
  </w:style>
  <w:style w:type="paragraph" w:styleId="805">
    <w:name w:val="Body Text First Indent 2"/>
    <w:basedOn w:val="785"/>
    <w:uiPriority w:val="0"/>
    <w:qFormat/>
    <w:pPr>
      <w:ind w:left="0" w:firstLine="420"/>
      <w:spacing w:after="0" w:line="360" w:lineRule="auto"/>
    </w:pPr>
    <w:rPr>
      <w:rFonts w:ascii="宋体" w:hAnsi="宋体"/>
      <w:sz w:val="20"/>
      <w:szCs w:val="20"/>
    </w:rPr>
  </w:style>
  <w:style w:type="table" w:styleId="806">
    <w:name w:val="Table Grid"/>
    <w:basedOn w:val="779"/>
    <w:uiPriority w:val="0"/>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7">
    <w:name w:val="Strong"/>
    <w:basedOn w:val="778"/>
    <w:uiPriority w:val="0"/>
    <w:qFormat/>
    <w:rPr>
      <w:b/>
    </w:rPr>
  </w:style>
  <w:style w:type="character" w:styleId="808">
    <w:name w:val="endnote reference"/>
    <w:basedOn w:val="778"/>
    <w:uiPriority w:val="99"/>
    <w:semiHidden/>
    <w:unhideWhenUsed/>
    <w:qFormat/>
    <w:rPr>
      <w:vertAlign w:val="superscript"/>
    </w:rPr>
  </w:style>
  <w:style w:type="character" w:styleId="809">
    <w:name w:val="Hyperlink"/>
    <w:uiPriority w:val="99"/>
    <w:unhideWhenUsed/>
    <w:qFormat/>
    <w:rPr>
      <w:color w:val="0563c1" w:themeColor="hyperlink"/>
      <w:u w:val="single"/>
      <w14:textFill>
        <w14:solidFill>
          <w14:schemeClr w14:val="hlink"/>
        </w14:solidFill>
      </w14:textFill>
    </w:rPr>
  </w:style>
  <w:style w:type="character" w:styleId="810">
    <w:name w:val="annotation reference"/>
    <w:basedOn w:val="778"/>
    <w:uiPriority w:val="0"/>
    <w:qFormat/>
    <w:rPr>
      <w:sz w:val="21"/>
      <w:szCs w:val="21"/>
    </w:rPr>
  </w:style>
  <w:style w:type="character" w:styleId="811">
    <w:name w:val="footnote reference"/>
    <w:basedOn w:val="778"/>
    <w:uiPriority w:val="99"/>
    <w:unhideWhenUsed/>
    <w:qFormat/>
    <w:rPr>
      <w:vertAlign w:val="superscript"/>
    </w:rPr>
  </w:style>
  <w:style w:type="character" w:styleId="812" w:customStyle="1">
    <w:name w:val="Heading 1 Char"/>
    <w:basedOn w:val="778"/>
    <w:uiPriority w:val="9"/>
    <w:qFormat/>
    <w:rPr>
      <w:rFonts w:ascii="Arial" w:hAnsi="Arial" w:eastAsia="Arial" w:cs="Arial"/>
      <w:sz w:val="40"/>
      <w:szCs w:val="40"/>
    </w:rPr>
  </w:style>
  <w:style w:type="character" w:styleId="813" w:customStyle="1">
    <w:name w:val="Heading 2 Char"/>
    <w:basedOn w:val="778"/>
    <w:uiPriority w:val="9"/>
    <w:qFormat/>
    <w:rPr>
      <w:rFonts w:ascii="Arial" w:hAnsi="Arial" w:eastAsia="Arial" w:cs="Arial"/>
      <w:sz w:val="34"/>
    </w:rPr>
  </w:style>
  <w:style w:type="character" w:styleId="814" w:customStyle="1">
    <w:name w:val="Heading 3 Char"/>
    <w:basedOn w:val="778"/>
    <w:uiPriority w:val="9"/>
    <w:qFormat/>
    <w:rPr>
      <w:rFonts w:ascii="Arial" w:hAnsi="Arial" w:eastAsia="Arial" w:cs="Arial"/>
      <w:sz w:val="30"/>
      <w:szCs w:val="30"/>
    </w:rPr>
  </w:style>
  <w:style w:type="character" w:styleId="815" w:customStyle="1">
    <w:name w:val="Heading 4 Char"/>
    <w:basedOn w:val="778"/>
    <w:link w:val="772"/>
    <w:uiPriority w:val="9"/>
    <w:qFormat/>
    <w:rPr>
      <w:rFonts w:ascii="Arial" w:hAnsi="Arial" w:eastAsia="Arial" w:cs="Arial"/>
      <w:b/>
      <w:bCs/>
      <w:sz w:val="26"/>
      <w:szCs w:val="26"/>
    </w:rPr>
  </w:style>
  <w:style w:type="character" w:styleId="816" w:customStyle="1">
    <w:name w:val="Heading 5 Char"/>
    <w:basedOn w:val="778"/>
    <w:link w:val="773"/>
    <w:uiPriority w:val="9"/>
    <w:qFormat/>
    <w:rPr>
      <w:rFonts w:ascii="Arial" w:hAnsi="Arial" w:eastAsia="Arial" w:cs="Arial"/>
      <w:b/>
      <w:bCs/>
      <w:sz w:val="24"/>
      <w:szCs w:val="24"/>
    </w:rPr>
  </w:style>
  <w:style w:type="character" w:styleId="817" w:customStyle="1">
    <w:name w:val="Heading 6 Char"/>
    <w:basedOn w:val="778"/>
    <w:link w:val="774"/>
    <w:uiPriority w:val="9"/>
    <w:qFormat/>
    <w:rPr>
      <w:rFonts w:ascii="Arial" w:hAnsi="Arial" w:eastAsia="Arial" w:cs="Arial"/>
      <w:b/>
      <w:bCs/>
      <w:sz w:val="22"/>
      <w:szCs w:val="22"/>
    </w:rPr>
  </w:style>
  <w:style w:type="character" w:styleId="818" w:customStyle="1">
    <w:name w:val="Heading 7 Char"/>
    <w:basedOn w:val="778"/>
    <w:link w:val="775"/>
    <w:uiPriority w:val="9"/>
    <w:qFormat/>
    <w:rPr>
      <w:rFonts w:ascii="Arial" w:hAnsi="Arial" w:eastAsia="Arial" w:cs="Arial"/>
      <w:b/>
      <w:bCs/>
      <w:i/>
      <w:iCs/>
      <w:sz w:val="22"/>
      <w:szCs w:val="22"/>
    </w:rPr>
  </w:style>
  <w:style w:type="character" w:styleId="819" w:customStyle="1">
    <w:name w:val="Heading 8 Char"/>
    <w:basedOn w:val="778"/>
    <w:link w:val="776"/>
    <w:uiPriority w:val="9"/>
    <w:qFormat/>
    <w:rPr>
      <w:rFonts w:ascii="Arial" w:hAnsi="Arial" w:eastAsia="Arial" w:cs="Arial"/>
      <w:i/>
      <w:iCs/>
      <w:sz w:val="22"/>
      <w:szCs w:val="22"/>
    </w:rPr>
  </w:style>
  <w:style w:type="character" w:styleId="820" w:customStyle="1">
    <w:name w:val="Heading 9 Char"/>
    <w:basedOn w:val="778"/>
    <w:link w:val="777"/>
    <w:uiPriority w:val="9"/>
    <w:qFormat/>
    <w:rPr>
      <w:rFonts w:ascii="Arial" w:hAnsi="Arial" w:eastAsia="Arial" w:cs="Arial"/>
      <w:i/>
      <w:iCs/>
      <w:sz w:val="21"/>
      <w:szCs w:val="21"/>
    </w:rPr>
  </w:style>
  <w:style w:type="paragraph" w:styleId="821">
    <w:name w:val="No Spacing"/>
    <w:uiPriority w:val="1"/>
    <w:qFormat/>
    <w:pPr>
      <w:spacing w:before="0" w:after="0" w:line="240" w:lineRule="auto"/>
    </w:pPr>
    <w:rPr>
      <w:rFonts w:hint="default" w:ascii="Times New Roman" w:hAnsi="Times New Roman" w:eastAsia="宋体" w:cs="Times New Roman"/>
    </w:rPr>
  </w:style>
  <w:style w:type="character" w:styleId="822" w:customStyle="1">
    <w:name w:val="Title Char"/>
    <w:basedOn w:val="778"/>
    <w:link w:val="804"/>
    <w:uiPriority w:val="10"/>
    <w:qFormat/>
    <w:rPr>
      <w:sz w:val="48"/>
      <w:szCs w:val="48"/>
    </w:rPr>
  </w:style>
  <w:style w:type="character" w:styleId="823" w:customStyle="1">
    <w:name w:val="Subtitle Char"/>
    <w:basedOn w:val="778"/>
    <w:link w:val="797"/>
    <w:uiPriority w:val="11"/>
    <w:qFormat/>
    <w:rPr>
      <w:sz w:val="24"/>
      <w:szCs w:val="24"/>
    </w:rPr>
  </w:style>
  <w:style w:type="paragraph" w:styleId="824">
    <w:name w:val="Quote"/>
    <w:basedOn w:val="768"/>
    <w:next w:val="768"/>
    <w:link w:val="825"/>
    <w:uiPriority w:val="29"/>
    <w:qFormat/>
    <w:pPr>
      <w:ind w:left="720" w:right="720"/>
    </w:pPr>
    <w:rPr>
      <w:i/>
    </w:rPr>
  </w:style>
  <w:style w:type="character" w:styleId="825" w:customStyle="1">
    <w:name w:val="Quote Char"/>
    <w:link w:val="824"/>
    <w:uiPriority w:val="29"/>
    <w:qFormat/>
    <w:rPr>
      <w:i/>
    </w:rPr>
  </w:style>
  <w:style w:type="paragraph" w:styleId="826">
    <w:name w:val="Intense Quote"/>
    <w:basedOn w:val="768"/>
    <w:next w:val="768"/>
    <w:link w:val="8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7" w:customStyle="1">
    <w:name w:val="Intense Quote Char"/>
    <w:link w:val="826"/>
    <w:uiPriority w:val="30"/>
    <w:qFormat/>
    <w:rPr>
      <w:i/>
    </w:rPr>
  </w:style>
  <w:style w:type="character" w:styleId="828" w:customStyle="1">
    <w:name w:val="Header Char"/>
    <w:basedOn w:val="778"/>
    <w:uiPriority w:val="99"/>
    <w:qFormat/>
  </w:style>
  <w:style w:type="character" w:styleId="829" w:customStyle="1">
    <w:name w:val="Footer Char"/>
    <w:basedOn w:val="778"/>
    <w:uiPriority w:val="99"/>
    <w:qFormat/>
  </w:style>
  <w:style w:type="character" w:styleId="830" w:customStyle="1">
    <w:name w:val="Caption Char"/>
    <w:uiPriority w:val="99"/>
    <w:qFormat/>
  </w:style>
  <w:style w:type="table" w:styleId="831" w:customStyle="1">
    <w:name w:val="Table Grid Light"/>
    <w:basedOn w:val="77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2" w:customStyle="1">
    <w:name w:val="Plain Table 1"/>
    <w:basedOn w:val="77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Plain Table 2"/>
    <w:basedOn w:val="77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3"/>
    <w:basedOn w:val="7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customStyle="1">
    <w:name w:val="Plain Table 4"/>
    <w:basedOn w:val="7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customStyle="1">
    <w:name w:val="Plain Table 5"/>
    <w:basedOn w:val="7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7" w:customStyle="1">
    <w:name w:val="Grid Table 1 Light"/>
    <w:basedOn w:val="77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1"/>
    <w:basedOn w:val="77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2"/>
    <w:basedOn w:val="77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3"/>
    <w:basedOn w:val="77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4"/>
    <w:basedOn w:val="77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5"/>
    <w:basedOn w:val="77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6"/>
    <w:basedOn w:val="77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4" w:customStyle="1">
    <w:name w:val="Grid Table 2"/>
    <w:basedOn w:val="7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5" w:customStyle="1">
    <w:name w:val="Grid Table 2 - Accent 1"/>
    <w:basedOn w:val="77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46" w:customStyle="1">
    <w:name w:val="Grid Table 2 - Accent 2"/>
    <w:basedOn w:val="77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7" w:customStyle="1">
    <w:name w:val="Grid Table 2 - Accent 3"/>
    <w:basedOn w:val="77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8" w:customStyle="1">
    <w:name w:val="Grid Table 2 - Accent 4"/>
    <w:basedOn w:val="77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9" w:customStyle="1">
    <w:name w:val="Grid Table 2 - Accent 5"/>
    <w:basedOn w:val="77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0" w:customStyle="1">
    <w:name w:val="Grid Table 2 - Accent 6"/>
    <w:basedOn w:val="77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1" w:customStyle="1">
    <w:name w:val="Grid Table 3"/>
    <w:basedOn w:val="7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1"/>
    <w:basedOn w:val="77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2"/>
    <w:basedOn w:val="77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3"/>
    <w:basedOn w:val="77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4"/>
    <w:basedOn w:val="77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5"/>
    <w:basedOn w:val="77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6"/>
    <w:basedOn w:val="77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4"/>
    <w:basedOn w:val="77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customStyle="1">
    <w:name w:val="Grid Table 4 - Accent 1"/>
    <w:basedOn w:val="779"/>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60" w:customStyle="1">
    <w:name w:val="Grid Table 4 - Accent 2"/>
    <w:basedOn w:val="779"/>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1" w:customStyle="1">
    <w:name w:val="Grid Table 4 - Accent 3"/>
    <w:basedOn w:val="779"/>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2" w:customStyle="1">
    <w:name w:val="Grid Table 4 - Accent 4"/>
    <w:basedOn w:val="779"/>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3" w:customStyle="1">
    <w:name w:val="Grid Table 4 - Accent 5"/>
    <w:basedOn w:val="779"/>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4" w:customStyle="1">
    <w:name w:val="Grid Table 4 - Accent 6"/>
    <w:basedOn w:val="779"/>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5" w:customStyle="1">
    <w:name w:val="Grid Table 5 Dark"/>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6" w:customStyle="1">
    <w:name w:val="Grid Table 5 Dark- Accent 1"/>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7" w:customStyle="1">
    <w:name w:val="Grid Table 5 Dark - Accent 2"/>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8" w:customStyle="1">
    <w:name w:val="Grid Table 5 Dark - Accent 3"/>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9" w:customStyle="1">
    <w:name w:val="Grid Table 5 Dark- Accent 4"/>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0" w:customStyle="1">
    <w:name w:val="Grid Table 5 Dark - Accent 5"/>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1" w:customStyle="1">
    <w:name w:val="Grid Table 5 Dark - Accent 6"/>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2" w:customStyle="1">
    <w:name w:val="Grid Table 6 Colorful"/>
    <w:basedOn w:val="77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3" w:customStyle="1">
    <w:name w:val="Grid Table 6 Colorful - Accent 1"/>
    <w:basedOn w:val="779"/>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74" w:customStyle="1">
    <w:name w:val="Grid Table 6 Colorful - Accent 2"/>
    <w:basedOn w:val="77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5" w:customStyle="1">
    <w:name w:val="Grid Table 6 Colorful - Accent 3"/>
    <w:basedOn w:val="779"/>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76" w:customStyle="1">
    <w:name w:val="Grid Table 6 Colorful - Accent 4"/>
    <w:basedOn w:val="77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7" w:customStyle="1">
    <w:name w:val="Grid Table 6 Colorful - Accent 5"/>
    <w:basedOn w:val="779"/>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8" w:customStyle="1">
    <w:name w:val="Grid Table 6 Colorful - Accent 6"/>
    <w:basedOn w:val="779"/>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9" w:customStyle="1">
    <w:name w:val="Grid Table 7 Colorful"/>
    <w:basedOn w:val="77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Grid Table 7 Colorful - Accent 1"/>
    <w:basedOn w:val="779"/>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81" w:customStyle="1">
    <w:name w:val="Grid Table 7 Colorful - Accent 2"/>
    <w:basedOn w:val="779"/>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2" w:customStyle="1">
    <w:name w:val="Grid Table 7 Colorful - Accent 3"/>
    <w:basedOn w:val="779"/>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3" w:customStyle="1">
    <w:name w:val="Grid Table 7 Colorful - Accent 4"/>
    <w:basedOn w:val="779"/>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4" w:customStyle="1">
    <w:name w:val="Grid Table 7 Colorful - Accent 5"/>
    <w:basedOn w:val="779"/>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5" w:customStyle="1">
    <w:name w:val="Grid Table 7 Colorful - Accent 6"/>
    <w:basedOn w:val="779"/>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6" w:customStyle="1">
    <w:name w:val="List Table 1 Light"/>
    <w:basedOn w:val="77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7" w:customStyle="1">
    <w:name w:val="List Table 1 Light - Accent 1"/>
    <w:basedOn w:val="779"/>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8" w:customStyle="1">
    <w:name w:val="List Table 1 Light - Accent 2"/>
    <w:basedOn w:val="779"/>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9" w:customStyle="1">
    <w:name w:val="List Table 1 Light - Accent 3"/>
    <w:basedOn w:val="779"/>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0" w:customStyle="1">
    <w:name w:val="List Table 1 Light - Accent 4"/>
    <w:basedOn w:val="779"/>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1" w:customStyle="1">
    <w:name w:val="List Table 1 Light - Accent 5"/>
    <w:basedOn w:val="779"/>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2" w:customStyle="1">
    <w:name w:val="List Table 1 Light - Accent 6"/>
    <w:basedOn w:val="779"/>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3" w:customStyle="1">
    <w:name w:val="List Table 2"/>
    <w:basedOn w:val="77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4" w:customStyle="1">
    <w:name w:val="List Table 2 - Accent 1"/>
    <w:basedOn w:val="779"/>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5" w:customStyle="1">
    <w:name w:val="List Table 2 - Accent 2"/>
    <w:basedOn w:val="779"/>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6" w:customStyle="1">
    <w:name w:val="List Table 2 - Accent 3"/>
    <w:basedOn w:val="779"/>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7" w:customStyle="1">
    <w:name w:val="List Table 2 - Accent 4"/>
    <w:basedOn w:val="779"/>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8" w:customStyle="1">
    <w:name w:val="List Table 2 - Accent 5"/>
    <w:basedOn w:val="779"/>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9" w:customStyle="1">
    <w:name w:val="List Table 2 - Accent 6"/>
    <w:basedOn w:val="779"/>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0" w:customStyle="1">
    <w:name w:val="List Table 3"/>
    <w:basedOn w:val="7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3 - Accent 1"/>
    <w:basedOn w:val="779"/>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2" w:customStyle="1">
    <w:name w:val="List Table 3 - Accent 2"/>
    <w:basedOn w:val="77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03" w:customStyle="1">
    <w:name w:val="List Table 3 - Accent 3"/>
    <w:basedOn w:val="779"/>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4" w:customStyle="1">
    <w:name w:val="List Table 3 - Accent 4"/>
    <w:basedOn w:val="77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5" w:customStyle="1">
    <w:name w:val="List Table 3 - Accent 5"/>
    <w:basedOn w:val="779"/>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6" w:customStyle="1">
    <w:name w:val="List Table 3 - Accent 6"/>
    <w:basedOn w:val="779"/>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7" w:customStyle="1">
    <w:name w:val="List Table 4"/>
    <w:basedOn w:val="7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4 - Accent 1"/>
    <w:basedOn w:val="779"/>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9" w:customStyle="1">
    <w:name w:val="List Table 4 - Accent 2"/>
    <w:basedOn w:val="779"/>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0" w:customStyle="1">
    <w:name w:val="List Table 4 - Accent 3"/>
    <w:basedOn w:val="779"/>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1" w:customStyle="1">
    <w:name w:val="List Table 4 - Accent 4"/>
    <w:basedOn w:val="779"/>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2" w:customStyle="1">
    <w:name w:val="List Table 4 - Accent 5"/>
    <w:basedOn w:val="779"/>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3" w:customStyle="1">
    <w:name w:val="List Table 4 - Accent 6"/>
    <w:basedOn w:val="779"/>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4" w:customStyle="1">
    <w:name w:val="List Table 5 Dark"/>
    <w:basedOn w:val="77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1"/>
    <w:basedOn w:val="779"/>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2"/>
    <w:basedOn w:val="779"/>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3"/>
    <w:basedOn w:val="779"/>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4"/>
    <w:basedOn w:val="779"/>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5"/>
    <w:basedOn w:val="779"/>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6"/>
    <w:basedOn w:val="779"/>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6 Colorful"/>
    <w:basedOn w:val="77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2" w:customStyle="1">
    <w:name w:val="List Table 6 Colorful - Accent 1"/>
    <w:basedOn w:val="779"/>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23" w:customStyle="1">
    <w:name w:val="List Table 6 Colorful - Accent 2"/>
    <w:basedOn w:val="779"/>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24" w:customStyle="1">
    <w:name w:val="List Table 6 Colorful - Accent 3"/>
    <w:basedOn w:val="779"/>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25" w:customStyle="1">
    <w:name w:val="List Table 6 Colorful - Accent 4"/>
    <w:basedOn w:val="779"/>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6" w:customStyle="1">
    <w:name w:val="List Table 6 Colorful - Accent 5"/>
    <w:basedOn w:val="779"/>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7" w:customStyle="1">
    <w:name w:val="List Table 6 Colorful - Accent 6"/>
    <w:basedOn w:val="779"/>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8" w:customStyle="1">
    <w:name w:val="List Table 7 Colorful"/>
    <w:basedOn w:val="77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9" w:customStyle="1">
    <w:name w:val="List Table 7 Colorful - Accent 1"/>
    <w:basedOn w:val="779"/>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30" w:customStyle="1">
    <w:name w:val="List Table 7 Colorful - Accent 2"/>
    <w:basedOn w:val="779"/>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1" w:customStyle="1">
    <w:name w:val="List Table 7 Colorful - Accent 3"/>
    <w:basedOn w:val="779"/>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2" w:customStyle="1">
    <w:name w:val="List Table 7 Colorful - Accent 4"/>
    <w:basedOn w:val="779"/>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3" w:customStyle="1">
    <w:name w:val="List Table 7 Colorful - Accent 5"/>
    <w:basedOn w:val="779"/>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34" w:customStyle="1">
    <w:name w:val="List Table 7 Colorful - Accent 6"/>
    <w:basedOn w:val="779"/>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5" w:customStyle="1">
    <w:name w:val="Lined - Accent"/>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Lined - Accent 1"/>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7" w:customStyle="1">
    <w:name w:val="Lined - Accent 2"/>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8" w:customStyle="1">
    <w:name w:val="Lined - Accent 3"/>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9" w:customStyle="1">
    <w:name w:val="Lined - Accent 4"/>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0" w:customStyle="1">
    <w:name w:val="Lined - Accent 5"/>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1" w:customStyle="1">
    <w:name w:val="Lined - Accent 6"/>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2" w:customStyle="1">
    <w:name w:val="Bordered &amp; Lined - Accent"/>
    <w:basedOn w:val="77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Bordered &amp; Lined - Accent 1"/>
    <w:basedOn w:val="779"/>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4" w:customStyle="1">
    <w:name w:val="Bordered &amp; Lined - Accent 2"/>
    <w:basedOn w:val="779"/>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5" w:customStyle="1">
    <w:name w:val="Bordered &amp; Lined - Accent 3"/>
    <w:basedOn w:val="779"/>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6" w:customStyle="1">
    <w:name w:val="Bordered &amp; Lined - Accent 4"/>
    <w:basedOn w:val="779"/>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7" w:customStyle="1">
    <w:name w:val="Bordered &amp; Lined - Accent 5"/>
    <w:basedOn w:val="779"/>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8" w:customStyle="1">
    <w:name w:val="Bordered &amp; Lined - Accent 6"/>
    <w:basedOn w:val="779"/>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9" w:customStyle="1">
    <w:name w:val="Bordered"/>
    <w:basedOn w:val="77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0" w:customStyle="1">
    <w:name w:val="Bordered - Accent 1"/>
    <w:basedOn w:val="77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51" w:customStyle="1">
    <w:name w:val="Bordered - Accent 2"/>
    <w:basedOn w:val="77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52" w:customStyle="1">
    <w:name w:val="Bordered - Accent 3"/>
    <w:basedOn w:val="77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3" w:customStyle="1">
    <w:name w:val="Bordered - Accent 4"/>
    <w:basedOn w:val="77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54" w:customStyle="1">
    <w:name w:val="Bordered - Accent 5"/>
    <w:basedOn w:val="77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55" w:customStyle="1">
    <w:name w:val="Bordered - Accent 6"/>
    <w:basedOn w:val="77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6" w:customStyle="1">
    <w:name w:val="Footnote Text Char"/>
    <w:link w:val="798"/>
    <w:uiPriority w:val="99"/>
    <w:qFormat/>
    <w:rPr>
      <w:sz w:val="18"/>
    </w:rPr>
  </w:style>
  <w:style w:type="character" w:styleId="957" w:customStyle="1">
    <w:name w:val="Endnote Text Char"/>
    <w:link w:val="791"/>
    <w:uiPriority w:val="99"/>
    <w:qFormat/>
    <w:rPr>
      <w:sz w:val="20"/>
    </w:rPr>
  </w:style>
  <w:style w:type="paragraph" w:styleId="958" w:customStyle="1">
    <w:name w:val="TOC Heading"/>
    <w:uiPriority w:val="39"/>
    <w:unhideWhenUsed/>
    <w:qFormat/>
    <w:rPr>
      <w:rFonts w:hint="default" w:ascii="Times New Roman" w:hAnsi="Times New Roman" w:eastAsia="宋体" w:cs="Times New Roman"/>
    </w:rPr>
  </w:style>
  <w:style w:type="paragraph" w:styleId="959" w:customStyle="1">
    <w:name w:val="正文（缩进）"/>
    <w:basedOn w:val="768"/>
    <w:uiPriority w:val="99"/>
    <w:qFormat/>
    <w:pPr>
      <w:ind w:firstLine="480"/>
      <w:spacing w:before="156" w:after="156"/>
    </w:pPr>
  </w:style>
  <w:style w:type="paragraph" w:styleId="960" w:customStyle="1">
    <w:name w:val="普通正文"/>
    <w:basedOn w:val="768"/>
    <w:uiPriority w:val="0"/>
    <w:qFormat/>
    <w:pPr>
      <w:ind w:firstLine="480"/>
      <w:jc w:val="left"/>
      <w:spacing w:before="120" w:after="120" w:line="360" w:lineRule="auto"/>
    </w:pPr>
    <w:rPr>
      <w:rFonts w:ascii="Arial" w:hAnsi="Arial"/>
      <w:sz w:val="24"/>
      <w:szCs w:val="24"/>
    </w:rPr>
  </w:style>
  <w:style w:type="paragraph" w:styleId="961" w:customStyle="1">
    <w:name w:val="Char"/>
    <w:basedOn w:val="768"/>
    <w:uiPriority w:val="0"/>
    <w:qFormat/>
    <w:pPr>
      <w:ind w:firstLine="200"/>
      <w:tabs>
        <w:tab w:val="left" w:pos="360" w:leader="none"/>
      </w:tabs>
    </w:pPr>
    <w:rPr>
      <w:rFonts w:ascii="Times New Roman" w:hAnsi="Times New Roman"/>
      <w:sz w:val="28"/>
      <w:szCs w:val="30"/>
    </w:rPr>
  </w:style>
  <w:style w:type="character" w:styleId="962" w:customStyle="1">
    <w:name w:val="批注框文本 Char"/>
    <w:basedOn w:val="778"/>
    <w:link w:val="792"/>
    <w:uiPriority w:val="0"/>
    <w:qFormat/>
    <w:rPr>
      <w:sz w:val="18"/>
      <w:szCs w:val="18"/>
    </w:rPr>
  </w:style>
  <w:style w:type="paragraph" w:styleId="963" w:customStyle="1">
    <w:name w:val="正文1"/>
    <w:basedOn w:val="768"/>
    <w:next w:val="964"/>
    <w:uiPriority w:val="0"/>
    <w:qFormat/>
    <w:pPr>
      <w:jc w:val="left"/>
      <w:spacing w:line="360" w:lineRule="atLeast"/>
    </w:pPr>
    <w:rPr>
      <w:rFonts w:ascii="宋体" w:hAnsiTheme="minorHAnsi" w:eastAsiaTheme="minorEastAsia" w:cstheme="minorBidi"/>
      <w:sz w:val="24"/>
      <w:szCs w:val="20"/>
    </w:rPr>
  </w:style>
  <w:style w:type="paragraph" w:styleId="964" w:customStyle="1">
    <w:name w:val="正文文本1"/>
    <w:basedOn w:val="963"/>
    <w:next w:val="965"/>
    <w:uiPriority w:val="0"/>
    <w:qFormat/>
    <w:pPr>
      <w:spacing w:after="120"/>
    </w:pPr>
    <w:rPr>
      <w:lang w:eastAsia="en-US"/>
    </w:rPr>
  </w:style>
  <w:style w:type="paragraph" w:styleId="965" w:customStyle="1">
    <w:name w:val="一级条标题"/>
    <w:basedOn w:val="966"/>
    <w:next w:val="96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6" w:customStyle="1">
    <w:name w:val="章标题"/>
    <w:next w:val="76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67" w:customStyle="1">
    <w:name w:val="段"/>
    <w:basedOn w:val="963"/>
    <w:next w:val="768"/>
    <w:uiPriority w:val="0"/>
    <w:qFormat/>
    <w:pPr>
      <w:ind w:firstLine="200"/>
      <w:widowControl/>
    </w:pPr>
    <w:rPr>
      <w:sz w:val="20"/>
    </w:rPr>
  </w:style>
  <w:style w:type="paragraph" w:styleId="968" w:customStyle="1">
    <w:name w:val="正文缩进1"/>
    <w:basedOn w:val="768"/>
    <w:uiPriority w:val="99"/>
    <w:qFormat/>
    <w:pPr>
      <w:ind w:firstLine="420"/>
    </w:pPr>
  </w:style>
  <w:style w:type="paragraph" w:styleId="969">
    <w:name w:val="List Paragraph"/>
    <w:basedOn w:val="768"/>
    <w:uiPriority w:val="34"/>
    <w:qFormat/>
    <w:pPr>
      <w:contextualSpacing/>
      <w:ind w:left="720" w:firstLine="360"/>
      <w:jc w:val="left"/>
      <w:widowControl/>
    </w:pPr>
    <w:rPr>
      <w:sz w:val="22"/>
      <w:lang w:eastAsia="en-US" w:bidi="en-US"/>
    </w:rPr>
  </w:style>
  <w:style w:type="table" w:styleId="970" w:customStyle="1">
    <w:name w:val="网格型2"/>
    <w:basedOn w:val="779"/>
    <w:uiPriority w:val="3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1" w:customStyle="1">
    <w:name w:val="NormalCharacter"/>
    <w:uiPriority w:val="0"/>
    <w:qFormat/>
  </w:style>
  <w:style w:type="paragraph" w:styleId="972" w:customStyle="1">
    <w:name w:val="UserStyle_6"/>
    <w:uiPriority w:val="0"/>
    <w:qFormat/>
    <w:rPr>
      <w:rFonts w:hint="default" w:ascii="宋体" w:hAnsi="Calibri" w:eastAsia="宋体" w:cstheme="minorBidi"/>
      <w:color w:val="000000"/>
      <w:sz w:val="24"/>
      <w:szCs w:val="24"/>
      <w:lang w:val="en-US" w:eastAsia="zh-CN" w:bidi="ar-SA"/>
    </w:rPr>
  </w:style>
  <w:style w:type="paragraph" w:styleId="973" w:customStyle="1">
    <w:name w:val="纯文本1"/>
    <w:basedOn w:val="768"/>
    <w:uiPriority w:val="99"/>
    <w:unhideWhenUsed/>
    <w:qFormat/>
    <w:rPr>
      <w:rFonts w:ascii="宋体" w:hAnsi="Courier New"/>
      <w:sz w:val="20"/>
      <w:szCs w:val="20"/>
      <w:lang w:eastAsia="en-US"/>
    </w:rPr>
  </w:style>
  <w:style w:type="paragraph" w:styleId="974" w:customStyle="1">
    <w:name w:val="纯文本11"/>
    <w:basedOn w:val="963"/>
    <w:uiPriority w:val="0"/>
    <w:qFormat/>
    <w:rPr>
      <w:rFonts w:hAnsi="Courier New"/>
      <w:sz w:val="20"/>
      <w:szCs w:val="21"/>
    </w:rPr>
  </w:style>
  <w:style w:type="character" w:styleId="975" w:customStyle="1">
    <w:name w:val="font51"/>
    <w:basedOn w:val="778"/>
    <w:uiPriority w:val="0"/>
    <w:qFormat/>
    <w:rPr>
      <w:rFonts w:hint="default" w:ascii="default" w:hAnsi="default" w:eastAsia="default" w:cs="default"/>
      <w:color w:val="000000"/>
      <w:sz w:val="20"/>
      <w:szCs w:val="20"/>
      <w:u w:val="none"/>
    </w:rPr>
  </w:style>
  <w:style w:type="character" w:styleId="976" w:customStyle="1">
    <w:name w:val="font112"/>
    <w:basedOn w:val="778"/>
    <w:uiPriority w:val="0"/>
    <w:qFormat/>
    <w:rPr>
      <w:rFonts w:hint="eastAsia" w:ascii="宋体" w:hAnsi="宋体" w:eastAsia="宋体" w:cs="宋体"/>
      <w:color w:val="000000"/>
      <w:sz w:val="20"/>
      <w:szCs w:val="20"/>
      <w:u w:val="none"/>
    </w:rPr>
  </w:style>
  <w:style w:type="character" w:styleId="977" w:customStyle="1">
    <w:name w:val="font11"/>
    <w:basedOn w:val="778"/>
    <w:uiPriority w:val="0"/>
    <w:qFormat/>
    <w:rPr>
      <w:rFonts w:hint="eastAsia" w:ascii="宋体" w:hAnsi="宋体" w:eastAsia="宋体" w:cs="宋体"/>
      <w:color w:val="000000"/>
      <w:sz w:val="20"/>
      <w:szCs w:val="20"/>
      <w:u w:val="none"/>
    </w:rPr>
  </w:style>
  <w:style w:type="character" w:styleId="978" w:customStyle="1">
    <w:name w:val="font71"/>
    <w:basedOn w:val="778"/>
    <w:uiPriority w:val="0"/>
    <w:qFormat/>
    <w:rPr>
      <w:rFonts w:hint="eastAsia" w:ascii="宋体" w:hAnsi="宋体" w:eastAsia="宋体" w:cs="宋体"/>
      <w:color w:val="000000"/>
      <w:sz w:val="20"/>
      <w:szCs w:val="20"/>
      <w:u w:val="none"/>
    </w:rPr>
  </w:style>
  <w:style w:type="character" w:styleId="979" w:customStyle="1">
    <w:name w:val="font61"/>
    <w:basedOn w:val="778"/>
    <w:uiPriority w:val="0"/>
    <w:qFormat/>
    <w:rPr>
      <w:rFonts w:hint="default" w:ascii="default" w:hAnsi="default" w:eastAsia="default" w:cs="default"/>
      <w:color w:val="000000"/>
      <w:sz w:val="20"/>
      <w:szCs w:val="20"/>
      <w:u w:val="none"/>
    </w:rPr>
  </w:style>
  <w:style w:type="character" w:styleId="980" w:customStyle="1">
    <w:name w:val="font81"/>
    <w:basedOn w:val="778"/>
    <w:uiPriority w:val="0"/>
    <w:qFormat/>
    <w:rPr>
      <w:rFonts w:hint="eastAsia" w:ascii="宋体" w:hAnsi="宋体" w:eastAsia="宋体" w:cs="宋体"/>
      <w:color w:val="000000"/>
      <w:sz w:val="20"/>
      <w:szCs w:val="20"/>
      <w:u w:val="none"/>
    </w:rPr>
  </w:style>
  <w:style w:type="character" w:styleId="981" w:customStyle="1">
    <w:name w:val="font121"/>
    <w:basedOn w:val="778"/>
    <w:uiPriority w:val="0"/>
    <w:qFormat/>
    <w:rPr>
      <w:rFonts w:hint="eastAsia" w:ascii="宋体" w:hAnsi="宋体" w:eastAsia="宋体" w:cs="宋体"/>
      <w:color w:val="000000"/>
      <w:sz w:val="20"/>
      <w:szCs w:val="20"/>
      <w:u w:val="none"/>
    </w:rPr>
  </w:style>
  <w:style w:type="paragraph" w:styleId="982" w:customStyle="1">
    <w:name w:val="正文_1_1"/>
    <w:uiPriority w:val="0"/>
    <w:qFormat/>
    <w:pPr>
      <w:jc w:val="both"/>
      <w:widowControl w:val="off"/>
    </w:pPr>
    <w:rPr>
      <w:rFonts w:ascii="Times New Roman" w:hAnsi="Times New Roman" w:eastAsia="宋体" w:cs="Times New Roman"/>
      <w:sz w:val="21"/>
      <w:szCs w:val="24"/>
      <w:lang w:val="en-US" w:eastAsia="zh-CN" w:bidi="ar-SA"/>
    </w:rPr>
  </w:style>
  <w:style w:type="character" w:styleId="983" w:customStyle="1">
    <w:name w:val="font91"/>
    <w:basedOn w:val="778"/>
    <w:uiPriority w:val="0"/>
    <w:qFormat/>
    <w:rPr>
      <w:rFonts w:hint="eastAsia" w:ascii="宋体" w:hAnsi="宋体" w:eastAsia="宋体" w:cs="宋体"/>
      <w:color w:val="000000"/>
      <w:sz w:val="12"/>
      <w:szCs w:val="12"/>
      <w:u w:val="none"/>
    </w:rPr>
  </w:style>
  <w:style w:type="numbering" w:styleId="600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庄诚</cp:lastModifiedBy>
  <cp:revision>26</cp:revision>
  <dcterms:created xsi:type="dcterms:W3CDTF">2014-10-29T12:08:00Z</dcterms:created>
  <dcterms:modified xsi:type="dcterms:W3CDTF">2026-03-24T03:59:31Z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EF2EC215801F4F5A86D048BD051ECAE0_13</vt:lpwstr>
  </property>
  <property fmtid="{D5CDD505-2E9C-101B-9397-08002B2CF9AE}" pid="4" name="KSOTemplateDocerSaveRecord">
    <vt:lpwstr>eyJoZGlkIjoiY2U4MzJhNWE1YjRmNmQ1ZjA3ZTI4Yzg5YmFmNjQ4NDUiLCJ1c2VySWQiOiIzNzg2Mzc1NjAifQ==</vt:lpwstr>
  </property>
</Properties>
</file>