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竞 争 性 谈 判</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采　购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江阴市璜土镇花港苑垃圾填埋场运输服务项目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JSZC-320281-YDGC-T2026-0005</w:t>
      </w:r>
      <w:r/>
    </w:p>
    <w:p>
      <w:pPr>
        <w:ind w:firstLine="964"/>
        <w:spacing w:line="360" w:lineRule="auto"/>
        <w:rPr>
          <w:rStyle w:val="899"/>
          <w:rFonts w:hint="eastAsia" w:ascii="宋体" w:hAnsi="宋体" w:eastAsia="宋体" w:cs="宋体"/>
        </w:rPr>
      </w:pPr>
      <w:r>
        <w:rPr>
          <w:rStyle w:val="899"/>
          <w:rFonts w:hint="eastAsia" w:ascii="宋体" w:hAnsi="宋体" w:eastAsia="宋体" w:cs="宋体"/>
        </w:rPr>
        <w:t xml:space="preserve">采购单位：</w:t>
      </w:r>
      <w:r>
        <w:rPr>
          <w:rStyle w:val="899"/>
          <w:rFonts w:hint="eastAsia" w:ascii="宋体" w:hAnsi="宋体" w:eastAsia="宋体" w:cs="宋体"/>
          <w:b w:val="0"/>
          <w:bCs w:val="0"/>
        </w:rPr>
        <w:t xml:space="preserve">江阴市璜土镇人民政府</w:t>
      </w:r>
      <w:r/>
    </w:p>
    <w:p>
      <w:pPr>
        <w:ind w:firstLine="964"/>
        <w:keepLines/>
        <w:keepNext/>
        <w:spacing w:line="360" w:lineRule="auto"/>
        <w:rPr>
          <w:rFonts w:ascii="宋体" w:hAnsi="宋体" w:eastAsia="宋体" w:cs="Times New Roman"/>
          <w:bCs/>
          <w:sz w:val="32"/>
          <w:szCs w:val="32"/>
        </w:rPr>
        <w:outlineLvl w:val="1"/>
      </w:pPr>
      <w:r/>
      <w:bookmarkStart w:id="2" w:name="_Toc311189701"/>
      <w:r/>
      <w:bookmarkStart w:id="3" w:name="_Toc311189772"/>
      <w:r>
        <w:rPr>
          <w:rStyle w:val="899"/>
          <w:rFonts w:hint="eastAsia" w:ascii="宋体" w:hAnsi="宋体" w:eastAsia="宋体" w:cs="宋体"/>
        </w:rPr>
        <w:t xml:space="preserve">采购代理机构：</w:t>
      </w:r>
      <w:bookmarkEnd w:id="2"/>
      <w:r/>
      <w:bookmarkEnd w:id="3"/>
      <w:r>
        <w:rPr>
          <w:rStyle w:val="899"/>
          <w:rFonts w:hint="eastAsia" w:ascii="宋体" w:hAnsi="宋体" w:eastAsia="宋体" w:cs="宋体"/>
          <w:b w:val="0"/>
          <w:bCs w:val="0"/>
        </w:rPr>
        <w:t xml:space="preserve">永道工程咨询（江苏）有限公司</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8"/>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eastAsia="zh-CN"/>
        </w:rPr>
        <w:t xml:space="preserve">五</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13"/>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\o "#_Toc213847313" </w:instrText>
      </w:r>
      <w:r>
        <w:fldChar w:fldCharType="separate"/>
      </w:r>
      <w:r>
        <w:rPr>
          <w:rStyle w:val="727"/>
          <w:rFonts w:hint="eastAsia" w:ascii="宋体" w:hAnsi="宋体" w:eastAsia="宋体"/>
          <w:color w:val="auto"/>
          <w:sz w:val="30"/>
          <w:szCs w:val="30"/>
        </w:rPr>
        <w:t xml:space="preserve">第一章　竞争性谈判邀请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Style w:val="727"/>
          <w:rFonts w:hint="eastAsia" w:ascii="宋体" w:hAnsi="宋体" w:eastAsia="宋体"/>
          <w:color w:val="auto"/>
          <w:sz w:val="30"/>
          <w:szCs w:val="30"/>
        </w:rPr>
        <w:t xml:space="preserve">2</w:t>
      </w:r>
      <w:r>
        <w:rPr>
          <w:rFonts w:eastAsia="宋体"/>
          <w:sz w:val="30"/>
          <w:szCs w:val="30"/>
        </w:rPr>
        <w:fldChar w:fldCharType="end"/>
      </w:r>
      <w:r>
        <w:rPr>
          <w:rFonts w:eastAsia="宋体"/>
          <w:sz w:val="30"/>
          <w:szCs w:val="30"/>
        </w:rPr>
        <w:fldChar w:fldCharType="end"/>
      </w:r>
      <w:r/>
    </w:p>
    <w:p>
      <w:pPr>
        <w:pStyle w:val="71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\o "#_Toc213847314" </w:instrText>
      </w:r>
      <w:r>
        <w:fldChar w:fldCharType="separate"/>
      </w:r>
      <w:r>
        <w:rPr>
          <w:rStyle w:val="727"/>
          <w:rFonts w:hint="eastAsia" w:ascii="宋体" w:hAnsi="宋体" w:eastAsia="宋体"/>
          <w:color w:val="auto"/>
          <w:sz w:val="30"/>
          <w:szCs w:val="30"/>
        </w:rPr>
        <w:t xml:space="preserve">第二章　供应商须知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Style w:val="727"/>
          <w:rFonts w:hint="eastAsia" w:ascii="宋体" w:hAnsi="宋体" w:eastAsia="宋体"/>
          <w:color w:val="auto"/>
          <w:sz w:val="30"/>
          <w:szCs w:val="30"/>
        </w:rPr>
        <w:t xml:space="preserve">5</w:t>
      </w:r>
      <w:r>
        <w:rPr>
          <w:rFonts w:eastAsia="宋体"/>
          <w:sz w:val="30"/>
          <w:szCs w:val="30"/>
        </w:rPr>
        <w:fldChar w:fldCharType="end"/>
      </w:r>
      <w:r>
        <w:rPr>
          <w:rFonts w:eastAsia="宋体"/>
          <w:sz w:val="30"/>
          <w:szCs w:val="30"/>
        </w:rPr>
        <w:fldChar w:fldCharType="end"/>
      </w:r>
      <w:r/>
    </w:p>
    <w:p>
      <w:pPr>
        <w:pStyle w:val="71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\o "#_Toc213847315" </w:instrText>
      </w:r>
      <w:r>
        <w:fldChar w:fldCharType="separate"/>
      </w:r>
      <w:r>
        <w:rPr>
          <w:rStyle w:val="727"/>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Style w:val="727"/>
          <w:rFonts w:hint="eastAsia" w:ascii="宋体" w:hAnsi="宋体" w:eastAsia="宋体"/>
          <w:color w:val="auto"/>
          <w:sz w:val="30"/>
          <w:szCs w:val="30"/>
        </w:rPr>
        <w:t xml:space="preserve">17</w:t>
      </w:r>
      <w:r>
        <w:rPr>
          <w:rFonts w:eastAsia="宋体"/>
          <w:sz w:val="30"/>
          <w:szCs w:val="30"/>
        </w:rPr>
        <w:fldChar w:fldCharType="end"/>
      </w:r>
      <w:r>
        <w:rPr>
          <w:rFonts w:eastAsia="宋体"/>
          <w:sz w:val="30"/>
          <w:szCs w:val="30"/>
        </w:rPr>
        <w:fldChar w:fldCharType="end"/>
      </w:r>
      <w:r/>
    </w:p>
    <w:p>
      <w:pPr>
        <w:pStyle w:val="71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\o "#_Toc213847317" </w:instrText>
      </w:r>
      <w:r>
        <w:fldChar w:fldCharType="separate"/>
      </w:r>
      <w:r>
        <w:rPr>
          <w:rStyle w:val="727"/>
          <w:rFonts w:hint="eastAsia" w:ascii="宋体" w:hAnsi="宋体" w:eastAsia="宋体"/>
          <w:color w:val="auto"/>
          <w:sz w:val="30"/>
          <w:szCs w:val="30"/>
        </w:rPr>
        <w:t xml:space="preserve">第四章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Style w:val="727"/>
          <w:rFonts w:hint="eastAsia" w:ascii="宋体" w:hAnsi="宋体" w:eastAsia="宋体"/>
          <w:color w:val="auto"/>
          <w:sz w:val="30"/>
          <w:szCs w:val="30"/>
        </w:rPr>
        <w:t xml:space="preserve">20</w:t>
      </w:r>
      <w:r>
        <w:rPr>
          <w:rFonts w:eastAsia="宋体"/>
          <w:sz w:val="30"/>
          <w:szCs w:val="30"/>
        </w:rPr>
        <w:fldChar w:fldCharType="end"/>
      </w:r>
      <w:r>
        <w:rPr>
          <w:rFonts w:eastAsia="宋体"/>
          <w:sz w:val="30"/>
          <w:szCs w:val="30"/>
        </w:rPr>
        <w:fldChar w:fldCharType="end"/>
      </w:r>
      <w:r/>
    </w:p>
    <w:p>
      <w:pPr>
        <w:pStyle w:val="713"/>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\o "#_Toc213847318" </w:instrText>
      </w:r>
      <w:r>
        <w:fldChar w:fldCharType="separate"/>
      </w:r>
      <w:r>
        <w:rPr>
          <w:rStyle w:val="727"/>
          <w:rFonts w:hint="eastAsia" w:ascii="宋体" w:hAnsi="宋体" w:eastAsia="宋体"/>
          <w:color w:val="auto"/>
          <w:sz w:val="30"/>
          <w:szCs w:val="30"/>
        </w:rPr>
        <w:t xml:space="preserve">第五章　谈判响应文件的组成和格式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Style w:val="727"/>
          <w:rFonts w:hint="eastAsia" w:ascii="宋体" w:hAnsi="宋体" w:eastAsia="宋体"/>
          <w:color w:val="auto"/>
          <w:sz w:val="30"/>
          <w:szCs w:val="30"/>
        </w:rPr>
        <w:t xml:space="preserve">23</w:t>
      </w:r>
      <w:r>
        <w:rPr>
          <w:rFonts w:eastAsia="宋体"/>
          <w:sz w:val="30"/>
          <w:szCs w:val="30"/>
        </w:rPr>
        <w:fldChar w:fldCharType="end"/>
      </w:r>
      <w:r>
        <w:rPr>
          <w:rFonts w:eastAsia="宋体"/>
          <w:sz w:val="30"/>
          <w:szCs w:val="30"/>
        </w:rPr>
        <w:fldChar w:fldCharType="end"/>
      </w:r>
      <w:r/>
    </w:p>
    <w:p>
      <w:pPr>
        <w:pStyle w:val="721"/>
        <w:spacing w:before="120" w:after="120" w:line="600" w:lineRule="exact"/>
        <w:sectPr>
          <w:footerReference w:type="even" r:id="rId10"/>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721"/>
      </w:pPr>
      <w:r/>
      <w:r/>
    </w:p>
    <w:p>
      <w:pPr>
        <w:pStyle w:val="721"/>
      </w:pPr>
      <w:r/>
      <w:bookmarkStart w:id="6" w:name="_Toc213847313"/>
      <w:r>
        <w:rPr>
          <w:rFonts w:hint="eastAsia"/>
        </w:rPr>
        <w:t xml:space="preserve">第一章　</w:t>
      </w:r>
      <w:bookmarkEnd w:id="4"/>
      <w:r/>
      <w:bookmarkEnd w:id="5"/>
      <w:r/>
      <w:bookmarkEnd w:id="6"/>
      <w:r>
        <w:rPr>
          <w:rFonts w:hint="eastAsia"/>
        </w:rPr>
        <w:t xml:space="preserve">竞争性谈判邀请</w:t>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江阴市璜土镇花港苑垃圾填埋场运输服务项目</w:t>
      </w:r>
      <w:r>
        <w:rPr>
          <w:rFonts w:ascii="宋体" w:hAnsi="宋体" w:eastAsia="宋体" w:cs="Times New Roman"/>
          <w:sz w:val="24"/>
          <w:szCs w:val="24"/>
        </w:rPr>
        <w:t xml:space="preserve">的潜在</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2026-</w:t>
      </w:r>
      <w:r>
        <w:rPr>
          <w:rFonts w:hint="eastAsia" w:ascii="宋体" w:hAnsi="宋体" w:eastAsia="宋体" w:cs="Times New Roman"/>
          <w:sz w:val="24"/>
          <w:szCs w:val="24"/>
          <w:lang w:val="en-US" w:eastAsia="zh-CN"/>
        </w:rPr>
        <w:t xml:space="preserve">06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0</w:t>
      </w:r>
      <w:r>
        <w:rPr>
          <w:rFonts w:ascii="宋体" w:hAnsi="宋体" w:eastAsia="宋体" w:cs="Times New Roman"/>
          <w:sz w:val="24"/>
          <w:szCs w:val="24"/>
        </w:rPr>
        <w:t xml:space="preserve">0 （北京时间）前</w:t>
      </w:r>
      <w:r>
        <w:rPr>
          <w:rFonts w:hint="eastAsia" w:ascii="宋体" w:hAnsi="宋体" w:eastAsia="宋体" w:cs="Times New Roman"/>
          <w:sz w:val="24"/>
          <w:szCs w:val="24"/>
        </w:rPr>
        <w:t xml:space="preserve">提交响应</w:t>
      </w:r>
      <w:r>
        <w:rPr>
          <w:rFonts w:ascii="宋体" w:hAnsi="宋体" w:eastAsia="宋体" w:cs="Times New Roman"/>
          <w:sz w:val="24"/>
          <w:szCs w:val="24"/>
        </w:rPr>
        <w:t xml:space="preserve">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JSZC-320281-YDGC-T2026-0005</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江阴市璜土镇花港苑垃圾填埋场运输服务项目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w:t>
      </w:r>
      <w:r>
        <w:rPr>
          <w:rFonts w:hint="eastAsia" w:ascii="宋体" w:hAnsi="宋体" w:eastAsia="宋体" w:cs="Times New Roman"/>
          <w:sz w:val="24"/>
          <w:szCs w:val="24"/>
        </w:rPr>
        <w:t xml:space="preserve">竞争性谈判</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50</w:t>
      </w:r>
      <w:r>
        <w:rPr>
          <w:rFonts w:hint="eastAsia" w:ascii="宋体" w:hAnsi="宋体" w:eastAsia="宋体" w:cs="Times New Roman"/>
          <w:sz w:val="24"/>
          <w:szCs w:val="24"/>
        </w:rPr>
        <w:t xml:space="preserve">万元</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综合单价</w:t>
      </w:r>
      <w:r>
        <w:rPr>
          <w:rFonts w:hint="eastAsia" w:ascii="宋体" w:hAnsi="宋体" w:eastAsia="宋体" w:cs="Times New Roman"/>
          <w:sz w:val="24"/>
          <w:szCs w:val="24"/>
          <w:lang w:eastAsia="zh-CN"/>
        </w:rPr>
        <w:t xml:space="preserve">每公里每吨</w:t>
      </w: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rPr>
        <w:t xml:space="preserve">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采购需求：</w:t>
      </w:r>
      <w:r>
        <w:rPr>
          <w:rFonts w:hint="eastAsia" w:ascii="宋体" w:hAnsi="宋体" w:eastAsia="宋体" w:cs="Times New Roman"/>
          <w:sz w:val="24"/>
          <w:szCs w:val="24"/>
          <w:lang w:val="en-US" w:eastAsia="zh-CN"/>
        </w:rPr>
        <w:t xml:space="preserve">将花港苑垃圾填埋场内12万立方的填埋</w:t>
      </w:r>
      <w:r>
        <w:rPr>
          <w:rFonts w:hint="eastAsia" w:ascii="宋体" w:hAnsi="宋体" w:eastAsia="宋体" w:cs="Times New Roman"/>
          <w:sz w:val="24"/>
          <w:szCs w:val="24"/>
          <w:lang w:val="en-US" w:eastAsia="zh-CN"/>
        </w:rPr>
        <w:t xml:space="preserve">垃圾运输至光大电厂或江阴市环保集团有限公司</w:t>
      </w:r>
      <w:r>
        <w:rPr>
          <w:rFonts w:hint="eastAsia" w:ascii="宋体" w:hAnsi="宋体" w:eastAsia="宋体" w:cs="Times New Roman"/>
          <w:sz w:val="24"/>
          <w:szCs w:val="24"/>
        </w:rPr>
        <w:t xml:space="preserve">。（详见采购文件）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ascii="宋体" w:hAnsi="宋体" w:cs="宋体"/>
          <w:sz w:val="24"/>
          <w:highlight w:val="none"/>
        </w:rPr>
        <w:t xml:space="preserve">202</w:t>
      </w:r>
      <w:r>
        <w:rPr>
          <w:rFonts w:hint="eastAsia" w:ascii="宋体" w:hAnsi="宋体" w:cs="宋体"/>
          <w:sz w:val="24"/>
          <w:highlight w:val="none"/>
          <w:lang w:val="en-US" w:eastAsia="zh-CN"/>
        </w:rPr>
        <w:t xml:space="preserve">7</w:t>
      </w:r>
      <w:r>
        <w:rPr>
          <w:rFonts w:ascii="宋体" w:hAnsi="宋体" w:cs="宋体"/>
          <w:sz w:val="24"/>
          <w:highlight w:val="none"/>
        </w:rPr>
        <w:t xml:space="preserve">年</w:t>
      </w:r>
      <w:r>
        <w:rPr>
          <w:rFonts w:hint="eastAsia" w:ascii="宋体" w:hAnsi="宋体" w:cs="宋体"/>
          <w:sz w:val="24"/>
          <w:highlight w:val="none"/>
          <w:lang w:val="en-US" w:eastAsia="zh-CN"/>
        </w:rPr>
        <w:t xml:space="preserve">8</w:t>
      </w:r>
      <w:r>
        <w:rPr>
          <w:rFonts w:ascii="宋体" w:hAnsi="宋体" w:cs="宋体"/>
          <w:sz w:val="24"/>
          <w:highlight w:val="none"/>
        </w:rPr>
        <w:t xml:space="preserve">月底前完成</w:t>
      </w:r>
      <w:r>
        <w:rPr>
          <w:rFonts w:hint="eastAsia" w:ascii="宋体" w:hAnsi="宋体" w:cs="宋体"/>
          <w:sz w:val="24"/>
          <w:highlight w:val="none"/>
          <w:lang w:val="en-US" w:eastAsia="zh-CN"/>
        </w:rPr>
        <w:t xml:space="preserve">垃圾运输服务</w:t>
      </w:r>
      <w:r>
        <w:rPr>
          <w:rFonts w:hint="eastAsia" w:ascii="宋体" w:hAnsi="宋体" w:cs="宋体"/>
          <w:sz w:val="24"/>
          <w:highlight w:val="none"/>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cs="宋体"/>
          <w:sz w:val="24"/>
        </w:rPr>
        <w:t xml:space="preserve">投标人须为中小微企业（残疾人福利性单位、监狱企业视同小型、微型企业）。</w:t>
      </w:r>
      <w:r>
        <w:rPr>
          <w:rFonts w:hint="eastAsia" w:ascii="宋体" w:hAnsi="宋体" w:eastAsia="宋体" w:cs="Times New Roman"/>
          <w:sz w:val="24"/>
          <w:szCs w:val="24"/>
        </w:rPr>
        <w:t xml:space="preserve">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宋体"/>
          <w:sz w:val="24"/>
        </w:rPr>
        <w:t xml:space="preserve">有效的《道路运输经营许可证》</w:t>
      </w:r>
      <w:r>
        <w:rPr>
          <w:rFonts w:hint="eastAsia" w:ascii="宋体" w:hAnsi="宋体"/>
          <w:sz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采购</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自谈判文件公告发布之日起</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w:t>
      </w:r>
      <w:r>
        <w:rPr>
          <w:rFonts w:hint="eastAsia" w:ascii="宋体" w:hAnsi="宋体" w:eastAsia="宋体" w:cs="Times New Roman"/>
          <w:b/>
          <w:sz w:val="24"/>
          <w:szCs w:val="24"/>
        </w:rPr>
        <w:t xml:space="preserve">响应文件提交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截止时间：</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0</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:0</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五</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开启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时间：</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0</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0</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六</w:t>
      </w:r>
      <w:r>
        <w:rPr>
          <w:rFonts w:ascii="宋体" w:hAnsi="宋体" w:eastAsia="宋体" w:cs="Times New Roman"/>
          <w:b/>
          <w:sz w:val="24"/>
          <w:szCs w:val="24"/>
        </w:rPr>
        <w:t xml:space="preserve">、公告期限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w:t>
      </w:r>
      <w:r>
        <w:rPr>
          <w:rFonts w:hint="eastAsia" w:ascii="宋体" w:hAnsi="宋体" w:eastAsia="宋体" w:cs="Times New Roman"/>
          <w:sz w:val="24"/>
          <w:szCs w:val="24"/>
          <w:lang w:val="en-US" w:eastAsia="zh-CN"/>
        </w:rPr>
        <w:t xml:space="preserve">3</w:t>
      </w:r>
      <w:r>
        <w:rPr>
          <w:rFonts w:ascii="宋体" w:hAnsi="宋体" w:eastAsia="宋体" w:cs="Times New Roman"/>
          <w:sz w:val="24"/>
          <w:szCs w:val="24"/>
        </w:rPr>
        <w:t xml:space="preserve">个工作日。</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七</w:t>
      </w:r>
      <w:r>
        <w:rPr>
          <w:rFonts w:ascii="宋体" w:hAnsi="宋体" w:eastAsia="宋体" w:cs="Times New Roman"/>
          <w:b/>
          <w:sz w:val="24"/>
          <w:szCs w:val="24"/>
        </w:rPr>
        <w:t xml:space="preserve">、其他补充事宜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八</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凡</w:t>
      </w:r>
      <w:r>
        <w:rPr>
          <w:rFonts w:ascii="宋体" w:hAnsi="宋体" w:eastAsia="宋体" w:cs="Times New Roman"/>
          <w:b/>
          <w:sz w:val="24"/>
          <w:szCs w:val="24"/>
        </w:rPr>
        <w:t xml:space="preserve">对本次</w:t>
      </w:r>
      <w:r>
        <w:rPr>
          <w:rFonts w:hint="eastAsia" w:ascii="宋体" w:hAnsi="宋体" w:eastAsia="宋体" w:cs="Times New Roman"/>
          <w:b/>
          <w:sz w:val="24"/>
          <w:szCs w:val="24"/>
        </w:rPr>
        <w:t xml:space="preserve">采购</w:t>
      </w:r>
      <w:r>
        <w:rPr>
          <w:rFonts w:ascii="宋体" w:hAnsi="宋体" w:eastAsia="宋体" w:cs="Times New Roman"/>
          <w:b/>
          <w:sz w:val="24"/>
          <w:szCs w:val="24"/>
        </w:rPr>
        <w:t xml:space="preserve">提出询问，请按以下方式联系 </w:t>
      </w:r>
      <w:r/>
    </w:p>
    <w:p>
      <w:pPr>
        <w:ind w:firstLine="480"/>
        <w:spacing w:line="440" w:lineRule="exact"/>
        <w:rPr>
          <w:rFonts w:hint="eastAsia" w:ascii="宋体" w:hAnsi="宋体" w:cs="宋体"/>
          <w:sz w:val="24"/>
        </w:rPr>
      </w:pPr>
      <w:r>
        <w:rPr>
          <w:rFonts w:hint="eastAsia" w:ascii="宋体" w:hAnsi="宋体" w:cs="宋体"/>
          <w:sz w:val="24"/>
        </w:rPr>
        <w:t xml:space="preserve">1、采购人信息</w:t>
      </w:r>
      <w:r/>
    </w:p>
    <w:p>
      <w:pPr>
        <w:ind w:firstLine="480"/>
        <w:spacing w:line="440" w:lineRule="exact"/>
        <w:rPr>
          <w:rFonts w:hint="eastAsia" w:ascii="宋体" w:hAnsi="宋体" w:eastAsia="宋体" w:cs="宋体"/>
          <w:sz w:val="24"/>
          <w:lang w:eastAsia="zh-CN"/>
        </w:rPr>
      </w:pPr>
      <w:r/>
      <w:bookmarkStart w:id="9" w:name="_Toc28359009"/>
      <w:r/>
      <w:bookmarkStart w:id="10" w:name="_Toc28359086"/>
      <w:r>
        <w:rPr>
          <w:rFonts w:hint="eastAsia" w:ascii="宋体" w:hAnsi="宋体" w:cs="宋体"/>
          <w:sz w:val="24"/>
        </w:rPr>
        <w:t xml:space="preserve">名　　称：</w:t>
      </w:r>
      <w:r>
        <w:rPr>
          <w:rFonts w:hint="eastAsia" w:ascii="宋体" w:hAnsi="宋体" w:cs="宋体"/>
          <w:sz w:val="24"/>
          <w:lang w:eastAsia="zh-CN"/>
        </w:rPr>
        <w:t xml:space="preserve">江阴市璜土镇人民政府</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联 系 人：</w:t>
      </w:r>
      <w:r>
        <w:rPr>
          <w:rFonts w:hint="eastAsia" w:ascii="宋体" w:hAnsi="宋体" w:eastAsia="宋体" w:cs="宋体"/>
          <w:sz w:val="24"/>
          <w:lang w:eastAsia="zh-CN"/>
        </w:rPr>
        <w:t xml:space="preserve">周肖军</w:t>
      </w:r>
      <w:r/>
    </w:p>
    <w:p>
      <w:pPr>
        <w:ind w:firstLine="480"/>
        <w:spacing w:line="440" w:lineRule="exact"/>
        <w:rPr>
          <w:rFonts w:hint="default" w:ascii="宋体" w:hAnsi="宋体" w:eastAsia="宋体" w:cs="宋体"/>
          <w:sz w:val="24"/>
          <w:lang w:val="en-US" w:eastAsia="zh-CN"/>
        </w:rPr>
      </w:pPr>
      <w:r>
        <w:rPr>
          <w:rFonts w:hint="eastAsia" w:ascii="宋体" w:hAnsi="宋体" w:cs="宋体"/>
          <w:sz w:val="24"/>
        </w:rPr>
        <w:t xml:space="preserve">联系电话：</w:t>
      </w:r>
      <w:r>
        <w:rPr>
          <w:rFonts w:hint="eastAsia" w:ascii="宋体" w:hAnsi="宋体" w:eastAsia="宋体" w:cs="宋体"/>
          <w:sz w:val="24"/>
          <w:lang w:val="en-US" w:eastAsia="zh-CN"/>
        </w:rPr>
        <w:t xml:space="preserve">0510-86051017</w:t>
      </w:r>
      <w:r/>
    </w:p>
    <w:p>
      <w:pPr>
        <w:ind w:firstLine="480"/>
        <w:spacing w:line="440" w:lineRule="exact"/>
        <w:rPr>
          <w:rFonts w:hint="eastAsia" w:ascii="宋体" w:hAnsi="宋体" w:cs="宋体"/>
          <w:sz w:val="24"/>
        </w:rPr>
      </w:pPr>
      <w:r>
        <w:rPr>
          <w:rFonts w:hint="eastAsia" w:ascii="宋体" w:hAnsi="宋体" w:cs="宋体"/>
          <w:sz w:val="24"/>
        </w:rPr>
        <w:t xml:space="preserve">2、采购代理机构信息</w:t>
      </w:r>
      <w:bookmarkEnd w:id="9"/>
      <w:r/>
      <w:bookmarkEnd w:id="10"/>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永道工程咨询（江苏）有限公司</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地　　址：</w:t>
      </w:r>
      <w:r>
        <w:rPr>
          <w:rFonts w:hint="eastAsia" w:ascii="宋体" w:hAnsi="宋体" w:cs="宋体"/>
          <w:sz w:val="24"/>
          <w:lang w:eastAsia="zh-CN"/>
        </w:rPr>
        <w:t xml:space="preserve">江阴市长江路777号东方广场18号楼2501-2503室</w:t>
      </w:r>
      <w:r/>
    </w:p>
    <w:p>
      <w:pPr>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eastAsia="宋体" w:cs="宋体"/>
          <w:sz w:val="24"/>
          <w:lang w:eastAsia="zh-CN"/>
        </w:rPr>
        <w:t xml:space="preserve">顾玲艳</w:t>
      </w:r>
      <w:r/>
    </w:p>
    <w:p>
      <w:pPr>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eastAsia="宋体" w:cs="宋体"/>
          <w:sz w:val="24"/>
          <w:lang w:eastAsia="zh-CN"/>
        </w:rPr>
        <w:t xml:space="preserve">13912456547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eastAsia="宋体" w:cs="宋体"/>
          <w:sz w:val="24"/>
          <w:lang w:eastAsia="zh-CN"/>
        </w:rPr>
        <w:t xml:space="preserve">顾玲艳</w:t>
      </w:r>
      <w:r/>
    </w:p>
    <w:p>
      <w:pPr>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eastAsia="宋体" w:cs="宋体"/>
          <w:sz w:val="24"/>
          <w:lang w:eastAsia="zh-CN"/>
        </w:rPr>
        <w:t xml:space="preserve">13912456547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21"/>
      </w:pPr>
      <w:r/>
      <w:r/>
    </w:p>
    <w:p>
      <w:pPr>
        <w:pStyle w:val="721"/>
      </w:pPr>
      <w:r/>
      <w:bookmarkStart w:id="11" w:name="_Toc213847314"/>
      <w:r>
        <w:rPr>
          <w:rFonts w:hint="eastAsia"/>
        </w:rPr>
        <w:t xml:space="preserve">第二章　</w:t>
      </w:r>
      <w:r>
        <w:rPr>
          <w:rFonts w:hint="eastAsia" w:hAnsi="宋体"/>
        </w:rPr>
        <w:t xml:space="preserve">供应商</w:t>
      </w:r>
      <w:r>
        <w:rPr>
          <w:rFonts w:hint="eastAsia"/>
        </w:rPr>
        <w:t xml:space="preserve">须知</w:t>
      </w:r>
      <w:bookmarkEnd w:id="7"/>
      <w:r/>
      <w:bookmarkEnd w:id="8"/>
      <w:r/>
      <w:bookmarkEnd w:id="11"/>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w:t>
      </w:r>
      <w:r>
        <w:rPr>
          <w:rFonts w:hint="eastAsia" w:ascii="黑体" w:eastAsia="黑体"/>
          <w:sz w:val="28"/>
        </w:rPr>
        <w:t xml:space="preserve">竞争性谈判文件</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1、竞争性谈判文件包括本文件目录所列全部内容，供应商应仔细阅读，并在谈判响应文件中充分反映谈判文件的所有要求。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2、谈判文件中的“法定代表人”是指供应商的营业执照或相关部门的有效登记证明文件中的“法定代表人”或“负责人”。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下载采购文件及有关资料，按采购文件要求提交全部资料并对采购文件各项内容做出实质性响应，否则报价无效。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4、供应商一旦参加竞争性谈判，即被认为接受了本谈判文件中的所有条件和规定。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sz w:val="24"/>
        </w:rPr>
        <w:t xml:space="preserve">谈判文件仅作为本次竞争性谈判采购使用</w:t>
      </w:r>
      <w:r>
        <w:rPr>
          <w:rFonts w:hint="eastAsia" w:ascii="宋体" w:hAnsi="宋体" w:eastAsia="宋体" w:cs="Times New Roman"/>
          <w:sz w:val="24"/>
          <w:szCs w:val="24"/>
        </w:rPr>
        <w:t xml:space="preserve">。</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w:t>
      </w:r>
      <w:r>
        <w:rPr>
          <w:rFonts w:hint="eastAsia" w:ascii="黑体" w:eastAsia="黑体"/>
          <w:sz w:val="28"/>
        </w:rPr>
        <w:t xml:space="preserve">竞争性谈判文件</w:t>
      </w:r>
      <w:r>
        <w:rPr>
          <w:rFonts w:hint="eastAsia" w:ascii="黑体" w:hAnsi="Times New Roman" w:eastAsia="黑体" w:cs="Times New Roman"/>
          <w:sz w:val="28"/>
          <w:szCs w:val="24"/>
        </w:rPr>
        <w:t xml:space="preserve">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1、供应商如有需要对竞争性谈判文件要求澄清的问题，请于谈判响应文件截止接收时间前三天以书面形式提出，并送至</w:t>
      </w:r>
      <w:r>
        <w:rPr>
          <w:rFonts w:hint="eastAsia" w:ascii="宋体" w:hAnsi="宋体" w:cs="宋体"/>
          <w:sz w:val="24"/>
          <w:szCs w:val="28"/>
          <w:lang w:eastAsia="zh-CN"/>
        </w:rPr>
        <w:t xml:space="preserve">永道工程咨询（江苏）有限公司</w:t>
      </w:r>
      <w:r>
        <w:rPr>
          <w:rFonts w:hint="eastAsia" w:ascii="宋体" w:hAnsi="宋体" w:cs="宋体"/>
          <w:sz w:val="24"/>
          <w:szCs w:val="28"/>
        </w:rPr>
        <w:t xml:space="preserve">，并将电子文档形式发至邮箱：</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w:t>
      </w:r>
      <w:r>
        <w:rPr>
          <w:rFonts w:hint="eastAsia" w:ascii="宋体" w:hAnsi="宋体" w:cs="宋体"/>
          <w:sz w:val="24"/>
          <w:szCs w:val="28"/>
        </w:rPr>
        <w:t xml:space="preserve">采购人</w:t>
      </w:r>
      <w:r>
        <w:rPr>
          <w:rFonts w:hint="eastAsia" w:ascii="宋体" w:hAnsi="宋体" w:eastAsia="宋体" w:cs="Times New Roman"/>
          <w:sz w:val="24"/>
          <w:szCs w:val="24"/>
        </w:rPr>
        <w:t xml:space="preserve">。</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w:t>
      </w:r>
      <w:r>
        <w:rPr>
          <w:rFonts w:hint="eastAsia" w:ascii="黑体" w:eastAsia="黑体"/>
          <w:sz w:val="28"/>
        </w:rPr>
        <w:t xml:space="preserve">竞争性谈判文件</w:t>
      </w:r>
      <w:r>
        <w:rPr>
          <w:rFonts w:hint="eastAsia" w:ascii="黑体" w:hAnsi="Times New Roman" w:eastAsia="黑体" w:cs="Times New Roman"/>
          <w:sz w:val="28"/>
          <w:szCs w:val="24"/>
        </w:rPr>
        <w:t xml:space="preserve">的补充或修正：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宋体"/>
          <w:sz w:val="24"/>
          <w:szCs w:val="28"/>
        </w:rPr>
        <w:t xml:space="preserve">采购人或采购代理机构</w:t>
      </w:r>
      <w:r>
        <w:rPr>
          <w:rFonts w:hint="eastAsia" w:ascii="宋体" w:hAnsi="宋体" w:eastAsia="宋体" w:cs="Times New Roman"/>
          <w:sz w:val="24"/>
          <w:szCs w:val="24"/>
        </w:rPr>
        <w:t xml:space="preserve">可在提交首次谈判响应文件截止时间3个工作日前对谈判文件进行必要的澄清或者修改，视采购具体情况，可延长提交首次谈判响应文件截止时间。</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2、如需对谈判文件进行澄清或修改，且澄清或者修改的内容可能影响谈判响应文件的编制，</w:t>
      </w:r>
      <w:r>
        <w:rPr>
          <w:rFonts w:hint="eastAsia" w:ascii="宋体" w:hAnsi="宋体" w:cs="宋体"/>
          <w:sz w:val="24"/>
          <w:szCs w:val="28"/>
        </w:rPr>
        <w:t xml:space="preserve">采购人或采购代理机构</w:t>
      </w:r>
      <w:r>
        <w:rPr>
          <w:rFonts w:hint="eastAsia" w:ascii="宋体" w:hAnsi="宋体" w:eastAsia="宋体" w:cs="Times New Roman"/>
          <w:sz w:val="24"/>
          <w:szCs w:val="24"/>
        </w:rPr>
        <w:t xml:space="preserve">将在财政部门指定的政府采购信息发布媒体上发布更正公告，该澄清或修改的内容为谈判文件的组成部分。供应商应在谈判响应文件接收截止时间前关注原采购公告媒体上发布的相关更正公告。因供应商未尽注意义务，未及时全面地关注更正公告导致其提交的谈判响应文件不符合</w:t>
      </w:r>
      <w:r>
        <w:rPr>
          <w:rFonts w:hint="eastAsia" w:ascii="宋体" w:hAnsi="宋体" w:eastAsia="宋体" w:cs="Times New Roman"/>
          <w:sz w:val="24"/>
          <w:szCs w:val="24"/>
          <w:lang w:eastAsia="zh-CN"/>
        </w:rPr>
        <w:t xml:space="preserve">采购文件</w:t>
      </w:r>
      <w:r>
        <w:rPr>
          <w:rFonts w:hint="eastAsia" w:ascii="宋体" w:hAnsi="宋体" w:eastAsia="宋体" w:cs="Times New Roman"/>
          <w:sz w:val="24"/>
          <w:szCs w:val="24"/>
        </w:rPr>
        <w:t xml:space="preserve">要求，而造成的损失及风险（包括但不限于未成交）由供应商自行承担。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w:t>
      </w:r>
      <w:r>
        <w:rPr>
          <w:rFonts w:hint="eastAsia" w:ascii="黑体" w:eastAsia="黑体"/>
          <w:sz w:val="28"/>
        </w:rPr>
        <w:t xml:space="preserve">谈判响应文件</w:t>
      </w:r>
      <w:r>
        <w:rPr>
          <w:rFonts w:hint="eastAsia" w:ascii="黑体" w:hAnsi="Times New Roman" w:eastAsia="黑体" w:cs="Times New Roman"/>
          <w:sz w:val="28"/>
          <w:szCs w:val="24"/>
        </w:rPr>
        <w:t xml:space="preserve">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谈判响应文件由下列部分组成：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响应函；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项目报价总表；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供应商综合实力（包括第三章实质性要求中须提供的设备、人员相关证明材料）；</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b/>
          <w:sz w:val="24"/>
        </w:rPr>
        <w:t xml:space="preserve">（法定代表人签署谈判响应文件且亲自参与的需提供《法定代表人亲自谈判声明》）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供应商须持有</w:t>
      </w:r>
      <w:r>
        <w:rPr>
          <w:rFonts w:hint="eastAsia" w:ascii="宋体" w:hAnsi="宋体" w:eastAsia="宋体" w:cs="宋体"/>
          <w:sz w:val="24"/>
        </w:rPr>
        <w:t xml:space="preserve">有效的《道路运输经营许可证》</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6</w:t>
      </w:r>
      <w:r>
        <w:rPr>
          <w:rFonts w:hint="eastAsia" w:ascii="宋体" w:hAnsi="宋体" w:eastAsia="宋体" w:cs="Times New Roman"/>
          <w:sz w:val="24"/>
          <w:szCs w:val="28"/>
        </w:rPr>
        <w:t xml:space="preserve">）供应商</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w:t>
      </w:r>
      <w:r>
        <w:rPr>
          <w:rFonts w:hint="eastAsia" w:asciiTheme="minorEastAsia" w:hAnsiTheme="minorEastAsia"/>
          <w:sz w:val="24"/>
        </w:rPr>
        <w:t xml:space="preserve">无效谈判响应文件</w:t>
      </w:r>
      <w:r>
        <w:rPr>
          <w:rFonts w:hint="eastAsia" w:ascii="宋体" w:hAnsi="宋体" w:eastAsia="宋体" w:cs="Times New Roman"/>
          <w:sz w:val="24"/>
          <w:szCs w:val="24"/>
        </w:rPr>
        <w:t xml:space="preserve">。</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③谈判响应文件构成资料为非中文时应提供中文译版。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④采购文件要求提供证书证件等原件电子件的，供应商提供的电子件应是对证书证件等原件通过扫描、拍照等方式进行数字化的可被电子交易平台识别的数字文件，否则谈判小组可以视其未提供。</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⑤联合体谈判的，由联合体牵头单位编制、提交谈判响应文件。</w:t>
      </w:r>
      <w:r/>
    </w:p>
    <w:p>
      <w:pPr>
        <w:ind w:firstLine="480"/>
        <w:jc w:val="left"/>
        <w:spacing w:line="40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⑥本项目不接受纸质谈判响应文件。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w:t>
      </w:r>
      <w:r>
        <w:rPr>
          <w:rFonts w:hint="eastAsia" w:ascii="黑体" w:eastAsia="黑体"/>
          <w:sz w:val="28"/>
        </w:rPr>
        <w:t xml:space="preserve">谈判响应文件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采购文件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w:t>
      </w:r>
      <w:r>
        <w:rPr>
          <w:rFonts w:hint="eastAsia" w:ascii="宋体" w:hAnsi="宋体" w:eastAsia="宋体" w:cs="宋体"/>
          <w:sz w:val="24"/>
          <w:szCs w:val="24"/>
        </w:rPr>
        <w:t xml:space="preserve">询标、谈判变动响应、提交最后报价</w:t>
      </w:r>
      <w:r>
        <w:rPr>
          <w:rFonts w:ascii="宋体" w:hAnsi="宋体" w:eastAsia="宋体" w:cs="宋体"/>
          <w:sz w:val="24"/>
          <w:szCs w:val="24"/>
        </w:rPr>
        <w:t xml:space="preserve">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②谈判</w:t>
      </w:r>
      <w:r>
        <w:rPr>
          <w:rFonts w:ascii="宋体" w:hAnsi="宋体" w:eastAsia="宋体" w:cs="宋体"/>
          <w:sz w:val="24"/>
          <w:szCs w:val="24"/>
        </w:rPr>
        <w:t xml:space="preserve">当日，</w:t>
      </w:r>
      <w:r>
        <w:rPr>
          <w:rFonts w:hint="eastAsia" w:ascii="宋体" w:hAnsi="宋体" w:eastAsia="宋体" w:cs="宋体"/>
          <w:sz w:val="24"/>
          <w:szCs w:val="24"/>
        </w:rPr>
        <w:t xml:space="preserve">供应商</w:t>
      </w:r>
      <w:r>
        <w:rPr>
          <w:rFonts w:ascii="宋体" w:hAnsi="宋体" w:eastAsia="宋体" w:cs="宋体"/>
          <w:sz w:val="24"/>
          <w:szCs w:val="24"/>
        </w:rPr>
        <w:t xml:space="preserve">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谈判公告中规定的截止时间。供应商应充分考虑到网络环境、网络带宽等风险因素，如因供应商自身原因造成的电子响应文件上传不成功的做无效响应处理。采购人可以按照规定，通过修改谈判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w:t>
      </w:r>
      <w:r>
        <w:rPr>
          <w:rFonts w:hint="eastAsia" w:ascii="宋体" w:hAnsi="宋体" w:eastAsia="宋体" w:cs="宋体"/>
          <w:sz w:val="24"/>
          <w:szCs w:val="24"/>
        </w:rPr>
        <w:t xml:space="preserve">供应商</w:t>
      </w:r>
      <w:r>
        <w:rPr>
          <w:rFonts w:ascii="宋体" w:hAnsi="宋体" w:eastAsia="宋体" w:cs="宋体"/>
          <w:sz w:val="24"/>
          <w:szCs w:val="24"/>
        </w:rPr>
        <w:t xml:space="preserve">参与远程交互的授权委托人或法人代表应始终为同一个人，中途不得更换，在异议提出等特殊情况下需要交互时，</w:t>
      </w:r>
      <w:r>
        <w:rPr>
          <w:rFonts w:hint="eastAsia" w:ascii="宋体" w:hAnsi="宋体" w:eastAsia="宋体" w:cs="宋体"/>
          <w:sz w:val="24"/>
          <w:szCs w:val="24"/>
        </w:rPr>
        <w:t xml:space="preserve">供应商</w:t>
      </w:r>
      <w:r>
        <w:rPr>
          <w:rFonts w:ascii="宋体" w:hAnsi="宋体" w:eastAsia="宋体" w:cs="宋体"/>
          <w:sz w:val="24"/>
          <w:szCs w:val="24"/>
        </w:rPr>
        <w:t xml:space="preserve">一端参与交互的人员将均被视为是</w:t>
      </w:r>
      <w:r>
        <w:rPr>
          <w:rFonts w:hint="eastAsia" w:ascii="宋体" w:hAnsi="宋体" w:eastAsia="宋体" w:cs="宋体"/>
          <w:sz w:val="24"/>
          <w:szCs w:val="24"/>
        </w:rPr>
        <w:t xml:space="preserve">供应商</w:t>
      </w:r>
      <w:r>
        <w:rPr>
          <w:rFonts w:ascii="宋体" w:hAnsi="宋体" w:eastAsia="宋体" w:cs="宋体"/>
          <w:sz w:val="24"/>
          <w:szCs w:val="24"/>
        </w:rPr>
        <w:t xml:space="preserve">的授权委托人或法人代表，</w:t>
      </w:r>
      <w:r>
        <w:rPr>
          <w:rFonts w:hint="eastAsia" w:ascii="宋体" w:hAnsi="宋体" w:eastAsia="宋体" w:cs="宋体"/>
          <w:sz w:val="24"/>
          <w:szCs w:val="24"/>
        </w:rPr>
        <w:t xml:space="preserve">供应商</w:t>
      </w:r>
      <w:r>
        <w:rPr>
          <w:rFonts w:ascii="宋体" w:hAnsi="宋体" w:eastAsia="宋体" w:cs="宋体"/>
          <w:sz w:val="24"/>
          <w:szCs w:val="24"/>
        </w:rPr>
        <w:t xml:space="preserve">不得以不承认交互人员的资格或身份等为借口抵赖推脱，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自行承担随意更换人员所导致的一切后果。</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⑧为顺利实现本项目开评标的远程交互，建议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3、竞争性谈判的有效期为评审后90天。</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4、竞争性谈判费用自理。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w:t>
      </w:r>
      <w:r>
        <w:rPr>
          <w:rFonts w:hint="eastAsia" w:ascii="黑体" w:eastAsia="黑体"/>
          <w:sz w:val="28"/>
        </w:rPr>
        <w:t xml:space="preserve">谈判响应文件</w:t>
      </w:r>
      <w:r>
        <w:rPr>
          <w:rFonts w:hint="eastAsia" w:ascii="黑体" w:hAnsi="Times New Roman" w:eastAsia="黑体" w:cs="Times New Roman"/>
          <w:sz w:val="28"/>
          <w:szCs w:val="24"/>
        </w:rPr>
        <w:t xml:space="preserve">的确认：</w:t>
      </w:r>
      <w:r/>
    </w:p>
    <w:p>
      <w:pPr>
        <w:ind w:firstLine="482"/>
        <w:jc w:val="left"/>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（一）供应商存在下列情况之一的，其谈判响应文件无效：</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1、谈判响应文件未按谈判文件要求签署、盖章的；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2、不具备谈判文件中规定的资格要求的，未提供格式条款《关于资格的声明函》承诺书或者对该承诺书作实质性修改的；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3、报价超过谈判文件中规定的预算金额或者最高限价的；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4、谈判响应文件含有采购人不能接受的附加条件的；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5、谈判响应文件未按规定的期限、地点提交的；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6、谈判响应文件内容未实质性响应或不符合法律法规和谈判文件中规定的其它实质性要求的；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7、谈判响应文件中同一方案有选择性报价且未声明以哪一个为准的；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8、不响应谈判文件中的付款方式的；</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9、其他法律、法规及本谈判文件规定的属无效报价的情形。</w:t>
      </w:r>
      <w:r/>
    </w:p>
    <w:p>
      <w:pPr>
        <w:ind w:firstLine="482"/>
        <w:jc w:val="left"/>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（二）供应商有下列情形之一的，视为恶意串通，其谈判响应文件无效，并按《政府采购法》第七十七条规定追究法律责任：</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1、供应商直接或间接从采购人或采购代理机构处获得其他供应商的谈判情况，并修改其谈判响应文件；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2、评审活动开始前供应商直接或间接从采购人或采购代理机构处获得谈判小组组成人员情况；</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3、供应商接受采购人或采购代理机构授意撤换、修改谈判响应文件；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4、供应商之间协商报价、技术方案等谈判响应文件实质性内容；</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5、属于同一集团、协会、商会等组织成员的供应商按照该组织要求协同谈判；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6、供应商之间事先约定由某一特定供应商成交；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7、供应商之间商定部分供应商放弃谈判或者放弃成交；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8、供应商与采购人或采购代理机构之间、供应商相互之间为谋求特定供应商成交或者排斥其他供应商的其他串通行为；</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9、不同供应商的谈判响应文件由同一单位或者个人编制；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10、不同供应商委托同一单位或者个人办理采购事宜；</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11、不同供应商的谈判响应文件载明的项目管理成员为同一人；</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12、不同供应商的谈判响应文件异常一致或者报价呈规律性差异；</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13、不同供应商的谈判响应文件相互混装。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八、谈判、评审：</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（注：进入项目评审流程后，建议各供应商法定代表人或授权委托人始终保持通讯顺畅，时刻关注不见面开标大厅，不离开不见面开标大厅。）</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1、谈判、评审工作由</w:t>
      </w:r>
      <w:r>
        <w:rPr>
          <w:rFonts w:hint="eastAsia" w:ascii="宋体" w:hAnsi="宋体" w:eastAsia="宋体" w:cs="宋体"/>
          <w:sz w:val="24"/>
        </w:rPr>
        <w:t xml:space="preserve">采购人和采购代理机构</w:t>
      </w:r>
      <w:r>
        <w:rPr>
          <w:rFonts w:hint="eastAsia" w:cs="Times New Roman" w:asciiTheme="minorEastAsia" w:hAnsiTheme="minorEastAsia"/>
          <w:bCs/>
          <w:sz w:val="24"/>
          <w:szCs w:val="24"/>
        </w:rPr>
        <w:t xml:space="preserve">负责组织。具体谈判、评审事务由依法组建的谈判小组负责。</w:t>
      </w:r>
      <w:r>
        <w:rPr>
          <w:rFonts w:hint="eastAsia" w:cs="Times New Roman" w:asciiTheme="minorEastAsia" w:hAnsiTheme="minorEastAsia"/>
          <w:sz w:val="24"/>
          <w:szCs w:val="24"/>
        </w:rPr>
        <w:t xml:space="preserve">采购人代表和有关专家依法组成谈判小组，参加评审的专家实行回避制度。</w:t>
      </w:r>
      <w:r/>
    </w:p>
    <w:p>
      <w:pPr>
        <w:pStyle w:val="702"/>
        <w:ind w:firstLine="480"/>
        <w:rPr>
          <w:rFonts w:hint="eastAsia" w:ascii="宋体" w:hAnsi="宋体" w:eastAsia="宋体" w:cs="宋体"/>
          <w:sz w:val="24"/>
        </w:rPr>
      </w:pPr>
      <w:r>
        <w:rPr>
          <w:rFonts w:hint="eastAsia" w:cs="Times New Roman" w:asciiTheme="minorEastAsia" w:hAnsiTheme="minorEastAsia"/>
          <w:bCs/>
          <w:sz w:val="24"/>
          <w:szCs w:val="24"/>
        </w:rPr>
        <w:t xml:space="preserve">2、</w:t>
      </w:r>
      <w:r>
        <w:rPr>
          <w:rFonts w:hint="eastAsia" w:ascii="宋体" w:hAnsi="宋体" w:eastAsia="宋体" w:cs="宋体"/>
          <w:sz w:val="24"/>
        </w:rPr>
        <w:t xml:space="preserve">对投标供应商进行资格审查</w:t>
      </w:r>
      <w:r/>
    </w:p>
    <w:p>
      <w:pPr>
        <w:pStyle w:val="702"/>
        <w:ind w:firstLine="480"/>
        <w:rPr>
          <w:rFonts w:cs="Times New Roman" w:asciiTheme="minorEastAsia" w:hAnsiTheme="minorEastAsia"/>
          <w:bCs/>
          <w:sz w:val="24"/>
          <w:szCs w:val="24"/>
        </w:rPr>
      </w:pPr>
      <w:r>
        <w:rPr>
          <w:rFonts w:hint="eastAsia" w:ascii="宋体" w:hAnsi="宋体" w:eastAsia="宋体" w:cs="宋体"/>
          <w:sz w:val="24"/>
        </w:rPr>
        <w:t xml:space="preserve">开标结束后，由采购人和采购代理机构组建资格审查小组，在公证或监督下依法对投标供应商的资格进行审查。</w:t>
      </w:r>
      <w:r/>
    </w:p>
    <w:p>
      <w:pPr>
        <w:ind w:firstLine="480"/>
        <w:spacing w:line="400" w:lineRule="exact"/>
        <w:rPr>
          <w:rFonts w:cs="Times New Roman" w:asciiTheme="minorEastAsia" w:hAnsiTheme="minorEastAsia"/>
          <w:bCs/>
          <w:sz w:val="24"/>
          <w:szCs w:val="24"/>
        </w:rPr>
      </w:pPr>
      <w:r>
        <w:rPr>
          <w:rFonts w:hint="eastAsia" w:ascii="宋体" w:hAnsi="宋体" w:eastAsia="宋体" w:cs="宋体"/>
          <w:sz w:val="24"/>
        </w:rPr>
        <w:t xml:space="preserve">采购人及采购代理机构在采购文件接受截止时间的</w:t>
      </w:r>
      <w:r>
        <w:rPr>
          <w:rFonts w:hint="eastAsia" w:cs="Times New Roman" w:asciiTheme="minorEastAsia" w:hAnsiTheme="minorEastAsia"/>
          <w:sz w:val="24"/>
          <w:szCs w:val="24"/>
        </w:rPr>
        <w:t xml:space="preserve">同时</w:t>
      </w:r>
      <w:r>
        <w:rPr>
          <w:rFonts w:hint="eastAsia" w:eastAsia="宋体" w:cs="Times New Roman" w:asciiTheme="minorEastAsia" w:hAnsiTheme="minorEastAsia"/>
          <w:sz w:val="24"/>
          <w:szCs w:val="24"/>
          <w:lang w:eastAsia="zh-CN"/>
        </w:rPr>
        <w:t xml:space="preserve">，</w:t>
      </w:r>
      <w:r>
        <w:rPr>
          <w:rFonts w:hint="eastAsia" w:cs="Times New Roman" w:asciiTheme="minorEastAsia" w:hAnsiTheme="minorEastAsia"/>
          <w:sz w:val="24"/>
          <w:szCs w:val="24"/>
        </w:rPr>
        <w:t xml:space="preserve">将在“信用中国”网站对供应商是否被列入失信被执行人、重大税收违法失信主体、政府采购严重失信行为记录名单情况进行查询，以确定供应商是否具备参加谈判的资格。</w:t>
      </w:r>
      <w:r>
        <w:rPr>
          <w:rFonts w:ascii="宋体" w:hAnsi="宋体" w:eastAsia="宋体" w:cs="Times New Roman"/>
          <w:sz w:val="24"/>
          <w:szCs w:val="24"/>
        </w:rPr>
        <w:t xml:space="preserve">信用查询结果以网页打印的形式留存并归档。</w:t>
      </w:r>
      <w:r>
        <w:rPr>
          <w:rFonts w:hint="eastAsia" w:cs="Times New Roman" w:asciiTheme="minorEastAsia" w:hAnsi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0"/>
          <w:numId w:val="0"/>
        </w:numPr>
        <w:ind w:firstLine="420"/>
        <w:spacing w:line="400" w:lineRule="exact"/>
        <w:rPr>
          <w:rFonts w:hint="eastAsia" w:cs="Times New Roman" w:asciiTheme="minorEastAsia" w:hAnsiTheme="minorEastAsia"/>
          <w:sz w:val="24"/>
          <w:szCs w:val="24"/>
        </w:rPr>
      </w:pPr>
      <w:r>
        <w:rPr>
          <w:rFonts w:hint="eastAsia" w:cs="Times New Roman" w:asciiTheme="minorEastAsia" w:hAnsiTheme="minorEastAsia" w:eastAsiaTheme="minorEastAsia"/>
          <w:sz w:val="24"/>
          <w:szCs w:val="24"/>
        </w:rPr>
        <w:t xml:space="preserve">3、</w:t>
      </w:r>
      <w:r>
        <w:rPr>
          <w:rFonts w:hint="eastAsia" w:cs="Times New Roman" w:asciiTheme="minorEastAsia" w:hAnsiTheme="minorEastAsia"/>
          <w:sz w:val="24"/>
          <w:szCs w:val="24"/>
        </w:rPr>
        <w:t xml:space="preserve">符合性检查：</w:t>
      </w:r>
      <w:r>
        <w:rPr>
          <w:rFonts w:hint="eastAsia" w:cs="Times New Roman" w:asciiTheme="minorEastAsia" w:hAnsiTheme="minorEastAsia"/>
          <w:bCs/>
          <w:sz w:val="24"/>
          <w:szCs w:val="24"/>
        </w:rPr>
        <w:t xml:space="preserve">谈判小组</w:t>
      </w:r>
      <w:r>
        <w:rPr>
          <w:rFonts w:hint="eastAsia" w:cs="Times New Roman" w:asciiTheme="minorEastAsia" w:hAnsiTheme="minorEastAsia"/>
          <w:sz w:val="24"/>
          <w:szCs w:val="24"/>
        </w:rPr>
        <w:t xml:space="preserve">依据采购文件的规定，从谈判响应文件的有效性、完整性和对采购文件的响应程度进行审查，以确定是否对采购文件的实质性要求作出响应。</w:t>
      </w:r>
      <w:r/>
    </w:p>
    <w:p>
      <w:pPr>
        <w:numPr>
          <w:ilvl w:val="0"/>
          <w:numId w:val="0"/>
        </w:numPr>
        <w:ind w:firstLine="420"/>
        <w:spacing w:line="400" w:lineRule="exact"/>
        <w:rPr>
          <w:rFonts w:cs="Times New Roman" w:asciiTheme="minorEastAsia" w:hAnsiTheme="minorEastAsia"/>
          <w:sz w:val="24"/>
          <w:szCs w:val="24"/>
        </w:rPr>
      </w:pPr>
      <w:r>
        <w:rPr>
          <w:rFonts w:hint="default" w:cs="Times New Roman" w:asciiTheme="minorEastAsia" w:hAnsiTheme="minorEastAsia" w:eastAsiaTheme="minorEastAsia"/>
          <w:sz w:val="24"/>
          <w:szCs w:val="24"/>
        </w:rPr>
        <w:t xml:space="preserve">4、</w:t>
      </w:r>
      <w:r>
        <w:rPr>
          <w:rFonts w:hint="eastAsia" w:cs="Times New Roman" w:asciiTheme="minorEastAsia" w:hAnsiTheme="minorEastAsia"/>
          <w:sz w:val="24"/>
          <w:szCs w:val="24"/>
        </w:rPr>
        <w:t xml:space="preserve">谈判响应文件的澄清：为有利于评选审查，谈判小组在评审过程中，可随时要求供应商对其谈判响应文件中含义不明确、同类问题表述不一致或者有明显文字和计算错误的内容等作出必要的澄清、说明或者更正。供应商的澄清、说明或者更正不得超过响应文件的范围或者改变响应文件的实质性内容。谈判小组要求供应商澄清、说明或者更正响应文件应当以书面形式做出。</w:t>
      </w:r>
      <w:r/>
    </w:p>
    <w:p>
      <w:pPr>
        <w:ind w:firstLine="547"/>
        <w:spacing w:line="400" w:lineRule="exact"/>
        <w:tabs>
          <w:tab w:val="left" w:pos="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本项目供应商的澄清、说明或者补正采用线上澄清:谈判小组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00" w:lineRule="exact"/>
        <w:rPr>
          <w:rFonts w:ascii="宋体" w:hAnsi="宋体" w:eastAsia="宋体" w:cs="Times New Roman"/>
          <w:sz w:val="24"/>
          <w:szCs w:val="24"/>
        </w:rPr>
      </w:pPr>
      <w:r>
        <w:rPr>
          <w:rFonts w:hint="eastAsia" w:eastAsia="宋体" w:cs="Times New Roman" w:asciiTheme="minorEastAsia" w:hAnsiTheme="minorEastAsia"/>
          <w:bCs/>
          <w:sz w:val="24"/>
          <w:szCs w:val="24"/>
          <w:lang w:val="en-US" w:eastAsia="zh-CN"/>
        </w:rPr>
        <w:t xml:space="preserve">5</w:t>
      </w:r>
      <w:r>
        <w:rPr>
          <w:rFonts w:hint="eastAsia" w:cs="Times New Roman" w:asciiTheme="minorEastAsia" w:hAnsiTheme="minorEastAsia"/>
          <w:bCs/>
          <w:sz w:val="24"/>
          <w:szCs w:val="24"/>
        </w:rPr>
        <w:t xml:space="preserve">、</w:t>
      </w:r>
      <w:r>
        <w:rPr>
          <w:rFonts w:hint="eastAsia" w:ascii="宋体" w:hAnsi="宋体" w:eastAsia="宋体" w:cs="Times New Roman"/>
          <w:sz w:val="24"/>
          <w:szCs w:val="24"/>
        </w:rPr>
        <w:t xml:space="preserve">谈判小组所有成员应当集中与单一供应商分别进行谈判，并给予所有参加谈判的供应商平等的谈判机会。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谈判小组通过“苏采云”系统向供应商发布“谈判函”，供应商应当按照要求在“苏采云”系统提交“谈判响应函”并加盖CA电子公章。</w:t>
      </w:r>
      <w:r/>
    </w:p>
    <w:p>
      <w:pPr>
        <w:ind w:firstLine="480"/>
        <w:spacing w:line="400" w:lineRule="exact"/>
        <w:rPr>
          <w:rFonts w:ascii="宋体" w:hAnsi="宋体" w:eastAsia="宋体" w:cs="Times New Roman"/>
          <w:sz w:val="24"/>
          <w:szCs w:val="24"/>
        </w:rPr>
      </w:pPr>
      <w:r>
        <w:rPr>
          <w:rFonts w:hint="eastAsia" w:eastAsia="宋体"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w:t>
      </w:r>
      <w:r>
        <w:rPr>
          <w:rFonts w:hint="eastAsia" w:ascii="宋体" w:hAnsi="宋体" w:eastAsia="宋体" w:cs="Times New Roman"/>
          <w:sz w:val="24"/>
          <w:szCs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谈判小组将在“苏采云”系统中同时通知所有参加谈判的供应商，供应商应当按照谈判文件的变动情况和谈判小组的要求在“苏采云”系统中重新提交响应文件，并加盖CA电子公章。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、已提交响应文件的供应商，在提交最后报价之前，可以根据谈判情况退出谈判，并在“苏采云”系统中提交“退出谈判函”并加盖CA电子公章。</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9、异常低价投标（响应）审查</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（c）投标（响应）报价低于采购项目最高限价45%的，即投标（响应）报价&lt;采购项目最高限价×45%；</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b/>
          <w:bCs/>
          <w:sz w:val="24"/>
          <w:highlight w:val="yellow"/>
        </w:rPr>
      </w:pPr>
      <w:r>
        <w:rPr>
          <w:rFonts w:hint="eastAsia" w:ascii="宋体" w:hAnsi="宋体"/>
          <w:b/>
          <w:bCs/>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九、确定成交单位：</w:t>
      </w:r>
      <w:r/>
    </w:p>
    <w:p>
      <w:pPr>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谈判小组应当从质量和服务均能满足采购文件实质性响应要求的供应商中，按照最后报价由低到高的顺序提出3名以上成交候选人，并编写评审报告。采购人确定第一成交候选人为成交供应商。（</w:t>
      </w:r>
      <w:r>
        <w:rPr>
          <w:rFonts w:ascii="宋体" w:hAnsi="宋体" w:eastAsia="宋体" w:cs="Times New Roman"/>
          <w:sz w:val="24"/>
          <w:szCs w:val="24"/>
        </w:rPr>
        <w:t xml:space="preserve">若供应商</w:t>
      </w:r>
      <w:r>
        <w:rPr>
          <w:rFonts w:hint="eastAsia" w:ascii="宋体" w:hAnsi="宋体" w:eastAsia="宋体" w:cs="Times New Roman"/>
          <w:sz w:val="24"/>
          <w:szCs w:val="24"/>
        </w:rPr>
        <w:t xml:space="preserve">最后报价</w:t>
      </w:r>
      <w:r>
        <w:rPr>
          <w:rFonts w:ascii="宋体" w:hAnsi="宋体" w:eastAsia="宋体" w:cs="Times New Roman"/>
          <w:sz w:val="24"/>
          <w:szCs w:val="24"/>
        </w:rPr>
        <w:t xml:space="preserve">一致，以服务</w:t>
      </w:r>
      <w:r>
        <w:rPr>
          <w:rFonts w:hint="eastAsia" w:ascii="宋体" w:hAnsi="宋体" w:eastAsia="宋体" w:cs="Times New Roman"/>
          <w:sz w:val="24"/>
          <w:szCs w:val="24"/>
        </w:rPr>
        <w:t xml:space="preserve">方案</w:t>
      </w:r>
      <w:r>
        <w:rPr>
          <w:rFonts w:ascii="宋体" w:hAnsi="宋体" w:eastAsia="宋体" w:cs="Times New Roman"/>
          <w:sz w:val="24"/>
          <w:szCs w:val="24"/>
        </w:rPr>
        <w:t xml:space="preserve">较优者</w:t>
      </w:r>
      <w:r>
        <w:rPr>
          <w:rFonts w:hint="eastAsia" w:ascii="宋体" w:hAnsi="宋体" w:eastAsia="宋体" w:cs="Times New Roman"/>
          <w:sz w:val="24"/>
          <w:szCs w:val="24"/>
        </w:rPr>
        <w:t xml:space="preserve">排序在前</w:t>
      </w:r>
      <w:r>
        <w:rPr>
          <w:rFonts w:ascii="宋体" w:hAnsi="宋体" w:eastAsia="宋体" w:cs="Times New Roman"/>
          <w:sz w:val="24"/>
          <w:szCs w:val="24"/>
        </w:rPr>
        <w:t xml:space="preserve">；若</w:t>
      </w:r>
      <w:r>
        <w:rPr>
          <w:rFonts w:hint="eastAsia" w:ascii="宋体" w:hAnsi="宋体" w:eastAsia="宋体" w:cs="Times New Roman"/>
          <w:sz w:val="24"/>
          <w:szCs w:val="24"/>
        </w:rPr>
        <w:t xml:space="preserve">最后报价</w:t>
      </w:r>
      <w:r>
        <w:rPr>
          <w:rFonts w:ascii="宋体" w:hAnsi="宋体" w:eastAsia="宋体" w:cs="Times New Roman"/>
          <w:sz w:val="24"/>
          <w:szCs w:val="24"/>
        </w:rPr>
        <w:t xml:space="preserve">一致</w:t>
      </w:r>
      <w:r>
        <w:rPr>
          <w:rFonts w:hint="eastAsia" w:ascii="宋体" w:hAnsi="宋体" w:eastAsia="宋体" w:cs="Times New Roman"/>
          <w:sz w:val="24"/>
          <w:szCs w:val="24"/>
        </w:rPr>
        <w:t xml:space="preserve">且</w:t>
      </w:r>
      <w:r>
        <w:rPr>
          <w:rFonts w:ascii="宋体" w:hAnsi="宋体" w:eastAsia="宋体" w:cs="Times New Roman"/>
          <w:sz w:val="24"/>
          <w:szCs w:val="24"/>
        </w:rPr>
        <w:t xml:space="preserve">服务</w:t>
      </w:r>
      <w:r>
        <w:rPr>
          <w:rFonts w:hint="eastAsia" w:ascii="宋体" w:hAnsi="宋体" w:eastAsia="宋体" w:cs="Times New Roman"/>
          <w:sz w:val="24"/>
          <w:szCs w:val="24"/>
        </w:rPr>
        <w:t xml:space="preserve">方案相当</w:t>
      </w:r>
      <w:r>
        <w:rPr>
          <w:rFonts w:ascii="宋体" w:hAnsi="宋体" w:eastAsia="宋体" w:cs="Times New Roman"/>
          <w:sz w:val="24"/>
          <w:szCs w:val="24"/>
        </w:rPr>
        <w:t xml:space="preserve">，</w:t>
      </w:r>
      <w:r>
        <w:rPr>
          <w:rFonts w:hint="eastAsia" w:ascii="宋体" w:hAnsi="宋体" w:eastAsia="宋体" w:cs="Times New Roman"/>
          <w:sz w:val="24"/>
          <w:szCs w:val="24"/>
        </w:rPr>
        <w:t xml:space="preserve">则由谈判小组以抽签方式确定</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2、确定成交供应商2个工作日内发布成交公告，并向成交供应商发出成交通知书。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3、谈判、评审及确定成交单位的整个过程均由相关部门进行现场监督。</w:t>
      </w:r>
      <w:r/>
    </w:p>
    <w:p>
      <w:pPr>
        <w:ind w:firstLine="480"/>
        <w:jc w:val="left"/>
        <w:spacing w:line="400" w:lineRule="exact"/>
        <w:rPr>
          <w:rFonts w:ascii="黑体" w:hAnsi="Times New Roman" w:eastAsia="黑体" w:cs="Times New Roman"/>
          <w:sz w:val="28"/>
          <w:szCs w:val="24"/>
        </w:rPr>
      </w:pPr>
      <w:r>
        <w:rPr>
          <w:rFonts w:hint="eastAsia" w:ascii="宋体" w:hAnsi="宋体" w:eastAsia="宋体" w:cs="Times New Roman"/>
          <w:sz w:val="24"/>
          <w:szCs w:val="24"/>
        </w:rPr>
        <w:t xml:space="preserve">4、</w:t>
      </w:r>
      <w:r>
        <w:rPr>
          <w:rFonts w:hint="eastAsia" w:ascii="宋体" w:hAnsi="宋体" w:eastAsia="宋体" w:cs="宋体"/>
          <w:sz w:val="24"/>
        </w:rPr>
        <w:t xml:space="preserve">采购人</w:t>
      </w:r>
      <w:r>
        <w:rPr>
          <w:rFonts w:hint="eastAsia" w:ascii="宋体" w:hAnsi="宋体" w:eastAsia="宋体" w:cs="宋体"/>
          <w:sz w:val="24"/>
          <w:lang w:eastAsia="zh-CN"/>
        </w:rPr>
        <w:t xml:space="preserve">及采购代理机构</w:t>
      </w:r>
      <w:r>
        <w:rPr>
          <w:rFonts w:hint="eastAsia" w:ascii="宋体" w:hAnsi="宋体" w:eastAsia="宋体" w:cs="Times New Roman"/>
          <w:sz w:val="24"/>
          <w:szCs w:val="24"/>
        </w:rPr>
        <w:t xml:space="preserve">不负责向任何供应商说明成交或不成交的原因。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供应商质疑按《中华人民共和国政府采购法》、《中华人民共和国政府采购法实施条例》、《政府采购</w:t>
      </w:r>
      <w:r>
        <w:rPr>
          <w:rFonts w:hint="eastAsia" w:ascii="宋体" w:hAnsi="宋体" w:eastAsia="宋体" w:cs="Times New Roman"/>
          <w:sz w:val="24"/>
          <w:szCs w:val="24"/>
        </w:rPr>
        <w:t xml:space="preserve">非招标采购方式管理办法</w:t>
      </w:r>
      <w:r>
        <w:rPr>
          <w:rFonts w:ascii="宋体" w:hAnsi="宋体" w:eastAsia="宋体" w:cs="Times New Roman"/>
          <w:sz w:val="24"/>
          <w:szCs w:val="24"/>
        </w:rPr>
        <w:t xml:space="preserve">》、《政府采购质疑和投诉办法》、《江苏省政府采购供应商监督管理暂行办法》有关规定处理。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提出质疑。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将只对其第一次质疑作出答复。提出质疑的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lang w:eastAsia="zh-CN"/>
        </w:rPr>
        <w:t xml:space="preserve">需</w:t>
      </w:r>
      <w:r>
        <w:rPr>
          <w:rFonts w:hint="eastAsia" w:ascii="宋体" w:hAnsi="宋体" w:eastAsia="宋体" w:cs="Times New Roman"/>
          <w:sz w:val="24"/>
          <w:szCs w:val="24"/>
        </w:rPr>
        <w:t xml:space="preserve">采用现场递交。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针对采购文件提出书面质疑的，须同时提供对可质疑的采购文件已进行依法获取的证明（即“苏采云”系统中本项目《投标供应商确认函》），且采购人或</w:t>
      </w:r>
      <w:r>
        <w:rPr>
          <w:rFonts w:hint="eastAsia" w:ascii="宋体" w:hAnsi="宋体" w:eastAsia="宋体" w:cs="Times New Roman"/>
          <w:b/>
          <w:sz w:val="24"/>
          <w:szCs w:val="24"/>
          <w:lang w:eastAsia="zh-CN"/>
        </w:rPr>
        <w:t xml:space="preserve">采购代理机构</w:t>
      </w:r>
      <w:r>
        <w:rPr>
          <w:rFonts w:hint="eastAsia" w:ascii="宋体" w:hAnsi="宋体" w:eastAsia="宋体" w:cs="Times New Roman"/>
          <w:b/>
          <w:sz w:val="24"/>
          <w:szCs w:val="24"/>
        </w:rPr>
        <w:t xml:space="preserve">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、供应商提出质疑的应当有明确的请求和必要的证明材料，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ascii="宋体" w:hAnsi="宋体" w:eastAsia="宋体" w:cs="Times New Roman"/>
          <w:sz w:val="24"/>
          <w:szCs w:val="24"/>
        </w:rPr>
        <w:t xml:space="preserve">将在收到供应商的有效书面质疑函后七个工作日内作出答复，并以书面形式通知质疑供应商和其他有关供应商，但答复的内容不得涉及商业秘密。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十一、采购项目的终止：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在竞争性谈判采购中，有下列情形之一者，采购人或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w:t>
      </w:r>
      <w:r>
        <w:rPr>
          <w:rFonts w:ascii="宋体" w:hAnsi="宋体" w:eastAsia="宋体" w:cs="Times New Roman"/>
          <w:sz w:val="24"/>
          <w:szCs w:val="24"/>
        </w:rPr>
        <w:t xml:space="preserve">终止采购活动，发布项目终止公告并说明原因，重新开展采购活动：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1、因情况变化，不再符合规定的竞争性谈判采购方式适用情形的；</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3、除《政府采购非招标采购方式管理办法》第二十七条第二款规定的情形外，在采购过程中符合竞争要求的供应商或者报价未超过采购预算的供应商不足3家的。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十二、谈判保证金：</w:t>
      </w:r>
      <w:r>
        <w:rPr>
          <w:rFonts w:hint="eastAsia" w:ascii="宋体" w:hAnsi="宋体" w:eastAsia="宋体" w:cs="Times New Roman"/>
          <w:bCs/>
          <w:sz w:val="24"/>
          <w:szCs w:val="24"/>
        </w:rPr>
        <w:t xml:space="preserve">本项目免收谈判保证金。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十三、成交无效的确认：</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（一）提供虚假材料谋取成交的；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（二）采取不正当手段诋毁、排挤其他供应商的；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（三）与采购人、其他供应商或者采购代理机构恶意串通的；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（四）向采购人、采购代理机构行贿或者提供其他不正当利益的；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（五）拒绝有关部门监督检查或者提供虚假情况的。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供应商有前款第（一）至（五）项情形之一的，成交无效。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s="Times New Roman" w:asciiTheme="minorEastAsia" w:hAnsiTheme="minorEastAsia"/>
          <w:sz w:val="24"/>
          <w:szCs w:val="24"/>
        </w:rPr>
        <w:t xml:space="preserve">合同需在</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档案留存。</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2、签订合同时，成交供应商须向</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提供1份与网上投标（响应）文件一致的纸制打印投标（响应）文件。</w:t>
      </w:r>
      <w:r/>
    </w:p>
    <w:p>
      <w:pPr>
        <w:ind w:firstLine="480"/>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3</w:t>
      </w:r>
      <w:r>
        <w:rPr>
          <w:rFonts w:cs="Times New Roman" w:asciiTheme="minorEastAsia" w:hAnsiTheme="minorEastAsia"/>
          <w:sz w:val="24"/>
          <w:szCs w:val="24"/>
        </w:rPr>
        <w:t xml:space="preserve">、</w:t>
      </w:r>
      <w:r>
        <w:rPr>
          <w:rFonts w:hint="eastAsia" w:ascii="宋体" w:hAnsi="宋体" w:eastAsia="宋体" w:cs="Times New Roman"/>
          <w:sz w:val="24"/>
          <w:szCs w:val="24"/>
        </w:rPr>
        <w:t xml:space="preserve">签订合同后，</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不得将合同标的进行转包。未经采购人同意，</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也不得采用分包的形式履行合同，否则采购人有权终止合同。转包或分包造成采购人损失的，</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应承担相应赔偿责任。</w:t>
      </w:r>
      <w:r/>
    </w:p>
    <w:p>
      <w:pPr>
        <w:ind w:firstLine="480"/>
        <w:spacing w:line="400" w:lineRule="exact"/>
        <w:rPr>
          <w:rFonts w:cs="Times New Roman" w:asciiTheme="minorEastAsia" w:hAnsiTheme="minorEastAsia"/>
          <w:sz w:val="24"/>
          <w:szCs w:val="24"/>
        </w:rPr>
      </w:pPr>
      <w:r>
        <w:rPr>
          <w:rFonts w:hint="eastAsia" w:eastAsia="宋体" w:cs="Times New Roman" w:asciiTheme="minorEastAsia" w:hAnsiTheme="minorEastAsia"/>
          <w:sz w:val="24"/>
          <w:szCs w:val="24"/>
          <w:lang w:val="en-US" w:eastAsia="zh-CN"/>
        </w:rPr>
        <w:t xml:space="preserve">4</w:t>
      </w:r>
      <w:r>
        <w:rPr>
          <w:rFonts w:hint="eastAsia" w:cs="Times New Roman" w:asciiTheme="minorEastAsia" w:hAnsiTheme="minorEastAsia"/>
          <w:sz w:val="24"/>
          <w:szCs w:val="24"/>
        </w:rPr>
        <w:t xml:space="preserve">、</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监督合同的履行，协调和处理履约过程中的问题，同时对售后</w:t>
      </w:r>
      <w:r>
        <w:rPr>
          <w:rFonts w:hint="eastAsia" w:cs="Times New Roman" w:asciiTheme="minorEastAsia" w:hAnsiTheme="minorEastAsia"/>
          <w:bCs/>
          <w:sz w:val="24"/>
          <w:szCs w:val="24"/>
        </w:rPr>
        <w:t xml:space="preserve">服务进行评</w:t>
      </w:r>
      <w:r>
        <w:rPr>
          <w:rFonts w:hint="eastAsia" w:cs="Times New Roman" w:asciiTheme="minorEastAsia" w:hAnsiTheme="minorEastAsia"/>
          <w:sz w:val="24"/>
          <w:szCs w:val="24"/>
        </w:rPr>
        <w:t xml:space="preserve">价。成交供应商未履行采购文件、谈判响应文件和合同规定的义务，</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将根据具体情况提请政府采购管理部门作出相应处理，不可抗力除外。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hint="eastAsia" w:ascii="宋体" w:hAnsi="宋体" w:eastAsia="黑体" w:cs="Times New Roman"/>
          <w:sz w:val="24"/>
          <w:szCs w:val="24"/>
          <w:lang w:eastAsia="zh-CN"/>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lang w:eastAsia="zh-CN"/>
        </w:rPr>
        <w:t xml:space="preserve">无</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360" w:lineRule="auto"/>
        <w:rPr>
          <w:rFonts w:ascii="宋体" w:hAnsi="宋体" w:eastAsia="宋体" w:cs="Times New Roman"/>
          <w:sz w:val="24"/>
          <w:szCs w:val="24"/>
          <w:highlight w:val="none"/>
        </w:rPr>
      </w:pPr>
      <w:r>
        <w:rPr>
          <w:rFonts w:hint="eastAsia" w:ascii="宋体" w:hAnsi="宋体"/>
          <w:sz w:val="24"/>
          <w:highlight w:val="none"/>
        </w:rPr>
        <w:t xml:space="preserve">项目完毕后，中标方书面通知采购人验收，采购人依据为国家有关规定、招标文件、中标方的投标文件以及其他相关文件和资料，根据实际按照《江苏省政府采购履约验收管理办法》（澄财购〔2025〕1号）</w:t>
      </w:r>
      <w:r>
        <w:rPr>
          <w:rFonts w:hint="eastAsia" w:ascii="宋体" w:hAnsi="宋体"/>
          <w:sz w:val="24"/>
          <w:highlight w:val="none"/>
        </w:rPr>
        <w:t xml:space="preserve">组织验收。对项目验收发生的检测（检验）费、劳务报酬等费用支出，采购合同有约定的按照约定执行；无约定的，由采购人承担。因供应商问题导致重新组织项目验收的，由供应商负</w:t>
      </w:r>
      <w:bookmarkStart w:id="22" w:name="_GoBack"/>
      <w:r/>
      <w:bookmarkEnd w:id="22"/>
      <w:r>
        <w:rPr>
          <w:rFonts w:hint="eastAsia" w:ascii="宋体" w:hAnsi="宋体"/>
          <w:sz w:val="24"/>
          <w:highlight w:val="none"/>
        </w:rPr>
        <w:t xml:space="preserve">担验收费用。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二十、成交服务费：</w:t>
      </w:r>
      <w:r/>
    </w:p>
    <w:p>
      <w:pPr>
        <w:ind w:firstLine="48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1、本项目中标服务费由中标人支付。中标人须在领取中标通知书之前，</w:t>
      </w:r>
      <w:r>
        <w:rPr>
          <w:rFonts w:hint="eastAsia"/>
          <w:sz w:val="24"/>
          <w:highlight w:val="none"/>
        </w:rPr>
        <w:t xml:space="preserve">以支票、汇票、电汇、现金等形式</w:t>
      </w:r>
      <w:r>
        <w:rPr>
          <w:rFonts w:hint="eastAsia" w:ascii="宋体" w:hAnsi="宋体" w:eastAsia="宋体" w:cs="Times New Roman"/>
          <w:sz w:val="24"/>
          <w:szCs w:val="24"/>
          <w:highlight w:val="none"/>
        </w:rPr>
        <w:t xml:space="preserve">向代理机构交纳中标服务费</w:t>
      </w:r>
      <w:r>
        <w:rPr>
          <w:rFonts w:hint="eastAsia" w:ascii="宋体" w:hAnsi="宋体" w:eastAsia="宋体" w:cs="Times New Roman"/>
          <w:sz w:val="24"/>
          <w:szCs w:val="24"/>
          <w:highlight w:val="none"/>
          <w:lang w:val="en-US" w:eastAsia="zh-CN"/>
        </w:rPr>
        <w:t xml:space="preserve">1.5万元</w:t>
      </w:r>
      <w:r>
        <w:rPr>
          <w:rFonts w:hint="eastAsia" w:ascii="宋体" w:hAnsi="宋体" w:eastAsia="宋体" w:cs="Times New Roman"/>
          <w:sz w:val="24"/>
          <w:szCs w:val="24"/>
          <w:highlight w:val="none"/>
        </w:rPr>
        <w:t xml:space="preserve">。</w:t>
      </w:r>
      <w:r/>
    </w:p>
    <w:p>
      <w:pPr>
        <w:ind w:firstLine="480"/>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highlight w:val="none"/>
        </w:rPr>
        <w:t xml:space="preserve">2、投标供应商应自行承担所有与参加投标有关的费用，无论</w:t>
      </w:r>
      <w:r>
        <w:rPr>
          <w:rFonts w:hint="eastAsia" w:ascii="宋体" w:hAnsi="宋体" w:eastAsia="宋体" w:cs="Times New Roman"/>
          <w:sz w:val="24"/>
          <w:szCs w:val="24"/>
        </w:rPr>
        <w:t xml:space="preserve">投标过程中的做法和结果如何，</w:t>
      </w:r>
      <w:r>
        <w:rPr>
          <w:rFonts w:hint="eastAsia" w:ascii="宋体" w:hAnsi="宋体" w:eastAsia="宋体" w:cs="Times New Roman"/>
          <w:sz w:val="24"/>
          <w:szCs w:val="24"/>
          <w:lang w:eastAsia="zh-CN"/>
        </w:rPr>
        <w:t xml:space="preserve">永道工程咨询（江苏）有限公司</w:t>
      </w:r>
      <w:r>
        <w:rPr>
          <w:rFonts w:hint="eastAsia" w:ascii="宋体" w:hAnsi="宋体" w:eastAsia="宋体" w:cs="Times New Roman"/>
          <w:sz w:val="24"/>
          <w:szCs w:val="24"/>
        </w:rPr>
        <w:t xml:space="preserve">在任何情况下均无义务和责任承担这些费用。</w:t>
      </w:r>
      <w:r/>
    </w:p>
    <w:p>
      <w:pPr>
        <w:pStyle w:val="721"/>
      </w:pPr>
      <w:r/>
      <w:r/>
    </w:p>
    <w:p>
      <w:pPr>
        <w:pStyle w:val="721"/>
        <w:rPr>
          <w:rFonts w:ascii="楷体_GB2312" w:hAnsi="Times New Roman" w:eastAsia="楷体_GB2312"/>
          <w:b/>
          <w:sz w:val="28"/>
          <w:szCs w:val="28"/>
        </w:rPr>
      </w:pPr>
      <w:r/>
      <w:bookmarkStart w:id="12" w:name="_Toc213847315"/>
      <w:r>
        <w:rPr>
          <w:rFonts w:hint="eastAsia"/>
        </w:rPr>
        <w:t xml:space="preserve">第三章　项目要求和有关说明</w:t>
      </w:r>
      <w:bookmarkEnd w:id="12"/>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（以下要求均为实质性要求）</w:t>
      </w:r>
      <w:r/>
    </w:p>
    <w:p>
      <w:pPr>
        <w:spacing w:line="400" w:lineRule="exact"/>
        <w:rPr>
          <w:rFonts w:ascii="黑体" w:hAnsi="黑体" w:eastAsia="黑体" w:cs="Times New Roman"/>
          <w:sz w:val="28"/>
          <w:szCs w:val="28"/>
        </w:rPr>
        <w:outlineLvl w:val="1"/>
      </w:pPr>
      <w:r/>
      <w:bookmarkStart w:id="13" w:name="_Toc251268361"/>
      <w:r/>
      <w:r/>
    </w:p>
    <w:p>
      <w:pPr>
        <w:ind w:firstLine="480"/>
        <w:spacing w:line="360" w:lineRule="auto"/>
        <w:rPr>
          <w:rFonts w:hint="eastAsia" w:ascii="宋体" w:hAnsi="宋体" w:cs="宋体"/>
          <w:b/>
          <w:bCs/>
          <w:sz w:val="24"/>
        </w:rPr>
      </w:pPr>
      <w:r>
        <w:rPr>
          <w:rFonts w:hint="eastAsia" w:ascii="宋体" w:hAnsi="宋体" w:cs="宋体"/>
          <w:b/>
          <w:bCs/>
          <w:sz w:val="24"/>
        </w:rPr>
        <w:t xml:space="preserve">一、技术要求</w:t>
      </w:r>
      <w:r/>
    </w:p>
    <w:p>
      <w:pPr>
        <w:ind w:firstLine="480"/>
        <w:spacing w:line="360" w:lineRule="auto"/>
        <w:tabs>
          <w:tab w:val="left" w:pos="0" w:leader="none"/>
        </w:tabs>
        <w:rPr>
          <w:rFonts w:hint="eastAsia" w:ascii="宋体" w:hAnsi="宋体" w:cs="宋体"/>
          <w:sz w:val="24"/>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将花港苑垃圾填埋场</w:t>
      </w:r>
      <w:r>
        <w:rPr>
          <w:rFonts w:hint="eastAsia" w:ascii="宋体" w:hAnsi="宋体" w:cs="宋体"/>
          <w:sz w:val="24"/>
          <w:lang w:val="en-US" w:eastAsia="zh-CN"/>
        </w:rPr>
        <w:t xml:space="preserve">内12万立方的填埋垃圾无条件按采购人的要求运输至光大电厂或江阴市环保集团有限公司，本项目不含周边日常产出的垃圾清运</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投标供应商在进行运输服务之前，需和采购人一起进行运输线路确认，运输线路的里程数需由双方签字确认，结算时按双方确认的里程数计量</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3、如遇不可抗力必须调整里程数的（如道路封闭施工等），需提前通知采购人，由采购人和投标供应商重新进行运输线路确认，运输线路的里程数需重新由双方签字确认。</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4、本项目采用综合单价报价方式，投标供应商按每车每公里每吨进行单价报价，结算时，按固定单价*里程数*吨数计取。</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5、投标供应商仅需提供运输服务，垃圾的挖取、装卸工作均由采购人负责。</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lang w:val="en-US" w:eastAsia="zh-CN"/>
        </w:rPr>
        <w:t xml:space="preserve">6、采购人对所有进出花港苑垃圾填埋场、光大电厂和江阴市环保集团有限公司的人员和车辆进行登记、监管，并对进出车辆进行称重登记，2个登记点的称重数据需一致，如有较大差别，按每次2000元进行处罚，并赔偿采购人的损失。</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7、投标供应商须做好文明作业、规范作业、安全作业，遵守交通规则，做好出车前的检查和日常保养、检修方面的工作；遵守花港苑垃圾填埋场、光大电厂和江阴市环保集团有限公司的要求。</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lang w:val="en-US" w:eastAsia="zh-CN"/>
        </w:rPr>
        <w:t xml:space="preserve">8、投标供应商须做到密封运输，在垃圾运输车上安装防污水滴漏装置，确保运输过程中无滴漏现象，杜绝二次污染，在运输过程中无垃圾夹带、拖挂现象，如出现二次污染问题，需由投标供应商及时进行处理，并按每次1000元进行处罚。</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9、投标供应商须承担交通事故和安全生产事故等所产生的责任、经济损失及一切费用。</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10、投标供应商须承担因交通事故或违章被扣车、扣证、扣分等原因而产生的一切责任和费用。</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二</w:t>
      </w:r>
      <w:r>
        <w:rPr>
          <w:rFonts w:hint="eastAsia" w:ascii="宋体" w:hAnsi="宋体" w:cs="宋体"/>
          <w:sz w:val="24"/>
        </w:rPr>
        <w:t xml:space="preserve">、时间要求</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按照招标人要求，</w:t>
      </w:r>
      <w:r>
        <w:rPr>
          <w:rFonts w:hint="eastAsia" w:ascii="宋体" w:hAnsi="宋体" w:cs="宋体"/>
          <w:sz w:val="24"/>
        </w:rPr>
        <w:t xml:space="preserve">202</w:t>
      </w:r>
      <w:r>
        <w:rPr>
          <w:rFonts w:hint="eastAsia" w:ascii="宋体" w:hAnsi="宋体" w:cs="宋体"/>
          <w:sz w:val="24"/>
          <w:lang w:val="en-US" w:eastAsia="zh-CN"/>
        </w:rPr>
        <w:t xml:space="preserve">7</w:t>
      </w:r>
      <w:r>
        <w:rPr>
          <w:rFonts w:hint="eastAsia" w:ascii="宋体" w:hAnsi="宋体" w:cs="宋体"/>
          <w:sz w:val="24"/>
        </w:rPr>
        <w:t xml:space="preserve">年</w:t>
      </w:r>
      <w:r>
        <w:rPr>
          <w:rFonts w:hint="eastAsia" w:ascii="宋体" w:hAnsi="宋体" w:cs="宋体"/>
          <w:sz w:val="24"/>
          <w:lang w:val="en-US" w:eastAsia="zh-CN"/>
        </w:rPr>
        <w:t xml:space="preserve">8</w:t>
      </w:r>
      <w:r>
        <w:rPr>
          <w:rFonts w:hint="eastAsia" w:ascii="宋体" w:hAnsi="宋体" w:cs="宋体"/>
          <w:sz w:val="24"/>
        </w:rPr>
        <w:t xml:space="preserve">月底前完成</w:t>
      </w:r>
      <w:r>
        <w:rPr>
          <w:rFonts w:hint="eastAsia" w:ascii="宋体" w:hAnsi="宋体" w:cs="宋体"/>
          <w:sz w:val="24"/>
          <w:lang w:val="en-US" w:eastAsia="zh-CN"/>
        </w:rPr>
        <w:t xml:space="preserve">垃圾运输服务</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三</w:t>
      </w:r>
      <w:r>
        <w:rPr>
          <w:rFonts w:hint="eastAsia" w:ascii="宋体" w:hAnsi="宋体" w:cs="宋体"/>
          <w:sz w:val="24"/>
        </w:rPr>
        <w:t xml:space="preserve">、付款方式</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rPr>
        <w:t xml:space="preserve">采购</w:t>
      </w:r>
      <w:r>
        <w:rPr>
          <w:rFonts w:hint="eastAsia" w:ascii="宋体" w:hAnsi="宋体" w:cs="宋体"/>
          <w:sz w:val="24"/>
          <w:lang w:eastAsia="zh-CN"/>
        </w:rPr>
        <w:t xml:space="preserve">人按季度进行付款，每个季度初支付上一季度完成工程量的相应费用</w:t>
      </w:r>
      <w:r>
        <w:rPr>
          <w:rFonts w:hint="eastAsia" w:ascii="宋体" w:hAnsi="宋体" w:cs="宋体"/>
          <w:sz w:val="24"/>
        </w:rPr>
        <w:t xml:space="preserve">。</w:t>
      </w:r>
      <w:r>
        <w:rPr>
          <w:rFonts w:hint="eastAsia" w:ascii="宋体" w:hAnsi="宋体" w:cs="宋体"/>
          <w:sz w:val="24"/>
          <w:lang w:eastAsia="zh-CN"/>
        </w:rPr>
        <w:t xml:space="preserve">采购人每次付款前，供应商需</w:t>
      </w:r>
      <w:r>
        <w:rPr>
          <w:rFonts w:hint="eastAsia" w:ascii="宋体" w:hAnsi="宋体" w:cs="宋体"/>
          <w:sz w:val="24"/>
          <w:lang w:val="en-US" w:eastAsia="zh-CN"/>
        </w:rPr>
        <w:t xml:space="preserve">提供正规增值税运输发票，否则采购人有权拒付。</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四</w:t>
      </w:r>
      <w:r>
        <w:rPr>
          <w:rFonts w:hint="eastAsia" w:ascii="宋体" w:hAnsi="宋体" w:cs="宋体"/>
          <w:sz w:val="24"/>
        </w:rPr>
        <w:t xml:space="preserve">、有关说明</w:t>
      </w:r>
      <w:r/>
    </w:p>
    <w:p>
      <w:pPr>
        <w:ind w:firstLine="480"/>
        <w:spacing w:line="360" w:lineRule="auto"/>
        <w:tabs>
          <w:tab w:val="left" w:pos="0" w:leader="none"/>
        </w:tabs>
        <w:rPr>
          <w:rFonts w:hint="default"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本项目为固定总价，供应商的报价应包含包括</w:t>
      </w:r>
      <w:r>
        <w:rPr>
          <w:rFonts w:hint="eastAsia" w:ascii="宋体" w:hAnsi="宋体" w:cs="宋体"/>
          <w:sz w:val="24"/>
          <w:lang w:val="en-US" w:eastAsia="zh-CN"/>
        </w:rPr>
        <w:t xml:space="preserve">服务费、</w:t>
      </w:r>
      <w:r>
        <w:rPr>
          <w:rFonts w:hint="eastAsia" w:ascii="宋体" w:hAnsi="宋体" w:cs="宋体"/>
          <w:sz w:val="24"/>
          <w:lang w:val="en-US" w:eastAsia="zh-CN"/>
        </w:rPr>
        <w:t xml:space="preserve">车辆使用费、人员工资</w:t>
      </w:r>
      <w:r>
        <w:rPr>
          <w:rFonts w:ascii="宋体" w:hAnsi="宋体" w:cs="宋体"/>
          <w:sz w:val="24"/>
        </w:rPr>
        <w:t xml:space="preserve">、</w:t>
      </w:r>
      <w:r>
        <w:rPr>
          <w:rFonts w:hint="eastAsia" w:ascii="宋体" w:hAnsi="宋体" w:cs="宋体"/>
          <w:sz w:val="24"/>
          <w:lang w:val="en-US" w:eastAsia="zh-CN"/>
        </w:rPr>
        <w:t xml:space="preserve">车辆维修保养</w:t>
      </w:r>
      <w:r>
        <w:rPr>
          <w:rFonts w:ascii="宋体" w:hAnsi="宋体" w:cs="宋体"/>
          <w:sz w:val="24"/>
        </w:rPr>
        <w:t xml:space="preserve">费</w:t>
      </w:r>
      <w:r>
        <w:rPr>
          <w:rFonts w:hint="eastAsia" w:ascii="宋体" w:hAnsi="宋体" w:cs="宋体"/>
          <w:sz w:val="24"/>
          <w:lang w:eastAsia="zh-CN"/>
        </w:rPr>
        <w:t xml:space="preserve">、</w:t>
      </w:r>
      <w:r>
        <w:rPr>
          <w:rFonts w:hint="eastAsia" w:ascii="宋体" w:hAnsi="宋体" w:cs="宋体"/>
          <w:sz w:val="24"/>
          <w:lang w:val="en-US" w:eastAsia="zh-CN"/>
        </w:rPr>
        <w:t xml:space="preserve">燃油费</w:t>
      </w:r>
      <w:r>
        <w:rPr>
          <w:rFonts w:ascii="宋体" w:hAnsi="宋体" w:cs="宋体"/>
          <w:sz w:val="24"/>
        </w:rPr>
        <w:t xml:space="preserve">、风险费、保险、利润、规费、税金、政策性文件规定及合同包含的所有风险、责任等所有费用，上述费用采购人不再另行支付。</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2</w:t>
      </w:r>
      <w:r>
        <w:rPr>
          <w:rFonts w:hint="eastAsia" w:ascii="宋体" w:hAnsi="宋体" w:cs="宋体"/>
          <w:sz w:val="24"/>
        </w:rPr>
        <w:t xml:space="preserve">、如果供应商在投标文件中未对招标文件中的条款或参数要求提出偏离意见或澄清，将视同供应商同意招标文件的要求。</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3</w:t>
      </w:r>
      <w:r>
        <w:rPr>
          <w:rFonts w:hint="eastAsia" w:ascii="宋体" w:hAnsi="宋体" w:cs="宋体"/>
          <w:sz w:val="24"/>
        </w:rPr>
        <w:t xml:space="preserve">、供应商承担踏勘现场所发生的自身费用。投标供应商在获取招标文件后如需现场勘查，请提前与采购人联系。 </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4</w:t>
      </w:r>
      <w:r>
        <w:rPr>
          <w:rFonts w:hint="eastAsia" w:ascii="宋体" w:hAnsi="宋体" w:cs="宋体"/>
          <w:sz w:val="24"/>
        </w:rPr>
        <w:t xml:space="preserve">、中标通知书发出后，无正当理由不与采购单位签订合同的或签订后无正当理由不履行合同的供应商，相关部门将进行相应处罚。</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、供应商一旦参加报价，即放弃对采购文件提出质疑的权利。</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、涉及采购文件的补充说明或修正，均以采购人、代理机构书面依据为准。</w:t>
      </w:r>
      <w:r/>
    </w:p>
    <w:p>
      <w:pPr>
        <w:ind w:firstLine="480"/>
        <w:spacing w:line="400" w:lineRule="exact"/>
        <w:rPr>
          <w:rFonts w:ascii="宋体" w:hAnsi="宋体" w:eastAsia="宋体" w:cs="微软雅黑"/>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cs="宋体"/>
          <w:sz w:val="24"/>
          <w:lang w:val="en-US" w:eastAsia="zh-CN"/>
        </w:rPr>
        <w:t xml:space="preserve">7</w:t>
      </w:r>
      <w:r>
        <w:rPr>
          <w:rFonts w:hint="eastAsia" w:ascii="宋体" w:hAnsi="宋体" w:cs="宋体"/>
          <w:sz w:val="24"/>
        </w:rPr>
        <w:t xml:space="preserve">、采购人对本次采购结果不作任何解释。</w:t>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bookmarkEnd w:id="13"/>
      <w:r/>
      <w:r/>
    </w:p>
    <w:p>
      <w:pPr>
        <w:pStyle w:val="721"/>
      </w:pPr>
      <w:r/>
      <w:bookmarkStart w:id="14" w:name="_Toc213847317"/>
      <w:r>
        <w:rPr>
          <w:rFonts w:hint="eastAsia"/>
        </w:rPr>
        <w:t xml:space="preserve">第四章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2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根据《中华人民共和国政府采购法》、《中华人民共和国民法典》等法律法规的规定，甲乙双方按照采购结果签订本合同。</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本合同人民币单价款为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本合同服务期限内合同单价款不变。（有另行规定的除外。）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（1）谈判文件；</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（2）谈判响应文件；</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（3）成交通知书；</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（4）成交供应商在谈判、评审过程中所作其它有关承诺、声明、书面澄清；</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1、乙方应按采购文件规定的服务要求、技术要求、质量标准向甲方提供服务。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按谈判文件所规定的采购标准和乙方谈判响应文件的承诺，根据实际按照《江苏省政府采购履约验收管理办法》（</w:t>
      </w:r>
      <w:r>
        <w:rPr>
          <w:rFonts w:ascii="Arial" w:hAnsi="Arial" w:eastAsia="Arial" w:cs="Arial"/>
          <w:color w:val="000000"/>
          <w:sz w:val="24"/>
        </w:rPr>
        <w:t xml:space="preserve">澄财购〔</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号</w:t>
      </w:r>
      <w:r>
        <w:rPr>
          <w:rFonts w:hint="eastAsia" w:ascii="宋体" w:hAnsi="宋体" w:eastAsia="宋体" w:cs="Times New Roman"/>
          <w:sz w:val="24"/>
          <w:szCs w:val="24"/>
          <w:lang w:val="zh-CN"/>
        </w:rPr>
        <w:t xml:space="preserve">）组织验收，费用由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u w:val="single"/>
          <w:lang w:val="zh-CN"/>
        </w:rPr>
        <w:t xml:space="preserve">甲方</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2、本合同一式三份，甲方、乙方、采购代理机构各执一份。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698"/>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721"/>
        <w:sectPr>
          <w:footnotePr/>
          <w:endnotePr/>
          <w:type w:val="nextPage"/>
          <w:pgSz w:w="11906" w:h="16838" w:orient="portrait"/>
          <w:pgMar w:top="1247" w:right="1247" w:bottom="1247" w:left="1247" w:header="680" w:footer="992" w:gutter="0"/>
          <w:cols w:num="1" w:sep="0" w:space="720" w:equalWidth="1"/>
          <w:docGrid w:linePitch="360"/>
        </w:sectPr>
      </w:pPr>
      <w:r/>
      <w:r/>
    </w:p>
    <w:p>
      <w:pPr>
        <w:pStyle w:val="721"/>
      </w:pPr>
      <w:r/>
      <w:r/>
    </w:p>
    <w:p>
      <w:pPr>
        <w:pStyle w:val="721"/>
      </w:pPr>
      <w:r/>
      <w:bookmarkStart w:id="16" w:name="_Toc213847318"/>
      <w:r>
        <w:rPr>
          <w:rFonts w:hint="eastAsia"/>
        </w:rPr>
        <w:t xml:space="preserve">第五章　谈判响应文件的组成和格式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谈</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判</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响</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应</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文</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供 应 商：</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致江阴市璜土镇人民政府：</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w:t>
      </w:r>
      <w:r>
        <w:rPr>
          <w:rFonts w:hint="eastAsia" w:ascii="宋体" w:hAnsi="宋体" w:eastAsia="宋体" w:cs="Times New Roman"/>
          <w:bCs/>
          <w:sz w:val="24"/>
          <w:szCs w:val="24"/>
          <w:lang w:eastAsia="zh-CN"/>
        </w:rPr>
        <w:t xml:space="preserve">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（项目名称及编号）竞争性谈判文件，经仔细阅读和研究，我们决定参加此项目的竞争性谈判。</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1、愿意按照谈判文件的一切要求，参加本项目的竞争性谈判</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报价详见《项目报价总表》。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2、我方同意按谈判文件的规定，本谈判响应文件的有效期限为评审后90天。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3、我方愿意提供谈判文件中要求的原始资料及可能另外要求的与谈判有关的任何资料，并保证我方已提供和将要提供的资料是真实的、准确的。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4、我方认为你们有权决定成交供应商。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由</w:t>
      </w:r>
      <w:r>
        <w:rPr>
          <w:rFonts w:hint="eastAsia" w:ascii="宋体" w:hAnsi="宋体" w:eastAsia="宋体" w:cs="Times New Roman"/>
          <w:bCs/>
          <w:sz w:val="24"/>
          <w:szCs w:val="24"/>
          <w:lang w:eastAsia="zh-CN"/>
        </w:rPr>
        <w:t xml:space="preserve">采购代理机构</w:t>
      </w:r>
      <w:r>
        <w:rPr>
          <w:rFonts w:hint="eastAsia" w:ascii="宋体" w:hAnsi="宋体" w:eastAsia="宋体" w:cs="Times New Roman"/>
          <w:bCs/>
          <w:sz w:val="24"/>
          <w:szCs w:val="24"/>
        </w:rPr>
        <w:t xml:space="preserve">协调解决，并按相关法规和有关文件规定处理。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6、我方认可并遵守采购文件的所有规定，放弃对谈判文件、评审办法提出质疑的权利。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7、如我们在谈判截止期后撤回谈判响应文件或成交后拒绝遵守谈判承诺或拒绝在规定的时间内与采购人签订合同，则将接受相应处罚。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成交单位，我方愿意在合同签署时支付履约保证金。且我方如未履行谈判文件、谈判响应文件和合同条款的，我方愿意赔偿由此而造成的一切损失，并同意接受按谈判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9、一旦我方成交，我方将根据谈判文件的规定，严格履行合同的责任和义务，保证按期、按质、按量完成项目。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w:t>
      </w:r>
      <w:r>
        <w:rPr>
          <w:rFonts w:hint="eastAsia" w:ascii="黑体" w:eastAsia="黑体"/>
          <w:bCs/>
          <w:sz w:val="30"/>
          <w:szCs w:val="30"/>
        </w:rPr>
        <w:t xml:space="preserve">项目报价总表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69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江阴市璜土镇花港苑垃圾填埋场运输服务项目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项目报价</w:t>
            </w:r>
            <w:r/>
          </w:p>
          <w:p>
            <w:pPr>
              <w:jc w:val="center"/>
              <w:spacing w:line="400" w:lineRule="exact"/>
              <w:widowControl/>
              <w:rPr>
                <w:rFonts w:ascii="宋体" w:hAnsi="宋体" w:cs="宋体"/>
                <w:sz w:val="24"/>
              </w:rPr>
            </w:pPr>
            <w:r>
              <w:rPr>
                <w:rFonts w:hint="eastAsia" w:ascii="宋体" w:hAnsi="宋体" w:cs="宋体"/>
                <w:sz w:val="24"/>
              </w:rPr>
              <w:t xml:space="preserve">（单位：元）</w:t>
            </w:r>
            <w:r/>
          </w:p>
        </w:tc>
        <w:tc>
          <w:tcPr>
            <w:tcW w:w="7224" w:type="dxa"/>
            <w:vAlign w:val="center"/>
            <w:textDirection w:val="lrTb"/>
            <w:noWrap w:val="false"/>
          </w:tcPr>
          <w:p>
            <w:pPr>
              <w:ind w:firstLine="480"/>
              <w:jc w:val="center"/>
              <w:spacing w:line="360" w:lineRule="auto"/>
              <w:widowControl/>
              <w:rPr>
                <w:rStyle w:val="726"/>
                <w:rFonts w:ascii="宋体" w:hAnsi="宋体" w:cs="宋体"/>
                <w:color w:val="auto"/>
              </w:rPr>
            </w:pPr>
            <w:r>
              <w:rPr>
                <w:rFonts w:ascii="宋体" w:hAnsi="宋体" w:cs="宋体"/>
                <w:sz w:val="24"/>
              </w:rPr>
              <w:t xml:space="preserve">以“标书制作客户端——基本目录——</w:t>
            </w:r>
            <w:r>
              <w:rPr>
                <w:rFonts w:hint="eastAsia" w:ascii="宋体" w:hAnsi="宋体" w:cs="宋体"/>
                <w:sz w:val="24"/>
              </w:rPr>
              <w:t xml:space="preserve">谈判报价表</w:t>
            </w:r>
            <w:r>
              <w:rPr>
                <w:rFonts w:ascii="宋体" w:hAnsi="宋体" w:cs="宋体"/>
                <w:sz w:val="24"/>
              </w:rPr>
              <w:t xml:space="preserve">”中填写的金额为准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7"/>
      <w:r/>
      <w:bookmarkEnd w:id="18"/>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三、商务、技术要求响应及偏离表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69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69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4、“谈判响应文件技术规范描述”完全照抄“谈判文件技术要求”的，有被判定为负偏离的风险。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Times New Roman" w:eastAsia="黑体" w:cs="Times New Roman"/>
          <w:sz w:val="28"/>
          <w:szCs w:val="28"/>
        </w:rPr>
        <w:t xml:space="preserve">供应商综合实力</w:t>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（一）供应商综合情况一览表</w:t>
      </w:r>
      <w:r/>
    </w:p>
    <w:tbl>
      <w:tblPr>
        <w:tblStyle w:val="69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三、供应商其他信息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123"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合同金额（万元）</w:t>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项目联系人及电话</w:t>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23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五、其他供应商综合实力证明材料</w:t>
            </w:r>
            <w:r/>
          </w:p>
        </w:tc>
      </w:tr>
      <w:tr>
        <w:trPr>
          <w:jc w:val="center"/>
          <w:trHeight w:val="1948"/>
        </w:trPr>
        <w:tc>
          <w:tcPr>
            <w:gridSpan w:val="9"/>
            <w:tcW w:w="935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rPr>
          <w:rFonts w:hint="eastAsia" w:ascii="宋体" w:hAnsi="宋体" w:eastAsia="宋体" w:cs="Times New Roman"/>
          <w:b/>
          <w:bCs/>
          <w:sz w:val="24"/>
          <w:szCs w:val="24"/>
        </w:rPr>
      </w:pPr>
      <w:r>
        <w:rPr>
          <w:rFonts w:hint="eastAsia" w:ascii="宋体" w:hAnsi="宋体" w:eastAsia="宋体" w:cs="Times New Roman"/>
          <w:b/>
          <w:bCs/>
          <w:sz w:val="24"/>
          <w:szCs w:val="24"/>
        </w:rPr>
        <w:br w:type="page" w:clear="all"/>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eastAsia="zh-CN"/>
        </w:rPr>
        <w:t xml:space="preserve">二</w:t>
      </w:r>
      <w:r>
        <w:rPr>
          <w:rFonts w:hint="eastAsia" w:ascii="宋体" w:hAnsi="宋体" w:eastAsia="宋体" w:cs="Times New Roman"/>
          <w:b/>
          <w:bCs/>
          <w:sz w:val="24"/>
          <w:szCs w:val="24"/>
        </w:rPr>
        <w:t xml:space="preserve">）项目组成员一览表</w:t>
      </w:r>
      <w:r/>
    </w:p>
    <w:tbl>
      <w:tblPr>
        <w:tblStyle w:val="698"/>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电话</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（四）拟投入设备设施一览表</w:t>
      </w:r>
      <w:r/>
    </w:p>
    <w:tbl>
      <w:tblPr>
        <w:tblStyle w:val="69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6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设备设施名称</w:t>
            </w:r>
            <w:r/>
          </w:p>
        </w:tc>
        <w:tc>
          <w:tcPr>
            <w:tcW w:w="103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品牌型号</w:t>
            </w:r>
            <w:r/>
          </w:p>
        </w:tc>
        <w:tc>
          <w:tcPr>
            <w:tcW w:w="3347" w:type="dxa"/>
            <w:vAlign w:val="center"/>
            <w:textDirection w:val="lrTb"/>
            <w:noWrap w:val="false"/>
          </w:tcPr>
          <w:p>
            <w:pPr>
              <w:jc w:val="center"/>
              <w:spacing w:line="36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备注</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bl>
    <w:p>
      <w:pPr>
        <w:ind w:firstLine="482"/>
        <w:spacing w:line="400" w:lineRule="exact"/>
        <w:rPr>
          <w:rFonts w:ascii="宋体" w:hAnsi="宋体" w:eastAsia="宋体" w:cs="宋体"/>
          <w:b/>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宋体"/>
          <w:b/>
          <w:sz w:val="24"/>
          <w:szCs w:val="24"/>
        </w:rPr>
        <w:t xml:space="preserve">注：需提供相关证明材料。</w:t>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（若法定代表人亲自参加谈判的，请提供《法定代表人亲自谈判声明》）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仿宋" w:hAnsi="仿宋" w:eastAsia="仿宋" w:cs="Times New Roman"/>
          <w:b/>
          <w:bCs/>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）的竞争性谈判、参与评审、签约等具体工作，并签署全部有关的文件、协议及合同。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698"/>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法定代表人亲自谈判声明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val="0"/>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rPr>
          <w:rFonts w:hint="eastAsia" w:ascii="宋体" w:hAnsi="宋体"/>
          <w:bCs/>
          <w:sz w:val="24"/>
        </w:rPr>
        <w:t xml:space="preserve">由我单位法定代表人参加谈判、评审、签约等具体工作，并签署全部有关的文件、协议及合同。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698"/>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lang w:eastAsia="zh-CN"/>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val="0"/>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按照《中华人民共和国政府采购法》第二十二条和采购文件的规定，我单位郑重声明如下：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九、我单位响应文件中所有关于谈判资格的文件、证明、陈述均是真实的、准确的。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我单位承诺遵守《中华人民共和国政府采购法》第二十二、七十七条之规定，若有违背，我公司（单位）愿意承担因“提供虚假材料谋取成交的”的一切法律后果，依法接受相应处罚。</w:t>
      </w:r>
      <w:r/>
    </w:p>
    <w:p>
      <w:pPr>
        <w:jc w:val="center"/>
        <w:spacing w:line="360" w:lineRule="exact"/>
        <w:rPr>
          <w:rFonts w:ascii="黑体" w:hAnsi="Times New Roman" w:eastAsia="黑体" w:cs="Times New Roman"/>
          <w:sz w:val="28"/>
          <w:szCs w:val="28"/>
        </w:rPr>
      </w:pPr>
      <w:r>
        <w:rPr>
          <w:rFonts w:ascii="黑体" w:hAnsi="Times New Roman" w:eastAsia="黑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hint="eastAsia" w:ascii="宋体" w:hAnsi="宋体" w:eastAsia="宋体" w:cs="Times New Roman"/>
          <w:b/>
          <w:bCs/>
          <w:szCs w:val="24"/>
        </w:rPr>
        <w:t xml:space="preserve">说明：</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1.无此表或对此表作实质性修改，其谈判响应文件无效。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2.供应商须对此表中内容作出承诺，否则其谈判响应文件无效。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Times New Roman"/>
          <w:b/>
          <w:bCs w:val="0"/>
          <w:sz w:val="24"/>
          <w:szCs w:val="24"/>
          <w:u w:val="single"/>
          <w:lang w:val="en-US" w:eastAsia="zh-CN"/>
        </w:rPr>
        <w:t xml:space="preserve">          </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val="en-US" w:eastAsia="zh-CN"/>
        </w:rPr>
        <w:t xml:space="preserve">             </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微软雅黑">
    <w:panose1 w:val="020B0503020204020204"/>
  </w:font>
  <w:font w:name="Batang">
    <w:panose1 w:val="0201060004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711"/>
          <w:jc w:val="center"/>
        </w:pPr>
        <w:r>
          <w:fldChar w:fldCharType="begin"/>
        </w:r>
        <w:r>
          <w:instrText xml:space="preserve">PAGE   \* MERGEFORMAT</w:instrText>
        </w:r>
        <w:r>
          <w:fldChar w:fldCharType="separate"/>
        </w:r>
        <w:r>
          <w:rPr>
            <w:lang w:val="zh-CN"/>
          </w:rPr>
          <w:t xml:space="preserve">-</w:t>
        </w:r>
        <w:r>
          <w:t xml:space="preserve"> 3 -</w:t>
        </w:r>
        <w:r>
          <w:fldChar w:fldCharType="end"/>
        </w:r>
        <w:r/>
      </w:p>
    </w:sdtContent>
  </w:sdt>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1</w:t>
    </w:r>
    <w:r>
      <w:fldChar w:fldCharType="end"/>
    </w:r>
    <w:r/>
  </w:p>
  <w:p>
    <w:pPr>
      <w:pStyle w:val="71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left"/>
      <w:rPr>
        <w:rFonts w:ascii="黑体" w:hAnsi="黑体" w:eastAsia="黑体" w:cs="Times New Roman"/>
        <w:bCs/>
        <w:sz w:val="16"/>
        <w:szCs w:val="18"/>
      </w:rPr>
    </w:pPr>
    <w:r>
      <w:rPr>
        <w:rFonts w:hint="eastAsia" w:ascii="黑体" w:hAnsi="黑体" w:eastAsia="黑体" w:cs="Times New Roman"/>
        <w:bCs/>
        <w:sz w:val="16"/>
        <w:szCs w:val="18"/>
      </w:rPr>
      <w:t xml:space="preserve">江阴市璜土镇花港苑垃圾填埋场运输服务项目</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88">
    <w:name w:val="Heading 1"/>
    <w:basedOn w:val="687"/>
    <w:next w:val="687"/>
    <w:link w:val="895"/>
    <w:uiPriority w:val="9"/>
    <w:qFormat/>
    <w:pPr>
      <w:keepLines/>
      <w:keepNext/>
      <w:spacing w:before="340" w:after="330" w:line="578" w:lineRule="auto"/>
      <w:outlineLvl w:val="0"/>
    </w:pPr>
    <w:rPr>
      <w:b/>
      <w:bCs/>
      <w:sz w:val="44"/>
      <w:szCs w:val="44"/>
    </w:rPr>
  </w:style>
  <w:style w:type="paragraph" w:styleId="689">
    <w:name w:val="Heading 2"/>
    <w:basedOn w:val="687"/>
    <w:next w:val="687"/>
    <w:link w:val="731"/>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32"/>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33"/>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34"/>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35"/>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7"/>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8"/>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260"/>
      <w:jc w:val="left"/>
    </w:pPr>
    <w:rPr>
      <w:sz w:val="18"/>
      <w:szCs w:val="18"/>
    </w:r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basedOn w:val="687"/>
    <w:link w:val="882"/>
    <w:uiPriority w:val="99"/>
    <w:semiHidden/>
    <w:unhideWhenUsed/>
    <w:qFormat/>
    <w:pPr>
      <w:jc w:val="left"/>
    </w:pPr>
  </w:style>
  <w:style w:type="paragraph" w:styleId="702">
    <w:name w:val="Body Text"/>
    <w:basedOn w:val="687"/>
    <w:next w:val="703"/>
    <w:link w:val="885"/>
    <w:uiPriority w:val="0"/>
    <w:qFormat/>
    <w:pPr>
      <w:spacing w:line="360" w:lineRule="auto"/>
    </w:pPr>
    <w:rPr>
      <w:rFonts w:ascii="楷体_GB2312" w:hAnsi="Times New Roman" w:eastAsia="楷体_GB2312" w:cs="Times New Roman"/>
      <w:bCs/>
      <w:sz w:val="28"/>
      <w:szCs w:val="24"/>
    </w:rPr>
  </w:style>
  <w:style w:type="paragraph" w:styleId="703">
    <w:name w:val="Body Text First Indent"/>
    <w:basedOn w:val="702"/>
    <w:uiPriority w:val="0"/>
    <w:qFormat/>
    <w:pPr>
      <w:ind w:firstLine="420"/>
      <w:spacing w:after="120" w:line="240" w:lineRule="auto"/>
    </w:pPr>
    <w:rPr>
      <w:rFonts w:ascii="宋体" w:hAnsi="宋体" w:eastAsia="宋体"/>
      <w:sz w:val="24"/>
    </w:rPr>
  </w:style>
  <w:style w:type="paragraph" w:styleId="704">
    <w:name w:val="Body Text Indent"/>
    <w:basedOn w:val="687"/>
    <w:link w:val="889"/>
    <w:uiPriority w:val="0"/>
    <w:unhideWhenUsed/>
    <w:qFormat/>
    <w:pPr>
      <w:ind w:left="420"/>
      <w:spacing w:after="120"/>
    </w:pPr>
  </w:style>
  <w:style w:type="paragraph" w:styleId="705">
    <w:name w:val="index 4"/>
    <w:basedOn w:val="687"/>
    <w:next w:val="687"/>
    <w:uiPriority w:val="0"/>
    <w:qFormat/>
    <w:pPr>
      <w:ind w:left="960" w:hanging="240"/>
      <w:jc w:val="left"/>
      <w:spacing w:line="360" w:lineRule="auto"/>
    </w:pPr>
    <w:rPr>
      <w:sz w:val="20"/>
      <w:szCs w:val="20"/>
    </w:rPr>
  </w:style>
  <w:style w:type="paragraph" w:styleId="706">
    <w:name w:val="toc 5"/>
    <w:basedOn w:val="687"/>
    <w:next w:val="687"/>
    <w:uiPriority w:val="39"/>
    <w:unhideWhenUsed/>
    <w:qFormat/>
    <w:pPr>
      <w:ind w:left="840"/>
      <w:jc w:val="left"/>
    </w:pPr>
    <w:rPr>
      <w:sz w:val="18"/>
      <w:szCs w:val="18"/>
    </w:rPr>
  </w:style>
  <w:style w:type="paragraph" w:styleId="707">
    <w:name w:val="toc 3"/>
    <w:basedOn w:val="687"/>
    <w:next w:val="687"/>
    <w:uiPriority w:val="39"/>
    <w:unhideWhenUsed/>
    <w:qFormat/>
    <w:pPr>
      <w:ind w:left="420"/>
      <w:jc w:val="left"/>
    </w:pPr>
    <w:rPr>
      <w:i/>
      <w:iCs/>
      <w:sz w:val="20"/>
      <w:szCs w:val="20"/>
    </w:rPr>
  </w:style>
  <w:style w:type="paragraph" w:styleId="708">
    <w:name w:val="toc 8"/>
    <w:basedOn w:val="687"/>
    <w:next w:val="687"/>
    <w:uiPriority w:val="39"/>
    <w:unhideWhenUsed/>
    <w:qFormat/>
    <w:pPr>
      <w:ind w:left="1470"/>
      <w:jc w:val="left"/>
    </w:pPr>
    <w:rPr>
      <w:sz w:val="18"/>
      <w:szCs w:val="18"/>
    </w:rPr>
  </w:style>
  <w:style w:type="paragraph" w:styleId="709">
    <w:name w:val="endnote text"/>
    <w:basedOn w:val="687"/>
    <w:link w:val="875"/>
    <w:uiPriority w:val="99"/>
    <w:semiHidden/>
    <w:unhideWhenUsed/>
    <w:qFormat/>
    <w:pPr>
      <w:spacing w:after="0" w:line="240" w:lineRule="auto"/>
    </w:pPr>
    <w:rPr>
      <w:sz w:val="20"/>
    </w:rPr>
  </w:style>
  <w:style w:type="paragraph" w:styleId="710">
    <w:name w:val="Balloon Text"/>
    <w:basedOn w:val="687"/>
    <w:link w:val="880"/>
    <w:uiPriority w:val="99"/>
    <w:semiHidden/>
    <w:unhideWhenUsed/>
    <w:qFormat/>
    <w:rPr>
      <w:sz w:val="18"/>
      <w:szCs w:val="18"/>
    </w:rPr>
  </w:style>
  <w:style w:type="paragraph" w:styleId="711">
    <w:name w:val="Footer"/>
    <w:basedOn w:val="687"/>
    <w:link w:val="878"/>
    <w:uiPriority w:val="0"/>
    <w:unhideWhenUsed/>
    <w:qFormat/>
    <w:pPr>
      <w:jc w:val="left"/>
      <w:tabs>
        <w:tab w:val="center" w:pos="4153" w:leader="none"/>
        <w:tab w:val="right" w:pos="8306" w:leader="none"/>
      </w:tabs>
    </w:pPr>
    <w:rPr>
      <w:sz w:val="18"/>
      <w:szCs w:val="18"/>
    </w:rPr>
  </w:style>
  <w:style w:type="paragraph" w:styleId="712">
    <w:name w:val="Header"/>
    <w:basedOn w:val="687"/>
    <w:link w:val="87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7"/>
    <w:next w:val="687"/>
    <w:uiPriority w:val="39"/>
    <w:unhideWhenUsed/>
    <w:qFormat/>
    <w:pPr>
      <w:jc w:val="left"/>
      <w:spacing w:before="120" w:after="120"/>
    </w:pPr>
    <w:rPr>
      <w:b/>
      <w:bCs/>
      <w:caps/>
      <w:sz w:val="20"/>
      <w:szCs w:val="20"/>
    </w:rPr>
  </w:style>
  <w:style w:type="paragraph" w:styleId="714">
    <w:name w:val="toc 4"/>
    <w:basedOn w:val="687"/>
    <w:next w:val="687"/>
    <w:uiPriority w:val="39"/>
    <w:unhideWhenUsed/>
    <w:qFormat/>
    <w:pPr>
      <w:ind w:left="630"/>
      <w:jc w:val="left"/>
    </w:pPr>
    <w:rPr>
      <w:sz w:val="18"/>
      <w:szCs w:val="18"/>
    </w:rPr>
  </w:style>
  <w:style w:type="paragraph" w:styleId="715">
    <w:name w:val="Subtitle"/>
    <w:basedOn w:val="687"/>
    <w:next w:val="687"/>
    <w:link w:val="741"/>
    <w:uiPriority w:val="11"/>
    <w:qFormat/>
    <w:pPr>
      <w:spacing w:before="200" w:after="200"/>
    </w:pPr>
    <w:rPr>
      <w:sz w:val="24"/>
      <w:szCs w:val="24"/>
    </w:rPr>
  </w:style>
  <w:style w:type="paragraph" w:styleId="716">
    <w:name w:val="footnote text"/>
    <w:basedOn w:val="687"/>
    <w:link w:val="874"/>
    <w:uiPriority w:val="99"/>
    <w:semiHidden/>
    <w:unhideWhenUsed/>
    <w:qFormat/>
    <w:pPr>
      <w:spacing w:after="40" w:line="240" w:lineRule="auto"/>
    </w:pPr>
    <w:rPr>
      <w:sz w:val="18"/>
    </w:rPr>
  </w:style>
  <w:style w:type="paragraph" w:styleId="717">
    <w:name w:val="toc 6"/>
    <w:basedOn w:val="687"/>
    <w:next w:val="687"/>
    <w:uiPriority w:val="39"/>
    <w:unhideWhenUsed/>
    <w:qFormat/>
    <w:pPr>
      <w:ind w:left="1050"/>
      <w:jc w:val="left"/>
    </w:pPr>
    <w:rPr>
      <w:sz w:val="18"/>
      <w:szCs w:val="18"/>
    </w:rPr>
  </w:style>
  <w:style w:type="paragraph" w:styleId="718">
    <w:name w:val="table of figures"/>
    <w:basedOn w:val="687"/>
    <w:next w:val="687"/>
    <w:uiPriority w:val="99"/>
    <w:unhideWhenUsed/>
    <w:qFormat/>
    <w:pPr>
      <w:spacing w:after="0" w:afterAutospacing="0"/>
    </w:pPr>
  </w:style>
  <w:style w:type="paragraph" w:styleId="719">
    <w:name w:val="toc 2"/>
    <w:basedOn w:val="687"/>
    <w:next w:val="687"/>
    <w:uiPriority w:val="39"/>
    <w:unhideWhenUsed/>
    <w:qFormat/>
    <w:pPr>
      <w:ind w:left="210"/>
      <w:jc w:val="left"/>
    </w:pPr>
    <w:rPr>
      <w:smallCaps/>
      <w:sz w:val="20"/>
      <w:szCs w:val="20"/>
    </w:rPr>
  </w:style>
  <w:style w:type="paragraph" w:styleId="720">
    <w:name w:val="toc 9"/>
    <w:basedOn w:val="687"/>
    <w:next w:val="687"/>
    <w:uiPriority w:val="39"/>
    <w:unhideWhenUsed/>
    <w:qFormat/>
    <w:pPr>
      <w:ind w:left="1680"/>
      <w:jc w:val="left"/>
    </w:pPr>
    <w:rPr>
      <w:sz w:val="18"/>
      <w:szCs w:val="18"/>
    </w:rPr>
  </w:style>
  <w:style w:type="paragraph" w:styleId="721">
    <w:name w:val="Title"/>
    <w:basedOn w:val="687"/>
    <w:next w:val="687"/>
    <w:link w:val="876"/>
    <w:uiPriority w:val="10"/>
    <w:qFormat/>
    <w:pPr>
      <w:jc w:val="center"/>
      <w:spacing w:line="400" w:lineRule="exact"/>
      <w:outlineLvl w:val="0"/>
    </w:pPr>
    <w:rPr>
      <w:rFonts w:eastAsia="黑体" w:asciiTheme="majorHAnsi" w:hAnsiTheme="majorHAnsi" w:cstheme="majorBidi"/>
      <w:bCs/>
      <w:sz w:val="30"/>
      <w:szCs w:val="32"/>
    </w:rPr>
  </w:style>
  <w:style w:type="paragraph" w:styleId="722">
    <w:name w:val="annotation subject"/>
    <w:basedOn w:val="701"/>
    <w:next w:val="701"/>
    <w:link w:val="883"/>
    <w:uiPriority w:val="99"/>
    <w:semiHidden/>
    <w:unhideWhenUsed/>
    <w:qFormat/>
    <w:rPr>
      <w:b/>
      <w:bCs/>
    </w:rPr>
  </w:style>
  <w:style w:type="table" w:styleId="723">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basedOn w:val="697"/>
    <w:uiPriority w:val="99"/>
    <w:semiHidden/>
    <w:unhideWhenUsed/>
    <w:qFormat/>
    <w:rPr>
      <w:vertAlign w:val="superscript"/>
    </w:rPr>
  </w:style>
  <w:style w:type="character" w:styleId="725">
    <w:name w:val="page number"/>
    <w:uiPriority w:val="0"/>
    <w:qFormat/>
  </w:style>
  <w:style w:type="character" w:styleId="726">
    <w:name w:val="FollowedHyperlink"/>
    <w:basedOn w:val="697"/>
    <w:uiPriority w:val="99"/>
    <w:qFormat/>
    <w:rPr>
      <w:color w:val="800080"/>
      <w:u w:val="none"/>
    </w:rPr>
  </w:style>
  <w:style w:type="character" w:styleId="727">
    <w:name w:val="Hyperlink"/>
    <w:basedOn w:val="697"/>
    <w:uiPriority w:val="99"/>
    <w:unhideWhenUsed/>
    <w:qFormat/>
    <w:rPr>
      <w:color w:val="0000ff" w:themeColor="hyperlink"/>
      <w:u w:val="single"/>
      <w14:textFill>
        <w14:solidFill>
          <w14:schemeClr w14:val="hlink"/>
        </w14:solidFill>
      </w14:textFill>
    </w:rPr>
  </w:style>
  <w:style w:type="character" w:styleId="728">
    <w:name w:val="annotation reference"/>
    <w:basedOn w:val="697"/>
    <w:uiPriority w:val="99"/>
    <w:semiHidden/>
    <w:unhideWhenUsed/>
    <w:qFormat/>
    <w:rPr>
      <w:sz w:val="21"/>
      <w:szCs w:val="21"/>
    </w:rPr>
  </w:style>
  <w:style w:type="character" w:styleId="729">
    <w:name w:val="footnote reference"/>
    <w:basedOn w:val="697"/>
    <w:uiPriority w:val="99"/>
    <w:unhideWhenUsed/>
    <w:qFormat/>
    <w:rPr>
      <w:vertAlign w:val="superscript"/>
    </w:rPr>
  </w:style>
  <w:style w:type="character" w:styleId="730" w:customStyle="1">
    <w:name w:val="Heading 1 Char"/>
    <w:basedOn w:val="697"/>
    <w:uiPriority w:val="9"/>
    <w:qFormat/>
    <w:rPr>
      <w:rFonts w:ascii="Arial" w:hAnsi="Arial" w:eastAsia="Arial" w:cs="Arial"/>
      <w:sz w:val="40"/>
      <w:szCs w:val="40"/>
    </w:rPr>
  </w:style>
  <w:style w:type="character" w:styleId="731" w:customStyle="1">
    <w:name w:val="Heading 2 Char"/>
    <w:basedOn w:val="697"/>
    <w:link w:val="689"/>
    <w:uiPriority w:val="9"/>
    <w:qFormat/>
    <w:rPr>
      <w:rFonts w:ascii="Arial" w:hAnsi="Arial" w:eastAsia="Arial" w:cs="Arial"/>
      <w:sz w:val="34"/>
    </w:rPr>
  </w:style>
  <w:style w:type="character" w:styleId="732" w:customStyle="1">
    <w:name w:val="Heading 3 Char"/>
    <w:basedOn w:val="697"/>
    <w:link w:val="690"/>
    <w:uiPriority w:val="9"/>
    <w:qFormat/>
    <w:rPr>
      <w:rFonts w:ascii="Arial" w:hAnsi="Arial" w:eastAsia="Arial" w:cs="Arial"/>
      <w:sz w:val="30"/>
      <w:szCs w:val="30"/>
    </w:rPr>
  </w:style>
  <w:style w:type="character" w:styleId="733" w:customStyle="1">
    <w:name w:val="Heading 4 Char"/>
    <w:basedOn w:val="697"/>
    <w:link w:val="691"/>
    <w:uiPriority w:val="9"/>
    <w:qFormat/>
    <w:rPr>
      <w:rFonts w:ascii="Arial" w:hAnsi="Arial" w:eastAsia="Arial" w:cs="Arial"/>
      <w:b/>
      <w:bCs/>
      <w:sz w:val="26"/>
      <w:szCs w:val="26"/>
    </w:rPr>
  </w:style>
  <w:style w:type="character" w:styleId="734" w:customStyle="1">
    <w:name w:val="Heading 5 Char"/>
    <w:basedOn w:val="697"/>
    <w:link w:val="692"/>
    <w:uiPriority w:val="9"/>
    <w:qFormat/>
    <w:rPr>
      <w:rFonts w:ascii="Arial" w:hAnsi="Arial" w:eastAsia="Arial" w:cs="Arial"/>
      <w:b/>
      <w:bCs/>
      <w:sz w:val="24"/>
      <w:szCs w:val="24"/>
    </w:rPr>
  </w:style>
  <w:style w:type="character" w:styleId="735" w:customStyle="1">
    <w:name w:val="Heading 6 Char"/>
    <w:basedOn w:val="697"/>
    <w:link w:val="693"/>
    <w:uiPriority w:val="9"/>
    <w:qFormat/>
    <w:rPr>
      <w:rFonts w:ascii="Arial" w:hAnsi="Arial" w:eastAsia="Arial" w:cs="Arial"/>
      <w:b/>
      <w:bCs/>
      <w:sz w:val="22"/>
      <w:szCs w:val="22"/>
    </w:rPr>
  </w:style>
  <w:style w:type="character" w:styleId="736" w:customStyle="1">
    <w:name w:val="Heading 7 Char"/>
    <w:basedOn w:val="697"/>
    <w:link w:val="694"/>
    <w:uiPriority w:val="9"/>
    <w:qFormat/>
    <w:rPr>
      <w:rFonts w:ascii="Arial" w:hAnsi="Arial" w:eastAsia="Arial" w:cs="Arial"/>
      <w:b/>
      <w:bCs/>
      <w:i/>
      <w:iCs/>
      <w:sz w:val="22"/>
      <w:szCs w:val="22"/>
    </w:rPr>
  </w:style>
  <w:style w:type="character" w:styleId="737" w:customStyle="1">
    <w:name w:val="Heading 8 Char"/>
    <w:basedOn w:val="697"/>
    <w:link w:val="695"/>
    <w:uiPriority w:val="9"/>
    <w:qFormat/>
    <w:rPr>
      <w:rFonts w:ascii="Arial" w:hAnsi="Arial" w:eastAsia="Arial" w:cs="Arial"/>
      <w:i/>
      <w:iCs/>
      <w:sz w:val="22"/>
      <w:szCs w:val="22"/>
    </w:rPr>
  </w:style>
  <w:style w:type="character" w:styleId="738" w:customStyle="1">
    <w:name w:val="Heading 9 Char"/>
    <w:basedOn w:val="697"/>
    <w:link w:val="696"/>
    <w:uiPriority w:val="9"/>
    <w:qFormat/>
    <w:rPr>
      <w:rFonts w:ascii="Arial" w:hAnsi="Arial" w:eastAsia="Arial" w:cs="Arial"/>
      <w:i/>
      <w:iCs/>
      <w:sz w:val="21"/>
      <w:szCs w:val="21"/>
    </w:rPr>
  </w:style>
  <w:style w:type="paragraph" w:styleId="739">
    <w:name w:val="List Paragraph"/>
    <w:basedOn w:val="687"/>
    <w:uiPriority w:val="34"/>
    <w:qFormat/>
    <w:pPr>
      <w:contextualSpacing/>
      <w:ind w:left="720"/>
    </w:pPr>
  </w:style>
  <w:style w:type="character" w:styleId="740" w:customStyle="1">
    <w:name w:val="Title Char"/>
    <w:basedOn w:val="697"/>
    <w:uiPriority w:val="10"/>
    <w:qFormat/>
    <w:rPr>
      <w:sz w:val="48"/>
      <w:szCs w:val="48"/>
    </w:rPr>
  </w:style>
  <w:style w:type="character" w:styleId="741" w:customStyle="1">
    <w:name w:val="Subtitle Char"/>
    <w:basedOn w:val="697"/>
    <w:link w:val="715"/>
    <w:uiPriority w:val="11"/>
    <w:qFormat/>
    <w:rPr>
      <w:sz w:val="24"/>
      <w:szCs w:val="24"/>
    </w:rPr>
  </w:style>
  <w:style w:type="paragraph" w:styleId="742">
    <w:name w:val="Quote"/>
    <w:basedOn w:val="687"/>
    <w:next w:val="687"/>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87"/>
    <w:next w:val="687"/>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basedOn w:val="697"/>
    <w:uiPriority w:val="99"/>
    <w:qFormat/>
  </w:style>
  <w:style w:type="character" w:styleId="747" w:customStyle="1">
    <w:name w:val="Footer Char"/>
    <w:basedOn w:val="697"/>
    <w:uiPriority w:val="99"/>
    <w:qFormat/>
  </w:style>
  <w:style w:type="character" w:styleId="748" w:customStyle="1">
    <w:name w:val="Caption Char"/>
    <w:uiPriority w:val="99"/>
    <w:qFormat/>
  </w:style>
  <w:style w:type="table" w:styleId="749" w:customStyle="1">
    <w:name w:val="Table Grid Light"/>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9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9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9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9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9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9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9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9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9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9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9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9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9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9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9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9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9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9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9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basedOn w:val="69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basedOn w:val="69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basedOn w:val="69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9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9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9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9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9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9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9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basedOn w:val="69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9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9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9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9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9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9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9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9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9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9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9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9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9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9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basedOn w:val="69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9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9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9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9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9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9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9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9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9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9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9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9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9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9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9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9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9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9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9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9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9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9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basedOn w:val="69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basedOn w:val="69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basedOn w:val="69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basedOn w:val="69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basedOn w:val="69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9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9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9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9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9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9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9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9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basedOn w:val="69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basedOn w:val="69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basedOn w:val="69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9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9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9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9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9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basedOn w:val="69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basedOn w:val="69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9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9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6"/>
    <w:uiPriority w:val="99"/>
    <w:qFormat/>
    <w:rPr>
      <w:sz w:val="18"/>
    </w:rPr>
  </w:style>
  <w:style w:type="character" w:styleId="875" w:customStyle="1">
    <w:name w:val="Endnote Text Char"/>
    <w:link w:val="709"/>
    <w:uiPriority w:val="99"/>
    <w:qFormat/>
    <w:rPr>
      <w:sz w:val="20"/>
    </w:rPr>
  </w:style>
  <w:style w:type="character" w:styleId="876" w:customStyle="1">
    <w:name w:val="标题 Char"/>
    <w:basedOn w:val="697"/>
    <w:link w:val="721"/>
    <w:uiPriority w:val="10"/>
    <w:qFormat/>
    <w:rPr>
      <w:rFonts w:eastAsia="黑体" w:asciiTheme="majorHAnsi" w:hAnsiTheme="majorHAnsi" w:cstheme="majorBidi"/>
      <w:bCs/>
      <w:sz w:val="30"/>
      <w:szCs w:val="32"/>
    </w:rPr>
  </w:style>
  <w:style w:type="character" w:styleId="877" w:customStyle="1">
    <w:name w:val="页眉 Char"/>
    <w:basedOn w:val="697"/>
    <w:link w:val="712"/>
    <w:uiPriority w:val="0"/>
    <w:qFormat/>
    <w:rPr>
      <w:sz w:val="18"/>
      <w:szCs w:val="18"/>
    </w:rPr>
  </w:style>
  <w:style w:type="character" w:styleId="878" w:customStyle="1">
    <w:name w:val="页脚 Char"/>
    <w:basedOn w:val="697"/>
    <w:link w:val="711"/>
    <w:uiPriority w:val="0"/>
    <w:qFormat/>
    <w:rPr>
      <w:sz w:val="18"/>
      <w:szCs w:val="18"/>
    </w:rPr>
  </w:style>
  <w:style w:type="character" w:styleId="879" w:customStyle="1">
    <w:name w:val="font2800"/>
    <w:basedOn w:val="697"/>
    <w:uiPriority w:val="0"/>
    <w:qFormat/>
  </w:style>
  <w:style w:type="character" w:styleId="880" w:customStyle="1">
    <w:name w:val="批注框文本 Char"/>
    <w:basedOn w:val="697"/>
    <w:link w:val="710"/>
    <w:uiPriority w:val="99"/>
    <w:semiHidden/>
    <w:qFormat/>
    <w:rPr>
      <w:sz w:val="18"/>
      <w:szCs w:val="18"/>
    </w:rPr>
  </w:style>
  <w:style w:type="table" w:styleId="881" w:customStyle="1">
    <w:name w:val="网格型1"/>
    <w:basedOn w:val="698"/>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customStyle="1">
    <w:name w:val="批注文字 Char"/>
    <w:basedOn w:val="697"/>
    <w:link w:val="701"/>
    <w:uiPriority w:val="99"/>
    <w:semiHidden/>
    <w:qFormat/>
  </w:style>
  <w:style w:type="character" w:styleId="883" w:customStyle="1">
    <w:name w:val="批注主题 Char"/>
    <w:basedOn w:val="882"/>
    <w:link w:val="722"/>
    <w:uiPriority w:val="99"/>
    <w:semiHidden/>
    <w:qFormat/>
    <w:rPr>
      <w:b/>
      <w:bCs/>
    </w:rPr>
  </w:style>
  <w:style w:type="character" w:styleId="884" w:customStyle="1">
    <w:name w:val="正文文本 Char"/>
    <w:basedOn w:val="697"/>
    <w:uiPriority w:val="99"/>
    <w:semiHidden/>
    <w:qFormat/>
  </w:style>
  <w:style w:type="character" w:styleId="885" w:customStyle="1">
    <w:name w:val="正文文本 Char1"/>
    <w:link w:val="702"/>
    <w:uiPriority w:val="0"/>
    <w:qFormat/>
    <w:rPr>
      <w:rFonts w:ascii="楷体_GB2312" w:hAnsi="Times New Roman" w:eastAsia="楷体_GB2312" w:cs="Times New Roman"/>
      <w:bCs/>
      <w:sz w:val="28"/>
      <w:szCs w:val="24"/>
    </w:rPr>
  </w:style>
  <w:style w:type="paragraph" w:styleId="886" w:customStyle="1">
    <w:name w:val="Table Paragraph"/>
    <w:basedOn w:val="687"/>
    <w:uiPriority w:val="1"/>
    <w:qFormat/>
    <w:pPr>
      <w:ind w:firstLine="260"/>
      <w:jc w:val="left"/>
      <w:spacing w:line="360" w:lineRule="auto"/>
    </w:pPr>
    <w:rPr>
      <w:rFonts w:ascii="Calibri" w:hAnsi="Calibri" w:eastAsia="仿宋" w:cs="Times New Roman"/>
      <w:sz w:val="28"/>
      <w:lang w:eastAsia="en-US"/>
    </w:rPr>
  </w:style>
  <w:style w:type="paragraph" w:styleId="887">
    <w:name w:val="No Spacing"/>
    <w:link w:val="888"/>
    <w:uiPriority w:val="1"/>
    <w:qFormat/>
    <w:pPr>
      <w:jc w:val="both"/>
      <w:spacing w:line="360" w:lineRule="auto"/>
      <w:widowControl w:val="off"/>
    </w:pPr>
    <w:rPr>
      <w:rFonts w:hint="default" w:ascii="宋体" w:hAnsi="宋体" w:eastAsiaTheme="minorEastAsia" w:cstheme="minorBidi"/>
      <w:sz w:val="24"/>
      <w:szCs w:val="22"/>
    </w:rPr>
  </w:style>
  <w:style w:type="character" w:styleId="888" w:customStyle="1">
    <w:name w:val="无间隔 Char"/>
    <w:link w:val="887"/>
    <w:uiPriority w:val="1"/>
    <w:qFormat/>
    <w:rPr>
      <w:rFonts w:ascii="宋体" w:hAnsi="宋体"/>
      <w:sz w:val="24"/>
    </w:rPr>
  </w:style>
  <w:style w:type="character" w:styleId="889" w:customStyle="1">
    <w:name w:val="正文文本缩进 Char"/>
    <w:basedOn w:val="697"/>
    <w:link w:val="704"/>
    <w:uiPriority w:val="0"/>
    <w:qFormat/>
  </w:style>
  <w:style w:type="table" w:styleId="890" w:customStyle="1">
    <w:name w:val="网格型2"/>
    <w:basedOn w:val="69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1" w:customStyle="1">
    <w:name w:val="Revision"/>
    <w:hidden/>
    <w:uiPriority w:val="99"/>
    <w:unhideWhenUsed/>
    <w:qFormat/>
    <w:rPr>
      <w:rFonts w:hint="default" w:asciiTheme="minorHAnsi" w:hAnsiTheme="minorHAnsi" w:eastAsiaTheme="minorEastAsia" w:cstheme="minorBidi"/>
      <w:sz w:val="21"/>
      <w:szCs w:val="22"/>
    </w:rPr>
  </w:style>
  <w:style w:type="table" w:styleId="892" w:customStyle="1">
    <w:name w:val="网格型3"/>
    <w:basedOn w:val="698"/>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customStyle="1">
    <w:name w:val="网格型4"/>
    <w:basedOn w:val="69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895" w:customStyle="1">
    <w:name w:val="标题 1 Char"/>
    <w:basedOn w:val="697"/>
    <w:link w:val="688"/>
    <w:uiPriority w:val="9"/>
    <w:qFormat/>
    <w:rPr>
      <w:b/>
      <w:bCs/>
      <w:sz w:val="44"/>
      <w:szCs w:val="44"/>
    </w:rPr>
  </w:style>
  <w:style w:type="paragraph" w:styleId="896" w:customStyle="1">
    <w:name w:val="TOC Heading"/>
    <w:basedOn w:val="688"/>
    <w:next w:val="687"/>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897" w:customStyle="1">
    <w:name w:val="font21"/>
    <w:basedOn w:val="697"/>
    <w:uiPriority w:val="0"/>
    <w:qFormat/>
    <w:rPr>
      <w:rFonts w:ascii="Calibri" w:hAnsi="Calibri" w:cs="Calibri"/>
      <w:color w:val="000000"/>
      <w:sz w:val="21"/>
      <w:szCs w:val="21"/>
      <w:u w:val="none"/>
    </w:rPr>
  </w:style>
  <w:style w:type="character" w:styleId="898" w:customStyle="1">
    <w:name w:val="font11"/>
    <w:basedOn w:val="697"/>
    <w:uiPriority w:val="0"/>
    <w:qFormat/>
    <w:rPr>
      <w:rFonts w:hint="eastAsia" w:ascii="宋体" w:hAnsi="宋体" w:eastAsia="宋体" w:cs="宋体"/>
      <w:color w:val="000000"/>
      <w:sz w:val="21"/>
      <w:szCs w:val="21"/>
      <w:u w:val="none"/>
    </w:rPr>
  </w:style>
  <w:style w:type="character" w:styleId="899" w:customStyle="1">
    <w:name w:val="标题 2 Char"/>
    <w:uiPriority w:val="99"/>
    <w:qFormat/>
    <w:rPr>
      <w:rFonts w:ascii="Arial" w:hAnsi="Arial" w:eastAsia="黑体"/>
      <w:b/>
      <w:bCs/>
      <w:sz w:val="32"/>
      <w:szCs w:val="32"/>
      <w:lang w:val="en-US" w:eastAsia="zh-CN" w:bidi="ar-SA"/>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5DD467-7F0E-44F5-9842-4ABB4B2EC5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徐星星</cp:lastModifiedBy>
  <cp:revision>193</cp:revision>
  <dcterms:created xsi:type="dcterms:W3CDTF">2025-10-17T05:39:00Z</dcterms:created>
  <dcterms:modified xsi:type="dcterms:W3CDTF">2026-06-01T07:46:01Z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eyJoZGlkIjoiNjUxMmExOTljODMxNWY0Y2JlNmViZjhmMWVlZmVkMzgiLCJ1c2VySWQiOiIyNzUwMzA5NTkifQ==</vt:lpwstr>
  </property>
  <property fmtid="{D5CDD505-2E9C-101B-9397-08002B2CF9AE}" pid="3" name="KSOProductBuildVer">
    <vt:lpwstr>2052-12.1.0.26375</vt:lpwstr>
  </property>
  <property fmtid="{D5CDD505-2E9C-101B-9397-08002B2CF9AE}" pid="4" name="ICV">
    <vt:lpwstr>979DC1B2658A49ECB924BC2A28C32F26_12</vt:lpwstr>
  </property>
</Properties>
</file>