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昆山市政府采购</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竞争性谈判采购文件</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ab/>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项目编号：JSZC-320583-SZYE-T2026-0024</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采购内容：</w:t>
      </w:r>
      <w:r>
        <w:rPr>
          <w:rFonts w:hint="eastAsia" w:asciiTheme="minorEastAsia" w:hAnsiTheme="minorEastAsia" w:eastAsiaTheme="minorEastAsia" w:cstheme="minorEastAsia"/>
          <w:color w:val="auto"/>
          <w:sz w:val="28"/>
          <w:szCs w:val="28"/>
          <w:highlight w:val="none"/>
          <w:lang w:val="en-US" w:eastAsia="zh-CN"/>
        </w:rPr>
        <w:t xml:space="preserve">食堂菜品配送服务</w:t>
      </w:r>
      <w:r/>
    </w:p>
    <w:p>
      <w:pPr>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采购单位：</w:t>
      </w:r>
      <w:r>
        <w:rPr>
          <w:rFonts w:hint="eastAsia" w:asciiTheme="minorEastAsia" w:hAnsiTheme="minorEastAsia" w:eastAsiaTheme="minorEastAsia" w:cstheme="minorEastAsia"/>
          <w:color w:val="auto"/>
          <w:sz w:val="28"/>
          <w:szCs w:val="28"/>
          <w:highlight w:val="none"/>
          <w:lang w:eastAsia="zh-CN"/>
        </w:rPr>
        <w:t xml:space="preserve">周市镇人民政府（</w:t>
      </w:r>
      <w:r>
        <w:rPr>
          <w:rFonts w:hint="eastAsia" w:asciiTheme="minorEastAsia" w:hAnsiTheme="minorEastAsia" w:eastAsiaTheme="minorEastAsia" w:cstheme="minorEastAsia"/>
          <w:color w:val="auto"/>
          <w:sz w:val="28"/>
          <w:szCs w:val="28"/>
          <w:highlight w:val="none"/>
          <w:lang w:val="en-US" w:eastAsia="zh-CN"/>
        </w:rPr>
        <w:t xml:space="preserve">昆山市周市镇</w:t>
      </w:r>
      <w:r>
        <w:rPr>
          <w:rFonts w:hint="eastAsia" w:asciiTheme="minorEastAsia" w:hAnsiTheme="minorEastAsia" w:eastAsiaTheme="minorEastAsia" w:cstheme="minorEastAsia"/>
          <w:color w:val="auto"/>
          <w:sz w:val="28"/>
          <w:szCs w:val="28"/>
          <w:highlight w:val="none"/>
          <w:lang w:eastAsia="zh-CN"/>
        </w:rPr>
        <w:t xml:space="preserve">综合行政执法和安全生产监督管理办公室）</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月</w:t>
      </w:r>
      <w:r/>
    </w:p>
    <w:p>
      <w:pPr>
        <w:jc w:val="both"/>
        <w:spacing w:line="360" w:lineRule="auto"/>
        <w:rPr>
          <w:rFonts w:hint="eastAsia" w:asciiTheme="minorEastAsia" w:hAnsiTheme="minorEastAsia" w:eastAsiaTheme="minorEastAsia" w:cstheme="minorEastAsia"/>
          <w:color w:val="auto"/>
          <w:sz w:val="32"/>
          <w:szCs w:val="32"/>
          <w:highlight w:val="none"/>
        </w:rPr>
        <w:sectPr>
          <w:headerReference w:type="default" r:id="rId9"/>
          <w:headerReference w:type="first" r:id="rId10"/>
          <w:footerReference w:type="even" r:id="rId11"/>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r>
      <w:r/>
    </w:p>
    <w:sdt>
      <w:sdtPr>
        <w15:appearance w15:val="boundingBox"/>
        <w15:color w:val="dbdbdb"/>
        <w:id w:val="147457763"/>
        <w:docPartObj>
          <w:docPartGallery w:val="Table of Contents"/>
          <w:docPartUnique w:val="true"/>
        </w:docPartObj>
        <w:rPr>
          <w:rFonts w:hint="eastAsia" w:asciiTheme="minorEastAsia" w:hAnsiTheme="minorEastAsia" w:eastAsiaTheme="minorEastAsia" w:cstheme="minorEastAsia"/>
          <w:color w:val="auto"/>
          <w:sz w:val="21"/>
          <w:szCs w:val="2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目录</w:t>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4"/>
              <w:highlight w:val="none"/>
              <w:lang w:val="en-US" w:eastAsia="zh-CN" w:bidi="ar-SA"/>
            </w:rPr>
            <w:fldChar w:fldCharType="begin"/>
          </w:r>
          <w:r>
            <w:rPr>
              <w:rFonts w:hint="eastAsia" w:asciiTheme="minorEastAsia" w:hAnsiTheme="minorEastAsia" w:eastAsiaTheme="minorEastAsia" w:cstheme="minorEastAsia"/>
              <w:color w:val="auto"/>
              <w:sz w:val="21"/>
              <w:szCs w:val="24"/>
              <w:highlight w:val="none"/>
              <w:lang w:val="en-US" w:eastAsia="zh-CN" w:bidi="ar-SA"/>
            </w:rPr>
            <w:instrText xml:space="preserve">TOC \o "1-1" \h \u </w:instrText>
          </w:r>
          <w:r>
            <w:rPr>
              <w:rFonts w:hint="eastAsia" w:asciiTheme="minorEastAsia" w:hAnsiTheme="minorEastAsia" w:eastAsiaTheme="minorEastAsia" w:cstheme="minorEastAsia"/>
              <w:color w:val="auto"/>
              <w:sz w:val="21"/>
              <w:szCs w:val="24"/>
              <w:highlight w:val="none"/>
              <w:lang w:val="en-US" w:eastAsia="zh-CN" w:bidi="ar-SA"/>
            </w:rPr>
            <w:fldChar w:fldCharType="separate"/>
          </w: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_Toc14029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第一章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竞争性谈判邀请函</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_Toc14029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_Toc29683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第二章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_Toc29683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_Toc24379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第三章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响应内容</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_Toc24379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_Toc2792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第四章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竞争性谈判程序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_Toc2792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_Toc32327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第五章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合同条款</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_Toc32327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25</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_Toc17446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第六章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评审方法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_Toc17446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_Toc18696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val="0"/>
              <w:color w:val="auto"/>
              <w:szCs w:val="32"/>
              <w:highlight w:val="none"/>
            </w:rPr>
            <w:t xml:space="preserve">第七章</w:t>
          </w:r>
          <w:r>
            <w:rPr>
              <w:rFonts w:hint="eastAsia" w:asciiTheme="minorEastAsia" w:hAnsiTheme="minorEastAsia" w:eastAsiaTheme="minorEastAsia" w:cstheme="minorEastAsia"/>
              <w:bCs w:val="0"/>
              <w:color w:val="auto"/>
              <w:szCs w:val="32"/>
              <w:highlight w:val="none"/>
              <w:lang w:val="en-US"/>
            </w:rPr>
            <w:t xml:space="preserve"> </w:t>
          </w:r>
          <w:r>
            <w:rPr>
              <w:rFonts w:hint="eastAsia" w:asciiTheme="minorEastAsia" w:hAnsiTheme="minorEastAsia" w:eastAsiaTheme="minorEastAsia" w:cstheme="minorEastAsia"/>
              <w:bCs w:val="0"/>
              <w:color w:val="auto"/>
              <w:szCs w:val="32"/>
              <w:highlight w:val="none"/>
            </w:rPr>
            <w:t xml:space="preserve"> 附件</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_Toc18696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37</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Cs w:val="24"/>
              <w:highlight w:val="none"/>
              <w:lang w:val="en-US" w:eastAsia="zh-CN" w:bidi="ar-SA"/>
            </w:rPr>
            <w:fldChar w:fldCharType="end"/>
          </w:r>
          <w:r/>
        </w:p>
      </w:sdtContent>
    </w:sdt>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1"/>
          <w:szCs w:val="24"/>
          <w:highlight w:val="none"/>
          <w:lang w:val="en-US" w:eastAsia="zh-CN" w:bidi="ar-SA"/>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717"/>
        <w:jc w:val="center"/>
        <w:spacing w:line="240" w:lineRule="auto"/>
        <w:rPr>
          <w:rFonts w:hint="eastAsia" w:asciiTheme="minorEastAsia" w:hAnsiTheme="minorEastAsia" w:eastAsiaTheme="minorEastAsia" w:cstheme="minorEastAsia"/>
          <w:color w:val="auto"/>
          <w:highlight w:val="none"/>
        </w:rPr>
      </w:pPr>
      <w:r/>
      <w:bookmarkStart w:id="0" w:name="_Toc22948"/>
      <w:r/>
      <w:bookmarkStart w:id="1" w:name="_Toc1"/>
      <w:r/>
      <w:bookmarkStart w:id="2" w:name="_Toc14029"/>
      <w:r>
        <w:rPr>
          <w:rStyle w:val="1055"/>
          <w:rFonts w:hint="eastAsia" w:asciiTheme="minorEastAsia" w:hAnsiTheme="minorEastAsia" w:eastAsiaTheme="minorEastAsia" w:cstheme="minorEastAsia"/>
          <w:b/>
          <w:bCs/>
          <w:color w:val="auto"/>
          <w:sz w:val="32"/>
          <w:szCs w:val="32"/>
          <w:highlight w:val="none"/>
        </w:rPr>
        <w:t xml:space="preserve">第一章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竞争性谈判邀请函</w:t>
      </w:r>
      <w:bookmarkEnd w:id="0"/>
      <w:r/>
      <w:bookmarkEnd w:id="1"/>
      <w:r/>
      <w:bookmarkEnd w:id="2"/>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受</w:t>
      </w:r>
      <w:r>
        <w:rPr>
          <w:rFonts w:hint="eastAsia" w:asciiTheme="minorEastAsia" w:hAnsiTheme="minorEastAsia" w:eastAsiaTheme="minorEastAsia" w:cstheme="minorEastAsia"/>
          <w:color w:val="auto"/>
          <w:szCs w:val="21"/>
          <w:highlight w:val="none"/>
          <w:u w:val="single"/>
          <w:lang w:eastAsia="zh-CN"/>
        </w:rPr>
        <w:t xml:space="preserve">周市镇人民政府（昆山市周市镇综合行政执法和安全生产监督管理办公室）</w:t>
      </w:r>
      <w:r>
        <w:rPr>
          <w:rFonts w:hint="eastAsia" w:asciiTheme="minorEastAsia" w:hAnsiTheme="minorEastAsia" w:eastAsiaTheme="minorEastAsia" w:cstheme="minorEastAsia"/>
          <w:color w:val="auto"/>
          <w:szCs w:val="21"/>
          <w:highlight w:val="none"/>
        </w:rPr>
        <w:t xml:space="preserve">委托，</w:t>
      </w:r>
      <w:r>
        <w:rPr>
          <w:rFonts w:hint="eastAsia" w:asciiTheme="minorEastAsia" w:hAnsiTheme="minorEastAsia" w:eastAsiaTheme="minorEastAsia" w:cstheme="minorEastAsia"/>
          <w:color w:val="auto"/>
          <w:szCs w:val="21"/>
          <w:highlight w:val="none"/>
          <w:u w:val="single"/>
        </w:rPr>
        <w:t xml:space="preserve">苏州宇恩项目咨询有限公司 </w:t>
      </w:r>
      <w:r>
        <w:rPr>
          <w:rFonts w:hint="eastAsia" w:asciiTheme="minorEastAsia" w:hAnsiTheme="minorEastAsia" w:eastAsiaTheme="minorEastAsia" w:cstheme="minorEastAsia"/>
          <w:color w:val="auto"/>
          <w:szCs w:val="21"/>
          <w:highlight w:val="none"/>
        </w:rPr>
        <w:t xml:space="preserve">对其所需采购的</w:t>
      </w:r>
      <w:r>
        <w:rPr>
          <w:rFonts w:hint="eastAsia" w:asciiTheme="minorEastAsia" w:hAnsiTheme="minorEastAsia" w:eastAsiaTheme="minorEastAsia" w:cstheme="minorEastAsia"/>
          <w:color w:val="auto"/>
          <w:szCs w:val="21"/>
          <w:highlight w:val="none"/>
          <w:u w:val="single"/>
          <w:lang w:eastAsia="zh-CN"/>
        </w:rPr>
        <w:t xml:space="preserve">食堂菜品配送服务</w:t>
      </w:r>
      <w:r>
        <w:rPr>
          <w:rFonts w:hint="eastAsia" w:asciiTheme="minorEastAsia" w:hAnsiTheme="minorEastAsia" w:eastAsiaTheme="minorEastAsia" w:cstheme="minorEastAsia"/>
          <w:color w:val="auto"/>
          <w:szCs w:val="21"/>
          <w:highlight w:val="none"/>
        </w:rPr>
        <w:t xml:space="preserve">项目进行竞争性谈判。欢迎有资格的供应商前来参加投标。</w:t>
      </w:r>
      <w:r/>
    </w:p>
    <w:p>
      <w:pPr>
        <w:ind w:right="178"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一、项目基本情况</w:t>
      </w:r>
      <w:r/>
    </w:p>
    <w:p>
      <w:pPr>
        <w:ind w:right="178" w:firstLine="420"/>
        <w:spacing w:line="360" w:lineRule="auto"/>
        <w:tabs>
          <w:tab w:val="right" w:pos="7892"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val="en-US" w:eastAsia="zh-CN"/>
        </w:rPr>
        <w:t xml:space="preserve">JSZC-320583-SZYE-T2026-0024</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tab/>
      </w:r>
      <w:r/>
    </w:p>
    <w:p>
      <w:pPr>
        <w:ind w:right="178" w:firstLine="42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eastAsia="zh-CN"/>
        </w:rPr>
        <w:t xml:space="preserve">食堂菜品配送服务</w:t>
      </w:r>
      <w:r>
        <w:rPr>
          <w:rFonts w:hint="eastAsia" w:asciiTheme="minorEastAsia" w:hAnsiTheme="minorEastAsia" w:eastAsiaTheme="minorEastAsia" w:cstheme="minorEastAsia"/>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3.预算金额：</w:t>
      </w:r>
      <w:r>
        <w:rPr>
          <w:rFonts w:hint="eastAsia" w:asciiTheme="minorEastAsia" w:hAnsiTheme="minorEastAsia" w:eastAsiaTheme="minorEastAsia" w:cstheme="minorEastAsia"/>
          <w:color w:val="auto"/>
          <w:szCs w:val="21"/>
          <w:highlight w:val="none"/>
          <w:lang w:val="en-US" w:eastAsia="zh-CN"/>
        </w:rPr>
        <w:t xml:space="preserve">壹佰零伍万捌仟捌佰壹拾柒</w:t>
      </w:r>
      <w:r>
        <w:rPr>
          <w:rFonts w:hint="eastAsia" w:asciiTheme="minorEastAsia" w:hAnsiTheme="minorEastAsia" w:eastAsiaTheme="minorEastAsia" w:cstheme="minorEastAsia"/>
          <w:color w:val="auto"/>
          <w:szCs w:val="21"/>
          <w:highlight w:val="none"/>
        </w:rPr>
        <w:t xml:space="preserve">元整（￥1058817.00元）</w:t>
      </w:r>
      <w:r>
        <w:rPr>
          <w:rFonts w:hint="eastAsia" w:asciiTheme="minorEastAsia" w:hAnsiTheme="minorEastAsia" w:eastAsiaTheme="minorEastAsia" w:cstheme="minorEastAsia"/>
          <w:color w:val="auto"/>
          <w:szCs w:val="21"/>
          <w:highlight w:val="none"/>
          <w:lang w:eastAsia="zh-CN"/>
        </w:rPr>
        <w:t xml:space="preserve">；</w:t>
      </w:r>
      <w:r/>
    </w:p>
    <w:p>
      <w:pPr>
        <w:ind w:right="178"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4.最高限价：</w:t>
      </w:r>
      <w:r>
        <w:rPr>
          <w:rFonts w:hint="eastAsia" w:asciiTheme="minorEastAsia" w:hAnsiTheme="minorEastAsia" w:eastAsiaTheme="minorEastAsia" w:cstheme="minorEastAsia"/>
          <w:color w:val="auto"/>
          <w:szCs w:val="21"/>
          <w:highlight w:val="none"/>
          <w:lang w:val="en-US" w:eastAsia="zh-CN"/>
        </w:rPr>
        <w:t xml:space="preserve">同预算</w:t>
      </w:r>
      <w:r>
        <w:rPr>
          <w:rFonts w:hint="eastAsia" w:asciiTheme="minorEastAsia" w:hAnsiTheme="minorEastAsia" w:eastAsiaTheme="minorEastAsia" w:cstheme="minorEastAsia"/>
          <w:color w:val="auto"/>
          <w:szCs w:val="21"/>
          <w:highlight w:val="none"/>
          <w:lang w:val="en-US" w:eastAsia="zh-CN"/>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.采购内容：食材配送服务采购，具体内容详见招标文件；</w:t>
      </w:r>
      <w:r/>
    </w:p>
    <w:p>
      <w:pPr>
        <w:ind w:right="178" w:firstLine="420"/>
        <w:spacing w:line="360" w:lineRule="auto"/>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6</w:t>
      </w:r>
      <w:r>
        <w:rPr>
          <w:rFonts w:hint="eastAsia" w:asciiTheme="minorEastAsia" w:hAnsiTheme="minorEastAsia" w:eastAsiaTheme="minorEastAsia" w:cstheme="minorEastAsia"/>
          <w:b w:val="0"/>
          <w:bCs w:val="0"/>
          <w:color w:val="auto"/>
          <w:szCs w:val="21"/>
          <w:highlight w:val="none"/>
        </w:rPr>
        <w:t xml:space="preserve">.服务期限：</w:t>
      </w:r>
      <w:r>
        <w:rPr>
          <w:rFonts w:hint="eastAsia" w:asciiTheme="minorEastAsia" w:hAnsiTheme="minorEastAsia" w:eastAsiaTheme="minorEastAsia" w:cstheme="minorEastAsia"/>
          <w:color w:val="auto"/>
          <w:highlight w:val="none"/>
        </w:rPr>
        <w:t xml:space="preserve">合同签订后壹年</w:t>
      </w:r>
      <w:r>
        <w:rPr>
          <w:rFonts w:hint="eastAsia" w:asciiTheme="minorEastAsia" w:hAnsiTheme="minorEastAsia" w:eastAsiaTheme="minorEastAsia" w:cstheme="minorEastAsia"/>
          <w:b w:val="0"/>
          <w:bCs w:val="0"/>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.本项目不接受联合体投标。</w:t>
      </w:r>
      <w:r/>
    </w:p>
    <w:p>
      <w:pPr>
        <w:ind w:right="178"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二、申请人的资格要求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w:t>
      </w:r>
      <w:r>
        <w:rPr>
          <w:rFonts w:hint="eastAsia" w:asciiTheme="minorEastAsia" w:hAnsiTheme="minorEastAsia" w:eastAsiaTheme="minorEastAsia" w:cstheme="minorEastAsia"/>
          <w:b/>
          <w:bCs/>
          <w:color w:val="auto"/>
          <w:szCs w:val="21"/>
          <w:highlight w:val="none"/>
        </w:rPr>
        <w:t xml:space="preserve">（提供相关材料）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w:t>
      </w:r>
      <w:r>
        <w:rPr>
          <w:rFonts w:hint="eastAsia" w:asciiTheme="minorEastAsia" w:hAnsiTheme="minorEastAsia" w:eastAsiaTheme="minorEastAsia" w:cstheme="minorEastAsia"/>
          <w:b/>
          <w:color w:val="auto"/>
          <w:szCs w:val="21"/>
          <w:highlight w:val="none"/>
        </w:rPr>
        <w:t xml:space="preserve">本项目专门面向中小企业采购，残疾人福利性单位、监狱企业视同小型、微型企业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3.本项目的特定资格条件：</w:t>
      </w:r>
      <w:r>
        <w:rPr>
          <w:rFonts w:hint="eastAsia" w:asciiTheme="minorEastAsia" w:hAnsiTheme="minorEastAsia" w:eastAsiaTheme="minorEastAsia" w:cstheme="minorEastAsia"/>
          <w:b/>
          <w:bCs/>
          <w:color w:val="auto"/>
          <w:szCs w:val="21"/>
          <w:highlight w:val="none"/>
          <w:lang w:eastAsia="zh-CN"/>
        </w:rPr>
        <w:t xml:space="preserve">具有有效期内的《食品经营许可证》</w:t>
      </w:r>
      <w:r>
        <w:rPr>
          <w:rFonts w:hint="eastAsia" w:asciiTheme="minorEastAsia" w:hAnsiTheme="minorEastAsia" w:eastAsiaTheme="minorEastAsia" w:cstheme="minorEastAsia"/>
          <w:b/>
          <w:bCs/>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三、获取谈判文件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1.获取谈判文件时间：</w:t>
      </w:r>
      <w:r>
        <w:rPr>
          <w:rFonts w:hint="eastAsia" w:asciiTheme="minorEastAsia" w:hAnsiTheme="minorEastAsia" w:eastAsiaTheme="minorEastAsia" w:cstheme="minorEastAsia"/>
          <w:bCs/>
          <w:color w:val="auto"/>
          <w:szCs w:val="21"/>
          <w:highlight w:val="none"/>
        </w:rPr>
        <w:t xml:space="preserve">上网之日起至</w:t>
      </w:r>
      <w:r>
        <w:rPr>
          <w:rFonts w:hint="eastAsia" w:asciiTheme="minorEastAsia" w:hAnsiTheme="minorEastAsia" w:eastAsiaTheme="minorEastAsia" w:cstheme="minorEastAsia"/>
          <w:color w:val="auto"/>
          <w:highlight w:val="none"/>
        </w:rPr>
        <w:t xml:space="preserve">202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06</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eastAsiaTheme="minorEastAsia" w:cstheme="minorEastAsia"/>
          <w:color w:val="auto"/>
          <w:highlight w:val="none"/>
          <w:lang w:val="en-US" w:eastAsia="zh-CN"/>
        </w:rPr>
        <w:t xml:space="preserve">25</w:t>
      </w:r>
      <w:r>
        <w:rPr>
          <w:rFonts w:hint="eastAsia" w:asciiTheme="minorEastAsia" w:hAnsiTheme="minorEastAsia" w:eastAsiaTheme="minorEastAsia" w:cstheme="minorEastAsia"/>
          <w:color w:val="auto"/>
          <w:highlight w:val="none"/>
        </w:rPr>
        <w:t xml:space="preserve">日17:00</w:t>
      </w:r>
      <w:r>
        <w:rPr>
          <w:rFonts w:hint="eastAsia" w:asciiTheme="minorEastAsia" w:hAnsiTheme="minorEastAsia" w:eastAsiaTheme="minorEastAsia" w:cstheme="minorEastAsia"/>
          <w:color w:val="auto"/>
          <w:szCs w:val="21"/>
          <w:highlight w:val="none"/>
        </w:rPr>
        <w:t xml:space="preserve">（北京时间）；</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2.获取谈判文件方式：登录“苏采云”系统自行下载本项目招标文件；</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3.谈判文件售价：0元。 </w:t>
      </w:r>
      <w:r>
        <w:rPr>
          <w:rFonts w:hint="eastAsia" w:asciiTheme="minorEastAsia" w:hAnsiTheme="minorEastAsia" w:eastAsiaTheme="minorEastAsia" w:cstheme="minorEastAsia"/>
          <w:b/>
          <w:color w:val="auto"/>
          <w:szCs w:val="21"/>
          <w:highlight w:val="none"/>
        </w:rPr>
        <w:t xml:space="preserve"> </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四、提交响应文件截止时间、开标时间和地点</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1.提交响应文件截止时间：202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06</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30</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:30（北京时间）；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2.远程开标时间：202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06</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30</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:30（（北京时间）；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3.远程CA解密时间：以开标时“苏采云”系统为准；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4.开标地点：“苏采云”系统（网址：http://jszfcg.jsczt.cn/）。</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五、公告信息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1.本公告在江苏政府采购网、苏州市政府采购网发布；</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2.公告期限：自本公告发布之日起3个工作日。</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其它补充事宜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1.CA证书办理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2.参与采购活动</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3.电子投标准备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系统使用指导与咨询：联系电话：18261002950；QQ：3048755361、1315179389、895706745。</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w:t>
      </w:r>
      <w:r>
        <w:rPr>
          <w:rFonts w:hint="eastAsia" w:asciiTheme="minorEastAsia" w:hAnsiTheme="minorEastAsia" w:eastAsiaTheme="minorEastAsia" w:cstheme="minorEastAsia"/>
          <w:b/>
          <w:bCs/>
          <w:color w:val="auto"/>
          <w:szCs w:val="21"/>
          <w:highlight w:val="none"/>
        </w:rPr>
        <w:t xml:space="preserve">凡对本次采购提出询问，请按以下方式联系</w:t>
      </w:r>
      <w:r/>
    </w:p>
    <w:p>
      <w:pPr>
        <w:ind w:right="-315"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采购人：</w:t>
      </w:r>
      <w:r>
        <w:rPr>
          <w:rFonts w:hint="eastAsia" w:asciiTheme="minorEastAsia" w:hAnsiTheme="minorEastAsia" w:eastAsiaTheme="minorEastAsia" w:cstheme="minorEastAsia"/>
          <w:color w:val="auto"/>
          <w:szCs w:val="21"/>
          <w:highlight w:val="none"/>
          <w:lang w:eastAsia="zh-CN"/>
        </w:rPr>
        <w:t xml:space="preserve">周市镇人民政府（昆山市周市镇综合行政执法和安全生产监督管理办公室）</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地址：昆山市周市镇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rPr>
          <w:rFonts w:hint="eastAsia" w:asciiTheme="minorEastAsia" w:hAnsiTheme="minorEastAsia" w:eastAsiaTheme="minorEastAsia" w:cstheme="minorEastAsia"/>
          <w:bCs/>
          <w:color w:val="auto"/>
          <w:szCs w:val="21"/>
          <w:highlight w:val="none"/>
        </w:rPr>
        <w:t xml:space="preserve">方</w:t>
      </w:r>
      <w:r>
        <w:rPr>
          <w:rFonts w:hint="eastAsia" w:asciiTheme="minorEastAsia" w:hAnsiTheme="minorEastAsia" w:eastAsiaTheme="minorEastAsia" w:cstheme="minorEastAsia"/>
          <w:bCs/>
          <w:color w:val="auto"/>
          <w:szCs w:val="21"/>
          <w:highlight w:val="none"/>
          <w:lang w:val="en-US" w:eastAsia="zh-CN"/>
        </w:rPr>
        <w:t xml:space="preserve">科</w:t>
      </w:r>
      <w:r>
        <w:rPr>
          <w:rFonts w:hint="eastAsia" w:asciiTheme="minorEastAsia" w:hAnsiTheme="minorEastAsia" w:eastAsiaTheme="minorEastAsia" w:cstheme="minorEastAsia"/>
          <w:color w:val="auto"/>
          <w:szCs w:val="21"/>
          <w:highlight w:val="none"/>
        </w:rPr>
        <w:t xml:space="preserve">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联系电话：0512-57590853</w:t>
      </w:r>
      <w:r/>
    </w:p>
    <w:p>
      <w:pPr>
        <w:ind w:right="-315" w:firstLine="41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 昆山市玉山镇萧林路1999号5号楼A区11楼   </w:t>
      </w:r>
      <w:r/>
    </w:p>
    <w:p>
      <w:pPr>
        <w:ind w:right="-315"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联系人：薛媛媛、</w:t>
      </w:r>
      <w:r>
        <w:rPr>
          <w:rFonts w:hint="eastAsia" w:asciiTheme="minorEastAsia" w:hAnsiTheme="minorEastAsia" w:eastAsiaTheme="minorEastAsia" w:cstheme="minorEastAsia"/>
          <w:color w:val="auto"/>
          <w:szCs w:val="21"/>
          <w:highlight w:val="none"/>
          <w:lang w:val="en-US" w:eastAsia="zh-CN"/>
        </w:rPr>
        <w:t xml:space="preserve">赵玮</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联系电话：0512-57383089 </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八、</w:t>
      </w:r>
      <w:r>
        <w:rPr>
          <w:rFonts w:hint="eastAsia" w:asciiTheme="minorEastAsia" w:hAnsiTheme="minorEastAsia" w:eastAsiaTheme="minorEastAsia" w:cstheme="minorEastAsia"/>
          <w:b/>
          <w:bCs/>
          <w:color w:val="auto"/>
          <w:szCs w:val="22"/>
          <w:highlight w:val="none"/>
          <w:shd w:val="clear" w:color="auto" w:fill="ffffff"/>
        </w:rPr>
        <w:t xml:space="preserve">供应商诚信管理：</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Cs w:val="22"/>
          <w:highlight w:val="none"/>
        </w:rPr>
      </w:pPr>
      <w:r>
        <w:rPr>
          <w:rFonts w:hint="eastAsia" w:asciiTheme="minorEastAsia" w:hAnsiTheme="minorEastAsia" w:eastAsiaTheme="minorEastAsia" w:cstheme="minorEastAsia"/>
          <w:b/>
          <w:color w:val="auto"/>
          <w:szCs w:val="22"/>
          <w:highlight w:val="none"/>
        </w:rPr>
        <w:t xml:space="preserve">十、其他补充事宜</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1、</w:t>
      </w:r>
      <w:r>
        <w:rPr>
          <w:rFonts w:hint="eastAsia" w:asciiTheme="minorEastAsia" w:hAnsiTheme="minorEastAsia" w:eastAsiaTheme="minorEastAsia" w:cstheme="minorEastAsia"/>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Theme="minorEastAsia" w:hAnsiTheme="minorEastAsia" w:eastAsiaTheme="minorEastAsia" w:cstheme="minorEastAsia"/>
          <w:color w:val="auto"/>
          <w:szCs w:val="22"/>
          <w:highlight w:val="none"/>
        </w:rPr>
        <w:t xml:space="preserve"> </w:t>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                                                          202</w:t>
      </w:r>
      <w:r>
        <w:rPr>
          <w:rFonts w:hint="eastAsia" w:asciiTheme="minorEastAsia" w:hAnsiTheme="minorEastAsia" w:eastAsiaTheme="minorEastAsia" w:cstheme="minorEastAsia"/>
          <w:color w:val="auto"/>
          <w:szCs w:val="22"/>
          <w:highlight w:val="none"/>
          <w:lang w:val="en-US" w:eastAsia="zh-CN"/>
        </w:rPr>
        <w:t xml:space="preserve">6</w:t>
      </w:r>
      <w:r>
        <w:rPr>
          <w:rFonts w:hint="eastAsia" w:asciiTheme="minorEastAsia" w:hAnsiTheme="minorEastAsia" w:eastAsiaTheme="minorEastAsia" w:cstheme="minorEastAsia"/>
          <w:color w:val="auto"/>
          <w:szCs w:val="22"/>
          <w:highlight w:val="none"/>
        </w:rPr>
        <w:t xml:space="preserve">年</w:t>
      </w:r>
      <w:r>
        <w:rPr>
          <w:rFonts w:hint="eastAsia" w:asciiTheme="minorEastAsia" w:hAnsiTheme="minorEastAsia" w:eastAsiaTheme="minorEastAsia" w:cstheme="minorEastAsia"/>
          <w:color w:val="auto"/>
          <w:szCs w:val="22"/>
          <w:highlight w:val="none"/>
          <w:lang w:val="en-US" w:eastAsia="zh-CN"/>
        </w:rPr>
        <w:t xml:space="preserve">06</w:t>
      </w:r>
      <w:r>
        <w:rPr>
          <w:rFonts w:hint="eastAsia" w:asciiTheme="minorEastAsia" w:hAnsiTheme="minorEastAsia" w:eastAsiaTheme="minorEastAsia" w:cstheme="minorEastAsia"/>
          <w:color w:val="auto"/>
          <w:szCs w:val="22"/>
          <w:highlight w:val="none"/>
        </w:rPr>
        <w:t xml:space="preserve">月</w:t>
      </w:r>
      <w:r>
        <w:rPr>
          <w:rFonts w:hint="eastAsia" w:asciiTheme="minorEastAsia" w:hAnsiTheme="minorEastAsia" w:eastAsiaTheme="minorEastAsia" w:cstheme="minorEastAsia"/>
          <w:color w:val="auto"/>
          <w:szCs w:val="22"/>
          <w:highlight w:val="none"/>
          <w:lang w:val="en-US" w:eastAsia="zh-CN"/>
        </w:rPr>
        <w:t xml:space="preserve">18</w:t>
      </w:r>
      <w:r>
        <w:rPr>
          <w:rFonts w:hint="eastAsia" w:asciiTheme="minorEastAsia" w:hAnsiTheme="minorEastAsia" w:eastAsiaTheme="minorEastAsia" w:cstheme="minorEastAsia"/>
          <w:color w:val="auto"/>
          <w:szCs w:val="22"/>
          <w:highlight w:val="none"/>
        </w:rPr>
        <w:t xml:space="preserve">日</w:t>
      </w:r>
      <w:r/>
    </w:p>
    <w:p>
      <w:pPr>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Style w:val="1055"/>
          <w:rFonts w:hint="eastAsia" w:asciiTheme="minorEastAsia" w:hAnsiTheme="minorEastAsia" w:eastAsiaTheme="minorEastAsia" w:cstheme="minorEastAsia"/>
          <w:b/>
          <w:bCs/>
          <w:color w:val="auto"/>
          <w:sz w:val="32"/>
          <w:szCs w:val="32"/>
          <w:highlight w:val="none"/>
        </w:rPr>
      </w:pPr>
      <w:r/>
      <w:bookmarkStart w:id="3" w:name="_Toc2"/>
      <w:r>
        <w:rPr>
          <w:rStyle w:val="1055"/>
          <w:rFonts w:hint="eastAsia" w:asciiTheme="minorEastAsia" w:hAnsiTheme="minorEastAsia" w:eastAsiaTheme="minorEastAsia" w:cstheme="minorEastAsia"/>
          <w:b/>
          <w:bCs/>
          <w:color w:val="auto"/>
          <w:sz w:val="32"/>
          <w:szCs w:val="32"/>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4" w:name="_Toc2145"/>
      <w:r/>
      <w:bookmarkStart w:id="5" w:name="_Toc29683"/>
      <w:r>
        <w:rPr>
          <w:rStyle w:val="1055"/>
          <w:rFonts w:hint="eastAsia" w:asciiTheme="minorEastAsia" w:hAnsiTheme="minorEastAsia" w:eastAsiaTheme="minorEastAsia" w:cstheme="minorEastAsia"/>
          <w:b/>
          <w:bCs/>
          <w:color w:val="auto"/>
          <w:sz w:val="32"/>
          <w:szCs w:val="32"/>
          <w:highlight w:val="none"/>
        </w:rPr>
        <w:t xml:space="preserve">第二章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响应须知</w:t>
      </w:r>
      <w:bookmarkEnd w:id="3"/>
      <w:r/>
      <w:bookmarkEnd w:id="4"/>
      <w:r/>
      <w:bookmarkEnd w:id="5"/>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一、采购说明</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1.本谈判文件仅适用于苏州宇恩项目咨询有限公司组织的采购活动。</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2.本次采购活动及因本次采购活动产生的合同受中国法律制约和保护。</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3.本谈判文件的解释权属于苏州宇恩项目咨询有限公司。</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（一）响应文件计量单位和使用文字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1.响应文件中所使用的计量单位，除谈判文件中有特殊要求外，应采用国家法定计量单位。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2.响应文件应使用中文编制，响应文件中必须使用其他文字的，必须附有中文译本，</w:t>
      </w:r>
      <w:r>
        <w:rPr>
          <w:rFonts w:hint="eastAsia" w:asciiTheme="minorEastAsia" w:hAnsiTheme="minorEastAsia" w:eastAsiaTheme="minorEastAsia" w:cstheme="minorEastAsia"/>
          <w:color w:val="auto"/>
          <w:szCs w:val="21"/>
          <w:highlight w:val="none"/>
          <w:lang w:val="zh-CN"/>
        </w:rPr>
        <w:t xml:space="preserve">对不同文本响应文件的解释发生异议的，以中文文本为准。</w:t>
      </w:r>
      <w:r>
        <w:rPr>
          <w:rFonts w:hint="eastAsia" w:asciiTheme="minorEastAsia" w:hAnsiTheme="minorEastAsia" w:eastAsiaTheme="minorEastAsia" w:cstheme="minorEastAsia"/>
          <w:color w:val="auto"/>
          <w:szCs w:val="21"/>
          <w:highlight w:val="none"/>
        </w:rPr>
        <w:t xml:space="preserve">对于未附有中文译本和中文译本不准确的响应文件，由此引起的对供应商不利后果的，采购代理机构概不负责。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（二）响应文件编制说明</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1.供应商应按须知的规定，编制一份电子响应文件，并进行网上投标。</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3.谈判响应文件以中文为准，谈判响应文件的有效期为自谈判之日起90日。</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（三）响应报价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1.投标应以</w:t>
      </w:r>
      <w:r>
        <w:rPr>
          <w:rFonts w:hint="eastAsia" w:asciiTheme="minorEastAsia" w:hAnsiTheme="minorEastAsia" w:eastAsiaTheme="minorEastAsia" w:cstheme="minorEastAsia"/>
          <w:b/>
          <w:bCs/>
          <w:color w:val="auto"/>
          <w:szCs w:val="21"/>
          <w:highlight w:val="none"/>
          <w:lang w:eastAsia="zh-CN"/>
        </w:rPr>
        <w:t xml:space="preserve">优惠率</w:t>
      </w:r>
      <w:r>
        <w:rPr>
          <w:rFonts w:hint="eastAsia" w:asciiTheme="minorEastAsia" w:hAnsiTheme="minorEastAsia" w:eastAsiaTheme="minorEastAsia" w:cstheme="minorEastAsia"/>
          <w:b/>
          <w:bCs/>
          <w:color w:val="auto"/>
          <w:szCs w:val="21"/>
          <w:highlight w:val="none"/>
        </w:rPr>
        <w:t xml:space="preserve">报价</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供应商对本项目的报价应包括完成本项工作所需的</w:t>
      </w:r>
      <w:r>
        <w:rPr>
          <w:rFonts w:hint="eastAsia" w:asciiTheme="minorEastAsia" w:hAnsiTheme="minorEastAsia" w:eastAsiaTheme="minorEastAsia" w:cstheme="minorEastAsia"/>
          <w:color w:val="auto"/>
          <w:szCs w:val="21"/>
          <w:highlight w:val="none"/>
        </w:rPr>
        <w:t xml:space="preserve">一切人工费、设备、管理、利润、税金、项目验收、政策性文件规定及合同包含的所有风险、责任等各项应有费用</w:t>
      </w:r>
      <w:r>
        <w:rPr>
          <w:rFonts w:hint="eastAsia" w:asciiTheme="minorEastAsia" w:hAnsiTheme="minorEastAsia" w:eastAsiaTheme="minorEastAsia" w:cstheme="minorEastAsia"/>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4.响应文件报价中的单价和总价全部采用人民币表示，除非另有规定。</w:t>
      </w:r>
      <w:r/>
    </w:p>
    <w:p>
      <w:pPr>
        <w:pStyle w:val="729"/>
        <w:ind w:firstLine="422"/>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Theme="minorEastAsia" w:hAnsiTheme="minorEastAsia" w:eastAsiaTheme="minorEastAsia" w:cstheme="minorEastAsia"/>
          <w:b/>
          <w:color w:val="auto"/>
          <w:sz w:val="21"/>
          <w:szCs w:val="21"/>
          <w:highlight w:val="none"/>
        </w:rPr>
        <w:t xml:space="preserve">最后报价时间为10分钟</w:t>
      </w:r>
      <w:r>
        <w:rPr>
          <w:rFonts w:hint="eastAsia" w:asciiTheme="minorEastAsia" w:hAnsiTheme="minorEastAsia" w:eastAsiaTheme="minorEastAsia" w:cstheme="minorEastAsia"/>
          <w:color w:val="auto"/>
          <w:sz w:val="21"/>
          <w:szCs w:val="21"/>
          <w:highlight w:val="none"/>
        </w:rPr>
        <w:t xml:space="preserve">）的供应商作为成交供应商。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（四）响应文件的组成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1.响应文件（报价、相关资格部分及技术部分）：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1.1封面；</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1.2开标一览表（格式见第七章）；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远程参与开标会议诚信承诺书</w:t>
      </w:r>
      <w:r>
        <w:rPr>
          <w:rFonts w:hint="eastAsia" w:asciiTheme="minorEastAsia" w:hAnsiTheme="minorEastAsia" w:eastAsiaTheme="minorEastAsia" w:cstheme="minorEastAsia"/>
          <w:color w:val="auto"/>
          <w:szCs w:val="21"/>
          <w:highlight w:val="none"/>
        </w:rPr>
        <w:t xml:space="preserve">（格式见第七章）</w:t>
      </w:r>
      <w:r>
        <w:rPr>
          <w:rFonts w:hint="eastAsia" w:asciiTheme="minorEastAsia" w:hAnsiTheme="minorEastAsia" w:eastAsiaTheme="minorEastAsia" w:cstheme="minorEastAsia"/>
          <w:color w:val="auto"/>
          <w:szCs w:val="21"/>
          <w:highlight w:val="none"/>
          <w:lang w:val="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1.4提供法人或者其他组织的营业执照等证明文件、自然人的身份证明；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1.5法定代表人授权委托书及双方身份证明（如有授权）（格式见第七章）</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1.6</w:t>
      </w:r>
      <w:r>
        <w:rPr>
          <w:rFonts w:hint="eastAsia" w:asciiTheme="minorEastAsia" w:hAnsiTheme="minorEastAsia" w:eastAsiaTheme="minorEastAsia" w:cstheme="minorEastAsia"/>
          <w:color w:val="auto"/>
          <w:szCs w:val="21"/>
          <w:highlight w:val="none"/>
          <w:lang w:val="en-US" w:eastAsia="zh-CN"/>
        </w:rPr>
        <w:t xml:space="preserve">响应</w:t>
      </w:r>
      <w:r>
        <w:rPr>
          <w:rFonts w:hint="eastAsia" w:asciiTheme="minorEastAsia" w:hAnsiTheme="minorEastAsia" w:eastAsiaTheme="minorEastAsia" w:cstheme="minorEastAsia"/>
          <w:color w:val="auto"/>
          <w:szCs w:val="21"/>
          <w:highlight w:val="none"/>
        </w:rPr>
        <w:t xml:space="preserve">承诺函（格式见第七章）；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rPr>
          <w:rFonts w:hint="eastAsia" w:asciiTheme="minorEastAsia" w:hAnsiTheme="minorEastAsia" w:eastAsiaTheme="minorEastAsia" w:cstheme="minorEastAsia"/>
          <w:color w:val="auto"/>
          <w:highlight w:val="none"/>
        </w:rPr>
        <w:t xml:space="preserve">投标文件资格证明声明函</w:t>
      </w:r>
      <w:r>
        <w:rPr>
          <w:rFonts w:hint="eastAsia" w:asciiTheme="minorEastAsia" w:hAnsiTheme="minorEastAsia" w:eastAsiaTheme="minorEastAsia" w:cstheme="minorEastAsia"/>
          <w:color w:val="auto"/>
          <w:szCs w:val="21"/>
          <w:highlight w:val="none"/>
        </w:rPr>
        <w:t xml:space="preserve">（格式见第七章）；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rPr>
          <w:rFonts w:hint="eastAsia" w:asciiTheme="minorEastAsia" w:hAnsiTheme="minorEastAsia" w:eastAsiaTheme="minorEastAsia" w:cstheme="minorEastAsia"/>
          <w:color w:val="auto"/>
          <w:szCs w:val="21"/>
          <w:highlight w:val="none"/>
          <w:lang w:val="en-US" w:eastAsia="zh-CN"/>
        </w:rPr>
        <w:t xml:space="preserve">供应商</w:t>
      </w:r>
      <w:r>
        <w:rPr>
          <w:rFonts w:hint="eastAsia" w:asciiTheme="minorEastAsia" w:hAnsiTheme="minorEastAsia" w:eastAsiaTheme="minorEastAsia" w:cstheme="minorEastAsia"/>
          <w:color w:val="auto"/>
          <w:szCs w:val="21"/>
          <w:highlight w:val="none"/>
        </w:rPr>
        <w:t xml:space="preserve">情况表（格式见第七章）；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9食品安全承诺书（格式见第七章）</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招标文件要求的其他相关证明材料（</w:t>
      </w:r>
      <w:r>
        <w:rPr>
          <w:rFonts w:hint="eastAsia" w:asciiTheme="minorEastAsia" w:hAnsiTheme="minorEastAsia" w:eastAsiaTheme="minorEastAsia" w:cstheme="minorEastAsia"/>
          <w:color w:val="auto"/>
          <w:szCs w:val="21"/>
          <w:highlight w:val="none"/>
          <w:lang w:val="en-US" w:eastAsia="zh-CN"/>
        </w:rPr>
        <w:t xml:space="preserve">人员配置、业绩、服务方案等）。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2.资格条件：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2.1满足《中华人民共和国政府采购法》第二十二条规定；（提供相关材料）</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2.2落实政府采购政策</w:t>
      </w:r>
      <w:r>
        <w:rPr>
          <w:rFonts w:hint="eastAsia" w:asciiTheme="minorEastAsia" w:hAnsiTheme="minorEastAsia" w:eastAsiaTheme="minorEastAsia" w:cstheme="minorEastAsia"/>
          <w:b/>
          <w:bCs/>
          <w:color w:val="auto"/>
          <w:szCs w:val="21"/>
          <w:highlight w:val="none"/>
        </w:rPr>
        <w:t xml:space="preserve">（以下任选其一）</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2.2.1提供《中小企业声明函》（如有）（格式见第七章）；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2.2.2残疾人福利性单位声明函（如有）（格式见第七章）；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2.2.3监狱企业证明文件（如有）</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2.3第一章投标邀请中采购人根据采购项目的特殊要求规定的特定条件证明文件（如有）。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3.符合性条件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3.1报价分析表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3.1.2报价符合性审查</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3.2商务偏离表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3.3技术偏离表</w:t>
      </w:r>
      <w:r/>
    </w:p>
    <w:p>
      <w:pPr>
        <w:numPr>
          <w:ilvl w:val="0"/>
          <w:numId w:val="10"/>
        </w:numPr>
        <w:ind w:firstLine="422"/>
        <w:keepLines w:val="0"/>
        <w:keepNext w:val="0"/>
        <w:pageBreakBefore w:val="0"/>
        <w:spacing w:line="400" w:lineRule="exact"/>
        <w:widowControl w:val="off"/>
        <w:tabs>
          <w:tab w:val="clear" w:pos="312" w:leader="none"/>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价格折扣证明（以下任选其一）：</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4.1提供《中小企业声明函》（如有）（格式见第七章）；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4.2残疾人福利性单位声明函（如有）（格式见第七章）；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4.3监狱企业证明文件（如有）。</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4.4</w:t>
      </w:r>
      <w:r>
        <w:rPr>
          <w:rFonts w:hint="eastAsia" w:asciiTheme="minorEastAsia" w:hAnsiTheme="minorEastAsia" w:eastAsiaTheme="minorEastAsia" w:cstheme="minorEastAsia"/>
          <w:color w:val="auto"/>
          <w:szCs w:val="21"/>
          <w:highlight w:val="none"/>
        </w:rPr>
        <w:t xml:space="preserve">关于符合本国产品标准的声明函(如有）。</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Cs w:val="21"/>
          <w:highlight w:val="none"/>
        </w:rPr>
        <w:t xml:space="preserve">以上“1-4”为资格性、符合性审查等其他必须提供的资料，投标人必须提供并加盖电子公章。否则，投标文件将被认定为未实质性响应。</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color w:val="auto"/>
          <w:szCs w:val="21"/>
          <w:highlight w:val="none"/>
        </w:rPr>
        <w:t xml:space="preserve">制作电子响应文件时必须与投标文件制作软件目录一一对应，并将相关资料上传至相应模块，否则将认定相关材料无效。</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（五）</w:t>
      </w:r>
      <w:r>
        <w:rPr>
          <w:rFonts w:hint="eastAsia" w:asciiTheme="minorEastAsia" w:hAnsiTheme="minorEastAsia" w:eastAsiaTheme="minorEastAsia" w:cstheme="minorEastAsia"/>
          <w:b/>
          <w:color w:val="auto"/>
          <w:szCs w:val="21"/>
          <w:highlight w:val="none"/>
        </w:rPr>
        <w:t xml:space="preserve">响应文件的撤回和修改</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在提交响应文件的截止时间前，供应商可以撤回或者修改响应文件。</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（六）投标截止时间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1.电子响应文件必须按《投标邀请函》规定的网上投标截止时间前提交。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2.采购人推迟投标截止时间时，应以网上公布的形式，通知供应商，在这种情况下，采购人和供应商的权利和义务将受到新的截止期的约束。</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三、谈判文件说明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（一）谈判文件的澄清和修改</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4.供应商应在</w:t>
      </w:r>
      <w:r>
        <w:rPr>
          <w:rFonts w:hint="eastAsia" w:asciiTheme="minorEastAsia" w:hAnsiTheme="minorEastAsia" w:eastAsiaTheme="minorEastAsia" w:cstheme="minorEastAsia"/>
          <w:color w:val="auto"/>
          <w:szCs w:val="21"/>
          <w:highlight w:val="none"/>
        </w:rPr>
        <w:t xml:space="preserve">提交响应文件截止时间</w:t>
      </w:r>
      <w:r>
        <w:rPr>
          <w:rFonts w:hint="eastAsia" w:asciiTheme="minorEastAsia" w:hAnsiTheme="minorEastAsia" w:eastAsiaTheme="minorEastAsia" w:cstheme="minorEastAsia"/>
          <w:color w:val="auto"/>
          <w:highlight w:val="none"/>
        </w:rPr>
        <w:t xml:space="preserve">前关注原采购信息发布媒体上有无本项目的补充公告。</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（二）质疑</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供应商应当在法定质疑期内一次性提出针对同一采购程序环节的质疑。</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采购人、采购代理机构应当在收到供应商书面质疑后七个工作日内作出答复，并以书面形式通知质疑供应商和其他相关供应商。</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3.质疑必须以参加投标供应商法定代表人或授权代表（投标文件中所确定的）原件送达的方式提交，否则，招标代理人有权不予受理。</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4.上述应知其权益受到损害之日是指：</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4.1对招标文件提出质疑的，为投标文件公告期限届满之日起计算；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4.2对采购过程提出质疑的，自采购程序环节结束之日起计算；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4.3对成交结果提出质疑的，自成交结果公告期限届满之日起计算。</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5.质疑函应包括以下主要内容，并按照“谁主张、谁举证”的原则，附上必要的证明材料。　　　　　　　</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5.1供应商的姓名或者名称、地址、邮编、联系人及联系电话；</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5.2质疑项目名称、编号；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5.3具体、明确的质疑事项和与质疑事项相关的请求；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5.4具体的事实依据及相关证据材料；</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5.5必要的法律依据；</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5.6提出质疑的日期；</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代理人提出质疑，应当提交供应商签署的授权委托书。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7.供应商“依法获取采购文件”的方式为供应商进行系统自行下载采购文件，并打印、保留《投标供应商确认函》，质疑时与质疑函一并提交。</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四、开标和评标</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（一）开标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1.采购代理人按《投标邀请函》规定的时间、地点进行开标。开标仪式根据委托人授权由采购代理人主持，买方代表及有关工作人员参加。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4.出现下列情形之一的，将终止竞争性谈判采购活动：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4.1因情况变化，不再符合规定的竞争性谈判采购方式适用情形的；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4.3在采购过程中符合竞争要求的供应商或者报价未超过采购预算的供应商不足3家的；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4.5出现影响采购公正的违法、违规行为的；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4.6供应商的报价均超过了采购预算，采购方不能支付的；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4.7因重大变故，采购任务取消的。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 废标后，采购人将把废标的理由通知所有供应商 。</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（二）谈判小组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2.谈判小组负责具体的评标事务，并独立履行以下职责：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2.1审查响应文件是否符合谈判文件的要求，并作出评价。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2.2可以要求供应商对响应文件有关事项作出解释或澄清。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2.3推荐成交候选供应商名单，或者受采购人委托按照事先确定的办法直接确定可以交单位。</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3.评标内容的保密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3.3在评标期间，招标代理人将通过指定联络人与供应商进行联系。</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（三）对响应文件的审核</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1.采购人或者采购代理人资格证明文件要求进行供应商资格审查，如缺少内容，视为无效投标；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2.对价格的计算错误按下述原则修正：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2.1如果单价乘数量不等于总价，应以单价为准修正总价。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2.2大写金额和小写金额不一致的，以大写金额为准。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2.3单价金额小数点有明显错位的，应以总价为准，并修改单价。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2.4如果以文字表示的数据与数字表示的有差别，应以文字为准修正数字。</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2.5对不同文字文本响应文件的解释发生异议的，以中文文本为准。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2.6供应商不同意以上修正，则其投标为无效投标。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4.谈判小组对响应文件的判定，只依据投标内容本身，不依据开标后的任何外来证明。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5.下列响应文件为无效投标：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5.1与谈判文件有重大偏离。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5.2供应商的报价是选择性的。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5.3供应商的报价只报了部分内容。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5.4投标报价超过预算的。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5.5不具备谈判文件中规定的资格要求。</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5.6不同供应商的响应文件由同一单位或者个人编制。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5.7不同供应商委托同一单位或者个人办理投标事宜。</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5.8不同供应商的响应文件载明的项目管理成员为同一人。</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5.9不同供应商的响应文件异常一致。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5.10不同供应商的法定代表人或委托代理人有夫妻、直系血亲关系的。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5.11不同供应商的负责人为同一人或者存在控股、管理关系的。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5.12没有逐一说明投标产品名称、品牌、规格型号和技术参数，而是直接拷贝谈判文件技术要求的；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5.14服务承诺和付款条件未响应招标要求的；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5.15特征码检查中，不同投标人上传采购文件所使用的电脑网卡信息等一致的（如发现违法违规行为，将依法追究其法律责任）；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5.16不符合法律、法规和谈判文件规定的其他实质性要求的。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5.17谈判小组认定的其它为无效投标的事项。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2.必要时谈判小组可要求供应商澄清、说明或者更正响应文件以书面形式作出，并应当由法定代表人或其授权代表签字或者加盖公章。</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（五）响应文件的评价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1.谈判小组对响应文件是否实质上响应谈判文件要求的响应文件进行评审。</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五、授予合同</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（一）成交单位的确认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（二）合同授予标准</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1.确定为成交的供应商必须具有实施本合同的能力和资源。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（三）成交通知书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1.成交通知书将成为合同的组成部分。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（四）合同的签订</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1.成交单位应按成交通知书中规定的期限，与甲方签订合同。</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zh-CN"/>
        </w:rPr>
        <w:t xml:space="preserve">六、</w:t>
      </w:r>
      <w:r>
        <w:rPr>
          <w:rFonts w:hint="eastAsia" w:asciiTheme="minorEastAsia" w:hAnsiTheme="minorEastAsia" w:eastAsiaTheme="minorEastAsia" w:cstheme="minorEastAsia"/>
          <w:b/>
          <w:color w:val="auto"/>
          <w:szCs w:val="21"/>
          <w:highlight w:val="none"/>
        </w:rPr>
        <w:t xml:space="preserve">诚实信用</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（一）诚实信用</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1.供应商之间不得相互串通投标报价，不得妨碍其他供应商的公平竞争，不得损害采购人和其他供应商的合法权益。</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2.供应商不得虚假承诺，否则，按照提供虚假材料谋取中标处理。</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七、其他事项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（一）成交服务费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1.成交单位须按规定支付成交服务费，该费用应在合同签订后三天内付清。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val="0"/>
          <w:bCs/>
          <w:color w:val="auto"/>
          <w:sz w:val="21"/>
          <w:szCs w:val="21"/>
          <w:highlight w:val="none"/>
        </w:rPr>
        <w:t xml:space="preserve">2.</w:t>
      </w:r>
      <w:r>
        <w:rPr>
          <w:rFonts w:hint="eastAsia" w:asciiTheme="minorEastAsia" w:hAnsiTheme="minorEastAsia" w:eastAsiaTheme="minorEastAsia" w:cstheme="minorEastAsia"/>
          <w:b/>
          <w:color w:val="auto"/>
          <w:szCs w:val="21"/>
          <w:highlight w:val="none"/>
          <w:lang w:val="en-US" w:eastAsia="zh-CN"/>
        </w:rPr>
        <w:t xml:space="preserve">成交</w:t>
      </w:r>
      <w:r>
        <w:rPr>
          <w:rFonts w:hint="eastAsia" w:asciiTheme="minorEastAsia" w:hAnsiTheme="minorEastAsia" w:eastAsiaTheme="minorEastAsia" w:cstheme="minorEastAsia"/>
          <w:b/>
          <w:color w:val="auto"/>
          <w:szCs w:val="21"/>
          <w:highlight w:val="none"/>
        </w:rPr>
        <w:t xml:space="preserve">服务费收取方式</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本项目预算包含</w:t>
      </w:r>
      <w:r>
        <w:rPr>
          <w:rFonts w:hint="eastAsia" w:asciiTheme="minorEastAsia" w:hAnsiTheme="minorEastAsia" w:eastAsiaTheme="minorEastAsia" w:cstheme="minorEastAsia"/>
          <w:b/>
          <w:color w:val="auto"/>
          <w:szCs w:val="21"/>
          <w:highlight w:val="none"/>
          <w:lang w:eastAsia="zh-CN"/>
        </w:rPr>
        <w:t xml:space="preserve">成交服务费（</w:t>
      </w:r>
      <w:r>
        <w:rPr>
          <w:rFonts w:hint="eastAsia" w:asciiTheme="minorEastAsia" w:hAnsiTheme="minorEastAsia" w:eastAsiaTheme="minorEastAsia" w:cstheme="minorEastAsia"/>
          <w:b/>
          <w:color w:val="auto"/>
          <w:szCs w:val="21"/>
          <w:highlight w:val="none"/>
          <w:lang w:val="en-US" w:eastAsia="zh-CN"/>
        </w:rPr>
        <w:t xml:space="preserve">成交服务费</w:t>
      </w:r>
      <w:r>
        <w:rPr>
          <w:rFonts w:hint="eastAsia" w:asciiTheme="minorEastAsia" w:hAnsiTheme="minorEastAsia" w:eastAsiaTheme="minorEastAsia" w:cstheme="minorEastAsia"/>
          <w:b/>
          <w:color w:val="auto"/>
          <w:szCs w:val="21"/>
          <w:highlight w:val="none"/>
          <w:lang w:eastAsia="zh-CN"/>
        </w:rPr>
        <w:t xml:space="preserve">15646.99</w:t>
      </w:r>
      <w:r>
        <w:rPr>
          <w:rFonts w:hint="eastAsia" w:asciiTheme="minorEastAsia" w:hAnsiTheme="minorEastAsia" w:eastAsiaTheme="minorEastAsia" w:cstheme="minorEastAsia"/>
          <w:b/>
          <w:color w:val="auto"/>
          <w:szCs w:val="21"/>
          <w:highlight w:val="none"/>
          <w:lang w:val="en-US" w:eastAsia="zh-CN"/>
        </w:rPr>
        <w:t xml:space="preserve">元-不可竞争性费用</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，按照昆财字[2026]50号收费文件规定，招标代理服务费向中标或成交单位收取。</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b/>
          <w:color w:val="auto"/>
          <w:szCs w:val="21"/>
          <w:highlight w:val="none"/>
          <w:lang w:eastAsia="zh-CN"/>
        </w:rPr>
        <w:t xml:space="preserve">。</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（二）监督</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1.政府有关监督部门将对招投标全过程进行监督。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（三）绿色采购</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Cs w:val="21"/>
          <w:highlight w:val="none"/>
        </w:rPr>
        <w:t xml:space="preserve">否则将被认定为未实质性响应招标文件要求。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（四）未尽事宜</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1.按《中华人民共和国政府采购法》及其他有关政府采购的法律法规的的规定执行。</w:t>
      </w:r>
      <w:r/>
    </w:p>
    <w:p>
      <w:pPr>
        <w:ind w:firstLine="422"/>
        <w:keepLines w:val="0"/>
        <w:keepNext w:val="0"/>
        <w:pageBreakBefore w:val="0"/>
        <w:spacing w:line="400" w:lineRule="exact"/>
        <w:widowControl w:val="off"/>
        <w:tabs>
          <w:tab w:val="left" w:pos="720" w:leader="none"/>
        </w:tabs>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成交后成交单位需提供与网上投标文件一致的书面投标文件贰套，用于项目归档。</w:t>
      </w:r>
      <w:r/>
    </w:p>
    <w:p>
      <w:pPr>
        <w:rPr>
          <w:rStyle w:val="1055"/>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717"/>
        <w:jc w:val="center"/>
        <w:spacing w:line="240" w:lineRule="auto"/>
        <w:rPr>
          <w:rFonts w:hint="eastAsia" w:asciiTheme="minorEastAsia" w:hAnsiTheme="minorEastAsia" w:eastAsiaTheme="minorEastAsia" w:cstheme="minorEastAsia"/>
          <w:color w:val="auto"/>
          <w:highlight w:val="none"/>
        </w:rPr>
      </w:pPr>
      <w:r/>
      <w:bookmarkStart w:id="6" w:name="_Toc26138"/>
      <w:r/>
      <w:bookmarkStart w:id="7" w:name="_Toc3"/>
      <w:r/>
      <w:bookmarkStart w:id="8" w:name="_Toc24379"/>
      <w:r>
        <w:rPr>
          <w:rStyle w:val="1055"/>
          <w:rFonts w:hint="eastAsia" w:asciiTheme="minorEastAsia" w:hAnsiTheme="minorEastAsia" w:eastAsiaTheme="minorEastAsia" w:cstheme="minorEastAsia"/>
          <w:b/>
          <w:bCs/>
          <w:color w:val="auto"/>
          <w:sz w:val="32"/>
          <w:szCs w:val="32"/>
          <w:highlight w:val="none"/>
        </w:rPr>
        <w:t xml:space="preserve">第三章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响应内容</w:t>
      </w:r>
      <w:bookmarkEnd w:id="6"/>
      <w:r/>
      <w:bookmarkEnd w:id="7"/>
      <w:r/>
      <w:bookmarkEnd w:id="8"/>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bookmarkStart w:id="9" w:name="_Toc166338829"/>
      <w:r>
        <w:rPr>
          <w:rFonts w:hint="eastAsia" w:asciiTheme="minorEastAsia" w:hAnsiTheme="minorEastAsia" w:eastAsiaTheme="minorEastAsia" w:cstheme="minorEastAsia"/>
          <w:b/>
          <w:bCs/>
          <w:color w:val="auto"/>
          <w:sz w:val="21"/>
          <w:szCs w:val="21"/>
          <w:highlight w:val="none"/>
        </w:rPr>
        <w:t xml:space="preserve">一、</w:t>
      </w:r>
      <w:bookmarkEnd w:id="9"/>
      <w:r>
        <w:rPr>
          <w:rFonts w:hint="eastAsia" w:asciiTheme="minorEastAsia" w:hAnsiTheme="minorEastAsia" w:eastAsiaTheme="minorEastAsia" w:cstheme="minorEastAsia"/>
          <w:b/>
          <w:bCs/>
          <w:color w:val="auto"/>
          <w:sz w:val="21"/>
          <w:szCs w:val="21"/>
          <w:highlight w:val="none"/>
        </w:rPr>
        <w:t xml:space="preserve">项目基本情况：</w:t>
      </w:r>
      <w:r/>
    </w:p>
    <w:p>
      <w:pPr>
        <w:ind w:firstLine="420"/>
        <w:spacing w:line="360" w:lineRule="auto"/>
        <w:rPr>
          <w:rFonts w:hint="eastAsia" w:asciiTheme="minorEastAsia" w:hAnsiTheme="minorEastAsia" w:eastAsiaTheme="minorEastAsia" w:cstheme="minorEastAsia"/>
          <w:color w:val="auto"/>
          <w:highlight w:val="none"/>
          <w:lang w:eastAsia="zh-CN"/>
        </w:rPr>
        <w:outlineLvl w:val="9"/>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eastAsiaTheme="minorEastAsia" w:cstheme="minorEastAsia"/>
          <w:color w:val="auto"/>
          <w:highlight w:val="none"/>
          <w:lang w:val="en-US" w:eastAsia="zh-CN"/>
        </w:rPr>
        <w:t xml:space="preserve">JSZC-320583-SZYE-T2026-0024</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eastAsia="zh-CN"/>
        </w:rPr>
        <w:outlineLvl w:val="9"/>
      </w:pPr>
      <w:r>
        <w:rPr>
          <w:rFonts w:hint="eastAsia" w:asciiTheme="minorEastAsia" w:hAnsiTheme="minorEastAsia" w:eastAsiaTheme="minorEastAsia" w:cstheme="minorEastAsia"/>
          <w:color w:val="auto"/>
          <w:highlight w:val="none"/>
        </w:rPr>
        <w:t xml:space="preserve">2.项目名称：</w:t>
      </w:r>
      <w:r>
        <w:rPr>
          <w:rFonts w:hint="eastAsia" w:asciiTheme="minorEastAsia" w:hAnsiTheme="minorEastAsia" w:eastAsiaTheme="minorEastAsia" w:cstheme="minorEastAsia"/>
          <w:color w:val="auto"/>
          <w:highlight w:val="none"/>
          <w:lang w:eastAsia="zh-CN"/>
        </w:rPr>
        <w:t xml:space="preserve">食堂菜品配送服务；</w:t>
      </w:r>
      <w:r/>
    </w:p>
    <w:p>
      <w:pPr>
        <w:ind w:firstLine="420"/>
        <w:spacing w:line="360" w:lineRule="auto"/>
        <w:rPr>
          <w:rFonts w:hint="eastAsia" w:asciiTheme="minorEastAsia" w:hAnsiTheme="minorEastAsia" w:eastAsiaTheme="minorEastAsia" w:cstheme="minorEastAsia"/>
          <w:color w:val="auto"/>
          <w:highlight w:val="none"/>
        </w:rPr>
        <w:outlineLvl w:val="9"/>
      </w:pPr>
      <w:r>
        <w:rPr>
          <w:rFonts w:hint="eastAsia" w:asciiTheme="minorEastAsia" w:hAnsiTheme="minorEastAsia" w:eastAsiaTheme="minorEastAsia" w:cstheme="minorEastAsia"/>
          <w:color w:val="auto"/>
          <w:highlight w:val="none"/>
        </w:rPr>
        <w:t xml:space="preserve">3.项目概况：为充分保障采购单位工作人员就餐供应，保证食材物资的食品安全和卫生。</w:t>
      </w:r>
      <w:r>
        <w:rPr>
          <w:rFonts w:hint="eastAsia" w:asciiTheme="minorEastAsia" w:hAnsiTheme="minorEastAsia" w:eastAsiaTheme="minorEastAsia" w:cstheme="minorEastAsia"/>
          <w:color w:val="auto"/>
          <w:szCs w:val="21"/>
          <w:highlight w:val="none"/>
        </w:rPr>
        <w:t xml:space="preserve">现面向社会选择优秀供应商承担食材供应配送服务。配送内容包括但不限于蔬菜类、鲜肉类、水产类、家禽类、蛋类、冻品类、调料类、豆制品类、卤货类、奶制品、米面类、食用油、干货类、酸奶、纯牛奶、水果等。</w:t>
      </w:r>
      <w:r/>
    </w:p>
    <w:p>
      <w:pPr>
        <w:ind w:firstLine="420"/>
        <w:spacing w:line="360" w:lineRule="auto"/>
        <w:rPr>
          <w:rFonts w:hint="eastAsia" w:asciiTheme="minorEastAsia" w:hAnsiTheme="minorEastAsia" w:eastAsiaTheme="minorEastAsia" w:cstheme="minorEastAsia"/>
          <w:b/>
          <w:bCs/>
          <w:color w:val="auto"/>
          <w:highlight w:val="none"/>
        </w:rPr>
        <w:outlineLvl w:val="9"/>
      </w:pPr>
      <w:r>
        <w:rPr>
          <w:rFonts w:hint="eastAsia" w:asciiTheme="minorEastAsia" w:hAnsiTheme="minorEastAsia" w:eastAsiaTheme="minorEastAsia" w:cstheme="minorEastAsia"/>
          <w:color w:val="auto"/>
          <w:highlight w:val="none"/>
        </w:rPr>
        <w:t xml:space="preserve">4.服务期限：合同签订后壹年</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bookmarkStart w:id="10" w:name="_Toc166338830"/>
      <w:r>
        <w:rPr>
          <w:rFonts w:hint="eastAsia" w:asciiTheme="minorEastAsia" w:hAnsiTheme="minorEastAsia" w:eastAsiaTheme="minorEastAsia" w:cstheme="minorEastAsia"/>
          <w:b/>
          <w:bCs/>
          <w:color w:val="auto"/>
          <w:sz w:val="21"/>
          <w:szCs w:val="21"/>
          <w:highlight w:val="none"/>
        </w:rPr>
        <w:t xml:space="preserve">★二、</w:t>
      </w:r>
      <w:bookmarkEnd w:id="10"/>
      <w:r>
        <w:rPr>
          <w:rFonts w:hint="eastAsia" w:asciiTheme="minorEastAsia" w:hAnsiTheme="minorEastAsia" w:eastAsiaTheme="minorEastAsia" w:cstheme="minorEastAsia"/>
          <w:b/>
          <w:bCs/>
          <w:color w:val="auto"/>
          <w:sz w:val="21"/>
          <w:szCs w:val="21"/>
          <w:highlight w:val="none"/>
        </w:rPr>
        <w:t xml:space="preserve">食材品质要求：（提供承诺函附于偏离表后，否则被视为无效响应）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rPr>
        <w:outlineLvl w:val="9"/>
      </w:pPr>
      <w:r/>
      <w:bookmarkStart w:id="11" w:name="OLE_LINK15"/>
      <w:r>
        <w:rPr>
          <w:rFonts w:hint="eastAsia" w:asciiTheme="minorEastAsia" w:hAnsiTheme="minorEastAsia" w:eastAsiaTheme="minorEastAsia" w:cstheme="minorEastAsia"/>
          <w:color w:val="auto"/>
          <w:szCs w:val="21"/>
          <w:highlight w:val="none"/>
        </w:rPr>
        <w:t xml:space="preserve">（一）所有配送的食材需符合《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（二）所有食材均为非转基因产品，并提供非转基因检测报告。</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（三）具体食材质量要求如下：</w:t>
      </w:r>
      <w:bookmarkEnd w:id="11"/>
      <w:r/>
      <w:bookmarkStart w:id="12" w:name="OLE_LINK21"/>
      <w:r/>
      <w:r/>
    </w:p>
    <w:tbl>
      <w:tblPr>
        <w:tblStyle w:val="727"/>
        <w:tblW w:w="4998"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133"/>
        <w:gridCol w:w="7949"/>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新鲜嫩绿、无黄叶、无菜虫，必须通过农药残留成分测试，蔬菜不带根、不带泥，符合食品卫生要求。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来源于国家认可的正规肉厂，为当日新鲜商品，必须经检验检疫合格的、有动物检疫及屠宰证明，肉质新鲜，不注水，无病毒，符合食品卫生要求。猪肉须有“两证一报告”（动物检疫合格证明、肉品品质合格证明以及非洲猪瘟阴性检测报告）</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肉质新鲜，无病毒，不含有害物质，鲜鱼类必须生猛鲜活。</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有动物检疫</w:t>
            </w:r>
            <w:r>
              <w:rPr>
                <w:rFonts w:hint="eastAsia" w:asciiTheme="minorEastAsia" w:hAnsiTheme="minorEastAsia" w:eastAsiaTheme="minorEastAsia" w:cstheme="minorEastAsia"/>
                <w:color w:val="auto"/>
                <w:highlight w:val="none"/>
                <w:lang w:val="zh-TW"/>
              </w:rPr>
              <w:t xml:space="preserve">及质检证明</w:t>
            </w:r>
            <w:r>
              <w:rPr>
                <w:rFonts w:hint="eastAsia" w:asciiTheme="minorEastAsia" w:hAnsiTheme="minorEastAsia" w:eastAsiaTheme="minorEastAsia" w:cstheme="minorEastAsia"/>
                <w:color w:val="auto"/>
                <w:szCs w:val="21"/>
                <w:highlight w:val="none"/>
              </w:rPr>
              <w:t xml:space="preserve">，新鲜肥美，无内脏，不注水，无病毒，符合食品卫生要求。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无公害禽蛋，新鲜，无变质，破损较少。</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正规知名厂家或其代理商，有商标牌号，注明生产日期、产地、保质期、包装规格、有QS标志。</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色香味美，无异味、全面烧熟、无病毒、符合食品安全卫生要求。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奶制品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产品包装及外观干净、整洁，生产日期、保质期、贮藏条件标识清晰，须在保质期内。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产品包装外观整洁，无破损，商品标签信息清晰，生产日期、保质期、贮藏条件清晰 ，须在保质期内，大米，面粉类等产品感官正常。</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外包装规范干净，整洁，无破损，无漏油情况，须在保质期内。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干货类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在保质期范围内，并保持较好的外观和等级，须是正规厂家并具有合格证书且无任何有害添加剂的优质产品，符合食品安全国家标准。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酸奶、纯牛奶</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包装干净、完好，生牛乳制作，添加剂含量少，产品新鲜。</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水果</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包装完好、抗压，水果新鲜干净，无异味，具备适宜的成熟度，不腐烂、发霉、损伤，外观整齐、无畸形、无病虫害、无生理病害。</w:t>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三、食材安全要求：</w:t>
      </w:r>
      <w:bookmarkEnd w:id="12"/>
      <w:r/>
      <w:r/>
    </w:p>
    <w:p>
      <w:pPr>
        <w:ind w:firstLine="420"/>
        <w:spacing w:line="360" w:lineRule="auto"/>
        <w:rPr>
          <w:rFonts w:hint="eastAsia" w:asciiTheme="minorEastAsia" w:hAnsiTheme="minorEastAsia" w:eastAsiaTheme="minorEastAsia" w:cstheme="minorEastAsia"/>
          <w:bCs/>
          <w:color w:val="auto"/>
          <w:szCs w:val="21"/>
          <w:highlight w:val="none"/>
        </w:rPr>
        <w:outlineLvl w:val="9"/>
      </w:pPr>
      <w:r>
        <w:rPr>
          <w:rFonts w:hint="eastAsia" w:asciiTheme="minorEastAsia" w:hAnsiTheme="minorEastAsia" w:eastAsiaTheme="minorEastAsia" w:cstheme="minorEastAsia"/>
          <w:bCs/>
          <w:color w:val="auto"/>
          <w:szCs w:val="21"/>
          <w:highlight w:val="none"/>
        </w:rPr>
        <w:t xml:space="preserve">1.供应商需提供所有食材的质量检测报告及相关的产品合格证明，并确保证明的真实、合法、有效。</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2.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★3.外包装食材的保质期不得低于产品标注保质期的三分之一（自产品标注的生产日期算起。</w:t>
      </w:r>
      <w:r>
        <w:rPr>
          <w:rFonts w:hint="eastAsia" w:asciiTheme="minorEastAsia" w:hAnsiTheme="minorEastAsia" w:eastAsiaTheme="minorEastAsia" w:cstheme="minorEastAsia"/>
          <w:b/>
          <w:bCs/>
          <w:color w:val="auto"/>
          <w:szCs w:val="21"/>
          <w:highlight w:val="none"/>
        </w:rPr>
        <w:t xml:space="preserve">提供承诺函附于偏离表后，否则被视为无效响应</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5.供应商所供食材质量达不到国家有关食品安全标准而造成食物中毒或其它后果，经公安机关或卫生防疫部门鉴定属于供应商责任的，其产生的一切法律和经济责任全部由供应商承担。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★6.供应商应成立本项目配送专项服务小组，小组成员内须包含食品安全管理员、检测人员（食品检验员）等，服务小组成员均须凭食品健康证上岗，负责相关工作及提供各种服务。（</w:t>
      </w:r>
      <w:r>
        <w:rPr>
          <w:rFonts w:hint="eastAsia" w:asciiTheme="minorEastAsia" w:hAnsiTheme="minorEastAsia" w:eastAsiaTheme="minorEastAsia" w:cstheme="minorEastAsia"/>
          <w:b/>
          <w:bCs/>
          <w:color w:val="auto"/>
          <w:szCs w:val="21"/>
          <w:highlight w:val="none"/>
        </w:rPr>
        <w:t xml:space="preserve">提供健康证明、相关人员证书、有效期内的劳动合同或社保证明</w:t>
      </w:r>
      <w:r>
        <w:rPr>
          <w:rFonts w:hint="eastAsia" w:asciiTheme="minorEastAsia" w:hAnsiTheme="minorEastAsia" w:eastAsiaTheme="minorEastAsia" w:cstheme="minorEastAsia"/>
          <w:b/>
          <w:bCs/>
          <w:color w:val="auto"/>
          <w:szCs w:val="21"/>
          <w:highlight w:val="none"/>
          <w:lang w:val="zh-CN"/>
        </w:rPr>
        <w:t xml:space="preserve">材料扫描件并加盖公章。提供承诺函附于偏离表后，否则被视为无效响应</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供应商应该按照采购方的要求，建立完整的食材追踪溯源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hint="eastAsia" w:asciiTheme="minorEastAsia" w:hAnsiTheme="minorEastAsia" w:eastAsiaTheme="minorEastAsia" w:cstheme="minorEastAsia"/>
          <w:b/>
          <w:bCs/>
          <w:color w:val="auto"/>
          <w:szCs w:val="21"/>
          <w:highlight w:val="none"/>
        </w:rPr>
        <w:t xml:space="preserve">提供承诺函</w:t>
      </w:r>
      <w:bookmarkStart w:id="13" w:name="OLE_LINK5"/>
      <w:r/>
      <w:bookmarkStart w:id="14" w:name="OLE_LINK4"/>
      <w:r>
        <w:rPr>
          <w:rFonts w:hint="eastAsia" w:asciiTheme="minorEastAsia" w:hAnsiTheme="minorEastAsia" w:eastAsiaTheme="minorEastAsia" w:cstheme="minorEastAsia"/>
          <w:b/>
          <w:bCs/>
          <w:color w:val="auto"/>
          <w:szCs w:val="21"/>
          <w:highlight w:val="none"/>
        </w:rPr>
        <w:t xml:space="preserve">附于偏离表后</w:t>
      </w:r>
      <w:bookmarkEnd w:id="13"/>
      <w:r/>
      <w:bookmarkEnd w:id="14"/>
      <w:r>
        <w:rPr>
          <w:rFonts w:hint="eastAsia" w:asciiTheme="minorEastAsia" w:hAnsiTheme="minorEastAsia" w:eastAsiaTheme="minorEastAsia" w:cstheme="minorEastAsia"/>
          <w:b/>
          <w:bCs/>
          <w:color w:val="auto"/>
          <w:szCs w:val="21"/>
          <w:highlight w:val="none"/>
        </w:rPr>
        <w:t xml:space="preserve">，否则被视为无效响应</w:t>
      </w:r>
      <w:r>
        <w:rPr>
          <w:rFonts w:hint="eastAsia" w:asciiTheme="minorEastAsia" w:hAnsiTheme="minorEastAsia" w:eastAsiaTheme="minorEastAsia" w:cstheme="minorEastAsia"/>
          <w:color w:val="auto"/>
          <w:szCs w:val="21"/>
          <w:highlight w:val="none"/>
        </w:rPr>
        <w:t xml:space="preserve">）</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四、食材配送和验收要求：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eastAsia" w:asciiTheme="minorEastAsia" w:hAnsiTheme="minorEastAsia" w:eastAsiaTheme="minorEastAsia" w:cstheme="minorEastAsia"/>
          <w:color w:val="auto"/>
          <w:szCs w:val="21"/>
          <w:highlight w:val="none"/>
        </w:rPr>
        <w:t xml:space="preserve">上述</w:t>
      </w:r>
      <w:r>
        <w:rPr>
          <w:rFonts w:hint="eastAsia" w:asciiTheme="minorEastAsia" w:hAnsiTheme="minorEastAsia" w:eastAsiaTheme="minorEastAsia" w:cstheme="minorEastAsia"/>
          <w:color w:val="auto"/>
          <w:szCs w:val="21"/>
          <w:highlight w:val="none"/>
          <w:lang w:val="zh-CN"/>
        </w:rPr>
        <w:t xml:space="preserve">货款。</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供应商须至少配备</w:t>
      </w: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台冷藏车，车辆须装有GPS监控，冷藏车必须满足采购方现场实际条件，符合运输的需求及可操作性。（提供车辆照片、车辆登记证书、自购发票或租赁合同、行驶证复印件及车辆装有</w:t>
      </w:r>
      <w:r>
        <w:rPr>
          <w:rFonts w:hint="eastAsia" w:asciiTheme="minorEastAsia" w:hAnsiTheme="minorEastAsia" w:eastAsiaTheme="minorEastAsia" w:cstheme="minorEastAsia"/>
          <w:color w:val="auto"/>
          <w:szCs w:val="21"/>
          <w:highlight w:val="none"/>
        </w:rPr>
        <w:t xml:space="preserve">GPS监控</w:t>
      </w:r>
      <w:r>
        <w:rPr>
          <w:rFonts w:hint="eastAsia" w:asciiTheme="minorEastAsia" w:hAnsiTheme="minorEastAsia" w:eastAsiaTheme="minorEastAsia" w:cstheme="minorEastAsia"/>
          <w:color w:val="auto"/>
          <w:szCs w:val="21"/>
          <w:highlight w:val="none"/>
          <w:lang w:val="zh-CN"/>
        </w:rPr>
        <w:t xml:space="preserve">等相关证明材料扫描件加盖公章，附于偏离表后）</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每日食材供应中，供应商应确保所供食材品种、数量、重量的准确性，采购方和供应商应分别建立采购和供应台账，确定专人（不少于两人）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如因供应商食材配送问题而影响本项目正常</w:t>
      </w:r>
      <w:r>
        <w:rPr>
          <w:rFonts w:hint="eastAsia" w:asciiTheme="minorEastAsia" w:hAnsiTheme="minorEastAsia" w:eastAsiaTheme="minorEastAsia" w:cstheme="minorEastAsia"/>
          <w:color w:val="auto"/>
          <w:szCs w:val="21"/>
          <w:highlight w:val="none"/>
        </w:rPr>
        <w:t xml:space="preserve">供</w:t>
      </w:r>
      <w:r>
        <w:rPr>
          <w:rFonts w:hint="eastAsia" w:asciiTheme="minorEastAsia" w:hAnsiTheme="minorEastAsia" w:eastAsiaTheme="minorEastAsia" w:cstheme="minorEastAsia"/>
          <w:color w:val="auto"/>
          <w:szCs w:val="21"/>
          <w:highlight w:val="none"/>
          <w:lang w:val="zh-CN"/>
        </w:rPr>
        <w:t xml:space="preserve">餐，出现一次，采购方提出口头警告并要求供应商做出书面保证，</w:t>
      </w:r>
      <w:r>
        <w:rPr>
          <w:rFonts w:hint="eastAsia" w:asciiTheme="minorEastAsia" w:hAnsiTheme="minorEastAsia" w:eastAsiaTheme="minorEastAsia" w:cstheme="minorEastAsia"/>
          <w:color w:val="auto"/>
          <w:szCs w:val="21"/>
          <w:highlight w:val="none"/>
        </w:rPr>
        <w:t xml:space="preserve">出现</w:t>
      </w:r>
      <w:r>
        <w:rPr>
          <w:rFonts w:hint="eastAsia" w:asciiTheme="minorEastAsia" w:hAnsiTheme="minorEastAsia" w:eastAsiaTheme="minorEastAsia" w:cstheme="minorEastAsia"/>
          <w:color w:val="auto"/>
          <w:szCs w:val="21"/>
          <w:highlight w:val="none"/>
          <w:lang w:val="zh-CN"/>
        </w:rPr>
        <w:t xml:space="preserve">二次扣当天货款10%-30%；达到三次，采购方可解除供货合同。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采购方对所供食材进行定期检查，如发现问题随时向供应商反映，供应商应及时改进并将整改方案及措施告知采购方，否则，采购方有权中断与供货方的合作，一方终止合同须提前十五天通知对方。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临时加货处理：对于采购方临时有客餐任务或临时增加员工用餐时，供应商需在接到采购方口头或书面通知时按要求将货物送到采购方的指定地点，派专人负责跟踪服务，保证用餐正常。</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8.配送过程中涉及相关车辆无法直接抵达区域（如地下停车场等），需转运所涉及的所有费用均含在投标报价中。</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五、定价和询价要求：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供应商须按采购方要求每周提供各类食材的报价清单（报价清单需要涵盖所有配送食材原料），若逾期不报，扣除该周食材配送费用的1%。如采购方对食材价格和质量有疑问，供应商须配合采购方随时进行市场调研。</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2.采购方调查发现市场同规格、同质量的货品零售价，价格明显低于供应方所供货品，要求供应商根据市场价格立即调整供货价格，如未及时调整达二次以上，采购方有权更换供应商。</w:t>
      </w:r>
      <w:r/>
    </w:p>
    <w:p>
      <w:pPr>
        <w:ind w:firstLine="422"/>
        <w:spacing w:before="0" w:after="0"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六、其他服务要求：</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本项目设试供期，采购方选定供应商并签订合同后正式进入试供期。试供期为一个月，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供应商若需对食材进行现场加工，采购方可提供初加工操作场地，但供应商应工作人员需服从采购方的管理，严格遵守国家的有关法律法规。若违反相关规定，首次发现采购方将予以书面警告；书面警告后再出现类似情况，采购方有权扣除供应商当天总货款的30％；屡禁不止、情节严重的，采购方有权直接解除服务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4.如供应商为非本地单位，中标后需在项目所在地设立临时处理点，作为食材中转和售后服务点，采购方有权对临时处理点进行食品安全卫生检查。</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5.供应商在整个配送服务周期内不得将配送服务全部或部分转包，若转包一经采购方发现，采购方可提前终止配送合同。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6.因配送过程中出现人身等安全事故，供应商独立承担一切刑事、民事责任，与采购方无关。</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★7.供应商应对抗风险的能力:根据本项目需求，遵循市场规律，并坚持公开、公平、公正原则，择优选取：</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7.1为保证食材的安全，供应商应建立完整的各类物品追溯体系，提供实验室检测报告，建立专门台账。（提供承诺函附于偏离表后，否则被视为无效响应）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7.2企业已购或将购食品安全责任</w:t>
      </w:r>
      <w:bookmarkStart w:id="15" w:name="OLE_LINK3"/>
      <w:r>
        <w:rPr>
          <w:rFonts w:hint="eastAsia" w:asciiTheme="minorEastAsia" w:hAnsiTheme="minorEastAsia" w:eastAsiaTheme="minorEastAsia" w:cstheme="minorEastAsia"/>
          <w:color w:val="auto"/>
          <w:szCs w:val="21"/>
          <w:highlight w:val="none"/>
        </w:rPr>
        <w:t xml:space="preserve">保险金额≥1000万元</w:t>
      </w:r>
      <w:bookmarkEnd w:id="15"/>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★8.供应商应具备承担风险能力，保障用餐人员权益，供应商应在服务期内提供有效的食品安全责任保险。（提供保单，保险金额≥1000万元。</w:t>
      </w:r>
      <w:r>
        <w:rPr>
          <w:rFonts w:hint="eastAsia" w:asciiTheme="minorEastAsia" w:hAnsiTheme="minorEastAsia" w:eastAsiaTheme="minorEastAsia" w:cstheme="minorEastAsia"/>
          <w:b/>
          <w:bCs/>
          <w:color w:val="auto"/>
          <w:szCs w:val="21"/>
          <w:highlight w:val="none"/>
        </w:rPr>
        <w:t xml:space="preserve">附于偏离表后</w:t>
      </w:r>
      <w:r>
        <w:rPr>
          <w:rFonts w:hint="eastAsia" w:asciiTheme="minorEastAsia" w:hAnsiTheme="minorEastAsia" w:eastAsiaTheme="minorEastAsia" w:cstheme="minorEastAsia"/>
          <w:color w:val="auto"/>
          <w:szCs w:val="21"/>
          <w:highlight w:val="none"/>
        </w:rPr>
        <w:t xml:space="preserve">）</w:t>
      </w:r>
      <w:r/>
    </w:p>
    <w:p>
      <w:pPr>
        <w:ind w:firstLine="422"/>
        <w:spacing w:before="0" w:after="0" w:line="360" w:lineRule="auto"/>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★七、中标供应商考核管理办法：（提供承诺函附于偏离表后，</w:t>
      </w:r>
      <w:bookmarkStart w:id="16" w:name="OLE_LINK8"/>
      <w:r>
        <w:rPr>
          <w:rFonts w:hint="eastAsia" w:asciiTheme="minorEastAsia" w:hAnsiTheme="minorEastAsia" w:eastAsiaTheme="minorEastAsia" w:cstheme="minorEastAsia"/>
          <w:color w:val="auto"/>
          <w:sz w:val="21"/>
          <w:szCs w:val="21"/>
          <w:highlight w:val="none"/>
        </w:rPr>
        <w:t xml:space="preserve">否则被视为无效响应</w:t>
      </w:r>
      <w:bookmarkEnd w:id="16"/>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1.食材配送服务项目实行月考核制度，每月由采购单位对配送公司进行考核。</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2.采购方将联合市场监督管理局等部门建立联合检查制度，并通过第三方暗访等措施，定期或不定期地深入食堂、配送公司及配送公司的自供蔬菜、水产基地，对配送工作进行督查。</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3.食材配送服务实行百分制考核，每月考核一次（考核制度见附表），综合考评得分作为支付当月配送费用的依据，具体计算方法如下：</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3.1考评分在90分（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）以上的，甲方全额支付乙方当月配送费用。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3.2考评分在</w:t>
      </w:r>
      <w:r>
        <w:rPr>
          <w:rFonts w:hint="eastAsia" w:asciiTheme="minorEastAsia" w:hAnsiTheme="minorEastAsia" w:eastAsiaTheme="minorEastAsia" w:cstheme="minorEastAsia"/>
          <w:color w:val="auto"/>
          <w:szCs w:val="21"/>
          <w:highlight w:val="none"/>
          <w:lang w:val="en-US" w:eastAsia="zh-CN"/>
        </w:rPr>
        <w:t xml:space="preserve">80</w:t>
      </w:r>
      <w:r>
        <w:rPr>
          <w:rFonts w:hint="eastAsia" w:asciiTheme="minorEastAsia" w:hAnsiTheme="minorEastAsia" w:eastAsiaTheme="minorEastAsia" w:cstheme="minorEastAsia"/>
          <w:color w:val="auto"/>
          <w:szCs w:val="21"/>
          <w:highlight w:val="none"/>
          <w:lang w:val="zh-CN"/>
        </w:rPr>
        <w:t xml:space="preserve">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）以上、90分以下的，扣除当月配送费用的</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3.3考评分在</w:t>
      </w:r>
      <w:r>
        <w:rPr>
          <w:rFonts w:hint="eastAsia" w:asciiTheme="minorEastAsia" w:hAnsiTheme="minorEastAsia" w:eastAsiaTheme="minorEastAsia" w:cstheme="minorEastAsia"/>
          <w:color w:val="auto"/>
          <w:szCs w:val="21"/>
          <w:highlight w:val="none"/>
          <w:lang w:val="en-US" w:eastAsia="zh-CN"/>
        </w:rPr>
        <w:t xml:space="preserve">70</w:t>
      </w:r>
      <w:r>
        <w:rPr>
          <w:rFonts w:hint="eastAsia" w:asciiTheme="minorEastAsia" w:hAnsiTheme="minorEastAsia" w:eastAsiaTheme="minorEastAsia" w:cstheme="minorEastAsia"/>
          <w:color w:val="auto"/>
          <w:szCs w:val="21"/>
          <w:highlight w:val="none"/>
          <w:lang w:val="zh-CN"/>
        </w:rPr>
        <w:t xml:space="preserve">分（</w:t>
      </w:r>
      <w:r>
        <w:rPr>
          <w:rFonts w:hint="eastAsia" w:asciiTheme="minorEastAsia" w:hAnsiTheme="minorEastAsia" w:eastAsiaTheme="minorEastAsia" w:cstheme="minorEastAsia"/>
          <w:color w:val="auto"/>
          <w:szCs w:val="21"/>
          <w:highlight w:val="none"/>
          <w:lang w:val="en-US" w:eastAsia="zh-CN"/>
        </w:rPr>
        <w:t xml:space="preserve">含</w:t>
      </w:r>
      <w:r>
        <w:rPr>
          <w:rFonts w:hint="eastAsia" w:asciiTheme="minorEastAsia" w:hAnsiTheme="minorEastAsia" w:eastAsiaTheme="minorEastAsia" w:cstheme="minorEastAsia"/>
          <w:color w:val="auto"/>
          <w:szCs w:val="21"/>
          <w:highlight w:val="none"/>
          <w:lang w:val="zh-CN"/>
        </w:rPr>
        <w:t xml:space="preserve">）以上、</w:t>
      </w:r>
      <w:r>
        <w:rPr>
          <w:rFonts w:hint="eastAsia" w:asciiTheme="minorEastAsia" w:hAnsiTheme="minorEastAsia" w:eastAsiaTheme="minorEastAsia" w:cstheme="minorEastAsia"/>
          <w:color w:val="auto"/>
          <w:szCs w:val="21"/>
          <w:highlight w:val="none"/>
          <w:lang w:val="en-US" w:eastAsia="zh-CN"/>
        </w:rPr>
        <w:t xml:space="preserve">79</w:t>
      </w:r>
      <w:r>
        <w:rPr>
          <w:rFonts w:hint="eastAsia" w:asciiTheme="minorEastAsia" w:hAnsiTheme="minorEastAsia" w:eastAsiaTheme="minorEastAsia" w:cstheme="minorEastAsia"/>
          <w:color w:val="auto"/>
          <w:szCs w:val="21"/>
          <w:highlight w:val="none"/>
          <w:lang w:val="zh-CN"/>
        </w:rPr>
        <w:t xml:space="preserve">以下分的，扣除当月配送费用的</w:t>
      </w:r>
      <w:r>
        <w:rPr>
          <w:rFonts w:hint="eastAsia" w:asciiTheme="minorEastAsia" w:hAnsiTheme="minorEastAsia" w:eastAsiaTheme="minorEastAsia" w:cstheme="minorEastAsia"/>
          <w:color w:val="auto"/>
          <w:szCs w:val="21"/>
          <w:highlight w:val="none"/>
          <w:lang w:val="en-US" w:eastAsia="zh-CN"/>
        </w:rPr>
        <w:t xml:space="preserve">20</w:t>
      </w:r>
      <w:r>
        <w:rPr>
          <w:rFonts w:hint="eastAsia" w:asciiTheme="minorEastAsia" w:hAnsiTheme="minorEastAsia" w:eastAsiaTheme="minorEastAsia" w:cstheme="minorEastAsia"/>
          <w:color w:val="auto"/>
          <w:szCs w:val="21"/>
          <w:highlight w:val="none"/>
          <w:lang w:val="zh-CN"/>
        </w:rPr>
        <w:t xml:space="preserve">%。</w:t>
      </w:r>
      <w:r/>
    </w:p>
    <w:p>
      <w:pPr>
        <w:ind w:firstLine="420"/>
        <w:jc w:val="left"/>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color w:val="auto"/>
          <w:szCs w:val="21"/>
          <w:highlight w:val="none"/>
          <w:lang w:val="zh-CN"/>
        </w:rPr>
        <w:t xml:space="preserve">3.4考评分在</w:t>
      </w:r>
      <w:r>
        <w:rPr>
          <w:rFonts w:hint="eastAsia" w:asciiTheme="minorEastAsia" w:hAnsiTheme="minorEastAsia" w:eastAsiaTheme="minorEastAsia" w:cstheme="minorEastAsia"/>
          <w:color w:val="auto"/>
          <w:szCs w:val="21"/>
          <w:highlight w:val="none"/>
          <w:lang w:val="en-US" w:eastAsia="zh-CN"/>
        </w:rPr>
        <w:t xml:space="preserve">70</w:t>
      </w:r>
      <w:r>
        <w:rPr>
          <w:rFonts w:hint="eastAsia" w:asciiTheme="minorEastAsia" w:hAnsiTheme="minorEastAsia" w:eastAsiaTheme="minorEastAsia" w:cstheme="minorEastAsia"/>
          <w:color w:val="auto"/>
          <w:szCs w:val="21"/>
          <w:highlight w:val="none"/>
          <w:lang w:val="zh-CN"/>
        </w:rPr>
        <w:t xml:space="preserve">分以下的，扣除当月配送费用的</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lang w:val="en-US" w:eastAsia="zh-CN"/>
        </w:rPr>
        <w:t xml:space="preserve">且</w:t>
      </w:r>
      <w:r>
        <w:rPr>
          <w:rFonts w:hint="eastAsia" w:asciiTheme="minorEastAsia" w:hAnsiTheme="minorEastAsia" w:eastAsiaTheme="minorEastAsia" w:cstheme="minorEastAsia"/>
          <w:color w:val="auto"/>
          <w:szCs w:val="21"/>
          <w:highlight w:val="none"/>
          <w:lang w:val="zh-CN"/>
        </w:rPr>
        <w:t xml:space="preserve">为月综合考评不达标。如中标人在年度服务期内两次配送服务月综合考评未达标，则年度综合考评不达标，采购人有权终止合同。</w:t>
      </w:r>
      <w:r/>
    </w:p>
    <w:p>
      <w:pPr>
        <w:ind w:firstLine="420"/>
        <w:jc w:val="left"/>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附表：</w:t>
      </w:r>
      <w:r/>
    </w:p>
    <w:p>
      <w:pPr>
        <w:ind w:firstLine="420"/>
        <w:jc w:val="center"/>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食堂食材配送服务月度考核表</w:t>
      </w:r>
      <w:r/>
    </w:p>
    <w:tbl>
      <w:tblPr>
        <w:tblStyle w:val="727"/>
        <w:tblW w:w="9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329"/>
        <w:gridCol w:w="906"/>
        <w:gridCol w:w="1454"/>
        <w:gridCol w:w="842"/>
        <w:gridCol w:w="4331"/>
        <w:gridCol w:w="1094"/>
      </w:tblGrid>
      <w:tr>
        <w:trPr>
          <w:jc w:val="center"/>
          <w:trHeight w:val="567"/>
          <w:tblHeader/>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一级指标</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二级指标</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考核要素与评估标准</w:t>
            </w:r>
            <w:r/>
          </w:p>
        </w:tc>
        <w:tc>
          <w:tcPr>
            <w:shd w:val="clear" w:color="auto" w:fill="auto"/>
            <w:tcW w:w="109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得分</w:t>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运输管理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送货须使用专用冷藏车（5-10月及气温≥25℃时必须开启冷藏设备）。每发现一次未使用冷藏车或应开未开冷藏设备，扣1分，扣完为止。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流程管理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准时送货</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按时送达，食堂每日所需食材（水产除外）一次性配送到位。非不可抗力原因每延误一次扣2分，扣完为止；发现委托其他车辆或人员代送，本项不得分。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足斤足两</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配送数量准确，无短斤缺两。某类食材短缺量达到其配送总量的5%以上，每次扣2分，扣完为止。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服务态度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工作人员态度认真、热情周到，搬运装卸文明，遵守执法办工作秩序。每发现一次野蛮装卸、噪音扰民或无正当理由与食堂人员争执，扣2分，扣完为止。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工作细致</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配送清单与实际货品一致。每出现一次差错扣2分，扣完为止。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单据清晰</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送货单（结算凭证）项目齐全（含品名、规格、数量、单价、总价）、机打清晰得2分，否则不得分。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质量管理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食材质量</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每日评分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每日按各类食材（食材新鲜度/品质、食材数量、食材价格等）验收标准及采购方要求对食材质量进行验收打分，月度得分由每日评分汇总得出，具有细则如下：</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①食材新鲜度/品质：是否符合采购标准中的感官、规格、等级要求；（30分）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②食材数量：实收数量与送货单、订货量是否一致；（10分）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③食材价格：当日单价是否与市场价、合同价或约定浮动机制相符；（8分）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④索证及包装：检疫票、检测报告、生产日期、包装完好度；（7分）</w:t>
            </w:r>
            <w:r/>
          </w:p>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⑤准时及服务：送货时间、临时补换货配合度。（5分）</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b/>
                <w:bCs/>
                <w:color w:val="auto"/>
                <w:sz w:val="21"/>
                <w:szCs w:val="21"/>
                <w:highlight w:val="none"/>
                <w:lang w:val="en-US" w:eastAsia="zh-CN" w:bidi="ar"/>
              </w:rPr>
              <w:t xml:space="preserve">每日验收满分为60分，各单项得分根据实际达标情况扣减，月度得分 = 当月每日评分之和 / 当月天数。</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43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科学管理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16分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检测报告</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提供每日检测报告留存记录，记灵缺失扣6分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安全清洁</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运输工具、储物筐箱等保持清洁卫生，每日清洁，按规定定期消毒并记录。每发现一次不卫生情况扣1分，扣完为止。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联系制度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如网上无食堂所需商品，应事先与采购方联系确认品牌、品级、规格、价格等事项后再发货。单方定价后送货，本项不得分。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及时整改</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对执法办提出的意见建议虚心接受，对运营中出现的问题主动沟通、协调有效，及时整改并取得实效。整改效果不明显扣1分，无效果不得分。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协调沟通</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每月月底主动向执法办提交书面工作汇报（含当月配送总体情况、问题及原因分析、整改措施、下月计划等）。未按时提交不得分。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3"/>
            <w:shd w:val="clear" w:color="auto" w:fill="auto"/>
            <w:tcW w:w="368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总分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100分</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根据以上考核要素与评估标准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6"/>
            <w:shd w:val="clear" w:color="auto" w:fill="auto"/>
            <w:tcW w:w="9956" w:type="dxa"/>
            <w:vAlign w:val="center"/>
            <w:textDirection w:val="lrTb"/>
            <w:noWrap w:val="false"/>
          </w:tcPr>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考核分为90分（含）以上，支付金额为月度费用*100%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分，支付金额为月度费用*90%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分，支付金额为月度费用*80%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考核分70分以下的，支付金额为月度费用*70%，并甲方有权解除合同。</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月度考核汇总</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分</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≥90（全额） □ </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不达标）</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实付比例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是否触发终止条款</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是（本年度第___次不达标） □ 否</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考核单位</w:t>
            </w:r>
            <w:r>
              <w:rPr>
                <w:rFonts w:hint="eastAsia" w:asciiTheme="minorEastAsia" w:hAnsiTheme="minorEastAsia" w:eastAsiaTheme="minorEastAsia" w:cstheme="minorEastAsia"/>
                <w:color w:val="auto"/>
                <w:sz w:val="21"/>
                <w:szCs w:val="21"/>
                <w:highlight w:val="none"/>
                <w:lang w:eastAsia="zh-CN"/>
              </w:rPr>
              <w:t xml:space="preserve">：周市镇人民政府（昆山市周市镇综合行政执法和安全生产监督管理办公室）</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考核人签字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被考核单位：</w:t>
            </w:r>
            <w:r>
              <w:rPr>
                <w:rFonts w:hint="eastAsia" w:asciiTheme="minorEastAsia" w:hAnsiTheme="minorEastAsia" w:eastAsiaTheme="minorEastAsia" w:cstheme="minorEastAsia"/>
                <w:color w:val="auto"/>
                <w:sz w:val="21"/>
                <w:szCs w:val="21"/>
                <w:highlight w:val="none"/>
              </w:rPr>
              <w:t xml:space="preserve">_________________________________</w:t>
            </w:r>
            <w:r>
              <w:rPr>
                <w:rFonts w:hint="eastAsia" w:asciiTheme="minorEastAsia" w:hAnsiTheme="minorEastAsia" w:eastAsiaTheme="minorEastAsia" w:cstheme="minorEastAsia"/>
                <w:color w:val="auto"/>
                <w:sz w:val="21"/>
                <w:szCs w:val="21"/>
                <w:highlight w:val="none"/>
                <w:lang w:val="en-US" w:eastAsia="zh-CN"/>
              </w:rPr>
              <w:t xml:space="preserve">           </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配送单位确认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_________________________________</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考核日期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年 ___________ 月___________ </w:t>
            </w:r>
            <w:r>
              <w:rPr>
                <w:rFonts w:hint="eastAsia" w:asciiTheme="minorEastAsia" w:hAnsiTheme="minorEastAsia" w:eastAsiaTheme="minorEastAsia" w:cstheme="minorEastAsia"/>
                <w:color w:val="auto"/>
                <w:sz w:val="21"/>
                <w:szCs w:val="21"/>
                <w:highlight w:val="none"/>
                <w:lang w:val="en-US" w:eastAsia="zh-CN"/>
              </w:rPr>
              <w:t xml:space="preserve">日</w:t>
            </w:r>
            <w:r/>
          </w:p>
        </w:tc>
      </w:tr>
    </w:tbl>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rPr>
          <w:rFonts w:hint="eastAsia" w:asciiTheme="minorEastAsia" w:hAnsiTheme="minorEastAsia" w:eastAsiaTheme="minorEastAsia" w:cstheme="minorEastAsia"/>
          <w:b/>
          <w:bCs/>
          <w:color w:val="auto"/>
          <w:sz w:val="21"/>
          <w:szCs w:val="21"/>
          <w:highlight w:val="none"/>
        </w:rPr>
        <w:t xml:space="preserve">八、付款方式：</w:t>
      </w:r>
      <w:r/>
    </w:p>
    <w:p>
      <w:pPr>
        <w:ind w:firstLine="420"/>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采购方和供应商次月核对上月配送食材总量及费用总额，核对无误后进行支付，详见合同主要内容。</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具体</w:t>
      </w:r>
      <w:r>
        <w:rPr>
          <w:rFonts w:hint="eastAsia" w:asciiTheme="minorEastAsia" w:hAnsiTheme="minorEastAsia" w:eastAsiaTheme="minorEastAsia" w:cstheme="minorEastAsia"/>
          <w:color w:val="auto"/>
          <w:szCs w:val="21"/>
          <w:highlight w:val="none"/>
          <w:lang w:eastAsia="zh-CN"/>
        </w:rPr>
        <w:t xml:space="preserve">按财政实际拨款为准。）</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公式：每月付款金额= (实际供货量 × 预算单价 × (1−统一单价优惠率))-月度考核扣款</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lang w:val="zh-CN"/>
        </w:rPr>
        <w:outlineLvl w:val="9"/>
      </w:pPr>
      <w:r>
        <w:rPr>
          <w:rFonts w:hint="eastAsia" w:asciiTheme="minorEastAsia" w:hAnsiTheme="minorEastAsia" w:eastAsiaTheme="minorEastAsia" w:cstheme="minorEastAsia"/>
          <w:b/>
          <w:bCs/>
          <w:color w:val="auto"/>
          <w:sz w:val="21"/>
          <w:szCs w:val="21"/>
          <w:highlight w:val="none"/>
        </w:rPr>
        <w:t xml:space="preserve">★九、监督管理：（提供承诺函附于偏离表后，否则被视为无效响应）</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食材供应商在合同执行期间有下列行为之一的，采购方有权直接解除供货服务合同：</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1.中标后无正当理由不与采购单位签订合同的；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2.擅自变更或者终止采购服务合同的；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3.试供期不合格的（详见合同主要内容）；</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4.不按采购需求、投标文件以及采购服务合同要求全面履约或履约情况评价不合格的；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5.未按规定出具检测报告或相关承诺书等资料达到二次的；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6.经核实配送食材不符合采购单位要求达到三次的；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7.不按要求提供报价三次的；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8.虚高报价三次的；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9.配送的食材存在严重质量问题的；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11.造成严重后果或恶劣影响的行为。</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lang w:val="zh-CN"/>
        </w:rPr>
        <w:outlineLvl w:val="9"/>
      </w:pPr>
      <w:r/>
      <w:bookmarkStart w:id="17" w:name="_Toc23589"/>
      <w:r>
        <w:rPr>
          <w:rFonts w:hint="eastAsia" w:asciiTheme="minorEastAsia" w:hAnsiTheme="minorEastAsia" w:eastAsiaTheme="minorEastAsia" w:cstheme="minorEastAsia"/>
          <w:b/>
          <w:bCs/>
          <w:color w:val="auto"/>
          <w:sz w:val="21"/>
          <w:szCs w:val="21"/>
          <w:highlight w:val="none"/>
        </w:rPr>
        <w:t xml:space="preserve">★十、综合说明：</w:t>
      </w:r>
      <w:bookmarkEnd w:id="17"/>
      <w:r>
        <w:rPr>
          <w:rFonts w:hint="eastAsia" w:asciiTheme="minorEastAsia" w:hAnsiTheme="minorEastAsia" w:eastAsiaTheme="minorEastAsia" w:cstheme="minorEastAsia"/>
          <w:b/>
          <w:bCs/>
          <w:color w:val="auto"/>
          <w:sz w:val="21"/>
          <w:szCs w:val="21"/>
          <w:highlight w:val="none"/>
        </w:rPr>
        <w:t xml:space="preserve">（提供承诺函附于偏离表后，否则被视为无效响应）</w:t>
      </w:r>
      <w:r/>
    </w:p>
    <w:p>
      <w:pPr>
        <w:ind w:firstLine="420"/>
        <w:spacing w:line="360" w:lineRule="auto"/>
        <w:tabs>
          <w:tab w:val="left" w:pos="9022" w:leader="none"/>
        </w:tabs>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1.投标单位提供的服务能够至少达到以上要求，同时明确详细的服务方案。</w:t>
      </w:r>
      <w:r>
        <w:tab/>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2.本项目报价包括全部货物和服务内容、人员工资福利、运输、风险费、保险费、税金、利润、成交服务费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9"/>
      </w:pPr>
      <w:r>
        <w:rPr>
          <w:rFonts w:hint="eastAsia" w:asciiTheme="minorEastAsia" w:hAnsiTheme="minorEastAsia" w:eastAsiaTheme="minorEastAsia" w:cstheme="minorEastAsia"/>
          <w:color w:val="auto"/>
          <w:szCs w:val="21"/>
          <w:highlight w:val="none"/>
          <w:lang w:val="zh-CN"/>
        </w:rPr>
        <w:t xml:space="preserve">3.投标单位必须承诺招标文件中提出的全部维护要求，如果以其中某些条款不响应时，应在文件中逐条列出，未列出的视同响应。</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18"/>
          <w:highlight w:val="none"/>
        </w:rPr>
        <w:t xml:space="preserve"> </w:t>
      </w:r>
      <w:r>
        <w:rPr>
          <w:rFonts w:hint="eastAsia" w:asciiTheme="minorEastAsia" w:hAnsiTheme="minorEastAsia" w:eastAsiaTheme="minorEastAsia" w:cstheme="minorEastAsia"/>
          <w:color w:val="auto"/>
          <w:szCs w:val="21"/>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18" w:name="_Toc2792"/>
      <w:r/>
      <w:bookmarkStart w:id="19" w:name="_Toc4"/>
      <w:r/>
      <w:bookmarkStart w:id="20" w:name="_Toc30930"/>
      <w:r>
        <w:rPr>
          <w:rStyle w:val="1055"/>
          <w:rFonts w:hint="eastAsia" w:asciiTheme="minorEastAsia" w:hAnsiTheme="minorEastAsia" w:eastAsiaTheme="minorEastAsia" w:cstheme="minorEastAsia"/>
          <w:b/>
          <w:bCs/>
          <w:color w:val="auto"/>
          <w:sz w:val="32"/>
          <w:szCs w:val="32"/>
          <w:highlight w:val="none"/>
        </w:rPr>
        <w:t xml:space="preserve">第四章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竞争性谈判程序</w:t>
      </w:r>
      <w:bookmarkEnd w:id="18"/>
      <w:r/>
      <w:bookmarkEnd w:id="19"/>
      <w:r/>
      <w:bookmarkEnd w:id="20"/>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一、谈判流程：</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2.5未实质性响应谈判文件的情形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2.5.1供应商在苏采云系统规定的时间内未成功解密电子响应文件的。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2.5.2供应商未按照谈判文件要求上传电子响应文件的。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2.5.3同一供应商提交两个（含两个）以上不同的响应文件或者最后报价的。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2.5.4供应商不具备谈判文件中规定资格要求的。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2.5.5供应商的最后报价超过了采购预算。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2.5.6不符合谈判文件中规定的实质性要求和条件的。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2.5.8  响应文件含有采购人不能接受的附加条件的。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2.5.10响应文件未按照谈判文件要求加盖CA电子公章的。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2.6未实质性响应谈判文件的响应文件按无效响应处理。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Theme="minorEastAsia" w:hAnsiTheme="minorEastAsia" w:eastAsiaTheme="minorEastAsia" w:cstheme="minorEastAsia"/>
          <w:b/>
          <w:bCs/>
          <w:color w:val="auto"/>
          <w:highlight w:val="none"/>
          <w:lang w:eastAsia="zh-CN" w:bidi="ar"/>
        </w:rPr>
      </w:pPr>
      <w:r>
        <w:rPr>
          <w:rFonts w:hint="eastAsia" w:asciiTheme="minorEastAsia" w:hAnsiTheme="minorEastAsia" w:eastAsiaTheme="minorEastAsia" w:cstheme="minorEastAsia"/>
          <w:b/>
          <w:bCs/>
          <w:color w:val="auto"/>
          <w:highlight w:val="none"/>
          <w:lang w:bidi="ar"/>
        </w:rPr>
        <w:t xml:space="preserve">2.8供应商在项目评审全过程中应全程在线关注苏</w:t>
      </w:r>
      <w:r>
        <w:rPr>
          <w:rFonts w:hint="eastAsia" w:asciiTheme="minorEastAsia" w:hAnsiTheme="minorEastAsia" w:eastAsiaTheme="minorEastAsia" w:cstheme="minorEastAsia"/>
          <w:b/>
          <w:bCs/>
          <w:color w:val="auto"/>
          <w:highlight w:val="none"/>
          <w:lang w:val="en-US" w:eastAsia="zh-CN" w:bidi="ar"/>
        </w:rPr>
        <w:t xml:space="preserve">采云</w:t>
      </w:r>
      <w:r>
        <w:rPr>
          <w:rFonts w:hint="eastAsia" w:asciiTheme="minorEastAsia" w:hAnsiTheme="minorEastAsia" w:eastAsiaTheme="minorEastAsia" w:cstheme="minorEastAsia"/>
          <w:b/>
          <w:bCs/>
          <w:color w:val="auto"/>
          <w:highlight w:val="none"/>
          <w:lang w:bidi="ar"/>
        </w:rPr>
        <w:t xml:space="preserve">系统且随时保持通讯畅通，并安排专人与代理机构及谈判小组联系</w:t>
      </w:r>
      <w:r>
        <w:rPr>
          <w:rFonts w:hint="eastAsia" w:asciiTheme="minorEastAsia" w:hAnsiTheme="minorEastAsia" w:eastAsiaTheme="minorEastAsia" w:cstheme="minorEastAsia"/>
          <w:b/>
          <w:bCs/>
          <w:color w:val="auto"/>
          <w:highlight w:val="none"/>
          <w:lang w:eastAsia="zh-CN" w:bidi="ar"/>
        </w:rPr>
        <w:t xml:space="preserve">；造成后果自行承担。</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最后报价是供应商响应文件的有效组成部分。</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7.谈判小组根据谈判成交原则确定成交供应商，并将结果通知所有参加谈判的未成交的供应商</w:t>
      </w:r>
      <w:r>
        <w:rPr>
          <w:rFonts w:hint="eastAsia" w:asciiTheme="minorEastAsia" w:hAnsiTheme="minorEastAsia" w:eastAsiaTheme="minorEastAsia" w:cstheme="minorEastAsia"/>
          <w:color w:val="auto"/>
          <w:highlight w:val="none"/>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二、项目评审</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（一）谈判小组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3.谈判小组的评审工作由采购代理机构负责组织，具体评审事务由谈判小组负责，并独立履行法律、法规规定的职责。</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（二）评审过程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Theme="minorEastAsia" w:hAnsiTheme="minorEastAsia" w:eastAsiaTheme="minorEastAsia" w:cstheme="minorEastAsia"/>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三、项目成交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（一）项目成交需同时满足以下条件：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1.满足谈判文件实质性要求的合格供应商不少于三家；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2.合格供应商的报价均未超过采购预算；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3.采购过程中未出现违法、违规行为；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4.按照谈判文件规定的评审办法确定成交供应商。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（二）重新评审</w:t>
      </w:r>
      <w:r/>
    </w:p>
    <w:p>
      <w:pPr>
        <w:pStyle w:val="746"/>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6"/>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采购人或者采购代理机构不得通过对样品进行检测、对供应商进行考察等方式改变评审结果。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（三）成交通知书及合同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1.采购代理机构按照法定流程发布成交公告，及时向成交供应商发送成交通知书。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四、响应无效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1.出现下列情形之一的，将被认定为响应无效或无效文件：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zh-CN"/>
        </w:rPr>
        <w:t xml:space="preserve">投标报价超出预算的；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rPr>
          <w:rFonts w:hint="eastAsia" w:asciiTheme="minorEastAsia" w:hAnsiTheme="minorEastAsia" w:eastAsiaTheme="minorEastAsia" w:cstheme="minorEastAsia"/>
          <w:color w:val="auto"/>
          <w:szCs w:val="21"/>
          <w:highlight w:val="none"/>
          <w:lang w:val="zh-CN"/>
        </w:rPr>
        <w:t xml:space="preserve">违反政府采购相关规定的；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szCs w:val="21"/>
          <w:highlight w:val="none"/>
          <w:lang w:val="zh-CN"/>
        </w:rPr>
        <w:t xml:space="preserve">未实质性响应采购文件要求的；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rPr>
          <w:rFonts w:hint="eastAsia" w:asciiTheme="minorEastAsia" w:hAnsiTheme="minorEastAsia" w:eastAsiaTheme="minorEastAsia" w:cstheme="minorEastAsia"/>
          <w:color w:val="auto"/>
          <w:szCs w:val="21"/>
          <w:highlight w:val="none"/>
          <w:lang w:val="zh-CN"/>
        </w:rPr>
        <w:t xml:space="preserve">不符合法律、法规和招标文件规定的其他实质性要求的；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rPr>
          <w:rFonts w:hint="eastAsia" w:asciiTheme="minorEastAsia" w:hAnsiTheme="minorEastAsia" w:eastAsiaTheme="minorEastAsia" w:cstheme="minorEastAsia"/>
          <w:color w:val="auto"/>
          <w:szCs w:val="21"/>
          <w:highlight w:val="none"/>
          <w:lang w:val="zh-CN"/>
        </w:rPr>
        <w:t xml:space="preserve">谈判小组认定的其他情形；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2.被认定为响应无效或无效文件的，采购代理机构应当将理由告知相关供应商。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五、项目终止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1.1因情况变化，不再符合规定的竞争性谈判采购方式适用情形的；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1.2出现影响采购公正的违法、违规行为的；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1.4谈判采购过程中，如遇到交易中心出现断电、断网或其他不可预见原因导致采购活动无法正常进行的。</w:t>
      </w:r>
      <w:r/>
    </w:p>
    <w:p>
      <w:pPr>
        <w:ind w:firstLine="420"/>
        <w:widowControl/>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Cs w:val="21"/>
          <w:highlight w:val="none"/>
        </w:rPr>
        <w:t xml:space="preserve">2.项目终止后，采购代理机构应当将项目终止的理由告知所有供应商。</w:t>
      </w:r>
      <w:r>
        <w:rPr>
          <w:rStyle w:val="1055"/>
          <w:rFonts w:hint="eastAsia" w:asciiTheme="minorEastAsia" w:hAnsiTheme="minorEastAsia" w:eastAsiaTheme="minorEastAsia" w:cstheme="minorEastAsia"/>
          <w:b w:val="0"/>
          <w:bCs w:val="0"/>
          <w:color w:val="auto"/>
          <w:sz w:val="32"/>
          <w:szCs w:val="32"/>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21" w:name="_Toc5"/>
      <w:r/>
      <w:bookmarkStart w:id="22" w:name="_Toc16366"/>
      <w:r/>
      <w:bookmarkStart w:id="23" w:name="_Toc32327"/>
      <w:r>
        <w:rPr>
          <w:rStyle w:val="1055"/>
          <w:rFonts w:hint="eastAsia" w:asciiTheme="minorEastAsia" w:hAnsiTheme="minorEastAsia" w:eastAsiaTheme="minorEastAsia" w:cstheme="minorEastAsia"/>
          <w:b/>
          <w:bCs/>
          <w:color w:val="auto"/>
          <w:sz w:val="32"/>
          <w:szCs w:val="32"/>
          <w:highlight w:val="none"/>
        </w:rPr>
        <w:t xml:space="preserve">第五章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合同条款</w:t>
      </w:r>
      <w:bookmarkEnd w:id="21"/>
      <w:r/>
      <w:bookmarkEnd w:id="22"/>
      <w:r/>
      <w:bookmarkEnd w:id="23"/>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bookmarkStart w:id="24" w:name="_Toc6"/>
      <w:r>
        <w:rPr>
          <w:rFonts w:hint="eastAsia" w:asciiTheme="minorEastAsia" w:hAnsiTheme="minorEastAsia" w:eastAsiaTheme="minorEastAsia" w:cstheme="minorEastAsia"/>
          <w:color w:val="auto"/>
          <w:szCs w:val="21"/>
          <w:highlight w:val="none"/>
        </w:rPr>
        <w:t xml:space="preserve">甲方：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根据《民法典》有关规定，为明确采购单位（甲方）和供应单位（乙方）购销过程中的权利、义务和经济责任，经双方友好协商，签订以下条款，共同遵守。</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一、定义：以下术语有特定的含义：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“货物”本合同所称货物是指乙方基于其已中标的投标文件而应向甲方提供的符合招标要求规格及功能的</w:t>
      </w:r>
      <w:r>
        <w:rPr>
          <w:rFonts w:hint="eastAsia" w:asciiTheme="minorEastAsia" w:hAnsiTheme="minorEastAsia" w:eastAsiaTheme="minorEastAsia" w:cstheme="minorEastAsia"/>
          <w:color w:val="auto"/>
          <w:szCs w:val="21"/>
          <w:highlight w:val="none"/>
          <w:u w:val="single"/>
        </w:rPr>
        <w:t xml:space="preserve">（货物名称）</w:t>
      </w:r>
      <w:r>
        <w:rPr>
          <w:rFonts w:hint="eastAsia" w:asciiTheme="minorEastAsia" w:hAnsiTheme="minorEastAsia" w:eastAsiaTheme="minorEastAsia" w:cstheme="minorEastAsia"/>
          <w:color w:val="auto"/>
          <w:szCs w:val="21"/>
          <w:highlight w:val="none"/>
        </w:rPr>
        <w:t xml:space="preserve">及其全部备品备件，它还应包括由乙方送交给甲方的所有的必须文件和与使用及测试有关的应进行的任何规定的服务。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“合同价”系指根据中标的投标文件和合同规定，乙方在正确地履行合同义务后甲方应支付乙方的价款。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“甲方”系指合同中明确规定的实际购买货物和接受服务单位。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“乙方”系指合同中规定的提供货物和提供服务的单位。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二、交货地点：</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color w:val="auto"/>
          <w:szCs w:val="21"/>
          <w:highlight w:val="none"/>
          <w:lang w:eastAsia="zh-CN"/>
        </w:rPr>
        <w:t xml:space="preserve">食堂菜品配送服务</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项目地点：</w:t>
      </w:r>
      <w:r>
        <w:rPr>
          <w:rFonts w:hint="eastAsia" w:asciiTheme="minorEastAsia" w:hAnsiTheme="minorEastAsia" w:eastAsiaTheme="minorEastAsia" w:cstheme="minorEastAsia"/>
          <w:color w:val="auto"/>
          <w:szCs w:val="21"/>
          <w:highlight w:val="none"/>
          <w:lang w:val="en-US" w:eastAsia="zh-CN"/>
        </w:rPr>
        <w:t xml:space="preserve">甲方指定地点</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三、订单确认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甲方向乙方采购食堂蔬菜类、鲜肉类、水产类、家禽类、蛋类、冻品类、调料类、豆制品类、卤货类、奶制品、米面类、食用油、干货类、酸奶、纯牛奶、水果等食材，具体内容以每天甲方提供的采购清单为准。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甲方提前一天于下午6点之前以电子形式向乙方下订单，并说明送货品种、时间、地点和特殊要求等，乙方须按甲方订购的要求送达。</w:t>
      </w:r>
      <w:r/>
    </w:p>
    <w:p>
      <w:pPr>
        <w:ind w:firstLine="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四、食材质量要求：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（一）所有配送的食材需符合</w:t>
      </w:r>
      <w:r>
        <w:rPr>
          <w:rFonts w:hint="eastAsia" w:asciiTheme="minorEastAsia" w:hAnsiTheme="minorEastAsia" w:eastAsiaTheme="minorEastAsia" w:cstheme="minorEastAsia"/>
          <w:color w:val="auto"/>
          <w:szCs w:val="21"/>
          <w:highlight w:val="none"/>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所有食材均为非转基因产品。</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（三）具体食材质量要求如下：</w:t>
      </w:r>
      <w:r/>
    </w:p>
    <w:tbl>
      <w:tblPr>
        <w:tblStyle w:val="727"/>
        <w:tblW w:w="4998"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133"/>
        <w:gridCol w:w="7949"/>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新鲜嫩绿、无黄叶、无菜虫，必须通过农药残留成分测试，蔬菜不带根、不带泥，符合食品卫生要求。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来源于国家认可的正规肉厂，为当日新鲜商品，必须经检验检疫合格的、有动物检疫及屠宰证明，肉质新鲜，不注水，无病毒，符合食品卫生要求。猪肉须有“两证一报告”（动物检疫合格证明、肉品品质合格证明以及非洲猪瘟阴性检测报告）</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肉质新鲜，无病毒，不含有害物质，鲜鱼类必须生猛鲜活。</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有动物检疫</w:t>
            </w:r>
            <w:r>
              <w:rPr>
                <w:rFonts w:hint="eastAsia" w:asciiTheme="minorEastAsia" w:hAnsiTheme="minorEastAsia" w:eastAsiaTheme="minorEastAsia" w:cstheme="minorEastAsia"/>
                <w:color w:val="auto"/>
                <w:highlight w:val="none"/>
                <w:lang w:val="zh-TW"/>
              </w:rPr>
              <w:t xml:space="preserve">及质检证明</w:t>
            </w:r>
            <w:r>
              <w:rPr>
                <w:rFonts w:hint="eastAsia" w:asciiTheme="minorEastAsia" w:hAnsiTheme="minorEastAsia" w:eastAsiaTheme="minorEastAsia" w:cstheme="minorEastAsia"/>
                <w:color w:val="auto"/>
                <w:szCs w:val="21"/>
                <w:highlight w:val="none"/>
              </w:rPr>
              <w:t xml:space="preserve">，新鲜肥美，无内脏，不注水，无病毒，符合食品卫生要求。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无公害禽蛋，新鲜，无变质，破损较少。</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正规知名厂家或其代理商，有商标牌号，注明生产日期、产地、保质期、包装规格、有QS标志。</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色香味美，无异味、全面烧熟、无病毒、符合食品安全卫生要求。</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奶制品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产品包装及外观干净、整洁，生产日期、保质期、贮藏条件标识清晰，须在保质期内。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产品包装外观整洁，无破损，商品标签信息清晰，生产日期、保质期、贮藏条件清晰 ，须在保质期内，大米，面粉类等产品感官正常。</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外包装规范干净，整洁，无破损，无漏油情况，须在保质期内。</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干货类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在保质期范围内，并保持较好的外观和等级，须是正规厂家并具有合格证书且无任何有害添加剂的优质产品，符合食品安全国家标准。</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酸奶、纯牛奶</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包装干净、完好，生牛乳制作，添加剂含量少，产品新鲜。</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69" w:type="pct"/>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水果</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3992" w:type="pct"/>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包装完好、抗压，水果新鲜干净，无异味，具备适宜的成熟度，不腐烂、发霉、损伤，外观整齐、无畸形、无病虫害、无生理病害。</w:t>
            </w:r>
            <w:r/>
          </w:p>
        </w:tc>
      </w:tr>
    </w:tbl>
    <w:p>
      <w:pPr>
        <w:ind w:firstLine="369"/>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五、食材安全要求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1.乙方需提供所有食材的质量检测报告及相关的产品合格证明，并确保证明的真实、合法、有效。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3.外包装食材的保质期不得低于产品标注保质期的三分之一（自产品标注的生产日期算起）。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6.供应商应成立本项目配送专项服务小组，小组成员内须包含食品安全管理员、检测人员（食品检验员）等，服务小组成员均须凭食品健康证上岗，负责相关工作及提供各种服务。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六、食材配送和验收要求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2.乙方须至少配备1台冷藏车，车辆须装有GPS监控，冷藏车必须满足甲方现场实际条件，符合运输的需求及可操作性。</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7.临时加货处理：对于甲方临时有客餐任务或临时增加员工用餐时，乙方需在接到甲方口头或书面通知时按要求将货物送到甲方的指定地点，派专人负责跟踪服务，保证用餐正常。</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七、定价和询价要求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1.乙方须按甲方要求每周提供各类食材的报价清单（报价清单需要涵盖所有配送食材原料），若逾期不报，扣除该周食材配送费用的1%。如甲方对食材价格和质量有疑问，乙方须配合甲方随时进行市场调研。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2.甲方调查发现市场同规格、同质量的货品零售价，价格明显低于供应方所供货品，要求乙方根据市场价格立即调整供货价格，如未及时调整达二次以上，甲方有权更换乙方。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3.如遇台风、暴雨、供求关系、宏观调控等原因造成的市场价格上涨（超过5%）或下降（超过5%）持续超过3天，需临时调整时，经甲乙双方协商同意后方可调整。</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en-US" w:eastAsia="zh-CN"/>
        </w:rPr>
        <w:t xml:space="preserve">标底外的产品，按三家市场询价的平均价乘以（1-统一单价优惠率）结算。市场询价以昆山市发布的全市重要民生价格数据库及全市居民消费价格数据库的数据（采样点为玉龙菜场、玉山农贸市场、朝阳菜场等农贸市场及大润发超市等大型超市）为准，供货前由甲乙双方根据公布价格确定供货基准价。</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八、其他服务要求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项目设试供期，甲方选定乙方并签订合同后正式进入试供期。试供期为一个月，主要考察乙方的货物质量、服务、信誉等方面。试供期满且经甲方综合考察认为合格的，合同继续执行；若试供期间出现质量、服务等问题的，甲方有权终止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2.配送乙方不得对甲方或验收人员有行贿行为，一经发现，甲方有权无条件终止合同扣除剩余货款。乙方应遵守甲方保密规定，不得将甲方信息泄露给第三方或其他有关利益方。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3.如乙方为非本地单位，中标后需在项目所在地设立临时处理点，作为食材中转和售后服务点，甲方有权对临时处理点进行食品安全卫生检查。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4.乙方在整个配送服务周期内不得将配送服务全部或部分转包，若转包一经甲方发现，甲方可提前终止配送合同。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5.因配送过程中出现人身等安全事故，乙方独立承担一切刑事、民事责任，与甲方无关。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乙方若需对食材进行现场加工，甲方可提供初加工操作场地，但乙方工作人员需服从甲方的管理，严格遵守国家的有关法律法规。若违反相关规定，首次发现甲方将予以书面警告；书面警告后再出现类似情况，甲方有权扣除乙方当天总货款的30％；屡禁不止、情节严重的，甲方有权直接解除服务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6.1乙方因采购食材现场粗加工的实际需要，甲方可提供粗加工操作场地、部分加工设备。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乙方分派至甲方现场粗加工的所有员工，应该经过严格审查，选用业务素质高、遵纪守法、责任心强、工作认真、无违法犯罪不良行为记录的员工；乙方所有粗加工员工需凭健康证上岗，若出现人员更换时，必须及时报甲方备案并出示相关健康证明；同时乙方员工必须严格履行相关保密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乙方在甲方场地进行粗加工作业时，必须严格保证配送的食材符合《中华人民共和国食品安全法》、《餐饮业和集体用餐配送单位卫生规范》相关产品国家标准，特殊物品应符合行业内通用标准。所供食品均符合《国家食品卫生标准》、《食品卫生法》和《动物检疫法》等相关规定，保证卫生安全，应当无毒、无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6.4乙方在甲方场地进行粗加工作业时，出现摔伤、刀伤等人身安全事故，按照《中华人民共和国劳动法》等相关法规，乙方独立承担一切刑事、民事责任，与甲方无关；乙方工作人员在甲方场地发生治安、盗窃、打架、斗殴、投毒、人员伤亡等事故或其他造成严重后果、不良影响的事件，乙方须承担一切法律、经济责任并及时按规定妥善处理，同时甲方有权直接解除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6.5乙方在甲方场地进行粗加工作业时，必须严格遵守《中华人民共和国安全生产法》等相关法律法规，若因乙方人员故意或者工作过失导致发生生产安全、食品食物安全等事故或其他严重后果、恶劣影响的事故，一切法律经济责任均由乙方承担，甲方有权直接解除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6.6乙方工作人员在甲方场地进行粗加工作业时，服从甲方的管理，严格遵守下列规定：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a.严禁在甲方提供的初加工场所内吸烟、随地吐痰、揪鼻涕、瘙痒、掏耳朵、剔牙、玩游戏、打电话或嬉戏打闹等不良行为。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b.工作时间不窜岗、不干私活，语言举止文明，不断提升自身素质和业务水平。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c.不得私自占用和损害甲方场地公物，若有损害公物要主动报告并赔偿甲方损失。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d.不将私人物品、有害物品和与食品加工无关的物品带入工作区。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e.不得私自在甲方场所进食，窃取甲方的物品、食品及任何食品原材料。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f.乙方工作人员在甲方场地工作期间，积极服从甲方管理，积极做好“防火、防盗、防投毒、防疾病”等工作。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g.乙方工作人员在甲方场地工作期间内违反本合同规定，首次发现甲方将予以书面警告；书面警告后再出现同样情况，甲方有权扣除乙方当天总货款的30％；屡禁不止、情节严重的，甲方有权直接解除服务合同。</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九、监督管理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乙方在合同执行期间有下列行为之一的，甲方有权直接解除供货服务合同：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1.中标后无正当理由不与采购单位签订合同的；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2.擅自变更或者终止采购服务合同的；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3.试供期不合格的；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4.不按采购需求、投标文件以及采购服务合同要求全面履约或履约情况评价不合格的；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5.未按规定出具检测报告或相关承诺书等资料达到二次的；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6.经核实配送食材不符合采购单位要求达到三次的；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7.不按要求提供报价三次的；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8.虚高报价三次的；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9.配送的食材存在严重质量问题的；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10.因配送的食材质量达不到国家有关食品安全标准而造成食物中毒或其它后果，经公安机关或卫生防疫部门鉴定属于乙方（配送单位）责任的；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11.造成严重后果或恶劣影响的行为。</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十、付款方式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1.合同价格：                     （</w:t>
      </w:r>
      <w:r>
        <w:rPr>
          <w:rFonts w:hint="eastAsia" w:asciiTheme="minorEastAsia" w:hAnsiTheme="minorEastAsia" w:eastAsiaTheme="minorEastAsia" w:cstheme="minorEastAsia"/>
          <w:color w:val="auto"/>
          <w:szCs w:val="21"/>
          <w:highlight w:val="none"/>
          <w:shd w:val="clear" w:color="auto" w:fill="ffffff"/>
        </w:rPr>
        <w:t xml:space="preserve">¥</w:t>
      </w:r>
      <w:r>
        <w:rPr>
          <w:rFonts w:hint="eastAsia" w:asciiTheme="minorEastAsia" w:hAnsiTheme="minorEastAsia" w:eastAsiaTheme="minorEastAsia" w:cstheme="minorEastAsia"/>
          <w:color w:val="auto"/>
          <w:szCs w:val="21"/>
          <w:highlight w:val="none"/>
        </w:rPr>
        <w:t xml:space="preserve">：           元）。</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采购方和供应商次月核对上月配送食材总量及费用总额，核对无误后进行支付。</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具体</w:t>
      </w:r>
      <w:r>
        <w:rPr>
          <w:rFonts w:hint="eastAsia" w:asciiTheme="minorEastAsia" w:hAnsiTheme="minorEastAsia" w:eastAsiaTheme="minorEastAsia" w:cstheme="minorEastAsia"/>
          <w:color w:val="auto"/>
          <w:szCs w:val="21"/>
          <w:highlight w:val="none"/>
          <w:lang w:eastAsia="zh-CN"/>
        </w:rPr>
        <w:t xml:space="preserve">按财政实际拨款为准。）</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公式：每月付款金额= (实际供货量 × 预算单价 × (1−统一单价优惠率))-月度考核扣款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2.甲方根据乙方每天提供的实际送货清单为结算依据，月底进行对账（根据月度考核情况调整支付金额=(实际供货量 × 预算单价 × (1−统一单价优惠率))-月度考核扣款），按甲乙双方确认的基准价乘以</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优惠率）</w:t>
      </w:r>
      <w:r>
        <w:rPr>
          <w:rFonts w:hint="eastAsia" w:asciiTheme="minorEastAsia" w:hAnsiTheme="minorEastAsia" w:eastAsiaTheme="minorEastAsia" w:cstheme="minorEastAsia"/>
          <w:color w:val="auto"/>
          <w:szCs w:val="21"/>
          <w:highlight w:val="none"/>
        </w:rPr>
        <w:t xml:space="preserve">乘以数量结算总价。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乙方需向甲方提供国家正式税务发票，甲方在收到发票后的15个工作日内结清货款，甲方以转账方式将货款转入乙方指定的帐户，不得将货款交给其他人员。若甲方拖欠，则每天按货款总额的万分之五支付滞纳金。</w:t>
      </w:r>
      <w:r/>
    </w:p>
    <w:p>
      <w:pPr>
        <w:ind w:firstLine="420"/>
        <w:jc w:val="center"/>
        <w:spacing w:line="360" w:lineRule="auto"/>
        <w:rPr>
          <w:rFonts w:hint="eastAsia" w:asciiTheme="minorEastAsia" w:hAnsiTheme="minorEastAsia" w:eastAsiaTheme="minorEastAsia" w:cstheme="minorEastAsia"/>
          <w:b/>
          <w:bCs/>
          <w:color w:val="auto"/>
          <w:szCs w:val="21"/>
          <w:highlight w:val="none"/>
        </w:rPr>
        <w:outlineLvl w:val="9"/>
      </w:pPr>
      <w:r>
        <w:rPr>
          <w:rFonts w:hint="eastAsia" w:asciiTheme="minorEastAsia" w:hAnsiTheme="minorEastAsia" w:eastAsiaTheme="minorEastAsia" w:cstheme="minorEastAsia"/>
          <w:b/>
          <w:bCs/>
          <w:color w:val="auto"/>
          <w:szCs w:val="21"/>
          <w:highlight w:val="none"/>
        </w:rPr>
        <w:t xml:space="preserve">食堂食材配送服务月度考核表</w:t>
      </w:r>
      <w:r/>
    </w:p>
    <w:tbl>
      <w:tblPr>
        <w:tblStyle w:val="727"/>
        <w:tblW w:w="9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329"/>
        <w:gridCol w:w="906"/>
        <w:gridCol w:w="1454"/>
        <w:gridCol w:w="842"/>
        <w:gridCol w:w="4331"/>
        <w:gridCol w:w="1094"/>
      </w:tblGrid>
      <w:tr>
        <w:trPr>
          <w:jc w:val="center"/>
          <w:trHeight w:val="567"/>
          <w:tblHeader/>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一级指标</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二级指标</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分值</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考核要素与评估标准</w:t>
            </w:r>
            <w:r/>
          </w:p>
        </w:tc>
        <w:tc>
          <w:tcPr>
            <w:shd w:val="clear" w:color="auto" w:fill="auto"/>
            <w:tcW w:w="109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得分</w:t>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运输管理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送货须使用专用冷藏车（5-10月及气温≥25℃时必须开启冷藏设备）。每发现一次未使用冷藏车或应开未开冷藏设备，扣1分，扣完为止。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流程管理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22分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准时送货</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按时送达，食堂每日所需食材（水产除外）一次性配送到位。非不可抗力原因每延误一次扣2分，扣完为止；发现委托其他车辆或人员代送，本项不得分。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足斤足两</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配送数量准确，无短斤缺两。某类食材短缺量达到其配送总量的5%以上，每次扣2分，扣完为止。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服务态度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工作人员态度认真、热情周到，搬运装卸文明，遵守执法办工作秩序。每发现一次野蛮装卸、噪音扰民或无正当理由与食堂人员争执，扣2分，扣完为止。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工作细致</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4分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配送清单与实际货品一致。每出现一次差错扣2分，扣完为止。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单据清晰</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送货单（结算凭证）项目齐全（含品名、规格、数量、单价、总价）、机打清晰得2分，否则不得分。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质量管理</w:t>
            </w:r>
            <w:r/>
          </w:p>
        </w:tc>
        <w:tc>
          <w:tcPr>
            <w:shd w:val="clear" w:color="auto" w:fill="auto"/>
            <w:tcW w:w="90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食材质量</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每日评分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60分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每日按各类食材（食材新鲜度/品质、食材数量、食材价格等）验收标准及采购方要求对食材质量进行验收打分，月度得分由每日评分汇总得出，具有细则如下：</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color w:val="auto"/>
                <w:sz w:val="21"/>
                <w:szCs w:val="21"/>
                <w:highlight w:val="none"/>
                <w:lang w:val="en-US" w:eastAsia="zh-CN" w:bidi="ar"/>
              </w:rPr>
              <w:t xml:space="preserve">①食材新鲜度/品质：是否符合采购标准中的感官、规格、等级要求；（30分）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②食材数量：实收数量与送货单、订货量是否一致；（10分）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③食材价格：当日单价是否与市场价、合同价或约定浮动机制相符；（8分）</w:t>
            </w:r>
            <w:r/>
          </w:p>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④索证及包装：检疫票、检测报告、生产日期、包装完好度；（7分）</w:t>
            </w:r>
            <w:r/>
          </w:p>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⑤准时及服务：送货时间、临时补换货配合度。（5分）</w:t>
            </w:r>
            <w:r>
              <w:rPr>
                <w:rFonts w:hint="eastAsia" w:asciiTheme="minorEastAsia" w:hAnsiTheme="minorEastAsia" w:eastAsiaTheme="minorEastAsia" w:cstheme="minorEastAsia"/>
                <w:color w:val="auto"/>
                <w:sz w:val="21"/>
                <w:szCs w:val="21"/>
                <w:highlight w:val="none"/>
                <w:lang w:val="en-US" w:eastAsia="zh-CN" w:bidi="ar"/>
              </w:rPr>
              <w:br/>
            </w:r>
            <w:r>
              <w:rPr>
                <w:rFonts w:hint="eastAsia" w:asciiTheme="minorEastAsia" w:hAnsiTheme="minorEastAsia" w:eastAsiaTheme="minorEastAsia" w:cstheme="minorEastAsia"/>
                <w:b/>
                <w:bCs/>
                <w:color w:val="auto"/>
                <w:sz w:val="21"/>
                <w:szCs w:val="21"/>
                <w:highlight w:val="none"/>
                <w:lang w:val="en-US" w:eastAsia="zh-CN" w:bidi="ar"/>
              </w:rPr>
              <w:t xml:space="preserve">每日验收满分为60分，各单项得分根据实际达标情况扣减，月度得分 = 当月每日评分之和 / 当月天数。</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437"/>
        </w:trPr>
        <w:tc>
          <w:tcPr>
            <w:shd w:val="clear" w:color="auto" w:fill="auto"/>
            <w:tcW w:w="1329"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科学管理</w:t>
            </w:r>
            <w:r/>
          </w:p>
        </w:tc>
        <w:tc>
          <w:tcPr>
            <w:shd w:val="clear" w:color="auto" w:fill="auto"/>
            <w:tcW w:w="906" w:type="dxa"/>
            <w:vAlign w:val="center"/>
            <w:vMerge w:val="restart"/>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16分</w:t>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检测报告</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6分</w:t>
            </w:r>
            <w:r/>
          </w:p>
        </w:tc>
        <w:tc>
          <w:tcPr>
            <w:shd w:val="clear" w:color="auto" w:fill="auto"/>
            <w:tcW w:w="4331" w:type="dxa"/>
            <w:vAlign w:val="center"/>
            <w:textDirection w:val="lrTb"/>
            <w:noWrap w:val="false"/>
          </w:tcPr>
          <w:p>
            <w:pPr>
              <w:ind w:left="0" w:right="0" w:firstLine="0"/>
              <w:jc w:val="left"/>
              <w:keepLines w:val="0"/>
              <w:keepNext w:val="0"/>
              <w:widowControl/>
              <w:rPr>
                <w:rFonts w:hint="default"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提供每日检测报告留存记录，记灵缺失扣6分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安全清洁</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运输工具、储物筐箱等保持清洁卫生，每日清洁，按规定定期消毒并记录。每发现一次不卫生情况扣1分，扣完为止。</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联系制度</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如网上无食堂所需商品，应事先与采购方联系确认品牌、品级、规格、价格等事项后再发货。单方定价后送货，本项不得分。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及时整改</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3分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对执法办提出的意见建议虚心接受，对运营中出现的问题主动沟通、协调有效，及时整改并取得实效。整改效果不明显扣1分，无效果不得分。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shd w:val="clear" w:color="auto" w:fill="auto"/>
            <w:tcW w:w="1329" w:type="dxa"/>
            <w:vAlign w:val="center"/>
            <w:vMerge w:val="continue"/>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r>
            <w:r/>
          </w:p>
        </w:tc>
        <w:tc>
          <w:tcPr>
            <w:shd w:val="clear" w:color="auto" w:fill="auto"/>
            <w:tcW w:w="906" w:type="dxa"/>
            <w:vAlign w:val="center"/>
            <w:vMerge w:val="continue"/>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shd w:val="clear" w:color="auto" w:fill="auto"/>
            <w:tcW w:w="1454"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协调沟通</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2分</w:t>
            </w:r>
            <w:r/>
          </w:p>
        </w:tc>
        <w:tc>
          <w:tcPr>
            <w:shd w:val="clear" w:color="auto" w:fill="auto"/>
            <w:tcW w:w="4331" w:type="dxa"/>
            <w:vAlign w:val="center"/>
            <w:textDirection w:val="lrTb"/>
            <w:noWrap w:val="false"/>
          </w:tcPr>
          <w:p>
            <w:pPr>
              <w:ind w:left="0" w:right="0" w:firstLine="0"/>
              <w:jc w:val="left"/>
              <w:keepLines w:val="0"/>
              <w:keepNext w:val="0"/>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每月月底主动向执法办提交书面工作汇报（含当月配送总体情况、问题及原因分析、整改措施、下月计划等）。未按时提交不得分。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3"/>
            <w:shd w:val="clear" w:color="auto" w:fill="auto"/>
            <w:tcW w:w="3689"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总分</w:t>
            </w:r>
            <w:r/>
          </w:p>
        </w:tc>
        <w:tc>
          <w:tcPr>
            <w:shd w:val="clear" w:color="auto" w:fill="auto"/>
            <w:tcW w:w="842"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100分</w:t>
            </w:r>
            <w:r/>
          </w:p>
        </w:tc>
        <w:tc>
          <w:tcPr>
            <w:shd w:val="clear" w:color="auto" w:fill="auto"/>
            <w:tcW w:w="4331"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1"/>
                <w:szCs w:val="21"/>
                <w:highlight w:val="none"/>
                <w:lang w:val="en-US" w:eastAsia="zh-CN" w:bidi="ar"/>
              </w:rPr>
              <w:suppressLineNumbers w:val="0"/>
            </w:pPr>
            <w:r>
              <w:rPr>
                <w:rFonts w:hint="eastAsia" w:asciiTheme="minorEastAsia" w:hAnsiTheme="minorEastAsia" w:eastAsiaTheme="minorEastAsia" w:cstheme="minorEastAsia"/>
                <w:color w:val="auto"/>
                <w:sz w:val="21"/>
                <w:szCs w:val="21"/>
                <w:highlight w:val="none"/>
                <w:lang w:val="en-US" w:eastAsia="zh-CN" w:bidi="ar"/>
              </w:rPr>
              <w:t xml:space="preserve">根据以上考核要素与评估标准</w:t>
            </w:r>
            <w:r/>
          </w:p>
        </w:tc>
        <w:tc>
          <w:tcPr>
            <w:shd w:val="clear" w:color="auto" w:fill="auto"/>
            <w:tcW w:w="1094"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gridSpan w:val="6"/>
            <w:shd w:val="clear" w:color="auto" w:fill="auto"/>
            <w:tcW w:w="9956" w:type="dxa"/>
            <w:vAlign w:val="center"/>
            <w:textDirection w:val="lrTb"/>
            <w:noWrap w:val="false"/>
          </w:tcPr>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考核分为90分（含）以上，支付金额为月度费用*100%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分，支付金额为月度费用*90%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考核分</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分（含）---</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分，支付金额为月度费用*80%</w:t>
            </w:r>
            <w:r>
              <w:rPr>
                <w:rFonts w:hint="eastAsia" w:asciiTheme="minorEastAsia" w:hAnsiTheme="minorEastAsia" w:eastAsiaTheme="minorEastAsia" w:cstheme="minorEastAsia"/>
                <w:color w:val="auto"/>
                <w:sz w:val="21"/>
                <w:szCs w:val="21"/>
                <w:highlight w:val="none"/>
                <w:lang w:eastAsia="zh-CN"/>
              </w:rPr>
              <w:t xml:space="preserve">；</w:t>
            </w:r>
            <w:r/>
          </w:p>
          <w:p>
            <w:pPr>
              <w:ind w:left="0" w:righ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考核分70分以下的，支付金额为月度费用*70%，并甲方有权解除合同。</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月度考核汇总</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分</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考评等级</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≥90（全额） □ </w:t>
            </w:r>
            <w:r>
              <w:rPr>
                <w:rFonts w:hint="eastAsia" w:asciiTheme="minorEastAsia" w:hAnsiTheme="minorEastAsia" w:eastAsiaTheme="minorEastAsia" w:cstheme="minorEastAsia"/>
                <w:color w:val="auto"/>
                <w:sz w:val="21"/>
                <w:szCs w:val="21"/>
                <w:highlight w:val="none"/>
                <w:lang w:val="en-US" w:eastAsia="zh-CN"/>
              </w:rPr>
              <w:t xml:space="preserve">80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89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79</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 □ ＜</w:t>
            </w:r>
            <w:r>
              <w:rPr>
                <w:rFonts w:hint="eastAsia" w:asciiTheme="minorEastAsia" w:hAnsiTheme="minorEastAsia" w:eastAsiaTheme="minorEastAsia" w:cstheme="minorEastAsia"/>
                <w:color w:val="auto"/>
                <w:sz w:val="21"/>
                <w:szCs w:val="21"/>
                <w:highlight w:val="none"/>
                <w:lang w:val="en-US" w:eastAsia="zh-CN"/>
              </w:rPr>
              <w:t xml:space="preserve">70</w:t>
            </w:r>
            <w:r>
              <w:rPr>
                <w:rFonts w:hint="eastAsia" w:asciiTheme="minorEastAsia" w:hAnsiTheme="minorEastAsia" w:eastAsiaTheme="minorEastAsia" w:cstheme="minorEastAsia"/>
                <w:color w:val="auto"/>
                <w:sz w:val="21"/>
                <w:szCs w:val="21"/>
                <w:highlight w:val="none"/>
              </w:rPr>
              <w:t xml:space="preserve">（扣</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不达标）</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实付比例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是否触发终止条款</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 是（本年度第___次不达标） □ 否</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考核单位</w:t>
            </w:r>
            <w:r>
              <w:rPr>
                <w:rFonts w:hint="eastAsia" w:asciiTheme="minorEastAsia" w:hAnsiTheme="minorEastAsia" w:eastAsiaTheme="minorEastAsia" w:cstheme="minorEastAsia"/>
                <w:color w:val="auto"/>
                <w:sz w:val="21"/>
                <w:szCs w:val="21"/>
                <w:highlight w:val="none"/>
                <w:lang w:eastAsia="zh-CN"/>
              </w:rPr>
              <w:t xml:space="preserve">：周市镇人民政府（昆山市周市镇综合行政执法和安全生产监督管理办公室）</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考核人签字</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被考核单位：</w:t>
            </w:r>
            <w:r>
              <w:rPr>
                <w:rFonts w:hint="eastAsia" w:asciiTheme="minorEastAsia" w:hAnsiTheme="minorEastAsia" w:eastAsiaTheme="minorEastAsia" w:cstheme="minorEastAsia"/>
                <w:color w:val="auto"/>
                <w:sz w:val="21"/>
                <w:szCs w:val="21"/>
                <w:highlight w:val="none"/>
              </w:rPr>
              <w:t xml:space="preserve">_________________________________</w:t>
            </w:r>
            <w:r>
              <w:rPr>
                <w:rFonts w:hint="eastAsia" w:asciiTheme="minorEastAsia" w:hAnsiTheme="minorEastAsia" w:eastAsiaTheme="minorEastAsia" w:cstheme="minorEastAsia"/>
                <w:color w:val="auto"/>
                <w:sz w:val="21"/>
                <w:szCs w:val="21"/>
                <w:highlight w:val="none"/>
                <w:lang w:val="en-US" w:eastAsia="zh-CN"/>
              </w:rPr>
              <w:t xml:space="preserve">           </w:t>
            </w:r>
            <w:r/>
          </w:p>
        </w:tc>
      </w:tr>
      <w:tr>
        <w:trPr>
          <w:jc w:val="center"/>
          <w:trHeight w:val="567"/>
        </w:trPr>
        <w:tc>
          <w:tcPr>
            <w:gridSpan w:val="6"/>
            <w:shd w:val="clear" w:color="auto" w:fill="auto"/>
            <w:tcW w:w="9956" w:type="dxa"/>
            <w:vAlign w:val="center"/>
            <w:textDirection w:val="lrTb"/>
            <w:noWrap w:val="false"/>
          </w:tcPr>
          <w:p>
            <w:pPr>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配送单位确认</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_________________________________</w:t>
            </w:r>
            <w:r/>
          </w:p>
        </w:tc>
      </w:tr>
      <w:tr>
        <w:trPr>
          <w:jc w:val="center"/>
          <w:trHeight w:val="567"/>
        </w:trPr>
        <w:tc>
          <w:tcPr>
            <w:gridSpan w:val="6"/>
            <w:shd w:val="clear" w:color="auto" w:fill="auto"/>
            <w:tcW w:w="9956" w:type="dxa"/>
            <w:vAlign w:val="center"/>
            <w:textDirection w:val="lrTb"/>
            <w:noWrap w:val="false"/>
          </w:tcPr>
          <w:p>
            <w:pPr>
              <w:ind w:left="0" w:right="0" w:firstLine="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考核日期</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___________ 年 ___________ 月___________ </w:t>
            </w:r>
            <w:r>
              <w:rPr>
                <w:rFonts w:hint="eastAsia" w:asciiTheme="minorEastAsia" w:hAnsiTheme="minorEastAsia" w:eastAsiaTheme="minorEastAsia" w:cstheme="minorEastAsia"/>
                <w:color w:val="auto"/>
                <w:sz w:val="21"/>
                <w:szCs w:val="21"/>
                <w:highlight w:val="none"/>
                <w:lang w:val="en-US" w:eastAsia="zh-CN"/>
              </w:rPr>
              <w:t xml:space="preserve">日</w:t>
            </w:r>
            <w:r/>
          </w:p>
        </w:tc>
      </w:tr>
    </w:tbl>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十一、履约保证金：无。</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十二、合同期限</w:t>
      </w:r>
      <w:r/>
    </w:p>
    <w:p>
      <w:pPr>
        <w:ind w:firstLine="4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1.合同履行期限：本项目服务期限为壹年，具体时间为    年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月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日至   年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月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日，一般情况下本合同服务期限届满或按实结算金额达到合同金额，本合同自然终止。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甲方与乙方签订合同后正式进入试供期，试供期为一个月（具体试供时间以甲方通知为准）。试供期满且经甲方综合考察认为合格的，合同继续执行；若试供期间出现货物质量、服务不达标等问题的，经甲方考察认为不合格的，服务合作终止，合同作废。</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十三、合同终止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1.甲方对乙方送货有任何意见，可随时向乙方反映，乙方应及时改进，否则，甲方有权在无须征得乙方同意的情况下单方面直接中断与乙方的合同。一方终止合同须提前十五天通知对方。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2.如遇政策调整或经营模式改变，甲方有权提前终止合同，已发生的合同金额按实结算，无须承担任何违约责任。</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十四、争议处理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1.上述条款未尽事宜，甲乙双方本着友好合作的精神协商解决。对本合同发生争议时，由甲乙双方协商解决；协商不成，可向昆山市人民法院提起诉讼。</w:t>
      </w:r>
      <w:r/>
    </w:p>
    <w:p>
      <w:pPr>
        <w:ind w:left="42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十五、特别条款</w:t>
      </w:r>
      <w:r/>
    </w:p>
    <w:p>
      <w:pPr>
        <w:ind w:left="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1.双方签约人为各自法定代表人。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2.本合同系指本文件及其附件中的所有部分；其中采购文件、成交的响应文件、成交单位在采购过程中的澄清、承诺等为本合同不可缺少的必要组成部分。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3.本合同经双方签字盖章后生效。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4.本合同一式伍份，甲、乙双方各执贰份，代理机构执壹份，具有同等法律效力，自盖章签字之日起生效。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7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78"/>
        <w:gridCol w:w="4978"/>
      </w:tblGrid>
      <w:tr>
        <w:trPr>
          <w:trHeight w:val="850"/>
        </w:trPr>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val="en-US"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甲方（盖章）：</w:t>
            </w:r>
            <w:r/>
          </w:p>
        </w:tc>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乙方（盖章）</w:t>
            </w:r>
            <w:r>
              <w:rPr>
                <w:rFonts w:hint="eastAsia" w:asciiTheme="minorEastAsia" w:hAnsiTheme="minorEastAsia" w:eastAsiaTheme="minorEastAsia" w:cstheme="minorEastAsia"/>
                <w:color w:val="auto"/>
                <w:szCs w:val="21"/>
                <w:highlight w:val="none"/>
                <w:vertAlign w:val="baseline"/>
                <w:lang w:eastAsia="zh-CN"/>
              </w:rPr>
              <w:t xml:space="preserve">：</w:t>
            </w:r>
            <w:r/>
          </w:p>
        </w:tc>
      </w:tr>
      <w:tr>
        <w:trPr>
          <w:trHeight w:val="850"/>
        </w:trPr>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r>
      <w:tr>
        <w:trPr>
          <w:trHeight w:val="850"/>
        </w:trPr>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c>
          <w:tcPr>
            <w:tcW w:w="2500" w:type="pct"/>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717"/>
        <w:jc w:val="center"/>
        <w:spacing w:line="240" w:lineRule="auto"/>
        <w:tabs>
          <w:tab w:val="left" w:pos="2754" w:leader="none"/>
          <w:tab w:val="center" w:pos="4215" w:leader="none"/>
        </w:tabs>
        <w:rPr>
          <w:rStyle w:val="1055"/>
          <w:rFonts w:hint="eastAsia" w:asciiTheme="minorEastAsia" w:hAnsiTheme="minorEastAsia" w:eastAsiaTheme="minorEastAsia" w:cstheme="minorEastAsia"/>
          <w:b/>
          <w:bCs/>
          <w:color w:val="auto"/>
          <w:sz w:val="32"/>
          <w:szCs w:val="32"/>
          <w:highlight w:val="none"/>
        </w:rPr>
      </w:pPr>
      <w:r/>
      <w:bookmarkStart w:id="25" w:name="_Toc17446"/>
      <w:r/>
      <w:bookmarkStart w:id="26" w:name="_Toc9214"/>
      <w:r>
        <w:rPr>
          <w:rStyle w:val="1055"/>
          <w:rFonts w:hint="eastAsia" w:asciiTheme="minorEastAsia" w:hAnsiTheme="minorEastAsia" w:eastAsiaTheme="minorEastAsia" w:cstheme="minorEastAsia"/>
          <w:b/>
          <w:bCs/>
          <w:color w:val="auto"/>
          <w:sz w:val="32"/>
          <w:szCs w:val="32"/>
          <w:highlight w:val="none"/>
        </w:rPr>
        <w:t xml:space="preserve">第六章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评审方法</w:t>
      </w:r>
      <w:bookmarkEnd w:id="24"/>
      <w:r/>
      <w:bookmarkEnd w:id="25"/>
      <w:r/>
      <w:bookmarkEnd w:id="26"/>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一、评审办法</w:t>
      </w:r>
      <w:r/>
    </w:p>
    <w:p>
      <w:pPr>
        <w:ind w:firstLine="420"/>
        <w:spacing w:line="360" w:lineRule="auto"/>
        <w:tabs>
          <w:tab w:val="left" w:pos="28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本次采购评审采用最低评标价法，即在符合采购采购需求、质量和服务相等的前提下，以提出最低报价（以第二次报价为准</w:t>
      </w:r>
      <w:r>
        <w:rPr>
          <w:rFonts w:hint="eastAsia" w:asciiTheme="minorEastAsia" w:hAnsiTheme="minorEastAsia" w:eastAsiaTheme="minorEastAsia" w:cstheme="minorEastAsia"/>
          <w:b/>
          <w:color w:val="auto"/>
          <w:szCs w:val="21"/>
          <w:highlight w:val="none"/>
        </w:rPr>
        <w:t xml:space="preserve">，且最后报价时间为10分钟</w:t>
      </w:r>
      <w:r>
        <w:rPr>
          <w:rFonts w:hint="eastAsia" w:asciiTheme="minorEastAsia" w:hAnsiTheme="minorEastAsia" w:eastAsiaTheme="minorEastAsia" w:cstheme="minorEastAsia"/>
          <w:color w:val="auto"/>
          <w:szCs w:val="21"/>
          <w:highlight w:val="none"/>
        </w:rPr>
        <w:t xml:space="preserve">）的供应商作为成交供应商。</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4.谈判小组认为供应商的报价明显低于其他通过符合性审查的供应商的报价，有可能影响产品质量或者不能诚信履约的，</w:t>
      </w:r>
      <w:r>
        <w:rPr>
          <w:rFonts w:hint="eastAsia" w:asciiTheme="minorEastAsia" w:hAnsiTheme="minorEastAsia" w:eastAsiaTheme="minorEastAsia" w:cstheme="minorEastAsia"/>
          <w:color w:val="auto"/>
          <w:szCs w:val="21"/>
          <w:highlight w:val="none"/>
        </w:rPr>
        <w:t xml:space="preserve">则谈判小组有权要求</w:t>
      </w:r>
      <w:r>
        <w:rPr>
          <w:rFonts w:hint="eastAsia" w:asciiTheme="minorEastAsia" w:hAnsiTheme="minorEastAsia" w:eastAsiaTheme="minorEastAsia" w:cstheme="minorEastAsia"/>
          <w:color w:val="auto"/>
          <w:highlight w:val="none"/>
        </w:rPr>
        <w:t xml:space="preserve">其以书面形式作出相关说明，供应商不能证明其报价合理性的，谈判小组应当认定其响应无效</w:t>
      </w:r>
      <w:r>
        <w:rPr>
          <w:rFonts w:hint="eastAsia" w:asciiTheme="minorEastAsia" w:hAnsiTheme="minorEastAsia" w:eastAsiaTheme="minorEastAsia" w:cstheme="minorEastAsia"/>
          <w:color w:val="auto"/>
          <w:szCs w:val="21"/>
          <w:highlight w:val="none"/>
        </w:rPr>
        <w:t xml:space="preserve">取消该供应商的成交候选资格</w:t>
      </w:r>
      <w:r>
        <w:rPr>
          <w:rFonts w:hint="eastAsia" w:asciiTheme="minorEastAsia" w:hAnsiTheme="minorEastAsia" w:eastAsiaTheme="minorEastAsia" w:cstheme="minorEastAsia"/>
          <w:color w:val="auto"/>
          <w:highlight w:val="none"/>
        </w:rPr>
        <w:t xml:space="preserve">。</w:t>
      </w:r>
      <w:r/>
    </w:p>
    <w:p>
      <w:pPr>
        <w:ind w:firstLine="420"/>
        <w:spacing w:line="360" w:lineRule="auto"/>
        <w:tabs>
          <w:tab w:val="left" w:pos="287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二、采购政策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（一）中小微企业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根据《政府采购促进中小企业发展管理办法》（财库〔2020〕46号）的相关规定，</w:t>
      </w:r>
      <w:r>
        <w:rPr>
          <w:rFonts w:hint="eastAsia" w:asciiTheme="minorEastAsia" w:hAnsiTheme="minorEastAsia" w:eastAsiaTheme="minorEastAsia" w:cstheme="minorEastAsia"/>
          <w:b/>
          <w:color w:val="auto"/>
          <w:szCs w:val="21"/>
          <w:highlight w:val="none"/>
        </w:rPr>
        <w:t xml:space="preserve">本项目为专门面向中小企业采购</w:t>
      </w:r>
      <w:r>
        <w:rPr>
          <w:rFonts w:hint="eastAsia" w:asciiTheme="minorEastAsia" w:hAnsiTheme="minorEastAsia" w:eastAsiaTheme="minorEastAsia" w:cstheme="minorEastAsia"/>
          <w:color w:val="auto"/>
          <w:szCs w:val="21"/>
          <w:highlight w:val="none"/>
        </w:rPr>
        <w:t xml:space="preserve">。如投标人认定本企业为中型、小型或微型企业，则需根据《中小企业划型标准规定》（工信部联企业〔2011〕300号）填报《中小企业声明函》。</w:t>
      </w:r>
      <w:r>
        <w:rPr>
          <w:rFonts w:hint="eastAsia" w:asciiTheme="minorEastAsia" w:hAnsiTheme="minorEastAsia" w:eastAsiaTheme="minorEastAsia" w:cstheme="minorEastAsia"/>
          <w:b/>
          <w:color w:val="auto"/>
          <w:szCs w:val="21"/>
          <w:highlight w:val="none"/>
        </w:rPr>
        <w:t xml:space="preserve">加盖公章后的《中小企业声明函》电子件放置于响应文件中提交。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Theme="minorEastAsia" w:hAnsiTheme="minorEastAsia" w:eastAsiaTheme="minorEastAsia" w:cstheme="minorEastAsia"/>
          <w:b/>
          <w:color w:val="auto"/>
          <w:szCs w:val="21"/>
          <w:highlight w:val="none"/>
        </w:rPr>
        <w:t xml:space="preserve">加盖公章后的《残疾人福利性单位声明函》电子件放置于响应文件中提交。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（三）监狱企业</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cstheme="minorEastAsia"/>
          <w:b/>
          <w:color w:val="auto"/>
          <w:szCs w:val="21"/>
          <w:highlight w:val="none"/>
        </w:rPr>
        <w:t xml:space="preserve">证明文件电子件放置于响应文件中提交。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（四）对本国产品的支持政策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（五）绿色采购</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color w:val="auto"/>
          <w:highlight w:val="none"/>
        </w:rPr>
        <w:t xml:space="preserve">对属于《节能产品政府采购品目清单》政府强制采购产品的，供应商</w:t>
      </w:r>
      <w:r>
        <w:rPr>
          <w:rFonts w:hint="eastAsia" w:asciiTheme="minorEastAsia" w:hAnsiTheme="minorEastAsia" w:eastAsiaTheme="minorEastAsia" w:cstheme="minorEastAsia"/>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六</w:t>
      </w:r>
      <w:r>
        <w:rPr>
          <w:rFonts w:hint="eastAsia" w:asciiTheme="minorEastAsia" w:hAnsiTheme="minorEastAsia" w:eastAsiaTheme="minorEastAsia" w:cstheme="minorEastAsia"/>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bidi="ar-SA"/>
        </w:rPr>
        <w:t xml:space="preserve">（七）</w:t>
      </w:r>
      <w:r>
        <w:rPr>
          <w:rFonts w:hint="eastAsia" w:asciiTheme="minorEastAsia" w:hAnsiTheme="minorEastAsia" w:eastAsiaTheme="minorEastAsia" w:cstheme="minorEastAsia"/>
          <w:b/>
          <w:bCs/>
          <w:color w:val="auto"/>
          <w:szCs w:val="21"/>
          <w:highlight w:val="none"/>
          <w:lang w:val="en-US" w:eastAsia="zh-CN"/>
        </w:rPr>
        <w:t xml:space="preserve">异常低价审查</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按照财政部发布的《关于推动解决政府采购异常低价问题的通知》（财库〔2026〕2号）文，政府采购评审中出现下列情形之一的，评审委员会应当启动异常低价投标（响应）审查程序：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A、评审过程中出现下列情形之一的，评审委员会应当启动异常低价投标（响应）审查程序：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3.投标（响应）报价低于采购项目最高限价45%的，即投标（响应）报价&lt;采购项目最高限价×45%；</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注：本项目报优惠率，投标（响应）价格按(1-投标优惠率)转换。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供应商在项目评审全过程中应全程在线关注苏采云系统且随时保持通讯畅通，并安排专人与代理机构及谈判小组联系；造成后果自行承担。</w:t>
      </w:r>
      <w:bookmarkStart w:id="65" w:name="_GoBack"/>
      <w:r/>
      <w:bookmarkEnd w:id="65"/>
      <w:r>
        <w:rPr>
          <w:rFonts w:hint="eastAsia" w:asciiTheme="minorEastAsia" w:hAnsiTheme="minorEastAsia" w:eastAsiaTheme="minorEastAsia" w:cstheme="minorEastAsia"/>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二、评审内容：</w:t>
      </w:r>
      <w:r/>
    </w:p>
    <w:tbl>
      <w:tblPr>
        <w:tblStyle w:val="72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6555"/>
        <w:gridCol w:w="1679"/>
        <w:gridCol w:w="861"/>
      </w:tblGrid>
      <w:tr>
        <w:trPr>
          <w:jc w:val="center"/>
          <w:trHeight w:val="567"/>
          <w:tblHeader/>
        </w:trPr>
        <w:tc>
          <w:tcPr>
            <w:tcBorders>
              <w:top w:val="single" w:color="auto" w:sz="12"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bookmarkStart w:id="27" w:name="gpc_accord_horizontal_1"/>
            <w:r>
              <w:rPr>
                <w:rFonts w:hint="eastAsia" w:asciiTheme="minorEastAsia" w:hAnsiTheme="minorEastAsia" w:eastAsiaTheme="minorEastAsia" w:cstheme="minorEastAsia"/>
                <w:b/>
                <w:bCs/>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评审内容</w:t>
            </w:r>
            <w:r/>
          </w:p>
        </w:tc>
        <w:tc>
          <w:tcPr>
            <w:tcBorders>
              <w:top w:val="single" w:color="auto" w:sz="12"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是否合格</w:t>
            </w:r>
            <w:r/>
          </w:p>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w:t>
            </w:r>
            <w:r/>
          </w:p>
        </w:tc>
        <w:tc>
          <w:tcPr>
            <w:tcBorders>
              <w:top w:val="single" w:color="auto" w:sz="12"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服务期、付款等其他综合内容承诺</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bookmarkEnd w:id="27"/>
            <w:r/>
            <w:r/>
          </w:p>
        </w:tc>
        <w:tc>
          <w:tcPr>
            <w:tcBorders>
              <w:top w:val="single" w:color="auto" w:sz="4" w:space="0"/>
              <w:left w:val="single" w:color="auto" w:sz="4" w:space="0"/>
              <w:bottom w:val="single" w:color="auto" w:sz="12" w:space="0"/>
              <w:right w:val="single" w:color="auto" w:sz="4" w:space="0"/>
            </w:tcBorders>
            <w:tcW w:w="6555" w:type="dxa"/>
            <w:vAlign w:val="center"/>
            <w:textDirection w:val="lrTb"/>
            <w:noWrap w:val="false"/>
          </w:tcPr>
          <w:p>
            <w:pPr>
              <w:ind w:left="0" w:right="0" w:firstLine="0"/>
              <w:jc w:val="left"/>
              <w:spacing w:line="240" w:lineRule="auto"/>
              <w:tabs>
                <w:tab w:val="left" w:pos="0" w:leader="none"/>
                <w:tab w:val="left" w:pos="3048"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其他（除供应商资格条件及采购技术内容以外的其他涉及实质性响应谈判文件的条款内容）</w:t>
            </w:r>
            <w:r>
              <w:rPr>
                <w:rFonts w:hint="eastAsia" w:asciiTheme="minorEastAsia" w:hAnsiTheme="minorEastAsia" w:eastAsiaTheme="minorEastAsia" w:cstheme="minorEastAsia"/>
                <w:color w:val="auto"/>
                <w:szCs w:val="21"/>
                <w:highlight w:val="none"/>
              </w:rPr>
              <w:tab/>
            </w:r>
            <w:r/>
          </w:p>
        </w:tc>
        <w:tc>
          <w:tcPr>
            <w:tcBorders>
              <w:top w:val="single" w:color="auto" w:sz="4" w:space="0"/>
              <w:left w:val="single" w:color="auto" w:sz="4" w:space="0"/>
              <w:bottom w:val="single" w:color="auto" w:sz="12"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rPr>
          <w:rFonts w:hint="eastAsia" w:asciiTheme="minorEastAsia" w:hAnsiTheme="minorEastAsia" w:eastAsiaTheme="minorEastAsia" w:cstheme="minorEastAsia"/>
          <w:color w:val="auto"/>
          <w:highlight w:val="none"/>
        </w:rPr>
        <w:sectPr>
          <w:footerReference w:type="even" r:id="rId12"/>
          <w:footnotePr/>
          <w:endnotePr/>
          <w:type w:val="nextPage"/>
          <w:pgSz w:w="11906" w:h="16838" w:orient="portrait"/>
          <w:pgMar w:top="1440" w:right="1083" w:bottom="1440" w:left="1083" w:header="822" w:footer="992" w:gutter="0"/>
          <w:cols w:num="1" w:sep="0" w:space="0" w:equalWidth="1"/>
          <w:docGrid w:linePitch="360"/>
        </w:sectPr>
      </w:pPr>
      <w:r>
        <w:rPr>
          <w:rFonts w:hint="eastAsia" w:asciiTheme="minorEastAsia" w:hAnsiTheme="minorEastAsia" w:eastAsiaTheme="minorEastAsia" w:cstheme="minorEastAsia"/>
          <w:color w:val="auto"/>
          <w:highlight w:val="none"/>
        </w:rPr>
      </w:r>
      <w:r/>
    </w:p>
    <w:p>
      <w:pPr>
        <w:pStyle w:val="717"/>
        <w:jc w:val="center"/>
        <w:spacing w:line="240" w:lineRule="auto"/>
        <w:rPr>
          <w:rStyle w:val="1055"/>
          <w:rFonts w:hint="eastAsia" w:asciiTheme="minorEastAsia" w:hAnsiTheme="minorEastAsia" w:eastAsiaTheme="minorEastAsia" w:cstheme="minorEastAsia"/>
          <w:b/>
          <w:bCs w:val="0"/>
          <w:color w:val="auto"/>
          <w:sz w:val="32"/>
          <w:szCs w:val="32"/>
          <w:highlight w:val="none"/>
        </w:rPr>
      </w:pPr>
      <w:r/>
      <w:bookmarkStart w:id="28" w:name="_Toc18696"/>
      <w:r/>
      <w:bookmarkStart w:id="29" w:name="_Toc7"/>
      <w:r/>
      <w:bookmarkStart w:id="30" w:name="_Toc26130"/>
      <w:r>
        <w:rPr>
          <w:rStyle w:val="1055"/>
          <w:rFonts w:hint="eastAsia" w:asciiTheme="minorEastAsia" w:hAnsiTheme="minorEastAsia" w:eastAsiaTheme="minorEastAsia" w:cstheme="minorEastAsia"/>
          <w:b/>
          <w:bCs w:val="0"/>
          <w:color w:val="auto"/>
          <w:sz w:val="32"/>
          <w:szCs w:val="32"/>
          <w:highlight w:val="none"/>
        </w:rPr>
        <w:t xml:space="preserve">第七章</w:t>
      </w:r>
      <w:r>
        <w:rPr>
          <w:rStyle w:val="1055"/>
          <w:rFonts w:hint="eastAsia" w:asciiTheme="minorEastAsia" w:hAnsiTheme="minorEastAsia" w:eastAsiaTheme="minorEastAsia" w:cstheme="minorEastAsia"/>
          <w:b/>
          <w:bCs w:val="0"/>
          <w:color w:val="auto"/>
          <w:sz w:val="32"/>
          <w:szCs w:val="32"/>
          <w:highlight w:val="none"/>
          <w:lang w:val="en-US"/>
        </w:rPr>
        <w:t xml:space="preserve"> </w:t>
      </w:r>
      <w:r>
        <w:rPr>
          <w:rStyle w:val="1055"/>
          <w:rFonts w:hint="eastAsia" w:asciiTheme="minorEastAsia" w:hAnsiTheme="minorEastAsia" w:eastAsiaTheme="minorEastAsia" w:cstheme="minorEastAsia"/>
          <w:b/>
          <w:bCs w:val="0"/>
          <w:color w:val="auto"/>
          <w:sz w:val="32"/>
          <w:szCs w:val="32"/>
          <w:highlight w:val="none"/>
        </w:rPr>
        <w:t xml:space="preserve"> 附件</w:t>
      </w:r>
      <w:bookmarkEnd w:id="28"/>
      <w:r/>
      <w:bookmarkEnd w:id="29"/>
      <w:r/>
      <w:bookmarkEnd w:id="30"/>
      <w:r/>
      <w:bookmarkStart w:id="31" w:name="gpcItem_SubmitDocStruct"/>
      <w:r/>
      <w:bookmarkEnd w:id="31"/>
      <w:r/>
      <w:r/>
    </w:p>
    <w:p>
      <w:pPr>
        <w:pStyle w:val="729"/>
        <w:ind w:firstLine="0"/>
        <w:spacing w:line="360" w:lineRule="auto"/>
        <w:rPr>
          <w:rFonts w:hint="eastAsia" w:asciiTheme="minorEastAsia" w:hAnsiTheme="minorEastAsia" w:eastAsiaTheme="minorEastAsia" w:cstheme="minorEastAsia"/>
          <w:b/>
          <w:color w:val="auto"/>
          <w:sz w:val="28"/>
          <w:szCs w:val="28"/>
          <w:highlight w:val="none"/>
        </w:rPr>
      </w:pPr>
      <w:r/>
      <w:bookmarkStart w:id="32" w:name="gpcItem_tenderStruct2"/>
      <w:r>
        <w:rPr>
          <w:rFonts w:hint="eastAsia" w:asciiTheme="minorEastAsia" w:hAnsiTheme="minorEastAsia" w:eastAsiaTheme="minorEastAsia" w:cstheme="minorEastAsia"/>
          <w:b/>
          <w:color w:val="auto"/>
          <w:sz w:val="28"/>
          <w:szCs w:val="28"/>
          <w:highlight w:val="none"/>
        </w:rPr>
        <w:t xml:space="preserve">响应文档结构表</w:t>
      </w:r>
      <w:r/>
    </w:p>
    <w:tbl>
      <w:tblPr>
        <w:tblStyle w:val="727"/>
        <w:tblW w:w="995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3"/>
        <w:gridCol w:w="3680"/>
        <w:gridCol w:w="4797"/>
      </w:tblGrid>
      <w:tr>
        <w:trPr>
          <w:jc w:val="center"/>
          <w:trHeight w:val="567"/>
          <w:tblHeader/>
        </w:trPr>
        <w:tc>
          <w:tcPr>
            <w:tcMar>
              <w:left w:w="-1" w:type="dxa"/>
              <w:top w:w="-1" w:type="dxa"/>
              <w:right w:w="-1" w:type="dxa"/>
              <w:bottom w:w="-1" w:type="dxa"/>
            </w:tcMar>
            <w:tcW w:w="0" w:type="auto"/>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标书名称</w:t>
            </w:r>
            <w:r/>
          </w:p>
        </w:tc>
        <w:tc>
          <w:tcPr>
            <w:tcMar>
              <w:left w:w="-1" w:type="dxa"/>
              <w:top w:w="-1" w:type="dxa"/>
              <w:right w:w="-1" w:type="dxa"/>
              <w:bottom w:w="-1" w:type="dxa"/>
            </w:tcMar>
            <w:tcW w:w="0" w:type="auto"/>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Mar>
              <w:left w:w="-1" w:type="dxa"/>
              <w:top w:w="-1" w:type="dxa"/>
              <w:right w:w="-1" w:type="dxa"/>
              <w:bottom w:w="-1" w:type="dxa"/>
            </w:tcMar>
            <w:tcW w:w="4797" w:type="dxa"/>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jc w:val="center"/>
          <w:trHeight w:val="567"/>
        </w:trPr>
        <w:tc>
          <w:tcPr>
            <w:tcMar>
              <w:left w:w="-1" w:type="dxa"/>
              <w:top w:w="-1" w:type="dxa"/>
              <w:right w:w="-1" w:type="dxa"/>
              <w:bottom w:w="-1" w:type="dxa"/>
            </w:tcMar>
            <w:tcW w:w="0" w:type="auto"/>
            <w:vAlign w:val="center"/>
            <w:vMerge w:val="restart"/>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供应商情况表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_Ref15302730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附件1：供应商情况表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响应承诺函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_Ref33617519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附件2：响应承诺函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_Ref33617527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附件3：中小企业声明函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_Ref33617531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附件4：残疾人福利性单位声明函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附件5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法定代表人授权委托书</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_Ref33617535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：法定代表人授权委托书:</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_Ref15302750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：开标一览表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报价分析表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_Ref15304724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column"/>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：报价分析表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相关业绩一览表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：相关业绩一览表</w:t>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拟投入人员及设备一览表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：拟投入人员及设备一览表</w:t>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服务方案</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：服务方案</w:t>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_Ref33617553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0" w:type="auto"/>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0" w:type="auto"/>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资格证明声明函</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3</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资格证明声明函</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4</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远程参与开标会议诚信承诺书</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关于符合本国产品标准的声明函</w:t>
            </w:r>
            <w:bookmarkEnd w:id="32"/>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5</w:t>
            </w:r>
            <w:r>
              <w:rPr>
                <w:rFonts w:hint="eastAsia" w:asciiTheme="minorEastAsia" w:hAnsiTheme="minorEastAsia" w:eastAsiaTheme="minorEastAsia" w:cstheme="minorEastAsia"/>
                <w:color w:val="auto"/>
                <w:sz w:val="21"/>
                <w:highlight w:val="none"/>
              </w:rPr>
              <w:t xml:space="preserve">：关于符合本国产品标准的声明函</w:t>
            </w:r>
            <w:r/>
          </w:p>
        </w:tc>
      </w:tr>
    </w:tbl>
    <w:p>
      <w:pPr>
        <w:pStyle w:val="729"/>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72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对本章的格式，供应商可根据自身情况进行补充和修改，但补充和修改不得造成与本格式内容有实质性的违背。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33" w:name="_Ref10712456"/>
      <w:r/>
      <w:bookmarkStart w:id="34" w:name="_Ref499899149"/>
      <w:r/>
      <w:bookmarkStart w:id="35" w:name="_Ref15302730"/>
      <w:r/>
      <w:bookmarkStart w:id="36" w:name="_Toc8"/>
      <w:r/>
      <w:bookmarkStart w:id="37" w:name="_Ref477865927"/>
      <w:r>
        <w:rPr>
          <w:rFonts w:hint="eastAsia" w:asciiTheme="minorEastAsia" w:hAnsiTheme="minorEastAsia" w:eastAsiaTheme="minorEastAsia" w:cstheme="minorEastAsia"/>
          <w:color w:val="auto"/>
          <w:sz w:val="24"/>
          <w:szCs w:val="24"/>
          <w:highlight w:val="none"/>
        </w:rPr>
        <w:t xml:space="preserve">附件1：</w:t>
      </w:r>
      <w:bookmarkEnd w:id="33"/>
      <w:r/>
      <w:bookmarkEnd w:id="34"/>
      <w:r>
        <w:rPr>
          <w:rFonts w:hint="eastAsia" w:asciiTheme="minorEastAsia" w:hAnsiTheme="minorEastAsia" w:eastAsiaTheme="minorEastAsia" w:cstheme="minorEastAsia"/>
          <w:color w:val="auto"/>
          <w:sz w:val="24"/>
          <w:szCs w:val="24"/>
          <w:highlight w:val="none"/>
        </w:rPr>
        <w:t xml:space="preserve">供应商情况表</w:t>
      </w:r>
      <w:bookmarkEnd w:id="35"/>
      <w:r/>
      <w:bookmarkEnd w:id="36"/>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供应商情况表</w:t>
      </w:r>
      <w:r/>
    </w:p>
    <w:p>
      <w:pPr>
        <w:spacing w:line="30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单位名称（加盖公章）：</w:t>
      </w:r>
      <w:r/>
    </w:p>
    <w:tbl>
      <w:tblPr>
        <w:tblStyle w:val="727"/>
        <w:tblW w:w="5029" w:type="pct"/>
        <w:jc w:val="center"/>
        <w:tblBorders>
          <w:top w:val="none" w:color="auto" w:sz="6" w:space="0"/>
          <w:left w:val="none" w:color="auto" w:sz="6" w:space="0"/>
          <w:bottom w:val="none" w:color="auto" w:sz="6" w:space="0"/>
          <w:right w:val="none" w:color="auto" w:sz="6" w:space="0"/>
          <w:insideH w:val="none" w:color="auto" w:sz="4" w:space="0"/>
          <w:insideV w:val="non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87"/>
        <w:gridCol w:w="3640"/>
        <w:gridCol w:w="853"/>
        <w:gridCol w:w="345"/>
        <w:gridCol w:w="51"/>
        <w:gridCol w:w="1563"/>
        <w:gridCol w:w="1581"/>
        <w:gridCol w:w="1233"/>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gridSpan w:val="3"/>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34"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95"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24"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54"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本地办事处地址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54"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8"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19"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联系人电话（手机）</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426"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8"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19"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426"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（必填，涉及澄清、解释等的书面形式沟通）</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单位从业人员数量</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8" w:type="pct"/>
            <w:vAlign w:val="center"/>
            <w:textDirection w:val="lrTb"/>
            <w:noWrap w:val="false"/>
          </w:tcPr>
          <w:p>
            <w:pPr>
              <w:pStyle w:val="729"/>
              <w:jc w:val="right"/>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21"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年总营业收入</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24"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847" w:type="pct"/>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企业规模</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54"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□大型       □中型       □小型       □微型</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7"/>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01"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2、_____________________________________</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rPr>
              <w:t xml:space="preserve">_____________________________________</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0" w:type="pct"/>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最近3年内在经营过程中受到何种奖励或处分</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420" w:type="pct"/>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0" w:type="pct"/>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420" w:type="pct"/>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98" w:type="pct"/>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gridSpan w:val="7"/>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701" w:type="pct"/>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r>
    </w:tbl>
    <w:p>
      <w:pPr>
        <w:pStyle w:val="1128"/>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注：企业规模的企业划型标准请根据《中小企业划型标准规定》（工信部联企业〔2011〕300号）。</w:t>
      </w:r>
      <w:bookmarkEnd w:id="37"/>
      <w:r/>
      <w:r/>
    </w:p>
    <w:p>
      <w:pPr>
        <w:rPr>
          <w:rFonts w:hint="eastAsia" w:asciiTheme="minorEastAsia" w:hAnsiTheme="minorEastAsia" w:eastAsiaTheme="minorEastAsia" w:cstheme="minorEastAsia"/>
          <w:color w:val="auto"/>
          <w:highlight w:val="none"/>
        </w:rPr>
      </w:pPr>
      <w:r/>
      <w:bookmarkStart w:id="38" w:name="_Ref507166820"/>
      <w:r/>
      <w:bookmarkStart w:id="39" w:name="_Ref15302737"/>
      <w:r/>
      <w:bookmarkStart w:id="40" w:name="_Ref477865930"/>
      <w:r/>
      <w:bookmarkStart w:id="41" w:name="_Ref376770270"/>
      <w:r/>
      <w:r/>
    </w:p>
    <w:p>
      <w:pPr>
        <w:rPr>
          <w:rFonts w:hint="eastAsia" w:asciiTheme="minorEastAsia" w:hAnsiTheme="minorEastAsia" w:eastAsiaTheme="minorEastAsia" w:cstheme="minorEastAsia"/>
          <w:color w:val="auto"/>
          <w:sz w:val="24"/>
          <w:szCs w:val="24"/>
          <w:highlight w:val="none"/>
        </w:rPr>
      </w:pPr>
      <w:r/>
      <w:bookmarkStart w:id="42" w:name="_Toc9"/>
      <w:r/>
      <w:bookmarkStart w:id="43" w:name="_Ref33617519"/>
      <w:r>
        <w:rPr>
          <w:rFonts w:hint="eastAsia" w:asciiTheme="minorEastAsia" w:hAnsiTheme="minorEastAsia" w:eastAsiaTheme="minorEastAsia" w:cstheme="minorEastAsia"/>
          <w:color w:val="auto"/>
          <w:sz w:val="24"/>
          <w:szCs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w:t>
      </w:r>
      <w:bookmarkEnd w:id="38"/>
      <w:r>
        <w:rPr>
          <w:rFonts w:hint="eastAsia" w:asciiTheme="minorEastAsia" w:hAnsiTheme="minorEastAsia" w:eastAsiaTheme="minorEastAsia" w:cstheme="minorEastAsia"/>
          <w:color w:val="auto"/>
          <w:sz w:val="24"/>
          <w:szCs w:val="24"/>
          <w:highlight w:val="none"/>
        </w:rPr>
        <w:t xml:space="preserve">响应承诺函</w:t>
      </w:r>
      <w:bookmarkEnd w:id="39"/>
      <w:r/>
      <w:bookmarkEnd w:id="42"/>
      <w:r/>
      <w:bookmarkEnd w:id="43"/>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响应承诺函</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w:t>
      </w:r>
      <w:r>
        <w:rPr>
          <w:rFonts w:hint="eastAsia" w:asciiTheme="minorEastAsia" w:hAnsiTheme="minorEastAsia" w:eastAsiaTheme="minorEastAsia" w:cstheme="minorEastAsia"/>
          <w:iCs/>
          <w:color w:val="auto"/>
          <w:highlight w:val="none"/>
          <w:u w:val="single"/>
        </w:rPr>
        <w:t xml:space="preserve">（采购人名称）</w:t>
      </w:r>
      <w:r>
        <w:rPr>
          <w:rFonts w:hint="eastAsia" w:asciiTheme="minorEastAsia" w:hAnsiTheme="minorEastAsia" w:eastAsiaTheme="minorEastAsia" w:cstheme="minorEastAsia"/>
          <w:iCs/>
          <w:color w:val="auto"/>
          <w:highlight w:val="none"/>
        </w:rPr>
        <w:t xml:space="preserve">、</w:t>
      </w: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经仔细阅读和研究，我方</w:t>
      </w:r>
      <w:r>
        <w:rPr>
          <w:rFonts w:hint="eastAsia" w:asciiTheme="minorEastAsia" w:hAnsiTheme="minorEastAsia" w:eastAsiaTheme="minorEastAsia" w:cstheme="minorEastAsia"/>
          <w:color w:val="auto"/>
          <w:highlight w:val="none"/>
        </w:rPr>
        <w:t xml:space="preserve">自愿参加_</w:t>
      </w:r>
      <w:r>
        <w:rPr>
          <w:rFonts w:hint="eastAsia" w:asciiTheme="minorEastAsia" w:hAnsiTheme="minorEastAsia" w:eastAsiaTheme="minorEastAsia" w:cstheme="minorEastAsia"/>
          <w:iCs/>
          <w:color w:val="auto"/>
          <w:highlight w:val="none"/>
          <w:u w:val="single"/>
        </w:rPr>
        <w:t xml:space="preserve">（项目名称及项目编号）</w:t>
      </w:r>
      <w:r>
        <w:rPr>
          <w:rFonts w:hint="eastAsia" w:asciiTheme="minorEastAsia" w:hAnsiTheme="minorEastAsia" w:eastAsiaTheme="minorEastAsia" w:cstheme="minorEastAsia"/>
          <w:color w:val="auto"/>
          <w:highlight w:val="none"/>
        </w:rPr>
        <w:t xml:space="preserve">的采购活动，并做出如下承诺：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4、我们响应招标文件中要求的投标有效期</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5、我们愿意提供谈判采购单位在采购文件中要求的所有资料。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6、我们认为你们有权决定成交单位，还认为你们有权接受或拒绝所有的谈判供应商。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7、我们愿意遵守采购文件中所列的收费标准。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8、我们承诺该谈判响应文件在谈判开始后的全过程中保持有效，不作任何更改和变动。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11、综合说明：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（1）伴随服务及配合措施；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（2）要求甲方提供的配合；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（3）对采购文件有不同意见的偏离说明；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（4）其它说明。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（4）恶意串通；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highlight w:val="none"/>
        </w:rPr>
        <w:t xml:space="preserve">我方知晓上述行为的法律后果，并认可本承诺函作为采购人要求我方履行违约赔偿的依据。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775"/>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供应商：（加盖公章）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法定代表人或被授权人：（签字或盖章）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日期：    年  月  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40"/>
      <w:r/>
      <w:bookmarkEnd w:id="41"/>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44" w:name="_Ref33617527"/>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5" w:name="_Toc10"/>
      <w:r>
        <w:rPr>
          <w:rFonts w:hint="eastAsia" w:asciiTheme="minorEastAsia" w:hAnsiTheme="minorEastAsia" w:eastAsiaTheme="minorEastAsia" w:cstheme="minorEastAsia"/>
          <w:color w:val="auto"/>
          <w:sz w:val="24"/>
          <w:szCs w:val="24"/>
          <w:highlight w:val="none"/>
        </w:rPr>
        <w:t xml:space="preserve">附件3：中小企业声明函</w:t>
      </w:r>
      <w:bookmarkEnd w:id="44"/>
      <w:r/>
      <w:bookmarkEnd w:id="45"/>
      <w:r/>
      <w:r/>
    </w:p>
    <w:p>
      <w:pPr>
        <w:pStyle w:val="1123"/>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123"/>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本公司（联合体）郑重声明，根据《政府采购促进中小企业发展管理办法》（财库[2020]46号）的规定，本公司参加</w:t>
      </w:r>
      <w:r>
        <w:rPr>
          <w:rFonts w:hint="eastAsia" w:asciiTheme="minorEastAsia" w:hAnsiTheme="minorEastAsia" w:eastAsiaTheme="minorEastAsia" w:cstheme="minorEastAsia"/>
          <w:i/>
          <w:iCs/>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i/>
          <w:iCs/>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i/>
          <w:iCs/>
          <w:color w:val="auto"/>
          <w:highlight w:val="none"/>
          <w:u w:val="single"/>
        </w:rPr>
        <w:t xml:space="preserve">（标的名称）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i/>
          <w:iCs/>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128"/>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w:t>
      </w:r>
      <w:r>
        <w:rPr>
          <w:rFonts w:hint="eastAsia" w:asciiTheme="minorEastAsia" w:hAnsiTheme="minorEastAsia" w:eastAsiaTheme="minorEastAsia" w:cstheme="minorEastAsia"/>
          <w:b/>
          <w:color w:val="auto"/>
          <w:sz w:val="21"/>
          <w:szCs w:val="21"/>
          <w:highlight w:val="none"/>
          <w:lang w:val="en-US" w:eastAsia="zh-CN"/>
        </w:rPr>
        <w:t xml:space="preserve">批发</w:t>
      </w:r>
      <w:r>
        <w:rPr>
          <w:rFonts w:hint="eastAsia" w:asciiTheme="minorEastAsia" w:hAnsiTheme="minorEastAsia" w:eastAsiaTheme="minorEastAsia" w:cstheme="minorEastAsia"/>
          <w:b/>
          <w:color w:val="auto"/>
          <w:sz w:val="21"/>
          <w:szCs w:val="21"/>
          <w:highlight w:val="none"/>
        </w:rPr>
        <w:t xml:space="preserve">业。中小微企业划型标准请根据《中小企业划型标准规定》（工信部联企业〔2011〕300号）。</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12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46" w:name="_Ref33617531"/>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7" w:name="_Toc11"/>
      <w:r>
        <w:rPr>
          <w:rFonts w:hint="eastAsia" w:asciiTheme="minorEastAsia" w:hAnsiTheme="minorEastAsia" w:eastAsiaTheme="minorEastAsia" w:cstheme="minorEastAsia"/>
          <w:color w:val="auto"/>
          <w:sz w:val="24"/>
          <w:szCs w:val="24"/>
          <w:highlight w:val="none"/>
        </w:rPr>
        <w:t xml:space="preserve">附件4：残疾人福利性单位声明函</w:t>
      </w:r>
      <w:bookmarkEnd w:id="46"/>
      <w:r/>
      <w:bookmarkEnd w:id="47"/>
      <w:r/>
      <w:r/>
    </w:p>
    <w:p>
      <w:pPr>
        <w:pStyle w:val="1126"/>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p>
      <w:pPr>
        <w:pStyle w:val="1126"/>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26"/>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pStyle w:val="1124"/>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  年  月  日</w:t>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ind w:left="0" w:firstLine="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18"/>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附件5：</w:t>
      </w:r>
      <w:r>
        <w:rPr>
          <w:rFonts w:hint="eastAsia" w:asciiTheme="minorEastAsia" w:hAnsiTheme="minorEastAsia" w:eastAsiaTheme="minorEastAsia" w:cstheme="minorEastAsia"/>
          <w:color w:val="auto"/>
          <w:sz w:val="24"/>
          <w:szCs w:val="24"/>
          <w:highlight w:val="none"/>
          <w:lang w:val="zh-CN" w:eastAsia="zh-CN"/>
        </w:rPr>
        <w:t xml:space="preserve">食品安全承诺书</w:t>
      </w:r>
      <w:r/>
    </w:p>
    <w:p>
      <w:pPr>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1"/>
          <w:szCs w:val="21"/>
          <w:highlight w:val="none"/>
          <w:lang w:val="zh-CN" w:eastAsia="zh-CN" w:bidi="ar-SA"/>
        </w:rPr>
        <w:t xml:space="preserve">食品安全承诺书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为保障食堂食品原材料安全，进一步贯彻执行《食品安全法》，本单位郑重承诺：</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严格依照《食品安全法》等法律法规从事食品经营活动，诚信经营，保证食品安全，接受社会监督，承担社会责任。</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严格落实国家市场监管总局60号令《企业落实食品安全主体责任监督管理规定》要求，建立健全食品安全责任体系，通过“苏食安”平台进行食安履责，明确责任人、做好三件事、记好三本账。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五、严格落实食品安全管理制度。建立健全食品安全责任制，落实食品安全培训考核制度，加强食品从业人员的岗位管理与培训，提升食品管理水平。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六、严格执行从业人员健康管理制度。经营人员每年进行健康检查，取得健康证明后方从事食品经营活动。保持个人卫生，按照要求开展加工操作。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八、严格执行法律法规以及规范对食堂禁用、慎用食品的规定，坚决不采购、配送违反食品安全法律法规以及食堂禁用、慎用规定的食品原材料。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严格落实食品加工、贮存、运输管理规定，保证食品安全所需的环境条件，定期检查货架及库存食品，及时清理变质或者超过保质期的食品。防止交叉污染和贮存运输不当导致食品变质。承诺向食堂供应的食品原料</w:t>
      </w:r>
      <w:r>
        <w:rPr>
          <w:rFonts w:hint="eastAsia" w:asciiTheme="minorEastAsia" w:hAnsiTheme="minorEastAsia" w:eastAsiaTheme="minorEastAsia" w:cstheme="minorEastAsia"/>
          <w:color w:val="auto"/>
          <w:szCs w:val="21"/>
          <w:highlight w:val="none"/>
          <w:lang w:val="en-US" w:eastAsia="zh-CN"/>
        </w:rPr>
        <w:t xml:space="preserve">均在保质期内，且未超过保质时间的1/3</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十、严格落实食品标签管理规定，所有配送食品必须标签完整、清晰。配送散装食品必须在散装食品的容器、外包装上标明食品的名称、生产日期、保质期、生产经营者名称及联系方式等内容；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十一、严格落实食品检验制度，设置食品检测室，配备专门的检测设备，有专职的检测人员，按规定开展食品检测工作，检测结果即时上传并按规定公示。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1012"/>
        <w:ind w:left="3400"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rPr>
          <w:rFonts w:hint="eastAsia" w:asciiTheme="minorEastAsia" w:hAnsiTheme="minorEastAsia" w:eastAsiaTheme="minorEastAsia" w:cstheme="minorEastAsia"/>
          <w:b/>
          <w:bCs/>
          <w:color w:val="auto"/>
          <w:szCs w:val="21"/>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8" w:name="_Toc12"/>
      <w:r/>
      <w:bookmarkStart w:id="49" w:name="_Ref33617535"/>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：法定代表人授权委托书:</w:t>
      </w:r>
      <w:bookmarkEnd w:id="48"/>
      <w:r/>
      <w:bookmarkEnd w:id="49"/>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法定代表人授权委托书</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（法定代表人姓名）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（公司名称）</w:t>
      </w:r>
      <w:r>
        <w:rPr>
          <w:rFonts w:hint="eastAsia" w:asciiTheme="minorEastAsia" w:hAnsiTheme="minorEastAsia" w:eastAsiaTheme="minorEastAsia" w:cstheme="minorEastAsia"/>
          <w:color w:val="auto"/>
          <w:szCs w:val="21"/>
          <w:highlight w:val="none"/>
        </w:rPr>
        <w:t xml:space="preserve">的法定代表人，现授权委托</w:t>
      </w:r>
      <w:r>
        <w:rPr>
          <w:rFonts w:hint="eastAsia" w:asciiTheme="minorEastAsia" w:hAnsiTheme="minorEastAsia" w:eastAsiaTheme="minorEastAsia" w:cstheme="minorEastAsia"/>
          <w:color w:val="auto"/>
          <w:szCs w:val="21"/>
          <w:highlight w:val="none"/>
          <w:u w:val="single"/>
        </w:rPr>
        <w:t xml:space="preserve">（代理人姓名）</w:t>
      </w:r>
      <w:r>
        <w:rPr>
          <w:rFonts w:hint="eastAsia" w:asciiTheme="minorEastAsia" w:hAnsiTheme="minorEastAsia" w:eastAsiaTheme="minorEastAsia" w:cstheme="minorEastAsia"/>
          <w:color w:val="auto"/>
          <w:szCs w:val="21"/>
          <w:highlight w:val="none"/>
        </w:rPr>
        <w:t xml:space="preserve">代表我公司参加贵公司组织实施的项目编号为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本授权委托书自投标开始至合同履行完毕止。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                            职务：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身份证号码：                        联系电话：</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代理人签字：                       法定代表人签字：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 月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50" w:name="_Ref376770274"/>
      <w:r/>
      <w:bookmarkStart w:id="51" w:name="_Ref15302750"/>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2" w:name="_Toc13"/>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bookmarkEnd w:id="50"/>
      <w:r>
        <w:rPr>
          <w:rFonts w:hint="eastAsia" w:asciiTheme="minorEastAsia" w:hAnsiTheme="minorEastAsia" w:eastAsiaTheme="minorEastAsia" w:cstheme="minorEastAsia"/>
          <w:color w:val="auto"/>
          <w:sz w:val="24"/>
          <w:szCs w:val="24"/>
          <w:highlight w:val="none"/>
        </w:rPr>
        <w:t xml:space="preserve">开标一览表</w:t>
      </w:r>
      <w:bookmarkEnd w:id="51"/>
      <w:r/>
      <w:bookmarkEnd w:id="52"/>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开标一览表（优惠率）</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投标人全称（加盖公章）：供应商名称 </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  </w:t>
      </w:r>
      <w:r/>
    </w:p>
    <w:p>
      <w:pPr>
        <w:jc w:val="both"/>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727"/>
        <w:tblW w:w="9766"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286"/>
        <w:gridCol w:w="6480"/>
      </w:tblGrid>
      <w:tr>
        <w:trPr>
          <w:jc w:val="center"/>
          <w:trHeight w:val="567"/>
          <w:tblHeader/>
        </w:trPr>
        <w:tc>
          <w:tcPr>
            <w:shd w:val="clear" w:color="auto" w:fill="auto"/>
            <w:tcBorders>
              <w:top w:val="single" w:color="auto" w:sz="12" w:space="0"/>
              <w:left w:val="single" w:color="auto" w:sz="12" w:space="0"/>
              <w:bottom w:val="single" w:color="auto" w:sz="4"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项目名称</w:t>
            </w:r>
            <w:r/>
          </w:p>
        </w:tc>
        <w:tc>
          <w:tcPr>
            <w:shd w:val="clear" w:color="auto" w:fill="auto"/>
            <w:tcBorders>
              <w:top w:val="single" w:color="auto" w:sz="12" w:space="0"/>
              <w:left w:val="single" w:color="auto" w:sz="4" w:space="0"/>
              <w:bottom w:val="single" w:color="auto" w:sz="4"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统一单价优惠率</w:t>
            </w:r>
            <w:r/>
          </w:p>
        </w:tc>
      </w:tr>
      <w:tr>
        <w:trPr>
          <w:jc w:val="center"/>
          <w:trHeight w:val="567"/>
        </w:trPr>
        <w:tc>
          <w:tcPr>
            <w:shd w:val="clear" w:color="auto" w:fill="auto"/>
            <w:tcBorders>
              <w:top w:val="single" w:color="auto" w:sz="4" w:space="0"/>
              <w:left w:val="single" w:color="auto" w:sz="12" w:space="0"/>
              <w:bottom w:val="single" w:color="auto" w:sz="12"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小写：</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w:t>
            </w:r>
            <w:r/>
          </w:p>
        </w:tc>
      </w:tr>
    </w:tbl>
    <w:p>
      <w:pPr>
        <w:jc w:val="righ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p>
      <w:pPr>
        <w:jc w:val="righ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 年   月   日</w:t>
      </w:r>
      <w:r/>
    </w:p>
    <w:p>
      <w:pPr>
        <w:pStyle w:val="1012"/>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pStyle w:val="10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1、开标一览表必须加盖投标人公章（复印件无效）。</w:t>
      </w:r>
      <w:r/>
    </w:p>
    <w:p>
      <w:pPr>
        <w:pStyle w:val="1012"/>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2、本项目采用优惠率方式报价。优惠率是指结算价占预算单价的百分比。</w:t>
      </w:r>
      <w:r>
        <w:rPr>
          <w:rFonts w:hint="eastAsia" w:asciiTheme="minorEastAsia" w:hAnsiTheme="minorEastAsia" w:eastAsiaTheme="minorEastAsia" w:cstheme="minorEastAsia"/>
          <w:b/>
          <w:bCs/>
          <w:color w:val="auto"/>
          <w:sz w:val="21"/>
          <w:szCs w:val="21"/>
          <w:highlight w:val="none"/>
        </w:rPr>
        <w:t xml:space="preserve">计算公式：结算单价 = 预算单价×</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统一单价优惠率）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br/>
      </w:r>
      <w:r/>
    </w:p>
    <w:p>
      <w:pPr>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rPr>
          <w:rFonts w:hint="eastAsia" w:asciiTheme="minorEastAsia" w:hAnsiTheme="minorEastAsia" w:eastAsiaTheme="minorEastAsia" w:cstheme="minorEastAsia"/>
          <w:color w:val="auto"/>
          <w:sz w:val="24"/>
          <w:szCs w:val="24"/>
          <w:highlight w:val="none"/>
        </w:rPr>
      </w:pPr>
      <w:r/>
      <w:bookmarkStart w:id="53" w:name="_Ref477865934"/>
      <w:r/>
      <w:bookmarkStart w:id="54" w:name="_Toc14"/>
      <w:r/>
      <w:bookmarkStart w:id="55" w:name="_Ref15304724"/>
      <w:r>
        <w:rPr>
          <w:rFonts w:hint="eastAsia" w:asciiTheme="minorEastAsia" w:hAnsiTheme="minorEastAsia" w:eastAsiaTheme="minorEastAsia" w:cstheme="minorEastAsia"/>
          <w:color w:val="auto"/>
          <w:sz w:val="24"/>
          <w:szCs w:val="24"/>
          <w:highlight w:val="none"/>
        </w:rPr>
        <w:br w:type="column"/>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bookmarkEnd w:id="53"/>
      <w:r>
        <w:rPr>
          <w:rFonts w:hint="eastAsia" w:asciiTheme="minorEastAsia" w:hAnsiTheme="minorEastAsia" w:eastAsiaTheme="minorEastAsia" w:cstheme="minorEastAsia"/>
          <w:color w:val="auto"/>
          <w:sz w:val="24"/>
          <w:szCs w:val="24"/>
          <w:highlight w:val="none"/>
        </w:rPr>
        <w:t xml:space="preserve">报价分析表</w:t>
      </w:r>
      <w:bookmarkEnd w:id="54"/>
      <w:r/>
      <w:bookmarkEnd w:id="55"/>
      <w:r/>
      <w:r/>
    </w:p>
    <w:p>
      <w:pPr>
        <w:pStyle w:val="1012"/>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1012"/>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项目投标报价表</w:t>
      </w:r>
      <w:r/>
    </w:p>
    <w:p>
      <w:pPr>
        <w:pStyle w:val="1012"/>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22"/>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r>
      <w:r/>
    </w:p>
    <w:tbl>
      <w:tblPr>
        <w:tblStyle w:val="727"/>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5"/>
        <w:gridCol w:w="2300"/>
        <w:gridCol w:w="6501"/>
      </w:tblGrid>
      <w:tr>
        <w:trPr>
          <w:jc w:val="center"/>
          <w:trHeight w:val="0"/>
          <w:tblHeader/>
        </w:trPr>
        <w:tc>
          <w:tcPr>
            <w:gridSpan w:val="3"/>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6"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汇总表</w:t>
            </w:r>
            <w:r/>
          </w:p>
        </w:tc>
      </w:tr>
      <w:tr>
        <w:trPr>
          <w:jc w:val="center"/>
          <w:trHeight w:val="0"/>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产品名称</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备注</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饮品类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饮料、奶制品等</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生鲜类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鲜肉、水产、禽类、蛋类、冻品等</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蔬果类</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蔬菜、水果</w:t>
            </w:r>
            <w:r/>
          </w:p>
        </w:tc>
      </w:tr>
      <w:tr>
        <w:trPr>
          <w:jc w:val="center"/>
          <w:trHeight w:val="0"/>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115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粮油副食类</w:t>
            </w:r>
            <w:r/>
          </w:p>
        </w:tc>
        <w:tc>
          <w:tcPr>
            <w:shd w:val="clear" w:color="auto" w:fill="auto"/>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501"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粮油、调料、干调、干货、豆制品等</w:t>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72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3"/>
        <w:gridCol w:w="1330"/>
        <w:gridCol w:w="1330"/>
        <w:gridCol w:w="1912"/>
        <w:gridCol w:w="1023"/>
        <w:gridCol w:w="1706"/>
        <w:gridCol w:w="1632"/>
      </w:tblGrid>
      <w:tr>
        <w:trPr>
          <w:jc w:val="center"/>
          <w:trHeight w:val="0"/>
        </w:trPr>
        <w:tc>
          <w:tcPr>
            <w:gridSpan w:val="7"/>
            <w:shd w:val="clear" w:color="auto" w:fill="auto"/>
            <w:tcMar>
              <w:left w:w="-1" w:type="dxa"/>
              <w:top w:w="-1" w:type="dxa"/>
              <w:right w:w="-1" w:type="dxa"/>
              <w:bottom w:w="-1" w:type="dxa"/>
            </w:tcMar>
            <w:tcW w:w="5000"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饮品类</w:t>
            </w:r>
            <w:r/>
          </w:p>
        </w:tc>
      </w:tr>
      <w:tr>
        <w:trPr>
          <w:jc w:val="center"/>
          <w:trHeight w:val="0"/>
        </w:trPr>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960"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857"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816"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乳制品</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卡士</w:t>
            </w:r>
            <w:r/>
          </w:p>
        </w:tc>
        <w:tc>
          <w:tcPr>
            <w:shd w:val="clear" w:color="auto" w:fill="auto"/>
            <w:tcMar>
              <w:left w:w="-1" w:type="dxa"/>
              <w:top w:w="-1" w:type="dxa"/>
              <w:right w:w="-1" w:type="dxa"/>
              <w:bottom w:w="-1" w:type="dxa"/>
            </w:tcMar>
            <w:tcW w:w="960"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100g/杯</w:t>
            </w:r>
            <w:r/>
          </w:p>
        </w:tc>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杯</w:t>
            </w:r>
            <w:r/>
          </w:p>
        </w:tc>
        <w:tc>
          <w:tcPr>
            <w:shd w:val="clear" w:color="auto" w:fill="auto"/>
            <w:tcMar>
              <w:left w:w="-1" w:type="dxa"/>
              <w:top w:w="-1" w:type="dxa"/>
              <w:right w:w="-1" w:type="dxa"/>
              <w:bottom w:w="-1" w:type="dxa"/>
            </w:tcMar>
            <w:tcW w:w="857"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3.33 </w:t>
            </w:r>
            <w:r/>
          </w:p>
        </w:tc>
        <w:tc>
          <w:tcPr>
            <w:shd w:val="clear" w:color="auto" w:fill="auto"/>
            <w:tcMar>
              <w:left w:w="-1" w:type="dxa"/>
              <w:top w:w="-1" w:type="dxa"/>
              <w:right w:w="-1" w:type="dxa"/>
              <w:bottom w:w="-1" w:type="dxa"/>
            </w:tcMar>
            <w:tcW w:w="816" w:type="pct"/>
            <w:vAlign w:val="center"/>
            <w:vMerge w:val="restart"/>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tc>
      </w:tr>
      <w:tr>
        <w:trPr>
          <w:jc w:val="center"/>
          <w:trHeight w:val="0"/>
        </w:trPr>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乳制品</w:t>
            </w:r>
            <w:r/>
          </w:p>
        </w:tc>
        <w:tc>
          <w:tcPr>
            <w:shd w:val="clear" w:color="auto" w:fill="auto"/>
            <w:tcMar>
              <w:left w:w="-1" w:type="dxa"/>
              <w:top w:w="-1" w:type="dxa"/>
              <w:right w:w="-1" w:type="dxa"/>
              <w:bottom w:w="-1" w:type="dxa"/>
            </w:tcMar>
            <w:tcW w:w="668"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鲜牛奶</w:t>
            </w:r>
            <w:r/>
          </w:p>
        </w:tc>
        <w:tc>
          <w:tcPr>
            <w:shd w:val="clear" w:color="auto" w:fill="auto"/>
            <w:tcMar>
              <w:left w:w="-1" w:type="dxa"/>
              <w:top w:w="-1" w:type="dxa"/>
              <w:right w:w="-1" w:type="dxa"/>
              <w:bottom w:w="-1" w:type="dxa"/>
            </w:tcMar>
            <w:tcW w:w="960"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光明250m/杯</w:t>
            </w:r>
            <w:r/>
          </w:p>
        </w:tc>
        <w:tc>
          <w:tcPr>
            <w:shd w:val="clear" w:color="auto" w:fill="auto"/>
            <w:tcMar>
              <w:left w:w="-1" w:type="dxa"/>
              <w:top w:w="-1" w:type="dxa"/>
              <w:right w:w="-1" w:type="dxa"/>
              <w:bottom w:w="-1" w:type="dxa"/>
            </w:tcMar>
            <w:tcW w:w="514"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杯</w:t>
            </w:r>
            <w:r/>
          </w:p>
        </w:tc>
        <w:tc>
          <w:tcPr>
            <w:shd w:val="clear" w:color="auto" w:fill="auto"/>
            <w:tcMar>
              <w:left w:w="-1" w:type="dxa"/>
              <w:top w:w="-1" w:type="dxa"/>
              <w:right w:w="-1" w:type="dxa"/>
              <w:bottom w:w="-1" w:type="dxa"/>
            </w:tcMar>
            <w:tcW w:w="857" w:type="pct"/>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 </w:t>
            </w:r>
            <w:r/>
          </w:p>
        </w:tc>
        <w:tc>
          <w:tcPr>
            <w:shd w:val="clear" w:color="auto" w:fill="auto"/>
            <w:tcMar>
              <w:left w:w="-1" w:type="dxa"/>
              <w:top w:w="-1" w:type="dxa"/>
              <w:right w:w="-1" w:type="dxa"/>
              <w:bottom w:w="-1" w:type="dxa"/>
            </w:tcMar>
            <w:tcW w:w="816" w:type="pct"/>
            <w:vAlign w:val="center"/>
            <w:vMerge w:val="continue"/>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val="en-US" w:eastAsia="zh-CN"/>
              </w:rPr>
              <w:outlineLvl w:val="9"/>
            </w:pPr>
            <w:r>
              <w:rPr>
                <w:rFonts w:hint="eastAsia" w:asciiTheme="minorEastAsia" w:hAnsiTheme="minorEastAsia" w:eastAsiaTheme="minorEastAsia" w:cstheme="minorEastAsia"/>
                <w:b/>
                <w:bCs/>
                <w:color w:val="auto"/>
                <w:sz w:val="21"/>
                <w:szCs w:val="21"/>
                <w:highlight w:val="none"/>
                <w:lang w:val="en-US"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727"/>
        <w:tblW w:w="9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842"/>
        <w:gridCol w:w="1685"/>
        <w:gridCol w:w="2184"/>
        <w:gridCol w:w="725"/>
        <w:gridCol w:w="1890"/>
        <w:gridCol w:w="1905"/>
      </w:tblGrid>
      <w:tr>
        <w:trPr>
          <w:jc w:val="center"/>
          <w:trHeight w:val="0"/>
          <w:tblHeader/>
        </w:trPr>
        <w:tc>
          <w:tcPr>
            <w:gridSpan w:val="7"/>
            <w:shd w:val="clear" w:color="auto" w:fill="auto"/>
            <w:tcMar>
              <w:left w:w="-1" w:type="dxa"/>
              <w:top w:w="-1" w:type="dxa"/>
              <w:right w:w="-1" w:type="dxa"/>
              <w:bottom w:w="-1" w:type="dxa"/>
            </w:tcMar>
            <w:tcW w:w="1904"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生鲜类</w:t>
            </w:r>
            <w:r/>
          </w:p>
        </w:tc>
      </w:tr>
      <w:tr>
        <w:trPr>
          <w:jc w:val="center"/>
          <w:trHeight w:val="0"/>
          <w:tblHeader/>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1904"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去皮夹心</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4" w:type="dxa"/>
            <w:vAlign w:val="center"/>
            <w:vMerge w:val="restart"/>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筒骨</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鲜牛柳</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鲜大排</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大里脊</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17.08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肉丝</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精肉丝</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带肋红烧肉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鲜猪脚爪</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小牛腱子</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干肉皮</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家乡风咸肉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鲜带肋方肉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猪板油</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9.90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鲜猪爪连蹄膀</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16.50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五花风肉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鲜仔排</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牛腿肉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牛肋骨</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53.90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鲜牛腩</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骨头</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鲜大排条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850肚</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肉片</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鲜猪心</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大鲜鸡中翅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21.13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活杀草公鸡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盐水鹅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31.15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无根大鸡爪</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鹅胗</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24.95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鲜鸡脯肉</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螺丝鸡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13.50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大鸡中翅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鸡肫</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11.32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禽类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鸡血</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300g/盒</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活草鱼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青虾仁</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花鲢鱼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16.45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干小白虾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26.90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基尾虾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25头/斤</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黑鱼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蛤蜊</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小鲫鱼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22.38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河虾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220-320只/500g</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69.75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蛏子</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中号40-50只/斤</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25.80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小黄鱼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3-4两</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活杀牛蛙</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沼虾</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水产</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鱿鱼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21.60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皮蛋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1*200个</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个</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草鸡蛋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去壳鹌鹑蛋</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蛋类</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咸蛋黄</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200g/袋</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39.90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油条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450g/袋/10包每箱</w:t>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箱</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银条</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66.33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巴沙鱼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15.63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仔鹅</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6.84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鲳鱼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44.75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冻品</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带鱼</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22.40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新鲜</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鲜鱼丸</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0" w:type="auto"/>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Mar>
              <w:left w:w="-1" w:type="dxa"/>
              <w:top w:w="-1" w:type="dxa"/>
              <w:right w:w="-1" w:type="dxa"/>
              <w:bottom w:w="-1" w:type="dxa"/>
            </w:tcMar>
            <w:tcW w:w="842"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新鲜</w:t>
            </w:r>
            <w:r/>
          </w:p>
        </w:tc>
        <w:tc>
          <w:tcPr>
            <w:shd w:val="clear" w:color="auto" w:fill="auto"/>
            <w:tcMar>
              <w:left w:w="-1" w:type="dxa"/>
              <w:top w:w="-1" w:type="dxa"/>
              <w:right w:w="-1" w:type="dxa"/>
              <w:bottom w:w="-1" w:type="dxa"/>
            </w:tcMar>
            <w:tcW w:w="168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贡丸</w:t>
            </w:r>
            <w:r/>
          </w:p>
        </w:tc>
        <w:tc>
          <w:tcPr>
            <w:shd w:val="clear" w:color="auto" w:fill="auto"/>
            <w:tcMar>
              <w:left w:w="-1" w:type="dxa"/>
              <w:top w:w="-1" w:type="dxa"/>
              <w:right w:w="-1" w:type="dxa"/>
              <w:bottom w:w="-1" w:type="dxa"/>
            </w:tcMar>
            <w:tcW w:w="2184" w:type="dxa"/>
            <w:vAlign w:val="center"/>
            <w:textDirection w:val="lrTb"/>
            <w:noWrap w:val="false"/>
          </w:tcPr>
          <w:p>
            <w:pPr>
              <w:ind w:left="0" w:right="0" w:firstLine="0"/>
              <w:jc w:val="lef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2.5kg*4包/箱</w:t>
            </w:r>
            <w:r/>
          </w:p>
        </w:tc>
        <w:tc>
          <w:tcPr>
            <w:shd w:val="clear" w:color="auto" w:fill="auto"/>
            <w:tcMar>
              <w:left w:w="-1" w:type="dxa"/>
              <w:top w:w="-1" w:type="dxa"/>
              <w:right w:w="-1" w:type="dxa"/>
              <w:bottom w:w="-1" w:type="dxa"/>
            </w:tcMar>
            <w:tcW w:w="725"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箱</w:t>
            </w:r>
            <w:r/>
          </w:p>
        </w:tc>
        <w:tc>
          <w:tcPr>
            <w:shd w:val="clear" w:color="auto" w:fill="auto"/>
            <w:tcMar>
              <w:left w:w="-1" w:type="dxa"/>
              <w:top w:w="-1" w:type="dxa"/>
              <w:right w:w="-1" w:type="dxa"/>
              <w:bottom w:w="-1" w:type="dxa"/>
            </w:tcMar>
            <w:tcW w:w="1890" w:type="dxa"/>
            <w:vAlign w:val="center"/>
            <w:textDirection w:val="lrTb"/>
            <w:noWrap w:val="false"/>
          </w:tcPr>
          <w:p>
            <w:pPr>
              <w:ind w:left="0" w:right="0" w:firstLine="0"/>
              <w:jc w:val="center"/>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180.00 </w:t>
            </w:r>
            <w:r/>
          </w:p>
        </w:tc>
        <w:tc>
          <w:tcPr>
            <w:shd w:val="clear" w:color="auto" w:fill="auto"/>
            <w:tcMar>
              <w:left w:w="-1" w:type="dxa"/>
              <w:top w:w="-1" w:type="dxa"/>
              <w:right w:w="-1" w:type="dxa"/>
              <w:bottom w:w="-1" w:type="dxa"/>
            </w:tcMar>
            <w:tcW w:w="1904" w:type="dxa"/>
            <w:vAlign w:val="center"/>
            <w:vMerge w:val="continue"/>
            <w:textDirection w:val="lrTb"/>
            <w:noWrap w:val="false"/>
          </w:tcPr>
          <w:p>
            <w:pPr>
              <w:ind w:left="0" w:right="0" w:firstLine="0"/>
              <w:jc w:val="righ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727"/>
        <w:tblW w:w="9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3"/>
        <w:gridCol w:w="863"/>
        <w:gridCol w:w="1511"/>
        <w:gridCol w:w="2013"/>
        <w:gridCol w:w="766"/>
        <w:gridCol w:w="2013"/>
        <w:gridCol w:w="2027"/>
      </w:tblGrid>
      <w:tr>
        <w:trPr>
          <w:jc w:val="center"/>
          <w:trHeight w:val="0"/>
          <w:tblHeader/>
        </w:trPr>
        <w:tc>
          <w:tcPr>
            <w:gridSpan w:val="7"/>
            <w:shd w:val="clear" w:color="auto" w:fill="auto"/>
            <w:tcMar>
              <w:left w:w="-1" w:type="dxa"/>
              <w:top w:w="-1" w:type="dxa"/>
              <w:right w:w="-1" w:type="dxa"/>
              <w:bottom w:w="-1" w:type="dxa"/>
            </w:tcMar>
            <w:tcW w:w="202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蔬果类</w:t>
            </w:r>
            <w:r/>
          </w:p>
        </w:tc>
      </w:tr>
      <w:tr>
        <w:trPr>
          <w:jc w:val="center"/>
          <w:trHeight w:val="0"/>
          <w:tblHeader/>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Mar>
              <w:left w:w="-1" w:type="dxa"/>
              <w:top w:w="-1" w:type="dxa"/>
              <w:right w:w="-1" w:type="dxa"/>
              <w:bottom w:w="-1" w:type="dxa"/>
            </w:tcMar>
            <w:tcW w:w="202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平菇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8.32 </w:t>
            </w:r>
            <w:r/>
          </w:p>
        </w:tc>
        <w:tc>
          <w:tcPr>
            <w:shd w:val="clear" w:color="auto" w:fill="auto"/>
            <w:tcMar>
              <w:left w:w="-1" w:type="dxa"/>
              <w:top w:w="-1" w:type="dxa"/>
              <w:right w:w="-1" w:type="dxa"/>
              <w:bottom w:w="-1" w:type="dxa"/>
            </w:tcMar>
            <w:tcW w:w="2026" w:type="dxa"/>
            <w:vAlign w:val="center"/>
            <w:vMerge w:val="restart"/>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老南瓜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芥菜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红线椒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青线椒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杭椒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香葱</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大蒜叶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大蒜子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5.98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青花椒粒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71.29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胡萝卜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青雪菜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17.04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冬瓜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小空心菜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空心菜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茄子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长豇豆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豇豆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山芋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黄瓜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牛心菜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黄豆芽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白金针菇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西芹</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带壳茭白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茭白</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地瓜叶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9.90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西红柿</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海鲜菇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无根米苋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木耳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好小黑木耳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杭白菜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云丝</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9.60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土豆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糯玉米</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鲜玉米棒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丝瓜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鲜毛豆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油麦菜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水平菇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莴笋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光苣笋</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泡菜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850g/瓶</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25.87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西葫芦</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鸡毛菜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干黄豆</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5.31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洋葱头</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细芹菜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韭菜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藕</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蘑菇</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上海青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野菜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19.98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大白菜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心里美萝卜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西兰花</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大青菜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6.25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酸豆角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9.80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蒜薹</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7.98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百合</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100g/盒</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鲜苦瓜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毛山药</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鲜纯菜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9.62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77</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蔬菜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鱼酸菜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78</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菜瓜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14.90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79</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麒麟瓜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3.98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桃子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（无锡水蜜桃）</w:t>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81</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香蕉</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5.91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82</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鲜柠檬</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12.38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83</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梨</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84</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田瓜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22.00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西瓜</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2.80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Mar>
              <w:left w:w="-1" w:type="dxa"/>
              <w:top w:w="-1" w:type="dxa"/>
              <w:right w:w="-1" w:type="dxa"/>
              <w:bottom w:w="-1" w:type="dxa"/>
            </w:tcMar>
            <w:tcW w:w="7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86</w:t>
            </w:r>
            <w:r/>
          </w:p>
        </w:tc>
        <w:tc>
          <w:tcPr>
            <w:shd w:val="clear" w:color="auto" w:fill="auto"/>
            <w:tcMar>
              <w:left w:w="-1" w:type="dxa"/>
              <w:top w:w="-1" w:type="dxa"/>
              <w:right w:w="-1" w:type="dxa"/>
              <w:bottom w:w="-1" w:type="dxa"/>
            </w:tcMar>
            <w:tcW w:w="86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水果</w:t>
            </w:r>
            <w:r/>
          </w:p>
        </w:tc>
        <w:tc>
          <w:tcPr>
            <w:shd w:val="clear" w:color="auto" w:fill="auto"/>
            <w:tcMar>
              <w:left w:w="-1" w:type="dxa"/>
              <w:top w:w="-1" w:type="dxa"/>
              <w:right w:w="-1" w:type="dxa"/>
              <w:bottom w:w="-1" w:type="dxa"/>
            </w:tcMar>
            <w:tcW w:w="1511"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大桔子</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Mar>
              <w:left w:w="-1" w:type="dxa"/>
              <w:top w:w="-1" w:type="dxa"/>
              <w:right w:w="-1" w:type="dxa"/>
              <w:bottom w:w="-1" w:type="dxa"/>
            </w:tcMar>
            <w:tcW w:w="766"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Mar>
              <w:left w:w="-1" w:type="dxa"/>
              <w:top w:w="-1" w:type="dxa"/>
              <w:right w:w="-1" w:type="dxa"/>
              <w:bottom w:w="-1" w:type="dxa"/>
            </w:tcMar>
            <w:tcW w:w="2013"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6.95 </w:t>
            </w:r>
            <w:r/>
          </w:p>
        </w:tc>
        <w:tc>
          <w:tcPr>
            <w:shd w:val="clear" w:color="auto" w:fill="auto"/>
            <w:tcMar>
              <w:left w:w="-1" w:type="dxa"/>
              <w:top w:w="-1" w:type="dxa"/>
              <w:right w:w="-1" w:type="dxa"/>
              <w:bottom w:w="-1" w:type="dxa"/>
            </w:tcMar>
            <w:tcW w:w="2026" w:type="dxa"/>
            <w:vAlign w:val="center"/>
            <w:vMerge w:val="continue"/>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ind w:firstLine="482"/>
        <w:spacing w:before="0" w:after="0" w:line="36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bl>
      <w:tblPr>
        <w:tblStyle w:val="727"/>
        <w:tblW w:w="99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9"/>
        <w:gridCol w:w="877"/>
        <w:gridCol w:w="2158"/>
        <w:gridCol w:w="2160"/>
        <w:gridCol w:w="649"/>
        <w:gridCol w:w="1729"/>
        <w:gridCol w:w="1747"/>
      </w:tblGrid>
      <w:tr>
        <w:trPr>
          <w:jc w:val="center"/>
          <w:trHeight w:val="0"/>
          <w:tblHeader/>
        </w:trPr>
        <w:tc>
          <w:tcPr>
            <w:gridSpan w:val="7"/>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粮油副食</w:t>
            </w:r>
            <w:r/>
          </w:p>
        </w:tc>
      </w:tr>
      <w:tr>
        <w:trPr>
          <w:jc w:val="center"/>
          <w:trHeight w:val="0"/>
          <w:tblHead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分类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规格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预算单价（元）</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统一单价优惠率</w:t>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红苋米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restart"/>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细面条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面条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大馄饨皮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白糯米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糯米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花生米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进口生粉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散称25KG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面粉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2.5kg/袋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5kg/包，五常大米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东北大米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绿豆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巴比鲜肉包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粉皮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鲜肉粽子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13.80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多力葵花籽油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粮油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白猫洗洁精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冬瓜糖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17.63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葡萄干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薄荷香精（瓶）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吉士粉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绵白糖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花雕黄酒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500ML/瓶，古越龙山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黑胡椒汁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2.3kg/瓶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南乳汁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13.20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陈醋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耗油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27.30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香槽卤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14.93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红腐乳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9.79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白腐乳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辣鲜露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400ML/瓶，港顺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剁椒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家乐鸡汁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22.80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麻油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455ml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六月鲜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老干妈</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280g/瓶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草菇老抽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橄榄菜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酸豆角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花椒粉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8.90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蒸鱼豉油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椒盐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蒜头粉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双桥味精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火锅底料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白芝麻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榨菜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豆瓣酱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1KG/瓶，港顺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白胡椒粉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紫菜不含调料包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姜汁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5.16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儿童榨菜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70g/包*10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9.89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无锡面筋（一等品）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肉面筋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白香干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红香干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方盒豆腐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350g/盒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塑格装豆腐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350g/盒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4.50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厚百叶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薄百叶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泗桥油泡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小油豆腐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腐竹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21.00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小油尖子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11.00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素鸡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8.00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无核蜜枣</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甜大饼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500g/5只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19.10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咸大饼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500g/5只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19.10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大江腊鸡腿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32.00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粉丝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5kg/袋（HXS）</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75.00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方肉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9.50 </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r>
        <w:trPr>
          <w:jc w:val="center"/>
          <w:trHeight w:val="0"/>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877"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干货</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158"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小方腿</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160"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649" w:type="dxa"/>
            <w:vAlign w:val="center"/>
            <w:textDirection w:val="lrTb"/>
            <w:noWrap w:val="false"/>
          </w:tcPr>
          <w:p>
            <w:pPr>
              <w:ind w:left="0" w:right="0" w:firstLine="0"/>
              <w:jc w:val="lef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斤</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729" w:type="dxa"/>
            <w:vAlign w:val="center"/>
            <w:textDirection w:val="lrTb"/>
            <w:noWrap w:val="false"/>
          </w:tcPr>
          <w:p>
            <w:pPr>
              <w:ind w:left="0" w:right="0" w:firstLine="0"/>
              <w:jc w:val="center"/>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val="en-US" w:eastAsia="zh-CN"/>
              </w:rPr>
              <w:t xml:space="preserve">9.50 </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47" w:type="dxa"/>
            <w:vAlign w:val="center"/>
            <w:vMerge w:val="continue"/>
            <w:textDirection w:val="lrTb"/>
            <w:noWrap w:val="false"/>
          </w:tcPr>
          <w:p>
            <w:pPr>
              <w:ind w:left="0" w:right="0" w:firstLine="0"/>
              <w:jc w:val="right"/>
              <w:keepNext/>
              <w:spacing w:before="0" w:after="0" w:line="240" w:lineRule="auto"/>
              <w:rPr>
                <w:rFonts w:hint="eastAsia" w:asciiTheme="minorEastAsia" w:hAnsiTheme="minorEastAsia" w:eastAsiaTheme="minorEastAsia" w:cstheme="minorEastAsia"/>
                <w:b/>
                <w:bCs/>
                <w:color w:val="auto"/>
                <w:sz w:val="21"/>
                <w:szCs w:val="21"/>
                <w:highlight w:val="none"/>
                <w:lang w:eastAsia="zh-CN"/>
              </w:rPr>
              <w:outlineLvl w:val="9"/>
            </w:pPr>
            <w:r>
              <w:rPr>
                <w:rFonts w:hint="eastAsia" w:asciiTheme="minorEastAsia" w:hAnsiTheme="minorEastAsia" w:eastAsiaTheme="minorEastAsia" w:cstheme="minorEastAsia"/>
                <w:b/>
                <w:bCs/>
                <w:color w:val="auto"/>
                <w:sz w:val="21"/>
                <w:szCs w:val="21"/>
                <w:highlight w:val="none"/>
                <w:lang w:eastAsia="zh-CN"/>
              </w:rPr>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各投标单位可参照上述格式自制《投标报价分析表》投标，本表格未列出的费用明细各投标单位可根据实际情况自行添加</w:t>
      </w:r>
      <w:r>
        <w:rPr>
          <w:rFonts w:hint="eastAsia" w:asciiTheme="minorEastAsia" w:hAnsiTheme="minorEastAsia" w:eastAsiaTheme="minorEastAsia" w:cstheme="minorEastAsia"/>
          <w:color w:val="auto"/>
          <w:szCs w:val="21"/>
          <w:highlight w:val="none"/>
        </w:rPr>
        <w:t xml:space="preserve">。</w:t>
      </w:r>
      <w:r/>
    </w:p>
    <w:p>
      <w:pPr>
        <w:numPr>
          <w:ilvl w:val="0"/>
          <w:numId w:val="0"/>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以上费用包括但不限于人工费、材料费、机械费、措施费、规费、税金、成交服务费等完成本工作所发生的全部费用以及政策性文件规定的所有风险、责任等各项费用。采购文件未列明，而乙方认为其他必需的费用也包含在本次合同价格中，甲方将不再予以支付其他任何费用。</w:t>
      </w:r>
      <w:r/>
    </w:p>
    <w:p>
      <w:pPr>
        <w:jc w:val="left"/>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3、本次成交服务费用包含在本次投标报价中(成交服务费为15646.99元不可竞争性费用)。</w:t>
      </w:r>
      <w:r/>
    </w:p>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如有需要说明的事项，请在备注中列明。</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投标人：（单位盖章）</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法人/被授权人：（签字或盖章）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bookmarkStart w:id="56" w:name="_Ref477865937"/>
      <w:r/>
      <w:bookmarkStart w:id="57" w:name="_Ref15304731"/>
      <w:r/>
      <w:bookmarkStart w:id="58" w:name="_Ref33617553"/>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9" w:name="_Toc15"/>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bookmarkEnd w:id="56"/>
      <w:r/>
      <w:bookmarkEnd w:id="57"/>
      <w:r>
        <w:rPr>
          <w:rFonts w:hint="eastAsia" w:asciiTheme="minorEastAsia" w:hAnsiTheme="minorEastAsia" w:eastAsiaTheme="minorEastAsia" w:cstheme="minorEastAsia"/>
          <w:color w:val="auto"/>
          <w:sz w:val="24"/>
          <w:szCs w:val="24"/>
          <w:highlight w:val="none"/>
        </w:rPr>
        <w:t xml:space="preserve">相关业绩一览表</w:t>
      </w:r>
      <w:bookmarkEnd w:id="59"/>
      <w:r/>
      <w:r/>
    </w:p>
    <w:p>
      <w:pPr>
        <w:pStyle w:val="1119"/>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相关业绩一览表</w:t>
      </w:r>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服务单位名称：_________________________</w:t>
      </w:r>
      <w:r/>
    </w:p>
    <w:tbl>
      <w:tblPr>
        <w:tblStyle w:val="727"/>
        <w:tblW w:w="9788" w:type="dxa"/>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75"/>
        <w:gridCol w:w="2027"/>
        <w:gridCol w:w="1554"/>
        <w:gridCol w:w="2028"/>
        <w:gridCol w:w="2028"/>
        <w:gridCol w:w="1076"/>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项目名称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合同期</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服务内容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合同金额</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tbRlV"/>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left="420" w:right="357" w:hanging="400"/>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1）合同等证明材料复印件作为本表的附件须同时提供；</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含上表要求提供的内容。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rPr>
          <w:rFonts w:hint="eastAsia" w:asciiTheme="minorEastAsia" w:hAnsiTheme="minorEastAsia" w:eastAsiaTheme="minorEastAsia" w:cstheme="minorEastAsia"/>
          <w:color w:val="auto"/>
          <w:sz w:val="24"/>
          <w:szCs w:val="24"/>
          <w:highlight w:val="none"/>
        </w:rPr>
      </w:pPr>
      <w:r/>
      <w:bookmarkStart w:id="60" w:name="_Toc16"/>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：拟投入人员及设备一览表</w:t>
      </w:r>
      <w:bookmarkEnd w:id="60"/>
      <w:r/>
      <w:r/>
    </w:p>
    <w:p>
      <w:pPr>
        <w:pStyle w:val="1119"/>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拟投入人员及设备一览表</w:t>
      </w:r>
      <w:r/>
    </w:p>
    <w:tbl>
      <w:tblPr>
        <w:tblStyle w:val="727"/>
        <w:tblW w:w="9952" w:type="dxa"/>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3465"/>
        <w:gridCol w:w="2312"/>
        <w:gridCol w:w="1392"/>
        <w:gridCol w:w="1392"/>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人员/设备名称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配备数量</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ind w:right="357"/>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以上格式仅供参考，投标单位可自行编辑人员配备表，格式自拟，满足采购需求。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61" w:name="_Toc17"/>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：服务方案</w:t>
      </w:r>
      <w:bookmarkEnd w:id="61"/>
      <w:r/>
      <w:r/>
    </w:p>
    <w:tbl>
      <w:tblPr>
        <w:tblStyle w:val="727"/>
        <w:tblW w:w="9952"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2"/>
      </w:tblGrid>
      <w:tr>
        <w:trPr>
          <w:jc w:val="center"/>
          <w:trHeight w:val="0"/>
        </w:trPr>
        <w:tc>
          <w:tcPr>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提示：</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1、投标人可根据自身情况编写，本页不够可另加页附后。</w:t>
            </w:r>
            <w:r/>
          </w:p>
        </w:tc>
      </w:tr>
      <w:tr>
        <w:trPr>
          <w:jc w:val="center"/>
          <w:trHeight w:val="0"/>
        </w:trPr>
        <w:tc>
          <w:tcPr>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10"/>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单位名称（盖章）：</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62" w:name="_Toc18"/>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：偏离表（技术、商务）</w:t>
      </w:r>
      <w:bookmarkEnd w:id="58"/>
      <w:r/>
      <w:bookmarkEnd w:id="62"/>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偏离表（技术）</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727"/>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729"/>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偏离表（商务）</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727"/>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tabs>
                <w:tab w:val="center" w:pos="886"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729"/>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63" w:name="_Toc19"/>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：资格证明声明函</w:t>
      </w:r>
      <w:bookmarkEnd w:id="63"/>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关于资格文件的声明函</w:t>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pStyle w:val="729"/>
        <w:ind w:firstLine="66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供应商：（单位盖章）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法定代表人或代理人：（签字或盖章）</w:t>
      </w:r>
      <w:r/>
    </w:p>
    <w:p>
      <w:pPr>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    年    月   日        </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zh-CN"/>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64" w:name="_Toc20"/>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远程参与开标会议诚信承诺书</w:t>
      </w:r>
      <w:bookmarkEnd w:id="64"/>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法定代表人及授权委托人(签名):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关于符合本国产品标准的声明函（如符合）</w:t>
      </w:r>
      <w:r/>
    </w:p>
    <w:p>
      <w:pPr>
        <w:pStyle w:val="765"/>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73"/>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6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6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1157"/>
      </w:rPr>
      <w:framePr w:wrap="around" w:vAnchor="text" w:hAnchor="margin" w:xAlign="right" w:y="1"/>
    </w:pPr>
    <w:r>
      <w:fldChar w:fldCharType="begin"/>
    </w:r>
    <w:r>
      <w:rPr>
        <w:rStyle w:val="1157"/>
      </w:rPr>
      <w:instrText xml:space="preserve">PAGE  </w:instrText>
    </w:r>
    <w:r>
      <w:fldChar w:fldCharType="end"/>
    </w:r>
    <w:r/>
  </w:p>
  <w:p>
    <w:pPr>
      <w:pStyle w:val="115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5"/>
      </w:rPr>
      <w:framePr w:wrap="around" w:vAnchor="text" w:hAnchor="margin" w:xAlign="center" w:y="1"/>
    </w:pPr>
    <w:r>
      <w:rPr>
        <w:rStyle w:val="775"/>
      </w:rPr>
      <w:fldChar w:fldCharType="begin"/>
    </w:r>
    <w:r>
      <w:rPr>
        <w:rStyle w:val="775"/>
      </w:rPr>
      <w:instrText xml:space="preserve">PAGE  </w:instrText>
    </w:r>
    <w:r>
      <w:rPr>
        <w:rStyle w:val="775"/>
      </w:rP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both"/>
      <w:tabs>
        <w:tab w:val="clear" w:pos="4153" w:leader="none"/>
        <w:tab w:val="clear" w:pos="8306" w:leader="none"/>
        <w:tab w:val="right" w:pos="9286" w:leader="none"/>
      </w:tabs>
      <w:rPr>
        <w:rFonts w:hint="eastAsia" w:ascii="宋体" w:hAnsi="宋体" w:eastAsia="宋体"/>
        <w:lang w:val="en-US" w:eastAsia="zh-CN"/>
      </w:rPr>
    </w:pPr>
    <w:r>
      <w:rPr>
        <w:rFonts w:hint="eastAsia" w:ascii="宋体" w:hAnsi="宋体" w:eastAsia="宋体"/>
      </w:rPr>
      <w:t xml:space="preserve">编号：JSZC-320583-SZYE-T2026-0024</w:t>
    </w:r>
    <w:r>
      <w:rPr>
        <w:rFonts w:hint="eastAsia" w:ascii="宋体" w:hAnsi="宋体" w:eastAsia="宋体"/>
        <w:lang w:eastAsia="zh-CN"/>
      </w:rPr>
      <w:t xml:space="preserve">    </w:t>
    </w:r>
    <w:r>
      <w:rPr>
        <w:rFonts w:hint="eastAsia" w:ascii="宋体" w:hAnsi="宋体" w:eastAsia="宋体"/>
      </w:rPr>
      <w:t xml:space="preserve">  </w:t>
    </w:r>
    <w:r>
      <w:rPr>
        <w:rFonts w:hint="eastAsia" w:ascii="宋体" w:hAnsi="宋体" w:eastAsia="宋体"/>
        <w:lang w:val="en-US" w:eastAsia="zh-CN"/>
      </w:rPr>
      <w:t xml:space="preserve">                                                   竞争性谈判采购文件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JSZC-320583-SZYE-T2026-0024</w:t>
    </w:r>
    <w:r>
      <w:rPr>
        <w:rFonts w:ascii="宋体" w:hAnsi="宋体" w:eastAsia="宋体"/>
      </w:rPr>
      <w:tab/>
    </w:r>
    <w:r>
      <w:rPr>
        <w:rFonts w:hint="eastAsia" w:ascii="宋体" w:hAnsi="宋体" w:eastAsia="宋体"/>
        <w:lang w:val="en-US" w:eastAsia="zh-CN"/>
      </w:rPr>
      <w:t xml:space="preserve">                 竞争性谈判采购文件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00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8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88"/>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79"/>
      <w:isLgl w:val="false"/>
      <w:suff w:val="tab"/>
      <w:lvlText w:val="%1．"/>
      <w:lvlJc w:val="left"/>
      <w:pPr>
        <w:ind w:left="720" w:hanging="720"/>
        <w:tabs>
          <w:tab w:val="left" w:pos="720" w:leader="none"/>
        </w:tabs>
      </w:pPr>
      <w:rPr>
        <w:rFonts w:hint="eastAsia"/>
      </w:rPr>
    </w:lvl>
    <w:lvl w:ilvl="1">
      <w:start w:val="1"/>
      <w:numFmt w:val="lowerLetter"/>
      <w:pStyle w:val="110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21"/>
      <w:isLgl w:val="false"/>
      <w:suff w:val="tab"/>
      <w:lvlText w:val="%5)"/>
      <w:lvlJc w:val="left"/>
      <w:pPr>
        <w:ind w:left="2100" w:hanging="420"/>
        <w:tabs>
          <w:tab w:val="left" w:pos="2100" w:leader="none"/>
        </w:tabs>
      </w:pPr>
    </w:lvl>
    <w:lvl w:ilvl="5">
      <w:start w:val="1"/>
      <w:numFmt w:val="lowerRoman"/>
      <w:pStyle w:val="722"/>
      <w:isLgl w:val="false"/>
      <w:suff w:val="tab"/>
      <w:lvlText w:val="%6."/>
      <w:lvlJc w:val="right"/>
      <w:pPr>
        <w:ind w:left="2520" w:hanging="420"/>
        <w:tabs>
          <w:tab w:val="left" w:pos="2520" w:leader="none"/>
        </w:tabs>
      </w:pPr>
    </w:lvl>
    <w:lvl w:ilvl="6">
      <w:start w:val="1"/>
      <w:numFmt w:val="decimal"/>
      <w:pStyle w:val="72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0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06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0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bullet"/>
      <w:pStyle w:val="9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10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5"/>
  </w:num>
  <w:num w:numId="7">
    <w:abstractNumId w:val="8"/>
  </w:num>
  <w:num w:numId="8">
    <w:abstractNumId w:val="10"/>
  </w:num>
  <w:num w:numId="9">
    <w:abstractNumId w:val="4"/>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1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950"/>
    <w:uiPriority w:val="0"/>
    <w:qFormat/>
    <w:pPr>
      <w:keepLines/>
      <w:keepNext/>
      <w:spacing w:before="340" w:after="330" w:line="578" w:lineRule="auto"/>
      <w:outlineLvl w:val="0"/>
    </w:pPr>
    <w:rPr>
      <w:rFonts w:ascii="Calibri" w:hAnsi="Calibri"/>
      <w:b/>
      <w:bCs/>
      <w:sz w:val="44"/>
      <w:szCs w:val="44"/>
    </w:rPr>
  </w:style>
  <w:style w:type="paragraph" w:styleId="718">
    <w:name w:val="Heading 2"/>
    <w:basedOn w:val="716"/>
    <w:next w:val="716"/>
    <w:link w:val="951"/>
    <w:uiPriority w:val="0"/>
    <w:qFormat/>
    <w:pPr>
      <w:keepLines/>
      <w:keepNext/>
      <w:spacing w:before="260" w:after="260" w:line="416" w:lineRule="auto"/>
      <w:outlineLvl w:val="1"/>
    </w:pPr>
    <w:rPr>
      <w:rFonts w:ascii="Arial" w:hAnsi="Arial" w:eastAsia="黑体"/>
      <w:b/>
      <w:bCs/>
      <w:sz w:val="32"/>
      <w:szCs w:val="32"/>
    </w:rPr>
  </w:style>
  <w:style w:type="paragraph" w:styleId="719">
    <w:name w:val="Heading 3"/>
    <w:basedOn w:val="716"/>
    <w:next w:val="716"/>
    <w:link w:val="952"/>
    <w:uiPriority w:val="0"/>
    <w:qFormat/>
    <w:pPr>
      <w:keepLines/>
      <w:keepNext/>
      <w:spacing w:before="260" w:after="260" w:line="416" w:lineRule="auto"/>
      <w:outlineLvl w:val="2"/>
    </w:pPr>
    <w:rPr>
      <w:rFonts w:ascii="Calibri" w:hAnsi="Calibri"/>
      <w:b/>
      <w:bCs/>
      <w:sz w:val="32"/>
      <w:szCs w:val="32"/>
    </w:rPr>
  </w:style>
  <w:style w:type="paragraph" w:styleId="720">
    <w:name w:val="Heading 4"/>
    <w:basedOn w:val="716"/>
    <w:next w:val="716"/>
    <w:link w:val="953"/>
    <w:uiPriority w:val="0"/>
    <w:qFormat/>
    <w:pPr>
      <w:keepLines/>
      <w:keepNext/>
      <w:spacing w:before="280" w:after="290" w:line="374" w:lineRule="auto"/>
      <w:outlineLvl w:val="3"/>
    </w:pPr>
    <w:rPr>
      <w:rFonts w:ascii="Arial" w:hAnsi="Arial" w:eastAsia="黑体"/>
      <w:b/>
      <w:sz w:val="28"/>
      <w:szCs w:val="20"/>
    </w:rPr>
  </w:style>
  <w:style w:type="paragraph" w:styleId="721">
    <w:name w:val="Heading 5"/>
    <w:basedOn w:val="716"/>
    <w:next w:val="716"/>
    <w:link w:val="954"/>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22">
    <w:name w:val="Heading 6"/>
    <w:basedOn w:val="716"/>
    <w:next w:val="716"/>
    <w:link w:val="955"/>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23">
    <w:name w:val="Heading 7"/>
    <w:basedOn w:val="716"/>
    <w:next w:val="716"/>
    <w:link w:val="956"/>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24">
    <w:name w:val="Heading 8"/>
    <w:basedOn w:val="716"/>
    <w:next w:val="716"/>
    <w:link w:val="95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25">
    <w:name w:val="Heading 9"/>
    <w:basedOn w:val="716"/>
    <w:next w:val="716"/>
    <w:link w:val="95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0"/>
    <w:qFormat/>
    <w:pPr>
      <w:ind w:left="1440"/>
      <w:jc w:val="left"/>
      <w:spacing w:line="360" w:lineRule="auto"/>
    </w:pPr>
    <w:rPr>
      <w:rFonts w:ascii="Calibri" w:hAnsi="Calibri" w:cs="Calibri"/>
      <w:sz w:val="18"/>
      <w:szCs w:val="18"/>
    </w:rPr>
  </w:style>
  <w:style w:type="paragraph" w:styleId="729">
    <w:name w:val="Normal Indent"/>
    <w:basedOn w:val="716"/>
    <w:link w:val="959"/>
    <w:uiPriority w:val="0"/>
    <w:qFormat/>
    <w:pPr>
      <w:ind w:firstLine="420"/>
      <w:jc w:val="left"/>
    </w:pPr>
    <w:rPr>
      <w:rFonts w:ascii="Calibri" w:hAnsi="Calibri" w:eastAsia="楷体_GB2312"/>
      <w:sz w:val="24"/>
      <w:szCs w:val="20"/>
    </w:rPr>
  </w:style>
  <w:style w:type="paragraph" w:styleId="730">
    <w:name w:val="Caption"/>
    <w:basedOn w:val="716"/>
    <w:next w:val="716"/>
    <w:uiPriority w:val="0"/>
    <w:qFormat/>
    <w:pPr>
      <w:ind w:left="640" w:hanging="640"/>
      <w:jc w:val="center"/>
    </w:pPr>
    <w:rPr>
      <w:rFonts w:ascii="BankGothic Lt BT" w:hAnsi="BankGothic Lt BT" w:cs="Arial"/>
      <w:sz w:val="32"/>
    </w:rPr>
  </w:style>
  <w:style w:type="paragraph" w:styleId="731">
    <w:name w:val="Document Map"/>
    <w:basedOn w:val="716"/>
    <w:uiPriority w:val="0"/>
    <w:semiHidden/>
    <w:qFormat/>
    <w:pPr>
      <w:shd w:val="clear" w:color="auto" w:fill="000080"/>
    </w:pPr>
    <w:rPr>
      <w:szCs w:val="20"/>
    </w:rPr>
  </w:style>
  <w:style w:type="paragraph" w:styleId="732">
    <w:name w:val="annotation text"/>
    <w:basedOn w:val="716"/>
    <w:link w:val="1127"/>
    <w:uiPriority w:val="0"/>
    <w:semiHidden/>
    <w:unhideWhenUsed/>
    <w:qFormat/>
    <w:pPr>
      <w:jc w:val="left"/>
    </w:pPr>
  </w:style>
  <w:style w:type="paragraph" w:styleId="733">
    <w:name w:val="Salutation"/>
    <w:basedOn w:val="716"/>
    <w:next w:val="716"/>
    <w:uiPriority w:val="0"/>
    <w:qFormat/>
    <w:rPr>
      <w:rFonts w:ascii="宋体" w:hAnsi="宋体"/>
      <w:spacing w:val="20"/>
      <w:sz w:val="24"/>
      <w:szCs w:val="22"/>
      <w:lang w:eastAsia="en-US" w:bidi="en-US"/>
    </w:rPr>
  </w:style>
  <w:style w:type="paragraph" w:styleId="734">
    <w:name w:val="Body Text 3"/>
    <w:basedOn w:val="716"/>
    <w:uiPriority w:val="0"/>
    <w:qFormat/>
    <w:pPr>
      <w:ind w:firstLine="250"/>
      <w:spacing w:after="120" w:line="300" w:lineRule="auto"/>
    </w:pPr>
    <w:rPr>
      <w:sz w:val="16"/>
      <w:szCs w:val="16"/>
    </w:rPr>
  </w:style>
  <w:style w:type="paragraph" w:styleId="735">
    <w:name w:val="Closing"/>
    <w:basedOn w:val="716"/>
    <w:uiPriority w:val="0"/>
    <w:qFormat/>
    <w:pPr>
      <w:ind w:left="100"/>
    </w:pPr>
    <w:rPr>
      <w:rFonts w:ascii="宋体" w:hAnsi="宋体"/>
      <w:spacing w:val="20"/>
      <w:sz w:val="24"/>
      <w:szCs w:val="22"/>
      <w:lang w:eastAsia="en-US" w:bidi="en-US"/>
    </w:rPr>
  </w:style>
  <w:style w:type="paragraph" w:styleId="736">
    <w:name w:val="Body Text"/>
    <w:basedOn w:val="716"/>
    <w:link w:val="960"/>
    <w:uiPriority w:val="0"/>
    <w:qFormat/>
    <w:pPr>
      <w:tabs>
        <w:tab w:val="left" w:pos="5250" w:leader="none"/>
      </w:tabs>
    </w:pPr>
    <w:rPr>
      <w:rFonts w:ascii="Calibri" w:hAnsi="Calibri"/>
      <w:sz w:val="28"/>
    </w:rPr>
  </w:style>
  <w:style w:type="paragraph" w:styleId="737">
    <w:name w:val="Body Text Indent"/>
    <w:basedOn w:val="716"/>
    <w:link w:val="961"/>
    <w:uiPriority w:val="0"/>
    <w:qFormat/>
    <w:pPr>
      <w:ind w:left="570"/>
      <w:spacing w:line="520" w:lineRule="exact"/>
    </w:pPr>
    <w:rPr>
      <w:rFonts w:ascii="方正仿宋简体" w:hAnsi="创艺简仿宋" w:eastAsia="方正仿宋简体"/>
      <w:sz w:val="24"/>
      <w:szCs w:val="20"/>
    </w:rPr>
  </w:style>
  <w:style w:type="paragraph" w:styleId="738">
    <w:name w:val="List 2"/>
    <w:basedOn w:val="716"/>
    <w:uiPriority w:val="0"/>
    <w:qFormat/>
    <w:pPr>
      <w:ind w:left="100" w:hanging="200"/>
    </w:pPr>
    <w:rPr>
      <w:lang w:eastAsia="en-US" w:bidi="en-US"/>
    </w:rPr>
  </w:style>
  <w:style w:type="paragraph" w:styleId="739">
    <w:name w:val="Block Text"/>
    <w:basedOn w:val="716"/>
    <w:uiPriority w:val="0"/>
    <w:qFormat/>
    <w:pPr>
      <w:ind w:left="113" w:right="113"/>
      <w:jc w:val="center"/>
    </w:pPr>
    <w:rPr>
      <w:rFonts w:ascii="仿宋_GB2312" w:eastAsia="仿宋_GB2312"/>
      <w:b/>
      <w:szCs w:val="20"/>
    </w:rPr>
  </w:style>
  <w:style w:type="paragraph" w:styleId="740">
    <w:name w:val="List Bullet 2"/>
    <w:basedOn w:val="716"/>
    <w:uiPriority w:val="0"/>
    <w:qFormat/>
    <w:pPr>
      <w:ind w:left="780" w:hanging="360"/>
      <w:tabs>
        <w:tab w:val="left" w:pos="780" w:leader="none"/>
      </w:tabs>
      <w:outlineLvl w:val="0"/>
    </w:pPr>
    <w:rPr>
      <w:color w:val="0000ff"/>
      <w:sz w:val="24"/>
      <w:szCs w:val="20"/>
    </w:rPr>
  </w:style>
  <w:style w:type="paragraph" w:styleId="741">
    <w:name w:val="toc 5"/>
    <w:basedOn w:val="716"/>
    <w:next w:val="716"/>
    <w:uiPriority w:val="0"/>
    <w:qFormat/>
    <w:pPr>
      <w:ind w:left="960"/>
      <w:jc w:val="left"/>
      <w:spacing w:line="360" w:lineRule="auto"/>
    </w:pPr>
    <w:rPr>
      <w:rFonts w:ascii="Calibri" w:hAnsi="Calibri" w:cs="Calibri"/>
      <w:sz w:val="18"/>
      <w:szCs w:val="18"/>
    </w:rPr>
  </w:style>
  <w:style w:type="paragraph" w:styleId="742">
    <w:name w:val="toc 3"/>
    <w:basedOn w:val="716"/>
    <w:next w:val="716"/>
    <w:uiPriority w:val="39"/>
    <w:qFormat/>
    <w:pPr>
      <w:ind w:left="840"/>
    </w:pPr>
  </w:style>
  <w:style w:type="paragraph" w:styleId="743">
    <w:name w:val="Plain Text"/>
    <w:basedOn w:val="716"/>
    <w:next w:val="716"/>
    <w:link w:val="962"/>
    <w:uiPriority w:val="0"/>
    <w:qFormat/>
    <w:rPr>
      <w:rFonts w:ascii="宋体" w:hAnsi="Courier New" w:eastAsia="楷体_GB2312"/>
      <w:sz w:val="28"/>
      <w:szCs w:val="20"/>
    </w:rPr>
  </w:style>
  <w:style w:type="paragraph" w:styleId="744">
    <w:name w:val="toc 8"/>
    <w:basedOn w:val="716"/>
    <w:next w:val="716"/>
    <w:uiPriority w:val="0"/>
    <w:qFormat/>
    <w:pPr>
      <w:ind w:left="1680"/>
      <w:jc w:val="left"/>
      <w:spacing w:line="360" w:lineRule="auto"/>
    </w:pPr>
    <w:rPr>
      <w:rFonts w:ascii="Calibri" w:hAnsi="Calibri" w:cs="Calibri"/>
      <w:sz w:val="18"/>
      <w:szCs w:val="18"/>
    </w:rPr>
  </w:style>
  <w:style w:type="paragraph" w:styleId="745">
    <w:name w:val="Date"/>
    <w:basedOn w:val="716"/>
    <w:next w:val="716"/>
    <w:link w:val="963"/>
    <w:uiPriority w:val="0"/>
    <w:qFormat/>
    <w:pPr>
      <w:ind w:left="100"/>
    </w:pPr>
    <w:rPr>
      <w:rFonts w:ascii="Calibri" w:hAnsi="Calibri"/>
      <w:sz w:val="28"/>
    </w:rPr>
  </w:style>
  <w:style w:type="paragraph" w:styleId="746">
    <w:name w:val="Body Text Indent 2"/>
    <w:basedOn w:val="716"/>
    <w:uiPriority w:val="0"/>
    <w:qFormat/>
    <w:pPr>
      <w:ind w:firstLine="570"/>
      <w:spacing w:line="520" w:lineRule="exact"/>
    </w:pPr>
    <w:rPr>
      <w:rFonts w:ascii="方正仿宋简体" w:hAnsi="创艺简仿宋" w:eastAsia="方正仿宋简体"/>
      <w:bCs/>
      <w:sz w:val="24"/>
      <w:szCs w:val="20"/>
    </w:rPr>
  </w:style>
  <w:style w:type="paragraph" w:styleId="747">
    <w:name w:val="endnote text"/>
    <w:basedOn w:val="716"/>
    <w:link w:val="948"/>
    <w:uiPriority w:val="99"/>
    <w:semiHidden/>
    <w:unhideWhenUsed/>
    <w:qFormat/>
    <w:rPr>
      <w:sz w:val="20"/>
    </w:rPr>
  </w:style>
  <w:style w:type="paragraph" w:styleId="748">
    <w:name w:val="Balloon Text"/>
    <w:basedOn w:val="716"/>
    <w:uiPriority w:val="0"/>
    <w:semiHidden/>
    <w:qFormat/>
    <w:rPr>
      <w:sz w:val="18"/>
      <w:szCs w:val="18"/>
    </w:rPr>
  </w:style>
  <w:style w:type="paragraph" w:styleId="749">
    <w:name w:val="Footer"/>
    <w:basedOn w:val="716"/>
    <w:link w:val="821"/>
    <w:uiPriority w:val="0"/>
    <w:qFormat/>
    <w:pPr>
      <w:jc w:val="left"/>
      <w:tabs>
        <w:tab w:val="center" w:pos="4153" w:leader="none"/>
        <w:tab w:val="right" w:pos="8306" w:leader="none"/>
      </w:tabs>
    </w:pPr>
    <w:rPr>
      <w:sz w:val="18"/>
      <w:szCs w:val="18"/>
    </w:rPr>
  </w:style>
  <w:style w:type="paragraph" w:styleId="750">
    <w:name w:val="Header"/>
    <w:basedOn w:val="716"/>
    <w:link w:val="964"/>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51">
    <w:name w:val="toc 1"/>
    <w:basedOn w:val="716"/>
    <w:next w:val="716"/>
    <w:uiPriority w:val="39"/>
    <w:qFormat/>
    <w:rPr>
      <w:sz w:val="30"/>
    </w:rPr>
  </w:style>
  <w:style w:type="paragraph" w:styleId="752">
    <w:name w:val="toc 4"/>
    <w:basedOn w:val="716"/>
    <w:next w:val="716"/>
    <w:uiPriority w:val="0"/>
    <w:qFormat/>
    <w:pPr>
      <w:ind w:left="720"/>
      <w:jc w:val="left"/>
      <w:spacing w:line="360" w:lineRule="auto"/>
    </w:pPr>
    <w:rPr>
      <w:rFonts w:ascii="Calibri" w:hAnsi="Calibri" w:cs="Calibri"/>
      <w:sz w:val="18"/>
      <w:szCs w:val="18"/>
    </w:rPr>
  </w:style>
  <w:style w:type="paragraph" w:styleId="753">
    <w:name w:val="index heading"/>
    <w:basedOn w:val="716"/>
    <w:next w:val="754"/>
    <w:uiPriority w:val="0"/>
    <w:semiHidden/>
    <w:qFormat/>
    <w:pPr>
      <w:jc w:val="left"/>
      <w:spacing w:after="200" w:line="276" w:lineRule="auto"/>
      <w:widowControl/>
    </w:pPr>
    <w:rPr>
      <w:rFonts w:ascii="Arial" w:hAnsi="Arial" w:cs="Arial"/>
      <w:b/>
      <w:bCs/>
      <w:sz w:val="22"/>
      <w:szCs w:val="22"/>
      <w:lang w:eastAsia="en-US" w:bidi="en-US"/>
    </w:rPr>
  </w:style>
  <w:style w:type="paragraph" w:styleId="754">
    <w:name w:val="index 1"/>
    <w:basedOn w:val="716"/>
    <w:next w:val="716"/>
    <w:uiPriority w:val="0"/>
    <w:qFormat/>
    <w:rPr>
      <w:b/>
      <w:bCs/>
    </w:rPr>
  </w:style>
  <w:style w:type="paragraph" w:styleId="755">
    <w:name w:val="Subtitle"/>
    <w:basedOn w:val="716"/>
    <w:next w:val="716"/>
    <w:link w:val="965"/>
    <w:uiPriority w:val="0"/>
    <w:qFormat/>
    <w:pPr>
      <w:jc w:val="left"/>
      <w:spacing w:after="200" w:line="276" w:lineRule="auto"/>
      <w:widowControl/>
    </w:pPr>
    <w:rPr>
      <w:rFonts w:ascii="Calibri" w:hAnsi="Calibri"/>
    </w:rPr>
  </w:style>
  <w:style w:type="paragraph" w:styleId="756">
    <w:name w:val="List"/>
    <w:basedOn w:val="716"/>
    <w:uiPriority w:val="0"/>
    <w:qFormat/>
    <w:pPr>
      <w:ind w:left="420" w:hanging="420"/>
    </w:pPr>
    <w:rPr>
      <w:szCs w:val="20"/>
    </w:rPr>
  </w:style>
  <w:style w:type="paragraph" w:styleId="757">
    <w:name w:val="footnote text"/>
    <w:basedOn w:val="716"/>
    <w:link w:val="947"/>
    <w:uiPriority w:val="99"/>
    <w:semiHidden/>
    <w:unhideWhenUsed/>
    <w:qFormat/>
    <w:pPr>
      <w:spacing w:after="40"/>
    </w:pPr>
    <w:rPr>
      <w:sz w:val="18"/>
    </w:rPr>
  </w:style>
  <w:style w:type="paragraph" w:styleId="758">
    <w:name w:val="toc 6"/>
    <w:basedOn w:val="716"/>
    <w:next w:val="716"/>
    <w:uiPriority w:val="0"/>
    <w:qFormat/>
    <w:pPr>
      <w:ind w:left="2100"/>
    </w:pPr>
  </w:style>
  <w:style w:type="paragraph" w:styleId="759">
    <w:name w:val="Body Text Indent 3"/>
    <w:basedOn w:val="716"/>
    <w:uiPriority w:val="0"/>
    <w:qFormat/>
    <w:pPr>
      <w:ind w:left="659"/>
      <w:spacing w:line="360" w:lineRule="auto"/>
    </w:pPr>
    <w:rPr>
      <w:rFonts w:ascii="宋体" w:hAnsi="宋体"/>
      <w:sz w:val="24"/>
    </w:rPr>
  </w:style>
  <w:style w:type="paragraph" w:styleId="760">
    <w:name w:val="table of figures"/>
    <w:basedOn w:val="716"/>
    <w:next w:val="716"/>
    <w:uiPriority w:val="99"/>
    <w:unhideWhenUsed/>
    <w:qFormat/>
  </w:style>
  <w:style w:type="paragraph" w:styleId="761">
    <w:name w:val="toc 2"/>
    <w:basedOn w:val="716"/>
    <w:next w:val="716"/>
    <w:uiPriority w:val="39"/>
    <w:qFormat/>
    <w:pPr>
      <w:ind w:left="420"/>
    </w:pPr>
  </w:style>
  <w:style w:type="paragraph" w:styleId="762">
    <w:name w:val="toc 9"/>
    <w:basedOn w:val="716"/>
    <w:next w:val="716"/>
    <w:uiPriority w:val="0"/>
    <w:qFormat/>
    <w:pPr>
      <w:ind w:left="1920"/>
      <w:jc w:val="left"/>
      <w:spacing w:line="360" w:lineRule="auto"/>
    </w:pPr>
    <w:rPr>
      <w:rFonts w:ascii="Calibri" w:hAnsi="Calibri" w:cs="Calibri"/>
      <w:sz w:val="18"/>
      <w:szCs w:val="18"/>
    </w:rPr>
  </w:style>
  <w:style w:type="paragraph" w:styleId="763">
    <w:name w:val="Body Text 2"/>
    <w:basedOn w:val="716"/>
    <w:uiPriority w:val="0"/>
    <w:qFormat/>
    <w:pPr>
      <w:spacing w:after="120" w:line="480" w:lineRule="auto"/>
    </w:pPr>
  </w:style>
  <w:style w:type="paragraph" w:styleId="764">
    <w:name w:val="List Continue 2"/>
    <w:basedOn w:val="716"/>
    <w:uiPriority w:val="0"/>
    <w:qFormat/>
    <w:pPr>
      <w:ind w:left="840"/>
      <w:spacing w:after="120"/>
    </w:pPr>
    <w:rPr>
      <w:lang w:eastAsia="en-US" w:bidi="en-US"/>
    </w:rPr>
  </w:style>
  <w:style w:type="paragraph" w:styleId="765">
    <w:name w:val="Normal (Web)"/>
    <w:basedOn w:val="716"/>
    <w:uiPriority w:val="0"/>
    <w:semiHidden/>
    <w:unhideWhenUsed/>
    <w:qFormat/>
    <w:pPr>
      <w:jc w:val="left"/>
      <w:spacing w:before="100" w:beforeAutospacing="1" w:after="100" w:afterAutospacing="1"/>
      <w:widowControl/>
    </w:pPr>
    <w:rPr>
      <w:rFonts w:ascii="宋体" w:hAnsi="宋体" w:cs="宋体"/>
      <w:sz w:val="24"/>
    </w:rPr>
  </w:style>
  <w:style w:type="paragraph" w:styleId="766">
    <w:name w:val="Title"/>
    <w:basedOn w:val="716"/>
    <w:next w:val="716"/>
    <w:link w:val="815"/>
    <w:uiPriority w:val="0"/>
    <w:qFormat/>
    <w:pPr>
      <w:contextualSpacing/>
      <w:jc w:val="left"/>
      <w:spacing w:after="300"/>
      <w:widowControl/>
    </w:pPr>
    <w:rPr>
      <w:rFonts w:ascii="Cambria" w:hAnsi="Cambria"/>
      <w:smallCaps/>
      <w:sz w:val="52"/>
      <w:szCs w:val="52"/>
      <w:lang w:eastAsia="en-US" w:bidi="en-US"/>
    </w:rPr>
  </w:style>
  <w:style w:type="paragraph" w:styleId="767">
    <w:name w:val="annotation subject"/>
    <w:basedOn w:val="732"/>
    <w:next w:val="732"/>
    <w:link w:val="1130"/>
    <w:uiPriority w:val="0"/>
    <w:semiHidden/>
    <w:unhideWhenUsed/>
    <w:qFormat/>
    <w:rPr>
      <w:b/>
      <w:bCs/>
    </w:rPr>
  </w:style>
  <w:style w:type="paragraph" w:styleId="768">
    <w:name w:val="Body Text First Indent"/>
    <w:next w:val="769"/>
    <w:link w:val="966"/>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69" w:customStyle="1">
    <w:name w:val="样式 正文首行缩进 + 首行缩进:  1 字符"/>
    <w:basedOn w:val="716"/>
    <w:next w:val="750"/>
    <w:uiPriority w:val="0"/>
    <w:qFormat/>
    <w:pPr>
      <w:ind w:firstLine="200"/>
      <w:jc w:val="left"/>
      <w:spacing w:after="40" w:line="276" w:lineRule="auto"/>
      <w:widowControl/>
    </w:pPr>
    <w:rPr>
      <w:rFonts w:ascii="Cambria" w:hAnsi="Cambria"/>
      <w:sz w:val="22"/>
      <w:szCs w:val="20"/>
      <w:lang w:eastAsia="en-US" w:bidi="en-US"/>
    </w:rPr>
  </w:style>
  <w:style w:type="paragraph" w:styleId="770">
    <w:name w:val="Body Text First Indent 2"/>
    <w:basedOn w:val="737"/>
    <w:uiPriority w:val="0"/>
    <w:qFormat/>
    <w:pPr>
      <w:ind w:left="420"/>
      <w:spacing w:after="120" w:line="240" w:lineRule="auto"/>
    </w:pPr>
    <w:rPr>
      <w:rFonts w:ascii="Times New Roman" w:hAnsi="Times New Roman"/>
    </w:rPr>
  </w:style>
  <w:style w:type="table" w:styleId="771">
    <w:name w:val="Table Grid"/>
    <w:basedOn w:val="72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2">
    <w:name w:val="Table Theme"/>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b/>
      <w:bCs/>
    </w:rPr>
  </w:style>
  <w:style w:type="character" w:styleId="774">
    <w:name w:val="endnote reference"/>
    <w:basedOn w:val="726"/>
    <w:uiPriority w:val="99"/>
    <w:semiHidden/>
    <w:unhideWhenUsed/>
    <w:qFormat/>
    <w:rPr>
      <w:vertAlign w:val="superscript"/>
    </w:rPr>
  </w:style>
  <w:style w:type="character" w:styleId="775">
    <w:name w:val="page number"/>
    <w:basedOn w:val="726"/>
    <w:uiPriority w:val="0"/>
    <w:qFormat/>
  </w:style>
  <w:style w:type="character" w:styleId="776">
    <w:name w:val="FollowedHyperlink"/>
    <w:uiPriority w:val="99"/>
    <w:qFormat/>
    <w:rPr>
      <w:color w:val="800080"/>
      <w:u w:val="single"/>
    </w:rPr>
  </w:style>
  <w:style w:type="character" w:styleId="777">
    <w:name w:val="Emphasis"/>
    <w:basedOn w:val="726"/>
    <w:uiPriority w:val="0"/>
    <w:qFormat/>
  </w:style>
  <w:style w:type="character" w:styleId="778">
    <w:name w:val="Hyperlink"/>
    <w:uiPriority w:val="99"/>
    <w:qFormat/>
    <w:rPr>
      <w:color w:val="0000ff"/>
      <w:u w:val="single"/>
    </w:rPr>
  </w:style>
  <w:style w:type="character" w:styleId="779">
    <w:name w:val="annotation reference"/>
    <w:basedOn w:val="726"/>
    <w:uiPriority w:val="0"/>
    <w:semiHidden/>
    <w:unhideWhenUsed/>
    <w:qFormat/>
    <w:rPr>
      <w:sz w:val="21"/>
      <w:szCs w:val="21"/>
    </w:rPr>
  </w:style>
  <w:style w:type="character" w:styleId="780">
    <w:name w:val="footnote reference"/>
    <w:basedOn w:val="726"/>
    <w:uiPriority w:val="99"/>
    <w:unhideWhenUsed/>
    <w:qFormat/>
    <w:rPr>
      <w:vertAlign w:val="superscript"/>
    </w:rPr>
  </w:style>
  <w:style w:type="paragraph" w:styleId="781" w:customStyle="1">
    <w:name w:val="标题 21"/>
    <w:basedOn w:val="716"/>
    <w:next w:val="716"/>
    <w:uiPriority w:val="0"/>
    <w:qFormat/>
    <w:pPr>
      <w:keepLines/>
      <w:keepNext/>
      <w:spacing w:before="260" w:after="260" w:line="413" w:lineRule="auto"/>
      <w:outlineLvl w:val="1"/>
    </w:pPr>
    <w:rPr>
      <w:rFonts w:ascii="Arial" w:hAnsi="Arial" w:eastAsia="黑体"/>
      <w:b/>
      <w:bCs/>
      <w:sz w:val="32"/>
      <w:szCs w:val="32"/>
    </w:rPr>
  </w:style>
  <w:style w:type="table" w:styleId="782"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Title Char"/>
    <w:basedOn w:val="726"/>
    <w:uiPriority w:val="10"/>
    <w:qFormat/>
    <w:rPr>
      <w:sz w:val="48"/>
      <w:szCs w:val="48"/>
    </w:rPr>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rPr>
      <w:rFonts w:hint="default" w:ascii="Calibri" w:hAnsi="Calibri" w:eastAsia="宋体" w:cs="Times New Roman"/>
      <w:lang w:val="en-US" w:eastAsia="zh-CN" w:bidi="ar-SA"/>
    </w:rPr>
  </w:style>
  <w:style w:type="character" w:styleId="807" w:customStyle="1">
    <w:name w:val="Heading 1 Char"/>
    <w:basedOn w:val="726"/>
    <w:uiPriority w:val="9"/>
    <w:qFormat/>
    <w:rPr>
      <w:rFonts w:ascii="Arial" w:hAnsi="Arial" w:eastAsia="Arial" w:cs="Arial"/>
      <w:sz w:val="40"/>
      <w:szCs w:val="40"/>
    </w:rPr>
  </w:style>
  <w:style w:type="character" w:styleId="808" w:customStyle="1">
    <w:name w:val="Heading 2 Char"/>
    <w:basedOn w:val="726"/>
    <w:uiPriority w:val="9"/>
    <w:qFormat/>
    <w:rPr>
      <w:rFonts w:ascii="Arial" w:hAnsi="Arial" w:eastAsia="Arial" w:cs="Arial"/>
      <w:sz w:val="34"/>
    </w:rPr>
  </w:style>
  <w:style w:type="character" w:styleId="809" w:customStyle="1">
    <w:name w:val="Heading 4 Char"/>
    <w:basedOn w:val="726"/>
    <w:uiPriority w:val="9"/>
    <w:qFormat/>
    <w:rPr>
      <w:rFonts w:ascii="Arial" w:hAnsi="Arial" w:eastAsia="Arial" w:cs="Arial"/>
      <w:b/>
      <w:bCs/>
      <w:sz w:val="26"/>
      <w:szCs w:val="26"/>
    </w:rPr>
  </w:style>
  <w:style w:type="character" w:styleId="810" w:customStyle="1">
    <w:name w:val="Heading 5 Char"/>
    <w:basedOn w:val="726"/>
    <w:uiPriority w:val="9"/>
    <w:qFormat/>
    <w:rPr>
      <w:rFonts w:ascii="Arial" w:hAnsi="Arial" w:eastAsia="Arial" w:cs="Arial"/>
      <w:b/>
      <w:bCs/>
      <w:sz w:val="24"/>
      <w:szCs w:val="24"/>
    </w:rPr>
  </w:style>
  <w:style w:type="character" w:styleId="811" w:customStyle="1">
    <w:name w:val="Heading 6 Char"/>
    <w:basedOn w:val="726"/>
    <w:uiPriority w:val="9"/>
    <w:qFormat/>
    <w:rPr>
      <w:rFonts w:ascii="Arial" w:hAnsi="Arial" w:eastAsia="Arial" w:cs="Arial"/>
      <w:b/>
      <w:bCs/>
      <w:sz w:val="22"/>
      <w:szCs w:val="22"/>
    </w:rPr>
  </w:style>
  <w:style w:type="character" w:styleId="812" w:customStyle="1">
    <w:name w:val="Heading 7 Char"/>
    <w:basedOn w:val="726"/>
    <w:uiPriority w:val="9"/>
    <w:qFormat/>
    <w:rPr>
      <w:rFonts w:ascii="Arial" w:hAnsi="Arial" w:eastAsia="Arial" w:cs="Arial"/>
      <w:b/>
      <w:bCs/>
      <w:i/>
      <w:iCs/>
      <w:sz w:val="22"/>
      <w:szCs w:val="22"/>
    </w:rPr>
  </w:style>
  <w:style w:type="character" w:styleId="813" w:customStyle="1">
    <w:name w:val="Heading 8 Char"/>
    <w:basedOn w:val="726"/>
    <w:uiPriority w:val="9"/>
    <w:qFormat/>
    <w:rPr>
      <w:rFonts w:ascii="Arial" w:hAnsi="Arial" w:eastAsia="Arial" w:cs="Arial"/>
      <w:i/>
      <w:iCs/>
      <w:sz w:val="22"/>
      <w:szCs w:val="22"/>
    </w:rPr>
  </w:style>
  <w:style w:type="character" w:styleId="814" w:customStyle="1">
    <w:name w:val="Heading 9 Char"/>
    <w:basedOn w:val="726"/>
    <w:uiPriority w:val="9"/>
    <w:qFormat/>
    <w:rPr>
      <w:rFonts w:ascii="Arial" w:hAnsi="Arial" w:eastAsia="Arial" w:cs="Arial"/>
      <w:i/>
      <w:iCs/>
      <w:sz w:val="21"/>
      <w:szCs w:val="21"/>
    </w:rPr>
  </w:style>
  <w:style w:type="character" w:styleId="815" w:customStyle="1">
    <w:name w:val="标题 字符"/>
    <w:basedOn w:val="726"/>
    <w:link w:val="766"/>
    <w:uiPriority w:val="10"/>
    <w:qFormat/>
    <w:rPr>
      <w:sz w:val="48"/>
      <w:szCs w:val="48"/>
    </w:rPr>
  </w:style>
  <w:style w:type="character" w:styleId="816" w:customStyle="1">
    <w:name w:val="Subtitle Char"/>
    <w:basedOn w:val="726"/>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26"/>
    <w:uiPriority w:val="99"/>
    <w:qFormat/>
  </w:style>
  <w:style w:type="character" w:styleId="820" w:customStyle="1">
    <w:name w:val="Footer Char"/>
    <w:basedOn w:val="726"/>
    <w:uiPriority w:val="99"/>
    <w:qFormat/>
  </w:style>
  <w:style w:type="character" w:styleId="821" w:customStyle="1">
    <w:name w:val="页脚 字符"/>
    <w:link w:val="749"/>
    <w:uiPriority w:val="99"/>
    <w:qFormat/>
  </w:style>
  <w:style w:type="table" w:styleId="822"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3"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字符"/>
    <w:link w:val="757"/>
    <w:uiPriority w:val="99"/>
    <w:qFormat/>
    <w:rPr>
      <w:sz w:val="18"/>
    </w:rPr>
  </w:style>
  <w:style w:type="character" w:styleId="948" w:customStyle="1">
    <w:name w:val="尾注文本 字符"/>
    <w:link w:val="747"/>
    <w:uiPriority w:val="99"/>
    <w:qFormat/>
    <w:rPr>
      <w:sz w:val="20"/>
    </w:rPr>
  </w:style>
  <w:style w:type="paragraph" w:styleId="949" w:customStyle="1">
    <w:name w:val="TOC 标题111"/>
    <w:uiPriority w:val="39"/>
    <w:unhideWhenUsed/>
    <w:qFormat/>
    <w:rPr>
      <w:rFonts w:hint="default" w:ascii="Calibri" w:hAnsi="Calibri" w:eastAsia="宋体" w:cs="Times New Roman"/>
      <w:lang w:val="en-US" w:eastAsia="zh-CN" w:bidi="ar-SA"/>
    </w:rPr>
  </w:style>
  <w:style w:type="character" w:styleId="950" w:customStyle="1">
    <w:name w:val="标题 1 字符"/>
    <w:link w:val="717"/>
    <w:uiPriority w:val="0"/>
    <w:qFormat/>
    <w:rPr>
      <w:rFonts w:ascii="Calibri" w:hAnsi="Calibri" w:eastAsia="宋体"/>
      <w:b/>
      <w:bCs/>
      <w:sz w:val="44"/>
      <w:szCs w:val="44"/>
      <w:lang w:val="en-US" w:eastAsia="zh-CN" w:bidi="ar-SA"/>
    </w:rPr>
  </w:style>
  <w:style w:type="character" w:styleId="951" w:customStyle="1">
    <w:name w:val="标题 2 字符1"/>
    <w:link w:val="718"/>
    <w:uiPriority w:val="0"/>
    <w:qFormat/>
    <w:rPr>
      <w:rFonts w:ascii="Arial" w:hAnsi="Arial" w:eastAsia="黑体"/>
      <w:b/>
      <w:bCs/>
      <w:sz w:val="32"/>
      <w:szCs w:val="32"/>
      <w:lang w:val="en-US" w:eastAsia="zh-CN" w:bidi="ar-SA"/>
    </w:rPr>
  </w:style>
  <w:style w:type="character" w:styleId="952" w:customStyle="1">
    <w:name w:val="标题 3 字符"/>
    <w:link w:val="719"/>
    <w:uiPriority w:val="0"/>
    <w:qFormat/>
    <w:rPr>
      <w:rFonts w:eastAsia="宋体"/>
      <w:b/>
      <w:bCs/>
      <w:sz w:val="32"/>
      <w:szCs w:val="32"/>
      <w:lang w:val="en-US" w:eastAsia="zh-CN" w:bidi="ar-SA"/>
    </w:rPr>
  </w:style>
  <w:style w:type="character" w:styleId="953" w:customStyle="1">
    <w:name w:val="标题 4 字符"/>
    <w:link w:val="720"/>
    <w:uiPriority w:val="0"/>
    <w:qFormat/>
    <w:rPr>
      <w:rFonts w:ascii="Arial" w:hAnsi="Arial" w:eastAsia="黑体"/>
      <w:b/>
      <w:sz w:val="28"/>
      <w:lang w:val="en-US" w:eastAsia="zh-CN" w:bidi="ar-SA"/>
    </w:rPr>
  </w:style>
  <w:style w:type="character" w:styleId="954" w:customStyle="1">
    <w:name w:val="标题 5 字符"/>
    <w:link w:val="721"/>
    <w:uiPriority w:val="0"/>
    <w:qFormat/>
    <w:rPr>
      <w:rFonts w:eastAsia="宋体"/>
      <w:b/>
      <w:sz w:val="24"/>
      <w:lang w:val="en-US" w:eastAsia="zh-CN" w:bidi="ar-SA"/>
    </w:rPr>
  </w:style>
  <w:style w:type="character" w:styleId="955" w:customStyle="1">
    <w:name w:val="标题 6 字符"/>
    <w:link w:val="722"/>
    <w:uiPriority w:val="0"/>
    <w:qFormat/>
    <w:rPr>
      <w:rFonts w:eastAsia="宋体"/>
      <w:b/>
      <w:sz w:val="24"/>
      <w:lang w:val="en-US" w:eastAsia="zh-CN" w:bidi="ar-SA"/>
    </w:rPr>
  </w:style>
  <w:style w:type="character" w:styleId="956" w:customStyle="1">
    <w:name w:val="标题 7 字符"/>
    <w:link w:val="723"/>
    <w:uiPriority w:val="0"/>
    <w:qFormat/>
    <w:rPr>
      <w:rFonts w:eastAsia="宋体"/>
      <w:b/>
      <w:sz w:val="24"/>
      <w:lang w:val="en-US" w:eastAsia="zh-CN" w:bidi="ar-SA"/>
    </w:rPr>
  </w:style>
  <w:style w:type="character" w:styleId="957" w:customStyle="1">
    <w:name w:val="标题 8 字符"/>
    <w:link w:val="724"/>
    <w:uiPriority w:val="0"/>
    <w:qFormat/>
    <w:rPr>
      <w:rFonts w:ascii="Arial" w:hAnsi="Arial" w:eastAsia="黑体"/>
      <w:sz w:val="24"/>
      <w:szCs w:val="24"/>
      <w:lang w:val="en-US" w:eastAsia="zh-CN" w:bidi="ar-SA"/>
    </w:rPr>
  </w:style>
  <w:style w:type="character" w:styleId="958" w:customStyle="1">
    <w:name w:val="标题 9 字符"/>
    <w:link w:val="725"/>
    <w:uiPriority w:val="0"/>
    <w:qFormat/>
    <w:rPr>
      <w:rFonts w:ascii="Arial" w:hAnsi="Arial" w:eastAsia="黑体"/>
      <w:sz w:val="21"/>
      <w:szCs w:val="21"/>
      <w:lang w:val="en-US" w:eastAsia="zh-CN" w:bidi="ar-SA"/>
    </w:rPr>
  </w:style>
  <w:style w:type="character" w:styleId="959" w:customStyle="1">
    <w:name w:val="正文缩进 字符1"/>
    <w:link w:val="729"/>
    <w:uiPriority w:val="0"/>
    <w:qFormat/>
    <w:rPr>
      <w:rFonts w:eastAsia="楷体_GB2312"/>
      <w:sz w:val="24"/>
      <w:lang w:val="en-US" w:eastAsia="zh-CN" w:bidi="ar-SA"/>
    </w:rPr>
  </w:style>
  <w:style w:type="character" w:styleId="960" w:customStyle="1">
    <w:name w:val="正文文本 字符"/>
    <w:link w:val="736"/>
    <w:uiPriority w:val="0"/>
    <w:semiHidden/>
    <w:qFormat/>
    <w:rPr>
      <w:rFonts w:eastAsia="宋体"/>
      <w:sz w:val="28"/>
      <w:szCs w:val="24"/>
      <w:lang w:val="en-US" w:eastAsia="zh-CN" w:bidi="ar-SA"/>
    </w:rPr>
  </w:style>
  <w:style w:type="character" w:styleId="961" w:customStyle="1">
    <w:name w:val="正文文本缩进 字符"/>
    <w:link w:val="737"/>
    <w:uiPriority w:val="0"/>
    <w:qFormat/>
    <w:rPr>
      <w:rFonts w:ascii="方正仿宋简体" w:hAnsi="创艺简仿宋" w:eastAsia="方正仿宋简体"/>
      <w:sz w:val="24"/>
    </w:rPr>
  </w:style>
  <w:style w:type="character" w:styleId="962" w:customStyle="1">
    <w:name w:val="纯文本 字符"/>
    <w:link w:val="743"/>
    <w:uiPriority w:val="0"/>
    <w:qFormat/>
    <w:rPr>
      <w:rFonts w:ascii="宋体" w:hAnsi="Courier New" w:eastAsia="楷体_GB2312"/>
      <w:sz w:val="28"/>
      <w:lang w:val="en-US" w:eastAsia="zh-CN" w:bidi="ar-SA"/>
    </w:rPr>
  </w:style>
  <w:style w:type="character" w:styleId="963" w:customStyle="1">
    <w:name w:val="日期 字符"/>
    <w:link w:val="745"/>
    <w:uiPriority w:val="0"/>
    <w:qFormat/>
    <w:rPr>
      <w:sz w:val="28"/>
      <w:szCs w:val="24"/>
    </w:rPr>
  </w:style>
  <w:style w:type="character" w:styleId="964" w:customStyle="1">
    <w:name w:val="页眉 字符"/>
    <w:link w:val="750"/>
    <w:uiPriority w:val="0"/>
    <w:semiHidden/>
    <w:qFormat/>
    <w:rPr>
      <w:rFonts w:eastAsia="宋体"/>
      <w:sz w:val="18"/>
      <w:szCs w:val="18"/>
      <w:lang w:val="en-US" w:eastAsia="zh-CN" w:bidi="ar-SA"/>
    </w:rPr>
  </w:style>
  <w:style w:type="character" w:styleId="965" w:customStyle="1">
    <w:name w:val="副标题 字符"/>
    <w:link w:val="755"/>
    <w:uiPriority w:val="0"/>
    <w:qFormat/>
    <w:rPr>
      <w:rFonts w:eastAsia="宋体"/>
      <w:sz w:val="21"/>
      <w:szCs w:val="24"/>
      <w:lang w:val="en-US" w:eastAsia="zh-CN" w:bidi="ar-SA"/>
    </w:rPr>
  </w:style>
  <w:style w:type="character" w:styleId="966" w:customStyle="1">
    <w:name w:val="正文文本首行缩进 字符"/>
    <w:link w:val="768"/>
    <w:uiPriority w:val="0"/>
    <w:semiHidden/>
    <w:qFormat/>
    <w:rPr>
      <w:rFonts w:ascii="Cambria" w:hAnsi="Cambria"/>
      <w:sz w:val="21"/>
      <w:szCs w:val="24"/>
      <w:lang w:val="en-US" w:eastAsia="zh-CN" w:bidi="ar-SA"/>
    </w:rPr>
  </w:style>
  <w:style w:type="table" w:styleId="967" w:customStyle="1">
    <w:name w:val="浅色网格 - 强调文字颜色 61"/>
    <w:basedOn w:val="727"/>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68" w:customStyle="1">
    <w:name w:val="彩色底纹 - 强调文字颜色 51"/>
    <w:basedOn w:val="727"/>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69" w:customStyle="1">
    <w:name w:val="彩色列表 - 强调文字颜色 41"/>
    <w:basedOn w:val="727"/>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0" w:customStyle="1">
    <w:name w:val="pa-0"/>
    <w:basedOn w:val="716"/>
    <w:uiPriority w:val="0"/>
    <w:qFormat/>
    <w:pPr>
      <w:jc w:val="center"/>
      <w:spacing w:line="320" w:lineRule="atLeast"/>
      <w:widowControl/>
    </w:pPr>
    <w:rPr>
      <w:rFonts w:ascii="宋体" w:hAnsi="宋体" w:cs="宋体"/>
      <w:sz w:val="24"/>
    </w:rPr>
  </w:style>
  <w:style w:type="paragraph" w:styleId="971" w:customStyle="1">
    <w:name w:val="pa-1"/>
    <w:basedOn w:val="716"/>
    <w:uiPriority w:val="0"/>
    <w:qFormat/>
    <w:pPr>
      <w:ind w:firstLine="540"/>
      <w:spacing w:line="360" w:lineRule="atLeast"/>
      <w:widowControl/>
    </w:pPr>
    <w:rPr>
      <w:rFonts w:ascii="宋体" w:hAnsi="宋体" w:cs="宋体"/>
      <w:sz w:val="24"/>
    </w:rPr>
  </w:style>
  <w:style w:type="paragraph" w:styleId="972" w:customStyle="1">
    <w:name w:val="pa-2"/>
    <w:basedOn w:val="716"/>
    <w:uiPriority w:val="0"/>
    <w:qFormat/>
    <w:pPr>
      <w:ind w:firstLine="480"/>
      <w:spacing w:line="280" w:lineRule="atLeast"/>
      <w:widowControl/>
    </w:pPr>
    <w:rPr>
      <w:rFonts w:ascii="宋体" w:hAnsi="宋体" w:cs="宋体"/>
      <w:sz w:val="24"/>
    </w:rPr>
  </w:style>
  <w:style w:type="paragraph" w:styleId="973" w:customStyle="1">
    <w:name w:val="pa-3"/>
    <w:basedOn w:val="716"/>
    <w:uiPriority w:val="0"/>
    <w:qFormat/>
    <w:pPr>
      <w:ind w:firstLine="480"/>
      <w:spacing w:line="360" w:lineRule="atLeast"/>
      <w:widowControl/>
    </w:pPr>
    <w:rPr>
      <w:rFonts w:ascii="宋体" w:hAnsi="宋体" w:cs="宋体"/>
      <w:sz w:val="24"/>
    </w:rPr>
  </w:style>
  <w:style w:type="paragraph" w:styleId="974" w:customStyle="1">
    <w:name w:val="pa-4"/>
    <w:basedOn w:val="716"/>
    <w:uiPriority w:val="0"/>
    <w:qFormat/>
    <w:pPr>
      <w:spacing w:line="360" w:lineRule="atLeast"/>
      <w:widowControl/>
    </w:pPr>
    <w:rPr>
      <w:rFonts w:ascii="宋体" w:hAnsi="宋体" w:cs="宋体"/>
      <w:sz w:val="24"/>
    </w:rPr>
  </w:style>
  <w:style w:type="paragraph" w:styleId="975" w:customStyle="1">
    <w:name w:val="pa-5"/>
    <w:basedOn w:val="716"/>
    <w:uiPriority w:val="0"/>
    <w:qFormat/>
    <w:pPr>
      <w:spacing w:line="280" w:lineRule="atLeast"/>
      <w:widowControl/>
    </w:pPr>
    <w:rPr>
      <w:rFonts w:ascii="宋体" w:hAnsi="宋体" w:cs="宋体"/>
      <w:sz w:val="24"/>
    </w:rPr>
  </w:style>
  <w:style w:type="character" w:styleId="976" w:customStyle="1">
    <w:name w:val="ca-01"/>
    <w:uiPriority w:val="0"/>
    <w:qFormat/>
    <w:rPr>
      <w:rFonts w:hint="eastAsia" w:ascii="黑体" w:eastAsia="黑体"/>
      <w:sz w:val="28"/>
      <w:szCs w:val="28"/>
    </w:rPr>
  </w:style>
  <w:style w:type="character" w:styleId="977" w:customStyle="1">
    <w:name w:val="ca-11"/>
    <w:uiPriority w:val="0"/>
    <w:qFormat/>
    <w:rPr>
      <w:rFonts w:hint="eastAsia" w:ascii="宋体" w:hAnsi="宋体" w:eastAsia="宋体"/>
      <w:sz w:val="24"/>
      <w:szCs w:val="24"/>
    </w:rPr>
  </w:style>
  <w:style w:type="character" w:styleId="978" w:customStyle="1">
    <w:name w:val="ca-21"/>
    <w:uiPriority w:val="0"/>
    <w:qFormat/>
    <w:rPr>
      <w:rFonts w:hint="eastAsia" w:ascii="宋体" w:hAnsi="宋体" w:eastAsia="宋体"/>
      <w:b/>
      <w:bCs/>
      <w:color w:val="000000"/>
      <w:spacing w:val="-20"/>
      <w:sz w:val="24"/>
      <w:szCs w:val="24"/>
    </w:rPr>
  </w:style>
  <w:style w:type="paragraph" w:styleId="979" w:customStyle="1">
    <w:name w:val="Char"/>
    <w:basedOn w:val="716"/>
    <w:uiPriority w:val="0"/>
    <w:qFormat/>
    <w:pPr>
      <w:numPr>
        <w:ilvl w:val="0"/>
        <w:numId w:val="1"/>
      </w:numPr>
    </w:pPr>
    <w:rPr>
      <w:sz w:val="24"/>
    </w:rPr>
  </w:style>
  <w:style w:type="paragraph" w:styleId="980" w:customStyle="1">
    <w:name w:val="Char2"/>
    <w:basedOn w:val="716"/>
    <w:uiPriority w:val="0"/>
    <w:qFormat/>
    <w:rPr>
      <w:rFonts w:ascii="Tahoma" w:hAnsi="Tahoma"/>
      <w:sz w:val="24"/>
      <w:szCs w:val="20"/>
    </w:rPr>
  </w:style>
  <w:style w:type="character" w:styleId="981" w:customStyle="1">
    <w:name w:val="正文（首行缩进两字） Char1"/>
    <w:uiPriority w:val="0"/>
    <w:qFormat/>
    <w:rPr>
      <w:rFonts w:eastAsia="宋体"/>
      <w:sz w:val="21"/>
      <w:szCs w:val="24"/>
      <w:lang w:val="en-US" w:eastAsia="zh-CN" w:bidi="ar-SA"/>
    </w:rPr>
  </w:style>
  <w:style w:type="paragraph" w:styleId="982" w:customStyle="1">
    <w:name w:val="Char Char"/>
    <w:basedOn w:val="716"/>
    <w:uiPriority w:val="0"/>
    <w:qFormat/>
    <w:rPr>
      <w:rFonts w:ascii="Tahoma" w:hAnsi="Tahoma"/>
      <w:sz w:val="24"/>
      <w:szCs w:val="20"/>
    </w:rPr>
  </w:style>
  <w:style w:type="paragraph" w:styleId="983" w:customStyle="1">
    <w:name w:val="默认段落字体 Para Char Char Char Char"/>
    <w:basedOn w:val="716"/>
    <w:uiPriority w:val="0"/>
    <w:qFormat/>
  </w:style>
  <w:style w:type="paragraph" w:styleId="984" w:customStyle="1">
    <w:name w:val="默认段落字体 Para Char Char"/>
    <w:basedOn w:val="716"/>
    <w:uiPriority w:val="0"/>
    <w:qFormat/>
  </w:style>
  <w:style w:type="paragraph" w:styleId="985" w:customStyle="1">
    <w:name w:val="金保标题1"/>
    <w:basedOn w:val="717"/>
    <w:next w:val="716"/>
    <w:uiPriority w:val="0"/>
    <w:qFormat/>
    <w:pPr>
      <w:numPr>
        <w:ilvl w:val="0"/>
        <w:numId w:val="2"/>
      </w:numPr>
      <w:jc w:val="center"/>
      <w:pageBreakBefore/>
      <w:spacing w:line="240" w:lineRule="auto"/>
    </w:pPr>
    <w:rPr>
      <w:rFonts w:ascii="黑体" w:hAnsi="Tahoma" w:eastAsia="黑体"/>
      <w:sz w:val="32"/>
      <w:szCs w:val="32"/>
    </w:rPr>
  </w:style>
  <w:style w:type="paragraph" w:styleId="986" w:customStyle="1">
    <w:name w:val="标题2"/>
    <w:basedOn w:val="718"/>
    <w:next w:val="716"/>
    <w:link w:val="987"/>
    <w:uiPriority w:val="0"/>
    <w:qFormat/>
    <w:pPr>
      <w:numPr>
        <w:ilvl w:val="1"/>
        <w:numId w:val="2"/>
      </w:numPr>
      <w:jc w:val="left"/>
      <w:spacing w:line="415" w:lineRule="auto"/>
    </w:pPr>
    <w:rPr>
      <w:rFonts w:ascii="Calibri" w:hAnsi="Calibri"/>
      <w:b w:val="0"/>
      <w:sz w:val="30"/>
      <w:szCs w:val="30"/>
    </w:rPr>
  </w:style>
  <w:style w:type="character" w:styleId="987" w:customStyle="1">
    <w:name w:val="标题2 Char"/>
    <w:link w:val="986"/>
    <w:uiPriority w:val="0"/>
    <w:qFormat/>
    <w:rPr>
      <w:rFonts w:eastAsia="黑体"/>
      <w:bCs/>
      <w:sz w:val="30"/>
      <w:szCs w:val="30"/>
      <w:lang w:val="en-US" w:eastAsia="zh-CN" w:bidi="ar-SA"/>
    </w:rPr>
  </w:style>
  <w:style w:type="paragraph" w:styleId="988" w:customStyle="1">
    <w:name w:val="金保标题3"/>
    <w:basedOn w:val="719"/>
    <w:next w:val="716"/>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89" w:customStyle="1">
    <w:name w:val="标准正文格式"/>
    <w:basedOn w:val="716"/>
    <w:link w:val="990"/>
    <w:uiPriority w:val="0"/>
    <w:qFormat/>
    <w:pPr>
      <w:ind w:firstLine="200"/>
      <w:spacing w:before="60" w:after="120" w:line="360" w:lineRule="auto"/>
      <w:widowControl/>
    </w:pPr>
    <w:rPr>
      <w:rFonts w:ascii="Calibri" w:hAnsi="Calibri" w:eastAsia="仿宋_GB2312"/>
      <w:bCs/>
      <w:sz w:val="28"/>
      <w:szCs w:val="20"/>
    </w:rPr>
  </w:style>
  <w:style w:type="character" w:styleId="990" w:customStyle="1">
    <w:name w:val="标准正文格式 Char"/>
    <w:link w:val="989"/>
    <w:uiPriority w:val="0"/>
    <w:qFormat/>
    <w:rPr>
      <w:rFonts w:eastAsia="仿宋_GB2312"/>
      <w:bCs/>
      <w:sz w:val="28"/>
      <w:lang w:val="en-US" w:eastAsia="zh-CN" w:bidi="ar-SA"/>
    </w:rPr>
  </w:style>
  <w:style w:type="paragraph" w:styleId="991">
    <w:name w:val="List Paragraph"/>
    <w:basedOn w:val="716"/>
    <w:uiPriority w:val="34"/>
    <w:qFormat/>
    <w:pPr>
      <w:ind w:firstLine="420"/>
    </w:pPr>
    <w:rPr>
      <w:rFonts w:ascii="Calibri" w:hAnsi="Calibri"/>
      <w:szCs w:val="20"/>
    </w:rPr>
  </w:style>
  <w:style w:type="paragraph" w:styleId="992" w:customStyle="1">
    <w:name w:val="样式 标题 1第一章：标题 1µÚÒ»ÕÂ£º±êÌâ 1合同标题H1标书1h1Section HeadingH..."/>
    <w:basedOn w:val="717"/>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93" w:customStyle="1">
    <w:name w:val="标准正文1"/>
    <w:basedOn w:val="716"/>
    <w:link w:val="994"/>
    <w:uiPriority w:val="0"/>
    <w:qFormat/>
    <w:pPr>
      <w:ind w:firstLine="420"/>
      <w:spacing w:line="288" w:lineRule="auto"/>
    </w:pPr>
    <w:rPr>
      <w:rFonts w:ascii="Calibri" w:hAnsi="Calibri" w:cs="宋体"/>
      <w:szCs w:val="20"/>
    </w:rPr>
  </w:style>
  <w:style w:type="character" w:styleId="994" w:customStyle="1">
    <w:name w:val="标准正文1 Char"/>
    <w:link w:val="993"/>
    <w:uiPriority w:val="0"/>
    <w:qFormat/>
    <w:rPr>
      <w:rFonts w:eastAsia="宋体" w:cs="宋体"/>
      <w:sz w:val="21"/>
      <w:lang w:val="en-US" w:eastAsia="zh-CN" w:bidi="ar-SA"/>
    </w:rPr>
  </w:style>
  <w:style w:type="paragraph" w:styleId="995" w:customStyle="1">
    <w:name w:val="样式 标题 2h22nd levelheading 2H2Title2H21Heading 2 HiddenHe...1"/>
    <w:basedOn w:val="718"/>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96" w:customStyle="1">
    <w:name w:val="样式 标题 3heading 3H3h33rd levelHeading 3 - oldl3CTLevel 3 ..."/>
    <w:basedOn w:val="719"/>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7" w:customStyle="1">
    <w:name w:val="Char Char Char Char Char Char Char Char Char Char Char Char Char Char Char Char"/>
    <w:basedOn w:val="716"/>
    <w:uiPriority w:val="0"/>
    <w:qFormat/>
    <w:rPr>
      <w:rFonts w:ascii="Tahoma" w:hAnsi="Tahoma" w:eastAsia="仿宋_GB2312"/>
      <w:color w:val="000000"/>
      <w:sz w:val="24"/>
      <w:szCs w:val="20"/>
    </w:rPr>
  </w:style>
  <w:style w:type="character" w:styleId="998" w:customStyle="1">
    <w:name w:val="grame"/>
    <w:basedOn w:val="726"/>
    <w:uiPriority w:val="0"/>
    <w:qFormat/>
  </w:style>
  <w:style w:type="character" w:styleId="999" w:customStyle="1">
    <w:name w:val="p101"/>
    <w:uiPriority w:val="0"/>
    <w:qFormat/>
    <w:rPr>
      <w:rFonts w:hint="default"/>
      <w:sz w:val="20"/>
      <w:u w:val="none"/>
    </w:rPr>
  </w:style>
  <w:style w:type="paragraph" w:styleId="1000" w:customStyle="1">
    <w:name w:val="textfontgray"/>
    <w:basedOn w:val="716"/>
    <w:uiPriority w:val="0"/>
    <w:qFormat/>
    <w:pPr>
      <w:jc w:val="left"/>
      <w:spacing w:before="100" w:beforeAutospacing="1" w:after="100" w:afterAutospacing="1" w:line="432" w:lineRule="auto"/>
      <w:widowControl/>
    </w:pPr>
    <w:rPr>
      <w:color w:val="999999"/>
      <w:sz w:val="18"/>
      <w:szCs w:val="20"/>
    </w:rPr>
  </w:style>
  <w:style w:type="paragraph" w:styleId="1001" w:customStyle="1">
    <w:name w:val="dashed"/>
    <w:basedOn w:val="716"/>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2" w:customStyle="1">
    <w:name w:val="salefont9"/>
    <w:basedOn w:val="716"/>
    <w:uiPriority w:val="0"/>
    <w:qFormat/>
    <w:pPr>
      <w:jc w:val="left"/>
      <w:spacing w:before="100" w:beforeAutospacing="1" w:after="100" w:afterAutospacing="1" w:line="384" w:lineRule="auto"/>
      <w:widowControl/>
    </w:pPr>
    <w:rPr>
      <w:color w:val="ff3300"/>
      <w:sz w:val="18"/>
      <w:szCs w:val="20"/>
    </w:rPr>
  </w:style>
  <w:style w:type="paragraph" w:styleId="1003" w:customStyle="1">
    <w:name w:val="flType"/>
    <w:basedOn w:val="716"/>
    <w:uiPriority w:val="0"/>
    <w:qFormat/>
    <w:pPr>
      <w:jc w:val="center"/>
      <w:spacing w:after="284" w:line="113" w:lineRule="atLeast"/>
    </w:pPr>
    <w:rPr>
      <w:sz w:val="24"/>
      <w:szCs w:val="20"/>
    </w:rPr>
  </w:style>
  <w:style w:type="paragraph" w:styleId="1004" w:customStyle="1">
    <w:name w:val="Char1"/>
    <w:basedOn w:val="731"/>
    <w:uiPriority w:val="0"/>
    <w:qFormat/>
    <w:rPr>
      <w:rFonts w:ascii="Tahoma" w:hAnsi="Tahoma"/>
      <w:sz w:val="24"/>
    </w:rPr>
  </w:style>
  <w:style w:type="paragraph" w:styleId="1005" w:customStyle="1">
    <w:name w:val="序号正文"/>
    <w:basedOn w:val="716"/>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06" w:customStyle="1">
    <w:name w:val="p10"/>
    <w:basedOn w:val="716"/>
    <w:uiPriority w:val="0"/>
    <w:qFormat/>
    <w:pPr>
      <w:jc w:val="left"/>
      <w:spacing w:before="100" w:beforeAutospacing="1" w:after="100" w:afterAutospacing="1" w:line="432" w:lineRule="auto"/>
      <w:widowControl/>
    </w:pPr>
    <w:rPr>
      <w:color w:val="000000"/>
      <w:sz w:val="20"/>
      <w:szCs w:val="20"/>
    </w:rPr>
  </w:style>
  <w:style w:type="paragraph" w:styleId="1007" w:customStyle="1">
    <w:name w:val="headfont9"/>
    <w:basedOn w:val="716"/>
    <w:uiPriority w:val="0"/>
    <w:qFormat/>
    <w:pPr>
      <w:jc w:val="left"/>
      <w:spacing w:before="100" w:beforeAutospacing="1" w:after="100" w:afterAutospacing="1"/>
      <w:widowControl/>
    </w:pPr>
    <w:rPr>
      <w:color w:val="ffffff"/>
      <w:sz w:val="18"/>
      <w:szCs w:val="20"/>
    </w:rPr>
  </w:style>
  <w:style w:type="paragraph" w:styleId="1008" w:customStyle="1">
    <w:name w:val="textfont12"/>
    <w:basedOn w:val="716"/>
    <w:uiPriority w:val="0"/>
    <w:qFormat/>
    <w:pPr>
      <w:jc w:val="left"/>
      <w:spacing w:before="100" w:beforeAutospacing="1" w:after="100" w:afterAutospacing="1"/>
      <w:widowControl/>
    </w:pPr>
    <w:rPr>
      <w:b/>
      <w:color w:val="000000"/>
      <w:sz w:val="24"/>
      <w:szCs w:val="20"/>
    </w:rPr>
  </w:style>
  <w:style w:type="paragraph" w:styleId="1009" w:customStyle="1">
    <w:name w:val="表1"/>
    <w:basedOn w:val="716"/>
    <w:uiPriority w:val="0"/>
    <w:qFormat/>
    <w:pPr>
      <w:jc w:val="center"/>
    </w:pPr>
    <w:rPr>
      <w:spacing w:val="20"/>
      <w:szCs w:val="20"/>
    </w:rPr>
  </w:style>
  <w:style w:type="paragraph" w:styleId="1010" w:customStyle="1">
    <w:name w:val="p9"/>
    <w:basedOn w:val="716"/>
    <w:uiPriority w:val="0"/>
    <w:qFormat/>
    <w:pPr>
      <w:jc w:val="left"/>
      <w:spacing w:before="100" w:beforeAutospacing="1" w:after="100" w:afterAutospacing="1"/>
      <w:widowControl/>
    </w:pPr>
    <w:rPr>
      <w:color w:val="000000"/>
      <w:sz w:val="18"/>
      <w:szCs w:val="20"/>
    </w:rPr>
  </w:style>
  <w:style w:type="paragraph" w:styleId="1011" w:customStyle="1">
    <w:name w:val="profont"/>
    <w:basedOn w:val="716"/>
    <w:uiPriority w:val="0"/>
    <w:qFormat/>
    <w:pPr>
      <w:jc w:val="left"/>
      <w:spacing w:before="100" w:beforeAutospacing="1" w:after="100" w:afterAutospacing="1"/>
      <w:widowControl/>
    </w:pPr>
    <w:rPr>
      <w:rFonts w:ascii="Verdana" w:hAnsi="Verdana"/>
      <w:b/>
      <w:color w:val="333333"/>
      <w:sz w:val="24"/>
      <w:szCs w:val="20"/>
    </w:rPr>
  </w:style>
  <w:style w:type="paragraph" w:styleId="1012" w:customStyle="1">
    <w:name w:val="纯文本1"/>
    <w:basedOn w:val="716"/>
    <w:link w:val="1013"/>
    <w:uiPriority w:val="0"/>
    <w:qFormat/>
    <w:rPr>
      <w:rFonts w:ascii="宋体" w:hAnsi="Courier New" w:eastAsia="楷体_GB2312"/>
      <w:sz w:val="28"/>
      <w:szCs w:val="20"/>
    </w:rPr>
  </w:style>
  <w:style w:type="character" w:styleId="1013" w:customStyle="1">
    <w:name w:val="Plain Text Char"/>
    <w:link w:val="1012"/>
    <w:uiPriority w:val="0"/>
    <w:qFormat/>
    <w:rPr>
      <w:rFonts w:ascii="宋体" w:hAnsi="Courier New" w:eastAsia="楷体_GB2312"/>
      <w:sz w:val="28"/>
    </w:rPr>
  </w:style>
  <w:style w:type="paragraph" w:styleId="101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15" w:customStyle="1">
    <w:name w:val="font0"/>
    <w:basedOn w:val="716"/>
    <w:uiPriority w:val="0"/>
    <w:qFormat/>
    <w:pPr>
      <w:jc w:val="left"/>
      <w:spacing w:before="100" w:beforeAutospacing="1" w:after="100" w:afterAutospacing="1"/>
      <w:widowControl/>
    </w:pPr>
    <w:rPr>
      <w:rFonts w:hint="eastAsia" w:ascii="宋体" w:hAnsi="宋体"/>
      <w:sz w:val="24"/>
      <w:szCs w:val="20"/>
    </w:rPr>
  </w:style>
  <w:style w:type="paragraph" w:styleId="1016" w:customStyle="1">
    <w:name w:val="input"/>
    <w:basedOn w:val="716"/>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7" w:customStyle="1">
    <w:name w:val="小标题"/>
    <w:basedOn w:val="716"/>
    <w:uiPriority w:val="0"/>
    <w:qFormat/>
    <w:rPr>
      <w:rFonts w:ascii="宋体" w:hAnsi="宋体"/>
      <w:b/>
      <w:sz w:val="24"/>
      <w:szCs w:val="20"/>
    </w:rPr>
  </w:style>
  <w:style w:type="paragraph" w:styleId="1018" w:customStyle="1">
    <w:name w:val="样式 Arial 小四 行距: 1.5 倍行距"/>
    <w:basedOn w:val="716"/>
    <w:uiPriority w:val="0"/>
    <w:qFormat/>
    <w:pPr>
      <w:ind w:firstLine="480"/>
      <w:spacing w:line="360" w:lineRule="auto"/>
    </w:pPr>
    <w:rPr>
      <w:rFonts w:ascii="Arial" w:hAnsi="Arial"/>
      <w:sz w:val="24"/>
      <w:szCs w:val="20"/>
    </w:rPr>
  </w:style>
  <w:style w:type="paragraph" w:styleId="1019" w:customStyle="1">
    <w:name w:val="条例"/>
    <w:basedOn w:val="716"/>
    <w:uiPriority w:val="0"/>
    <w:qFormat/>
    <w:pPr>
      <w:ind w:left="2" w:right="210" w:firstLine="2"/>
      <w:keepLines/>
      <w:spacing w:line="320" w:lineRule="exact"/>
      <w:widowControl/>
    </w:pPr>
    <w:rPr>
      <w:rFonts w:ascii="宋体" w:hAnsi="宋体"/>
      <w:sz w:val="24"/>
      <w:szCs w:val="20"/>
    </w:rPr>
  </w:style>
  <w:style w:type="paragraph" w:styleId="1020" w:customStyle="1">
    <w:name w:val="符号列表"/>
    <w:basedOn w:val="716"/>
    <w:uiPriority w:val="0"/>
    <w:qFormat/>
    <w:pPr>
      <w:numPr>
        <w:ilvl w:val="0"/>
        <w:numId w:val="5"/>
      </w:numPr>
      <w:spacing w:line="440" w:lineRule="exact"/>
    </w:pPr>
    <w:rPr>
      <w:sz w:val="24"/>
      <w:szCs w:val="20"/>
    </w:rPr>
  </w:style>
  <w:style w:type="paragraph" w:styleId="1021" w:customStyle="1">
    <w:name w:val="font5"/>
    <w:basedOn w:val="716"/>
    <w:uiPriority w:val="0"/>
    <w:qFormat/>
    <w:pPr>
      <w:jc w:val="left"/>
      <w:spacing w:before="100" w:beforeAutospacing="1" w:after="100" w:afterAutospacing="1"/>
      <w:widowControl/>
    </w:pPr>
    <w:rPr>
      <w:rFonts w:ascii="宋体" w:hAnsi="宋体" w:cs="宋体"/>
      <w:sz w:val="18"/>
      <w:szCs w:val="18"/>
    </w:rPr>
  </w:style>
  <w:style w:type="paragraph" w:styleId="1022" w:customStyle="1">
    <w:name w:val="xl23"/>
    <w:basedOn w:val="716"/>
    <w:uiPriority w:val="0"/>
    <w:qFormat/>
    <w:pPr>
      <w:jc w:val="center"/>
      <w:spacing w:before="100" w:beforeAutospacing="1" w:after="100" w:afterAutospacing="1"/>
      <w:widowControl/>
    </w:pPr>
    <w:rPr>
      <w:rFonts w:ascii="宋体" w:hAnsi="宋体" w:cs="宋体"/>
      <w:sz w:val="24"/>
    </w:rPr>
  </w:style>
  <w:style w:type="paragraph" w:styleId="1023" w:customStyle="1">
    <w:name w:val="xl24"/>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4" w:customStyle="1">
    <w:name w:val="xl25"/>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5" w:customStyle="1">
    <w:name w:val="xl26"/>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6" w:customStyle="1">
    <w:name w:val="xl27"/>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7" w:customStyle="1">
    <w:name w:val="xl2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8" w:customStyle="1">
    <w:name w:val="xl2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9" w:customStyle="1">
    <w:name w:val="xl3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0" w:customStyle="1">
    <w:name w:val="xl31"/>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1" w:customStyle="1">
    <w:name w:val="xl32"/>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2" w:customStyle="1">
    <w:name w:val="xl33"/>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3" w:customStyle="1">
    <w:name w:val="xl34"/>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4" w:customStyle="1">
    <w:name w:val="xl35"/>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5" w:customStyle="1">
    <w:name w:val="xl36"/>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6" w:customStyle="1">
    <w:name w:val="xl37"/>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7" w:customStyle="1">
    <w:name w:val="xl38"/>
    <w:basedOn w:val="716"/>
    <w:uiPriority w:val="0"/>
    <w:qFormat/>
    <w:pPr>
      <w:jc w:val="center"/>
      <w:spacing w:before="100" w:beforeAutospacing="1" w:after="100" w:afterAutospacing="1"/>
      <w:widowControl/>
    </w:pPr>
    <w:rPr>
      <w:rFonts w:ascii="宋体" w:hAnsi="宋体" w:cs="宋体"/>
      <w:b/>
      <w:bCs/>
      <w:sz w:val="32"/>
      <w:szCs w:val="32"/>
    </w:rPr>
  </w:style>
  <w:style w:type="paragraph" w:styleId="1038" w:customStyle="1">
    <w:name w:val="xl39"/>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39" w:customStyle="1">
    <w:name w:val="xl40"/>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0" w:customStyle="1">
    <w:name w:val="style31"/>
    <w:uiPriority w:val="0"/>
    <w:qFormat/>
    <w:rPr>
      <w:sz w:val="23"/>
      <w:szCs w:val="23"/>
    </w:rPr>
  </w:style>
  <w:style w:type="character" w:styleId="1041" w:customStyle="1">
    <w:name w:val="headertext"/>
    <w:basedOn w:val="726"/>
    <w:uiPriority w:val="0"/>
    <w:qFormat/>
  </w:style>
  <w:style w:type="character" w:styleId="1042" w:customStyle="1">
    <w:name w:val="style5"/>
    <w:basedOn w:val="726"/>
    <w:uiPriority w:val="0"/>
    <w:qFormat/>
  </w:style>
  <w:style w:type="character" w:styleId="1043" w:customStyle="1">
    <w:name w:val="style3"/>
    <w:basedOn w:val="726"/>
    <w:uiPriority w:val="0"/>
    <w:qFormat/>
  </w:style>
  <w:style w:type="character" w:styleId="1044" w:customStyle="1">
    <w:name w:val="font1"/>
    <w:uiPriority w:val="0"/>
    <w:qFormat/>
    <w:rPr>
      <w:color w:val="0066cc"/>
      <w:sz w:val="18"/>
      <w:szCs w:val="18"/>
      <w:u w:val="none"/>
    </w:rPr>
  </w:style>
  <w:style w:type="character" w:styleId="1045" w:customStyle="1">
    <w:name w:val="txt1"/>
    <w:uiPriority w:val="0"/>
    <w:qFormat/>
    <w:rPr>
      <w:rFonts w:hint="default"/>
      <w:sz w:val="18"/>
      <w:szCs w:val="18"/>
    </w:rPr>
  </w:style>
  <w:style w:type="character" w:styleId="1046" w:customStyle="1">
    <w:name w:val="font-121"/>
    <w:uiPriority w:val="0"/>
    <w:qFormat/>
    <w:rPr>
      <w:color w:val="666666"/>
      <w:sz w:val="24"/>
      <w:szCs w:val="24"/>
      <w:u w:val="none"/>
    </w:rPr>
  </w:style>
  <w:style w:type="character" w:styleId="1047" w:customStyle="1">
    <w:name w:val="style41"/>
    <w:uiPriority w:val="0"/>
    <w:qFormat/>
    <w:rPr>
      <w:color w:val="f49304"/>
    </w:rPr>
  </w:style>
  <w:style w:type="character" w:styleId="1048" w:customStyle="1">
    <w:name w:val="正文缩进 Char"/>
    <w:uiPriority w:val="0"/>
    <w:qFormat/>
    <w:rPr>
      <w:rFonts w:eastAsia="宋体"/>
      <w:sz w:val="24"/>
      <w:lang w:val="en-US" w:eastAsia="zh-CN" w:bidi="ar-SA"/>
    </w:rPr>
  </w:style>
  <w:style w:type="character" w:styleId="1049" w:customStyle="1">
    <w:name w:val="text1"/>
    <w:uiPriority w:val="0"/>
    <w:qFormat/>
    <w:rPr>
      <w:rFonts w:hint="default" w:ascii="ˎ̥" w:hAnsi="ˎ̥"/>
      <w:color w:val="000000"/>
      <w:sz w:val="18"/>
      <w:szCs w:val="18"/>
      <w:u w:val="none"/>
    </w:rPr>
  </w:style>
  <w:style w:type="character" w:styleId="1050" w:customStyle="1">
    <w:name w:val="style61"/>
    <w:uiPriority w:val="0"/>
    <w:qFormat/>
    <w:rPr>
      <w:b/>
      <w:bCs/>
      <w:color w:val="f49304"/>
    </w:rPr>
  </w:style>
  <w:style w:type="character" w:styleId="1051" w:customStyle="1">
    <w:name w:val="headerboxgreen"/>
    <w:basedOn w:val="726"/>
    <w:uiPriority w:val="0"/>
    <w:qFormat/>
  </w:style>
  <w:style w:type="character" w:styleId="1052" w:customStyle="1">
    <w:name w:val="textnorm_chn1"/>
    <w:uiPriority w:val="0"/>
    <w:qFormat/>
    <w:rPr>
      <w:rFonts w:hint="default" w:ascii="Arial" w:hAnsi="Arial" w:cs="Arial"/>
      <w:color w:val="21254a"/>
      <w:sz w:val="22"/>
      <w:szCs w:val="22"/>
    </w:rPr>
  </w:style>
  <w:style w:type="character" w:styleId="1053" w:customStyle="1">
    <w:name w:val="marklong"/>
    <w:basedOn w:val="726"/>
    <w:uiPriority w:val="0"/>
    <w:qFormat/>
  </w:style>
  <w:style w:type="character" w:styleId="1054" w:customStyle="1">
    <w:name w:val="style51"/>
    <w:uiPriority w:val="0"/>
    <w:qFormat/>
    <w:rPr>
      <w:color w:val="ffffff"/>
    </w:rPr>
  </w:style>
  <w:style w:type="character" w:styleId="1055" w:customStyle="1">
    <w:name w:val="Char Char4"/>
    <w:uiPriority w:val="0"/>
    <w:qFormat/>
    <w:rPr>
      <w:rFonts w:eastAsia="宋体"/>
      <w:b/>
      <w:bCs/>
      <w:sz w:val="44"/>
      <w:szCs w:val="44"/>
      <w:lang w:val="en-US" w:eastAsia="zh-CN" w:bidi="ar-SA"/>
    </w:rPr>
  </w:style>
  <w:style w:type="character" w:styleId="1056" w:customStyle="1">
    <w:name w:val="H2 Char"/>
    <w:uiPriority w:val="0"/>
    <w:qFormat/>
    <w:rPr>
      <w:rFonts w:ascii="Arial" w:hAnsi="Arial" w:eastAsia="黑体"/>
      <w:b/>
      <w:bCs/>
      <w:sz w:val="32"/>
      <w:szCs w:val="32"/>
    </w:rPr>
  </w:style>
  <w:style w:type="character" w:styleId="1057" w:customStyle="1">
    <w:name w:val="style35"/>
    <w:basedOn w:val="726"/>
    <w:uiPriority w:val="0"/>
    <w:qFormat/>
  </w:style>
  <w:style w:type="character" w:styleId="1058" w:customStyle="1">
    <w:name w:val="black1"/>
    <w:uiPriority w:val="0"/>
    <w:qFormat/>
    <w:rPr>
      <w:b/>
      <w:bCs/>
      <w:color w:val="000000"/>
      <w:sz w:val="19"/>
      <w:szCs w:val="19"/>
    </w:rPr>
  </w:style>
  <w:style w:type="paragraph" w:styleId="1059" w:customStyle="1">
    <w:name w:val="样式 标题 2 + 宋体 小四"/>
    <w:basedOn w:val="718"/>
    <w:next w:val="739"/>
    <w:uiPriority w:val="0"/>
    <w:qFormat/>
    <w:pPr>
      <w:spacing w:line="415" w:lineRule="auto"/>
    </w:pPr>
    <w:rPr>
      <w:rFonts w:ascii="宋体" w:hAnsi="宋体" w:eastAsia="宋体"/>
      <w:sz w:val="24"/>
    </w:rPr>
  </w:style>
  <w:style w:type="paragraph" w:styleId="1060" w:customStyle="1">
    <w:name w:val="CM20"/>
    <w:basedOn w:val="716"/>
    <w:next w:val="716"/>
    <w:uiPriority w:val="0"/>
    <w:qFormat/>
    <w:pPr>
      <w:jc w:val="left"/>
      <w:spacing w:after="115"/>
    </w:pPr>
    <w:rPr>
      <w:rFonts w:ascii=".a..DD.." w:eastAsia=".a..DD.."/>
      <w:sz w:val="24"/>
    </w:rPr>
  </w:style>
  <w:style w:type="paragraph" w:styleId="1061" w:customStyle="1">
    <w:name w:val="标准"/>
    <w:basedOn w:val="716"/>
    <w:uiPriority w:val="0"/>
    <w:qFormat/>
    <w:pPr>
      <w:spacing w:line="240" w:lineRule="atLeast"/>
    </w:pPr>
    <w:rPr>
      <w:rFonts w:eastAsia="楷体_GB2312"/>
      <w:sz w:val="24"/>
      <w:szCs w:val="20"/>
    </w:rPr>
  </w:style>
  <w:style w:type="paragraph" w:styleId="1062" w:customStyle="1">
    <w:name w:val="CM3"/>
    <w:basedOn w:val="1063"/>
    <w:next w:val="1063"/>
    <w:uiPriority w:val="0"/>
    <w:qFormat/>
    <w:pPr>
      <w:spacing w:line="626" w:lineRule="atLeast"/>
    </w:pPr>
    <w:rPr>
      <w:color w:val="auto"/>
    </w:rPr>
  </w:style>
  <w:style w:type="paragraph" w:styleId="106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64" w:customStyle="1">
    <w:name w:val="Char21"/>
    <w:basedOn w:val="716"/>
    <w:uiPriority w:val="0"/>
    <w:qFormat/>
    <w:rPr>
      <w:rFonts w:ascii="Tahoma" w:hAnsi="Tahoma"/>
      <w:sz w:val="24"/>
      <w:szCs w:val="20"/>
    </w:rPr>
  </w:style>
  <w:style w:type="paragraph" w:styleId="1065" w:customStyle="1">
    <w:name w:val="6"/>
    <w:basedOn w:val="716"/>
    <w:next w:val="736"/>
    <w:uiPriority w:val="0"/>
    <w:qFormat/>
    <w:pPr>
      <w:spacing w:after="120"/>
    </w:pPr>
  </w:style>
  <w:style w:type="paragraph" w:styleId="1066" w:customStyle="1">
    <w:name w:val="标题 61"/>
    <w:basedOn w:val="716"/>
    <w:uiPriority w:val="0"/>
    <w:qFormat/>
    <w:pPr>
      <w:jc w:val="left"/>
      <w:widowControl/>
      <w:outlineLvl w:val="6"/>
    </w:pPr>
    <w:rPr>
      <w:rFonts w:ascii="宋体" w:hAnsi="宋体" w:cs="宋体"/>
      <w:color w:val="00569b"/>
      <w:szCs w:val="21"/>
    </w:rPr>
  </w:style>
  <w:style w:type="paragraph" w:styleId="1067" w:customStyle="1">
    <w:name w:val="项符&gt;"/>
    <w:basedOn w:val="716"/>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68" w:customStyle="1">
    <w:name w:val="样式1"/>
    <w:basedOn w:val="717"/>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69" w:customStyle="1">
    <w:name w:val="样式2"/>
    <w:basedOn w:val="718"/>
    <w:uiPriority w:val="0"/>
    <w:qFormat/>
    <w:pPr>
      <w:numPr>
        <w:ilvl w:val="0"/>
        <w:numId w:val="6"/>
      </w:numPr>
      <w:spacing w:line="415" w:lineRule="auto"/>
      <w:tabs>
        <w:tab w:val="left" w:pos="840" w:leader="none"/>
      </w:tabs>
    </w:pPr>
    <w:rPr>
      <w:rFonts w:eastAsia="宋体"/>
      <w:sz w:val="24"/>
    </w:rPr>
  </w:style>
  <w:style w:type="paragraph" w:styleId="1070" w:customStyle="1">
    <w:name w:val="CM2"/>
    <w:basedOn w:val="1063"/>
    <w:next w:val="1063"/>
    <w:uiPriority w:val="0"/>
    <w:qFormat/>
    <w:pPr>
      <w:spacing w:line="623" w:lineRule="atLeast"/>
    </w:pPr>
    <w:rPr>
      <w:color w:val="auto"/>
    </w:rPr>
  </w:style>
  <w:style w:type="paragraph" w:styleId="1071" w:customStyle="1">
    <w:name w:val="样式 Verdana 首行缩进:  0.74 厘米"/>
    <w:basedOn w:val="716"/>
    <w:uiPriority w:val="0"/>
    <w:qFormat/>
    <w:pPr>
      <w:ind w:firstLine="420"/>
      <w:spacing w:line="360" w:lineRule="auto"/>
    </w:pPr>
    <w:rPr>
      <w:rFonts w:ascii="Verdana" w:hAnsi="Verdana" w:cs="宋体"/>
      <w:sz w:val="24"/>
      <w:szCs w:val="20"/>
    </w:rPr>
  </w:style>
  <w:style w:type="paragraph" w:styleId="1072" w:customStyle="1">
    <w:name w:val="样式 正文（首行缩进两字） + 首行缩进:  2 字符"/>
    <w:basedOn w:val="729"/>
    <w:uiPriority w:val="0"/>
    <w:qFormat/>
    <w:pPr>
      <w:ind w:firstLine="200"/>
      <w:jc w:val="both"/>
    </w:pPr>
    <w:rPr>
      <w:rFonts w:eastAsia="宋体"/>
      <w:sz w:val="21"/>
      <w:szCs w:val="24"/>
    </w:rPr>
  </w:style>
  <w:style w:type="paragraph" w:styleId="1073" w:customStyle="1">
    <w:name w:val="样式3"/>
    <w:basedOn w:val="1069"/>
    <w:next w:val="1069"/>
    <w:uiPriority w:val="0"/>
    <w:qFormat/>
  </w:style>
  <w:style w:type="paragraph" w:styleId="1074" w:customStyle="1">
    <w:name w:val="Char Char Char Char"/>
    <w:basedOn w:val="716"/>
    <w:uiPriority w:val="0"/>
    <w:qFormat/>
  </w:style>
  <w:style w:type="paragraph" w:styleId="1075" w:customStyle="1">
    <w:name w:val="Definition Term"/>
    <w:basedOn w:val="716"/>
    <w:next w:val="716"/>
    <w:uiPriority w:val="0"/>
    <w:qFormat/>
    <w:pPr>
      <w:jc w:val="left"/>
      <w:widowControl/>
    </w:pPr>
    <w:rPr>
      <w:sz w:val="20"/>
      <w:lang w:eastAsia="en-US"/>
    </w:rPr>
  </w:style>
  <w:style w:type="paragraph" w:styleId="1076" w:customStyle="1">
    <w:name w:val="7"/>
    <w:basedOn w:val="716"/>
    <w:next w:val="743"/>
    <w:uiPriority w:val="0"/>
    <w:qFormat/>
    <w:rPr>
      <w:rFonts w:ascii="宋体" w:hAnsi="Courier New"/>
      <w:sz w:val="24"/>
      <w:szCs w:val="20"/>
    </w:rPr>
  </w:style>
  <w:style w:type="paragraph" w:styleId="1077" w:customStyle="1">
    <w:name w:val="Char3"/>
    <w:basedOn w:val="716"/>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78" w:customStyle="1">
    <w:name w:val="-"/>
    <w:basedOn w:val="716"/>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79" w:customStyle="1">
    <w:name w:val="style8801"/>
    <w:basedOn w:val="716"/>
    <w:uiPriority w:val="0"/>
    <w:qFormat/>
    <w:pPr>
      <w:jc w:val="left"/>
      <w:spacing w:before="100" w:beforeAutospacing="1" w:after="100" w:afterAutospacing="1"/>
      <w:widowControl/>
    </w:pPr>
    <w:rPr>
      <w:rFonts w:ascii="宋体" w:hAnsi="宋体" w:cs="宋体"/>
      <w:color w:val="000000"/>
      <w:sz w:val="24"/>
    </w:rPr>
  </w:style>
  <w:style w:type="paragraph" w:styleId="1080" w:customStyle="1">
    <w:name w:val="biaoge1"/>
    <w:basedOn w:val="716"/>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81" w:customStyle="1">
    <w:name w:val="info4"/>
    <w:uiPriority w:val="0"/>
    <w:qFormat/>
  </w:style>
  <w:style w:type="paragraph" w:styleId="1082">
    <w:name w:val="No Spacing"/>
    <w:basedOn w:val="716"/>
    <w:link w:val="1083"/>
    <w:uiPriority w:val="0"/>
    <w:qFormat/>
    <w:pPr>
      <w:jc w:val="left"/>
      <w:widowControl/>
    </w:pPr>
    <w:rPr>
      <w:rFonts w:ascii="Cambria" w:hAnsi="Cambria"/>
      <w:sz w:val="22"/>
      <w:szCs w:val="22"/>
      <w:lang w:eastAsia="en-US" w:bidi="en-US"/>
    </w:rPr>
  </w:style>
  <w:style w:type="character" w:styleId="1083" w:customStyle="1">
    <w:name w:val="无间隔 字符"/>
    <w:link w:val="1082"/>
    <w:uiPriority w:val="0"/>
    <w:qFormat/>
    <w:rPr>
      <w:rFonts w:ascii="Cambria" w:hAnsi="Cambria" w:eastAsia="宋体"/>
      <w:sz w:val="22"/>
      <w:szCs w:val="22"/>
      <w:lang w:val="en-US" w:eastAsia="en-US" w:bidi="en-US"/>
    </w:rPr>
  </w:style>
  <w:style w:type="paragraph" w:styleId="1084">
    <w:name w:val="Quote"/>
    <w:basedOn w:val="716"/>
    <w:next w:val="716"/>
    <w:link w:val="1085"/>
    <w:uiPriority w:val="0"/>
    <w:qFormat/>
    <w:pPr>
      <w:jc w:val="left"/>
      <w:spacing w:after="200" w:line="276" w:lineRule="auto"/>
      <w:widowControl/>
    </w:pPr>
    <w:rPr>
      <w:rFonts w:ascii="Cambria" w:hAnsi="Cambria"/>
      <w:i/>
      <w:iCs/>
      <w:sz w:val="22"/>
      <w:szCs w:val="22"/>
      <w:lang w:eastAsia="en-US" w:bidi="en-US"/>
    </w:rPr>
  </w:style>
  <w:style w:type="character" w:styleId="1085" w:customStyle="1">
    <w:name w:val="引用 字符"/>
    <w:link w:val="1084"/>
    <w:uiPriority w:val="0"/>
    <w:qFormat/>
    <w:rPr>
      <w:rFonts w:ascii="Cambria" w:hAnsi="Cambria" w:eastAsia="宋体"/>
      <w:i/>
      <w:iCs/>
      <w:sz w:val="22"/>
      <w:szCs w:val="22"/>
      <w:lang w:val="en-US" w:eastAsia="en-US" w:bidi="en-US"/>
    </w:rPr>
  </w:style>
  <w:style w:type="paragraph" w:styleId="1086">
    <w:name w:val="Intense Quote"/>
    <w:basedOn w:val="716"/>
    <w:next w:val="716"/>
    <w:link w:val="108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7" w:customStyle="1">
    <w:name w:val="明显引用 字符"/>
    <w:link w:val="1086"/>
    <w:uiPriority w:val="0"/>
    <w:qFormat/>
    <w:rPr>
      <w:rFonts w:ascii="Cambria" w:hAnsi="Cambria" w:eastAsia="宋体"/>
      <w:i/>
      <w:iCs/>
      <w:sz w:val="22"/>
      <w:szCs w:val="22"/>
      <w:lang w:val="en-US" w:eastAsia="en-US" w:bidi="en-US"/>
    </w:rPr>
  </w:style>
  <w:style w:type="paragraph" w:styleId="1088" w:customStyle="1">
    <w:name w:val="TOC 标题11"/>
    <w:basedOn w:val="717"/>
    <w:next w:val="716"/>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89" w:customStyle="1">
    <w:name w:val="浅色列表 - 强调文字颜色 11"/>
    <w:basedOn w:val="727"/>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0" w:customStyle="1">
    <w:name w:val="浅色网格 - 强调文字颜色 11"/>
    <w:basedOn w:val="727"/>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1" w:customStyle="1">
    <w:name w:val="navtext"/>
    <w:basedOn w:val="716"/>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92" w:customStyle="1">
    <w:name w:val="锐丰正文 Char"/>
    <w:basedOn w:val="716"/>
    <w:link w:val="1093"/>
    <w:uiPriority w:val="0"/>
    <w:qFormat/>
    <w:pPr>
      <w:ind w:firstLine="200"/>
      <w:spacing w:line="520" w:lineRule="exact"/>
    </w:pPr>
    <w:rPr>
      <w:rFonts w:ascii="Calibri" w:hAnsi="Calibri" w:eastAsia="楷体_GB2312"/>
      <w:sz w:val="28"/>
      <w:lang w:eastAsia="en-US" w:bidi="en-US"/>
    </w:rPr>
  </w:style>
  <w:style w:type="character" w:styleId="1093" w:customStyle="1">
    <w:name w:val="锐丰正文 Char Char"/>
    <w:link w:val="1092"/>
    <w:uiPriority w:val="0"/>
    <w:qFormat/>
    <w:rPr>
      <w:rFonts w:eastAsia="楷体_GB2312"/>
      <w:sz w:val="28"/>
      <w:szCs w:val="24"/>
      <w:lang w:val="en-US" w:eastAsia="en-US" w:bidi="en-US"/>
    </w:rPr>
  </w:style>
  <w:style w:type="paragraph" w:styleId="1094" w:customStyle="1">
    <w:name w:val="锐丰图片"/>
    <w:link w:val="109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95" w:customStyle="1">
    <w:name w:val="锐丰图片 Char"/>
    <w:link w:val="1094"/>
    <w:uiPriority w:val="0"/>
    <w:qFormat/>
    <w:rPr>
      <w:rFonts w:eastAsia="楷体_GB2312"/>
      <w:color w:val="0000ff"/>
      <w:sz w:val="28"/>
      <w:szCs w:val="28"/>
      <w:lang w:val="en-US" w:eastAsia="zh-CN" w:bidi="ar-SA"/>
    </w:rPr>
  </w:style>
  <w:style w:type="paragraph" w:styleId="1096" w:customStyle="1">
    <w:name w:val="锐丰图片 Char Char"/>
    <w:link w:val="109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97" w:customStyle="1">
    <w:name w:val="锐丰图片 Char Char Char"/>
    <w:link w:val="1096"/>
    <w:uiPriority w:val="0"/>
    <w:qFormat/>
    <w:rPr>
      <w:rFonts w:eastAsia="楷体_GB2312"/>
      <w:color w:val="0000ff"/>
      <w:sz w:val="28"/>
      <w:szCs w:val="28"/>
      <w:lang w:val="en-US" w:eastAsia="zh-CN" w:bidi="ar-SA"/>
    </w:rPr>
  </w:style>
  <w:style w:type="paragraph" w:styleId="1098" w:customStyle="1">
    <w:name w:val="样式 样式 标题 4 + 楷体_GB2312 非加粗 段前: 0 磅 段后: 0 磅 + 段前: 0.5 行"/>
    <w:basedOn w:val="716"/>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99" w:customStyle="1">
    <w:name w:val="锐丰表格"/>
    <w:basedOn w:val="716"/>
    <w:uiPriority w:val="0"/>
    <w:qFormat/>
    <w:pPr>
      <w:jc w:val="left"/>
    </w:pPr>
    <w:rPr>
      <w:rFonts w:ascii="Arial" w:hAnsi="Arial" w:cs="Arial"/>
      <w:sz w:val="24"/>
      <w:lang w:eastAsia="en-US" w:bidi="en-US"/>
    </w:rPr>
  </w:style>
  <w:style w:type="paragraph" w:styleId="1100" w:customStyle="1">
    <w:name w:val="bodytext"/>
    <w:basedOn w:val="716"/>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01" w:customStyle="1">
    <w:name w:val="样式 (中文) 楷体_GB2312 四号 左 行距: 固定值 28 磅"/>
    <w:basedOn w:val="716"/>
    <w:uiPriority w:val="0"/>
    <w:qFormat/>
    <w:pPr>
      <w:ind w:firstLine="200"/>
      <w:jc w:val="left"/>
      <w:spacing w:line="560" w:lineRule="exact"/>
    </w:pPr>
    <w:rPr>
      <w:rFonts w:eastAsia="楷体_GB2312" w:cs="宋体"/>
      <w:sz w:val="28"/>
      <w:szCs w:val="22"/>
      <w:lang w:eastAsia="en-US" w:bidi="en-US"/>
    </w:rPr>
  </w:style>
  <w:style w:type="paragraph" w:styleId="1102" w:customStyle="1">
    <w:name w:val="锐丰正文"/>
    <w:basedOn w:val="716"/>
    <w:uiPriority w:val="0"/>
    <w:qFormat/>
    <w:pPr>
      <w:ind w:firstLine="200"/>
      <w:spacing w:line="520" w:lineRule="exact"/>
    </w:pPr>
    <w:rPr>
      <w:rFonts w:eastAsia="楷体_GB2312"/>
      <w:sz w:val="28"/>
      <w:lang w:eastAsia="en-US" w:bidi="en-US"/>
    </w:rPr>
  </w:style>
  <w:style w:type="paragraph" w:styleId="1103" w:customStyle="1">
    <w:name w:val="锐丰编号3"/>
    <w:basedOn w:val="1102"/>
    <w:uiPriority w:val="0"/>
    <w:qFormat/>
    <w:pPr>
      <w:numPr>
        <w:ilvl w:val="0"/>
        <w:numId w:val="7"/>
      </w:numPr>
      <w:ind w:firstLine="0"/>
    </w:pPr>
    <w:rPr>
      <w:szCs w:val="20"/>
    </w:rPr>
  </w:style>
  <w:style w:type="paragraph" w:styleId="1104" w:customStyle="1">
    <w:name w:val="锐丰编号二"/>
    <w:basedOn w:val="1102"/>
    <w:uiPriority w:val="0"/>
    <w:qFormat/>
    <w:pPr>
      <w:numPr>
        <w:ilvl w:val="0"/>
        <w:numId w:val="8"/>
      </w:numPr>
      <w:ind w:firstLine="0"/>
    </w:pPr>
    <w:rPr>
      <w:szCs w:val="20"/>
    </w:rPr>
  </w:style>
  <w:style w:type="paragraph" w:styleId="1105" w:customStyle="1">
    <w:name w:val="样式 宋体 小三 行距: 1.5 倍行距1"/>
    <w:basedOn w:val="736"/>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06" w:customStyle="1">
    <w:name w:val="bigtitle1"/>
    <w:uiPriority w:val="0"/>
    <w:qFormat/>
    <w:rPr>
      <w:rFonts w:hint="default" w:ascii="Arial" w:hAnsi="Arial" w:cs="Arial"/>
      <w:color w:val="263470"/>
      <w:sz w:val="48"/>
      <w:szCs w:val="48"/>
    </w:rPr>
  </w:style>
  <w:style w:type="character" w:styleId="1107" w:customStyle="1">
    <w:name w:val="product_nav_bg1"/>
    <w:basedOn w:val="726"/>
    <w:uiPriority w:val="0"/>
    <w:qFormat/>
  </w:style>
  <w:style w:type="paragraph" w:styleId="1108" w:customStyle="1">
    <w:name w:val="标题 3 + 宋体"/>
    <w:basedOn w:val="718"/>
    <w:uiPriority w:val="0"/>
    <w:qFormat/>
    <w:pPr>
      <w:keepLines w:val="0"/>
      <w:spacing w:before="0" w:after="0" w:line="360" w:lineRule="auto"/>
    </w:pPr>
    <w:rPr>
      <w:rFonts w:ascii="宋体" w:hAnsi="宋体" w:eastAsia="宋体"/>
      <w:caps/>
      <w:smallCaps/>
      <w:color w:val="000000"/>
      <w:sz w:val="21"/>
      <w:szCs w:val="21"/>
      <w:lang w:bidi="en-US"/>
    </w:rPr>
  </w:style>
  <w:style w:type="paragraph" w:styleId="1109" w:customStyle="1">
    <w:name w:val="样式 样式 标题 2H2Heading 2 HiddenHeading 2 CCBS部分标题h2Underrubrik1... ..."/>
    <w:basedOn w:val="716"/>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0" w:customStyle="1">
    <w:name w:val="列出段落1"/>
    <w:basedOn w:val="716"/>
    <w:uiPriority w:val="0"/>
    <w:qFormat/>
    <w:pPr>
      <w:ind w:firstLine="420"/>
    </w:pPr>
    <w:rPr>
      <w:sz w:val="28"/>
    </w:rPr>
  </w:style>
  <w:style w:type="character" w:styleId="1111" w:customStyle="1">
    <w:name w:val="Heading 3 Char"/>
    <w:uiPriority w:val="0"/>
    <w:qFormat/>
    <w:rPr>
      <w:rFonts w:eastAsia="黑体" w:cs="Times New Roman"/>
      <w:b/>
      <w:bCs/>
      <w:sz w:val="32"/>
      <w:szCs w:val="32"/>
    </w:rPr>
  </w:style>
  <w:style w:type="character" w:styleId="1112" w:customStyle="1">
    <w:name w:val="short_text"/>
    <w:basedOn w:val="726"/>
    <w:uiPriority w:val="0"/>
    <w:qFormat/>
  </w:style>
  <w:style w:type="character" w:styleId="1113" w:customStyle="1">
    <w:name w:val="普通文字 Char1"/>
    <w:uiPriority w:val="0"/>
    <w:qFormat/>
    <w:rPr>
      <w:rFonts w:ascii="宋体" w:hAnsi="Courier New" w:eastAsia="楷体_GB2312"/>
      <w:sz w:val="28"/>
      <w:lang w:val="en-US" w:eastAsia="zh-CN" w:bidi="ar-SA"/>
    </w:rPr>
  </w:style>
  <w:style w:type="paragraph" w:styleId="1114" w:customStyle="1">
    <w:name w:val="样式 仿宋_GB2312 四号 黑色 行距: 1.5 倍行距1"/>
    <w:basedOn w:val="716"/>
    <w:uiPriority w:val="0"/>
    <w:qFormat/>
    <w:pPr>
      <w:spacing w:line="360" w:lineRule="auto"/>
    </w:pPr>
    <w:rPr>
      <w:rFonts w:ascii="仿宋_GB2312" w:hAnsi="宋体" w:eastAsia="仿宋_GB2312"/>
      <w:color w:val="000000"/>
      <w:sz w:val="24"/>
      <w:szCs w:val="20"/>
    </w:rPr>
  </w:style>
  <w:style w:type="character" w:styleId="111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16" w:customStyle="1">
    <w:name w:val="纯文本3"/>
    <w:basedOn w:val="716"/>
    <w:uiPriority w:val="0"/>
    <w:qFormat/>
    <w:rPr>
      <w:rFonts w:hint="eastAsia" w:ascii="宋体" w:hAnsi="Courier New" w:eastAsia="楷体_GB2312"/>
      <w:sz w:val="28"/>
      <w:szCs w:val="20"/>
    </w:rPr>
  </w:style>
  <w:style w:type="paragraph" w:styleId="1117" w:customStyle="1">
    <w:name w:val="p0"/>
    <w:basedOn w:val="716"/>
    <w:uiPriority w:val="0"/>
    <w:qFormat/>
    <w:pPr>
      <w:jc w:val="left"/>
      <w:spacing w:before="100" w:beforeAutospacing="1" w:after="100" w:afterAutospacing="1"/>
      <w:widowControl/>
    </w:pPr>
    <w:rPr>
      <w:rFonts w:ascii="宋体" w:hAnsi="宋体" w:cs="宋体"/>
      <w:sz w:val="24"/>
    </w:rPr>
  </w:style>
  <w:style w:type="paragraph" w:styleId="1118" w:customStyle="1">
    <w:name w:val="p15"/>
    <w:basedOn w:val="716"/>
    <w:uiPriority w:val="0"/>
    <w:qFormat/>
    <w:pPr>
      <w:widowControl/>
    </w:pPr>
    <w:rPr>
      <w:rFonts w:ascii="宋体" w:hAnsi="宋体" w:cs="宋体"/>
      <w:sz w:val="28"/>
      <w:szCs w:val="28"/>
    </w:rPr>
  </w:style>
  <w:style w:type="paragraph" w:styleId="1119" w:customStyle="1">
    <w:name w:val="纯文本11"/>
    <w:basedOn w:val="716"/>
    <w:link w:val="1120"/>
    <w:uiPriority w:val="0"/>
    <w:qFormat/>
    <w:rPr>
      <w:rFonts w:ascii="宋体" w:hAnsi="Courier New" w:eastAsia="楷体_GB2312"/>
      <w:sz w:val="28"/>
      <w:szCs w:val="20"/>
    </w:rPr>
  </w:style>
  <w:style w:type="character" w:styleId="1120" w:customStyle="1">
    <w:name w:val="Plain Text Char Char"/>
    <w:link w:val="1119"/>
    <w:uiPriority w:val="0"/>
    <w:qFormat/>
    <w:rPr>
      <w:rFonts w:ascii="宋体" w:hAnsi="Courier New" w:eastAsia="楷体_GB2312"/>
      <w:sz w:val="28"/>
    </w:rPr>
  </w:style>
  <w:style w:type="paragraph" w:styleId="1121" w:customStyle="1">
    <w:name w:val="列出段落4"/>
    <w:basedOn w:val="716"/>
    <w:uiPriority w:val="34"/>
    <w:qFormat/>
    <w:pPr>
      <w:ind w:firstLine="420"/>
      <w:jc w:val="left"/>
      <w:spacing w:after="200"/>
      <w:widowControl/>
    </w:pPr>
    <w:rPr>
      <w:rFonts w:ascii="Tahoma" w:hAnsi="Tahoma" w:eastAsia="微软雅黑"/>
      <w:sz w:val="22"/>
      <w:szCs w:val="22"/>
    </w:rPr>
  </w:style>
  <w:style w:type="character" w:styleId="1122" w:customStyle="1">
    <w:name w:val="正文缩进 字符"/>
    <w:uiPriority w:val="0"/>
    <w:qFormat/>
    <w:rPr>
      <w:rFonts w:eastAsia="楷体_GB2312"/>
      <w:sz w:val="24"/>
      <w:lang w:val="en-US" w:eastAsia="zh-CN" w:bidi="ar-SA"/>
    </w:rPr>
  </w:style>
  <w:style w:type="paragraph" w:styleId="1123" w:customStyle="1">
    <w:name w:val="纯文本2"/>
    <w:basedOn w:val="716"/>
    <w:uiPriority w:val="0"/>
    <w:qFormat/>
    <w:rPr>
      <w:rFonts w:hint="eastAsia" w:ascii="宋体" w:hAnsi="Courier New" w:eastAsia="楷体_GB2312"/>
      <w:sz w:val="28"/>
      <w:szCs w:val="20"/>
    </w:rPr>
  </w:style>
  <w:style w:type="paragraph" w:styleId="1124" w:customStyle="1">
    <w:name w:val="纯文本4"/>
    <w:basedOn w:val="716"/>
    <w:uiPriority w:val="0"/>
    <w:qFormat/>
    <w:rPr>
      <w:rFonts w:ascii="宋体" w:hAnsi="Courier New" w:eastAsia="楷体_GB2312"/>
      <w:sz w:val="28"/>
      <w:szCs w:val="20"/>
    </w:rPr>
  </w:style>
  <w:style w:type="character" w:styleId="1125" w:customStyle="1">
    <w:name w:val="标题 2 字符"/>
    <w:uiPriority w:val="9"/>
    <w:qFormat/>
    <w:rPr>
      <w:rFonts w:ascii="Arial" w:hAnsi="Arial" w:eastAsia="黑体"/>
      <w:b/>
      <w:bCs/>
      <w:sz w:val="32"/>
      <w:szCs w:val="32"/>
    </w:rPr>
  </w:style>
  <w:style w:type="paragraph" w:styleId="1126" w:customStyle="1">
    <w:name w:val="纯文本41"/>
    <w:basedOn w:val="716"/>
    <w:uiPriority w:val="0"/>
    <w:qFormat/>
    <w:rPr>
      <w:rFonts w:ascii="宋体" w:hAnsi="Courier New" w:eastAsia="楷体_GB2312"/>
      <w:sz w:val="28"/>
      <w:szCs w:val="20"/>
    </w:rPr>
  </w:style>
  <w:style w:type="character" w:styleId="1127" w:customStyle="1">
    <w:name w:val="批注文字 字符"/>
    <w:basedOn w:val="726"/>
    <w:link w:val="732"/>
    <w:uiPriority w:val="0"/>
    <w:semiHidden/>
    <w:qFormat/>
    <w:rPr>
      <w:rFonts w:ascii="Times New Roman" w:hAnsi="Times New Roman"/>
      <w:sz w:val="21"/>
      <w:szCs w:val="24"/>
    </w:rPr>
  </w:style>
  <w:style w:type="paragraph" w:styleId="1128" w:customStyle="1">
    <w:name w:val="纯文本12"/>
    <w:basedOn w:val="716"/>
    <w:uiPriority w:val="0"/>
    <w:qFormat/>
    <w:rPr>
      <w:rFonts w:ascii="宋体" w:hAnsi="Courier New" w:eastAsia="楷体_GB2312"/>
      <w:sz w:val="28"/>
      <w:szCs w:val="20"/>
    </w:rPr>
  </w:style>
  <w:style w:type="character" w:styleId="1129" w:customStyle="1">
    <w:name w:val="正文文本缩进 Char1"/>
    <w:uiPriority w:val="0"/>
    <w:qFormat/>
    <w:rPr>
      <w:rFonts w:ascii="方正仿宋简体" w:hAnsi="创艺简仿宋" w:eastAsia="方正仿宋简体"/>
      <w:sz w:val="24"/>
    </w:rPr>
  </w:style>
  <w:style w:type="character" w:styleId="1130" w:customStyle="1">
    <w:name w:val="批注主题 字符"/>
    <w:basedOn w:val="1127"/>
    <w:link w:val="767"/>
    <w:uiPriority w:val="0"/>
    <w:semiHidden/>
    <w:qFormat/>
    <w:rPr>
      <w:rFonts w:ascii="Times New Roman" w:hAnsi="Times New Roman"/>
      <w:b/>
      <w:bCs/>
      <w:sz w:val="21"/>
      <w:szCs w:val="24"/>
    </w:rPr>
  </w:style>
  <w:style w:type="paragraph" w:styleId="1131" w:customStyle="1">
    <w:name w:val="*正文"/>
    <w:basedOn w:val="716"/>
    <w:uiPriority w:val="0"/>
    <w:qFormat/>
    <w:pPr>
      <w:ind w:firstLine="480"/>
      <w:spacing w:line="360" w:lineRule="auto"/>
    </w:pPr>
    <w:rPr>
      <w:rFonts w:ascii="Arial" w:hAnsi="Arial" w:cs="宋体"/>
      <w:sz w:val="28"/>
      <w:szCs w:val="21"/>
    </w:rPr>
  </w:style>
  <w:style w:type="paragraph" w:styleId="1132" w:customStyle="1">
    <w:name w:val="msonormal"/>
    <w:basedOn w:val="716"/>
    <w:uiPriority w:val="0"/>
    <w:qFormat/>
    <w:pPr>
      <w:jc w:val="left"/>
      <w:spacing w:before="100" w:beforeAutospacing="1" w:after="100" w:afterAutospacing="1"/>
      <w:widowControl/>
    </w:pPr>
    <w:rPr>
      <w:rFonts w:ascii="宋体" w:hAnsi="宋体" w:cs="宋体"/>
      <w:sz w:val="24"/>
    </w:rPr>
  </w:style>
  <w:style w:type="paragraph" w:styleId="1133" w:customStyle="1">
    <w:name w:val="font6"/>
    <w:basedOn w:val="716"/>
    <w:uiPriority w:val="0"/>
    <w:qFormat/>
    <w:pPr>
      <w:jc w:val="left"/>
      <w:spacing w:before="100" w:beforeAutospacing="1" w:after="100" w:afterAutospacing="1"/>
      <w:widowControl/>
    </w:pPr>
    <w:rPr>
      <w:rFonts w:ascii="Calibri" w:hAnsi="Calibri" w:cs="Calibri"/>
      <w:color w:val="000000"/>
      <w:szCs w:val="21"/>
    </w:rPr>
  </w:style>
  <w:style w:type="paragraph" w:styleId="1134" w:customStyle="1">
    <w:name w:val="font7"/>
    <w:basedOn w:val="716"/>
    <w:uiPriority w:val="0"/>
    <w:qFormat/>
    <w:pPr>
      <w:jc w:val="left"/>
      <w:spacing w:before="100" w:beforeAutospacing="1" w:after="100" w:afterAutospacing="1"/>
      <w:widowControl/>
    </w:pPr>
    <w:rPr>
      <w:rFonts w:ascii="宋体" w:hAnsi="宋体" w:cs="宋体"/>
      <w:color w:val="000000"/>
      <w:szCs w:val="21"/>
    </w:rPr>
  </w:style>
  <w:style w:type="paragraph" w:styleId="1135" w:customStyle="1">
    <w:name w:val="font8"/>
    <w:basedOn w:val="716"/>
    <w:uiPriority w:val="0"/>
    <w:qFormat/>
    <w:pPr>
      <w:jc w:val="left"/>
      <w:spacing w:before="100" w:beforeAutospacing="1" w:after="100" w:afterAutospacing="1"/>
      <w:widowControl/>
    </w:pPr>
    <w:rPr>
      <w:rFonts w:ascii="Calibri" w:hAnsi="Calibri" w:cs="Calibri"/>
      <w:color w:val="000000"/>
      <w:szCs w:val="21"/>
    </w:rPr>
  </w:style>
  <w:style w:type="paragraph" w:styleId="1136" w:customStyle="1">
    <w:name w:val="font9"/>
    <w:basedOn w:val="716"/>
    <w:uiPriority w:val="0"/>
    <w:qFormat/>
    <w:pPr>
      <w:jc w:val="left"/>
      <w:spacing w:before="100" w:beforeAutospacing="1" w:after="100" w:afterAutospacing="1"/>
      <w:widowControl/>
    </w:pPr>
    <w:rPr>
      <w:rFonts w:ascii="Calibri" w:hAnsi="Calibri" w:cs="Calibri"/>
      <w:color w:val="333333"/>
      <w:szCs w:val="21"/>
    </w:rPr>
  </w:style>
  <w:style w:type="paragraph" w:styleId="1137" w:customStyle="1">
    <w:name w:val="font10"/>
    <w:basedOn w:val="716"/>
    <w:uiPriority w:val="0"/>
    <w:qFormat/>
    <w:pPr>
      <w:jc w:val="left"/>
      <w:spacing w:before="100" w:beforeAutospacing="1" w:after="100" w:afterAutospacing="1"/>
      <w:widowControl/>
    </w:pPr>
    <w:rPr>
      <w:rFonts w:ascii="宋体" w:hAnsi="宋体" w:cs="宋体"/>
      <w:color w:val="333333"/>
      <w:szCs w:val="21"/>
    </w:rPr>
  </w:style>
  <w:style w:type="paragraph" w:styleId="1138" w:customStyle="1">
    <w:name w:val="xl65"/>
    <w:basedOn w:val="716"/>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39" w:customStyle="1">
    <w:name w:val="xl66"/>
    <w:basedOn w:val="71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40" w:customStyle="1">
    <w:name w:val="xl67"/>
    <w:basedOn w:val="71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41" w:customStyle="1">
    <w:name w:val="xl68"/>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42" w:customStyle="1">
    <w:name w:val="xl69"/>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43" w:customStyle="1">
    <w:name w:val="xl70"/>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71"/>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45" w:customStyle="1">
    <w:name w:val="xl72"/>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46" w:customStyle="1">
    <w:name w:val="xl73"/>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47" w:customStyle="1">
    <w:name w:val="xl74"/>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48" w:customStyle="1">
    <w:name w:val="Plain Text11"/>
    <w:basedOn w:val="716"/>
    <w:uiPriority w:val="0"/>
    <w:qFormat/>
    <w:rPr>
      <w:rFonts w:ascii="宋体" w:hAnsi="Courier New" w:eastAsia="楷体_GB2312"/>
      <w:sz w:val="28"/>
      <w:szCs w:val="20"/>
    </w:rPr>
  </w:style>
  <w:style w:type="paragraph" w:styleId="1149" w:customStyle="1">
    <w:name w:val="列出段落3"/>
    <w:basedOn w:val="716"/>
    <w:uiPriority w:val="34"/>
    <w:qFormat/>
    <w:pPr>
      <w:ind w:firstLine="420"/>
    </w:pPr>
  </w:style>
  <w:style w:type="character" w:styleId="1150" w:customStyle="1">
    <w:name w:val="font31"/>
    <w:uiPriority w:val="0"/>
    <w:qFormat/>
    <w:rPr>
      <w:rFonts w:hint="eastAsia" w:ascii="宋体" w:hAnsi="宋体" w:eastAsia="宋体" w:cs="宋体"/>
      <w:color w:val="333333"/>
      <w:sz w:val="21"/>
      <w:szCs w:val="21"/>
      <w:u w:val="none"/>
    </w:rPr>
  </w:style>
  <w:style w:type="paragraph" w:styleId="1151" w:customStyle="1">
    <w:name w:val="Table Paragraph"/>
    <w:basedOn w:val="716"/>
    <w:uiPriority w:val="1"/>
    <w:qFormat/>
    <w:pPr>
      <w:jc w:val="center"/>
      <w:spacing w:before="48"/>
    </w:pPr>
    <w:rPr>
      <w:rFonts w:ascii="宋体" w:hAnsi="宋体" w:cs="宋体"/>
      <w:lang w:val="zh-CN" w:bidi="zh-CN"/>
    </w:rPr>
  </w:style>
  <w:style w:type="character" w:styleId="1152" w:customStyle="1">
    <w:name w:val="font41"/>
    <w:link w:val="716"/>
    <w:uiPriority w:val="0"/>
    <w:qFormat/>
    <w:rPr>
      <w:rFonts w:hint="default" w:ascii="Times New Roman" w:hAnsi="Times New Roman" w:eastAsia="宋体" w:cs="Times New Roman"/>
      <w:sz w:val="21"/>
      <w:szCs w:val="24"/>
      <w:lang w:val="en-US" w:eastAsia="zh-CN" w:bidi="ar-SA"/>
    </w:rPr>
  </w:style>
  <w:style w:type="character" w:styleId="1153" w:customStyle="1">
    <w:name w:val="font51"/>
    <w:link w:val="716"/>
    <w:uiPriority w:val="0"/>
    <w:qFormat/>
    <w:rPr>
      <w:rFonts w:hint="eastAsia" w:ascii="宋体" w:hAnsi="宋体" w:eastAsia="宋体" w:cs="宋体"/>
      <w:color w:val="ff0000"/>
      <w:sz w:val="21"/>
      <w:szCs w:val="21"/>
      <w:u w:val="none"/>
    </w:rPr>
  </w:style>
  <w:style w:type="paragraph" w:styleId="1154" w:customStyle="1">
    <w:name w:val="Table Text"/>
    <w:basedOn w:val="716"/>
    <w:uiPriority w:val="0"/>
    <w:qFormat/>
    <w:rPr>
      <w:rFonts w:ascii="宋体" w:hAnsi="宋体" w:eastAsia="宋体" w:cs="宋体"/>
      <w:sz w:val="24"/>
      <w:szCs w:val="24"/>
    </w:rPr>
  </w:style>
  <w:style w:type="paragraph" w:styleId="1155" w:customStyle="1">
    <w:name w:val="页眉1"/>
    <w:basedOn w:val="716"/>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paragraph" w:styleId="1156" w:customStyle="1">
    <w:name w:val="页脚1"/>
    <w:basedOn w:val="716"/>
    <w:uiPriority w:val="99"/>
    <w:qFormat/>
    <w:pPr>
      <w:jc w:val="left"/>
      <w:tabs>
        <w:tab w:val="center" w:pos="4153" w:leader="none"/>
        <w:tab w:val="right" w:pos="8306" w:leader="none"/>
      </w:tabs>
    </w:pPr>
    <w:rPr>
      <w:rFonts w:eastAsia="楷体_GB2312"/>
      <w:sz w:val="18"/>
      <w:szCs w:val="20"/>
    </w:rPr>
  </w:style>
  <w:style w:type="character" w:styleId="1157" w:customStyle="1">
    <w:name w:val="页码1"/>
    <w:uiPriority w:val="0"/>
    <w:qFormat/>
  </w:style>
  <w:style w:type="paragraph" w:styleId="1158" w:customStyle="1">
    <w:name w:val="正文缩进1"/>
    <w:basedOn w:val="716"/>
    <w:uiPriority w:val="0"/>
    <w:qFormat/>
    <w:pPr>
      <w:ind w:firstLine="420"/>
      <w:jc w:val="left"/>
    </w:pPr>
    <w:rPr>
      <w:rFonts w:ascii="Tahoma" w:hAnsi="Tahoma" w:eastAsia="楷体_GB2312"/>
      <w:sz w:val="24"/>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14</cp:revision>
  <dcterms:created xsi:type="dcterms:W3CDTF">2025-02-26T08:05:00Z</dcterms:created>
  <dcterms:modified xsi:type="dcterms:W3CDTF">2026-06-18T07:19:27Z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D487E5298AFD4CABBCAC4EC9C6E41B9A_13</vt:lpwstr>
  </property>
  <property fmtid="{D5CDD505-2E9C-101B-9397-08002B2CF9AE}" pid="4" name="KSOTemplateDocerSaveRecord">
    <vt:lpwstr>eyJoZGlkIjoiZjExZTU2NzNjMmJhNTdmZTljZGQ2ZWM4NGMwNDUwNmUiLCJ1c2VySWQiOiI0MjQ3MzQ0MjIifQ==</vt:lpwstr>
  </property>
</Properties>
</file>