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8"/>
        <w:ind w:firstLine="0"/>
        <w:rPr>
          <w:rFonts w:hint="eastAsia" w:ascii="宋体" w:hAnsi="宋体" w:cs="宋体"/>
          <w:b w:val="0"/>
          <w:bCs/>
          <w:color w:val="000000"/>
          <w:sz w:val="72"/>
          <w:szCs w:val="72"/>
          <w:highlight w:val="none"/>
        </w:rPr>
      </w:pPr>
      <w:r>
        <w:rPr>
          <w:rFonts w:hint="eastAsia" w:ascii="宋体" w:hAnsi="宋体" w:cs="宋体"/>
          <w:b w:val="0"/>
          <w:bCs/>
          <w:color w:val="000000"/>
          <w:sz w:val="72"/>
          <w:szCs w:val="72"/>
          <w:highlight w:val="none"/>
        </w:rPr>
      </w:r>
      <w:r/>
    </w:p>
    <w:p>
      <w:pPr>
        <w:pStyle w:val="927"/>
        <w:jc w:val="center"/>
        <w:spacing w:after="156" w:line="360" w:lineRule="auto"/>
        <w:rPr>
          <w:rFonts w:hint="eastAsia" w:ascii="宋体" w:hAnsi="宋体" w:eastAsia="宋体" w:cs="宋体"/>
          <w:b/>
          <w:bCs/>
          <w:color w:val="000000"/>
          <w:sz w:val="72"/>
          <w:szCs w:val="72"/>
          <w:highlight w:val="none"/>
          <w:lang w:eastAsia="zh-CN"/>
        </w:rPr>
      </w:pPr>
      <w:r>
        <w:rPr>
          <w:rFonts w:hint="eastAsia" w:ascii="宋体" w:hAnsi="宋体" w:cs="宋体"/>
          <w:b/>
          <w:bCs/>
          <w:color w:val="000000"/>
          <w:sz w:val="72"/>
          <w:szCs w:val="72"/>
          <w:highlight w:val="none"/>
          <w:lang w:eastAsia="zh-CN"/>
        </w:rPr>
        <w:t xml:space="preserve">玄武高级中学等校弱电智能化设备更新</w:t>
      </w:r>
      <w:r>
        <w:rPr>
          <w:rFonts w:hint="eastAsia" w:ascii="宋体" w:hAnsi="宋体" w:eastAsia="宋体" w:cs="宋体"/>
          <w:b/>
          <w:bCs/>
          <w:color w:val="000000"/>
          <w:sz w:val="72"/>
          <w:szCs w:val="72"/>
          <w:highlight w:val="none"/>
          <w:lang w:eastAsia="zh-CN"/>
        </w:rPr>
      </w:r>
      <w:r/>
    </w:p>
    <w:p>
      <w:pPr>
        <w:pStyle w:val="927"/>
        <w:jc w:val="center"/>
        <w:spacing w:after="156" w:line="360" w:lineRule="auto"/>
        <w:rPr>
          <w:rFonts w:hint="eastAsia" w:ascii="宋体" w:hAnsi="宋体" w:cs="宋体"/>
          <w:b/>
          <w:bCs/>
          <w:color w:val="000000"/>
          <w:sz w:val="72"/>
          <w:szCs w:val="72"/>
          <w:highlight w:val="none"/>
        </w:rPr>
      </w:pPr>
      <w:r>
        <w:rPr>
          <w:rFonts w:hint="eastAsia" w:ascii="宋体" w:hAnsi="宋体" w:cs="宋体"/>
          <w:b/>
          <w:bCs/>
          <w:color w:val="000000"/>
          <w:sz w:val="72"/>
          <w:szCs w:val="72"/>
          <w:highlight w:val="none"/>
        </w:rPr>
      </w:r>
      <w:r/>
    </w:p>
    <w:p>
      <w:pPr>
        <w:pStyle w:val="927"/>
        <w:jc w:val="center"/>
        <w:spacing w:line="360" w:lineRule="auto"/>
        <w:rPr>
          <w:rFonts w:hint="eastAsia" w:ascii="宋体" w:hAnsi="宋体" w:cs="宋体"/>
          <w:b/>
          <w:bCs/>
          <w:color w:val="000000"/>
          <w:sz w:val="96"/>
          <w:szCs w:val="96"/>
          <w:highlight w:val="none"/>
        </w:rPr>
      </w:pPr>
      <w:r>
        <w:rPr>
          <w:rFonts w:hint="eastAsia" w:ascii="宋体" w:hAnsi="宋体" w:cs="宋体"/>
          <w:b/>
          <w:bCs/>
          <w:color w:val="000000"/>
          <w:sz w:val="96"/>
          <w:szCs w:val="96"/>
          <w:highlight w:val="none"/>
        </w:rPr>
        <w:t xml:space="preserve">招 标 文 件</w:t>
      </w:r>
      <w:r>
        <w:rPr>
          <w:rFonts w:hint="eastAsia" w:ascii="宋体" w:hAnsi="宋体" w:cs="宋体"/>
          <w:b/>
          <w:bCs/>
          <w:color w:val="000000"/>
          <w:sz w:val="96"/>
          <w:szCs w:val="96"/>
          <w:highlight w:val="none"/>
        </w:rPr>
      </w:r>
      <w:r/>
    </w:p>
    <w:p>
      <w:pPr>
        <w:pStyle w:val="927"/>
        <w:jc w:val="center"/>
        <w:spacing w:line="360" w:lineRule="auto"/>
        <w:rPr>
          <w:rFonts w:hint="eastAsia" w:ascii="宋体" w:hAnsi="宋体" w:eastAsia="宋体" w:cs="宋体"/>
          <w:b/>
          <w:bCs/>
          <w:color w:val="000000"/>
          <w:sz w:val="36"/>
          <w:szCs w:val="22"/>
          <w:highlight w:val="none"/>
          <w:lang w:eastAsia="zh-CN"/>
        </w:rPr>
      </w:pPr>
      <w:r>
        <w:rPr>
          <w:rFonts w:hint="eastAsia" w:ascii="宋体" w:hAnsi="宋体" w:cs="宋体"/>
          <w:b/>
          <w:bCs/>
          <w:color w:val="000000"/>
          <w:sz w:val="36"/>
          <w:highlight w:val="none"/>
        </w:rPr>
        <w:t xml:space="preserve">招标编号</w:t>
      </w:r>
      <w:r>
        <w:rPr>
          <w:rFonts w:hint="eastAsia" w:ascii="宋体" w:hAnsi="宋体" w:cs="宋体"/>
          <w:b/>
          <w:bCs/>
          <w:color w:val="000000"/>
          <w:sz w:val="36"/>
          <w:szCs w:val="22"/>
          <w:highlight w:val="none"/>
        </w:rPr>
        <w:t xml:space="preserve">：</w:t>
      </w:r>
      <w:r>
        <w:rPr>
          <w:rFonts w:hint="eastAsia" w:ascii="宋体" w:hAnsi="宋体" w:cs="宋体"/>
          <w:b/>
          <w:bCs/>
          <w:color w:val="000000"/>
          <w:sz w:val="36"/>
          <w:szCs w:val="22"/>
          <w:highlight w:val="none"/>
          <w:lang w:eastAsia="zh-CN"/>
        </w:rPr>
        <w:t xml:space="preserve">JSZC-320102-SMDG-G2026-0045</w:t>
      </w:r>
      <w:r>
        <w:rPr>
          <w:rFonts w:hint="eastAsia" w:ascii="宋体" w:hAnsi="宋体" w:eastAsia="宋体" w:cs="宋体"/>
          <w:b/>
          <w:bCs/>
          <w:color w:val="000000"/>
          <w:sz w:val="36"/>
          <w:szCs w:val="22"/>
          <w:highlight w:val="none"/>
          <w:lang w:eastAsia="zh-CN"/>
        </w:rPr>
      </w:r>
      <w:r/>
    </w:p>
    <w:p>
      <w:pPr>
        <w:pStyle w:val="927"/>
        <w:jc w:val="center"/>
        <w:spacing w:line="440" w:lineRule="exact"/>
        <w:rPr>
          <w:rFonts w:ascii="Arial" w:hAnsi="Arial" w:eastAsia="黑体" w:cs="Arial"/>
          <w:b/>
          <w:color w:val="000000"/>
          <w:sz w:val="52"/>
          <w:highlight w:val="none"/>
        </w:rPr>
      </w:pPr>
      <w:r>
        <w:rPr>
          <w:rFonts w:ascii="Arial" w:hAnsi="Arial" w:eastAsia="黑体" w:cs="Arial"/>
          <w:b/>
          <w:color w:val="000000"/>
          <w:sz w:val="52"/>
          <w:highlight w:val="none"/>
        </w:rPr>
      </w:r>
      <w:r/>
    </w:p>
    <w:p>
      <w:pPr>
        <w:pStyle w:val="927"/>
        <w:spacing w:line="440" w:lineRule="exact"/>
        <w:rPr>
          <w:rFonts w:ascii="Arial" w:hAnsi="Arial" w:eastAsia="楷体_GB2312" w:cs="Arial"/>
          <w:b/>
          <w:color w:val="000000"/>
          <w:sz w:val="32"/>
          <w:highlight w:val="none"/>
        </w:rPr>
      </w:pPr>
      <w:r>
        <w:rPr>
          <w:rFonts w:ascii="Arial" w:hAnsi="Arial" w:eastAsia="楷体_GB2312" w:cs="Arial"/>
          <w:b/>
          <w:color w:val="000000"/>
          <w:sz w:val="32"/>
          <w:highlight w:val="none"/>
        </w:rPr>
      </w:r>
      <w:r/>
    </w:p>
    <w:p>
      <w:pPr>
        <w:pStyle w:val="927"/>
        <w:jc w:val="center"/>
        <w:spacing w:line="440" w:lineRule="exact"/>
        <w:rPr>
          <w:rFonts w:ascii="Arial" w:hAnsi="Arial" w:eastAsia="楷体_GB2312" w:cs="Arial"/>
          <w:b/>
          <w:color w:val="000000"/>
          <w:sz w:val="32"/>
          <w:highlight w:val="none"/>
        </w:rPr>
      </w:pPr>
      <w:r>
        <w:rPr>
          <w:rFonts w:ascii="Arial" w:hAnsi="Arial" w:eastAsia="楷体_GB2312" w:cs="Arial"/>
          <w:b/>
          <w:color w:val="000000"/>
          <w:sz w:val="32"/>
          <w:highlight w:val="none"/>
        </w:rPr>
      </w:r>
      <w:r/>
    </w:p>
    <w:p>
      <w:pPr>
        <w:pStyle w:val="927"/>
        <w:jc w:val="center"/>
        <w:spacing w:line="360" w:lineRule="auto"/>
        <w:rPr>
          <w:rFonts w:ascii="Arial" w:hAnsi="Arial" w:eastAsia="楷体_GB2312" w:cs="Arial"/>
          <w:b/>
          <w:color w:val="000000"/>
          <w:sz w:val="32"/>
          <w:highlight w:val="none"/>
        </w:rPr>
      </w:pPr>
      <w:r>
        <w:rPr>
          <w:rFonts w:ascii="Arial" w:hAnsi="Arial" w:cs="Arial"/>
          <w:color w:val="000000"/>
          <w:szCs w:val="21"/>
          <w:highlight w:val="none"/>
        </w:rPr>
        <w:object w:dxaOrig="5952" w:dyaOrig="1154">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0.0pt;height:22.8pt;mso-wrap-distance-left:0.0pt;mso-wrap-distance-top:0.0pt;mso-wrap-distance-right:0.0pt;mso-wrap-distance-bottom:0.0pt;" filled="f" stroked="f">
            <v:path textboxrect="0,0,0,0"/>
            <v:imagedata r:id="rId20" o:title=""/>
          </v:shape>
          <o:OLEObject DrawAspect="Content" r:id="rId21" ObjectID="_1525042" ProgID="PBrush" ShapeID="_x0000_i2" Type="Embed"/>
        </w:object>
      </w:r>
      <w:r>
        <w:rPr>
          <w:rFonts w:ascii="Arial" w:hAnsi="Arial" w:eastAsia="楷体_GB2312" w:cs="Arial"/>
          <w:b/>
          <w:color w:val="000000"/>
          <w:sz w:val="32"/>
          <w:highlight w:val="none"/>
        </w:rPr>
      </w:r>
      <w:r/>
    </w:p>
    <w:p>
      <w:pPr>
        <w:pStyle w:val="927"/>
        <w:jc w:val="center"/>
        <w:spacing w:line="360" w:lineRule="auto"/>
        <w:rPr>
          <w:rFonts w:hint="eastAsia" w:ascii="宋体" w:hAnsi="宋体" w:cs="宋体"/>
          <w:b/>
          <w:color w:val="000000"/>
          <w:sz w:val="32"/>
          <w:highlight w:val="none"/>
        </w:rPr>
      </w:pPr>
      <w:r>
        <w:rPr>
          <w:rFonts w:hint="eastAsia" w:ascii="宋体" w:hAnsi="宋体" w:cs="宋体"/>
          <w:b/>
          <w:color w:val="000000"/>
          <w:sz w:val="32"/>
          <w:highlight w:val="none"/>
        </w:rPr>
        <w:t xml:space="preserve">采购代理机构：苏美达国际技术贸易有限公司</w:t>
      </w:r>
      <w:r>
        <w:rPr>
          <w:rFonts w:hint="eastAsia" w:ascii="宋体" w:hAnsi="宋体" w:cs="宋体"/>
          <w:b/>
          <w:color w:val="000000"/>
          <w:sz w:val="32"/>
          <w:highlight w:val="none"/>
        </w:rPr>
      </w:r>
      <w:r/>
    </w:p>
    <w:p>
      <w:pPr>
        <w:pStyle w:val="927"/>
        <w:jc w:val="center"/>
        <w:spacing w:line="360" w:lineRule="auto"/>
        <w:rPr>
          <w:rFonts w:ascii="Arial" w:hAnsi="Arial" w:eastAsia="黑体" w:cs="Arial"/>
          <w:b/>
          <w:color w:val="000000"/>
          <w:sz w:val="32"/>
          <w:highlight w:val="none"/>
        </w:rPr>
        <w:sectPr>
          <w:headerReference w:type="default" r:id="rId9"/>
          <w:headerReference w:type="first" r:id="rId10"/>
          <w:footerReference w:type="default" r:id="rId14"/>
          <w:footerReference w:type="first" r:id="rId15"/>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cs="宋体"/>
          <w:b/>
          <w:color w:val="000000"/>
          <w:sz w:val="32"/>
          <w:szCs w:val="22"/>
          <w:highlight w:val="none"/>
        </w:rPr>
        <w:t xml:space="preserve">202</w:t>
      </w:r>
      <w:r>
        <w:rPr>
          <w:rFonts w:hint="eastAsia" w:ascii="宋体" w:hAnsi="宋体" w:cs="宋体"/>
          <w:b/>
          <w:color w:val="000000"/>
          <w:sz w:val="32"/>
          <w:szCs w:val="22"/>
          <w:highlight w:val="none"/>
          <w:lang w:val="en-US" w:eastAsia="zh-CN"/>
        </w:rPr>
        <w:t xml:space="preserve">6</w:t>
      </w:r>
      <w:r>
        <w:rPr>
          <w:rFonts w:hint="eastAsia" w:ascii="宋体" w:hAnsi="宋体" w:cs="宋体"/>
          <w:b/>
          <w:color w:val="000000"/>
          <w:sz w:val="32"/>
          <w:szCs w:val="22"/>
          <w:highlight w:val="none"/>
        </w:rPr>
        <w:t xml:space="preserve">年</w:t>
      </w:r>
      <w:r>
        <w:rPr>
          <w:rFonts w:hint="eastAsia" w:ascii="宋体" w:hAnsi="宋体" w:cs="宋体"/>
          <w:b/>
          <w:color w:val="000000"/>
          <w:sz w:val="32"/>
          <w:szCs w:val="22"/>
          <w:highlight w:val="none"/>
          <w:lang w:val="en-US" w:eastAsia="zh-CN"/>
        </w:rPr>
        <w:t xml:space="preserve">6</w:t>
      </w:r>
      <w:r>
        <w:rPr>
          <w:rFonts w:hint="eastAsia" w:ascii="宋体" w:hAnsi="宋体" w:cs="宋体"/>
          <w:b/>
          <w:color w:val="000000"/>
          <w:sz w:val="32"/>
          <w:szCs w:val="22"/>
          <w:highlight w:val="none"/>
        </w:rPr>
        <w:t xml:space="preserve">月</w:t>
      </w:r>
      <w:r>
        <w:rPr>
          <w:rFonts w:ascii="Arial" w:hAnsi="Arial" w:eastAsia="黑体" w:cs="Arial"/>
          <w:b/>
          <w:color w:val="000000"/>
          <w:sz w:val="32"/>
          <w:highlight w:val="none"/>
        </w:rPr>
      </w:r>
      <w:r/>
    </w:p>
    <w:p>
      <w:pPr>
        <w:pStyle w:val="927"/>
        <w:jc w:val="center"/>
        <w:spacing w:line="440" w:lineRule="exact"/>
        <w:rPr>
          <w:rFonts w:ascii="Arial" w:hAnsi="Arial" w:eastAsia="黑体" w:cs="Arial"/>
          <w:b/>
          <w:color w:val="000000"/>
          <w:sz w:val="32"/>
          <w:highlight w:val="none"/>
        </w:rPr>
      </w:pPr>
      <w:r>
        <w:rPr>
          <w:rFonts w:ascii="Arial" w:hAnsi="Arial" w:eastAsia="黑体" w:cs="Arial"/>
          <w:b/>
          <w:color w:val="000000"/>
          <w:sz w:val="32"/>
          <w:highlight w:val="none"/>
        </w:rPr>
        <w:t xml:space="preserve">目   录</w:t>
      </w:r>
      <w:r>
        <w:rPr>
          <w:rFonts w:ascii="Arial" w:hAnsi="Arial" w:eastAsia="黑体" w:cs="Arial"/>
          <w:b/>
          <w:color w:val="000000"/>
          <w:sz w:val="32"/>
          <w:highlight w:val="none"/>
        </w:rPr>
      </w:r>
      <w:r/>
    </w:p>
    <w:p>
      <w:pPr>
        <w:pStyle w:val="927"/>
        <w:spacing w:line="440" w:lineRule="exact"/>
        <w:rPr>
          <w:rFonts w:hint="eastAsia" w:ascii="Arial" w:hAnsi="Arial" w:cs="Arial"/>
          <w:color w:val="000000"/>
          <w:szCs w:val="21"/>
          <w:highlight w:val="none"/>
        </w:rPr>
      </w:pPr>
      <w:r>
        <w:rPr>
          <w:rFonts w:ascii="Arial" w:hAnsi="Arial" w:eastAsia="黑体" w:cs="Arial"/>
          <w:bCs/>
          <w:color w:val="000000"/>
          <w:sz w:val="24"/>
          <w:highlight w:val="none"/>
        </w:rPr>
        <w:fldChar w:fldCharType="begin"/>
      </w:r>
      <w:r>
        <w:rPr>
          <w:rFonts w:ascii="Arial" w:hAnsi="Arial" w:eastAsia="黑体" w:cs="Arial"/>
          <w:bCs/>
          <w:color w:val="000000"/>
          <w:sz w:val="24"/>
          <w:highlight w:val="none"/>
        </w:rPr>
        <w:instrText xml:space="preserve">TOC \o "1-3" \h \u </w:instrText>
      </w:r>
      <w:r>
        <w:rPr>
          <w:rFonts w:ascii="Arial" w:hAnsi="Arial" w:eastAsia="黑体" w:cs="Arial"/>
          <w:bCs/>
          <w:color w:val="000000"/>
          <w:sz w:val="24"/>
          <w:highlight w:val="none"/>
        </w:rPr>
        <w:fldChar w:fldCharType="separate"/>
      </w:r>
      <w:r>
        <w:rPr>
          <w:rFonts w:hint="eastAsia" w:ascii="Arial" w:hAnsi="Arial" w:cs="Arial"/>
          <w:color w:val="000000"/>
          <w:szCs w:val="21"/>
          <w:highlight w:val="none"/>
        </w:rPr>
        <w:t xml:space="preserve">第一章  招标公告</w:t>
      </w:r>
      <w:r>
        <w:rPr>
          <w:rFonts w:hint="eastAsia" w:ascii="Arial" w:hAnsi="Arial" w:cs="Arial"/>
          <w:color w:val="000000"/>
          <w:szCs w:val="21"/>
          <w:highlight w:val="none"/>
        </w:rPr>
      </w:r>
      <w:r/>
    </w:p>
    <w:p>
      <w:pPr>
        <w:pStyle w:val="927"/>
        <w:spacing w:line="440" w:lineRule="exact"/>
        <w:rPr>
          <w:rFonts w:ascii="Arial" w:hAnsi="Arial" w:cs="Arial"/>
          <w:color w:val="000000"/>
          <w:szCs w:val="21"/>
          <w:highlight w:val="none"/>
        </w:rPr>
      </w:pPr>
      <w:r>
        <w:rPr>
          <w:rFonts w:hint="eastAsia" w:ascii="Arial" w:hAnsi="Arial" w:cs="Arial"/>
          <w:color w:val="000000"/>
          <w:szCs w:val="21"/>
          <w:highlight w:val="none"/>
        </w:rPr>
        <w:t xml:space="preserve">第二章  </w:t>
      </w:r>
      <w:r>
        <w:rPr>
          <w:rFonts w:ascii="Arial" w:hAnsi="Arial" w:cs="Arial"/>
          <w:color w:val="000000"/>
          <w:szCs w:val="21"/>
          <w:highlight w:val="none"/>
        </w:rPr>
        <w:t xml:space="preserve">投标人须知</w:t>
      </w:r>
      <w:r>
        <w:rPr>
          <w:rFonts w:ascii="Arial" w:hAnsi="Arial" w:cs="Arial"/>
          <w:color w:val="000000"/>
          <w:szCs w:val="21"/>
          <w:highlight w:val="none"/>
        </w:rPr>
      </w:r>
      <w:r/>
    </w:p>
    <w:p>
      <w:pPr>
        <w:pStyle w:val="927"/>
        <w:spacing w:line="440" w:lineRule="exact"/>
        <w:rPr>
          <w:rFonts w:ascii="Arial" w:hAnsi="Arial" w:cs="Arial"/>
          <w:color w:val="000000"/>
          <w:szCs w:val="21"/>
          <w:highlight w:val="none"/>
        </w:rPr>
      </w:pPr>
      <w:r>
        <w:rPr>
          <w:rFonts w:hint="eastAsia" w:ascii="Arial" w:hAnsi="Arial" w:cs="Arial"/>
          <w:color w:val="000000"/>
          <w:szCs w:val="21"/>
          <w:highlight w:val="none"/>
        </w:rPr>
        <w:t xml:space="preserve">第三章  评标方法、评分标准</w:t>
      </w:r>
      <w:r>
        <w:rPr>
          <w:rFonts w:ascii="Arial" w:hAnsi="Arial" w:cs="Arial"/>
          <w:color w:val="000000"/>
          <w:szCs w:val="21"/>
          <w:highlight w:val="none"/>
        </w:rPr>
      </w:r>
      <w:r/>
    </w:p>
    <w:p>
      <w:pPr>
        <w:pStyle w:val="927"/>
        <w:spacing w:line="440" w:lineRule="exact"/>
        <w:rPr>
          <w:rFonts w:ascii="Arial" w:hAnsi="Arial" w:cs="Arial"/>
          <w:color w:val="000000"/>
          <w:szCs w:val="21"/>
          <w:highlight w:val="none"/>
        </w:rPr>
      </w:pPr>
      <w:r>
        <w:rPr>
          <w:rFonts w:hint="eastAsia" w:ascii="Arial" w:hAnsi="Arial" w:cs="Arial"/>
          <w:color w:val="000000"/>
          <w:szCs w:val="21"/>
          <w:highlight w:val="none"/>
        </w:rPr>
        <w:t xml:space="preserve">第四章  采购需求</w:t>
      </w:r>
      <w:r>
        <w:rPr>
          <w:rFonts w:ascii="Arial" w:hAnsi="Arial" w:cs="Arial"/>
          <w:color w:val="000000"/>
          <w:szCs w:val="21"/>
          <w:highlight w:val="none"/>
        </w:rPr>
      </w:r>
      <w:r/>
    </w:p>
    <w:p>
      <w:pPr>
        <w:pStyle w:val="927"/>
        <w:spacing w:line="440" w:lineRule="exact"/>
        <w:rPr>
          <w:rFonts w:ascii="Arial" w:hAnsi="Arial" w:cs="Arial"/>
          <w:color w:val="000000"/>
          <w:szCs w:val="21"/>
          <w:highlight w:val="none"/>
        </w:rPr>
      </w:pPr>
      <w:r>
        <w:rPr>
          <w:rFonts w:hint="eastAsia" w:ascii="Arial" w:hAnsi="Arial" w:cs="Arial"/>
          <w:color w:val="000000"/>
          <w:szCs w:val="21"/>
          <w:highlight w:val="none"/>
        </w:rPr>
        <w:t xml:space="preserve">第五章  合同一般条款</w:t>
      </w:r>
      <w:r>
        <w:rPr>
          <w:rFonts w:ascii="Arial" w:hAnsi="Arial" w:cs="Arial"/>
          <w:color w:val="000000"/>
          <w:szCs w:val="21"/>
          <w:highlight w:val="none"/>
        </w:rPr>
      </w:r>
      <w:r/>
    </w:p>
    <w:p>
      <w:pPr>
        <w:pStyle w:val="927"/>
        <w:spacing w:line="440" w:lineRule="exact"/>
        <w:rPr>
          <w:rFonts w:ascii="Arial" w:hAnsi="Arial" w:cs="Arial"/>
          <w:color w:val="000000"/>
          <w:szCs w:val="21"/>
          <w:highlight w:val="none"/>
        </w:rPr>
      </w:pPr>
      <w:r>
        <w:rPr>
          <w:rFonts w:hint="eastAsia" w:ascii="Arial" w:hAnsi="Arial" w:cs="Arial"/>
          <w:color w:val="000000"/>
          <w:szCs w:val="21"/>
          <w:highlight w:val="none"/>
        </w:rPr>
        <w:t xml:space="preserve">第六章  合同主要条款</w:t>
      </w:r>
      <w:r>
        <w:rPr>
          <w:rFonts w:ascii="Arial" w:hAnsi="Arial" w:cs="Arial"/>
          <w:color w:val="000000"/>
          <w:szCs w:val="21"/>
          <w:highlight w:val="none"/>
        </w:rPr>
      </w:r>
      <w:r/>
    </w:p>
    <w:p>
      <w:pPr>
        <w:pStyle w:val="927"/>
        <w:spacing w:line="440" w:lineRule="exact"/>
        <w:rPr>
          <w:rFonts w:hint="eastAsia" w:ascii="Arial" w:hAnsi="Arial" w:eastAsia="宋体" w:cs="Arial"/>
          <w:color w:val="000000"/>
          <w:szCs w:val="21"/>
          <w:highlight w:val="none"/>
          <w:lang w:eastAsia="zh-CN"/>
        </w:rPr>
      </w:pPr>
      <w:r>
        <w:rPr>
          <w:rFonts w:hint="eastAsia" w:ascii="Arial" w:hAnsi="Arial" w:cs="Arial"/>
          <w:color w:val="000000"/>
          <w:szCs w:val="21"/>
          <w:highlight w:val="none"/>
          <w:lang w:eastAsia="zh-CN"/>
        </w:rPr>
        <w:t xml:space="preserve">第六章  投标文件格式及附件</w:t>
      </w:r>
      <w:r>
        <w:rPr>
          <w:rFonts w:hint="eastAsia" w:ascii="Arial" w:hAnsi="Arial" w:eastAsia="宋体" w:cs="Arial"/>
          <w:color w:val="000000"/>
          <w:szCs w:val="21"/>
          <w:highlight w:val="none"/>
          <w:lang w:eastAsia="zh-CN"/>
        </w:rPr>
      </w:r>
      <w:r/>
    </w:p>
    <w:p>
      <w:pPr>
        <w:pStyle w:val="927"/>
        <w:spacing w:line="440" w:lineRule="exact"/>
        <w:rPr>
          <w:rFonts w:ascii="Arial" w:hAnsi="Arial" w:cs="Arial"/>
          <w:color w:val="000000"/>
          <w:szCs w:val="21"/>
          <w:highlight w:val="none"/>
        </w:rPr>
      </w:pPr>
      <w:r>
        <w:rPr>
          <w:rFonts w:ascii="Arial" w:hAnsi="Arial" w:cs="Arial"/>
          <w:color w:val="000000"/>
          <w:szCs w:val="21"/>
          <w:highlight w:val="none"/>
        </w:rPr>
      </w:r>
      <w:r/>
    </w:p>
    <w:p>
      <w:pPr>
        <w:pStyle w:val="1129"/>
        <w:spacing w:line="480" w:lineRule="auto"/>
        <w:tabs>
          <w:tab w:val="right" w:pos="9638" w:leader="dot"/>
        </w:tabs>
        <w:rPr>
          <w:color w:val="000000"/>
          <w:highlight w:val="none"/>
        </w:rPr>
      </w:pPr>
      <w:r>
        <w:rPr>
          <w:color w:val="000000"/>
          <w:highlight w:val="none"/>
        </w:rPr>
      </w:r>
      <w:r/>
    </w:p>
    <w:p>
      <w:pPr>
        <w:pStyle w:val="1130"/>
        <w:tabs>
          <w:tab w:val="right" w:pos="9638" w:leader="dot"/>
        </w:tabs>
        <w:rPr>
          <w:highlight w:val="none"/>
        </w:rPr>
      </w:pPr>
      <w:r>
        <w:rPr>
          <w:highlight w:val="none"/>
        </w:rPr>
      </w:r>
      <w:r/>
    </w:p>
    <w:p>
      <w:pPr>
        <w:pStyle w:val="927"/>
        <w:spacing w:line="440" w:lineRule="exact"/>
        <w:rPr>
          <w:rFonts w:ascii="Arial" w:hAnsi="Arial" w:cs="Arial"/>
          <w:color w:val="000000"/>
          <w:szCs w:val="21"/>
          <w:highlight w:val="none"/>
        </w:rPr>
      </w:pPr>
      <w:r>
        <w:rPr>
          <w:rFonts w:ascii="Arial" w:hAnsi="Arial" w:eastAsia="黑体" w:cs="Arial"/>
          <w:bCs/>
          <w:color w:val="000000"/>
          <w:highlight w:val="none"/>
        </w:rPr>
        <w:fldChar w:fldCharType="end"/>
      </w:r>
      <w:r>
        <w:rPr>
          <w:rFonts w:ascii="Arial" w:hAnsi="Arial" w:eastAsia="黑体" w:cs="Arial"/>
          <w:bCs/>
          <w:color w:val="000000"/>
          <w:sz w:val="24"/>
          <w:highlight w:val="none"/>
        </w:rPr>
        <w:fldChar w:fldCharType="begin"/>
      </w:r>
      <w:r>
        <w:rPr>
          <w:rFonts w:ascii="Arial" w:hAnsi="Arial" w:eastAsia="黑体" w:cs="Arial"/>
          <w:bCs/>
          <w:color w:val="000000"/>
          <w:sz w:val="24"/>
          <w:highlight w:val="none"/>
        </w:rPr>
        <w:instrText xml:space="preserve">TOC \o "1-3" \h \u </w:instrText>
      </w:r>
      <w:r>
        <w:rPr>
          <w:rFonts w:ascii="Arial" w:hAnsi="Arial" w:eastAsia="黑体" w:cs="Arial"/>
          <w:bCs/>
          <w:color w:val="000000"/>
          <w:sz w:val="24"/>
          <w:highlight w:val="none"/>
        </w:rPr>
        <w:fldChar w:fldCharType="separate"/>
      </w:r>
      <w:r>
        <w:rPr>
          <w:rFonts w:ascii="Arial" w:hAnsi="Arial" w:cs="Arial"/>
          <w:color w:val="000000"/>
          <w:szCs w:val="21"/>
          <w:highlight w:val="none"/>
        </w:rPr>
      </w:r>
      <w:r/>
    </w:p>
    <w:p>
      <w:pPr>
        <w:pStyle w:val="1129"/>
        <w:spacing w:line="480" w:lineRule="auto"/>
        <w:tabs>
          <w:tab w:val="right" w:pos="9638" w:leader="dot"/>
        </w:tabs>
        <w:rPr>
          <w:color w:val="000000"/>
          <w:highlight w:val="none"/>
        </w:rPr>
      </w:pPr>
      <w:r>
        <w:rPr>
          <w:color w:val="000000"/>
          <w:highlight w:val="none"/>
        </w:rPr>
      </w:r>
      <w:r/>
    </w:p>
    <w:p>
      <w:pPr>
        <w:pStyle w:val="1130"/>
        <w:jc w:val="left"/>
        <w:tabs>
          <w:tab w:val="right" w:pos="9638" w:leader="dot"/>
        </w:tabs>
        <w:rPr>
          <w:highlight w:val="none"/>
        </w:rPr>
      </w:pPr>
      <w:r>
        <w:rPr>
          <w:highlight w:val="none"/>
        </w:rPr>
      </w:r>
      <w:r/>
    </w:p>
    <w:p>
      <w:pPr>
        <w:pStyle w:val="927"/>
        <w:spacing w:line="440" w:lineRule="exact"/>
        <w:rPr>
          <w:rFonts w:ascii="Arial" w:hAnsi="Arial" w:eastAsia="黑体" w:cs="Arial"/>
          <w:bCs/>
          <w:color w:val="000000"/>
          <w:sz w:val="24"/>
          <w:highlight w:val="none"/>
        </w:rPr>
      </w:pPr>
      <w:r>
        <w:rPr>
          <w:rFonts w:ascii="Arial" w:hAnsi="Arial" w:eastAsia="黑体" w:cs="Arial"/>
          <w:bCs/>
          <w:color w:val="000000"/>
          <w:highlight w:val="none"/>
        </w:rPr>
        <w:fldChar w:fldCharType="end"/>
      </w:r>
      <w:r>
        <w:rPr>
          <w:rFonts w:ascii="Arial" w:hAnsi="Arial" w:eastAsia="黑体" w:cs="Arial"/>
          <w:bCs/>
          <w:color w:val="000000"/>
          <w:sz w:val="24"/>
          <w:highlight w:val="none"/>
        </w:rPr>
      </w:r>
      <w:r/>
    </w:p>
    <w:p>
      <w:pPr>
        <w:pStyle w:val="927"/>
        <w:jc w:val="center"/>
        <w:spacing w:line="440" w:lineRule="exact"/>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pStyle w:val="927"/>
        <w:rPr>
          <w:rFonts w:ascii="Arial" w:hAnsi="Arial" w:eastAsia="黑体" w:cs="Arial"/>
          <w:sz w:val="28"/>
          <w:szCs w:val="28"/>
          <w:highlight w:val="none"/>
        </w:rPr>
      </w:pPr>
      <w:r>
        <w:rPr>
          <w:rFonts w:ascii="Arial" w:hAnsi="Arial" w:eastAsia="黑体" w:cs="Arial"/>
          <w:sz w:val="28"/>
          <w:szCs w:val="28"/>
          <w:highlight w:val="none"/>
        </w:rPr>
      </w:r>
      <w:r/>
    </w:p>
    <w:p>
      <w:pPr>
        <w:pStyle w:val="927"/>
        <w:rPr>
          <w:rFonts w:ascii="Arial" w:hAnsi="Arial" w:eastAsia="黑体" w:cs="Arial"/>
          <w:sz w:val="28"/>
          <w:szCs w:val="28"/>
          <w:highlight w:val="none"/>
        </w:rPr>
      </w:pPr>
      <w:r>
        <w:rPr>
          <w:rFonts w:ascii="Arial" w:hAnsi="Arial" w:eastAsia="黑体" w:cs="Arial"/>
          <w:sz w:val="28"/>
          <w:szCs w:val="28"/>
          <w:highlight w:val="none"/>
        </w:rPr>
      </w:r>
      <w:r/>
    </w:p>
    <w:p>
      <w:pPr>
        <w:pStyle w:val="927"/>
        <w:rPr>
          <w:rFonts w:ascii="Arial" w:hAnsi="Arial" w:eastAsia="黑体" w:cs="Arial"/>
          <w:sz w:val="28"/>
          <w:szCs w:val="28"/>
          <w:highlight w:val="none"/>
        </w:rPr>
      </w:pPr>
      <w:r>
        <w:rPr>
          <w:rFonts w:ascii="Arial" w:hAnsi="Arial" w:eastAsia="黑体" w:cs="Arial"/>
          <w:sz w:val="28"/>
          <w:szCs w:val="28"/>
          <w:highlight w:val="none"/>
        </w:rPr>
      </w:r>
      <w:r/>
    </w:p>
    <w:p>
      <w:pPr>
        <w:pStyle w:val="927"/>
        <w:rPr>
          <w:rFonts w:ascii="Arial" w:hAnsi="Arial" w:eastAsia="黑体" w:cs="Arial"/>
          <w:sz w:val="28"/>
          <w:szCs w:val="28"/>
          <w:highlight w:val="none"/>
        </w:rPr>
      </w:pPr>
      <w:r>
        <w:rPr>
          <w:rFonts w:ascii="Arial" w:hAnsi="Arial" w:eastAsia="黑体" w:cs="Arial"/>
          <w:sz w:val="28"/>
          <w:szCs w:val="28"/>
          <w:highlight w:val="none"/>
        </w:rPr>
      </w:r>
      <w:r/>
    </w:p>
    <w:p>
      <w:pPr>
        <w:pStyle w:val="927"/>
        <w:rPr>
          <w:rFonts w:ascii="Arial" w:hAnsi="Arial" w:eastAsia="黑体" w:cs="Arial"/>
          <w:sz w:val="28"/>
          <w:szCs w:val="28"/>
          <w:highlight w:val="none"/>
        </w:rPr>
      </w:pPr>
      <w:r>
        <w:rPr>
          <w:rFonts w:ascii="Arial" w:hAnsi="Arial" w:eastAsia="黑体" w:cs="Arial"/>
          <w:sz w:val="28"/>
          <w:szCs w:val="28"/>
          <w:highlight w:val="none"/>
        </w:rPr>
      </w:r>
      <w:r/>
    </w:p>
    <w:p>
      <w:pPr>
        <w:pStyle w:val="927"/>
        <w:rPr>
          <w:rFonts w:ascii="Arial" w:hAnsi="Arial" w:eastAsia="黑体" w:cs="Arial"/>
          <w:sz w:val="28"/>
          <w:szCs w:val="28"/>
          <w:highlight w:val="none"/>
        </w:rPr>
      </w:pPr>
      <w:r>
        <w:rPr>
          <w:rFonts w:ascii="Arial" w:hAnsi="Arial" w:eastAsia="黑体" w:cs="Arial"/>
          <w:sz w:val="28"/>
          <w:szCs w:val="28"/>
          <w:highlight w:val="none"/>
        </w:rPr>
      </w:r>
      <w:r/>
    </w:p>
    <w:p>
      <w:pPr>
        <w:pStyle w:val="927"/>
        <w:rPr>
          <w:rFonts w:ascii="Arial" w:hAnsi="Arial" w:eastAsia="黑体" w:cs="Arial"/>
          <w:sz w:val="28"/>
          <w:szCs w:val="28"/>
          <w:highlight w:val="none"/>
        </w:rPr>
      </w:pPr>
      <w:r>
        <w:rPr>
          <w:rFonts w:ascii="Arial" w:hAnsi="Arial" w:eastAsia="黑体" w:cs="Arial"/>
          <w:sz w:val="28"/>
          <w:szCs w:val="28"/>
          <w:highlight w:val="none"/>
        </w:rPr>
      </w:r>
      <w:r/>
    </w:p>
    <w:p>
      <w:pPr>
        <w:pStyle w:val="927"/>
        <w:jc w:val="center"/>
        <w:rPr>
          <w:rFonts w:ascii="Arial" w:hAnsi="Arial" w:eastAsia="黑体" w:cs="Arial"/>
          <w:sz w:val="28"/>
          <w:szCs w:val="28"/>
          <w:highlight w:val="none"/>
        </w:rPr>
      </w:pPr>
      <w:r>
        <w:rPr>
          <w:rFonts w:ascii="Arial" w:hAnsi="Arial" w:eastAsia="黑体" w:cs="Arial"/>
          <w:sz w:val="28"/>
          <w:szCs w:val="28"/>
          <w:highlight w:val="none"/>
        </w:rPr>
      </w:r>
      <w:r/>
    </w:p>
    <w:p>
      <w:pPr>
        <w:pStyle w:val="927"/>
        <w:rPr>
          <w:rFonts w:ascii="Arial" w:hAnsi="Arial" w:eastAsia="黑体" w:cs="Arial"/>
          <w:sz w:val="28"/>
          <w:szCs w:val="28"/>
          <w:highlight w:val="none"/>
        </w:rPr>
        <w:sectPr>
          <w:footerReference w:type="default" r:id="rId16"/>
          <w:footnotePr/>
          <w:endnotePr/>
          <w:type w:val="nextPage"/>
          <w:pgSz w:w="11906" w:h="16838" w:orient="portrait"/>
          <w:pgMar w:top="1134" w:right="1134" w:bottom="1134" w:left="1134" w:header="851" w:footer="992" w:gutter="0"/>
          <w:pgNumType w:start="1"/>
          <w:cols w:num="1" w:sep="0" w:space="1701" w:equalWidth="1"/>
          <w:docGrid w:linePitch="360"/>
        </w:sectPr>
      </w:pPr>
      <w:r>
        <w:rPr>
          <w:rFonts w:ascii="Arial" w:hAnsi="Arial" w:eastAsia="黑体" w:cs="Arial"/>
          <w:sz w:val="28"/>
          <w:szCs w:val="28"/>
          <w:highlight w:val="none"/>
        </w:rPr>
      </w:r>
      <w:r/>
    </w:p>
    <w:p>
      <w:pPr>
        <w:pStyle w:val="1131"/>
        <w:ind w:right="420" w:firstLine="321"/>
        <w:jc w:val="center"/>
        <w:spacing w:line="360" w:lineRule="auto"/>
        <w:rPr>
          <w:rFonts w:hint="eastAsia" w:eastAsia="黑体"/>
          <w:szCs w:val="24"/>
          <w:highlight w:val="none"/>
        </w:rPr>
        <w:outlineLvl w:val="0"/>
      </w:pPr>
      <w:r>
        <w:rPr>
          <w:rFonts w:hint="eastAsia" w:ascii="黑体" w:hAnsi="宋体" w:eastAsia="黑体"/>
          <w:sz w:val="32"/>
          <w:szCs w:val="32"/>
          <w:highlight w:val="none"/>
        </w:rPr>
        <w:t xml:space="preserve">第一章 招标公告</w:t>
      </w:r>
      <w:r>
        <w:rPr>
          <w:rFonts w:hint="eastAsia" w:eastAsia="黑体"/>
          <w:szCs w:val="24"/>
          <w:highlight w:val="none"/>
        </w:rPr>
      </w:r>
      <w:r/>
    </w:p>
    <w:p>
      <w:pPr>
        <w:pStyle w:val="927"/>
        <w:ind w:right="-159" w:firstLine="420"/>
        <w:spacing w:line="360" w:lineRule="auto"/>
        <w:rPr>
          <w:rFonts w:hint="eastAsia"/>
          <w:highlight w:val="none"/>
        </w:rPr>
      </w:pPr>
      <w:r>
        <w:rPr>
          <w:rFonts w:hint="eastAsia"/>
          <w:highlight w:val="none"/>
        </w:rPr>
      </w:r>
      <w:r/>
    </w:p>
    <w:p>
      <w:pPr>
        <w:pStyle w:val="1132"/>
        <w:ind w:firstLine="420"/>
        <w:spacing w:before="0" w:beforeAutospacing="0" w:after="0" w:afterAutospacing="0" w:line="360" w:lineRule="auto"/>
        <w:rPr>
          <w:rFonts w:ascii="Arial" w:hAnsi="Arial" w:eastAsia="宋体" w:cs="Arial"/>
          <w:sz w:val="21"/>
          <w:szCs w:val="21"/>
          <w:highlight w:val="none"/>
        </w:rPr>
      </w:pPr>
      <w:r>
        <w:rPr>
          <w:rFonts w:hint="eastAsia" w:ascii="Arial" w:hAnsi="Arial" w:eastAsia="宋体" w:cs="Arial"/>
          <w:sz w:val="21"/>
          <w:szCs w:val="21"/>
          <w:highlight w:val="none"/>
        </w:rPr>
        <w:t xml:space="preserve">苏美达国际技术贸易有限公司</w:t>
      </w:r>
      <w:r>
        <w:rPr>
          <w:rFonts w:ascii="Arial" w:hAnsi="Arial" w:eastAsia="宋体" w:cs="Arial"/>
          <w:sz w:val="21"/>
          <w:szCs w:val="21"/>
          <w:highlight w:val="none"/>
        </w:rPr>
        <w:t xml:space="preserve">受</w:t>
      </w:r>
      <w:r>
        <w:rPr>
          <w:rFonts w:hint="eastAsia" w:ascii="Arial" w:hAnsi="Arial" w:eastAsia="宋体" w:cs="Arial"/>
          <w:sz w:val="21"/>
          <w:szCs w:val="21"/>
          <w:highlight w:val="none"/>
          <w:lang w:eastAsia="zh-CN"/>
        </w:rPr>
        <w:t xml:space="preserve">南京市玄武区教育局</w:t>
      </w:r>
      <w:r>
        <w:rPr>
          <w:rFonts w:ascii="Arial" w:hAnsi="Arial" w:eastAsia="宋体" w:cs="Arial"/>
          <w:sz w:val="21"/>
          <w:szCs w:val="21"/>
          <w:highlight w:val="none"/>
        </w:rPr>
        <w:t xml:space="preserve">委托，就</w:t>
      </w:r>
      <w:r>
        <w:rPr>
          <w:rFonts w:hint="eastAsia" w:ascii="Arial" w:hAnsi="Arial" w:eastAsia="宋体" w:cs="Arial"/>
          <w:sz w:val="21"/>
          <w:szCs w:val="21"/>
          <w:highlight w:val="none"/>
          <w:lang w:eastAsia="zh-CN"/>
        </w:rPr>
        <w:t xml:space="preserve">玄武高级中学等校弱电智能化设备更新</w:t>
      </w:r>
      <w:r>
        <w:rPr>
          <w:rFonts w:ascii="Arial" w:hAnsi="Arial" w:eastAsia="宋体" w:cs="Arial"/>
          <w:sz w:val="21"/>
          <w:szCs w:val="21"/>
          <w:highlight w:val="none"/>
        </w:rPr>
        <w:t xml:space="preserve">进行公开招标，现欢迎符合相关条件的</w:t>
      </w:r>
      <w:r>
        <w:rPr>
          <w:rFonts w:hint="eastAsia" w:ascii="Arial" w:hAnsi="Arial" w:eastAsia="宋体" w:cs="Arial"/>
          <w:sz w:val="21"/>
          <w:szCs w:val="21"/>
          <w:highlight w:val="none"/>
        </w:rPr>
        <w:t xml:space="preserve">供应商</w:t>
      </w:r>
      <w:r>
        <w:rPr>
          <w:rFonts w:ascii="Arial" w:hAnsi="Arial" w:eastAsia="宋体" w:cs="Arial"/>
          <w:sz w:val="21"/>
          <w:szCs w:val="21"/>
          <w:highlight w:val="none"/>
        </w:rPr>
        <w:t xml:space="preserve">参加投标。</w:t>
      </w:r>
      <w:r>
        <w:rPr>
          <w:rFonts w:ascii="Arial" w:hAnsi="Arial" w:eastAsia="宋体" w:cs="Arial"/>
          <w:sz w:val="21"/>
          <w:szCs w:val="21"/>
          <w:highlight w:val="none"/>
        </w:rPr>
      </w:r>
      <w:r/>
    </w:p>
    <w:p>
      <w:pPr>
        <w:pStyle w:val="927"/>
        <w:spacing w:line="360" w:lineRule="auto"/>
        <w:rPr>
          <w:rFonts w:hint="eastAsia"/>
          <w:b/>
          <w:bCs/>
          <w:highlight w:val="none"/>
        </w:rPr>
      </w:pPr>
      <w:r/>
      <w:bookmarkStart w:id="0" w:name="_Toc35393790"/>
      <w:r/>
      <w:bookmarkStart w:id="1" w:name="_Toc28359002"/>
      <w:r/>
      <w:bookmarkStart w:id="2" w:name="_Toc28359079"/>
      <w:r/>
      <w:bookmarkStart w:id="3" w:name="_Toc35393621"/>
      <w:r>
        <w:rPr>
          <w:rFonts w:hint="eastAsia"/>
          <w:b/>
          <w:bCs/>
          <w:highlight w:val="none"/>
        </w:rPr>
        <w:t xml:space="preserve">一、项目基本情况</w:t>
      </w:r>
      <w:bookmarkEnd w:id="0"/>
      <w:r/>
      <w:bookmarkEnd w:id="1"/>
      <w:r/>
      <w:bookmarkEnd w:id="2"/>
      <w:r/>
      <w:bookmarkEnd w:id="3"/>
      <w:r>
        <w:rPr>
          <w:rFonts w:hint="eastAsia"/>
          <w:b/>
          <w:bCs/>
          <w:highlight w:val="none"/>
        </w:rPr>
        <w:t xml:space="preserve">及采购需求</w:t>
      </w:r>
      <w:r>
        <w:rPr>
          <w:rFonts w:hint="eastAsia"/>
          <w:b/>
          <w:bCs/>
          <w:highlight w:val="none"/>
        </w:rPr>
      </w:r>
      <w:r/>
    </w:p>
    <w:p>
      <w:pPr>
        <w:pStyle w:val="927"/>
        <w:spacing w:line="360" w:lineRule="auto"/>
        <w:rPr>
          <w:rFonts w:hint="eastAsia" w:ascii="Arial" w:hAnsi="Arial" w:eastAsia="宋体" w:cs="Arial"/>
          <w:color w:val="000000"/>
          <w:szCs w:val="21"/>
          <w:highlight w:val="none"/>
          <w:lang w:eastAsia="zh-CN"/>
        </w:rPr>
      </w:pPr>
      <w:r>
        <w:rPr>
          <w:rFonts w:hint="eastAsia" w:ascii="Arial" w:hAnsi="Arial" w:cs="Arial"/>
          <w:color w:val="000000"/>
          <w:szCs w:val="21"/>
          <w:highlight w:val="none"/>
        </w:rPr>
        <w:t xml:space="preserve">项目编号：</w:t>
      </w:r>
      <w:r>
        <w:rPr>
          <w:rFonts w:hint="eastAsia" w:ascii="Arial" w:hAnsi="Arial" w:cs="Arial"/>
          <w:color w:val="000000"/>
          <w:szCs w:val="21"/>
          <w:highlight w:val="none"/>
          <w:lang w:eastAsia="zh-CN"/>
        </w:rPr>
        <w:t xml:space="preserve">JSZC-320102-SMDG-G2026-0045</w:t>
      </w:r>
      <w:r>
        <w:rPr>
          <w:rFonts w:hint="eastAsia" w:ascii="Arial" w:hAnsi="Arial" w:eastAsia="宋体" w:cs="Arial"/>
          <w:color w:val="000000"/>
          <w:szCs w:val="21"/>
          <w:highlight w:val="none"/>
          <w:lang w:eastAsia="zh-CN"/>
        </w:rPr>
      </w:r>
      <w:r/>
    </w:p>
    <w:p>
      <w:pPr>
        <w:pStyle w:val="927"/>
        <w:spacing w:line="360" w:lineRule="auto"/>
        <w:rPr>
          <w:rFonts w:hint="eastAsia" w:ascii="Arial" w:hAnsi="Arial" w:eastAsia="宋体" w:cs="Arial"/>
          <w:color w:val="000000"/>
          <w:szCs w:val="21"/>
          <w:highlight w:val="none"/>
          <w:lang w:eastAsia="zh-CN"/>
        </w:rPr>
      </w:pPr>
      <w:r>
        <w:rPr>
          <w:rFonts w:hint="eastAsia" w:ascii="Arial" w:hAnsi="Arial" w:cs="Arial"/>
          <w:color w:val="000000"/>
          <w:szCs w:val="21"/>
          <w:highlight w:val="none"/>
        </w:rPr>
        <w:t xml:space="preserve">项目名称：</w:t>
      </w:r>
      <w:r>
        <w:rPr>
          <w:rFonts w:hint="eastAsia" w:ascii="Arial" w:hAnsi="Arial" w:cs="Arial"/>
          <w:color w:val="000000"/>
          <w:szCs w:val="21"/>
          <w:highlight w:val="none"/>
          <w:lang w:eastAsia="zh-CN"/>
        </w:rPr>
        <w:t xml:space="preserve">玄武高级中学等校弱电智能化设备更新</w:t>
      </w:r>
      <w:r>
        <w:rPr>
          <w:rFonts w:hint="eastAsia" w:ascii="Arial" w:hAnsi="Arial" w:eastAsia="宋体" w:cs="Arial"/>
          <w:color w:val="000000"/>
          <w:szCs w:val="21"/>
          <w:highlight w:val="none"/>
          <w:lang w:eastAsia="zh-CN"/>
        </w:rPr>
      </w:r>
      <w:r/>
    </w:p>
    <w:p>
      <w:pPr>
        <w:pStyle w:val="927"/>
        <w:spacing w:line="360" w:lineRule="auto"/>
        <w:rPr>
          <w:rFonts w:hint="eastAsia" w:ascii="Arial" w:hAnsi="Arial" w:cs="Arial"/>
          <w:color w:val="000000"/>
          <w:szCs w:val="21"/>
          <w:highlight w:val="none"/>
        </w:rPr>
      </w:pPr>
      <w:r>
        <w:rPr>
          <w:rFonts w:hint="eastAsia" w:ascii="Arial" w:hAnsi="Arial" w:cs="Arial"/>
          <w:color w:val="000000"/>
          <w:szCs w:val="21"/>
          <w:highlight w:val="none"/>
        </w:rPr>
        <w:t xml:space="preserve">采购预算：RMB</w:t>
      </w:r>
      <w:r>
        <w:rPr>
          <w:rFonts w:hint="eastAsia" w:ascii="Arial" w:hAnsi="Arial" w:cs="Arial"/>
          <w:color w:val="000000"/>
          <w:szCs w:val="21"/>
          <w:highlight w:val="none"/>
          <w:lang w:val="en-US" w:eastAsia="zh-CN"/>
        </w:rPr>
        <w:t xml:space="preserve">350</w:t>
      </w:r>
      <w:r>
        <w:rPr>
          <w:rFonts w:hint="eastAsia" w:ascii="Arial" w:hAnsi="Arial" w:cs="Arial"/>
          <w:color w:val="000000"/>
          <w:szCs w:val="21"/>
          <w:highlight w:val="none"/>
        </w:rPr>
        <w:t xml:space="preserve">万元</w:t>
      </w:r>
      <w:r>
        <w:rPr>
          <w:rFonts w:hint="eastAsia" w:ascii="Arial" w:hAnsi="Arial" w:cs="Arial"/>
          <w:color w:val="000000"/>
          <w:szCs w:val="21"/>
          <w:highlight w:val="none"/>
        </w:rPr>
      </w:r>
      <w:r/>
    </w:p>
    <w:p>
      <w:pPr>
        <w:pStyle w:val="948"/>
        <w:ind w:firstLine="0"/>
        <w:spacing w:line="360" w:lineRule="auto"/>
        <w:rPr>
          <w:rFonts w:hint="eastAsia" w:ascii="Arial" w:hAnsi="Arial" w:cs="Arial"/>
          <w:color w:val="000000"/>
          <w:szCs w:val="21"/>
          <w:highlight w:val="none"/>
        </w:rPr>
      </w:pPr>
      <w:r>
        <w:rPr>
          <w:rFonts w:hint="eastAsia"/>
          <w:highlight w:val="none"/>
        </w:rPr>
        <w:t xml:space="preserve">最高限价：</w:t>
      </w:r>
      <w:r>
        <w:rPr>
          <w:rFonts w:hint="eastAsia" w:ascii="Arial" w:hAnsi="Arial" w:cs="Arial"/>
          <w:color w:val="000000"/>
          <w:szCs w:val="21"/>
          <w:highlight w:val="none"/>
        </w:rPr>
        <w:t xml:space="preserve">RMB</w:t>
      </w:r>
      <w:r>
        <w:rPr>
          <w:rFonts w:hint="eastAsia" w:ascii="Arial" w:hAnsi="Arial" w:cs="Arial"/>
          <w:color w:val="000000"/>
          <w:szCs w:val="21"/>
          <w:highlight w:val="none"/>
          <w:lang w:val="en-US" w:eastAsia="zh-CN"/>
        </w:rPr>
        <w:t xml:space="preserve">338</w:t>
      </w:r>
      <w:r>
        <w:rPr>
          <w:rFonts w:hint="eastAsia" w:ascii="Arial" w:hAnsi="Arial" w:cs="Arial"/>
          <w:color w:val="000000"/>
          <w:szCs w:val="21"/>
          <w:highlight w:val="none"/>
        </w:rPr>
        <w:t xml:space="preserve">万元，超过预算或</w:t>
      </w:r>
      <w:r>
        <w:rPr>
          <w:rFonts w:hint="eastAsia" w:ascii="Arial" w:hAnsi="Arial" w:cs="Arial"/>
          <w:color w:val="000000"/>
          <w:szCs w:val="21"/>
          <w:highlight w:val="none"/>
          <w:lang w:val="en-US" w:eastAsia="zh-CN"/>
        </w:rPr>
        <w:t xml:space="preserve">对应产品单价</w:t>
      </w:r>
      <w:r>
        <w:rPr>
          <w:rFonts w:hint="eastAsia" w:ascii="Arial" w:hAnsi="Arial" w:cs="Arial"/>
          <w:color w:val="000000"/>
          <w:szCs w:val="21"/>
          <w:highlight w:val="none"/>
        </w:rPr>
        <w:t xml:space="preserve">最高限价，作无效投标处理。</w:t>
      </w:r>
      <w:r>
        <w:rPr>
          <w:rFonts w:hint="eastAsia" w:ascii="Arial" w:hAnsi="Arial" w:cs="Arial"/>
          <w:color w:val="000000"/>
          <w:szCs w:val="21"/>
          <w:highlight w:val="none"/>
        </w:rPr>
      </w:r>
      <w:r/>
    </w:p>
    <w:p>
      <w:pPr>
        <w:pStyle w:val="927"/>
        <w:spacing w:line="360" w:lineRule="auto"/>
        <w:rPr>
          <w:rFonts w:hint="eastAsia" w:ascii="Arial" w:hAnsi="Arial" w:cs="Arial"/>
          <w:color w:val="000000"/>
          <w:szCs w:val="21"/>
          <w:highlight w:val="none"/>
          <w:lang w:val="en-US" w:eastAsia="zh-CN"/>
        </w:rPr>
      </w:pPr>
      <w:r>
        <w:rPr>
          <w:rFonts w:hint="eastAsia" w:ascii="Arial" w:hAnsi="Arial" w:cs="Arial"/>
          <w:color w:val="000000"/>
          <w:szCs w:val="21"/>
          <w:highlight w:val="none"/>
          <w:lang w:val="en-US" w:eastAsia="zh-CN"/>
        </w:rPr>
        <w:t xml:space="preserve">采购需求：根据学校教学管理需求，配置综合布线、数据网络、校园广播、校园安防、中心机房等设备安装与调试，保障开学日常教育教学管理需求。（详细内容见本招标文件第四章）</w:t>
      </w:r>
      <w:r>
        <w:rPr>
          <w:rFonts w:hint="eastAsia" w:ascii="Arial" w:hAnsi="Arial" w:cs="Arial"/>
          <w:color w:val="000000"/>
          <w:szCs w:val="21"/>
          <w:highlight w:val="none"/>
          <w:lang w:val="en-US" w:eastAsia="zh-CN"/>
        </w:rPr>
      </w:r>
      <w:r/>
    </w:p>
    <w:p>
      <w:pPr>
        <w:pStyle w:val="927"/>
        <w:spacing w:line="360" w:lineRule="auto"/>
        <w:rPr>
          <w:rFonts w:hint="eastAsia" w:ascii="Arial" w:hAnsi="Arial" w:cs="Arial"/>
          <w:color w:val="000000"/>
          <w:szCs w:val="21"/>
          <w:highlight w:val="none"/>
          <w:lang w:val="en-US" w:eastAsia="zh-CN"/>
        </w:rPr>
      </w:pPr>
      <w:r>
        <w:rPr>
          <w:rFonts w:hint="eastAsia" w:ascii="Arial" w:hAnsi="Arial" w:cs="Arial"/>
          <w:color w:val="000000"/>
          <w:szCs w:val="21"/>
          <w:highlight w:val="none"/>
          <w:lang w:val="en-US" w:eastAsia="zh-CN"/>
        </w:rPr>
        <w:t xml:space="preserve">合同履行期限：45天</w:t>
      </w:r>
      <w:r>
        <w:rPr>
          <w:rFonts w:hint="eastAsia" w:ascii="Arial" w:hAnsi="Arial" w:cs="Arial"/>
          <w:color w:val="000000"/>
          <w:szCs w:val="21"/>
          <w:highlight w:val="none"/>
          <w:lang w:val="en-US" w:eastAsia="zh-CN"/>
        </w:rPr>
      </w:r>
      <w:r/>
    </w:p>
    <w:p>
      <w:pPr>
        <w:pStyle w:val="927"/>
        <w:spacing w:line="360" w:lineRule="auto"/>
        <w:rPr>
          <w:rFonts w:hint="eastAsia" w:ascii="Arial" w:hAnsi="Arial" w:cs="Arial"/>
          <w:color w:val="000000"/>
          <w:szCs w:val="21"/>
          <w:highlight w:val="none"/>
          <w:lang w:val="en-US" w:eastAsia="zh-CN"/>
        </w:rPr>
      </w:pPr>
      <w:r>
        <w:rPr>
          <w:rFonts w:hint="eastAsia" w:ascii="Arial" w:hAnsi="Arial" w:cs="Arial"/>
          <w:color w:val="000000"/>
          <w:szCs w:val="21"/>
          <w:highlight w:val="none"/>
          <w:lang w:val="en-US" w:eastAsia="zh-CN"/>
        </w:rPr>
        <w:t xml:space="preserve">本项目采购标的对应的中小企业划分标准所属行业为：工业。</w:t>
      </w:r>
      <w:r>
        <w:rPr>
          <w:rFonts w:hint="eastAsia" w:ascii="Arial" w:hAnsi="Arial" w:cs="Arial"/>
          <w:color w:val="000000"/>
          <w:szCs w:val="21"/>
          <w:highlight w:val="none"/>
          <w:lang w:val="en-US" w:eastAsia="zh-CN"/>
        </w:rPr>
      </w:r>
      <w:r/>
    </w:p>
    <w:p>
      <w:pPr>
        <w:pStyle w:val="927"/>
        <w:spacing w:line="360" w:lineRule="auto"/>
        <w:rPr>
          <w:rFonts w:ascii="Arial" w:hAnsi="Arial" w:cs="Arial"/>
          <w:color w:val="000000"/>
          <w:szCs w:val="21"/>
          <w:highlight w:val="none"/>
        </w:rPr>
      </w:pPr>
      <w:r>
        <w:rPr>
          <w:rFonts w:hint="eastAsia" w:ascii="Arial" w:hAnsi="Arial" w:cs="Arial"/>
          <w:color w:val="000000"/>
          <w:szCs w:val="21"/>
          <w:highlight w:val="none"/>
        </w:rPr>
        <w:t xml:space="preserve">本项目</w:t>
      </w:r>
      <w:r>
        <w:rPr>
          <w:rFonts w:hint="eastAsia" w:ascii="Arial" w:hAnsi="Arial" w:cs="Arial"/>
          <w:color w:val="000000"/>
          <w:szCs w:val="21"/>
          <w:highlight w:val="none"/>
          <w:lang w:val="en-US" w:eastAsia="zh-CN"/>
        </w:rPr>
        <w:t xml:space="preserve">不</w:t>
      </w:r>
      <w:r>
        <w:rPr>
          <w:rFonts w:hint="eastAsia" w:ascii="Arial" w:hAnsi="Arial" w:cs="Arial"/>
          <w:color w:val="000000"/>
          <w:szCs w:val="21"/>
          <w:highlight w:val="none"/>
        </w:rPr>
        <w:t xml:space="preserve">接受进口产品投标。</w:t>
      </w:r>
      <w:r>
        <w:rPr>
          <w:rFonts w:ascii="Arial" w:hAnsi="Arial" w:cs="Arial"/>
          <w:color w:val="000000"/>
          <w:szCs w:val="21"/>
          <w:highlight w:val="none"/>
        </w:rPr>
      </w:r>
      <w:r/>
    </w:p>
    <w:p>
      <w:pPr>
        <w:pStyle w:val="927"/>
        <w:spacing w:line="360" w:lineRule="auto"/>
        <w:rPr>
          <w:rFonts w:hint="eastAsia" w:ascii="Arial" w:hAnsi="Arial" w:cs="Arial"/>
          <w:color w:val="000000"/>
          <w:szCs w:val="21"/>
          <w:highlight w:val="none"/>
        </w:rPr>
      </w:pPr>
      <w:r>
        <w:rPr>
          <w:rFonts w:hint="eastAsia" w:ascii="Arial" w:hAnsi="Arial" w:cs="Arial"/>
          <w:color w:val="000000"/>
          <w:szCs w:val="21"/>
          <w:highlight w:val="none"/>
        </w:rPr>
        <w:t xml:space="preserve">本项目不接受联合体投标。</w:t>
      </w:r>
      <w:r>
        <w:rPr>
          <w:rFonts w:hint="eastAsia" w:ascii="Arial" w:hAnsi="Arial" w:cs="Arial"/>
          <w:color w:val="000000"/>
          <w:szCs w:val="21"/>
          <w:highlight w:val="none"/>
        </w:rPr>
      </w:r>
      <w:r/>
    </w:p>
    <w:p>
      <w:pPr>
        <w:pStyle w:val="927"/>
        <w:spacing w:line="360" w:lineRule="auto"/>
        <w:rPr>
          <w:rFonts w:ascii="Arial" w:hAnsi="Arial" w:cs="Arial"/>
          <w:color w:val="000000"/>
          <w:szCs w:val="21"/>
          <w:highlight w:val="none"/>
        </w:rPr>
      </w:pPr>
      <w:r>
        <w:rPr>
          <w:rFonts w:hint="eastAsia" w:ascii="Arial" w:hAnsi="Arial" w:cs="Arial"/>
          <w:color w:val="000000"/>
          <w:szCs w:val="21"/>
          <w:highlight w:val="none"/>
        </w:rPr>
        <w:t xml:space="preserve">本项目非专门面向中小企业（残疾人福利性单位、监狱企业）采购</w:t>
      </w:r>
      <w:r>
        <w:rPr>
          <w:rFonts w:ascii="Arial" w:hAnsi="Arial" w:cs="Arial"/>
          <w:color w:val="000000"/>
          <w:szCs w:val="21"/>
          <w:highlight w:val="none"/>
        </w:rPr>
      </w:r>
      <w:r/>
    </w:p>
    <w:p>
      <w:pPr>
        <w:pStyle w:val="927"/>
        <w:numPr>
          <w:ilvl w:val="0"/>
          <w:numId w:val="2"/>
        </w:numPr>
        <w:spacing w:line="360" w:lineRule="auto"/>
        <w:rPr>
          <w:rFonts w:hint="eastAsia"/>
          <w:b/>
          <w:bCs/>
          <w:highlight w:val="none"/>
        </w:rPr>
      </w:pPr>
      <w:r>
        <w:rPr>
          <w:rFonts w:hint="eastAsia"/>
          <w:b/>
          <w:bCs/>
          <w:highlight w:val="none"/>
        </w:rPr>
        <w:t xml:space="preserve">申请人的资格要求：</w:t>
      </w:r>
      <w:r>
        <w:rPr>
          <w:rFonts w:hint="eastAsia"/>
          <w:b/>
          <w:bCs/>
          <w:highlight w:val="none"/>
        </w:rPr>
      </w:r>
      <w:r/>
    </w:p>
    <w:p>
      <w:pPr>
        <w:pStyle w:val="927"/>
        <w:spacing w:line="360" w:lineRule="auto"/>
        <w:rPr>
          <w:rFonts w:hint="eastAsia"/>
          <w:b/>
          <w:bCs/>
          <w:highlight w:val="none"/>
        </w:rPr>
      </w:pPr>
      <w:r/>
      <w:bookmarkStart w:id="4" w:name="_Toc35393625"/>
      <w:r/>
      <w:bookmarkStart w:id="5" w:name="_Toc28359007"/>
      <w:r/>
      <w:bookmarkStart w:id="6" w:name="_Toc28359084"/>
      <w:r/>
      <w:bookmarkStart w:id="7" w:name="_Toc35393794"/>
      <w:r>
        <w:rPr>
          <w:rFonts w:hint="eastAsia"/>
          <w:b/>
          <w:bCs/>
          <w:highlight w:val="none"/>
        </w:rPr>
        <w:t xml:space="preserve">1、满足《中华人民共和国政府采购法》第二十二条规定:</w:t>
      </w:r>
      <w:r>
        <w:rPr>
          <w:rFonts w:hint="eastAsia"/>
          <w:b/>
          <w:bCs/>
          <w:highlight w:val="none"/>
        </w:rPr>
      </w:r>
      <w:r/>
    </w:p>
    <w:p>
      <w:pPr>
        <w:pStyle w:val="927"/>
        <w:spacing w:line="360" w:lineRule="auto"/>
        <w:rPr>
          <w:rFonts w:hint="eastAsia" w:ascii="宋体" w:hAnsi="宋体"/>
          <w:highlight w:val="none"/>
        </w:rPr>
      </w:pPr>
      <w:r>
        <w:rPr>
          <w:rFonts w:hint="eastAsia" w:ascii="宋体" w:hAnsi="宋体"/>
          <w:b/>
          <w:bCs/>
          <w:highlight w:val="none"/>
        </w:rPr>
        <w:t xml:space="preserve">1.1</w:t>
      </w:r>
      <w:r>
        <w:rPr>
          <w:rFonts w:hint="eastAsia" w:ascii="宋体" w:hAnsi="宋体"/>
          <w:highlight w:val="none"/>
        </w:rPr>
        <w:t xml:space="preserve">根据《中华人民共和国政府采购法》第二十二条规定，投标人可提供《南京市政府采购供应商信用记录表暨信用承诺书》。</w:t>
      </w:r>
      <w:r>
        <w:rPr>
          <w:rFonts w:hint="eastAsia" w:ascii="宋体" w:hAnsi="宋体"/>
          <w:highlight w:val="none"/>
        </w:rPr>
      </w:r>
      <w:r/>
    </w:p>
    <w:p>
      <w:pPr>
        <w:pStyle w:val="927"/>
        <w:spacing w:line="360" w:lineRule="auto"/>
        <w:rPr>
          <w:rFonts w:hint="eastAsia" w:ascii="宋体" w:hAnsi="宋体"/>
          <w:b/>
          <w:bCs/>
          <w:highlight w:val="none"/>
        </w:rPr>
      </w:pPr>
      <w:r>
        <w:rPr>
          <w:rFonts w:hint="eastAsia" w:ascii="宋体" w:hAnsi="宋体"/>
          <w:b/>
          <w:bCs/>
          <w:highlight w:val="none"/>
        </w:rPr>
        <w:t xml:space="preserve">其中不适用信用承诺的情形:</w:t>
      </w:r>
      <w:r>
        <w:rPr>
          <w:rFonts w:hint="eastAsia" w:ascii="宋体" w:hAnsi="宋体"/>
          <w:b/>
          <w:bCs/>
          <w:highlight w:val="none"/>
        </w:rPr>
      </w:r>
      <w:r/>
    </w:p>
    <w:p>
      <w:pPr>
        <w:pStyle w:val="927"/>
        <w:spacing w:line="360" w:lineRule="auto"/>
        <w:rPr>
          <w:rFonts w:hint="eastAsia" w:ascii="宋体" w:hAnsi="宋体"/>
          <w:highlight w:val="none"/>
        </w:rPr>
      </w:pPr>
      <w:r>
        <w:rPr>
          <w:rFonts w:hint="eastAsia" w:ascii="宋体" w:hAnsi="宋体"/>
          <w:highlight w:val="none"/>
        </w:rPr>
        <w:t xml:space="preserve">1）供应商被列入严重失信主体名单；</w:t>
      </w:r>
      <w:r>
        <w:rPr>
          <w:rFonts w:hint="eastAsia" w:ascii="宋体" w:hAnsi="宋体"/>
          <w:highlight w:val="none"/>
        </w:rPr>
      </w:r>
      <w:r/>
    </w:p>
    <w:p>
      <w:pPr>
        <w:pStyle w:val="927"/>
        <w:spacing w:line="360" w:lineRule="auto"/>
        <w:rPr>
          <w:rFonts w:hint="eastAsia" w:ascii="宋体" w:hAnsi="宋体"/>
          <w:highlight w:val="none"/>
        </w:rPr>
      </w:pPr>
      <w:r>
        <w:rPr>
          <w:rFonts w:hint="eastAsia" w:ascii="宋体" w:hAnsi="宋体"/>
          <w:highlight w:val="none"/>
        </w:rPr>
        <w:t xml:space="preserve">2）被相关监督部门作出行政处罚且尚处在处罚有效期内；</w:t>
      </w:r>
      <w:r>
        <w:rPr>
          <w:rFonts w:hint="eastAsia" w:ascii="宋体" w:hAnsi="宋体"/>
          <w:highlight w:val="none"/>
        </w:rPr>
      </w:r>
      <w:r/>
    </w:p>
    <w:p>
      <w:pPr>
        <w:pStyle w:val="927"/>
        <w:spacing w:line="360" w:lineRule="auto"/>
        <w:rPr>
          <w:rFonts w:hint="eastAsia" w:ascii="宋体" w:hAnsi="宋体"/>
          <w:highlight w:val="none"/>
        </w:rPr>
      </w:pPr>
      <w:r>
        <w:rPr>
          <w:rFonts w:hint="eastAsia" w:ascii="宋体" w:hAnsi="宋体"/>
          <w:highlight w:val="none"/>
        </w:rPr>
        <w:t xml:space="preserve">3）其他法律、行政法规规定的不适用信用承诺的情形。</w:t>
      </w:r>
      <w:r>
        <w:rPr>
          <w:rFonts w:hint="eastAsia" w:ascii="宋体" w:hAnsi="宋体"/>
          <w:highlight w:val="none"/>
        </w:rPr>
      </w:r>
      <w:r/>
    </w:p>
    <w:p>
      <w:pPr>
        <w:pStyle w:val="927"/>
        <w:spacing w:line="360" w:lineRule="auto"/>
        <w:rPr>
          <w:rFonts w:ascii="宋体" w:hAnsi="宋体"/>
          <w:highlight w:val="none"/>
        </w:rPr>
      </w:pPr>
      <w:r>
        <w:rPr>
          <w:rFonts w:hint="eastAsia" w:ascii="宋体" w:hAnsi="宋体"/>
          <w:b/>
          <w:bCs/>
          <w:highlight w:val="none"/>
        </w:rPr>
        <w:t xml:space="preserve">1.2</w:t>
      </w:r>
      <w:r>
        <w:rPr>
          <w:rFonts w:hint="eastAsia" w:ascii="宋体" w:hAnsi="宋体"/>
          <w:highlight w:val="none"/>
        </w:rPr>
        <w:t xml:space="preserve">投标人提供在有效经营期内的营业执照。</w:t>
      </w:r>
      <w:r>
        <w:rPr>
          <w:rFonts w:ascii="宋体" w:hAnsi="宋体"/>
          <w:highlight w:val="none"/>
        </w:rPr>
      </w:r>
      <w:r/>
    </w:p>
    <w:p>
      <w:pPr>
        <w:pStyle w:val="927"/>
        <w:spacing w:line="360" w:lineRule="auto"/>
        <w:rPr>
          <w:rFonts w:ascii="宋体" w:hAnsi="宋体"/>
          <w:highlight w:val="none"/>
        </w:rPr>
      </w:pPr>
      <w:r>
        <w:rPr>
          <w:rFonts w:hint="eastAsia" w:ascii="宋体" w:hAnsi="宋体"/>
          <w:b/>
          <w:bCs/>
          <w:highlight w:val="none"/>
        </w:rPr>
        <w:t xml:space="preserve">2、落实政府采购政策需满足的资格要求：</w:t>
      </w:r>
      <w:r>
        <w:rPr>
          <w:rFonts w:hint="eastAsia" w:ascii="宋体" w:hAnsi="宋体"/>
          <w:highlight w:val="none"/>
        </w:rPr>
        <w:t xml:space="preserve">本项目不专门面向中小微企业或监狱企业或残疾人福利性单位采购。</w:t>
      </w:r>
      <w:r>
        <w:rPr>
          <w:rFonts w:ascii="宋体" w:hAnsi="宋体"/>
          <w:highlight w:val="none"/>
        </w:rPr>
      </w:r>
      <w:r/>
    </w:p>
    <w:p>
      <w:pPr>
        <w:pStyle w:val="927"/>
        <w:spacing w:line="360" w:lineRule="auto"/>
        <w:rPr>
          <w:rFonts w:hint="eastAsia" w:ascii="宋体" w:hAnsi="宋体" w:eastAsia="宋体"/>
          <w:b/>
          <w:bCs/>
          <w:highlight w:val="none"/>
          <w:lang w:val="en-US" w:eastAsia="zh-CN"/>
        </w:rPr>
      </w:pPr>
      <w:r>
        <w:rPr>
          <w:rFonts w:hint="eastAsia" w:ascii="宋体" w:hAnsi="宋体"/>
          <w:b/>
          <w:bCs/>
          <w:highlight w:val="none"/>
        </w:rPr>
        <w:t xml:space="preserve">3、本项目的特定资格要求：</w:t>
      </w:r>
      <w:r>
        <w:rPr>
          <w:rFonts w:hint="eastAsia" w:ascii="宋体" w:hAnsi="宋体"/>
          <w:b/>
          <w:bCs/>
          <w:highlight w:val="none"/>
          <w:lang w:val="en-US" w:eastAsia="zh-CN"/>
        </w:rPr>
        <w:t xml:space="preserve">无</w:t>
      </w:r>
      <w:r>
        <w:rPr>
          <w:rFonts w:hint="eastAsia" w:ascii="宋体" w:hAnsi="宋体" w:eastAsia="宋体"/>
          <w:b/>
          <w:bCs/>
          <w:highlight w:val="none"/>
          <w:lang w:val="en-US" w:eastAsia="zh-CN"/>
        </w:rPr>
      </w:r>
      <w:r/>
    </w:p>
    <w:p>
      <w:pPr>
        <w:pStyle w:val="927"/>
        <w:spacing w:line="360" w:lineRule="auto"/>
        <w:rPr>
          <w:rFonts w:hint="eastAsia" w:ascii="宋体" w:hAnsi="宋体"/>
          <w:b/>
          <w:bCs/>
          <w:highlight w:val="none"/>
        </w:rPr>
      </w:pPr>
      <w:r/>
      <w:bookmarkStart w:id="8" w:name="_Toc35393623"/>
      <w:r/>
      <w:bookmarkStart w:id="9" w:name="_Toc35393792"/>
      <w:r>
        <w:rPr>
          <w:rFonts w:hint="eastAsia" w:ascii="宋体" w:hAnsi="宋体"/>
          <w:b/>
          <w:bCs/>
          <w:highlight w:val="none"/>
        </w:rPr>
        <w:t xml:space="preserve">4、拒绝下述供应商参加本次采购活动的情形：</w:t>
      </w:r>
      <w:r>
        <w:rPr>
          <w:rFonts w:hint="eastAsia" w:ascii="宋体" w:hAnsi="宋体"/>
          <w:b/>
          <w:bCs/>
          <w:highlight w:val="none"/>
        </w:rPr>
      </w:r>
      <w:r/>
    </w:p>
    <w:p>
      <w:pPr>
        <w:pStyle w:val="927"/>
        <w:spacing w:line="360" w:lineRule="auto"/>
        <w:rPr>
          <w:rFonts w:hint="eastAsia" w:ascii="宋体" w:hAnsi="宋体"/>
          <w:highlight w:val="none"/>
        </w:rPr>
      </w:pPr>
      <w:r>
        <w:rPr>
          <w:rFonts w:hint="eastAsia" w:ascii="宋体" w:hAnsi="宋体"/>
          <w:highlight w:val="none"/>
        </w:rPr>
        <w:t xml:space="preserve">1）供应商单位负责人为同一人或者存在直接控股、管理关系的不同供应商，不得参加同一合同项下的政府采购活动；</w:t>
      </w:r>
      <w:r>
        <w:rPr>
          <w:rFonts w:hint="eastAsia" w:ascii="宋体" w:hAnsi="宋体"/>
          <w:highlight w:val="none"/>
        </w:rPr>
      </w:r>
      <w:r/>
    </w:p>
    <w:p>
      <w:pPr>
        <w:pStyle w:val="927"/>
        <w:spacing w:line="360" w:lineRule="auto"/>
        <w:rPr>
          <w:rFonts w:hint="eastAsia" w:ascii="宋体" w:hAnsi="宋体"/>
          <w:highlight w:val="none"/>
        </w:rPr>
      </w:pPr>
      <w:r>
        <w:rPr>
          <w:rFonts w:hint="eastAsia" w:ascii="宋体" w:hAnsi="宋体"/>
          <w:highlight w:val="none"/>
        </w:rPr>
        <w:t xml:space="preserve">2）凡为采购项目提供整体设计、规范编制或者项目管理、监理、检测等服务的供应商，不得再参加本项目的采购活动；</w:t>
      </w:r>
      <w:r>
        <w:rPr>
          <w:rFonts w:hint="eastAsia" w:ascii="宋体" w:hAnsi="宋体"/>
          <w:highlight w:val="none"/>
        </w:rPr>
      </w:r>
      <w:r/>
    </w:p>
    <w:p>
      <w:pPr>
        <w:pStyle w:val="1128"/>
        <w:ind w:firstLine="0"/>
        <w:spacing w:line="360" w:lineRule="auto"/>
        <w:rPr>
          <w:rFonts w:hint="eastAsia" w:ascii="宋体" w:hAnsi="宋体"/>
          <w:b w:val="0"/>
          <w:sz w:val="21"/>
          <w:highlight w:val="none"/>
        </w:rPr>
      </w:pPr>
      <w:r/>
      <w:bookmarkEnd w:id="8"/>
      <w:r/>
      <w:bookmarkEnd w:id="9"/>
      <w:r>
        <w:rPr>
          <w:rFonts w:hint="eastAsia" w:ascii="宋体" w:hAnsi="宋体"/>
          <w:b w:val="0"/>
          <w:sz w:val="21"/>
          <w:highlight w:val="none"/>
        </w:rPr>
        <w:t xml:space="preserve">3）在“信用中国”网站(www.creditchina.gov.cn)查询，被列入失信被执行人、重大税收违法案件当事人名单、政府采购严重失信行为记录名单及其他不符合《中华人民共和国政府采购法》第二十二条规定条件的信用记录。</w:t>
      </w:r>
      <w:r>
        <w:rPr>
          <w:rFonts w:hint="eastAsia" w:ascii="宋体" w:hAnsi="宋体"/>
          <w:b w:val="0"/>
          <w:sz w:val="21"/>
          <w:highlight w:val="none"/>
        </w:rPr>
      </w:r>
      <w:r/>
    </w:p>
    <w:p>
      <w:pPr>
        <w:pStyle w:val="1128"/>
        <w:ind w:firstLine="0"/>
        <w:spacing w:line="360" w:lineRule="auto"/>
        <w:rPr>
          <w:rFonts w:hint="eastAsia"/>
          <w:bCs/>
          <w:sz w:val="21"/>
          <w:highlight w:val="none"/>
        </w:rPr>
      </w:pPr>
      <w:r>
        <w:rPr>
          <w:rFonts w:hint="eastAsia"/>
          <w:bCs/>
          <w:sz w:val="21"/>
          <w:highlight w:val="none"/>
        </w:rPr>
        <w:t xml:space="preserve">三、获取招标文件</w:t>
      </w:r>
      <w:r>
        <w:rPr>
          <w:rFonts w:hint="eastAsia"/>
          <w:bCs/>
          <w:sz w:val="21"/>
          <w:highlight w:val="none"/>
        </w:rPr>
      </w:r>
      <w:r/>
    </w:p>
    <w:p>
      <w:pPr>
        <w:pStyle w:val="1128"/>
        <w:ind w:firstLine="0"/>
        <w:spacing w:line="360" w:lineRule="auto"/>
        <w:rPr>
          <w:rFonts w:hint="eastAsia" w:ascii="宋体" w:hAnsi="宋体"/>
          <w:b w:val="0"/>
          <w:sz w:val="21"/>
          <w:highlight w:val="none"/>
        </w:rPr>
      </w:pPr>
      <w:r>
        <w:rPr>
          <w:rFonts w:hint="eastAsia" w:ascii="宋体" w:hAnsi="宋体"/>
          <w:b w:val="0"/>
          <w:sz w:val="21"/>
          <w:highlight w:val="none"/>
        </w:rPr>
        <w:t xml:space="preserve">1、时间：自招标文件公告发布之日起5个工作日。</w:t>
      </w:r>
      <w:r>
        <w:rPr>
          <w:rFonts w:hint="eastAsia" w:ascii="宋体" w:hAnsi="宋体"/>
          <w:b w:val="0"/>
          <w:sz w:val="21"/>
          <w:highlight w:val="none"/>
        </w:rPr>
      </w:r>
      <w:r/>
    </w:p>
    <w:p>
      <w:pPr>
        <w:pStyle w:val="1128"/>
        <w:ind w:firstLine="0"/>
        <w:spacing w:line="360" w:lineRule="auto"/>
        <w:rPr>
          <w:rFonts w:hint="eastAsia" w:ascii="宋体" w:hAnsi="宋体"/>
          <w:b w:val="0"/>
          <w:sz w:val="21"/>
          <w:highlight w:val="none"/>
        </w:rPr>
      </w:pPr>
      <w:r>
        <w:rPr>
          <w:rFonts w:hint="eastAsia" w:ascii="宋体" w:hAnsi="宋体"/>
          <w:b w:val="0"/>
          <w:sz w:val="21"/>
          <w:highlight w:val="none"/>
        </w:rPr>
        <w:t xml:space="preserve">2、方式：在“苏采云”系统自行免费下载招标文件。</w:t>
      </w:r>
      <w:r>
        <w:rPr>
          <w:rFonts w:hint="eastAsia" w:ascii="宋体" w:hAnsi="宋体"/>
          <w:b w:val="0"/>
          <w:sz w:val="21"/>
          <w:highlight w:val="none"/>
        </w:rPr>
      </w:r>
      <w:r/>
    </w:p>
    <w:p>
      <w:pPr>
        <w:pStyle w:val="927"/>
        <w:spacing w:line="360" w:lineRule="auto"/>
        <w:rPr>
          <w:rFonts w:hint="eastAsia"/>
          <w:b/>
          <w:bCs/>
          <w:highlight w:val="none"/>
        </w:rPr>
      </w:pPr>
      <w:r/>
      <w:bookmarkStart w:id="10" w:name="_Toc28359005"/>
      <w:r/>
      <w:bookmarkStart w:id="11" w:name="_Toc28359082"/>
      <w:r/>
      <w:bookmarkStart w:id="12" w:name="_Toc35393793"/>
      <w:r/>
      <w:bookmarkStart w:id="13" w:name="_Toc35393624"/>
      <w:r>
        <w:rPr>
          <w:rFonts w:hint="eastAsia"/>
          <w:b/>
          <w:bCs/>
          <w:highlight w:val="none"/>
        </w:rPr>
        <w:t xml:space="preserve">四、投标</w:t>
      </w:r>
      <w:bookmarkEnd w:id="10"/>
      <w:r/>
      <w:bookmarkEnd w:id="11"/>
      <w:r>
        <w:rPr>
          <w:rFonts w:hint="eastAsia"/>
          <w:b/>
          <w:bCs/>
          <w:highlight w:val="none"/>
        </w:rPr>
        <w:t xml:space="preserve">截止时间、开标时间和地点</w:t>
      </w:r>
      <w:bookmarkEnd w:id="12"/>
      <w:r/>
      <w:bookmarkEnd w:id="13"/>
      <w:r>
        <w:rPr>
          <w:rFonts w:hint="eastAsia"/>
          <w:b/>
          <w:bCs/>
          <w:highlight w:val="none"/>
        </w:rPr>
      </w:r>
      <w:r/>
    </w:p>
    <w:p>
      <w:pPr>
        <w:pStyle w:val="1133"/>
        <w:ind w:firstLine="0"/>
        <w:rPr>
          <w:rFonts w:hint="eastAsia" w:ascii="宋体" w:hAnsi="宋体"/>
          <w:sz w:val="21"/>
          <w:szCs w:val="20"/>
          <w:highlight w:val="none"/>
        </w:rPr>
      </w:pPr>
      <w:r>
        <w:rPr>
          <w:rFonts w:hint="eastAsia" w:ascii="宋体" w:hAnsi="宋体"/>
          <w:sz w:val="21"/>
          <w:szCs w:val="20"/>
          <w:highlight w:val="none"/>
        </w:rPr>
        <w:t xml:space="preserve">1、投标截止时间：</w:t>
      </w:r>
      <w:r>
        <w:rPr>
          <w:rFonts w:hint="eastAsia" w:ascii="宋体" w:hAnsi="宋体"/>
          <w:sz w:val="21"/>
          <w:szCs w:val="20"/>
          <w:highlight w:val="none"/>
          <w:lang w:eastAsia="zh-CN"/>
        </w:rPr>
        <w:t xml:space="preserve">2026年6月25日14:00</w:t>
      </w:r>
      <w:r>
        <w:rPr>
          <w:rFonts w:hint="eastAsia" w:ascii="宋体" w:hAnsi="宋体"/>
          <w:sz w:val="21"/>
          <w:szCs w:val="20"/>
          <w:highlight w:val="none"/>
        </w:rPr>
        <w:t xml:space="preserve">（北京时间）</w:t>
      </w:r>
      <w:r>
        <w:rPr>
          <w:rFonts w:hint="eastAsia" w:ascii="宋体" w:hAnsi="宋体"/>
          <w:sz w:val="21"/>
          <w:szCs w:val="20"/>
          <w:highlight w:val="none"/>
        </w:rPr>
      </w:r>
      <w:r/>
    </w:p>
    <w:p>
      <w:pPr>
        <w:pStyle w:val="1133"/>
        <w:ind w:firstLine="0"/>
        <w:rPr>
          <w:rFonts w:ascii="宋体" w:hAnsi="宋体"/>
          <w:sz w:val="21"/>
          <w:szCs w:val="20"/>
          <w:highlight w:val="none"/>
        </w:rPr>
      </w:pPr>
      <w:r>
        <w:rPr>
          <w:rFonts w:hint="eastAsia" w:ascii="宋体" w:hAnsi="宋体"/>
          <w:sz w:val="21"/>
          <w:szCs w:val="20"/>
          <w:highlight w:val="none"/>
        </w:rPr>
        <w:t xml:space="preserve">2、开标时间：</w:t>
      </w:r>
      <w:r>
        <w:rPr>
          <w:rFonts w:hint="eastAsia" w:ascii="宋体" w:hAnsi="宋体"/>
          <w:sz w:val="21"/>
          <w:szCs w:val="20"/>
          <w:highlight w:val="none"/>
          <w:lang w:eastAsia="zh-CN"/>
        </w:rPr>
        <w:t xml:space="preserve">2026年6月25日14:00</w:t>
      </w:r>
      <w:r>
        <w:rPr>
          <w:rFonts w:hint="eastAsia" w:ascii="宋体" w:hAnsi="宋体"/>
          <w:sz w:val="21"/>
          <w:szCs w:val="20"/>
          <w:highlight w:val="none"/>
        </w:rPr>
        <w:t xml:space="preserve">（北京时间）  </w:t>
      </w:r>
      <w:r>
        <w:rPr>
          <w:rFonts w:ascii="宋体" w:hAnsi="宋体"/>
          <w:sz w:val="21"/>
          <w:szCs w:val="20"/>
          <w:highlight w:val="none"/>
        </w:rPr>
      </w:r>
      <w:r/>
    </w:p>
    <w:p>
      <w:pPr>
        <w:pStyle w:val="1133"/>
        <w:ind w:firstLine="0"/>
        <w:rPr>
          <w:rFonts w:hint="eastAsia" w:ascii="宋体" w:hAnsi="宋体"/>
          <w:sz w:val="21"/>
          <w:szCs w:val="20"/>
          <w:highlight w:val="none"/>
        </w:rPr>
      </w:pPr>
      <w:r>
        <w:rPr>
          <w:rFonts w:hint="eastAsia" w:ascii="宋体" w:hAnsi="宋体"/>
          <w:sz w:val="21"/>
          <w:szCs w:val="20"/>
          <w:highlight w:val="none"/>
        </w:rPr>
        <w:t xml:space="preserve">3、开标地点：“苏采云”系统（网址： http://jszfcg.jsczt.cn/）“开标大厅”，点击“苏采云”进入系统“开标大厅”。</w:t>
      </w:r>
      <w:r>
        <w:rPr>
          <w:rFonts w:hint="eastAsia" w:ascii="宋体" w:hAnsi="宋体"/>
          <w:sz w:val="21"/>
          <w:szCs w:val="20"/>
          <w:highlight w:val="none"/>
        </w:rPr>
      </w:r>
      <w:r/>
    </w:p>
    <w:p>
      <w:pPr>
        <w:pStyle w:val="927"/>
        <w:spacing w:line="360" w:lineRule="auto"/>
        <w:rPr>
          <w:rFonts w:hint="eastAsia"/>
          <w:highlight w:val="none"/>
        </w:rPr>
      </w:pPr>
      <w:r>
        <w:rPr>
          <w:rFonts w:hint="eastAsia"/>
          <w:highlight w:val="none"/>
        </w:rPr>
        <w:t xml:space="preserve">注：各供应商请关注开标大厅交流区，在开标结束后，请勿离开开标大厅。</w:t>
      </w:r>
      <w:r>
        <w:rPr>
          <w:rFonts w:hint="eastAsia"/>
          <w:highlight w:val="none"/>
        </w:rPr>
      </w:r>
      <w:r/>
    </w:p>
    <w:p>
      <w:pPr>
        <w:pStyle w:val="927"/>
        <w:spacing w:line="360" w:lineRule="auto"/>
        <w:rPr>
          <w:rFonts w:hint="eastAsia"/>
          <w:highlight w:val="none"/>
        </w:rPr>
      </w:pPr>
      <w:r>
        <w:rPr>
          <w:rFonts w:hint="eastAsia"/>
          <w:highlight w:val="none"/>
        </w:rPr>
        <w:t xml:space="preserve">4、投标文件的解密：开标当天各供应商及时登录不见面开标大厅，响应文件递交截止时间后，采购人将在系统内公布投标</w:t>
      </w:r>
      <w:r>
        <w:rPr>
          <w:rFonts w:hint="eastAsia"/>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hint="eastAsia"/>
          <w:highlight w:val="none"/>
        </w:rPr>
      </w:r>
      <w:r/>
    </w:p>
    <w:p>
      <w:pPr>
        <w:pStyle w:val="927"/>
        <w:spacing w:line="360" w:lineRule="auto"/>
        <w:rPr>
          <w:rFonts w:hint="eastAsia"/>
          <w:b/>
          <w:bCs/>
          <w:highlight w:val="none"/>
        </w:rPr>
      </w:pPr>
      <w:r>
        <w:rPr>
          <w:rFonts w:hint="eastAsia"/>
          <w:b/>
          <w:bCs/>
          <w:highlight w:val="none"/>
        </w:rPr>
        <w:t xml:space="preserve">五、公告期限</w:t>
      </w:r>
      <w:bookmarkEnd w:id="4"/>
      <w:r/>
      <w:bookmarkEnd w:id="5"/>
      <w:r/>
      <w:bookmarkEnd w:id="6"/>
      <w:r/>
      <w:bookmarkEnd w:id="7"/>
      <w:r>
        <w:rPr>
          <w:rFonts w:hint="eastAsia"/>
          <w:b/>
          <w:bCs/>
          <w:highlight w:val="none"/>
        </w:rPr>
      </w:r>
      <w:r/>
    </w:p>
    <w:p>
      <w:pPr>
        <w:pStyle w:val="927"/>
        <w:spacing w:line="360" w:lineRule="auto"/>
        <w:rPr>
          <w:rFonts w:hint="eastAsia"/>
          <w:highlight w:val="none"/>
        </w:rPr>
      </w:pPr>
      <w:r>
        <w:rPr>
          <w:rFonts w:hint="eastAsia"/>
          <w:highlight w:val="none"/>
        </w:rPr>
        <w:t xml:space="preserve">自本公告发布之日起5个工作日。</w:t>
      </w:r>
      <w:r>
        <w:rPr>
          <w:rFonts w:hint="eastAsia"/>
          <w:highlight w:val="none"/>
        </w:rPr>
      </w:r>
      <w:r/>
    </w:p>
    <w:p>
      <w:pPr>
        <w:pStyle w:val="927"/>
        <w:numPr>
          <w:ilvl w:val="0"/>
          <w:numId w:val="3"/>
        </w:numPr>
        <w:spacing w:line="360" w:lineRule="auto"/>
        <w:rPr>
          <w:rFonts w:hint="eastAsia"/>
          <w:b/>
          <w:bCs/>
          <w:highlight w:val="none"/>
        </w:rPr>
      </w:pPr>
      <w:r/>
      <w:bookmarkStart w:id="14" w:name="_Toc35393795"/>
      <w:r/>
      <w:bookmarkStart w:id="15" w:name="_Toc35393626"/>
      <w:r>
        <w:rPr>
          <w:rFonts w:hint="eastAsia"/>
          <w:b/>
          <w:bCs/>
          <w:highlight w:val="none"/>
        </w:rPr>
        <w:t xml:space="preserve">其他补充事宜</w:t>
      </w:r>
      <w:bookmarkEnd w:id="14"/>
      <w:r/>
      <w:bookmarkEnd w:id="15"/>
      <w:r>
        <w:rPr>
          <w:rFonts w:hint="eastAsia"/>
          <w:b/>
          <w:bCs/>
          <w:highlight w:val="none"/>
        </w:rPr>
      </w:r>
      <w:r/>
    </w:p>
    <w:p>
      <w:pPr>
        <w:pStyle w:val="1128"/>
        <w:ind w:firstLine="0"/>
        <w:spacing w:line="360" w:lineRule="auto"/>
        <w:rPr>
          <w:rFonts w:hint="eastAsia" w:ascii="宋体" w:hAnsi="宋体" w:cs="宋体"/>
          <w:b w:val="0"/>
          <w:sz w:val="21"/>
          <w:highlight w:val="none"/>
        </w:rPr>
      </w:pPr>
      <w:r>
        <w:rPr>
          <w:rFonts w:hint="eastAsia" w:ascii="宋体" w:hAnsi="宋体" w:cs="宋体"/>
          <w:b w:val="0"/>
          <w:sz w:val="21"/>
          <w:highlight w:val="none"/>
        </w:rPr>
        <w:t xml:space="preserve">1、本项目公告媒体：江苏省政府采购网（http://www.ccgp-jiangsu.gov.cn/）、南京公共采购信息网（https://njgc.jfh.com/）</w:t>
      </w:r>
      <w:r>
        <w:rPr>
          <w:rFonts w:hint="eastAsia" w:ascii="宋体" w:hAnsi="宋体" w:cs="宋体"/>
          <w:b w:val="0"/>
          <w:sz w:val="21"/>
          <w:highlight w:val="none"/>
        </w:rPr>
      </w:r>
      <w:r/>
    </w:p>
    <w:p>
      <w:pPr>
        <w:pStyle w:val="1128"/>
        <w:ind w:firstLine="0"/>
        <w:spacing w:line="360" w:lineRule="auto"/>
        <w:rPr>
          <w:rFonts w:hint="eastAsia" w:ascii="宋体" w:hAnsi="宋体" w:cs="宋体"/>
          <w:b w:val="0"/>
          <w:sz w:val="21"/>
          <w:highlight w:val="none"/>
        </w:rPr>
      </w:pPr>
      <w:r>
        <w:rPr>
          <w:rFonts w:hint="eastAsia" w:ascii="宋体" w:hAnsi="宋体" w:cs="宋体"/>
          <w:b w:val="0"/>
          <w:sz w:val="21"/>
          <w:highlight w:val="none"/>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rFonts w:hint="eastAsia" w:ascii="宋体" w:hAnsi="宋体" w:cs="宋体"/>
          <w:b w:val="0"/>
          <w:sz w:val="21"/>
          <w:highlight w:val="none"/>
        </w:rPr>
      </w:r>
      <w:r/>
    </w:p>
    <w:p>
      <w:pPr>
        <w:pStyle w:val="1128"/>
        <w:ind w:firstLine="0"/>
        <w:spacing w:line="360" w:lineRule="auto"/>
        <w:rPr>
          <w:rFonts w:hint="eastAsia" w:ascii="宋体" w:hAnsi="宋体" w:cs="宋体"/>
          <w:b w:val="0"/>
          <w:sz w:val="21"/>
          <w:highlight w:val="none"/>
        </w:rPr>
      </w:pPr>
      <w:r>
        <w:rPr>
          <w:rFonts w:hint="eastAsia" w:ascii="宋体" w:hAnsi="宋体" w:cs="宋体"/>
          <w:b w:val="0"/>
          <w:sz w:val="21"/>
          <w:highlight w:val="none"/>
        </w:rPr>
        <w:t xml:space="preserve">http://www.ccgp-jiangsu.gov.cn/jiangsu/zlxz/ee/ee3a4bc5a3454aa2b0d9312230633ce9.html。</w:t>
      </w:r>
      <w:r>
        <w:rPr>
          <w:rFonts w:hint="eastAsia" w:ascii="宋体" w:hAnsi="宋体" w:cs="宋体"/>
          <w:b w:val="0"/>
          <w:sz w:val="21"/>
          <w:highlight w:val="none"/>
        </w:rPr>
      </w:r>
      <w:r/>
    </w:p>
    <w:p>
      <w:pPr>
        <w:pStyle w:val="1128"/>
        <w:ind w:firstLine="0"/>
        <w:spacing w:line="360" w:lineRule="auto"/>
        <w:rPr>
          <w:rFonts w:hint="eastAsia" w:ascii="宋体" w:hAnsi="宋体" w:cs="宋体"/>
          <w:b w:val="0"/>
          <w:sz w:val="21"/>
          <w:highlight w:val="none"/>
        </w:rPr>
      </w:pPr>
      <w:r>
        <w:rPr>
          <w:rFonts w:hint="eastAsia" w:ascii="宋体" w:hAnsi="宋体" w:cs="宋体"/>
          <w:b w:val="0"/>
          <w:sz w:val="21"/>
          <w:highlight w:val="none"/>
        </w:rPr>
        <w:t xml:space="preserve">领取CA和办理电子签章（请至南京市建邺区汉中门大街145号省公共资源交易中心三楼开标区受理台1号窗口办理，联系电话：025- 83668701或南京市建邺区江东中路265号</w:t>
      </w:r>
      <w:r>
        <w:rPr>
          <w:rFonts w:hint="eastAsia" w:ascii="宋体" w:hAnsi="宋体" w:cs="宋体"/>
          <w:b w:val="0"/>
          <w:sz w:val="21"/>
          <w:highlight w:val="none"/>
          <w:lang w:eastAsia="zh-CN"/>
        </w:rPr>
        <w:t xml:space="preserve">苏美达国际技术贸易有限公司</w:t>
      </w:r>
      <w:r>
        <w:rPr>
          <w:rFonts w:hint="eastAsia" w:ascii="宋体" w:hAnsi="宋体" w:cs="宋体"/>
          <w:b w:val="0"/>
          <w:sz w:val="21"/>
          <w:highlight w:val="none"/>
        </w:rPr>
        <w:t xml:space="preserve">北门外1255室（一楼）办理，联系电话：025-68505941)；</w:t>
      </w:r>
      <w:r>
        <w:rPr>
          <w:rFonts w:hint="eastAsia" w:ascii="宋体" w:hAnsi="宋体" w:cs="宋体"/>
          <w:b w:val="0"/>
          <w:sz w:val="21"/>
          <w:highlight w:val="none"/>
        </w:rPr>
      </w:r>
      <w:r/>
    </w:p>
    <w:p>
      <w:pPr>
        <w:pStyle w:val="927"/>
        <w:spacing w:line="360" w:lineRule="auto"/>
        <w:rPr>
          <w:rFonts w:hint="eastAsia"/>
          <w:highlight w:val="none"/>
        </w:rPr>
      </w:pPr>
      <w:r>
        <w:rPr>
          <w:rFonts w:hint="eastAsia"/>
          <w:highlight w:val="none"/>
        </w:rPr>
        <w:t xml:space="preserve">3、</w:t>
      </w:r>
      <w:r>
        <w:rPr>
          <w:b/>
          <w:bCs/>
          <w:highlight w:val="none"/>
        </w:rPr>
        <w:t xml:space="preserve">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rPr>
          <w:rFonts w:hint="eastAsia"/>
          <w:b/>
          <w:bCs/>
          <w:highlight w:val="none"/>
        </w:rPr>
        <w:t xml:space="preserve">；</w:t>
      </w:r>
      <w:r>
        <w:rPr>
          <w:rFonts w:hint="eastAsia"/>
          <w:highlight w:val="none"/>
        </w:rPr>
      </w:r>
      <w:r/>
    </w:p>
    <w:p>
      <w:pPr>
        <w:pStyle w:val="927"/>
        <w:numPr>
          <w:ilvl w:val="0"/>
          <w:numId w:val="4"/>
        </w:numPr>
        <w:spacing w:line="360" w:lineRule="auto"/>
        <w:rPr>
          <w:rFonts w:hint="eastAsia"/>
          <w:highlight w:val="none"/>
        </w:rPr>
      </w:pPr>
      <w:r>
        <w:rPr>
          <w:rFonts w:hint="eastAsia"/>
          <w:highlight w:val="none"/>
        </w:rPr>
        <w:t xml:space="preserve">有关本次招标的事项若存在变动或修改，敬请及时关注在“江苏政府采购网”发布的更正公告。</w:t>
      </w:r>
      <w:r>
        <w:rPr>
          <w:rFonts w:hint="eastAsia"/>
          <w:highlight w:val="none"/>
        </w:rPr>
      </w:r>
      <w:r/>
    </w:p>
    <w:p>
      <w:pPr>
        <w:pStyle w:val="927"/>
        <w:spacing w:line="360" w:lineRule="auto"/>
        <w:rPr>
          <w:rFonts w:hint="eastAsia"/>
          <w:b/>
          <w:bCs/>
          <w:highlight w:val="none"/>
        </w:rPr>
      </w:pPr>
      <w:r/>
      <w:bookmarkStart w:id="16" w:name="_Toc28359008"/>
      <w:r/>
      <w:bookmarkStart w:id="17" w:name="_Toc28359085"/>
      <w:r/>
      <w:bookmarkStart w:id="18" w:name="_Toc35393796"/>
      <w:r/>
      <w:bookmarkStart w:id="19" w:name="_Toc35393627"/>
      <w:r>
        <w:rPr>
          <w:rFonts w:hint="eastAsia"/>
          <w:b/>
          <w:bCs/>
          <w:highlight w:val="none"/>
        </w:rPr>
        <w:t xml:space="preserve">七、对本次招标提出询问，请按以下方式联系</w:t>
      </w:r>
      <w:bookmarkEnd w:id="16"/>
      <w:r/>
      <w:bookmarkEnd w:id="17"/>
      <w:r/>
      <w:bookmarkEnd w:id="18"/>
      <w:r/>
      <w:bookmarkEnd w:id="19"/>
      <w:r>
        <w:rPr>
          <w:rFonts w:hint="eastAsia"/>
          <w:b/>
          <w:bCs/>
          <w:highlight w:val="none"/>
        </w:rPr>
      </w:r>
      <w:r/>
    </w:p>
    <w:p>
      <w:pPr>
        <w:pStyle w:val="927"/>
        <w:spacing w:line="360" w:lineRule="auto"/>
        <w:rPr>
          <w:rFonts w:hint="eastAsia" w:ascii="宋体" w:hAnsi="宋体" w:cs="宋体"/>
          <w:szCs w:val="21"/>
          <w:highlight w:val="none"/>
        </w:rPr>
      </w:pPr>
      <w:r>
        <w:rPr>
          <w:rFonts w:hint="eastAsia" w:ascii="宋体" w:hAnsi="宋体" w:cs="宋体"/>
          <w:szCs w:val="21"/>
          <w:highlight w:val="none"/>
        </w:rPr>
        <w:t xml:space="preserve">1.采购人信息</w:t>
      </w:r>
      <w:r>
        <w:rPr>
          <w:rFonts w:hint="eastAsia" w:ascii="宋体" w:hAnsi="宋体" w:cs="宋体"/>
          <w:szCs w:val="21"/>
          <w:highlight w:val="none"/>
        </w:rPr>
      </w:r>
      <w:r/>
    </w:p>
    <w:p>
      <w:pPr>
        <w:pStyle w:val="927"/>
        <w:spacing w:line="360" w:lineRule="auto"/>
        <w:rPr>
          <w:rFonts w:hint="eastAsia" w:ascii="宋体" w:hAnsi="宋体" w:cs="宋体"/>
          <w:szCs w:val="21"/>
          <w:highlight w:val="none"/>
        </w:rPr>
      </w:pPr>
      <w:r>
        <w:rPr>
          <w:rFonts w:hint="eastAsia" w:ascii="宋体" w:hAnsi="宋体" w:cs="宋体"/>
          <w:szCs w:val="21"/>
          <w:highlight w:val="none"/>
        </w:rPr>
        <w:t xml:space="preserve">名 称：</w:t>
      </w:r>
      <w:r>
        <w:rPr>
          <w:rFonts w:hint="eastAsia" w:ascii="宋体" w:hAnsi="宋体" w:cs="宋体"/>
          <w:szCs w:val="21"/>
          <w:highlight w:val="none"/>
          <w:lang w:eastAsia="zh-CN"/>
        </w:rPr>
        <w:t xml:space="preserve">南京市玄武区教育局</w:t>
      </w:r>
      <w:r>
        <w:rPr>
          <w:rFonts w:hint="eastAsia" w:ascii="宋体" w:hAnsi="宋体" w:cs="宋体"/>
          <w:szCs w:val="21"/>
          <w:highlight w:val="none"/>
        </w:rPr>
        <w:t xml:space="preserve">　　　　　　　　　　　</w:t>
      </w:r>
      <w:r>
        <w:rPr>
          <w:rFonts w:hint="eastAsia" w:ascii="宋体" w:hAnsi="宋体" w:cs="宋体"/>
          <w:szCs w:val="21"/>
          <w:highlight w:val="none"/>
        </w:rPr>
      </w:r>
      <w:r/>
    </w:p>
    <w:p>
      <w:pPr>
        <w:pStyle w:val="927"/>
        <w:spacing w:line="360" w:lineRule="auto"/>
        <w:rPr>
          <w:rFonts w:hint="eastAsia" w:ascii="宋体" w:hAnsi="宋体" w:cs="宋体"/>
          <w:szCs w:val="21"/>
          <w:highlight w:val="none"/>
        </w:rPr>
      </w:pPr>
      <w:r>
        <w:rPr>
          <w:rFonts w:hint="eastAsia" w:ascii="宋体" w:hAnsi="宋体" w:cs="宋体"/>
          <w:szCs w:val="21"/>
          <w:highlight w:val="none"/>
        </w:rPr>
        <w:t xml:space="preserve">地址：</w:t>
      </w:r>
      <w:r>
        <w:rPr>
          <w:rFonts w:hint="eastAsia" w:ascii="宋体" w:hAnsi="宋体" w:cs="宋体"/>
          <w:szCs w:val="21"/>
          <w:highlight w:val="none"/>
          <w:lang w:eastAsia="zh-CN"/>
        </w:rPr>
        <w:t xml:space="preserve">南京市玄武区如意里20号  </w:t>
      </w:r>
      <w:r>
        <w:rPr>
          <w:rFonts w:hint="eastAsia" w:ascii="宋体" w:hAnsi="宋体" w:cs="宋体"/>
          <w:szCs w:val="21"/>
          <w:highlight w:val="none"/>
        </w:rPr>
        <w:t xml:space="preserve"> 　</w:t>
      </w:r>
      <w:r>
        <w:rPr>
          <w:rFonts w:hint="eastAsia" w:ascii="宋体" w:hAnsi="宋体" w:cs="宋体"/>
          <w:szCs w:val="21"/>
          <w:highlight w:val="none"/>
        </w:rPr>
      </w:r>
      <w:r/>
    </w:p>
    <w:p>
      <w:pPr>
        <w:pStyle w:val="927"/>
        <w:spacing w:line="360" w:lineRule="auto"/>
        <w:rPr>
          <w:rFonts w:hint="eastAsia" w:ascii="宋体" w:hAnsi="宋体" w:cs="宋体"/>
          <w:szCs w:val="21"/>
          <w:highlight w:val="none"/>
        </w:rPr>
      </w:pPr>
      <w:r/>
      <w:bookmarkStart w:id="20" w:name="_Toc28359086"/>
      <w:r/>
      <w:bookmarkStart w:id="21" w:name="_Toc28359009"/>
      <w:r>
        <w:rPr>
          <w:rFonts w:hint="eastAsia" w:ascii="宋体" w:hAnsi="宋体" w:cs="宋体"/>
          <w:szCs w:val="21"/>
          <w:highlight w:val="none"/>
        </w:rPr>
        <w:t xml:space="preserve">联系人：</w:t>
      </w:r>
      <w:r>
        <w:rPr>
          <w:rFonts w:hint="eastAsia" w:ascii="宋体" w:hAnsi="宋体" w:cs="宋体"/>
          <w:szCs w:val="21"/>
          <w:highlight w:val="none"/>
          <w:lang w:eastAsia="zh-CN"/>
        </w:rPr>
        <w:t xml:space="preserve">严老师</w:t>
      </w:r>
      <w:r>
        <w:rPr>
          <w:rFonts w:hint="eastAsia" w:ascii="宋体" w:hAnsi="宋体" w:cs="宋体"/>
          <w:szCs w:val="21"/>
          <w:highlight w:val="none"/>
        </w:rPr>
        <w:t xml:space="preserve">  </w:t>
      </w:r>
      <w:r>
        <w:rPr>
          <w:rFonts w:hint="eastAsia" w:ascii="宋体" w:hAnsi="宋体" w:cs="宋体"/>
          <w:szCs w:val="21"/>
          <w:highlight w:val="none"/>
        </w:rPr>
      </w:r>
      <w:r/>
    </w:p>
    <w:p>
      <w:pPr>
        <w:pStyle w:val="927"/>
        <w:spacing w:line="360" w:lineRule="auto"/>
        <w:rPr>
          <w:rFonts w:hint="eastAsia" w:ascii="宋体" w:hAnsi="宋体" w:cs="宋体"/>
          <w:szCs w:val="21"/>
          <w:highlight w:val="none"/>
        </w:rPr>
      </w:pPr>
      <w:r>
        <w:rPr>
          <w:rFonts w:hint="eastAsia" w:ascii="宋体" w:hAnsi="宋体" w:cs="宋体"/>
          <w:szCs w:val="21"/>
          <w:highlight w:val="none"/>
        </w:rPr>
        <w:t xml:space="preserve">联系方式：025-</w:t>
      </w:r>
      <w:r>
        <w:rPr>
          <w:rFonts w:hint="eastAsia" w:ascii="宋体" w:hAnsi="宋体" w:cs="宋体"/>
          <w:szCs w:val="21"/>
          <w:highlight w:val="none"/>
          <w:lang w:eastAsia="zh-CN"/>
        </w:rPr>
        <w:t xml:space="preserve">84550122</w:t>
      </w:r>
      <w:r>
        <w:rPr>
          <w:rFonts w:hint="eastAsia" w:ascii="宋体" w:hAnsi="宋体" w:cs="宋体"/>
          <w:szCs w:val="21"/>
          <w:highlight w:val="none"/>
        </w:rPr>
        <w:t xml:space="preserve">  </w:t>
      </w:r>
      <w:r>
        <w:rPr>
          <w:rFonts w:hint="eastAsia" w:ascii="宋体" w:hAnsi="宋体" w:cs="宋体"/>
          <w:szCs w:val="21"/>
          <w:highlight w:val="none"/>
        </w:rPr>
      </w:r>
      <w:r/>
    </w:p>
    <w:p>
      <w:pPr>
        <w:pStyle w:val="927"/>
        <w:spacing w:line="360" w:lineRule="auto"/>
        <w:rPr>
          <w:rFonts w:hint="eastAsia" w:ascii="宋体" w:hAnsi="宋体" w:cs="宋体"/>
          <w:szCs w:val="21"/>
          <w:highlight w:val="none"/>
        </w:rPr>
      </w:pPr>
      <w:r>
        <w:rPr>
          <w:rFonts w:hint="eastAsia" w:ascii="宋体" w:hAnsi="宋体" w:cs="宋体"/>
          <w:szCs w:val="21"/>
          <w:highlight w:val="none"/>
        </w:rPr>
        <w:t xml:space="preserve">2.采购代理机构信息</w:t>
      </w:r>
      <w:bookmarkEnd w:id="20"/>
      <w:r/>
      <w:bookmarkEnd w:id="21"/>
      <w:r>
        <w:rPr>
          <w:rFonts w:hint="eastAsia" w:ascii="宋体" w:hAnsi="宋体" w:cs="宋体"/>
          <w:szCs w:val="21"/>
          <w:highlight w:val="none"/>
        </w:rPr>
      </w:r>
      <w:r/>
    </w:p>
    <w:p>
      <w:pPr>
        <w:pStyle w:val="92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名 称：苏美达国际技术贸易有限公司</w:t>
      </w:r>
      <w:r>
        <w:rPr>
          <w:rFonts w:hint="eastAsia" w:ascii="宋体" w:hAnsi="宋体" w:cs="宋体"/>
          <w:color w:val="000000"/>
          <w:szCs w:val="21"/>
          <w:highlight w:val="none"/>
        </w:rPr>
      </w:r>
      <w:r/>
    </w:p>
    <w:p>
      <w:pPr>
        <w:pStyle w:val="92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　址： 南京市长江路198号苏美达大厦9F</w:t>
      </w:r>
      <w:r>
        <w:rPr>
          <w:rFonts w:hint="eastAsia" w:ascii="宋体" w:hAnsi="宋体" w:cs="宋体"/>
          <w:color w:val="000000"/>
          <w:szCs w:val="21"/>
          <w:highlight w:val="none"/>
        </w:rPr>
      </w:r>
      <w:r/>
    </w:p>
    <w:p>
      <w:pPr>
        <w:pStyle w:val="927"/>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联系</w:t>
      </w:r>
      <w:bookmarkStart w:id="22" w:name="_Toc28359087"/>
      <w:r/>
      <w:bookmarkStart w:id="23" w:name="_Toc28359010"/>
      <w:r>
        <w:rPr>
          <w:rFonts w:hint="eastAsia" w:ascii="宋体" w:hAnsi="宋体" w:cs="宋体"/>
          <w:color w:val="000000"/>
          <w:szCs w:val="21"/>
          <w:highlight w:val="none"/>
        </w:rPr>
        <w:t xml:space="preserve">人：</w:t>
      </w:r>
      <w:r>
        <w:rPr>
          <w:rFonts w:hint="eastAsia" w:ascii="宋体" w:hAnsi="宋体" w:cs="宋体"/>
          <w:color w:val="000000"/>
          <w:szCs w:val="21"/>
          <w:highlight w:val="none"/>
          <w:lang w:eastAsia="zh-CN"/>
        </w:rPr>
        <w:t xml:space="preserve">邓梦诗、</w:t>
      </w:r>
      <w:r>
        <w:rPr>
          <w:rFonts w:hint="eastAsia" w:ascii="宋体" w:hAnsi="宋体" w:cs="宋体"/>
          <w:color w:val="000000"/>
          <w:szCs w:val="21"/>
          <w:highlight w:val="none"/>
          <w:lang w:val="en-US" w:eastAsia="zh-CN"/>
        </w:rPr>
        <w:t xml:space="preserve">高雅婧、杨扬</w:t>
      </w:r>
      <w:r>
        <w:rPr>
          <w:rFonts w:ascii="宋体" w:hAnsi="宋体" w:eastAsia="宋体" w:cs="宋体"/>
          <w:color w:val="000000"/>
          <w:szCs w:val="21"/>
          <w:highlight w:val="none"/>
          <w:lang w:val="en-US" w:eastAsia="zh-CN"/>
        </w:rPr>
      </w:r>
      <w:r/>
    </w:p>
    <w:p>
      <w:pPr>
        <w:pStyle w:val="927"/>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联系电话：025-</w:t>
      </w:r>
      <w:r>
        <w:rPr>
          <w:rFonts w:hint="eastAsia" w:ascii="宋体" w:hAnsi="宋体" w:cs="宋体"/>
          <w:color w:val="000000"/>
          <w:szCs w:val="21"/>
          <w:highlight w:val="none"/>
          <w:lang w:eastAsia="zh-CN"/>
        </w:rPr>
        <w:t xml:space="preserve">84531619、</w:t>
      </w:r>
      <w:r>
        <w:rPr>
          <w:rFonts w:hint="eastAsia" w:ascii="宋体" w:hAnsi="宋体" w:cs="宋体"/>
          <w:color w:val="000000"/>
          <w:szCs w:val="21"/>
          <w:highlight w:val="none"/>
          <w:lang w:val="en-US" w:eastAsia="zh-CN"/>
        </w:rPr>
        <w:t xml:space="preserve">84532452、84532455</w:t>
      </w:r>
      <w:r>
        <w:rPr>
          <w:rFonts w:ascii="宋体" w:hAnsi="宋体" w:eastAsia="宋体" w:cs="宋体"/>
          <w:color w:val="000000"/>
          <w:szCs w:val="21"/>
          <w:highlight w:val="none"/>
          <w:lang w:val="en-US" w:eastAsia="zh-CN"/>
        </w:rPr>
      </w:r>
      <w:r/>
    </w:p>
    <w:p>
      <w:pPr>
        <w:pStyle w:val="92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3.项目联系方式</w:t>
      </w:r>
      <w:bookmarkEnd w:id="22"/>
      <w:r/>
      <w:bookmarkEnd w:id="23"/>
      <w:r>
        <w:rPr>
          <w:rFonts w:hint="eastAsia" w:ascii="宋体" w:hAnsi="宋体" w:cs="宋体"/>
          <w:color w:val="000000"/>
          <w:szCs w:val="21"/>
          <w:highlight w:val="none"/>
        </w:rPr>
      </w:r>
      <w:r/>
    </w:p>
    <w:p>
      <w:pPr>
        <w:pStyle w:val="927"/>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项目联系人：</w:t>
      </w:r>
      <w:r>
        <w:rPr>
          <w:rFonts w:hint="eastAsia" w:ascii="宋体" w:hAnsi="宋体" w:cs="宋体"/>
          <w:color w:val="000000"/>
          <w:szCs w:val="21"/>
          <w:highlight w:val="none"/>
          <w:lang w:eastAsia="zh-CN"/>
        </w:rPr>
        <w:t xml:space="preserve">邓梦诗、</w:t>
      </w:r>
      <w:r>
        <w:rPr>
          <w:rFonts w:hint="eastAsia" w:ascii="宋体" w:hAnsi="宋体" w:cs="宋体"/>
          <w:color w:val="000000"/>
          <w:szCs w:val="21"/>
          <w:highlight w:val="none"/>
          <w:lang w:val="en-US" w:eastAsia="zh-CN"/>
        </w:rPr>
        <w:t xml:space="preserve">高雅婧、杨扬</w:t>
      </w:r>
      <w:r>
        <w:rPr>
          <w:rFonts w:ascii="宋体" w:hAnsi="宋体" w:eastAsia="宋体" w:cs="宋体"/>
          <w:color w:val="000000"/>
          <w:szCs w:val="21"/>
          <w:highlight w:val="none"/>
          <w:lang w:val="en-US" w:eastAsia="zh-CN"/>
        </w:rPr>
      </w:r>
      <w:r/>
    </w:p>
    <w:p>
      <w:pPr>
        <w:pStyle w:val="927"/>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联系电话：025-</w:t>
      </w:r>
      <w:r>
        <w:rPr>
          <w:rFonts w:hint="eastAsia" w:ascii="宋体" w:hAnsi="宋体" w:cs="宋体"/>
          <w:color w:val="000000"/>
          <w:szCs w:val="21"/>
          <w:highlight w:val="none"/>
          <w:lang w:eastAsia="zh-CN"/>
        </w:rPr>
        <w:t xml:space="preserve">84531619、</w:t>
      </w:r>
      <w:r>
        <w:rPr>
          <w:rFonts w:hint="eastAsia" w:ascii="宋体" w:hAnsi="宋体" w:cs="宋体"/>
          <w:color w:val="000000"/>
          <w:szCs w:val="21"/>
          <w:highlight w:val="none"/>
          <w:lang w:val="en-US" w:eastAsia="zh-CN"/>
        </w:rPr>
        <w:t xml:space="preserve">84532452、84532455</w:t>
      </w:r>
      <w:r>
        <w:rPr>
          <w:rFonts w:ascii="宋体" w:hAnsi="宋体" w:eastAsia="宋体" w:cs="宋体"/>
          <w:color w:val="000000"/>
          <w:szCs w:val="21"/>
          <w:highlight w:val="none"/>
          <w:lang w:val="en-US" w:eastAsia="zh-CN"/>
        </w:rPr>
      </w:r>
      <w:r/>
    </w:p>
    <w:p>
      <w:pPr>
        <w:pStyle w:val="927"/>
        <w:spacing w:line="360" w:lineRule="auto"/>
        <w:rPr>
          <w:rFonts w:hint="eastAsia" w:ascii="宋体" w:hAnsi="宋体" w:eastAsia="宋体" w:cs="宋体"/>
          <w:color w:val="0000ff"/>
          <w:szCs w:val="21"/>
          <w:highlight w:val="none"/>
          <w:lang w:eastAsia="zh-CN"/>
        </w:rPr>
      </w:pPr>
      <w:r>
        <w:rPr>
          <w:rFonts w:hint="eastAsia" w:ascii="宋体" w:hAnsi="宋体" w:eastAsia="宋体" w:cs="宋体"/>
          <w:color w:val="0000ff"/>
          <w:szCs w:val="21"/>
          <w:highlight w:val="none"/>
          <w:lang w:eastAsia="zh-CN"/>
        </w:rPr>
      </w:r>
      <w:r/>
    </w:p>
    <w:p>
      <w:pPr>
        <w:pStyle w:val="927"/>
        <w:spacing w:line="360" w:lineRule="auto"/>
        <w:rPr>
          <w:rFonts w:hint="eastAsia" w:ascii="宋体" w:hAnsi="宋体" w:cs="宋体"/>
          <w:szCs w:val="21"/>
          <w:highlight w:val="none"/>
        </w:rPr>
      </w:pPr>
      <w:r/>
      <w:bookmarkStart w:id="24" w:name="_Toc28996"/>
      <w:r/>
      <w:bookmarkStart w:id="25" w:name="_Toc16975"/>
      <w:r>
        <w:rPr>
          <w:rFonts w:hint="eastAsia" w:ascii="宋体" w:hAnsi="宋体" w:cs="宋体"/>
          <w:szCs w:val="21"/>
          <w:highlight w:val="none"/>
        </w:rPr>
      </w:r>
      <w:r/>
    </w:p>
    <w:p>
      <w:pPr>
        <w:pStyle w:val="927"/>
        <w:spacing w:line="360" w:lineRule="auto"/>
        <w:rPr>
          <w:rFonts w:hint="eastAsia" w:ascii="宋体" w:hAnsi="宋体" w:cs="宋体"/>
          <w:szCs w:val="21"/>
          <w:highlight w:val="none"/>
        </w:rPr>
      </w:pPr>
      <w:r>
        <w:rPr>
          <w:rFonts w:hint="eastAsia" w:ascii="宋体" w:hAnsi="宋体" w:cs="宋体"/>
          <w:szCs w:val="21"/>
          <w:highlight w:val="none"/>
        </w:rPr>
      </w:r>
      <w:r/>
    </w:p>
    <w:p>
      <w:pPr>
        <w:pStyle w:val="927"/>
        <w:spacing w:line="360" w:lineRule="auto"/>
        <w:rPr>
          <w:rFonts w:hint="eastAsia" w:ascii="宋体" w:hAnsi="宋体" w:cs="宋体"/>
          <w:szCs w:val="21"/>
          <w:highlight w:val="none"/>
        </w:rPr>
      </w:pPr>
      <w:r>
        <w:rPr>
          <w:rFonts w:hint="eastAsia" w:ascii="宋体" w:hAnsi="宋体" w:cs="宋体"/>
          <w:szCs w:val="21"/>
          <w:highlight w:val="none"/>
        </w:rPr>
      </w:r>
      <w:r/>
    </w:p>
    <w:p>
      <w:pPr>
        <w:pStyle w:val="927"/>
        <w:spacing w:line="360" w:lineRule="auto"/>
        <w:rPr>
          <w:rFonts w:hint="eastAsia" w:ascii="宋体" w:hAnsi="宋体" w:cs="宋体"/>
          <w:szCs w:val="21"/>
          <w:highlight w:val="none"/>
        </w:rPr>
      </w:pPr>
      <w:r>
        <w:rPr>
          <w:rFonts w:hint="eastAsia" w:ascii="宋体" w:hAnsi="宋体" w:cs="宋体"/>
          <w:szCs w:val="21"/>
          <w:highlight w:val="none"/>
        </w:rPr>
      </w:r>
      <w:r/>
    </w:p>
    <w:p>
      <w:pPr>
        <w:pStyle w:val="927"/>
        <w:spacing w:line="360" w:lineRule="auto"/>
        <w:rPr>
          <w:rFonts w:hint="eastAsia" w:ascii="宋体" w:hAnsi="宋体" w:cs="宋体"/>
          <w:szCs w:val="21"/>
          <w:highlight w:val="none"/>
        </w:rPr>
      </w:pPr>
      <w:r>
        <w:rPr>
          <w:rFonts w:hint="eastAsia" w:ascii="宋体" w:hAnsi="宋体" w:cs="宋体"/>
          <w:szCs w:val="21"/>
          <w:highlight w:val="none"/>
        </w:rPr>
      </w:r>
      <w:r/>
    </w:p>
    <w:p>
      <w:pPr>
        <w:pStyle w:val="927"/>
        <w:spacing w:line="360" w:lineRule="auto"/>
        <w:rPr>
          <w:rFonts w:hint="eastAsia" w:ascii="宋体" w:hAnsi="宋体" w:cs="宋体"/>
          <w:szCs w:val="21"/>
          <w:highlight w:val="none"/>
        </w:rPr>
      </w:pPr>
      <w:r>
        <w:rPr>
          <w:rFonts w:hint="eastAsia" w:ascii="宋体" w:hAnsi="宋体" w:cs="宋体"/>
          <w:szCs w:val="21"/>
          <w:highlight w:val="none"/>
        </w:rPr>
      </w:r>
      <w:r/>
    </w:p>
    <w:p>
      <w:pPr>
        <w:pStyle w:val="927"/>
        <w:spacing w:line="360" w:lineRule="auto"/>
        <w:rPr>
          <w:rFonts w:hint="eastAsia" w:ascii="宋体" w:hAnsi="宋体" w:cs="宋体"/>
          <w:szCs w:val="21"/>
          <w:highlight w:val="none"/>
        </w:rPr>
      </w:pPr>
      <w:r>
        <w:rPr>
          <w:rFonts w:hint="eastAsia" w:ascii="宋体" w:hAnsi="宋体" w:cs="宋体"/>
          <w:szCs w:val="21"/>
          <w:highlight w:val="none"/>
        </w:rPr>
      </w:r>
      <w:r/>
    </w:p>
    <w:p>
      <w:pPr>
        <w:pStyle w:val="927"/>
        <w:spacing w:line="360" w:lineRule="auto"/>
        <w:rPr>
          <w:rFonts w:hint="eastAsia" w:ascii="宋体" w:hAnsi="宋体" w:cs="宋体"/>
          <w:szCs w:val="21"/>
          <w:highlight w:val="none"/>
        </w:rPr>
      </w:pPr>
      <w:r>
        <w:rPr>
          <w:rFonts w:hint="eastAsia" w:ascii="宋体" w:hAnsi="宋体" w:cs="宋体"/>
          <w:szCs w:val="21"/>
          <w:highlight w:val="none"/>
        </w:rPr>
      </w:r>
      <w:r/>
    </w:p>
    <w:p>
      <w:pPr>
        <w:pStyle w:val="927"/>
        <w:spacing w:line="360" w:lineRule="auto"/>
        <w:rPr>
          <w:rFonts w:hint="eastAsia" w:ascii="宋体" w:hAnsi="宋体" w:cs="宋体"/>
          <w:szCs w:val="21"/>
          <w:highlight w:val="none"/>
        </w:rPr>
      </w:pPr>
      <w:r>
        <w:rPr>
          <w:rFonts w:hint="eastAsia" w:ascii="宋体" w:hAnsi="宋体" w:cs="宋体"/>
          <w:szCs w:val="21"/>
          <w:highlight w:val="none"/>
        </w:rPr>
      </w:r>
      <w:r/>
    </w:p>
    <w:p>
      <w:pPr>
        <w:pStyle w:val="927"/>
        <w:spacing w:line="360" w:lineRule="auto"/>
        <w:rPr>
          <w:rFonts w:hint="eastAsia" w:ascii="宋体" w:hAnsi="宋体" w:cs="宋体"/>
          <w:szCs w:val="21"/>
          <w:highlight w:val="none"/>
        </w:rPr>
      </w:pPr>
      <w:r>
        <w:rPr>
          <w:rFonts w:hint="eastAsia" w:ascii="宋体" w:hAnsi="宋体" w:cs="宋体"/>
          <w:szCs w:val="21"/>
          <w:highlight w:val="none"/>
        </w:rPr>
      </w:r>
      <w:r/>
    </w:p>
    <w:p>
      <w:pPr>
        <w:pStyle w:val="927"/>
        <w:spacing w:line="360" w:lineRule="auto"/>
        <w:rPr>
          <w:rFonts w:hint="eastAsia" w:ascii="宋体" w:hAnsi="宋体" w:cs="宋体"/>
          <w:szCs w:val="21"/>
          <w:highlight w:val="none"/>
        </w:rPr>
      </w:pPr>
      <w:r>
        <w:rPr>
          <w:rFonts w:hint="eastAsia" w:ascii="宋体" w:hAnsi="宋体" w:cs="宋体"/>
          <w:szCs w:val="21"/>
          <w:highlight w:val="none"/>
        </w:rPr>
      </w:r>
      <w:r/>
    </w:p>
    <w:p>
      <w:pPr>
        <w:pStyle w:val="927"/>
        <w:spacing w:line="360" w:lineRule="auto"/>
        <w:rPr>
          <w:rFonts w:hint="eastAsia" w:ascii="宋体" w:hAnsi="宋体" w:cs="宋体"/>
          <w:szCs w:val="21"/>
          <w:highlight w:val="none"/>
        </w:rPr>
      </w:pPr>
      <w:r>
        <w:rPr>
          <w:rFonts w:hint="eastAsia" w:ascii="宋体" w:hAnsi="宋体" w:cs="宋体"/>
          <w:szCs w:val="21"/>
          <w:highlight w:val="none"/>
        </w:rPr>
      </w:r>
      <w:r/>
    </w:p>
    <w:p>
      <w:pPr>
        <w:pStyle w:val="927"/>
        <w:spacing w:line="360" w:lineRule="auto"/>
        <w:rPr>
          <w:rFonts w:hint="eastAsia" w:ascii="宋体" w:hAnsi="宋体" w:cs="宋体"/>
          <w:szCs w:val="21"/>
          <w:highlight w:val="none"/>
        </w:rPr>
      </w:pPr>
      <w:r>
        <w:rPr>
          <w:rFonts w:hint="eastAsia" w:ascii="宋体" w:hAnsi="宋体" w:cs="宋体"/>
          <w:szCs w:val="21"/>
          <w:highlight w:val="none"/>
        </w:rPr>
      </w:r>
      <w:r/>
    </w:p>
    <w:p>
      <w:pPr>
        <w:pStyle w:val="927"/>
        <w:spacing w:line="360" w:lineRule="auto"/>
        <w:rPr>
          <w:rFonts w:hint="eastAsia" w:ascii="宋体" w:hAnsi="宋体" w:cs="宋体"/>
          <w:szCs w:val="21"/>
          <w:highlight w:val="none"/>
        </w:rPr>
      </w:pPr>
      <w:r>
        <w:rPr>
          <w:rFonts w:hint="eastAsia" w:ascii="宋体" w:hAnsi="宋体" w:cs="宋体"/>
          <w:szCs w:val="21"/>
          <w:highlight w:val="none"/>
        </w:rPr>
      </w:r>
      <w:r/>
    </w:p>
    <w:p>
      <w:pPr>
        <w:pStyle w:val="927"/>
        <w:spacing w:line="360" w:lineRule="auto"/>
        <w:rPr>
          <w:rFonts w:hint="eastAsia" w:ascii="宋体" w:hAnsi="宋体" w:cs="宋体"/>
          <w:szCs w:val="21"/>
          <w:highlight w:val="none"/>
        </w:rPr>
      </w:pPr>
      <w:r>
        <w:rPr>
          <w:rFonts w:hint="eastAsia" w:ascii="宋体" w:hAnsi="宋体" w:cs="宋体"/>
          <w:szCs w:val="21"/>
          <w:highlight w:val="none"/>
        </w:rPr>
      </w:r>
      <w:r/>
    </w:p>
    <w:p>
      <w:pPr>
        <w:pStyle w:val="927"/>
        <w:spacing w:line="360" w:lineRule="auto"/>
        <w:rPr>
          <w:rFonts w:hint="eastAsia" w:ascii="宋体" w:hAnsi="宋体" w:cs="宋体"/>
          <w:szCs w:val="21"/>
          <w:highlight w:val="none"/>
        </w:rPr>
      </w:pPr>
      <w:r>
        <w:rPr>
          <w:rFonts w:hint="eastAsia" w:ascii="宋体" w:hAnsi="宋体" w:cs="宋体"/>
          <w:szCs w:val="21"/>
          <w:highlight w:val="none"/>
        </w:rPr>
      </w:r>
      <w:r/>
    </w:p>
    <w:p>
      <w:pPr>
        <w:pStyle w:val="927"/>
        <w:spacing w:line="360" w:lineRule="auto"/>
        <w:rPr>
          <w:rFonts w:hint="eastAsia" w:ascii="宋体" w:hAnsi="宋体" w:cs="宋体"/>
          <w:szCs w:val="21"/>
          <w:highlight w:val="none"/>
        </w:rPr>
      </w:pPr>
      <w:r>
        <w:rPr>
          <w:rFonts w:hint="eastAsia" w:ascii="宋体" w:hAnsi="宋体" w:cs="宋体"/>
          <w:szCs w:val="21"/>
          <w:highlight w:val="none"/>
        </w:rPr>
      </w:r>
      <w:r/>
    </w:p>
    <w:p>
      <w:pPr>
        <w:pStyle w:val="927"/>
        <w:spacing w:line="360" w:lineRule="auto"/>
        <w:rPr>
          <w:rFonts w:hint="eastAsia" w:ascii="宋体" w:hAnsi="宋体" w:cs="宋体"/>
          <w:szCs w:val="21"/>
          <w:highlight w:val="none"/>
        </w:rPr>
      </w:pPr>
      <w:r>
        <w:rPr>
          <w:rFonts w:hint="eastAsia" w:ascii="宋体" w:hAnsi="宋体" w:cs="宋体"/>
          <w:szCs w:val="21"/>
          <w:highlight w:val="none"/>
        </w:rPr>
      </w:r>
      <w:r/>
    </w:p>
    <w:p>
      <w:pPr>
        <w:pStyle w:val="927"/>
        <w:spacing w:line="360" w:lineRule="auto"/>
        <w:rPr>
          <w:rFonts w:hint="eastAsia" w:ascii="宋体" w:hAnsi="宋体" w:cs="宋体"/>
          <w:szCs w:val="21"/>
          <w:highlight w:val="none"/>
        </w:rPr>
      </w:pPr>
      <w:r>
        <w:rPr>
          <w:rFonts w:hint="eastAsia" w:ascii="宋体" w:hAnsi="宋体" w:cs="宋体"/>
          <w:szCs w:val="21"/>
          <w:highlight w:val="none"/>
        </w:rPr>
      </w:r>
      <w:r/>
    </w:p>
    <w:p>
      <w:pPr>
        <w:pStyle w:val="927"/>
        <w:jc w:val="center"/>
        <w:spacing w:line="440" w:lineRule="exact"/>
        <w:rPr>
          <w:rFonts w:ascii="Arial" w:hAnsi="Arial" w:eastAsia="黑体" w:cs="Arial"/>
          <w:b/>
          <w:color w:val="000000"/>
          <w:sz w:val="28"/>
          <w:szCs w:val="28"/>
          <w:highlight w:val="none"/>
        </w:rPr>
        <w:outlineLvl w:val="0"/>
      </w:pPr>
      <w:r>
        <w:rPr>
          <w:rFonts w:ascii="Arial" w:hAnsi="Arial" w:eastAsia="黑体" w:cs="Arial"/>
          <w:b/>
          <w:color w:val="000000"/>
          <w:sz w:val="28"/>
          <w:szCs w:val="28"/>
          <w:highlight w:val="none"/>
        </w:rPr>
        <w:br w:type="page" w:clear="all"/>
      </w:r>
      <w:r>
        <w:rPr>
          <w:rFonts w:ascii="Arial" w:hAnsi="Arial" w:eastAsia="黑体" w:cs="Arial"/>
          <w:b/>
          <w:color w:val="000000"/>
          <w:sz w:val="28"/>
          <w:szCs w:val="28"/>
          <w:highlight w:val="none"/>
        </w:rPr>
        <w:t xml:space="preserve">第二章 投标人须知</w:t>
      </w:r>
      <w:bookmarkEnd w:id="24"/>
      <w:r/>
      <w:bookmarkEnd w:id="25"/>
      <w:r>
        <w:rPr>
          <w:rFonts w:ascii="Arial" w:hAnsi="Arial" w:eastAsia="黑体" w:cs="Arial"/>
          <w:b/>
          <w:color w:val="000000"/>
          <w:sz w:val="28"/>
          <w:szCs w:val="28"/>
          <w:highlight w:val="none"/>
        </w:rPr>
      </w:r>
      <w:r/>
    </w:p>
    <w:p>
      <w:pPr>
        <w:pStyle w:val="927"/>
        <w:spacing w:line="360" w:lineRule="auto"/>
        <w:shd w:val="clear" w:color="auto" w:fill="ffffff"/>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投标人须知前附表</w:t>
      </w:r>
      <w:r>
        <w:rPr>
          <w:rFonts w:hint="eastAsia" w:ascii="宋体" w:hAnsi="宋体" w:eastAsia="宋体" w:cs="宋体"/>
          <w:b/>
          <w:bCs/>
          <w:color w:val="000000"/>
          <w:sz w:val="21"/>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928"/>
      </w:tblGrid>
      <w:tr>
        <w:trPr>
          <w:trHeight w:val="240"/>
        </w:trPr>
        <w:tc>
          <w:tcPr>
            <w:tcW w:w="819" w:type="dxa"/>
            <w:vAlign w:val="center"/>
            <w:textDirection w:val="lrTb"/>
            <w:noWrap w:val="false"/>
          </w:tcPr>
          <w:p>
            <w:pPr>
              <w:pStyle w:val="927"/>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8928" w:type="dxa"/>
            <w:vAlign w:val="center"/>
            <w:textDirection w:val="lrTb"/>
            <w:noWrap w:val="false"/>
          </w:tcPr>
          <w:p>
            <w:pPr>
              <w:pStyle w:val="927"/>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主要内容</w:t>
            </w:r>
            <w:r>
              <w:rPr>
                <w:rFonts w:hint="eastAsia" w:ascii="宋体" w:hAnsi="宋体" w:eastAsia="宋体" w:cs="宋体"/>
                <w:b/>
                <w:color w:val="000000"/>
                <w:sz w:val="21"/>
                <w:szCs w:val="21"/>
                <w:highlight w:val="none"/>
              </w:rPr>
            </w:r>
            <w:r/>
          </w:p>
        </w:tc>
      </w:tr>
      <w:tr>
        <w:trPr>
          <w:trHeight w:val="240"/>
        </w:trPr>
        <w:tc>
          <w:tcPr>
            <w:tcW w:w="819" w:type="dxa"/>
            <w:vAlign w:val="center"/>
            <w:textDirection w:val="lrTb"/>
            <w:noWrap w:val="false"/>
          </w:tcPr>
          <w:p>
            <w:pPr>
              <w:pStyle w:val="927"/>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w:t>
            </w:r>
            <w:r>
              <w:rPr>
                <w:rFonts w:hint="eastAsia" w:ascii="宋体" w:hAnsi="宋体" w:eastAsia="宋体" w:cs="宋体"/>
                <w:b/>
                <w:color w:val="000000"/>
                <w:sz w:val="21"/>
                <w:szCs w:val="21"/>
                <w:highlight w:val="none"/>
              </w:rPr>
            </w:r>
            <w:r/>
          </w:p>
        </w:tc>
        <w:tc>
          <w:tcPr>
            <w:tcW w:w="8928" w:type="dxa"/>
            <w:vAlign w:val="center"/>
            <w:textDirection w:val="lrTb"/>
            <w:noWrap w:val="false"/>
          </w:tcPr>
          <w:p>
            <w:pPr>
              <w:pStyle w:val="927"/>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w:t>
            </w:r>
            <w:r>
              <w:rPr>
                <w:rFonts w:hint="eastAsia" w:ascii="宋体" w:hAnsi="宋体" w:eastAsia="宋体" w:cs="宋体"/>
                <w:color w:val="000000"/>
                <w:szCs w:val="21"/>
                <w:highlight w:val="none"/>
                <w:lang w:eastAsia="zh-CN"/>
              </w:rPr>
              <w:t xml:space="preserve">南京市玄武区教育局</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927"/>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联系人：</w:t>
            </w:r>
            <w:r>
              <w:rPr>
                <w:rFonts w:hint="eastAsia" w:ascii="宋体" w:hAnsi="宋体" w:eastAsia="宋体" w:cs="宋体"/>
                <w:color w:val="000000"/>
                <w:szCs w:val="21"/>
                <w:highlight w:val="none"/>
                <w:lang w:eastAsia="zh-CN"/>
              </w:rPr>
              <w:t xml:space="preserve">严老师</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927"/>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电话：025-</w:t>
            </w:r>
            <w:r>
              <w:rPr>
                <w:rFonts w:hint="eastAsia" w:ascii="宋体" w:hAnsi="宋体" w:eastAsia="宋体" w:cs="宋体"/>
                <w:color w:val="000000"/>
                <w:szCs w:val="21"/>
                <w:highlight w:val="none"/>
                <w:lang w:eastAsia="zh-CN"/>
              </w:rPr>
              <w:t xml:space="preserve">84550122</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927"/>
              <w:spacing w:line="360" w:lineRule="auto"/>
              <w:shd w:val="clear" w:color="auto" w:fill="ffffff"/>
              <w:widowControl/>
              <w:rPr>
                <w:rFonts w:hint="eastAsia" w:ascii="宋体" w:hAnsi="宋体" w:eastAsia="宋体" w:cs="宋体"/>
                <w:b/>
                <w:color w:val="000000"/>
                <w:sz w:val="21"/>
                <w:szCs w:val="21"/>
                <w:highlight w:val="none"/>
              </w:rPr>
            </w:pPr>
            <w:r>
              <w:rPr>
                <w:rFonts w:hint="eastAsia" w:ascii="宋体" w:hAnsi="宋体" w:eastAsia="宋体" w:cs="宋体"/>
                <w:color w:val="000000"/>
                <w:szCs w:val="21"/>
                <w:highlight w:val="none"/>
              </w:rPr>
              <w:t xml:space="preserve">地址：</w:t>
            </w:r>
            <w:r>
              <w:rPr>
                <w:rFonts w:hint="eastAsia" w:ascii="宋体" w:hAnsi="宋体" w:eastAsia="宋体" w:cs="宋体"/>
                <w:szCs w:val="21"/>
                <w:highlight w:val="none"/>
                <w:lang w:eastAsia="zh-CN"/>
              </w:rPr>
              <w:t xml:space="preserve">南京市玄武区如意里20号  </w:t>
            </w:r>
            <w:r>
              <w:rPr>
                <w:rFonts w:hint="eastAsia" w:ascii="宋体" w:hAnsi="宋体" w:eastAsia="宋体" w:cs="宋体"/>
                <w:color w:val="000000"/>
                <w:szCs w:val="21"/>
                <w:highlight w:val="none"/>
              </w:rPr>
              <w:t xml:space="preserve">　 </w:t>
            </w:r>
            <w:r>
              <w:rPr>
                <w:rFonts w:hint="eastAsia" w:ascii="宋体" w:hAnsi="宋体" w:eastAsia="宋体" w:cs="宋体"/>
                <w:b/>
                <w:color w:val="000000"/>
                <w:sz w:val="21"/>
                <w:szCs w:val="21"/>
                <w:highlight w:val="none"/>
              </w:rPr>
            </w:r>
            <w:r/>
          </w:p>
        </w:tc>
      </w:tr>
      <w:tr>
        <w:trPr>
          <w:trHeight w:val="240"/>
        </w:trPr>
        <w:tc>
          <w:tcPr>
            <w:tcW w:w="819" w:type="dxa"/>
            <w:vAlign w:val="center"/>
            <w:textDirection w:val="lrTb"/>
            <w:noWrap w:val="false"/>
          </w:tcPr>
          <w:p>
            <w:pPr>
              <w:pStyle w:val="927"/>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w:t>
            </w:r>
            <w:r>
              <w:rPr>
                <w:rFonts w:hint="eastAsia" w:ascii="宋体" w:hAnsi="宋体" w:eastAsia="宋体" w:cs="宋体"/>
                <w:b/>
                <w:color w:val="000000"/>
                <w:sz w:val="21"/>
                <w:szCs w:val="21"/>
                <w:highlight w:val="none"/>
              </w:rPr>
            </w:r>
            <w:r/>
          </w:p>
        </w:tc>
        <w:tc>
          <w:tcPr>
            <w:tcW w:w="8928" w:type="dxa"/>
            <w:vAlign w:val="center"/>
            <w:textDirection w:val="lrTb"/>
            <w:noWrap w:val="false"/>
          </w:tcPr>
          <w:p>
            <w:pPr>
              <w:pStyle w:val="927"/>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采购代理机构：苏美达国际技术贸易有限公司</w:t>
            </w:r>
            <w:r>
              <w:rPr>
                <w:rFonts w:hint="eastAsia" w:ascii="宋体" w:hAnsi="宋体" w:eastAsia="宋体" w:cs="宋体"/>
                <w:color w:val="000000"/>
                <w:szCs w:val="21"/>
                <w:highlight w:val="none"/>
              </w:rPr>
            </w:r>
            <w:r/>
          </w:p>
          <w:p>
            <w:pPr>
              <w:pStyle w:val="927"/>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联 系 人：</w:t>
            </w:r>
            <w:r>
              <w:rPr>
                <w:rFonts w:hint="eastAsia" w:ascii="宋体" w:hAnsi="宋体" w:eastAsia="宋体" w:cs="宋体"/>
                <w:color w:val="000000"/>
                <w:szCs w:val="21"/>
                <w:highlight w:val="none"/>
                <w:lang w:eastAsia="zh-CN"/>
              </w:rPr>
              <w:t xml:space="preserve">邓梦诗、</w:t>
            </w:r>
            <w:r>
              <w:rPr>
                <w:rFonts w:hint="eastAsia" w:ascii="宋体" w:hAnsi="宋体" w:eastAsia="宋体" w:cs="宋体"/>
                <w:color w:val="000000"/>
                <w:szCs w:val="21"/>
                <w:highlight w:val="none"/>
                <w:lang w:val="en-US" w:eastAsia="zh-CN"/>
              </w:rPr>
              <w:t xml:space="preserve">高雅婧、杨扬</w:t>
            </w:r>
            <w:r>
              <w:rPr>
                <w:rFonts w:hint="eastAsia" w:ascii="宋体" w:hAnsi="宋体" w:eastAsia="宋体" w:cs="宋体"/>
                <w:color w:val="000000"/>
                <w:szCs w:val="21"/>
                <w:highlight w:val="none"/>
                <w:lang w:val="en-US" w:eastAsia="zh-CN"/>
              </w:rPr>
            </w:r>
            <w:r/>
          </w:p>
          <w:p>
            <w:pPr>
              <w:pStyle w:val="927"/>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联系电话：025-</w:t>
            </w:r>
            <w:r>
              <w:rPr>
                <w:rFonts w:hint="eastAsia" w:ascii="宋体" w:hAnsi="宋体" w:eastAsia="宋体" w:cs="宋体"/>
                <w:color w:val="000000"/>
                <w:szCs w:val="21"/>
                <w:highlight w:val="none"/>
                <w:lang w:eastAsia="zh-CN"/>
              </w:rPr>
              <w:t xml:space="preserve">84531619、</w:t>
            </w:r>
            <w:r>
              <w:rPr>
                <w:rFonts w:hint="eastAsia" w:ascii="宋体" w:hAnsi="宋体" w:eastAsia="宋体" w:cs="宋体"/>
                <w:color w:val="000000"/>
                <w:szCs w:val="21"/>
                <w:highlight w:val="none"/>
                <w:lang w:val="en-US" w:eastAsia="zh-CN"/>
              </w:rPr>
              <w:t xml:space="preserve">84532452、84532455</w:t>
            </w:r>
            <w:r>
              <w:rPr>
                <w:rFonts w:hint="eastAsia" w:ascii="宋体" w:hAnsi="宋体" w:eastAsia="宋体" w:cs="宋体"/>
                <w:color w:val="000000"/>
                <w:szCs w:val="21"/>
                <w:highlight w:val="none"/>
              </w:rPr>
            </w:r>
            <w:r/>
          </w:p>
          <w:p>
            <w:pPr>
              <w:pStyle w:val="927"/>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联系地址： 南京市长江路198号苏美达大厦9F</w:t>
            </w:r>
            <w:r>
              <w:rPr>
                <w:rFonts w:hint="eastAsia" w:ascii="宋体" w:hAnsi="宋体" w:eastAsia="宋体" w:cs="宋体"/>
                <w:color w:val="000000"/>
                <w:szCs w:val="21"/>
                <w:highlight w:val="none"/>
              </w:rPr>
            </w:r>
            <w:r/>
          </w:p>
        </w:tc>
      </w:tr>
      <w:tr>
        <w:trPr>
          <w:trHeight w:val="240"/>
        </w:trPr>
        <w:tc>
          <w:tcPr>
            <w:tcW w:w="819" w:type="dxa"/>
            <w:vAlign w:val="center"/>
            <w:textDirection w:val="lrTb"/>
            <w:noWrap w:val="false"/>
          </w:tcPr>
          <w:p>
            <w:pPr>
              <w:pStyle w:val="927"/>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3</w:t>
            </w:r>
            <w:r>
              <w:rPr>
                <w:rFonts w:hint="eastAsia" w:ascii="宋体" w:hAnsi="宋体" w:eastAsia="宋体" w:cs="宋体"/>
                <w:b/>
                <w:color w:val="000000"/>
                <w:szCs w:val="21"/>
                <w:highlight w:val="none"/>
              </w:rPr>
            </w:r>
            <w:r/>
          </w:p>
        </w:tc>
        <w:tc>
          <w:tcPr>
            <w:tcW w:w="8928" w:type="dxa"/>
            <w:vAlign w:val="center"/>
            <w:textDirection w:val="lrTb"/>
            <w:noWrap w:val="false"/>
          </w:tcPr>
          <w:p>
            <w:pPr>
              <w:pStyle w:val="927"/>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项目名称：</w:t>
            </w:r>
            <w:r>
              <w:rPr>
                <w:rFonts w:hint="eastAsia" w:ascii="宋体" w:hAnsi="宋体" w:eastAsia="宋体" w:cs="宋体"/>
                <w:color w:val="000000"/>
                <w:szCs w:val="21"/>
                <w:highlight w:val="none"/>
                <w:lang w:eastAsia="zh-CN"/>
              </w:rPr>
              <w:t xml:space="preserve">玄武高级中学等校弱电智能化设备更新</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927"/>
              <w:spacing w:line="360" w:lineRule="auto"/>
              <w:shd w:val="clear" w:color="auto" w:fill="ffffff"/>
              <w:widowControl/>
              <w:rPr>
                <w:rFonts w:hint="eastAsia" w:ascii="宋体" w:hAnsi="宋体" w:eastAsia="宋体" w:cs="宋体"/>
                <w:b/>
                <w:color w:val="000000"/>
                <w:szCs w:val="21"/>
                <w:highlight w:val="none"/>
                <w:lang w:eastAsia="zh-CN"/>
              </w:rPr>
            </w:pPr>
            <w:r>
              <w:rPr>
                <w:rFonts w:hint="eastAsia" w:ascii="宋体" w:hAnsi="宋体" w:eastAsia="宋体" w:cs="宋体"/>
                <w:color w:val="000000"/>
                <w:szCs w:val="21"/>
                <w:highlight w:val="none"/>
              </w:rPr>
              <w:t xml:space="preserve">项目编号：</w:t>
            </w:r>
            <w:r>
              <w:rPr>
                <w:rFonts w:hint="eastAsia" w:ascii="宋体" w:hAnsi="宋体" w:eastAsia="宋体" w:cs="宋体"/>
                <w:color w:val="000000"/>
                <w:szCs w:val="21"/>
                <w:highlight w:val="none"/>
                <w:lang w:eastAsia="zh-CN"/>
              </w:rPr>
              <w:t xml:space="preserve">JSZC-320102-SMDG-G2026-0045</w:t>
            </w:r>
            <w:r>
              <w:rPr>
                <w:rFonts w:hint="eastAsia" w:ascii="宋体" w:hAnsi="宋体" w:eastAsia="宋体" w:cs="宋体"/>
                <w:b/>
                <w:color w:val="000000"/>
                <w:szCs w:val="21"/>
                <w:highlight w:val="none"/>
                <w:lang w:eastAsia="zh-CN"/>
              </w:rPr>
            </w:r>
            <w:r/>
          </w:p>
        </w:tc>
      </w:tr>
      <w:tr>
        <w:trPr>
          <w:trHeight w:val="240"/>
        </w:trPr>
        <w:tc>
          <w:tcPr>
            <w:tcW w:w="819" w:type="dxa"/>
            <w:vAlign w:val="center"/>
            <w:textDirection w:val="lrTb"/>
            <w:noWrap w:val="false"/>
          </w:tcPr>
          <w:p>
            <w:pPr>
              <w:pStyle w:val="927"/>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4</w:t>
            </w:r>
            <w:r>
              <w:rPr>
                <w:rFonts w:hint="eastAsia" w:ascii="宋体" w:hAnsi="宋体" w:eastAsia="宋体" w:cs="宋体"/>
                <w:b/>
                <w:color w:val="000000"/>
                <w:szCs w:val="21"/>
                <w:highlight w:val="none"/>
              </w:rPr>
            </w:r>
            <w:r/>
          </w:p>
        </w:tc>
        <w:tc>
          <w:tcPr>
            <w:tcW w:w="8928" w:type="dxa"/>
            <w:vAlign w:val="center"/>
            <w:textDirection w:val="lrTb"/>
            <w:noWrap w:val="false"/>
          </w:tcPr>
          <w:p>
            <w:pPr>
              <w:pStyle w:val="927"/>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采购方式：</w:t>
            </w:r>
            <w:r>
              <w:rPr>
                <w:rFonts w:hint="eastAsia" w:ascii="宋体" w:hAnsi="宋体" w:eastAsia="宋体" w:cs="宋体"/>
                <w:b/>
                <w:bCs/>
                <w:color w:val="000000"/>
                <w:szCs w:val="21"/>
                <w:highlight w:val="none"/>
              </w:rPr>
              <w:t xml:space="preserve">公开招标 </w:t>
            </w:r>
            <w:r>
              <w:rPr>
                <w:rFonts w:hint="eastAsia" w:ascii="宋体" w:hAnsi="宋体" w:eastAsia="宋体" w:cs="宋体"/>
                <w:color w:val="000000"/>
                <w:szCs w:val="21"/>
                <w:highlight w:val="none"/>
              </w:rPr>
            </w:r>
            <w:r/>
          </w:p>
        </w:tc>
      </w:tr>
      <w:tr>
        <w:trPr>
          <w:trHeight w:val="240"/>
        </w:trPr>
        <w:tc>
          <w:tcPr>
            <w:tcW w:w="819" w:type="dxa"/>
            <w:vAlign w:val="center"/>
            <w:textDirection w:val="lrTb"/>
            <w:noWrap w:val="false"/>
          </w:tcPr>
          <w:p>
            <w:pPr>
              <w:pStyle w:val="927"/>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5</w:t>
            </w:r>
            <w:r>
              <w:rPr>
                <w:rFonts w:hint="eastAsia" w:ascii="宋体" w:hAnsi="宋体" w:eastAsia="宋体" w:cs="宋体"/>
                <w:b/>
                <w:color w:val="000000"/>
                <w:szCs w:val="21"/>
                <w:highlight w:val="none"/>
              </w:rPr>
            </w:r>
            <w:r/>
          </w:p>
        </w:tc>
        <w:tc>
          <w:tcPr>
            <w:tcW w:w="8928" w:type="dxa"/>
            <w:vAlign w:val="center"/>
            <w:textDirection w:val="lrTb"/>
            <w:noWrap w:val="false"/>
          </w:tcPr>
          <w:p>
            <w:pPr>
              <w:pStyle w:val="927"/>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投标有效期</w:t>
            </w:r>
            <w:r>
              <w:rPr>
                <w:rFonts w:hint="eastAsia" w:ascii="宋体" w:hAnsi="宋体" w:eastAsia="宋体" w:cs="宋体"/>
                <w:color w:val="000000"/>
                <w:szCs w:val="21"/>
                <w:highlight w:val="none"/>
              </w:rPr>
              <w:t xml:space="preserve">：开标之日起90天</w:t>
            </w:r>
            <w:r>
              <w:rPr>
                <w:rFonts w:hint="eastAsia" w:ascii="宋体" w:hAnsi="宋体" w:eastAsia="宋体" w:cs="宋体"/>
                <w:color w:val="000000"/>
                <w:szCs w:val="21"/>
                <w:highlight w:val="none"/>
              </w:rPr>
            </w:r>
            <w:r/>
          </w:p>
        </w:tc>
      </w:tr>
      <w:tr>
        <w:trPr>
          <w:trHeight w:val="475"/>
        </w:trPr>
        <w:tc>
          <w:tcPr>
            <w:tcW w:w="819" w:type="dxa"/>
            <w:vAlign w:val="center"/>
            <w:textDirection w:val="lrTb"/>
            <w:noWrap w:val="false"/>
          </w:tcPr>
          <w:p>
            <w:pPr>
              <w:pStyle w:val="927"/>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6</w:t>
            </w:r>
            <w:r>
              <w:rPr>
                <w:rFonts w:hint="eastAsia" w:ascii="宋体" w:hAnsi="宋体" w:eastAsia="宋体" w:cs="宋体"/>
                <w:b/>
                <w:color w:val="000000"/>
                <w:szCs w:val="21"/>
                <w:highlight w:val="none"/>
              </w:rPr>
            </w:r>
            <w:r/>
          </w:p>
        </w:tc>
        <w:tc>
          <w:tcPr>
            <w:tcW w:w="8928" w:type="dxa"/>
            <w:vAlign w:val="center"/>
            <w:textDirection w:val="lrTb"/>
            <w:noWrap w:val="false"/>
          </w:tcPr>
          <w:p>
            <w:pPr>
              <w:pStyle w:val="927"/>
              <w:jc w:val="left"/>
              <w:spacing w:line="360" w:lineRule="auto"/>
              <w:shd w:val="clear" w:color="auto" w:fill="ffffff"/>
              <w:widowControl/>
              <w:rPr>
                <w:rFonts w:hint="eastAsia" w:ascii="宋体" w:hAnsi="宋体" w:eastAsia="宋体" w:cs="宋体"/>
                <w:b/>
                <w:color w:val="000000"/>
                <w:szCs w:val="21"/>
                <w:highlight w:val="none"/>
              </w:rPr>
            </w:pPr>
            <w:r>
              <w:rPr>
                <w:rFonts w:hint="eastAsia" w:ascii="宋体" w:hAnsi="宋体" w:eastAsia="宋体" w:cs="宋体"/>
                <w:b/>
                <w:bCs/>
                <w:color w:val="000000"/>
                <w:szCs w:val="21"/>
                <w:highlight w:val="none"/>
              </w:rPr>
              <w:t xml:space="preserve">投标保证金：本项目无需缴纳投标保证金</w:t>
            </w:r>
            <w:r>
              <w:rPr>
                <w:rFonts w:hint="eastAsia" w:ascii="宋体" w:hAnsi="宋体" w:eastAsia="宋体" w:cs="宋体"/>
                <w:b/>
                <w:color w:val="000000"/>
                <w:szCs w:val="21"/>
                <w:highlight w:val="none"/>
              </w:rPr>
            </w:r>
            <w:r/>
          </w:p>
        </w:tc>
      </w:tr>
      <w:tr>
        <w:trPr>
          <w:trHeight w:val="559"/>
        </w:trPr>
        <w:tc>
          <w:tcPr>
            <w:tcW w:w="819" w:type="dxa"/>
            <w:vAlign w:val="center"/>
            <w:textDirection w:val="lrTb"/>
            <w:noWrap w:val="false"/>
          </w:tcPr>
          <w:p>
            <w:pPr>
              <w:pStyle w:val="927"/>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7</w:t>
            </w:r>
            <w:r>
              <w:rPr>
                <w:rFonts w:hint="eastAsia" w:ascii="宋体" w:hAnsi="宋体" w:eastAsia="宋体" w:cs="宋体"/>
                <w:b/>
                <w:color w:val="000000"/>
                <w:szCs w:val="21"/>
                <w:highlight w:val="none"/>
              </w:rPr>
            </w:r>
            <w:r/>
          </w:p>
        </w:tc>
        <w:tc>
          <w:tcPr>
            <w:tcW w:w="8928" w:type="dxa"/>
            <w:vAlign w:val="center"/>
            <w:textDirection w:val="lrTb"/>
            <w:noWrap w:val="false"/>
          </w:tcPr>
          <w:p>
            <w:pPr>
              <w:pStyle w:val="927"/>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投标文件接收截止时间：</w:t>
            </w:r>
            <w:r>
              <w:rPr>
                <w:rFonts w:hint="eastAsia" w:ascii="宋体" w:hAnsi="宋体" w:eastAsia="宋体" w:cs="宋体"/>
                <w:szCs w:val="21"/>
                <w:highlight w:val="none"/>
                <w:lang w:eastAsia="zh-CN"/>
              </w:rPr>
              <w:t xml:space="preserve">2026年6月25日14:00</w:t>
            </w:r>
            <w:r>
              <w:rPr>
                <w:rFonts w:hint="eastAsia" w:ascii="宋体" w:hAnsi="宋体" w:eastAsia="宋体" w:cs="宋体"/>
                <w:color w:val="000000"/>
                <w:szCs w:val="21"/>
                <w:highlight w:val="none"/>
              </w:rPr>
              <w:t xml:space="preserve">（北京时间） </w:t>
            </w:r>
            <w:r>
              <w:rPr>
                <w:rFonts w:hint="eastAsia" w:ascii="宋体" w:hAnsi="宋体" w:eastAsia="宋体" w:cs="宋体"/>
                <w:color w:val="000000"/>
                <w:szCs w:val="21"/>
                <w:highlight w:val="none"/>
              </w:rPr>
            </w:r>
            <w:r/>
          </w:p>
          <w:p>
            <w:pPr>
              <w:pStyle w:val="927"/>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开标时间：</w:t>
            </w:r>
            <w:r>
              <w:rPr>
                <w:rFonts w:hint="eastAsia" w:ascii="宋体" w:hAnsi="宋体" w:eastAsia="宋体" w:cs="宋体"/>
                <w:szCs w:val="21"/>
                <w:highlight w:val="none"/>
                <w:lang w:eastAsia="zh-CN"/>
              </w:rPr>
              <w:t xml:space="preserve">2026年6月25日14:00</w:t>
            </w:r>
            <w:r>
              <w:rPr>
                <w:rFonts w:hint="eastAsia" w:ascii="宋体" w:hAnsi="宋体" w:eastAsia="宋体" w:cs="宋体"/>
                <w:color w:val="000000"/>
                <w:szCs w:val="21"/>
                <w:highlight w:val="none"/>
              </w:rPr>
              <w:t xml:space="preserve">（北京时间）     </w:t>
            </w:r>
            <w:r>
              <w:rPr>
                <w:rFonts w:hint="eastAsia" w:ascii="宋体" w:hAnsi="宋体" w:eastAsia="宋体" w:cs="宋体"/>
                <w:color w:val="000000"/>
                <w:szCs w:val="21"/>
                <w:highlight w:val="none"/>
              </w:rPr>
            </w:r>
            <w:r/>
          </w:p>
          <w:p>
            <w:pPr>
              <w:pStyle w:val="927"/>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地点：“苏采云”政府采购交易系统网上开标大厅</w:t>
            </w:r>
            <w:r>
              <w:rPr>
                <w:rFonts w:hint="eastAsia" w:ascii="宋体" w:hAnsi="宋体" w:eastAsia="宋体" w:cs="宋体"/>
                <w:color w:val="000000"/>
                <w:szCs w:val="21"/>
                <w:highlight w:val="none"/>
              </w:rPr>
            </w:r>
            <w:r/>
          </w:p>
        </w:tc>
      </w:tr>
      <w:tr>
        <w:trPr>
          <w:trHeight w:val="390"/>
        </w:trPr>
        <w:tc>
          <w:tcPr>
            <w:tcW w:w="819" w:type="dxa"/>
            <w:vAlign w:val="center"/>
            <w:textDirection w:val="lrTb"/>
            <w:noWrap w:val="false"/>
          </w:tcPr>
          <w:p>
            <w:pPr>
              <w:pStyle w:val="927"/>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8</w:t>
            </w:r>
            <w:r>
              <w:rPr>
                <w:rFonts w:hint="eastAsia" w:ascii="宋体" w:hAnsi="宋体" w:eastAsia="宋体" w:cs="宋体"/>
                <w:b/>
                <w:color w:val="000000"/>
                <w:szCs w:val="21"/>
                <w:highlight w:val="none"/>
              </w:rPr>
            </w:r>
            <w:r/>
          </w:p>
        </w:tc>
        <w:tc>
          <w:tcPr>
            <w:tcW w:w="8928" w:type="dxa"/>
            <w:vAlign w:val="center"/>
            <w:textDirection w:val="lrTb"/>
            <w:noWrap w:val="false"/>
          </w:tcPr>
          <w:p>
            <w:pPr>
              <w:pStyle w:val="927"/>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投标报价：</w:t>
            </w:r>
            <w:r>
              <w:rPr>
                <w:rFonts w:hint="eastAsia" w:ascii="宋体" w:hAnsi="宋体" w:eastAsia="宋体" w:cs="宋体"/>
                <w:b/>
                <w:bCs/>
                <w:color w:val="000000"/>
                <w:szCs w:val="21"/>
                <w:highlight w:val="none"/>
              </w:rPr>
            </w:r>
            <w:r/>
          </w:p>
          <w:p>
            <w:pPr>
              <w:pStyle w:val="927"/>
              <w:spacing w:line="360" w:lineRule="auto"/>
              <w:rPr>
                <w:rFonts w:hint="eastAsia" w:ascii="宋体" w:hAnsi="宋体" w:eastAsia="宋体" w:cs="宋体"/>
                <w:szCs w:val="21"/>
                <w:highlight w:val="none"/>
              </w:rPr>
            </w:pPr>
            <w:r>
              <w:rPr>
                <w:rFonts w:hint="eastAsia" w:ascii="宋体" w:hAnsi="宋体" w:eastAsia="宋体" w:cs="宋体"/>
                <w:b/>
                <w:bCs/>
                <w:szCs w:val="21"/>
                <w:highlight w:val="none"/>
              </w:rPr>
              <w:t xml:space="preserve">所有投标响应均以人民币报价</w:t>
            </w:r>
            <w:r>
              <w:rPr>
                <w:rFonts w:hint="eastAsia" w:ascii="宋体" w:hAnsi="宋体" w:eastAsia="宋体" w:cs="宋体"/>
                <w:szCs w:val="21"/>
                <w:highlight w:val="none"/>
              </w:rPr>
              <w:t xml:space="preserve">。投标人的投标响应报价应遵守“中华人民共和国价格法”。该报价为到项目现场的全部费用，含相关税费，运输费，保险费，安装费及相关服务费等一切可能发生的费用。</w:t>
            </w:r>
            <w:r>
              <w:rPr>
                <w:rFonts w:hint="eastAsia" w:ascii="宋体" w:hAnsi="宋体" w:eastAsia="宋体" w:cs="宋体"/>
                <w:szCs w:val="21"/>
                <w:highlight w:val="none"/>
              </w:rPr>
            </w:r>
            <w:r/>
          </w:p>
        </w:tc>
      </w:tr>
      <w:tr>
        <w:trPr>
          <w:trHeight w:val="540"/>
        </w:trPr>
        <w:tc>
          <w:tcPr>
            <w:tcW w:w="819" w:type="dxa"/>
            <w:vAlign w:val="center"/>
            <w:textDirection w:val="lrTb"/>
            <w:noWrap w:val="false"/>
          </w:tcPr>
          <w:p>
            <w:pPr>
              <w:pStyle w:val="927"/>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9</w:t>
            </w:r>
            <w:r>
              <w:rPr>
                <w:rFonts w:hint="eastAsia" w:ascii="宋体" w:hAnsi="宋体" w:eastAsia="宋体" w:cs="宋体"/>
                <w:b/>
                <w:color w:val="000000"/>
                <w:szCs w:val="21"/>
                <w:highlight w:val="none"/>
              </w:rPr>
            </w:r>
            <w:r/>
          </w:p>
        </w:tc>
        <w:tc>
          <w:tcPr>
            <w:tcW w:w="8928" w:type="dxa"/>
            <w:vAlign w:val="center"/>
            <w:textDirection w:val="lrTb"/>
            <w:noWrap w:val="false"/>
          </w:tcPr>
          <w:p>
            <w:pPr>
              <w:pStyle w:val="927"/>
              <w:ind w:firstLine="15"/>
              <w:spacing w:line="360" w:lineRule="auto"/>
              <w:rPr>
                <w:rFonts w:hint="eastAsia" w:ascii="宋体" w:hAnsi="宋体" w:eastAsia="宋体" w:cs="宋体"/>
                <w:bCs/>
                <w:color w:val="000000"/>
                <w:szCs w:val="21"/>
                <w:highlight w:val="none"/>
              </w:rPr>
            </w:pPr>
            <w:r>
              <w:rPr>
                <w:rFonts w:hint="eastAsia" w:ascii="宋体" w:hAnsi="宋体" w:eastAsia="宋体" w:cs="宋体"/>
                <w:b/>
                <w:color w:val="000000"/>
                <w:szCs w:val="21"/>
                <w:highlight w:val="none"/>
              </w:rPr>
              <w:t xml:space="preserve">现场勘查要求：本项目不组织</w:t>
            </w:r>
            <w:r>
              <w:rPr>
                <w:rFonts w:hint="eastAsia" w:ascii="宋体" w:hAnsi="宋体" w:eastAsia="宋体" w:cs="宋体"/>
                <w:szCs w:val="21"/>
                <w:highlight w:val="none"/>
              </w:rPr>
              <w:t xml:space="preserve">。</w:t>
            </w:r>
            <w:r>
              <w:rPr>
                <w:rFonts w:hint="eastAsia" w:ascii="宋体" w:hAnsi="宋体" w:eastAsia="宋体" w:cs="宋体"/>
                <w:b/>
                <w:color w:val="000000"/>
                <w:szCs w:val="21"/>
                <w:highlight w:val="none"/>
              </w:rPr>
              <w:t xml:space="preserve">供应商可自行联系采购人。未考察现场或考察工作不详细的供应商中标后，不得以不完全了解现场情况为理由而向采购人提出任何索赔或其他要求，对此采购人不承担任何责任并将不作任何答复。 </w:t>
            </w:r>
            <w:r>
              <w:rPr>
                <w:rFonts w:hint="eastAsia" w:ascii="宋体" w:hAnsi="宋体" w:eastAsia="宋体" w:cs="宋体"/>
                <w:bCs/>
                <w:color w:val="000000"/>
                <w:szCs w:val="21"/>
                <w:highlight w:val="none"/>
              </w:rPr>
            </w:r>
            <w:r/>
          </w:p>
        </w:tc>
      </w:tr>
      <w:tr>
        <w:trPr>
          <w:trHeight w:val="863"/>
        </w:trPr>
        <w:tc>
          <w:tcPr>
            <w:tcW w:w="819" w:type="dxa"/>
            <w:vAlign w:val="center"/>
            <w:textDirection w:val="lrTb"/>
            <w:noWrap w:val="false"/>
          </w:tcPr>
          <w:p>
            <w:pPr>
              <w:pStyle w:val="927"/>
              <w:jc w:val="center"/>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rPr>
                <w:rFonts w:hint="eastAsia" w:ascii="宋体" w:hAnsi="宋体" w:eastAsia="宋体" w:cs="宋体"/>
                <w:color w:val="000000"/>
                <w:szCs w:val="21"/>
                <w:highlight w:val="none"/>
              </w:rPr>
            </w:r>
            <w:r/>
          </w:p>
        </w:tc>
        <w:tc>
          <w:tcPr>
            <w:tcW w:w="8928" w:type="dxa"/>
            <w:vAlign w:val="center"/>
            <w:textDirection w:val="lrTb"/>
            <w:noWrap w:val="false"/>
          </w:tcPr>
          <w:p>
            <w:pPr>
              <w:pStyle w:val="927"/>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投标报价中的投标价不得超过招标公告、招标文件规定的预算价，超过规定的预算价的投标文件，按无效投标处理。 </w:t>
            </w:r>
            <w:r>
              <w:rPr>
                <w:rFonts w:hint="eastAsia" w:ascii="宋体" w:hAnsi="宋体" w:eastAsia="宋体" w:cs="宋体"/>
                <w:color w:val="000000"/>
                <w:szCs w:val="21"/>
                <w:highlight w:val="none"/>
              </w:rPr>
            </w:r>
            <w:r/>
          </w:p>
        </w:tc>
      </w:tr>
    </w:tbl>
    <w:p>
      <w:pPr>
        <w:pStyle w:val="927"/>
        <w:ind w:firstLine="0"/>
        <w:spacing w:line="360" w:lineRule="auto"/>
        <w:shd w:val="clear" w:color="auto" w:fill="ffffff"/>
        <w:widowControl/>
        <w:rPr>
          <w:rFonts w:hint="eastAsia" w:ascii="宋体" w:hAnsi="宋体" w:eastAsia="宋体" w:cs="宋体"/>
          <w:b/>
          <w:bCs/>
          <w:color w:val="000000"/>
          <w:szCs w:val="21"/>
          <w:highlight w:val="none"/>
        </w:rPr>
        <w:outlineLvl w:val="1"/>
      </w:pPr>
      <w:r/>
      <w:bookmarkStart w:id="26" w:name="_Toc19726"/>
      <w:r/>
      <w:bookmarkStart w:id="27" w:name="_Toc8539"/>
      <w:r>
        <w:rPr>
          <w:rFonts w:hint="eastAsia" w:ascii="宋体" w:hAnsi="宋体" w:eastAsia="宋体" w:cs="宋体"/>
          <w:b/>
          <w:bCs/>
          <w:color w:val="000000"/>
          <w:szCs w:val="21"/>
          <w:highlight w:val="none"/>
        </w:rPr>
        <w:t xml:space="preserve">一、总 则</w:t>
      </w:r>
      <w:bookmarkEnd w:id="26"/>
      <w:r/>
      <w:bookmarkEnd w:id="27"/>
      <w:r>
        <w:rPr>
          <w:rFonts w:hint="eastAsia" w:ascii="宋体" w:hAnsi="宋体" w:eastAsia="宋体" w:cs="宋体"/>
          <w:b/>
          <w:bCs/>
          <w:color w:val="000000"/>
          <w:szCs w:val="21"/>
          <w:highlight w:val="none"/>
        </w:rPr>
      </w:r>
      <w:r/>
    </w:p>
    <w:p>
      <w:pPr>
        <w:pStyle w:val="927"/>
        <w:ind w:firstLine="420"/>
        <w:spacing w:line="360" w:lineRule="auto"/>
        <w:rPr>
          <w:rFonts w:hint="eastAsia" w:ascii="宋体" w:hAnsi="宋体" w:eastAsia="宋体" w:cs="宋体"/>
          <w:b/>
          <w:bCs/>
          <w:color w:val="000000"/>
          <w:szCs w:val="21"/>
          <w:highlight w:val="none"/>
          <w:lang w:val="zh-CN"/>
        </w:rPr>
      </w:pPr>
      <w:r/>
      <w:bookmarkStart w:id="28" w:name="_Toc3951"/>
      <w:r/>
      <w:bookmarkStart w:id="29" w:name="_Toc30044"/>
      <w:r/>
      <w:bookmarkStart w:id="30" w:name="_Toc458694821"/>
      <w:r/>
      <w:bookmarkStart w:id="31" w:name="_Toc513029204"/>
      <w:r/>
      <w:bookmarkStart w:id="32" w:name="_Toc20823276"/>
      <w:r/>
      <w:bookmarkStart w:id="33" w:name="_Toc24947"/>
      <w:r/>
      <w:bookmarkStart w:id="34" w:name="_Toc16938520"/>
      <w:r>
        <w:rPr>
          <w:rFonts w:hint="eastAsia" w:ascii="宋体" w:hAnsi="宋体" w:eastAsia="宋体" w:cs="宋体"/>
          <w:b/>
          <w:bCs/>
          <w:color w:val="000000"/>
          <w:szCs w:val="21"/>
          <w:highlight w:val="none"/>
          <w:lang w:val="zh-CN"/>
        </w:rPr>
        <w:t xml:space="preserve">1.适用法律</w:t>
      </w:r>
      <w:bookmarkEnd w:id="28"/>
      <w:r/>
      <w:bookmarkEnd w:id="29"/>
      <w:r>
        <w:rPr>
          <w:rFonts w:hint="eastAsia" w:ascii="宋体" w:hAnsi="宋体" w:eastAsia="宋体" w:cs="宋体"/>
          <w:b/>
          <w:bCs/>
          <w:color w:val="000000"/>
          <w:szCs w:val="21"/>
          <w:highlight w:val="none"/>
          <w:lang w:val="zh-CN"/>
        </w:rPr>
      </w:r>
      <w:r/>
    </w:p>
    <w:p>
      <w:pPr>
        <w:pStyle w:val="927"/>
        <w:ind w:firstLine="420"/>
        <w:spacing w:line="360" w:lineRule="auto"/>
        <w:rPr>
          <w:rFonts w:hint="eastAsia" w:ascii="宋体" w:hAnsi="宋体" w:eastAsia="宋体" w:cs="宋体"/>
          <w:szCs w:val="21"/>
          <w:highlight w:val="none"/>
          <w:lang w:val="zh-CN"/>
        </w:rPr>
      </w:pPr>
      <w:r>
        <w:rPr>
          <w:rFonts w:hint="eastAsia" w:ascii="宋体" w:hAnsi="宋体" w:eastAsia="宋体" w:cs="宋体"/>
          <w:color w:val="000000"/>
          <w:szCs w:val="21"/>
          <w:highlight w:val="none"/>
          <w:lang w:val="zh-CN"/>
        </w:rPr>
        <w:t xml:space="preserve">1.1 </w:t>
      </w:r>
      <w:r>
        <w:rPr>
          <w:rFonts w:hint="eastAsia" w:ascii="宋体" w:hAnsi="宋体" w:eastAsia="宋体" w:cs="宋体"/>
          <w:color w:val="000000"/>
          <w:szCs w:val="21"/>
          <w:highlight w:val="none"/>
        </w:rPr>
        <w:t xml:space="preserve">《中华人民共和国招标投标法》、</w:t>
      </w:r>
      <w:r>
        <w:rPr>
          <w:rFonts w:hint="eastAsia" w:ascii="宋体" w:hAnsi="宋体" w:eastAsia="宋体" w:cs="宋体"/>
          <w:color w:val="000000"/>
          <w:szCs w:val="21"/>
          <w:highlight w:val="none"/>
          <w:lang w:val="zh-CN"/>
        </w:rPr>
        <w:t xml:space="preserve">《中华人民共和国政府采购法》、《中华人民共和国政府采购法实施条</w:t>
      </w:r>
      <w:r>
        <w:rPr>
          <w:rFonts w:hint="eastAsia" w:ascii="宋体" w:hAnsi="宋体" w:eastAsia="宋体" w:cs="宋体"/>
          <w:szCs w:val="21"/>
          <w:highlight w:val="none"/>
          <w:lang w:val="zh-CN"/>
        </w:rPr>
        <w:t xml:space="preserve">例》、《政府采购货物和服务招标投标管理办法》等有关法律、规章和规定等。</w:t>
      </w:r>
      <w:bookmarkStart w:id="35" w:name="_Toc17176"/>
      <w:r/>
      <w:bookmarkStart w:id="36" w:name="_Toc10994"/>
      <w:r>
        <w:rPr>
          <w:rFonts w:hint="eastAsia" w:ascii="宋体" w:hAnsi="宋体" w:eastAsia="宋体" w:cs="宋体"/>
          <w:szCs w:val="21"/>
          <w:highlight w:val="none"/>
          <w:lang w:val="zh-CN"/>
        </w:rPr>
      </w:r>
      <w:r/>
    </w:p>
    <w:p>
      <w:pPr>
        <w:pStyle w:val="927"/>
        <w:ind w:firstLine="420"/>
        <w:spacing w:line="360" w:lineRule="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 xml:space="preserve">2.定义</w:t>
      </w:r>
      <w:bookmarkEnd w:id="35"/>
      <w:r/>
      <w:bookmarkEnd w:id="36"/>
      <w:r>
        <w:rPr>
          <w:rFonts w:hint="eastAsia" w:ascii="宋体" w:hAnsi="宋体" w:eastAsia="宋体" w:cs="宋体"/>
          <w:b/>
          <w:bCs/>
          <w:color w:val="000000"/>
          <w:szCs w:val="21"/>
          <w:highlight w:val="none"/>
          <w:lang w:val="zh-CN"/>
        </w:rPr>
      </w:r>
      <w:r/>
    </w:p>
    <w:p>
      <w:pPr>
        <w:pStyle w:val="927"/>
        <w:ind w:firstLine="420"/>
        <w:spacing w:line="360" w:lineRule="auto"/>
        <w:rPr>
          <w:rFonts w:hint="eastAsia" w:ascii="宋体" w:hAnsi="宋体" w:eastAsia="宋体" w:cs="宋体"/>
          <w:bCs/>
          <w:color w:val="000000"/>
          <w:szCs w:val="21"/>
          <w:highlight w:val="none"/>
        </w:rPr>
      </w:pPr>
      <w:r/>
      <w:bookmarkEnd w:id="30"/>
      <w:r/>
      <w:bookmarkEnd w:id="31"/>
      <w:r/>
      <w:bookmarkEnd w:id="32"/>
      <w:r/>
      <w:bookmarkEnd w:id="33"/>
      <w:r/>
      <w:bookmarkEnd w:id="34"/>
      <w:r>
        <w:rPr>
          <w:rFonts w:hint="eastAsia" w:ascii="宋体" w:hAnsi="宋体" w:eastAsia="宋体" w:cs="宋体"/>
          <w:color w:val="000000"/>
          <w:szCs w:val="21"/>
          <w:highlight w:val="none"/>
        </w:rPr>
        <w:t xml:space="preserve">2.1本文件</w:t>
      </w:r>
      <w:r>
        <w:rPr>
          <w:rFonts w:hint="eastAsia" w:ascii="宋体" w:hAnsi="宋体" w:eastAsia="宋体" w:cs="宋体"/>
          <w:bCs/>
          <w:color w:val="000000"/>
          <w:szCs w:val="21"/>
          <w:highlight w:val="none"/>
        </w:rPr>
        <w:t xml:space="preserve">中采购代理机构为 </w:t>
      </w:r>
      <w:r>
        <w:rPr>
          <w:rFonts w:hint="eastAsia" w:ascii="宋体" w:hAnsi="宋体" w:eastAsia="宋体" w:cs="宋体"/>
          <w:b/>
          <w:color w:val="000000"/>
          <w:szCs w:val="21"/>
          <w:highlight w:val="none"/>
          <w:u w:val="single"/>
        </w:rPr>
        <w:t xml:space="preserve">苏美达国际技术贸易有限公司</w:t>
      </w:r>
      <w:r>
        <w:rPr>
          <w:rFonts w:hint="eastAsia" w:ascii="宋体" w:hAnsi="宋体" w:eastAsia="宋体" w:cs="宋体"/>
          <w:bCs/>
          <w:color w:val="000000"/>
          <w:szCs w:val="21"/>
          <w:highlight w:val="none"/>
        </w:rPr>
        <w:t xml:space="preserve">；采购人为</w:t>
      </w:r>
      <w:r>
        <w:rPr>
          <w:rFonts w:hint="eastAsia" w:ascii="宋体" w:hAnsi="宋体" w:eastAsia="宋体" w:cs="宋体"/>
          <w:b/>
          <w:color w:val="000000"/>
          <w:szCs w:val="21"/>
          <w:highlight w:val="none"/>
          <w:u w:val="single"/>
          <w:lang w:eastAsia="zh-CN"/>
        </w:rPr>
        <w:t xml:space="preserve">南京市玄武区教育局</w:t>
      </w:r>
      <w:r>
        <w:rPr>
          <w:rFonts w:hint="eastAsia" w:ascii="宋体" w:hAnsi="宋体" w:eastAsia="宋体" w:cs="宋体"/>
          <w:b/>
          <w:color w:val="000000"/>
          <w:szCs w:val="21"/>
          <w:highlight w:val="none"/>
          <w:u w:val="single"/>
        </w:rPr>
        <w:t xml:space="preserve"> </w:t>
      </w:r>
      <w:r>
        <w:rPr>
          <w:rFonts w:hint="eastAsia" w:ascii="宋体" w:hAnsi="宋体" w:eastAsia="宋体" w:cs="宋体"/>
          <w:bCs/>
          <w:color w:val="000000"/>
          <w:szCs w:val="21"/>
          <w:highlight w:val="none"/>
        </w:rPr>
        <w:t xml:space="preserve">；投标人（亦称供应商）系指参加投标竞争并满足招标文件资格要求规定的法人、其他组织或者自然人。</w:t>
      </w:r>
      <w:r>
        <w:rPr>
          <w:rFonts w:hint="eastAsia" w:ascii="宋体" w:hAnsi="宋体" w:eastAsia="宋体" w:cs="宋体"/>
          <w:bCs/>
          <w:color w:val="000000"/>
          <w:szCs w:val="21"/>
          <w:highlight w:val="none"/>
        </w:rPr>
      </w:r>
      <w:r/>
    </w:p>
    <w:p>
      <w:pPr>
        <w:pStyle w:val="927"/>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2.2“货物和服务”指本文件中所述产品及相关</w:t>
      </w:r>
      <w:r>
        <w:rPr>
          <w:rFonts w:hint="eastAsia" w:ascii="宋体" w:hAnsi="宋体" w:eastAsia="宋体" w:cs="宋体"/>
          <w:b/>
          <w:szCs w:val="21"/>
          <w:highlight w:val="none"/>
        </w:rPr>
        <w:t xml:space="preserve">货物</w:t>
      </w:r>
      <w:r>
        <w:rPr>
          <w:rFonts w:hint="eastAsia" w:ascii="宋体" w:hAnsi="宋体" w:eastAsia="宋体" w:cs="宋体"/>
          <w:bCs/>
          <w:szCs w:val="21"/>
          <w:highlight w:val="none"/>
        </w:rPr>
        <w:t xml:space="preserve">和服务。</w:t>
      </w:r>
      <w:r>
        <w:rPr>
          <w:rFonts w:hint="eastAsia" w:ascii="宋体" w:hAnsi="宋体" w:eastAsia="宋体" w:cs="宋体"/>
          <w:bCs/>
          <w:szCs w:val="21"/>
          <w:highlight w:val="none"/>
        </w:rPr>
      </w:r>
      <w:r/>
    </w:p>
    <w:p>
      <w:pPr>
        <w:pStyle w:val="927"/>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2.3“用户或使用单位”指使用</w:t>
      </w:r>
      <w:r>
        <w:rPr>
          <w:rFonts w:hint="eastAsia" w:ascii="宋体" w:hAnsi="宋体" w:eastAsia="宋体" w:cs="宋体"/>
          <w:szCs w:val="21"/>
          <w:highlight w:val="none"/>
          <w:lang w:val="zh-CN"/>
        </w:rPr>
        <w:t xml:space="preserve">货物、服务的</w:t>
      </w:r>
      <w:r>
        <w:rPr>
          <w:rFonts w:hint="eastAsia" w:ascii="宋体" w:hAnsi="宋体" w:eastAsia="宋体" w:cs="宋体"/>
          <w:bCs/>
          <w:szCs w:val="21"/>
          <w:highlight w:val="none"/>
        </w:rPr>
        <w:t xml:space="preserve">单位。</w:t>
      </w:r>
      <w:r>
        <w:rPr>
          <w:rFonts w:hint="eastAsia" w:ascii="宋体" w:hAnsi="宋体" w:eastAsia="宋体" w:cs="宋体"/>
          <w:bCs/>
          <w:szCs w:val="21"/>
          <w:highlight w:val="none"/>
        </w:rPr>
      </w:r>
      <w:r/>
    </w:p>
    <w:p>
      <w:pPr>
        <w:pStyle w:val="927"/>
        <w:ind w:firstLine="420"/>
        <w:spacing w:line="360" w:lineRule="auto"/>
        <w:rPr>
          <w:rFonts w:hint="eastAsia" w:ascii="宋体" w:hAnsi="宋体" w:eastAsia="宋体" w:cs="宋体"/>
          <w:b/>
          <w:bCs/>
          <w:color w:val="000000"/>
          <w:szCs w:val="21"/>
          <w:highlight w:val="none"/>
          <w:lang w:val="zh-CN"/>
        </w:rPr>
      </w:pPr>
      <w:r/>
      <w:bookmarkStart w:id="37" w:name="_Toc18001"/>
      <w:r/>
      <w:bookmarkStart w:id="38" w:name="_Toc25880"/>
      <w:r>
        <w:rPr>
          <w:rFonts w:hint="eastAsia" w:ascii="宋体" w:hAnsi="宋体" w:eastAsia="宋体" w:cs="宋体"/>
          <w:b/>
          <w:bCs/>
          <w:color w:val="000000"/>
          <w:szCs w:val="21"/>
          <w:highlight w:val="none"/>
          <w:lang w:val="zh-CN"/>
        </w:rPr>
        <w:t xml:space="preserve">3.政策功能</w:t>
      </w:r>
      <w:bookmarkEnd w:id="37"/>
      <w:r/>
      <w:bookmarkEnd w:id="38"/>
      <w:r>
        <w:rPr>
          <w:rFonts w:hint="eastAsia" w:ascii="宋体" w:hAnsi="宋体" w:eastAsia="宋体" w:cs="宋体"/>
          <w:b/>
          <w:bCs/>
          <w:color w:val="000000"/>
          <w:szCs w:val="21"/>
          <w:highlight w:val="none"/>
          <w:lang w:val="zh-CN"/>
        </w:rPr>
      </w:r>
      <w:r/>
    </w:p>
    <w:p>
      <w:pPr>
        <w:pStyle w:val="927"/>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3.1线上融资</w:t>
      </w:r>
      <w:r>
        <w:rPr>
          <w:rFonts w:hint="eastAsia" w:ascii="宋体" w:hAnsi="宋体" w:eastAsia="宋体" w:cs="宋体"/>
          <w:szCs w:val="21"/>
          <w:highlight w:val="none"/>
        </w:rPr>
      </w:r>
      <w:r/>
    </w:p>
    <w:p>
      <w:pPr>
        <w:pStyle w:val="927"/>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中标/成交供应商可凭政府采购合同办理融资贷款，详见江苏政府采购网“政采贷”专栏。”中小微企业供应商可通过中征应收账款融资服务平台（网址：https://www.crcrfsp.com/），凭借中标/成交通知书或政府采购合同向金融机构申请融资。</w:t>
      </w:r>
      <w:r>
        <w:rPr>
          <w:rFonts w:hint="eastAsia" w:ascii="宋体" w:hAnsi="宋体" w:eastAsia="宋体" w:cs="宋体"/>
          <w:szCs w:val="21"/>
          <w:highlight w:val="none"/>
        </w:rPr>
      </w:r>
      <w:r/>
    </w:p>
    <w:p>
      <w:pPr>
        <w:pStyle w:val="927"/>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3.2中小企业、监狱和戒毒企业及残疾人福利性单位</w:t>
      </w:r>
      <w:r>
        <w:rPr>
          <w:rFonts w:hint="eastAsia" w:ascii="宋体" w:hAnsi="宋体" w:eastAsia="宋体" w:cs="宋体"/>
          <w:szCs w:val="21"/>
          <w:highlight w:val="none"/>
        </w:rPr>
      </w:r>
      <w:r/>
    </w:p>
    <w:p>
      <w:pPr>
        <w:pStyle w:val="927"/>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3.2.1 政府采购促进中小企业发展，在政府采购活动中，供应商提供的货物、工程或者服务符合下列情形的，享受中小企业扶持政策：</w:t>
      </w:r>
      <w:r>
        <w:rPr>
          <w:rFonts w:hint="eastAsia" w:ascii="宋体" w:hAnsi="宋体" w:eastAsia="宋体" w:cs="宋体"/>
          <w:szCs w:val="21"/>
          <w:highlight w:val="none"/>
        </w:rPr>
      </w:r>
      <w:r/>
    </w:p>
    <w:p>
      <w:pPr>
        <w:pStyle w:val="927"/>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（1）在货物采购项目中，货物由中小企业制造，即货物由中小企业生产且使用该中小企业商号或者注册商标；</w:t>
      </w:r>
      <w:r>
        <w:rPr>
          <w:rFonts w:hint="eastAsia" w:ascii="宋体" w:hAnsi="宋体" w:eastAsia="宋体" w:cs="宋体"/>
          <w:szCs w:val="21"/>
          <w:highlight w:val="none"/>
        </w:rPr>
      </w:r>
      <w:r/>
    </w:p>
    <w:p>
      <w:pPr>
        <w:pStyle w:val="927"/>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（2）在工程采购项目中，工程由中小企业承建，即工程施工单位为中小企业；</w:t>
      </w:r>
      <w:r>
        <w:rPr>
          <w:rFonts w:hint="eastAsia" w:ascii="宋体" w:hAnsi="宋体" w:eastAsia="宋体" w:cs="宋体"/>
          <w:szCs w:val="21"/>
          <w:highlight w:val="none"/>
        </w:rPr>
      </w:r>
      <w:r/>
    </w:p>
    <w:p>
      <w:pPr>
        <w:pStyle w:val="927"/>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szCs w:val="21"/>
          <w:highlight w:val="none"/>
        </w:rPr>
      </w:r>
      <w:r/>
    </w:p>
    <w:p>
      <w:pPr>
        <w:pStyle w:val="927"/>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在货物采购项目中，供应商提供的货物既有中小企业制造货物，也有大型企业制造货物的，不享受中小企业扶持政策。</w:t>
      </w:r>
      <w:r>
        <w:rPr>
          <w:rFonts w:hint="eastAsia" w:ascii="宋体" w:hAnsi="宋体" w:eastAsia="宋体" w:cs="宋体"/>
          <w:szCs w:val="21"/>
          <w:highlight w:val="none"/>
        </w:rPr>
      </w:r>
      <w:r/>
    </w:p>
    <w:p>
      <w:pPr>
        <w:pStyle w:val="927"/>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szCs w:val="21"/>
          <w:highlight w:val="none"/>
        </w:rPr>
      </w:r>
      <w:r/>
    </w:p>
    <w:p>
      <w:pPr>
        <w:pStyle w:val="927"/>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中小企业供应商参加政府采购活动，应当出具《中小企业声明函》（格式见后附件），否则不得享受相关中小企业扶持政策。</w:t>
      </w:r>
      <w:r>
        <w:rPr>
          <w:rFonts w:hint="eastAsia" w:ascii="宋体" w:hAnsi="宋体" w:eastAsia="宋体" w:cs="宋体"/>
          <w:szCs w:val="21"/>
          <w:highlight w:val="none"/>
        </w:rPr>
      </w:r>
      <w:r/>
    </w:p>
    <w:p>
      <w:pPr>
        <w:pStyle w:val="927"/>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中小企业，是指在中华人民共和国境内依法设立，依据国务院批准的中小企业划分标准（详见《关于印发中小企业划型标准规定的通知》</w:t>
      </w:r>
      <w:r>
        <w:rPr>
          <w:rFonts w:hint="eastAsia" w:ascii="宋体" w:hAnsi="宋体" w:eastAsia="宋体" w:cs="宋体"/>
          <w:szCs w:val="21"/>
          <w:highlight w:val="none"/>
        </w:rPr>
      </w:r>
      <w:r/>
    </w:p>
    <w:p>
      <w:pPr>
        <w:pStyle w:val="927"/>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szCs w:val="21"/>
          <w:highlight w:val="none"/>
        </w:rPr>
      </w:r>
      <w:r/>
    </w:p>
    <w:p>
      <w:pPr>
        <w:pStyle w:val="927"/>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3.2.2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eastAsia="宋体" w:cs="宋体"/>
          <w:szCs w:val="21"/>
          <w:highlight w:val="none"/>
        </w:rPr>
      </w:r>
      <w:r/>
    </w:p>
    <w:p>
      <w:pPr>
        <w:pStyle w:val="927"/>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3.2.3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宋体" w:hAnsi="宋体" w:eastAsia="宋体" w:cs="宋体"/>
          <w:szCs w:val="21"/>
          <w:highlight w:val="none"/>
        </w:rPr>
      </w:r>
      <w:r/>
    </w:p>
    <w:p>
      <w:pPr>
        <w:pStyle w:val="927"/>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注：①参加投标的中小企业，应当按照《政府采购促进中小企业发展管理办法》（财库〔2020〕46号）规定，出具《中小企业声明函》，否则不得享受相关中小企业扶持政策。</w:t>
      </w:r>
      <w:r>
        <w:rPr>
          <w:rFonts w:hint="eastAsia" w:ascii="宋体" w:hAnsi="宋体" w:eastAsia="宋体" w:cs="宋体"/>
          <w:szCs w:val="21"/>
          <w:highlight w:val="none"/>
        </w:rPr>
      </w:r>
      <w:r/>
    </w:p>
    <w:p>
      <w:pPr>
        <w:pStyle w:val="927"/>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hint="eastAsia" w:ascii="宋体" w:hAnsi="宋体" w:eastAsia="宋体" w:cs="宋体"/>
          <w:szCs w:val="21"/>
          <w:highlight w:val="none"/>
        </w:rPr>
      </w:r>
      <w:r/>
    </w:p>
    <w:p>
      <w:pPr>
        <w:pStyle w:val="927"/>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hint="eastAsia" w:ascii="宋体" w:hAnsi="宋体" w:eastAsia="宋体" w:cs="宋体"/>
          <w:szCs w:val="21"/>
          <w:highlight w:val="none"/>
        </w:rPr>
      </w:r>
      <w:r/>
    </w:p>
    <w:p>
      <w:pPr>
        <w:pStyle w:val="927"/>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rPr>
          <w:rFonts w:hint="eastAsia" w:ascii="宋体" w:hAnsi="宋体" w:eastAsia="宋体" w:cs="宋体"/>
          <w:szCs w:val="21"/>
          <w:highlight w:val="none"/>
        </w:rPr>
      </w:r>
      <w:r/>
    </w:p>
    <w:p>
      <w:pPr>
        <w:pStyle w:val="927"/>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szCs w:val="21"/>
          <w:highlight w:val="none"/>
        </w:rPr>
      </w:r>
      <w:r/>
    </w:p>
    <w:p>
      <w:pPr>
        <w:pStyle w:val="927"/>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3.3节能产品、信息安全产品、环境标志产品</w:t>
      </w:r>
      <w:r>
        <w:rPr>
          <w:rFonts w:hint="eastAsia" w:ascii="宋体" w:hAnsi="宋体" w:eastAsia="宋体" w:cs="宋体"/>
          <w:szCs w:val="21"/>
          <w:highlight w:val="none"/>
        </w:rPr>
      </w:r>
      <w:r/>
    </w:p>
    <w:p>
      <w:pPr>
        <w:pStyle w:val="927"/>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3.3.1 如本次采购产品属于强制采购范围内的，供应商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rPr>
          <w:rFonts w:hint="eastAsia" w:ascii="宋体" w:hAnsi="宋体" w:eastAsia="宋体" w:cs="宋体"/>
          <w:szCs w:val="21"/>
          <w:highlight w:val="none"/>
        </w:rPr>
      </w:r>
      <w:r/>
    </w:p>
    <w:p>
      <w:pPr>
        <w:pStyle w:val="927"/>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3.3.2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宋体"/>
          <w:szCs w:val="21"/>
          <w:highlight w:val="none"/>
        </w:rPr>
      </w:r>
      <w:r/>
    </w:p>
    <w:p>
      <w:pPr>
        <w:pStyle w:val="927"/>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3.3.3 提供的产品属于信息安全产品的，供应商应当选择经国家认证的信息安全产品投标，并提供由中国网络安全审查技术与认证中心按国家标准认证颁发的有效认证证书扫描件。</w:t>
      </w:r>
      <w:r>
        <w:rPr>
          <w:rFonts w:hint="eastAsia" w:ascii="宋体" w:hAnsi="宋体" w:eastAsia="宋体" w:cs="宋体"/>
          <w:szCs w:val="21"/>
          <w:highlight w:val="none"/>
        </w:rPr>
      </w:r>
      <w:r/>
    </w:p>
    <w:p>
      <w:pPr>
        <w:pStyle w:val="927"/>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3.3.4 提供的产品属于政府强制采购节能产品的，供应商应当选择依据国家标准中二级能效（水效）指标认证的节能产品投标，并提供有效的节能产品认证证书扫描件。</w:t>
      </w:r>
      <w:r>
        <w:rPr>
          <w:rFonts w:hint="eastAsia" w:ascii="宋体" w:hAnsi="宋体" w:eastAsia="宋体" w:cs="宋体"/>
          <w:szCs w:val="21"/>
          <w:highlight w:val="none"/>
        </w:rPr>
      </w:r>
      <w:r/>
    </w:p>
    <w:p>
      <w:pPr>
        <w:pStyle w:val="927"/>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3.3.5提供的产品属于环境标志产品的,供应商应当选择依据相关标准的最新版本认证的环境标志产品投标,并提供有效的环境标志产品认证证书扫描件。</w:t>
      </w:r>
      <w:r>
        <w:rPr>
          <w:rFonts w:hint="eastAsia" w:ascii="宋体" w:hAnsi="宋体" w:eastAsia="宋体" w:cs="宋体"/>
          <w:szCs w:val="21"/>
          <w:highlight w:val="none"/>
        </w:rPr>
      </w:r>
      <w:r/>
    </w:p>
    <w:p>
      <w:pPr>
        <w:pStyle w:val="927"/>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3.4进口产品政策</w:t>
      </w:r>
      <w:r>
        <w:rPr>
          <w:rFonts w:hint="eastAsia" w:ascii="宋体" w:hAnsi="宋体" w:eastAsia="宋体" w:cs="宋体"/>
          <w:szCs w:val="21"/>
          <w:highlight w:val="none"/>
        </w:rPr>
      </w:r>
      <w:r/>
    </w:p>
    <w:p>
      <w:pPr>
        <w:pStyle w:val="927"/>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3.4.1除招标公告载明接受进口产品参加外，不允许进口产品参加。进口产品认定依照《财政部关于政府采购进口产品管理有关问题的通知》（财办库〔2008〕248号）的规定。</w:t>
      </w:r>
      <w:r>
        <w:rPr>
          <w:rFonts w:hint="eastAsia" w:ascii="宋体" w:hAnsi="宋体" w:eastAsia="宋体" w:cs="宋体"/>
          <w:szCs w:val="21"/>
          <w:highlight w:val="none"/>
        </w:rPr>
      </w:r>
      <w:r/>
    </w:p>
    <w:p>
      <w:pPr>
        <w:pStyle w:val="927"/>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3.4.2允许进口产品参加的，满足需求的国内产品可以参加。</w:t>
      </w:r>
      <w:r>
        <w:rPr>
          <w:rFonts w:hint="eastAsia" w:ascii="宋体" w:hAnsi="宋体" w:eastAsia="宋体" w:cs="宋体"/>
          <w:szCs w:val="21"/>
          <w:highlight w:val="none"/>
        </w:rPr>
      </w:r>
      <w:r/>
    </w:p>
    <w:p>
      <w:pPr>
        <w:pStyle w:val="927"/>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3.4.3允许进口产品参加的，优先采购向我国企业转让技术、与我国企业签订消化吸收再创新方案的供应商的进口产品。</w:t>
      </w:r>
      <w:r>
        <w:rPr>
          <w:rFonts w:hint="eastAsia" w:ascii="宋体" w:hAnsi="宋体" w:eastAsia="宋体" w:cs="宋体"/>
          <w:szCs w:val="21"/>
          <w:highlight w:val="none"/>
        </w:rPr>
      </w:r>
      <w:r/>
    </w:p>
    <w:p>
      <w:pPr>
        <w:pStyle w:val="927"/>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3.5绿色采购</w:t>
      </w:r>
      <w:r>
        <w:rPr>
          <w:rFonts w:hint="eastAsia" w:ascii="宋体" w:hAnsi="宋体" w:eastAsia="宋体" w:cs="宋体"/>
          <w:szCs w:val="21"/>
          <w:highlight w:val="none"/>
        </w:rPr>
      </w:r>
      <w:r/>
    </w:p>
    <w:p>
      <w:pPr>
        <w:pStyle w:val="927"/>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3.5.1中标/成交供应商对涉及商品的包装应按照《关于印发《商品包装政府采购需求标准（试行）》、《快递包装政府采购需求标准（试行）》（财办库〔2020〕123号）、《江苏省财政厅关于加强政府绿色采购有关事项的通知》（苏财购〔2023〕65号）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eastAsia="宋体" w:cs="宋体"/>
          <w:szCs w:val="21"/>
          <w:highlight w:val="none"/>
        </w:rPr>
      </w:r>
      <w:r/>
    </w:p>
    <w:p>
      <w:pPr>
        <w:pStyle w:val="927"/>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3.5.2涉及</w:t>
      </w:r>
      <w:r>
        <w:rPr>
          <w:rFonts w:hint="eastAsia" w:ascii="宋体" w:hAnsi="宋体" w:eastAsia="宋体" w:cs="宋体"/>
          <w:szCs w:val="21"/>
          <w:highlight w:val="none"/>
        </w:rPr>
        <w:t xml:space="preserve">数据中心相关设备、运维服务的，应按照《关于印发〈绿色数据中心政府采购需求标准（试行）的通知》（财办库〔2023〕7号）、《江苏省财政厅关于加强政府绿色采购有关事项的通知》（苏财购〔2023〕65号）等文件执行。中标/成交供应商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宋体"/>
          <w:szCs w:val="21"/>
          <w:highlight w:val="none"/>
        </w:rPr>
      </w:r>
      <w:r/>
    </w:p>
    <w:p>
      <w:pPr>
        <w:pStyle w:val="927"/>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3.5.3采购产品中涉及涂料、胶黏剂、油墨、清洗剂等挥发性有机物产品的，属于强制性标准的，供应商应当提供符合国家和江苏省相关VOCs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宋体"/>
          <w:szCs w:val="21"/>
          <w:highlight w:val="none"/>
        </w:rPr>
      </w:r>
      <w:r/>
    </w:p>
    <w:p>
      <w:pPr>
        <w:pStyle w:val="927"/>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3.5.4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宋体" w:hAnsi="宋体" w:eastAsia="宋体" w:cs="宋体"/>
          <w:szCs w:val="21"/>
          <w:highlight w:val="none"/>
        </w:rPr>
      </w:r>
      <w:r/>
    </w:p>
    <w:p>
      <w:pPr>
        <w:pStyle w:val="927"/>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3.5.5落实政府采购《绿色建筑和绿色建材政府采购需求标准》（财库〔2022〕35号文）和《政府采购支持绿色建材促进建筑品质提升政策项目实施指南》（财办库〔2023〕52号）文件标准。</w:t>
      </w:r>
      <w:r>
        <w:rPr>
          <w:rFonts w:hint="eastAsia" w:ascii="宋体" w:hAnsi="宋体" w:eastAsia="宋体" w:cs="宋体"/>
          <w:szCs w:val="21"/>
          <w:highlight w:val="none"/>
        </w:rPr>
      </w:r>
      <w:r/>
    </w:p>
    <w:p>
      <w:pPr>
        <w:pStyle w:val="927"/>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3.6创新产品采购</w:t>
      </w:r>
      <w:r>
        <w:rPr>
          <w:rFonts w:hint="eastAsia" w:ascii="宋体" w:hAnsi="宋体" w:eastAsia="宋体" w:cs="宋体"/>
          <w:szCs w:val="21"/>
          <w:highlight w:val="none"/>
        </w:rPr>
      </w:r>
      <w:r/>
    </w:p>
    <w:p>
      <w:pPr>
        <w:pStyle w:val="927"/>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优先采购各级政府部门公开发布的有效期内的创新产品、首台套等《目录》内的创新产品。创新产品自进入《目录》起2年内视同具备相应销售业绩。</w:t>
      </w:r>
      <w:r>
        <w:rPr>
          <w:rFonts w:hint="eastAsia" w:ascii="宋体" w:hAnsi="宋体" w:eastAsia="宋体" w:cs="宋体"/>
          <w:szCs w:val="21"/>
          <w:highlight w:val="none"/>
        </w:rPr>
      </w:r>
      <w:r/>
    </w:p>
    <w:p>
      <w:pPr>
        <w:pStyle w:val="927"/>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3.7网络产品、市场准入类产品采购</w:t>
      </w:r>
      <w:r>
        <w:rPr>
          <w:rFonts w:hint="eastAsia" w:ascii="宋体" w:hAnsi="宋体" w:eastAsia="宋体" w:cs="宋体"/>
          <w:szCs w:val="21"/>
          <w:highlight w:val="none"/>
        </w:rPr>
      </w:r>
      <w:r/>
    </w:p>
    <w:p>
      <w:pPr>
        <w:pStyle w:val="927"/>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3.7.1 本</w:t>
      </w:r>
      <w:r>
        <w:rPr>
          <w:rFonts w:hint="eastAsia" w:ascii="宋体" w:hAnsi="宋体" w:eastAsia="宋体" w:cs="宋体"/>
          <w:szCs w:val="21"/>
          <w:highlight w:val="none"/>
        </w:rPr>
        <w:t xml:space="preserve">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已由具备资格的机构安全认证合格或安全检测符合要求；二是已获得《计算机信息系统安全专用产品销售许可证》，且在有效期内。采购人、中标/成交供应商双方签订合同及验收环节，应包含上述网络安全要求的条款。</w:t>
      </w:r>
      <w:r>
        <w:rPr>
          <w:rFonts w:hint="eastAsia" w:ascii="宋体" w:hAnsi="宋体" w:eastAsia="宋体" w:cs="宋体"/>
          <w:szCs w:val="21"/>
          <w:highlight w:val="none"/>
        </w:rPr>
      </w:r>
      <w:r/>
    </w:p>
    <w:p>
      <w:pPr>
        <w:pStyle w:val="927"/>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3.7.2 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rPr>
          <w:rFonts w:hint="eastAsia" w:ascii="宋体" w:hAnsi="宋体" w:eastAsia="宋体" w:cs="宋体"/>
          <w:szCs w:val="21"/>
          <w:highlight w:val="none"/>
        </w:rPr>
      </w:r>
      <w:r/>
    </w:p>
    <w:p>
      <w:pPr>
        <w:pStyle w:val="927"/>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3.8脱贫攻坚支持政策根据《关于运用政府采购政策支持脱贫攻坚的通知》（财库〔2019〕27 号），鼓励采用优先采购、预留采购份额方式采购贫困地区农副产品；鼓励优先采购聘用建档立卡贫困人员物业公司提供的物业服务。</w:t>
      </w:r>
      <w:r>
        <w:rPr>
          <w:rFonts w:hint="eastAsia" w:ascii="宋体" w:hAnsi="宋体" w:eastAsia="宋体" w:cs="宋体"/>
          <w:szCs w:val="21"/>
          <w:highlight w:val="none"/>
        </w:rPr>
      </w:r>
      <w:r/>
    </w:p>
    <w:p>
      <w:pPr>
        <w:pStyle w:val="927"/>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3.9根据《关于在全省政府采购领域推行电子履约保函（保险）的通知》（苏财购〔2023〕150号），供应商中标/成交后，可以以履约保函（保险）形式代替履约保证金，可通过政府采购电子履约保函（保险）平台（www.jsdzbh.com）在线申请履约保函（保险），详见通知内容。</w:t>
      </w:r>
      <w:r>
        <w:rPr>
          <w:rFonts w:hint="eastAsia" w:ascii="宋体" w:hAnsi="宋体" w:eastAsia="宋体" w:cs="宋体"/>
          <w:szCs w:val="21"/>
          <w:highlight w:val="none"/>
        </w:rPr>
      </w:r>
      <w:r/>
    </w:p>
    <w:p>
      <w:pPr>
        <w:pStyle w:val="927"/>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3.10落实政府采购领域数字人民币政策</w:t>
      </w:r>
      <w:r>
        <w:rPr>
          <w:rFonts w:hint="eastAsia" w:ascii="宋体" w:hAnsi="宋体" w:eastAsia="宋体" w:cs="宋体"/>
          <w:szCs w:val="21"/>
          <w:highlight w:val="none"/>
        </w:rPr>
      </w:r>
      <w:r/>
    </w:p>
    <w:p>
      <w:pPr>
        <w:pStyle w:val="927"/>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在政府采购履约保证金、代理服务费和货款资金支付中，鼓励以数字人民币作为支付方式。</w:t>
      </w:r>
      <w:r>
        <w:rPr>
          <w:rFonts w:hint="eastAsia" w:ascii="宋体" w:hAnsi="宋体" w:eastAsia="宋体" w:cs="宋体"/>
          <w:szCs w:val="21"/>
          <w:highlight w:val="none"/>
        </w:rPr>
      </w:r>
      <w:r/>
    </w:p>
    <w:p>
      <w:pPr>
        <w:pStyle w:val="927"/>
        <w:ind w:firstLine="48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3.11政府采购中实施本国产品标准及相关政策</w:t>
      </w:r>
      <w:r>
        <w:rPr>
          <w:rFonts w:hint="eastAsia" w:ascii="宋体" w:hAnsi="宋体" w:eastAsia="宋体" w:cs="宋体"/>
          <w:szCs w:val="21"/>
          <w:highlight w:val="none"/>
          <w:lang w:val="en-US" w:eastAsia="zh-CN"/>
        </w:rPr>
      </w:r>
      <w:r/>
    </w:p>
    <w:p>
      <w:pPr>
        <w:pStyle w:val="927"/>
        <w:ind w:firstLine="48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3.11.1.本项目对采购本国产品给予政策支持，具体内容见招标文件“第三章 评分标准”。</w:t>
      </w:r>
      <w:r>
        <w:rPr>
          <w:rFonts w:hint="eastAsia" w:ascii="宋体" w:hAnsi="宋体" w:eastAsia="宋体" w:cs="宋体"/>
          <w:szCs w:val="21"/>
          <w:highlight w:val="none"/>
          <w:lang w:val="en-US" w:eastAsia="zh-CN"/>
        </w:rPr>
      </w:r>
      <w:r/>
    </w:p>
    <w:p>
      <w:pPr>
        <w:pStyle w:val="927"/>
        <w:ind w:firstLine="48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3.11.2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szCs w:val="21"/>
          <w:highlight w:val="none"/>
          <w:lang w:val="en-US" w:eastAsia="zh-CN"/>
        </w:rPr>
      </w:r>
      <w:r/>
    </w:p>
    <w:p>
      <w:pPr>
        <w:pStyle w:val="927"/>
        <w:ind w:firstLine="480"/>
        <w:spacing w:line="360" w:lineRule="auto"/>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3.11.3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eastAsia="宋体" w:cs="宋体"/>
          <w:szCs w:val="21"/>
          <w:highlight w:val="none"/>
          <w:lang w:val="en-US" w:eastAsia="zh-CN"/>
        </w:rPr>
      </w:r>
      <w:r/>
    </w:p>
    <w:p>
      <w:pPr>
        <w:pStyle w:val="927"/>
        <w:ind w:firstLine="482"/>
        <w:spacing w:line="360" w:lineRule="auto"/>
        <w:rPr>
          <w:rFonts w:hint="eastAsia" w:ascii="宋体" w:hAnsi="宋体" w:eastAsia="宋体" w:cs="宋体"/>
          <w:b/>
          <w:szCs w:val="21"/>
          <w:highlight w:val="none"/>
          <w:lang w:val="zh-CN"/>
        </w:rPr>
      </w:pPr>
      <w:r>
        <w:rPr>
          <w:rFonts w:hint="eastAsia" w:ascii="宋体" w:hAnsi="宋体" w:eastAsia="宋体" w:cs="宋体"/>
          <w:b/>
          <w:bCs/>
          <w:szCs w:val="21"/>
          <w:highlight w:val="none"/>
        </w:rPr>
        <w:t xml:space="preserve">注：未按要求提供相关材料的，不享受相关政策。</w:t>
      </w:r>
      <w:r>
        <w:rPr>
          <w:rFonts w:hint="eastAsia" w:ascii="宋体" w:hAnsi="宋体" w:eastAsia="宋体" w:cs="宋体"/>
          <w:b/>
          <w:szCs w:val="21"/>
          <w:highlight w:val="none"/>
          <w:lang w:val="zh-CN"/>
        </w:rPr>
      </w:r>
      <w:r/>
    </w:p>
    <w:p>
      <w:pPr>
        <w:pStyle w:val="927"/>
        <w:ind w:firstLine="420"/>
        <w:spacing w:line="360" w:lineRule="auto"/>
        <w:rPr>
          <w:rFonts w:hint="eastAsia" w:ascii="宋体" w:hAnsi="宋体" w:eastAsia="宋体" w:cs="宋体"/>
          <w:b/>
          <w:szCs w:val="21"/>
          <w:highlight w:val="none"/>
          <w:lang w:val="zh-CN"/>
        </w:rPr>
      </w:pPr>
      <w:r/>
      <w:bookmarkStart w:id="39" w:name="_Toc16938523"/>
      <w:r/>
      <w:bookmarkStart w:id="40" w:name="_Toc4759"/>
      <w:r/>
      <w:bookmarkStart w:id="41" w:name="_Toc20823279"/>
      <w:r/>
      <w:bookmarkStart w:id="42" w:name="_Toc513029207"/>
      <w:r/>
      <w:bookmarkStart w:id="43" w:name="_Toc462564067"/>
      <w:r/>
      <w:bookmarkStart w:id="44" w:name="_Toc17711"/>
      <w:r/>
      <w:bookmarkStart w:id="45" w:name="_Toc25651"/>
      <w:r>
        <w:rPr>
          <w:rFonts w:hint="eastAsia" w:ascii="宋体" w:hAnsi="宋体" w:eastAsia="宋体" w:cs="宋体"/>
          <w:b/>
          <w:bCs/>
          <w:color w:val="000000"/>
          <w:szCs w:val="21"/>
          <w:highlight w:val="none"/>
          <w:lang w:val="zh-CN"/>
        </w:rPr>
        <w:t xml:space="preserve">4.</w:t>
      </w:r>
      <w:r>
        <w:rPr>
          <w:rFonts w:hint="eastAsia" w:ascii="宋体" w:hAnsi="宋体" w:eastAsia="宋体" w:cs="宋体"/>
          <w:b/>
          <w:szCs w:val="21"/>
          <w:highlight w:val="none"/>
          <w:lang w:val="zh-CN"/>
        </w:rPr>
        <w:t xml:space="preserve">投标费用</w:t>
      </w:r>
      <w:bookmarkEnd w:id="39"/>
      <w:r/>
      <w:bookmarkEnd w:id="40"/>
      <w:r/>
      <w:bookmarkEnd w:id="41"/>
      <w:r/>
      <w:bookmarkEnd w:id="42"/>
      <w:r/>
      <w:bookmarkEnd w:id="43"/>
      <w:r/>
      <w:bookmarkEnd w:id="44"/>
      <w:r/>
      <w:bookmarkEnd w:id="45"/>
      <w:r>
        <w:rPr>
          <w:rFonts w:hint="eastAsia" w:ascii="宋体" w:hAnsi="宋体" w:eastAsia="宋体" w:cs="宋体"/>
          <w:b/>
          <w:szCs w:val="21"/>
          <w:highlight w:val="none"/>
          <w:lang w:val="zh-CN"/>
        </w:rPr>
      </w:r>
      <w:r/>
    </w:p>
    <w:p>
      <w:pPr>
        <w:pStyle w:val="92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4.1 供应商应自行承担所有与参加投标有关的费用，无论采购结果如何，代理机构和采购人在任何情况下均无义务和责任承担这些费用。</w:t>
      </w:r>
      <w:r>
        <w:rPr>
          <w:rFonts w:hint="eastAsia" w:ascii="宋体" w:hAnsi="宋体" w:eastAsia="宋体" w:cs="宋体"/>
          <w:szCs w:val="21"/>
          <w:highlight w:val="none"/>
        </w:rPr>
      </w:r>
      <w:r/>
    </w:p>
    <w:p>
      <w:pPr>
        <w:pStyle w:val="927"/>
        <w:ind w:firstLine="420"/>
        <w:spacing w:line="360" w:lineRule="auto"/>
        <w:rPr>
          <w:rFonts w:hint="eastAsia" w:ascii="宋体" w:hAnsi="宋体" w:eastAsia="宋体" w:cs="宋体"/>
          <w:b/>
          <w:szCs w:val="21"/>
          <w:highlight w:val="none"/>
          <w:lang w:val="zh-CN"/>
        </w:rPr>
      </w:pPr>
      <w:r/>
      <w:bookmarkStart w:id="46" w:name="_Toc344"/>
      <w:r/>
      <w:bookmarkStart w:id="47" w:name="_Toc25474"/>
      <w:r>
        <w:rPr>
          <w:rFonts w:hint="eastAsia" w:ascii="宋体" w:hAnsi="宋体" w:eastAsia="宋体" w:cs="宋体"/>
          <w:b/>
          <w:bCs/>
          <w:color w:val="000000"/>
          <w:szCs w:val="21"/>
          <w:highlight w:val="none"/>
          <w:lang w:val="zh-CN"/>
        </w:rPr>
        <w:t xml:space="preserve">5.</w:t>
      </w:r>
      <w:r>
        <w:rPr>
          <w:rFonts w:hint="eastAsia" w:ascii="宋体" w:hAnsi="宋体" w:eastAsia="宋体" w:cs="宋体"/>
          <w:b/>
          <w:szCs w:val="21"/>
          <w:highlight w:val="none"/>
          <w:lang w:val="zh-CN"/>
        </w:rPr>
        <w:t xml:space="preserve">招标文件的约束力</w:t>
      </w:r>
      <w:bookmarkEnd w:id="46"/>
      <w:r/>
      <w:bookmarkEnd w:id="47"/>
      <w:r>
        <w:rPr>
          <w:rFonts w:hint="eastAsia" w:ascii="宋体" w:hAnsi="宋体" w:eastAsia="宋体" w:cs="宋体"/>
          <w:b/>
          <w:szCs w:val="21"/>
          <w:highlight w:val="none"/>
          <w:lang w:val="zh-CN"/>
        </w:rPr>
      </w:r>
      <w:r/>
    </w:p>
    <w:p>
      <w:pPr>
        <w:pStyle w:val="92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5.1 供应商一旦参加本项目采购活动，即被认为接受了本招标文件的规定和约束。</w:t>
      </w:r>
      <w:r>
        <w:rPr>
          <w:rFonts w:hint="eastAsia" w:ascii="宋体" w:hAnsi="宋体" w:eastAsia="宋体" w:cs="宋体"/>
          <w:color w:val="000000"/>
          <w:szCs w:val="21"/>
          <w:highlight w:val="none"/>
        </w:rPr>
      </w:r>
      <w:r/>
    </w:p>
    <w:p>
      <w:pPr>
        <w:pStyle w:val="927"/>
        <w:ind w:firstLine="420"/>
        <w:spacing w:line="360" w:lineRule="auto"/>
        <w:shd w:val="clear" w:color="auto" w:fill="ffffff"/>
        <w:widowControl/>
        <w:rPr>
          <w:rFonts w:hint="eastAsia" w:ascii="宋体" w:hAnsi="宋体" w:eastAsia="宋体" w:cs="宋体"/>
          <w:b/>
          <w:bCs/>
          <w:color w:val="000000"/>
          <w:szCs w:val="21"/>
          <w:highlight w:val="none"/>
        </w:rPr>
        <w:outlineLvl w:val="1"/>
      </w:pPr>
      <w:r/>
      <w:bookmarkStart w:id="48" w:name="_Toc11232"/>
      <w:r/>
      <w:bookmarkStart w:id="49" w:name="_Toc20823281"/>
      <w:r/>
      <w:bookmarkStart w:id="50" w:name="_Toc120614215"/>
      <w:r/>
      <w:bookmarkStart w:id="51" w:name="_Toc513029209"/>
      <w:r/>
      <w:bookmarkStart w:id="52" w:name="_Toc16938525"/>
      <w:r/>
      <w:bookmarkStart w:id="53" w:name="_Toc15035"/>
      <w:r>
        <w:rPr>
          <w:rFonts w:hint="eastAsia" w:ascii="宋体" w:hAnsi="宋体" w:eastAsia="宋体" w:cs="宋体"/>
          <w:b/>
          <w:bCs/>
          <w:color w:val="000000"/>
          <w:szCs w:val="21"/>
          <w:highlight w:val="none"/>
        </w:rPr>
        <w:t xml:space="preserve">二、招标文件</w:t>
      </w:r>
      <w:bookmarkEnd w:id="48"/>
      <w:r/>
      <w:bookmarkEnd w:id="49"/>
      <w:r/>
      <w:bookmarkEnd w:id="50"/>
      <w:r/>
      <w:bookmarkEnd w:id="51"/>
      <w:r/>
      <w:bookmarkEnd w:id="52"/>
      <w:r/>
      <w:bookmarkEnd w:id="53"/>
      <w:r>
        <w:rPr>
          <w:rFonts w:hint="eastAsia" w:ascii="宋体" w:hAnsi="宋体" w:eastAsia="宋体" w:cs="宋体"/>
          <w:b/>
          <w:bCs/>
          <w:color w:val="000000"/>
          <w:szCs w:val="21"/>
          <w:highlight w:val="none"/>
        </w:rPr>
        <w:t xml:space="preserve"> </w:t>
      </w:r>
      <w:r>
        <w:rPr>
          <w:rFonts w:hint="eastAsia" w:ascii="宋体" w:hAnsi="宋体" w:eastAsia="宋体" w:cs="宋体"/>
          <w:b/>
          <w:bCs/>
          <w:color w:val="000000"/>
          <w:szCs w:val="21"/>
          <w:highlight w:val="none"/>
        </w:rPr>
      </w:r>
      <w:r/>
    </w:p>
    <w:p>
      <w:pPr>
        <w:pStyle w:val="927"/>
        <w:ind w:firstLine="420"/>
        <w:spacing w:line="360" w:lineRule="auto"/>
        <w:rPr>
          <w:rFonts w:hint="eastAsia" w:ascii="宋体" w:hAnsi="宋体" w:eastAsia="宋体" w:cs="宋体"/>
          <w:b/>
          <w:szCs w:val="21"/>
          <w:highlight w:val="none"/>
          <w:lang w:val="zh-CN"/>
        </w:rPr>
      </w:pPr>
      <w:r/>
      <w:bookmarkStart w:id="54" w:name="_Toc31631"/>
      <w:r/>
      <w:bookmarkStart w:id="55" w:name="_Toc2899"/>
      <w:r/>
      <w:bookmarkStart w:id="56" w:name="_Toc16938526"/>
      <w:r/>
      <w:bookmarkStart w:id="57" w:name="_Toc20823282"/>
      <w:r/>
      <w:bookmarkStart w:id="58" w:name="_Toc513029210"/>
      <w:r>
        <w:rPr>
          <w:rFonts w:hint="eastAsia" w:ascii="宋体" w:hAnsi="宋体" w:eastAsia="宋体" w:cs="宋体"/>
          <w:b/>
          <w:bCs/>
          <w:color w:val="000000"/>
          <w:szCs w:val="21"/>
          <w:highlight w:val="none"/>
          <w:lang w:val="zh-CN"/>
        </w:rPr>
        <w:t xml:space="preserve">6.</w:t>
      </w:r>
      <w:r>
        <w:rPr>
          <w:rFonts w:hint="eastAsia" w:ascii="宋体" w:hAnsi="宋体" w:eastAsia="宋体" w:cs="宋体"/>
          <w:b/>
          <w:szCs w:val="21"/>
          <w:highlight w:val="none"/>
          <w:lang w:val="zh-CN"/>
        </w:rPr>
        <w:t xml:space="preserve">招标文件构成</w:t>
      </w:r>
      <w:bookmarkEnd w:id="54"/>
      <w:r/>
      <w:bookmarkEnd w:id="55"/>
      <w:r/>
      <w:bookmarkEnd w:id="56"/>
      <w:r/>
      <w:bookmarkEnd w:id="57"/>
      <w:r/>
      <w:bookmarkEnd w:id="58"/>
      <w:r>
        <w:rPr>
          <w:rFonts w:hint="eastAsia" w:ascii="宋体" w:hAnsi="宋体" w:eastAsia="宋体" w:cs="宋体"/>
          <w:b/>
          <w:szCs w:val="21"/>
          <w:highlight w:val="none"/>
          <w:lang w:val="zh-CN"/>
        </w:rPr>
      </w:r>
      <w:r/>
    </w:p>
    <w:p>
      <w:pPr>
        <w:pStyle w:val="92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 招标文件由以下部分组成：</w:t>
      </w:r>
      <w:r>
        <w:rPr>
          <w:rFonts w:hint="eastAsia" w:ascii="宋体" w:hAnsi="宋体" w:eastAsia="宋体" w:cs="宋体"/>
          <w:color w:val="000000"/>
          <w:szCs w:val="21"/>
          <w:highlight w:val="none"/>
        </w:rPr>
      </w:r>
      <w:r/>
    </w:p>
    <w:p>
      <w:pPr>
        <w:pStyle w:val="92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第一章  招标公告</w:t>
      </w:r>
      <w:r>
        <w:rPr>
          <w:rFonts w:hint="eastAsia" w:ascii="宋体" w:hAnsi="宋体" w:eastAsia="宋体" w:cs="宋体"/>
          <w:color w:val="000000"/>
          <w:szCs w:val="21"/>
          <w:highlight w:val="none"/>
        </w:rPr>
      </w:r>
      <w:r/>
    </w:p>
    <w:p>
      <w:pPr>
        <w:pStyle w:val="92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第二章  投标人须知</w:t>
      </w:r>
      <w:r>
        <w:rPr>
          <w:rFonts w:hint="eastAsia" w:ascii="宋体" w:hAnsi="宋体" w:eastAsia="宋体" w:cs="宋体"/>
          <w:color w:val="000000"/>
          <w:szCs w:val="21"/>
          <w:highlight w:val="none"/>
        </w:rPr>
      </w:r>
      <w:r/>
    </w:p>
    <w:p>
      <w:pPr>
        <w:pStyle w:val="92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第三章  评标方法、评分标准</w:t>
      </w:r>
      <w:r>
        <w:rPr>
          <w:rFonts w:hint="eastAsia" w:ascii="宋体" w:hAnsi="宋体" w:eastAsia="宋体" w:cs="宋体"/>
          <w:color w:val="000000"/>
          <w:szCs w:val="21"/>
          <w:highlight w:val="none"/>
        </w:rPr>
      </w:r>
      <w:r/>
    </w:p>
    <w:p>
      <w:pPr>
        <w:pStyle w:val="92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第四章  采购需求</w:t>
      </w:r>
      <w:r>
        <w:rPr>
          <w:rFonts w:hint="eastAsia" w:ascii="宋体" w:hAnsi="宋体" w:eastAsia="宋体" w:cs="宋体"/>
          <w:color w:val="000000"/>
          <w:szCs w:val="21"/>
          <w:highlight w:val="none"/>
        </w:rPr>
      </w:r>
      <w:r/>
    </w:p>
    <w:p>
      <w:pPr>
        <w:pStyle w:val="92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第五章  合同条款</w:t>
      </w:r>
      <w:r>
        <w:rPr>
          <w:rFonts w:hint="eastAsia" w:ascii="宋体" w:hAnsi="宋体" w:eastAsia="宋体" w:cs="宋体"/>
          <w:color w:val="000000"/>
          <w:szCs w:val="21"/>
          <w:highlight w:val="none"/>
        </w:rPr>
      </w:r>
      <w:r/>
    </w:p>
    <w:p>
      <w:pPr>
        <w:pStyle w:val="927"/>
        <w:ind w:firstLine="42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第六章  投标文件格式及附件</w:t>
      </w:r>
      <w:r>
        <w:rPr>
          <w:rFonts w:hint="eastAsia" w:ascii="宋体" w:hAnsi="宋体" w:eastAsia="宋体" w:cs="宋体"/>
          <w:color w:val="000000"/>
          <w:szCs w:val="21"/>
          <w:highlight w:val="none"/>
          <w:lang w:eastAsia="zh-CN"/>
        </w:rPr>
      </w:r>
      <w:r/>
    </w:p>
    <w:p>
      <w:pPr>
        <w:pStyle w:val="92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6.2</w:t>
      </w:r>
      <w:r>
        <w:rPr>
          <w:rFonts w:hint="eastAsia" w:ascii="宋体" w:hAnsi="宋体" w:eastAsia="宋体" w:cs="宋体"/>
          <w:b/>
          <w:bCs/>
          <w:color w:val="000000"/>
          <w:szCs w:val="21"/>
          <w:highlight w:val="none"/>
        </w:rPr>
        <w:t xml:space="preserve">招标的最小单位是包。采购需求中未分包的，供应商对要求提供的货物不得部分投标；采购需求中已经分包的，以包为单位投标</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2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hint="eastAsia" w:ascii="宋体" w:hAnsi="宋体" w:eastAsia="宋体" w:cs="宋体"/>
          <w:color w:val="000000"/>
          <w:szCs w:val="21"/>
          <w:highlight w:val="none"/>
        </w:rPr>
      </w:r>
      <w:r/>
    </w:p>
    <w:p>
      <w:pPr>
        <w:pStyle w:val="92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6.4供应商被视为充分熟悉本招标项目的各种情况以及与履行合同有关的一切其他情况。</w:t>
      </w:r>
      <w:r>
        <w:rPr>
          <w:rFonts w:hint="eastAsia" w:ascii="宋体" w:hAnsi="宋体" w:eastAsia="宋体" w:cs="宋体"/>
          <w:color w:val="000000"/>
          <w:szCs w:val="21"/>
          <w:highlight w:val="none"/>
        </w:rPr>
      </w:r>
      <w:r/>
    </w:p>
    <w:p>
      <w:pPr>
        <w:pStyle w:val="1135"/>
        <w:ind w:left="0" w:firstLine="422"/>
        <w:jc w:val="both"/>
        <w:spacing w:line="360" w:lineRule="auto"/>
        <w:tabs>
          <w:tab w:val="left" w:pos="480" w:leader="none"/>
        </w:tabs>
        <w:rPr>
          <w:rFonts w:hint="eastAsia" w:ascii="宋体" w:hAnsi="宋体" w:eastAsia="宋体" w:cs="宋体"/>
          <w:b/>
          <w:bCs/>
          <w:color w:val="000000"/>
          <w:sz w:val="21"/>
          <w:szCs w:val="21"/>
          <w:highlight w:val="none"/>
        </w:rPr>
        <w:outlineLvl w:val="9"/>
      </w:pPr>
      <w:r/>
      <w:bookmarkStart w:id="59" w:name="_Toc24838"/>
      <w:r/>
      <w:bookmarkStart w:id="60" w:name="_Toc14415"/>
      <w:r>
        <w:rPr>
          <w:rFonts w:hint="eastAsia" w:ascii="宋体" w:hAnsi="宋体" w:eastAsia="宋体" w:cs="宋体"/>
          <w:b/>
          <w:bCs/>
          <w:color w:val="000000"/>
          <w:sz w:val="21"/>
          <w:szCs w:val="21"/>
          <w:highlight w:val="none"/>
        </w:rPr>
        <w:t xml:space="preserve">7.招标文件的澄清、补充或修改</w:t>
      </w:r>
      <w:bookmarkEnd w:id="59"/>
      <w:r/>
      <w:bookmarkEnd w:id="60"/>
      <w:r>
        <w:rPr>
          <w:rFonts w:hint="eastAsia" w:ascii="宋体" w:hAnsi="宋体" w:eastAsia="宋体" w:cs="宋体"/>
          <w:b/>
          <w:bCs/>
          <w:color w:val="000000"/>
          <w:sz w:val="21"/>
          <w:szCs w:val="21"/>
          <w:highlight w:val="none"/>
        </w:rPr>
      </w:r>
      <w:r/>
    </w:p>
    <w:p>
      <w:pPr>
        <w:pStyle w:val="927"/>
        <w:ind w:firstLine="441"/>
        <w:spacing w:line="360" w:lineRule="auto"/>
        <w:rPr>
          <w:rFonts w:hint="eastAsia" w:ascii="宋体" w:hAnsi="宋体" w:eastAsia="宋体" w:cs="宋体"/>
          <w:szCs w:val="21"/>
          <w:highlight w:val="none"/>
        </w:rPr>
      </w:pPr>
      <w:r/>
      <w:bookmarkStart w:id="61" w:name="_Toc29128"/>
      <w:r>
        <w:rPr>
          <w:rFonts w:hint="eastAsia" w:ascii="宋体" w:hAnsi="宋体" w:eastAsia="宋体" w:cs="宋体"/>
          <w:color w:val="000000"/>
          <w:szCs w:val="21"/>
          <w:highlight w:val="none"/>
        </w:rPr>
        <w:t xml:space="preserve">7.1</w:t>
      </w:r>
      <w:r>
        <w:rPr>
          <w:rFonts w:hint="eastAsia" w:ascii="宋体" w:hAnsi="宋体" w:eastAsia="宋体" w:cs="宋体"/>
          <w:szCs w:val="21"/>
          <w:highlight w:val="none"/>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rPr>
          <w:rFonts w:hint="eastAsia" w:ascii="宋体" w:hAnsi="宋体" w:eastAsia="宋体" w:cs="宋体"/>
          <w:szCs w:val="21"/>
          <w:highlight w:val="none"/>
        </w:rPr>
      </w:r>
      <w:r/>
    </w:p>
    <w:p>
      <w:pPr>
        <w:pStyle w:val="927"/>
        <w:ind w:firstLine="420"/>
        <w:spacing w:line="360" w:lineRule="auto"/>
        <w:rPr>
          <w:rFonts w:hint="eastAsia" w:ascii="宋体" w:hAnsi="宋体" w:eastAsia="宋体" w:cs="宋体"/>
          <w:szCs w:val="21"/>
          <w:highlight w:val="none"/>
        </w:rPr>
      </w:pPr>
      <w:r>
        <w:rPr>
          <w:rFonts w:hint="eastAsia" w:ascii="宋体" w:hAnsi="宋体" w:eastAsia="宋体" w:cs="宋体"/>
          <w:color w:val="000000"/>
          <w:szCs w:val="21"/>
          <w:highlight w:val="none"/>
        </w:rPr>
        <w:t xml:space="preserve">7.2 </w:t>
      </w:r>
      <w:r>
        <w:rPr>
          <w:rFonts w:hint="eastAsia" w:ascii="宋体" w:hAnsi="宋体" w:eastAsia="宋体" w:cs="宋体"/>
          <w:szCs w:val="21"/>
          <w:highlight w:val="none"/>
        </w:rPr>
        <w:t xml:space="preserve">采购代理机构对已发出的招标文件进行必要的澄清或者修改，将在投标截止时间15日前，在原招标公告媒体公布。不足15日的，采购人或者采购代理机构应当顺延提交投标文件的截止时间。</w:t>
      </w:r>
      <w:r>
        <w:rPr>
          <w:rFonts w:hint="eastAsia" w:ascii="宋体" w:hAnsi="宋体" w:eastAsia="宋体" w:cs="宋体"/>
          <w:szCs w:val="21"/>
          <w:highlight w:val="none"/>
        </w:rPr>
      </w:r>
      <w:r/>
    </w:p>
    <w:p>
      <w:pPr>
        <w:pStyle w:val="927"/>
        <w:ind w:firstLine="441"/>
        <w:spacing w:line="360" w:lineRule="auto"/>
        <w:rPr>
          <w:rFonts w:hint="eastAsia" w:ascii="宋体" w:hAnsi="宋体" w:eastAsia="宋体" w:cs="宋体"/>
          <w:szCs w:val="21"/>
          <w:highlight w:val="none"/>
        </w:rPr>
      </w:pPr>
      <w:r>
        <w:rPr>
          <w:rFonts w:hint="eastAsia" w:ascii="宋体" w:hAnsi="宋体" w:eastAsia="宋体" w:cs="宋体"/>
          <w:color w:val="000000"/>
          <w:szCs w:val="21"/>
          <w:highlight w:val="none"/>
        </w:rPr>
        <w:t xml:space="preserve">7.3 </w:t>
      </w:r>
      <w:r>
        <w:rPr>
          <w:rFonts w:hint="eastAsia" w:ascii="宋体" w:hAnsi="宋体" w:eastAsia="宋体" w:cs="宋体"/>
          <w:szCs w:val="21"/>
          <w:highlight w:val="none"/>
        </w:rPr>
        <w:t xml:space="preserve">采购代理机构在招标文件要求提交投标文件截止时间3日前，有权决定延长投标截止时间和开标时间，并在原招标公告媒体上发布变更公告。</w:t>
      </w:r>
      <w:r>
        <w:rPr>
          <w:rFonts w:hint="eastAsia" w:ascii="宋体" w:hAnsi="宋体" w:eastAsia="宋体" w:cs="宋体"/>
          <w:szCs w:val="21"/>
          <w:highlight w:val="none"/>
        </w:rPr>
      </w:r>
      <w:r/>
    </w:p>
    <w:p>
      <w:pPr>
        <w:pStyle w:val="927"/>
        <w:ind w:firstLine="441"/>
        <w:spacing w:line="360" w:lineRule="auto"/>
        <w:rPr>
          <w:rFonts w:hint="eastAsia" w:ascii="宋体" w:hAnsi="宋体" w:eastAsia="宋体" w:cs="宋体"/>
          <w:szCs w:val="21"/>
          <w:highlight w:val="none"/>
        </w:rPr>
      </w:pPr>
      <w:r>
        <w:rPr>
          <w:rFonts w:hint="eastAsia" w:ascii="宋体" w:hAnsi="宋体" w:eastAsia="宋体" w:cs="宋体"/>
          <w:color w:val="000000"/>
          <w:szCs w:val="21"/>
          <w:highlight w:val="none"/>
        </w:rPr>
        <w:t xml:space="preserve">7.4</w:t>
      </w:r>
      <w:r>
        <w:rPr>
          <w:rFonts w:hint="eastAsia" w:ascii="宋体" w:hAnsi="宋体" w:eastAsia="宋体" w:cs="宋体"/>
          <w:szCs w:val="21"/>
          <w:highlight w:val="none"/>
        </w:rPr>
        <w:t xml:space="preserve"> 为使供应商在准备投标时，有合理的时间考虑招标文件的补充或修改，采购代理机构将视情况可能推迟投标截止时间和开标时间，并将在原招标公告媒体发布更正公告。</w:t>
      </w:r>
      <w:r>
        <w:rPr>
          <w:rFonts w:hint="eastAsia" w:ascii="宋体" w:hAnsi="宋体" w:eastAsia="宋体" w:cs="宋体"/>
          <w:szCs w:val="21"/>
          <w:highlight w:val="none"/>
        </w:rPr>
      </w:r>
      <w:r/>
    </w:p>
    <w:p>
      <w:pPr>
        <w:pStyle w:val="927"/>
        <w:ind w:firstLine="441"/>
        <w:spacing w:line="360" w:lineRule="auto"/>
        <w:rPr>
          <w:rFonts w:hint="eastAsia" w:ascii="宋体" w:hAnsi="宋体" w:eastAsia="宋体" w:cs="宋体"/>
          <w:bCs/>
          <w:szCs w:val="21"/>
          <w:highlight w:val="none"/>
        </w:rPr>
      </w:pPr>
      <w:r>
        <w:rPr>
          <w:rFonts w:hint="eastAsia" w:ascii="宋体" w:hAnsi="宋体" w:eastAsia="宋体" w:cs="宋体"/>
          <w:color w:val="000000"/>
          <w:szCs w:val="21"/>
          <w:highlight w:val="none"/>
        </w:rPr>
        <w:t xml:space="preserve">7.5 </w:t>
      </w:r>
      <w:r>
        <w:rPr>
          <w:rFonts w:hint="eastAsia" w:ascii="宋体" w:hAnsi="宋体" w:eastAsia="宋体" w:cs="宋体"/>
          <w:szCs w:val="21"/>
          <w:highlight w:val="none"/>
        </w:rPr>
        <w:t xml:space="preserve">采购代理机构发出的所有补充、修改和变更文件均作为招标文件的组成部分，与招标文件具有同等法律效力，并对投标人具有约束力。 </w:t>
      </w:r>
      <w:r>
        <w:rPr>
          <w:rFonts w:hint="eastAsia" w:ascii="宋体" w:hAnsi="宋体" w:eastAsia="宋体" w:cs="宋体"/>
          <w:bCs/>
          <w:szCs w:val="21"/>
          <w:highlight w:val="none"/>
        </w:rPr>
      </w:r>
      <w:r/>
    </w:p>
    <w:p>
      <w:pPr>
        <w:pStyle w:val="927"/>
        <w:ind w:firstLine="420"/>
        <w:spacing w:line="360" w:lineRule="auto"/>
        <w:shd w:val="clear" w:color="auto" w:fill="ffffff"/>
        <w:widowControl/>
        <w:rPr>
          <w:rFonts w:hint="eastAsia" w:ascii="宋体" w:hAnsi="宋体" w:eastAsia="宋体" w:cs="宋体"/>
          <w:b/>
          <w:bCs/>
          <w:szCs w:val="21"/>
          <w:highlight w:val="none"/>
        </w:rPr>
        <w:outlineLvl w:val="1"/>
      </w:pPr>
      <w:r/>
      <w:bookmarkStart w:id="62" w:name="_Toc27318"/>
      <w:r>
        <w:rPr>
          <w:rFonts w:hint="eastAsia" w:ascii="宋体" w:hAnsi="宋体" w:eastAsia="宋体" w:cs="宋体"/>
          <w:b/>
          <w:bCs/>
          <w:szCs w:val="21"/>
          <w:highlight w:val="none"/>
        </w:rPr>
        <w:t xml:space="preserve">三、投标文件的编制</w:t>
      </w:r>
      <w:bookmarkEnd w:id="61"/>
      <w:r/>
      <w:bookmarkEnd w:id="62"/>
      <w:r>
        <w:rPr>
          <w:rFonts w:hint="eastAsia" w:ascii="宋体" w:hAnsi="宋体" w:eastAsia="宋体" w:cs="宋体"/>
          <w:b/>
          <w:bCs/>
          <w:szCs w:val="21"/>
          <w:highlight w:val="none"/>
        </w:rPr>
      </w:r>
      <w:r/>
    </w:p>
    <w:p>
      <w:pPr>
        <w:pStyle w:val="1135"/>
        <w:ind w:left="0" w:firstLine="422"/>
        <w:jc w:val="both"/>
        <w:spacing w:line="360" w:lineRule="auto"/>
        <w:tabs>
          <w:tab w:val="left" w:pos="480" w:leader="none"/>
        </w:tabs>
        <w:rPr>
          <w:rFonts w:hint="eastAsia" w:ascii="宋体" w:hAnsi="宋体" w:eastAsia="宋体" w:cs="宋体"/>
          <w:b/>
          <w:bCs/>
          <w:sz w:val="21"/>
          <w:szCs w:val="21"/>
          <w:highlight w:val="none"/>
        </w:rPr>
        <w:outlineLvl w:val="9"/>
      </w:pPr>
      <w:r/>
      <w:bookmarkStart w:id="63" w:name="_Toc28127"/>
      <w:r/>
      <w:bookmarkStart w:id="64" w:name="_Toc14460"/>
      <w:r>
        <w:rPr>
          <w:rFonts w:hint="eastAsia" w:ascii="宋体" w:hAnsi="宋体" w:eastAsia="宋体" w:cs="宋体"/>
          <w:b/>
          <w:bCs/>
          <w:sz w:val="21"/>
          <w:szCs w:val="21"/>
          <w:highlight w:val="none"/>
        </w:rPr>
        <w:t xml:space="preserve">8.</w:t>
      </w:r>
      <w:bookmarkEnd w:id="63"/>
      <w:r>
        <w:rPr>
          <w:rFonts w:hint="eastAsia" w:ascii="宋体" w:hAnsi="宋体" w:eastAsia="宋体" w:cs="宋体"/>
          <w:b/>
          <w:bCs/>
          <w:sz w:val="21"/>
          <w:szCs w:val="21"/>
          <w:highlight w:val="none"/>
        </w:rPr>
        <w:t xml:space="preserve">投标文件的语言、计量单位、货币</w:t>
      </w:r>
      <w:bookmarkEnd w:id="64"/>
      <w:r>
        <w:rPr>
          <w:rFonts w:hint="eastAsia" w:ascii="宋体" w:hAnsi="宋体" w:eastAsia="宋体" w:cs="宋体"/>
          <w:b/>
          <w:bCs/>
          <w:sz w:val="21"/>
          <w:szCs w:val="21"/>
          <w:highlight w:val="none"/>
        </w:rPr>
      </w:r>
      <w:r/>
    </w:p>
    <w:p>
      <w:pPr>
        <w:pStyle w:val="9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8.1 供应商提交的投标文件（包括技术文件和资料、图纸中的说明）以及</w:t>
      </w:r>
      <w:r>
        <w:rPr>
          <w:rFonts w:hint="eastAsia" w:ascii="宋体" w:hAnsi="宋体" w:eastAsia="宋体" w:cs="宋体"/>
          <w:color w:val="000000"/>
          <w:szCs w:val="21"/>
          <w:highlight w:val="none"/>
        </w:rPr>
        <w:t xml:space="preserve">供应商与采购代理机构之间</w:t>
      </w:r>
      <w:r>
        <w:rPr>
          <w:rFonts w:hint="eastAsia" w:ascii="宋体" w:hAnsi="宋体" w:eastAsia="宋体" w:cs="宋体"/>
          <w:szCs w:val="21"/>
          <w:highlight w:val="none"/>
        </w:rPr>
        <w:t xml:space="preserve">就有关投标的所有来往函电均应</w:t>
      </w:r>
      <w:r>
        <w:rPr>
          <w:rFonts w:hint="eastAsia" w:ascii="宋体" w:hAnsi="宋体" w:eastAsia="宋体" w:cs="宋体"/>
          <w:color w:val="000000"/>
          <w:szCs w:val="21"/>
          <w:highlight w:val="none"/>
        </w:rPr>
        <w:t xml:space="preserve">以简体中文书写。</w:t>
      </w:r>
      <w:r>
        <w:rPr>
          <w:rFonts w:hint="eastAsia" w:ascii="宋体" w:hAnsi="宋体" w:eastAsia="宋体" w:cs="宋体"/>
          <w:color w:val="000000"/>
          <w:szCs w:val="21"/>
          <w:highlight w:val="none"/>
        </w:rPr>
      </w:r>
      <w:r/>
    </w:p>
    <w:p>
      <w:pPr>
        <w:pStyle w:val="9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8.2供应商已印刷好的资料如产品样本、说明书等可以用其他语言，但其中要点应附有中文译文。对不同文本投标文件的解释发生异议的，以中文翻译文本为准。</w:t>
      </w:r>
      <w:r>
        <w:rPr>
          <w:rFonts w:hint="eastAsia" w:ascii="宋体" w:hAnsi="宋体" w:eastAsia="宋体" w:cs="宋体"/>
          <w:color w:val="000000"/>
          <w:szCs w:val="21"/>
          <w:highlight w:val="none"/>
        </w:rPr>
      </w:r>
      <w:r/>
    </w:p>
    <w:p>
      <w:pPr>
        <w:pStyle w:val="927"/>
        <w:ind w:firstLine="420"/>
        <w:spacing w:line="360" w:lineRule="auto"/>
        <w:shd w:val="clear" w:color="auto" w:fill="ffffff"/>
        <w:widowControl/>
        <w:rPr>
          <w:rFonts w:hint="eastAsia" w:ascii="宋体" w:hAnsi="宋体" w:eastAsia="宋体" w:cs="宋体"/>
          <w:szCs w:val="21"/>
          <w:highlight w:val="none"/>
        </w:rPr>
      </w:pPr>
      <w:r/>
      <w:bookmarkStart w:id="65" w:name="_Toc19298"/>
      <w:r>
        <w:rPr>
          <w:rFonts w:hint="eastAsia" w:ascii="宋体" w:hAnsi="宋体" w:eastAsia="宋体" w:cs="宋体"/>
          <w:szCs w:val="21"/>
          <w:highlight w:val="none"/>
        </w:rPr>
        <w:t xml:space="preserve">8.3 除招标文件中有特殊要求外，招标文件中所使用的计量单位应为国家法定计量单位。</w:t>
      </w:r>
      <w:r>
        <w:rPr>
          <w:rFonts w:hint="eastAsia" w:ascii="宋体" w:hAnsi="宋体" w:eastAsia="宋体" w:cs="宋体"/>
          <w:szCs w:val="21"/>
          <w:highlight w:val="none"/>
        </w:rPr>
      </w:r>
      <w:r/>
    </w:p>
    <w:p>
      <w:pPr>
        <w:pStyle w:val="927"/>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8.4 本招标文件所表述的时间均为北京时间。</w:t>
      </w:r>
      <w:r>
        <w:rPr>
          <w:rFonts w:hint="eastAsia" w:ascii="宋体" w:hAnsi="宋体" w:eastAsia="宋体" w:cs="宋体"/>
          <w:szCs w:val="21"/>
          <w:highlight w:val="none"/>
        </w:rPr>
      </w:r>
      <w:r/>
    </w:p>
    <w:p>
      <w:pPr>
        <w:pStyle w:val="1135"/>
        <w:ind w:left="0" w:firstLine="422"/>
        <w:jc w:val="both"/>
        <w:spacing w:line="360" w:lineRule="auto"/>
        <w:tabs>
          <w:tab w:val="left" w:pos="480"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8.5 所有投标响应报价具体详见投标人须知前附表。</w:t>
      </w:r>
      <w:r>
        <w:rPr>
          <w:rFonts w:hint="eastAsia" w:ascii="宋体" w:hAnsi="宋体" w:eastAsia="宋体" w:cs="宋体"/>
          <w:sz w:val="21"/>
          <w:szCs w:val="21"/>
          <w:highlight w:val="none"/>
        </w:rPr>
      </w:r>
      <w:r/>
    </w:p>
    <w:p>
      <w:pPr>
        <w:pStyle w:val="1135"/>
        <w:ind w:left="0" w:firstLine="422"/>
        <w:jc w:val="both"/>
        <w:spacing w:line="360" w:lineRule="auto"/>
        <w:tabs>
          <w:tab w:val="left" w:pos="480" w:leader="none"/>
        </w:tabs>
        <w:rPr>
          <w:rFonts w:hint="eastAsia" w:ascii="宋体" w:hAnsi="宋体" w:eastAsia="宋体" w:cs="宋体"/>
          <w:b/>
          <w:bCs/>
          <w:sz w:val="21"/>
          <w:szCs w:val="21"/>
          <w:highlight w:val="none"/>
          <w:lang w:val="zh-CN"/>
        </w:rPr>
        <w:outlineLvl w:val="9"/>
      </w:pPr>
      <w:r/>
      <w:bookmarkStart w:id="66" w:name="_Toc11547"/>
      <w:r/>
      <w:bookmarkStart w:id="67" w:name="_Toc30894"/>
      <w:r>
        <w:rPr>
          <w:rFonts w:hint="eastAsia" w:ascii="宋体" w:hAnsi="宋体" w:eastAsia="宋体" w:cs="宋体"/>
          <w:b/>
          <w:bCs/>
          <w:sz w:val="21"/>
          <w:szCs w:val="21"/>
          <w:highlight w:val="none"/>
        </w:rPr>
        <w:t xml:space="preserve">9.</w:t>
      </w:r>
      <w:r>
        <w:rPr>
          <w:rFonts w:hint="eastAsia" w:ascii="宋体" w:hAnsi="宋体" w:eastAsia="宋体" w:cs="宋体"/>
          <w:b/>
          <w:bCs/>
          <w:sz w:val="21"/>
          <w:szCs w:val="21"/>
          <w:highlight w:val="none"/>
          <w:lang w:val="zh-CN"/>
        </w:rPr>
        <w:t xml:space="preserve">联合体（根据采购项目是否接受联合体投标而定）</w:t>
      </w:r>
      <w:bookmarkEnd w:id="66"/>
      <w:r/>
      <w:bookmarkEnd w:id="67"/>
      <w:r>
        <w:rPr>
          <w:rFonts w:hint="eastAsia" w:ascii="宋体" w:hAnsi="宋体" w:eastAsia="宋体" w:cs="宋体"/>
          <w:b/>
          <w:bCs/>
          <w:sz w:val="21"/>
          <w:szCs w:val="21"/>
          <w:highlight w:val="none"/>
          <w:lang w:val="zh-CN"/>
        </w:rPr>
      </w:r>
      <w:r/>
    </w:p>
    <w:p>
      <w:pPr>
        <w:pStyle w:val="1135"/>
        <w:ind w:left="0" w:firstLine="422"/>
        <w:jc w:val="both"/>
        <w:spacing w:line="360" w:lineRule="auto"/>
        <w:tabs>
          <w:tab w:val="left" w:pos="480"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9.1两个以上的自然人、法人或者其他组织可以组成一个联合体，以一个供应商的身份共同参加政府采购。</w:t>
      </w:r>
      <w:r>
        <w:rPr>
          <w:rFonts w:hint="eastAsia" w:ascii="宋体" w:hAnsi="宋体" w:eastAsia="宋体" w:cs="宋体"/>
          <w:sz w:val="21"/>
          <w:szCs w:val="21"/>
          <w:highlight w:val="none"/>
        </w:rPr>
      </w:r>
      <w:r/>
    </w:p>
    <w:p>
      <w:pPr>
        <w:pStyle w:val="1135"/>
        <w:ind w:left="0" w:firstLine="422"/>
        <w:jc w:val="both"/>
        <w:spacing w:line="360" w:lineRule="auto"/>
        <w:tabs>
          <w:tab w:val="left" w:pos="480"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9.2鼓励大中型企业和其他自然人、法人或者其他组织与小型、微型企业组成联合体共同参加非专门面向中小企业的政府采购活动。</w:t>
      </w:r>
      <w:r>
        <w:rPr>
          <w:rFonts w:hint="eastAsia" w:ascii="宋体" w:hAnsi="宋体" w:eastAsia="宋体" w:cs="宋体"/>
          <w:sz w:val="21"/>
          <w:szCs w:val="21"/>
          <w:highlight w:val="none"/>
        </w:rPr>
      </w:r>
      <w:r/>
    </w:p>
    <w:p>
      <w:pPr>
        <w:pStyle w:val="927"/>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9.</w:t>
      </w:r>
      <w:r>
        <w:rPr>
          <w:rFonts w:hint="eastAsia" w:ascii="宋体" w:hAnsi="宋体" w:eastAsia="宋体" w:cs="宋体"/>
          <w:szCs w:val="21"/>
          <w:highlight w:val="none"/>
        </w:rPr>
        <w:t xml:space="preserve">3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hint="eastAsia" w:ascii="宋体" w:hAnsi="宋体" w:eastAsia="宋体" w:cs="宋体"/>
          <w:szCs w:val="21"/>
          <w:highlight w:val="none"/>
        </w:rPr>
      </w:r>
      <w:r/>
    </w:p>
    <w:p>
      <w:pPr>
        <w:pStyle w:val="927"/>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9.4 联合体各方之间应当签订联合体协议，明确约定联合体各方承担的工作和相应的责任，并将联合体协议连同响应文件一并提交。</w:t>
      </w:r>
      <w:r>
        <w:rPr>
          <w:rFonts w:hint="eastAsia" w:ascii="宋体" w:hAnsi="宋体" w:eastAsia="宋体" w:cs="宋体"/>
          <w:szCs w:val="21"/>
          <w:highlight w:val="none"/>
        </w:rPr>
      </w:r>
      <w:r/>
    </w:p>
    <w:p>
      <w:pPr>
        <w:pStyle w:val="927"/>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9.5 以联合体形式参加政府采购活动的，联合体各方不得再单独参加或者与其他供应商另外组成联合体参加同一合同项下的政府采购活动。</w:t>
      </w:r>
      <w:r>
        <w:rPr>
          <w:rFonts w:hint="eastAsia" w:ascii="宋体" w:hAnsi="宋体" w:eastAsia="宋体" w:cs="宋体"/>
          <w:szCs w:val="21"/>
          <w:highlight w:val="none"/>
        </w:rPr>
      </w:r>
      <w:r/>
    </w:p>
    <w:p>
      <w:pPr>
        <w:pStyle w:val="927"/>
        <w:ind w:firstLine="420"/>
        <w:spacing w:line="360" w:lineRule="auto"/>
        <w:shd w:val="clear" w:color="auto" w:fill="ffffff"/>
        <w:widowControl/>
        <w:rPr>
          <w:rFonts w:hint="eastAsia" w:ascii="宋体" w:hAnsi="宋体" w:eastAsia="宋体" w:cs="宋体"/>
          <w:b/>
          <w:bCs/>
          <w:szCs w:val="21"/>
          <w:highlight w:val="none"/>
        </w:rPr>
      </w:pPr>
      <w:r/>
      <w:bookmarkEnd w:id="65"/>
      <w:r/>
      <w:bookmarkStart w:id="68" w:name="_Toc22790"/>
      <w:r/>
      <w:bookmarkStart w:id="69" w:name="_Toc6681"/>
      <w:r>
        <w:rPr>
          <w:rFonts w:hint="eastAsia" w:ascii="宋体" w:hAnsi="宋体" w:eastAsia="宋体" w:cs="宋体"/>
          <w:b/>
          <w:bCs/>
          <w:szCs w:val="21"/>
          <w:highlight w:val="none"/>
        </w:rPr>
        <w:t xml:space="preserve">10.投标文件的</w:t>
      </w:r>
      <w:bookmarkEnd w:id="68"/>
      <w:r>
        <w:rPr>
          <w:rFonts w:hint="eastAsia" w:ascii="宋体" w:hAnsi="宋体" w:eastAsia="宋体" w:cs="宋体"/>
          <w:b/>
          <w:bCs/>
          <w:szCs w:val="21"/>
          <w:highlight w:val="none"/>
        </w:rPr>
        <w:t xml:space="preserve">组成</w:t>
      </w:r>
      <w:bookmarkEnd w:id="69"/>
      <w:r>
        <w:rPr>
          <w:rFonts w:hint="eastAsia" w:ascii="宋体" w:hAnsi="宋体" w:eastAsia="宋体" w:cs="宋体"/>
          <w:b/>
          <w:bCs/>
          <w:szCs w:val="21"/>
          <w:highlight w:val="none"/>
        </w:rPr>
        <w:t xml:space="preserve">（相应内容上传至投标客户端，并签电子公章）：</w:t>
      </w:r>
      <w:r>
        <w:rPr>
          <w:rFonts w:hint="eastAsia" w:ascii="宋体" w:hAnsi="宋体" w:eastAsia="宋体" w:cs="宋体"/>
          <w:b/>
          <w:bCs/>
          <w:szCs w:val="21"/>
          <w:highlight w:val="none"/>
        </w:rPr>
      </w:r>
      <w:r/>
    </w:p>
    <w:p>
      <w:pPr>
        <w:pStyle w:val="927"/>
        <w:ind w:firstLine="420"/>
        <w:spacing w:line="360" w:lineRule="auto"/>
        <w:shd w:val="clear" w:color="auto" w:fill="ffffff"/>
        <w:widowControl/>
        <w:rPr>
          <w:rFonts w:hint="eastAsia" w:ascii="宋体" w:hAnsi="宋体" w:eastAsia="宋体" w:cs="宋体"/>
          <w:szCs w:val="21"/>
          <w:highlight w:val="none"/>
        </w:rPr>
      </w:pPr>
      <w:r/>
      <w:bookmarkStart w:id="70" w:name="_Hlk529436144"/>
      <w:r/>
      <w:bookmarkStart w:id="71" w:name="_Hlk525992732"/>
      <w:r/>
      <w:bookmarkStart w:id="72" w:name="_Hlk6917373"/>
      <w:r>
        <w:rPr>
          <w:rFonts w:hint="eastAsia" w:ascii="宋体" w:hAnsi="宋体" w:eastAsia="宋体" w:cs="宋体"/>
          <w:szCs w:val="21"/>
          <w:highlight w:val="none"/>
        </w:rPr>
        <w:t xml:space="preserve">10.1.投标函（格式见附件）；</w:t>
      </w:r>
      <w:r>
        <w:rPr>
          <w:rFonts w:hint="eastAsia" w:ascii="宋体" w:hAnsi="宋体" w:eastAsia="宋体" w:cs="宋体"/>
          <w:szCs w:val="21"/>
          <w:highlight w:val="none"/>
        </w:rPr>
      </w:r>
      <w:r/>
    </w:p>
    <w:p>
      <w:pPr>
        <w:pStyle w:val="927"/>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10.2.资格证明文件：</w:t>
      </w:r>
      <w:r>
        <w:rPr>
          <w:rFonts w:hint="eastAsia" w:ascii="宋体" w:hAnsi="宋体" w:eastAsia="宋体" w:cs="宋体"/>
          <w:szCs w:val="21"/>
          <w:highlight w:val="none"/>
        </w:rPr>
      </w:r>
      <w:r/>
    </w:p>
    <w:p>
      <w:pPr>
        <w:pStyle w:val="927"/>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（1）投标人《南京市政府采购供应商信用记录表暨信用承诺书》扫描件；</w:t>
      </w:r>
      <w:r>
        <w:rPr>
          <w:rFonts w:hint="eastAsia" w:ascii="宋体" w:hAnsi="宋体" w:eastAsia="宋体" w:cs="宋体"/>
          <w:szCs w:val="21"/>
          <w:highlight w:val="none"/>
        </w:rPr>
      </w:r>
      <w:r/>
    </w:p>
    <w:p>
      <w:pPr>
        <w:pStyle w:val="927"/>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（2）投标人有效经营期内的营业执照扫描件；</w:t>
      </w:r>
      <w:r>
        <w:rPr>
          <w:rFonts w:hint="eastAsia" w:ascii="宋体" w:hAnsi="宋体" w:eastAsia="宋体" w:cs="宋体"/>
          <w:szCs w:val="21"/>
          <w:highlight w:val="none"/>
        </w:rPr>
      </w:r>
      <w:r/>
    </w:p>
    <w:p>
      <w:pPr>
        <w:pStyle w:val="927"/>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（3）投标人法定代表人授权委托书扫描件（法定代表人亲自参与投标的除外，格式见附件）；</w:t>
      </w:r>
      <w:r>
        <w:rPr>
          <w:rFonts w:hint="eastAsia" w:ascii="宋体" w:hAnsi="宋体" w:eastAsia="宋体" w:cs="宋体"/>
          <w:szCs w:val="21"/>
          <w:highlight w:val="none"/>
        </w:rPr>
      </w:r>
      <w:r/>
    </w:p>
    <w:p>
      <w:pPr>
        <w:pStyle w:val="927"/>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（4）投标人法定代表人身份证（正、反面）扫描件；</w:t>
      </w:r>
      <w:r>
        <w:rPr>
          <w:rFonts w:hint="eastAsia" w:ascii="宋体" w:hAnsi="宋体" w:eastAsia="宋体" w:cs="宋体"/>
          <w:szCs w:val="21"/>
          <w:highlight w:val="none"/>
        </w:rPr>
      </w:r>
      <w:r/>
    </w:p>
    <w:p>
      <w:pPr>
        <w:pStyle w:val="927"/>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（5）投标人法定代表人授权代表身份证（正、反面）扫描件（法定代表人亲自参加投标的除外）；</w:t>
      </w:r>
      <w:bookmarkStart w:id="73" w:name="_Hlk39128912"/>
      <w:r>
        <w:rPr>
          <w:rFonts w:hint="eastAsia" w:ascii="宋体" w:hAnsi="宋体" w:eastAsia="宋体" w:cs="宋体"/>
          <w:szCs w:val="21"/>
          <w:highlight w:val="none"/>
        </w:rPr>
      </w:r>
      <w:r/>
    </w:p>
    <w:p>
      <w:pPr>
        <w:pStyle w:val="927"/>
        <w:ind w:firstLine="420"/>
        <w:spacing w:line="360" w:lineRule="auto"/>
        <w:shd w:val="clear" w:color="auto" w:fill="ffffff"/>
        <w:widowControl/>
        <w:rPr>
          <w:rFonts w:hint="eastAsia" w:ascii="宋体" w:hAnsi="宋体" w:eastAsia="宋体" w:cs="宋体"/>
          <w:szCs w:val="21"/>
          <w:highlight w:val="none"/>
        </w:rPr>
      </w:pPr>
      <w:r/>
      <w:bookmarkEnd w:id="73"/>
      <w:r>
        <w:rPr>
          <w:rFonts w:hint="eastAsia" w:ascii="宋体" w:hAnsi="宋体" w:eastAsia="宋体" w:cs="宋体"/>
          <w:szCs w:val="21"/>
          <w:highlight w:val="none"/>
        </w:rPr>
        <w:t xml:space="preserve">10.3.开标一览表（格式见附件）</w:t>
      </w:r>
      <w:r>
        <w:rPr>
          <w:rFonts w:hint="eastAsia" w:ascii="宋体" w:hAnsi="宋体" w:eastAsia="宋体" w:cs="宋体"/>
          <w:szCs w:val="21"/>
          <w:highlight w:val="none"/>
        </w:rPr>
      </w:r>
      <w:r/>
    </w:p>
    <w:p>
      <w:pPr>
        <w:pStyle w:val="927"/>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10.4.分项报价表（格式见附件）</w:t>
      </w:r>
      <w:r>
        <w:rPr>
          <w:rFonts w:hint="eastAsia" w:ascii="宋体" w:hAnsi="宋体" w:eastAsia="宋体" w:cs="宋体"/>
          <w:szCs w:val="21"/>
          <w:highlight w:val="none"/>
        </w:rPr>
      </w:r>
      <w:r/>
    </w:p>
    <w:p>
      <w:pPr>
        <w:pStyle w:val="927"/>
        <w:ind w:firstLine="420"/>
        <w:spacing w:line="360" w:lineRule="auto"/>
        <w:shd w:val="clear" w:color="auto" w:fill="ffffff"/>
        <w:widowControl/>
        <w:rPr>
          <w:rFonts w:hint="eastAsia" w:ascii="宋体" w:hAnsi="宋体" w:eastAsia="宋体" w:cs="宋体"/>
          <w:szCs w:val="21"/>
          <w:highlight w:val="none"/>
        </w:rPr>
      </w:pPr>
      <w:r/>
      <w:bookmarkEnd w:id="70"/>
      <w:r/>
      <w:bookmarkEnd w:id="71"/>
      <w:r/>
      <w:bookmarkEnd w:id="72"/>
      <w:r>
        <w:rPr>
          <w:rFonts w:hint="eastAsia" w:ascii="宋体" w:hAnsi="宋体" w:eastAsia="宋体" w:cs="宋体"/>
          <w:szCs w:val="21"/>
          <w:highlight w:val="none"/>
        </w:rPr>
        <w:t xml:space="preserve">10.5.商务响应偏离表（格式见附件）</w:t>
      </w:r>
      <w:r>
        <w:rPr>
          <w:rFonts w:hint="eastAsia" w:ascii="宋体" w:hAnsi="宋体" w:eastAsia="宋体" w:cs="宋体"/>
          <w:szCs w:val="21"/>
          <w:highlight w:val="none"/>
        </w:rPr>
      </w:r>
      <w:r/>
    </w:p>
    <w:p>
      <w:pPr>
        <w:pStyle w:val="927"/>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10.6.技术响应偏离表（格式见附件）</w:t>
      </w:r>
      <w:r>
        <w:rPr>
          <w:rFonts w:hint="eastAsia" w:ascii="宋体" w:hAnsi="宋体" w:eastAsia="宋体" w:cs="宋体"/>
          <w:szCs w:val="21"/>
          <w:highlight w:val="none"/>
        </w:rPr>
      </w:r>
      <w:r/>
    </w:p>
    <w:p>
      <w:pPr>
        <w:pStyle w:val="92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10.7.</w:t>
      </w:r>
      <w:r>
        <w:rPr>
          <w:rFonts w:hint="eastAsia" w:ascii="宋体" w:hAnsi="宋体" w:eastAsia="宋体" w:cs="宋体"/>
          <w:szCs w:val="21"/>
          <w:highlight w:val="none"/>
          <w:lang w:val="zh-CN"/>
        </w:rPr>
        <w:t xml:space="preserve">设备主要性能的</w:t>
      </w:r>
      <w:r>
        <w:rPr>
          <w:rFonts w:hint="eastAsia" w:ascii="宋体" w:hAnsi="宋体" w:eastAsia="宋体" w:cs="宋体"/>
          <w:szCs w:val="21"/>
          <w:highlight w:val="none"/>
        </w:rPr>
        <w:t xml:space="preserve">技术</w:t>
      </w:r>
      <w:r>
        <w:rPr>
          <w:rFonts w:hint="eastAsia" w:ascii="宋体" w:hAnsi="宋体" w:eastAsia="宋体" w:cs="宋体"/>
          <w:szCs w:val="21"/>
          <w:highlight w:val="none"/>
          <w:lang w:val="zh-CN"/>
        </w:rPr>
        <w:t xml:space="preserve">资料</w:t>
      </w:r>
      <w:r>
        <w:rPr>
          <w:rFonts w:hint="eastAsia" w:ascii="宋体" w:hAnsi="宋体" w:eastAsia="宋体" w:cs="宋体"/>
          <w:szCs w:val="21"/>
          <w:highlight w:val="none"/>
        </w:rPr>
        <w:t xml:space="preserve">以及</w:t>
      </w:r>
      <w:r>
        <w:rPr>
          <w:rFonts w:hint="eastAsia" w:ascii="宋体" w:hAnsi="宋体" w:eastAsia="宋体" w:cs="宋体"/>
          <w:szCs w:val="21"/>
          <w:highlight w:val="none"/>
          <w:lang w:val="zh-CN"/>
        </w:rPr>
        <w:t xml:space="preserve">供应商认为需要提供的其他技术资料</w:t>
      </w:r>
      <w:r>
        <w:rPr>
          <w:rFonts w:hint="eastAsia" w:ascii="宋体" w:hAnsi="宋体" w:eastAsia="宋体" w:cs="宋体"/>
          <w:szCs w:val="21"/>
          <w:highlight w:val="none"/>
        </w:rPr>
      </w:r>
      <w:r/>
    </w:p>
    <w:p>
      <w:pPr>
        <w:pStyle w:val="92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10.8.售后服务实施方案等</w:t>
      </w:r>
      <w:r>
        <w:rPr>
          <w:rFonts w:hint="eastAsia" w:ascii="宋体" w:hAnsi="宋体" w:eastAsia="宋体" w:cs="宋体"/>
          <w:szCs w:val="21"/>
          <w:highlight w:val="none"/>
        </w:rPr>
      </w:r>
      <w:r/>
    </w:p>
    <w:p>
      <w:pPr>
        <w:pStyle w:val="92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10.9.评分标准中对应的所需证明材料（如有自行添加）</w:t>
      </w:r>
      <w:r>
        <w:rPr>
          <w:rFonts w:hint="eastAsia" w:ascii="宋体" w:hAnsi="宋体" w:eastAsia="宋体" w:cs="宋体"/>
          <w:szCs w:val="21"/>
          <w:highlight w:val="none"/>
        </w:rPr>
      </w:r>
      <w:r/>
    </w:p>
    <w:p>
      <w:pPr>
        <w:pStyle w:val="92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10.10.要求采购人提供的配合（如有自拟并自行添加）</w:t>
      </w:r>
      <w:r>
        <w:rPr>
          <w:rFonts w:hint="eastAsia" w:ascii="宋体" w:hAnsi="宋体" w:eastAsia="宋体" w:cs="宋体"/>
          <w:szCs w:val="21"/>
          <w:highlight w:val="none"/>
        </w:rPr>
      </w:r>
      <w:r/>
    </w:p>
    <w:p>
      <w:pPr>
        <w:pStyle w:val="92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10.11.其它（投标人认为有必要提供的声明和文件，如有自拟并自行添加）</w:t>
      </w:r>
      <w:r>
        <w:rPr>
          <w:rFonts w:hint="eastAsia" w:ascii="宋体" w:hAnsi="宋体" w:eastAsia="宋体" w:cs="宋体"/>
          <w:szCs w:val="21"/>
          <w:highlight w:val="none"/>
        </w:rPr>
      </w:r>
      <w:r/>
    </w:p>
    <w:p>
      <w:pPr>
        <w:pStyle w:val="92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（1）投标供应商简介和经营情况说明；（格式见附件）</w:t>
      </w:r>
      <w:r>
        <w:rPr>
          <w:rFonts w:hint="eastAsia" w:ascii="宋体" w:hAnsi="宋体" w:eastAsia="宋体" w:cs="宋体"/>
          <w:szCs w:val="21"/>
          <w:highlight w:val="none"/>
        </w:rPr>
      </w:r>
      <w:r/>
    </w:p>
    <w:p>
      <w:pPr>
        <w:pStyle w:val="92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（2）如是小微企业的，提供《中小企业声明函》；（格式见附件）</w:t>
      </w:r>
      <w:r>
        <w:rPr>
          <w:rFonts w:hint="eastAsia" w:ascii="宋体" w:hAnsi="宋体" w:eastAsia="宋体" w:cs="宋体"/>
          <w:szCs w:val="21"/>
          <w:highlight w:val="none"/>
        </w:rPr>
      </w:r>
      <w:r/>
    </w:p>
    <w:p>
      <w:pPr>
        <w:pStyle w:val="92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（3）残疾人福利性单位声明函；（供应商为残疾人福利性单位的提供，格式见附件）</w:t>
      </w:r>
      <w:r>
        <w:rPr>
          <w:rFonts w:hint="eastAsia" w:ascii="宋体" w:hAnsi="宋体" w:eastAsia="宋体" w:cs="宋体"/>
          <w:szCs w:val="21"/>
          <w:highlight w:val="none"/>
        </w:rPr>
      </w:r>
      <w:r/>
    </w:p>
    <w:p>
      <w:pPr>
        <w:pStyle w:val="92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（4）由省级以上监狱管理局、戒毒管理局出具的属于监狱企业的证明文件；（如适用）</w:t>
      </w:r>
      <w:r>
        <w:rPr>
          <w:rFonts w:hint="eastAsia" w:ascii="宋体" w:hAnsi="宋体" w:eastAsia="宋体" w:cs="宋体"/>
          <w:szCs w:val="21"/>
          <w:highlight w:val="none"/>
        </w:rPr>
      </w:r>
      <w:r/>
    </w:p>
    <w:p>
      <w:pPr>
        <w:pStyle w:val="92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r>
        <w:rPr>
          <w:rFonts w:hint="eastAsia" w:ascii="宋体" w:hAnsi="宋体" w:eastAsia="宋体" w:cs="宋体"/>
          <w:szCs w:val="21"/>
          <w:highlight w:val="none"/>
        </w:rPr>
      </w:r>
      <w:r/>
    </w:p>
    <w:p>
      <w:pPr>
        <w:pStyle w:val="927"/>
        <w:ind w:firstLine="420"/>
        <w:spacing w:line="360" w:lineRule="auto"/>
        <w:rPr>
          <w:rFonts w:hint="eastAsia" w:ascii="宋体" w:hAnsi="宋体" w:eastAsia="宋体" w:cs="宋体"/>
          <w:color w:val="000000"/>
          <w:szCs w:val="21"/>
          <w:highlight w:val="none"/>
        </w:rPr>
      </w:pPr>
      <w:r>
        <w:rPr>
          <w:rFonts w:hint="eastAsia" w:ascii="宋体" w:hAnsi="宋体" w:eastAsia="宋体" w:cs="宋体"/>
          <w:b/>
          <w:bCs/>
          <w:i/>
          <w:iCs/>
          <w:szCs w:val="21"/>
          <w:highlight w:val="none"/>
          <w:u w:val="single"/>
        </w:rPr>
        <w:t xml:space="preserve">上述10.1-10.6项必须全部提供,否则投标文件无效。</w:t>
      </w:r>
      <w:r>
        <w:rPr>
          <w:rFonts w:hint="eastAsia" w:ascii="宋体" w:hAnsi="宋体" w:eastAsia="宋体" w:cs="宋体"/>
          <w:szCs w:val="21"/>
          <w:highlight w:val="none"/>
        </w:rPr>
        <w:t xml:space="preserve">投标人法定代表人或法定代表人授权代表为外籍、港、澳、台地区人士的，其身份证明须提供有效的护照或港澳同胞来往内地通行证、台湾同胞来往大陆通行证，或其它可在中国大陆有效居留的许可证明。投标人所提交的证明文件的完整与否，将直接影响其响应文件的审核和评分结果。</w:t>
      </w:r>
      <w:r>
        <w:rPr>
          <w:rFonts w:hint="eastAsia" w:ascii="宋体" w:hAnsi="宋体" w:eastAsia="宋体" w:cs="宋体"/>
          <w:color w:val="000000"/>
          <w:szCs w:val="21"/>
          <w:highlight w:val="none"/>
        </w:rPr>
      </w:r>
      <w:r/>
    </w:p>
    <w:p>
      <w:pPr>
        <w:pStyle w:val="927"/>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其他部分由供应商根据编制投标文件需要提供的其他相关文件。</w:t>
      </w:r>
      <w:r>
        <w:rPr>
          <w:rFonts w:hint="eastAsia" w:ascii="宋体" w:hAnsi="宋体" w:eastAsia="宋体" w:cs="宋体"/>
          <w:szCs w:val="21"/>
          <w:highlight w:val="none"/>
        </w:rPr>
      </w:r>
      <w:r/>
    </w:p>
    <w:p>
      <w:pPr>
        <w:pStyle w:val="927"/>
        <w:ind w:firstLine="420"/>
        <w:spacing w:line="360" w:lineRule="auto"/>
        <w:shd w:val="clear" w:color="auto" w:fill="ffffff"/>
        <w:widowControl/>
        <w:rPr>
          <w:rFonts w:hint="eastAsia" w:ascii="宋体" w:hAnsi="宋体" w:eastAsia="宋体" w:cs="宋体"/>
          <w:b/>
          <w:bCs/>
          <w:color w:val="000000"/>
          <w:sz w:val="21"/>
          <w:szCs w:val="21"/>
          <w:highlight w:val="none"/>
        </w:rPr>
      </w:pPr>
      <w:r/>
      <w:bookmarkStart w:id="74" w:name="_Toc31206"/>
      <w:r/>
      <w:bookmarkStart w:id="75" w:name="_Toc15215"/>
      <w:r>
        <w:rPr>
          <w:rFonts w:hint="eastAsia" w:ascii="宋体" w:hAnsi="宋体" w:eastAsia="宋体" w:cs="宋体"/>
          <w:b/>
          <w:bCs/>
          <w:color w:val="000000"/>
          <w:sz w:val="21"/>
          <w:szCs w:val="21"/>
          <w:highlight w:val="none"/>
        </w:rPr>
        <w:t xml:space="preserve">11.投标文件的有效期</w:t>
      </w:r>
      <w:bookmarkEnd w:id="74"/>
      <w:r/>
      <w:bookmarkEnd w:id="75"/>
      <w:r>
        <w:rPr>
          <w:rFonts w:hint="eastAsia" w:ascii="宋体" w:hAnsi="宋体" w:eastAsia="宋体" w:cs="宋体"/>
          <w:b/>
          <w:bCs/>
          <w:color w:val="000000"/>
          <w:sz w:val="21"/>
          <w:szCs w:val="21"/>
          <w:highlight w:val="none"/>
        </w:rPr>
      </w:r>
      <w:r/>
    </w:p>
    <w:p>
      <w:pPr>
        <w:pStyle w:val="927"/>
        <w:ind w:firstLine="420"/>
        <w:jc w:val="left"/>
        <w:spacing w:line="360" w:lineRule="auto"/>
        <w:rPr>
          <w:rFonts w:hint="eastAsia" w:ascii="宋体" w:hAnsi="宋体" w:eastAsia="宋体" w:cs="宋体"/>
          <w:bCs/>
          <w:szCs w:val="21"/>
          <w:highlight w:val="none"/>
        </w:rPr>
      </w:pPr>
      <w:r/>
      <w:bookmarkStart w:id="76" w:name="_Toc6811"/>
      <w:r>
        <w:rPr>
          <w:rFonts w:hint="eastAsia" w:ascii="宋体" w:hAnsi="宋体" w:eastAsia="宋体" w:cs="宋体"/>
          <w:bCs/>
          <w:szCs w:val="21"/>
          <w:highlight w:val="none"/>
        </w:rPr>
        <w:t xml:space="preserve">11.1自开标之日起90天内，投标文件应保持有效，有效期短于此规定的投标文件将视为无效。</w:t>
      </w:r>
      <w:r>
        <w:rPr>
          <w:rFonts w:hint="eastAsia" w:ascii="宋体" w:hAnsi="宋体" w:eastAsia="宋体" w:cs="宋体"/>
          <w:bCs/>
          <w:szCs w:val="21"/>
          <w:highlight w:val="none"/>
        </w:rPr>
      </w:r>
      <w:r/>
    </w:p>
    <w:p>
      <w:pPr>
        <w:pStyle w:val="927"/>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11.2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r>
        <w:rPr>
          <w:rFonts w:hint="eastAsia" w:ascii="宋体" w:hAnsi="宋体" w:eastAsia="宋体" w:cs="宋体"/>
          <w:bCs/>
          <w:szCs w:val="21"/>
          <w:highlight w:val="none"/>
        </w:rPr>
      </w:r>
      <w:r/>
    </w:p>
    <w:p>
      <w:pPr>
        <w:pStyle w:val="927"/>
        <w:ind w:firstLine="420"/>
        <w:spacing w:line="360" w:lineRule="auto"/>
        <w:shd w:val="clear" w:color="auto" w:fill="ffffff"/>
        <w:widowControl/>
        <w:rPr>
          <w:rFonts w:hint="eastAsia" w:ascii="宋体" w:hAnsi="宋体" w:eastAsia="宋体" w:cs="宋体"/>
          <w:b/>
          <w:bCs/>
          <w:color w:val="000000"/>
          <w:sz w:val="21"/>
          <w:szCs w:val="21"/>
          <w:highlight w:val="none"/>
        </w:rPr>
      </w:pPr>
      <w:r/>
      <w:bookmarkStart w:id="77" w:name="_Toc21944"/>
      <w:r>
        <w:rPr>
          <w:rFonts w:hint="eastAsia" w:ascii="宋体" w:hAnsi="宋体" w:eastAsia="宋体" w:cs="宋体"/>
          <w:b/>
          <w:bCs/>
          <w:color w:val="000000"/>
          <w:sz w:val="21"/>
          <w:szCs w:val="21"/>
          <w:highlight w:val="none"/>
        </w:rPr>
        <w:t xml:space="preserve">12.</w:t>
      </w:r>
      <w:bookmarkEnd w:id="76"/>
      <w:r/>
      <w:bookmarkEnd w:id="77"/>
      <w:r>
        <w:rPr>
          <w:rFonts w:hint="eastAsia" w:ascii="宋体" w:hAnsi="宋体" w:eastAsia="宋体" w:cs="宋体"/>
          <w:b/>
          <w:bCs/>
          <w:color w:val="000000"/>
          <w:sz w:val="21"/>
          <w:szCs w:val="21"/>
          <w:highlight w:val="none"/>
        </w:rPr>
        <w:t xml:space="preserve">投标文件的编制要求和签署要求</w:t>
      </w:r>
      <w:r>
        <w:rPr>
          <w:rFonts w:hint="eastAsia" w:ascii="宋体" w:hAnsi="宋体" w:eastAsia="宋体" w:cs="宋体"/>
          <w:b/>
          <w:bCs/>
          <w:color w:val="000000"/>
          <w:sz w:val="21"/>
          <w:szCs w:val="21"/>
          <w:highlight w:val="none"/>
        </w:rPr>
      </w:r>
      <w:r/>
    </w:p>
    <w:p>
      <w:pPr>
        <w:pStyle w:val="927"/>
        <w:ind w:firstLine="420"/>
        <w:spacing w:line="360" w:lineRule="auto"/>
        <w:rPr>
          <w:rFonts w:hint="eastAsia" w:ascii="宋体" w:hAnsi="宋体" w:eastAsia="宋体" w:cs="宋体"/>
          <w:bCs/>
          <w:szCs w:val="21"/>
          <w:highlight w:val="none"/>
        </w:rPr>
      </w:pPr>
      <w:r/>
      <w:bookmarkStart w:id="78" w:name="_Toc27455"/>
      <w:r>
        <w:rPr>
          <w:rFonts w:hint="eastAsia" w:ascii="宋体" w:hAnsi="宋体" w:eastAsia="宋体" w:cs="宋体"/>
          <w:bCs/>
          <w:szCs w:val="21"/>
          <w:highlight w:val="none"/>
        </w:rPr>
        <w:t xml:space="preserve">12.1投标人应由其法定代表人或法定代表人授权代表在规定的网上投标时间，凭 CA 证书登陆“苏采云”系统在线编制投标文件（电子数据），并在投标截止时间之前上传投标文件。</w:t>
      </w:r>
      <w:r>
        <w:rPr>
          <w:rFonts w:hint="eastAsia" w:ascii="宋体" w:hAnsi="宋体" w:eastAsia="宋体" w:cs="宋体"/>
          <w:bCs/>
          <w:szCs w:val="21"/>
          <w:highlight w:val="none"/>
        </w:rPr>
      </w:r>
      <w:r/>
    </w:p>
    <w:p>
      <w:pPr>
        <w:pStyle w:val="927"/>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12.2投标人应对 CA 证书妥善保管，如被他人盗用投标，因此带来的结果均由投标人自行承担。</w:t>
      </w:r>
      <w:r>
        <w:rPr>
          <w:rFonts w:hint="eastAsia" w:ascii="宋体" w:hAnsi="宋体" w:eastAsia="宋体" w:cs="宋体"/>
          <w:bCs/>
          <w:szCs w:val="21"/>
          <w:highlight w:val="none"/>
        </w:rPr>
      </w:r>
      <w:r/>
    </w:p>
    <w:p>
      <w:pPr>
        <w:pStyle w:val="927"/>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12.3投标人应当对招标文件提出的要求和条件作出实质性响应，并在电子投标系统逐条应答。</w:t>
      </w:r>
      <w:r>
        <w:rPr>
          <w:rFonts w:hint="eastAsia" w:ascii="宋体" w:hAnsi="宋体" w:eastAsia="宋体" w:cs="宋体"/>
          <w:bCs/>
          <w:szCs w:val="21"/>
          <w:highlight w:val="none"/>
        </w:rPr>
      </w:r>
      <w:r/>
    </w:p>
    <w:p>
      <w:pPr>
        <w:pStyle w:val="927"/>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12.4投标人应对要求提供的资格证明文件（如资质证书、资格证书）、技术资料（如白皮书、彩页、手册、检测报告等）扫描上传至投标系统。</w:t>
      </w:r>
      <w:r>
        <w:rPr>
          <w:rFonts w:hint="eastAsia" w:ascii="宋体" w:hAnsi="宋体" w:eastAsia="宋体" w:cs="宋体"/>
          <w:bCs/>
          <w:szCs w:val="21"/>
          <w:highlight w:val="none"/>
        </w:rPr>
      </w:r>
      <w:r/>
    </w:p>
    <w:p>
      <w:pPr>
        <w:pStyle w:val="927"/>
        <w:ind w:firstLine="420"/>
        <w:spacing w:line="360" w:lineRule="auto"/>
        <w:shd w:val="clear" w:color="auto" w:fill="ffffff"/>
        <w:widowControl/>
        <w:rPr>
          <w:rFonts w:hint="eastAsia" w:ascii="宋体" w:hAnsi="宋体" w:eastAsia="宋体" w:cs="宋体"/>
          <w:b/>
          <w:bCs/>
          <w:color w:val="000000"/>
          <w:szCs w:val="21"/>
          <w:highlight w:val="none"/>
        </w:rPr>
        <w:outlineLvl w:val="1"/>
      </w:pPr>
      <w:r/>
      <w:bookmarkStart w:id="79" w:name="_Toc9506"/>
      <w:r>
        <w:rPr>
          <w:rFonts w:hint="eastAsia" w:ascii="宋体" w:hAnsi="宋体" w:eastAsia="宋体" w:cs="宋体"/>
          <w:b/>
          <w:bCs/>
          <w:color w:val="000000"/>
          <w:szCs w:val="21"/>
          <w:highlight w:val="none"/>
        </w:rPr>
        <w:t xml:space="preserve">四、投标文件的递交</w:t>
      </w:r>
      <w:bookmarkEnd w:id="78"/>
      <w:r/>
      <w:bookmarkEnd w:id="79"/>
      <w:r>
        <w:rPr>
          <w:rFonts w:hint="eastAsia" w:ascii="宋体" w:hAnsi="宋体" w:eastAsia="宋体" w:cs="宋体"/>
          <w:b/>
          <w:bCs/>
          <w:color w:val="000000"/>
          <w:szCs w:val="21"/>
          <w:highlight w:val="none"/>
        </w:rPr>
        <w:t xml:space="preserve"> </w:t>
      </w:r>
      <w:r>
        <w:rPr>
          <w:rFonts w:hint="eastAsia" w:ascii="宋体" w:hAnsi="宋体" w:eastAsia="宋体" w:cs="宋体"/>
          <w:b/>
          <w:bCs/>
          <w:color w:val="000000"/>
          <w:szCs w:val="21"/>
          <w:highlight w:val="none"/>
        </w:rPr>
      </w:r>
      <w:r/>
    </w:p>
    <w:p>
      <w:pPr>
        <w:pStyle w:val="927"/>
        <w:ind w:firstLine="420"/>
        <w:spacing w:line="360" w:lineRule="auto"/>
        <w:shd w:val="clear" w:color="auto" w:fill="ffffff"/>
        <w:widowControl/>
        <w:rPr>
          <w:rFonts w:hint="eastAsia" w:ascii="宋体" w:hAnsi="宋体" w:eastAsia="宋体" w:cs="宋体"/>
          <w:b/>
          <w:bCs/>
          <w:color w:val="000000"/>
          <w:szCs w:val="21"/>
          <w:highlight w:val="none"/>
        </w:rPr>
      </w:pPr>
      <w:r/>
      <w:bookmarkStart w:id="80" w:name="_Toc20823297"/>
      <w:r/>
      <w:bookmarkStart w:id="81" w:name="_Toc513029225"/>
      <w:r/>
      <w:bookmarkStart w:id="82" w:name="_Toc16938541"/>
      <w:r/>
      <w:bookmarkStart w:id="83" w:name="_Toc462564084"/>
      <w:r>
        <w:rPr>
          <w:rFonts w:hint="eastAsia" w:ascii="宋体" w:hAnsi="宋体" w:eastAsia="宋体" w:cs="宋体"/>
          <w:b/>
          <w:bCs/>
          <w:color w:val="000000"/>
          <w:szCs w:val="21"/>
          <w:highlight w:val="none"/>
        </w:rPr>
        <w:t xml:space="preserve">13.电子投标文件</w:t>
      </w:r>
      <w:bookmarkEnd w:id="80"/>
      <w:r/>
      <w:bookmarkEnd w:id="81"/>
      <w:r/>
      <w:bookmarkEnd w:id="82"/>
      <w:r/>
      <w:bookmarkEnd w:id="83"/>
      <w:r>
        <w:rPr>
          <w:rFonts w:hint="eastAsia" w:ascii="宋体" w:hAnsi="宋体" w:eastAsia="宋体" w:cs="宋体"/>
          <w:b/>
          <w:bCs/>
          <w:color w:val="000000"/>
          <w:szCs w:val="21"/>
          <w:highlight w:val="none"/>
        </w:rPr>
        <w:t xml:space="preserve">的递交</w:t>
      </w:r>
      <w:r>
        <w:rPr>
          <w:rFonts w:hint="eastAsia" w:ascii="宋体" w:hAnsi="宋体" w:eastAsia="宋体" w:cs="宋体"/>
          <w:b/>
          <w:bCs/>
          <w:color w:val="000000"/>
          <w:szCs w:val="21"/>
          <w:highlight w:val="none"/>
        </w:rPr>
      </w:r>
      <w:r/>
    </w:p>
    <w:p>
      <w:pPr>
        <w:pStyle w:val="9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13.1投标人应当按照规定，在投标截止时间前制作并上传电子投标文件。</w:t>
      </w:r>
      <w:bookmarkStart w:id="84" w:name="_Toc20823298"/>
      <w:r/>
      <w:bookmarkEnd w:id="84"/>
      <w:r/>
      <w:bookmarkStart w:id="85" w:name="_Toc16938542"/>
      <w:r/>
      <w:bookmarkEnd w:id="85"/>
      <w:r>
        <w:rPr>
          <w:rFonts w:hint="eastAsia" w:ascii="宋体" w:hAnsi="宋体" w:eastAsia="宋体" w:cs="宋体"/>
          <w:color w:val="000000"/>
          <w:szCs w:val="21"/>
          <w:highlight w:val="none"/>
        </w:rPr>
      </w:r>
      <w:r/>
    </w:p>
    <w:p>
      <w:pPr>
        <w:pStyle w:val="927"/>
        <w:ind w:firstLine="420"/>
        <w:spacing w:line="360" w:lineRule="auto"/>
        <w:shd w:val="clear" w:color="auto" w:fill="ffffff"/>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14.投标截止日期</w:t>
      </w:r>
      <w:r>
        <w:rPr>
          <w:rFonts w:hint="eastAsia" w:ascii="宋体" w:hAnsi="宋体" w:eastAsia="宋体" w:cs="宋体"/>
          <w:b/>
          <w:bCs/>
          <w:color w:val="000000"/>
          <w:szCs w:val="21"/>
          <w:highlight w:val="none"/>
        </w:rPr>
      </w:r>
      <w:r/>
    </w:p>
    <w:p>
      <w:pPr>
        <w:pStyle w:val="9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14.1 投标人上传电子投标文件的时间不得迟于招标公告中规定的投标截止时间。</w:t>
      </w:r>
      <w:r>
        <w:rPr>
          <w:rFonts w:hint="eastAsia" w:ascii="宋体" w:hAnsi="宋体" w:eastAsia="宋体" w:cs="宋体"/>
          <w:color w:val="000000"/>
          <w:szCs w:val="21"/>
          <w:highlight w:val="none"/>
        </w:rPr>
      </w:r>
      <w:r/>
    </w:p>
    <w:p>
      <w:pPr>
        <w:pStyle w:val="9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投标人应充分考虑到网络环境、网络带宽等风险因素，如因投标人自身原因造成的电子投标文件上传不成功的做无效投标处理。</w:t>
      </w:r>
      <w:r>
        <w:rPr>
          <w:rFonts w:hint="eastAsia" w:ascii="宋体" w:hAnsi="宋体" w:eastAsia="宋体" w:cs="宋体"/>
          <w:color w:val="000000"/>
          <w:szCs w:val="21"/>
          <w:highlight w:val="none"/>
        </w:rPr>
      </w:r>
      <w:r/>
    </w:p>
    <w:p>
      <w:pPr>
        <w:pStyle w:val="9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14.2 采购人及采购代理机构可以按照规定，通过修改招标文件酌情延长投标截止日期，在此情况下，投标人的所有权利和义务以及投标人受制的截止日期均应以延长后新的截止日期为准。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color w:val="000000"/>
          <w:szCs w:val="21"/>
          <w:highlight w:val="none"/>
        </w:rPr>
      </w:r>
      <w:r/>
    </w:p>
    <w:p>
      <w:pPr>
        <w:pStyle w:val="927"/>
        <w:ind w:firstLine="420"/>
        <w:spacing w:line="360" w:lineRule="auto"/>
        <w:shd w:val="clear" w:color="auto" w:fill="ffffff"/>
        <w:widowControl/>
        <w:rPr>
          <w:rFonts w:hint="eastAsia" w:ascii="宋体" w:hAnsi="宋体" w:eastAsia="宋体" w:cs="宋体"/>
          <w:b/>
          <w:bCs/>
          <w:color w:val="000000"/>
          <w:szCs w:val="21"/>
          <w:highlight w:val="none"/>
        </w:rPr>
      </w:pPr>
      <w:r/>
      <w:bookmarkStart w:id="86" w:name="_Toc20823299"/>
      <w:r/>
      <w:bookmarkStart w:id="87" w:name="_Toc513029227"/>
      <w:r/>
      <w:bookmarkStart w:id="88" w:name="_Toc16938543"/>
      <w:r>
        <w:rPr>
          <w:rFonts w:hint="eastAsia" w:ascii="宋体" w:hAnsi="宋体" w:eastAsia="宋体" w:cs="宋体"/>
          <w:b/>
          <w:bCs/>
          <w:color w:val="000000"/>
          <w:szCs w:val="21"/>
          <w:highlight w:val="none"/>
        </w:rPr>
        <w:t xml:space="preserve">15.投标文件</w:t>
      </w:r>
      <w:bookmarkEnd w:id="86"/>
      <w:r/>
      <w:bookmarkEnd w:id="87"/>
      <w:r/>
      <w:bookmarkEnd w:id="88"/>
      <w:r>
        <w:rPr>
          <w:rFonts w:hint="eastAsia" w:ascii="宋体" w:hAnsi="宋体" w:eastAsia="宋体" w:cs="宋体"/>
          <w:b/>
          <w:bCs/>
          <w:color w:val="000000"/>
          <w:szCs w:val="21"/>
          <w:highlight w:val="none"/>
        </w:rPr>
        <w:t xml:space="preserve">的拒收</w:t>
      </w:r>
      <w:r>
        <w:rPr>
          <w:rFonts w:hint="eastAsia" w:ascii="宋体" w:hAnsi="宋体" w:eastAsia="宋体" w:cs="宋体"/>
          <w:b/>
          <w:bCs/>
          <w:color w:val="000000"/>
          <w:szCs w:val="21"/>
          <w:highlight w:val="none"/>
        </w:rPr>
      </w:r>
      <w:r/>
    </w:p>
    <w:p>
      <w:pPr>
        <w:pStyle w:val="9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15.1 采购人及采购代理机构拒绝接收在其规定的投标截止时间后上传的任何投标文件。</w:t>
      </w:r>
      <w:r>
        <w:rPr>
          <w:rFonts w:hint="eastAsia" w:ascii="宋体" w:hAnsi="宋体" w:eastAsia="宋体" w:cs="宋体"/>
          <w:color w:val="000000"/>
          <w:szCs w:val="21"/>
          <w:highlight w:val="none"/>
        </w:rPr>
      </w:r>
      <w:r/>
    </w:p>
    <w:p>
      <w:pPr>
        <w:pStyle w:val="927"/>
        <w:ind w:firstLine="420"/>
        <w:spacing w:line="360" w:lineRule="auto"/>
        <w:shd w:val="clear" w:color="auto" w:fill="ffffff"/>
        <w:widowControl/>
        <w:rPr>
          <w:rFonts w:hint="eastAsia" w:ascii="宋体" w:hAnsi="宋体" w:eastAsia="宋体" w:cs="宋体"/>
          <w:b/>
          <w:bCs/>
          <w:color w:val="000000"/>
          <w:szCs w:val="21"/>
          <w:highlight w:val="none"/>
        </w:rPr>
      </w:pPr>
      <w:r/>
      <w:bookmarkStart w:id="89" w:name="_Toc16938544"/>
      <w:r/>
      <w:bookmarkStart w:id="90" w:name="_Toc20823300"/>
      <w:r/>
      <w:bookmarkStart w:id="91" w:name="_Toc513029228"/>
      <w:r>
        <w:rPr>
          <w:rFonts w:hint="eastAsia" w:ascii="宋体" w:hAnsi="宋体" w:eastAsia="宋体" w:cs="宋体"/>
          <w:b/>
          <w:bCs/>
          <w:color w:val="000000"/>
          <w:szCs w:val="21"/>
          <w:highlight w:val="none"/>
        </w:rPr>
        <w:t xml:space="preserve">16.投标文件的撤回和修改</w:t>
      </w:r>
      <w:bookmarkEnd w:id="89"/>
      <w:r/>
      <w:bookmarkEnd w:id="90"/>
      <w:r/>
      <w:bookmarkEnd w:id="91"/>
      <w:r>
        <w:rPr>
          <w:rFonts w:hint="eastAsia" w:ascii="宋体" w:hAnsi="宋体" w:eastAsia="宋体" w:cs="宋体"/>
          <w:b/>
          <w:bCs/>
          <w:color w:val="000000"/>
          <w:szCs w:val="21"/>
          <w:highlight w:val="none"/>
        </w:rPr>
      </w:r>
      <w:r/>
    </w:p>
    <w:p>
      <w:pPr>
        <w:pStyle w:val="9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16.1 投标文件的撤回</w:t>
      </w:r>
      <w:r>
        <w:rPr>
          <w:rFonts w:hint="eastAsia" w:ascii="宋体" w:hAnsi="宋体" w:eastAsia="宋体" w:cs="宋体"/>
          <w:color w:val="000000"/>
          <w:szCs w:val="21"/>
          <w:highlight w:val="none"/>
        </w:rPr>
      </w:r>
      <w:r/>
    </w:p>
    <w:p>
      <w:pPr>
        <w:pStyle w:val="9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16.1.1 电子投标文件的撤回</w:t>
      </w:r>
      <w:r>
        <w:rPr>
          <w:rFonts w:hint="eastAsia" w:ascii="宋体" w:hAnsi="宋体" w:eastAsia="宋体" w:cs="宋体"/>
          <w:color w:val="000000"/>
          <w:szCs w:val="21"/>
          <w:highlight w:val="none"/>
        </w:rPr>
      </w:r>
      <w:r/>
    </w:p>
    <w:p>
      <w:pPr>
        <w:pStyle w:val="9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投标人可在投标截止时间前，撤回其电子投标文件。</w:t>
      </w:r>
      <w:r>
        <w:rPr>
          <w:rFonts w:hint="eastAsia" w:ascii="宋体" w:hAnsi="宋体" w:eastAsia="宋体" w:cs="宋体"/>
          <w:color w:val="000000"/>
          <w:szCs w:val="21"/>
          <w:highlight w:val="none"/>
        </w:rPr>
      </w:r>
      <w:r/>
    </w:p>
    <w:p>
      <w:pPr>
        <w:pStyle w:val="9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16.1.2 投标人撤回电子投标文件，则认为其不再参与本项目投标活动。</w:t>
      </w:r>
      <w:r>
        <w:rPr>
          <w:rFonts w:hint="eastAsia" w:ascii="宋体" w:hAnsi="宋体" w:eastAsia="宋体" w:cs="宋体"/>
          <w:color w:val="000000"/>
          <w:szCs w:val="21"/>
          <w:highlight w:val="none"/>
        </w:rPr>
      </w:r>
      <w:r/>
    </w:p>
    <w:p>
      <w:pPr>
        <w:pStyle w:val="9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16.2 投标文件的修改</w:t>
      </w:r>
      <w:r>
        <w:rPr>
          <w:rFonts w:hint="eastAsia" w:ascii="宋体" w:hAnsi="宋体" w:eastAsia="宋体" w:cs="宋体"/>
          <w:color w:val="000000"/>
          <w:szCs w:val="21"/>
          <w:highlight w:val="none"/>
        </w:rPr>
      </w:r>
      <w:r/>
    </w:p>
    <w:p>
      <w:pPr>
        <w:pStyle w:val="9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16.2.1投标人可在投标截止时间前，对其电子投标文件进行修改。</w:t>
      </w:r>
      <w:r>
        <w:rPr>
          <w:rFonts w:hint="eastAsia" w:ascii="宋体" w:hAnsi="宋体" w:eastAsia="宋体" w:cs="宋体"/>
          <w:color w:val="000000"/>
          <w:szCs w:val="21"/>
          <w:highlight w:val="none"/>
        </w:rPr>
      </w:r>
      <w:r/>
    </w:p>
    <w:p>
      <w:pPr>
        <w:pStyle w:val="9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16.2.2 在投标截止时间之后，投标人不得对其电子投标文件作任何修改。</w:t>
      </w:r>
      <w:r>
        <w:rPr>
          <w:rFonts w:hint="eastAsia" w:ascii="宋体" w:hAnsi="宋体" w:eastAsia="宋体" w:cs="宋体"/>
          <w:color w:val="000000"/>
          <w:szCs w:val="21"/>
          <w:highlight w:val="none"/>
        </w:rPr>
      </w:r>
      <w:r/>
    </w:p>
    <w:p>
      <w:pPr>
        <w:pStyle w:val="927"/>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16.3 在投标截止时间至招标文件中规定的投标有效期满之间的这段时间内，投标人不得撤回其投标。</w:t>
      </w:r>
      <w:r>
        <w:rPr>
          <w:rFonts w:hint="eastAsia" w:ascii="宋体" w:hAnsi="宋体" w:eastAsia="宋体" w:cs="宋体"/>
          <w:color w:val="000000"/>
          <w:szCs w:val="21"/>
          <w:highlight w:val="none"/>
        </w:rPr>
      </w:r>
      <w:r/>
    </w:p>
    <w:p>
      <w:pPr>
        <w:pStyle w:val="927"/>
        <w:ind w:firstLine="420"/>
        <w:spacing w:line="360" w:lineRule="auto"/>
        <w:shd w:val="clear" w:color="auto" w:fill="ffffff"/>
        <w:widowControl/>
        <w:rPr>
          <w:rFonts w:hint="eastAsia" w:ascii="宋体" w:hAnsi="宋体" w:eastAsia="宋体" w:cs="宋体"/>
          <w:b/>
          <w:bCs/>
          <w:color w:val="000000"/>
          <w:szCs w:val="21"/>
          <w:highlight w:val="none"/>
        </w:rPr>
        <w:outlineLvl w:val="1"/>
      </w:pPr>
      <w:r>
        <w:rPr>
          <w:rFonts w:hint="eastAsia" w:ascii="宋体" w:hAnsi="宋体" w:eastAsia="宋体" w:cs="宋体"/>
          <w:b/>
          <w:bCs/>
          <w:color w:val="000000"/>
          <w:szCs w:val="21"/>
          <w:highlight w:val="none"/>
        </w:rPr>
        <w:t xml:space="preserve">五、开标与评标</w:t>
      </w:r>
      <w:r>
        <w:rPr>
          <w:rFonts w:hint="eastAsia" w:ascii="宋体" w:hAnsi="宋体" w:eastAsia="宋体" w:cs="宋体"/>
          <w:b/>
          <w:bCs/>
          <w:color w:val="000000"/>
          <w:szCs w:val="21"/>
          <w:highlight w:val="none"/>
        </w:rPr>
      </w:r>
      <w:r/>
    </w:p>
    <w:p>
      <w:pPr>
        <w:pStyle w:val="927"/>
        <w:ind w:firstLine="420"/>
        <w:spacing w:line="360" w:lineRule="auto"/>
        <w:shd w:val="clear" w:color="auto" w:fill="ffffff"/>
        <w:widowControl/>
        <w:rPr>
          <w:rFonts w:hint="eastAsia" w:ascii="宋体" w:hAnsi="宋体" w:eastAsia="宋体" w:cs="宋体"/>
          <w:b/>
          <w:bCs/>
          <w:color w:val="000000"/>
          <w:sz w:val="21"/>
          <w:szCs w:val="21"/>
          <w:highlight w:val="none"/>
        </w:rPr>
      </w:pPr>
      <w:r/>
      <w:bookmarkStart w:id="92" w:name="_Toc20683"/>
      <w:r/>
      <w:bookmarkStart w:id="93" w:name="_Toc13829"/>
      <w:r/>
      <w:bookmarkStart w:id="94" w:name="_Toc15345"/>
      <w:r/>
      <w:bookmarkStart w:id="95" w:name="_Toc3679"/>
      <w:r/>
      <w:bookmarkStart w:id="96" w:name="OLE_LINK7"/>
      <w:r/>
      <w:bookmarkStart w:id="97" w:name="OLE_LINK3"/>
      <w:r/>
      <w:bookmarkStart w:id="98" w:name="_Toc6944"/>
      <w:r>
        <w:rPr>
          <w:rFonts w:hint="eastAsia" w:ascii="宋体" w:hAnsi="宋体" w:eastAsia="宋体" w:cs="宋体"/>
          <w:b/>
          <w:bCs/>
          <w:color w:val="000000"/>
          <w:sz w:val="21"/>
          <w:szCs w:val="21"/>
          <w:highlight w:val="none"/>
        </w:rPr>
        <w:t xml:space="preserve">17.开标</w:t>
      </w:r>
      <w:bookmarkEnd w:id="92"/>
      <w:r/>
      <w:bookmarkEnd w:id="93"/>
      <w:r/>
      <w:bookmarkEnd w:id="94"/>
      <w:r/>
      <w:bookmarkEnd w:id="95"/>
      <w:r>
        <w:rPr>
          <w:rFonts w:hint="eastAsia" w:ascii="宋体" w:hAnsi="宋体" w:eastAsia="宋体" w:cs="宋体"/>
          <w:b/>
          <w:bCs/>
          <w:color w:val="000000"/>
          <w:sz w:val="21"/>
          <w:szCs w:val="21"/>
          <w:highlight w:val="none"/>
        </w:rPr>
      </w:r>
      <w:r/>
    </w:p>
    <w:p>
      <w:pPr>
        <w:pStyle w:val="927"/>
        <w:ind w:firstLine="422"/>
        <w:spacing w:line="360" w:lineRule="auto"/>
        <w:rPr>
          <w:rFonts w:hint="eastAsia" w:ascii="宋体" w:hAnsi="宋体" w:eastAsia="宋体" w:cs="宋体"/>
          <w:szCs w:val="21"/>
          <w:highlight w:val="none"/>
        </w:rPr>
      </w:pPr>
      <w:r/>
      <w:bookmarkEnd w:id="96"/>
      <w:r/>
      <w:bookmarkEnd w:id="97"/>
      <w:r>
        <w:rPr>
          <w:rFonts w:hint="eastAsia" w:ascii="宋体" w:hAnsi="宋体" w:eastAsia="宋体" w:cs="宋体"/>
          <w:szCs w:val="21"/>
          <w:highlight w:val="none"/>
        </w:rPr>
        <w:t xml:space="preserve">17.1开标时间及地点。开标应当在招标文件确定的提交投标文件截止时间的同一时间公开进行；开标地点应当为招标文件中预先确定的地点。</w:t>
      </w:r>
      <w:r>
        <w:rPr>
          <w:rFonts w:hint="eastAsia" w:ascii="宋体" w:hAnsi="宋体" w:eastAsia="宋体" w:cs="宋体"/>
          <w:szCs w:val="21"/>
          <w:highlight w:val="none"/>
        </w:rPr>
      </w:r>
      <w:r/>
    </w:p>
    <w:p>
      <w:pPr>
        <w:pStyle w:val="927"/>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17.2由电子招标投标交易平台主持，邀请投标人参加。</w:t>
      </w:r>
      <w:r>
        <w:rPr>
          <w:rFonts w:hint="eastAsia" w:ascii="宋体" w:hAnsi="宋体" w:eastAsia="宋体" w:cs="宋体"/>
          <w:szCs w:val="21"/>
          <w:highlight w:val="none"/>
        </w:rPr>
      </w:r>
      <w:r/>
    </w:p>
    <w:p>
      <w:pPr>
        <w:pStyle w:val="927"/>
        <w:ind w:firstLine="422"/>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17.3所有投标单位使用 CA 证书在开标时间时，解密各自投标文件，由工作人员操作系统进行开标，投标人不足3家的，不得开标。</w:t>
      </w:r>
      <w:r>
        <w:rPr>
          <w:rFonts w:hint="eastAsia" w:ascii="宋体" w:hAnsi="宋体" w:eastAsia="宋体" w:cs="宋体"/>
          <w:b/>
          <w:bCs/>
          <w:szCs w:val="21"/>
          <w:highlight w:val="none"/>
        </w:rPr>
      </w:r>
      <w:r/>
    </w:p>
    <w:p>
      <w:pPr>
        <w:pStyle w:val="927"/>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17.4投标人原因造成投标文件未解密的，视为撤销其投标文件；因投标人之外的原因造成投标文件未解密的，视为撤回其投标文件。部分投标文件未解密的，其他投标文件的开标可以继续进行。</w:t>
      </w:r>
      <w:r>
        <w:rPr>
          <w:rFonts w:hint="eastAsia" w:ascii="宋体" w:hAnsi="宋体" w:eastAsia="宋体" w:cs="宋体"/>
          <w:szCs w:val="21"/>
          <w:highlight w:val="none"/>
        </w:rPr>
      </w:r>
      <w:r/>
    </w:p>
    <w:p>
      <w:pPr>
        <w:pStyle w:val="927"/>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18.资格性审查</w:t>
      </w:r>
      <w:r>
        <w:rPr>
          <w:rFonts w:hint="eastAsia" w:ascii="宋体" w:hAnsi="宋体" w:eastAsia="宋体" w:cs="宋体"/>
          <w:b/>
          <w:bCs/>
          <w:szCs w:val="21"/>
          <w:highlight w:val="none"/>
        </w:rPr>
      </w:r>
      <w:r/>
    </w:p>
    <w:p>
      <w:pPr>
        <w:pStyle w:val="927"/>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18.1开标结束后，采购人或者采购代理机构应当依据法律法规和采购文件的规定，对投标人的资格进行审查，以确定投标供应商提供资格证明的合法性、真实性，是否具备投标资格。</w:t>
      </w:r>
      <w:r>
        <w:rPr>
          <w:rFonts w:hint="eastAsia" w:ascii="宋体" w:hAnsi="宋体" w:eastAsia="宋体" w:cs="宋体"/>
          <w:bCs/>
          <w:szCs w:val="21"/>
          <w:highlight w:val="none"/>
        </w:rPr>
      </w:r>
      <w:r/>
    </w:p>
    <w:p>
      <w:pPr>
        <w:pStyle w:val="927"/>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18.2信用信息查询</w:t>
      </w:r>
      <w:r>
        <w:rPr>
          <w:rFonts w:hint="eastAsia" w:ascii="宋体" w:hAnsi="宋体" w:eastAsia="宋体" w:cs="宋体"/>
          <w:bCs/>
          <w:szCs w:val="21"/>
          <w:highlight w:val="none"/>
        </w:rPr>
      </w:r>
      <w:r/>
    </w:p>
    <w:p>
      <w:pPr>
        <w:pStyle w:val="927"/>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rPr>
          <w:rFonts w:hint="eastAsia" w:ascii="宋体" w:hAnsi="宋体" w:eastAsia="宋体" w:cs="宋体"/>
          <w:bCs/>
          <w:szCs w:val="21"/>
          <w:highlight w:val="none"/>
        </w:rPr>
      </w:r>
      <w:r/>
    </w:p>
    <w:p>
      <w:pPr>
        <w:pStyle w:val="927"/>
        <w:ind w:firstLine="420"/>
        <w:spacing w:line="360" w:lineRule="auto"/>
        <w:rPr>
          <w:rFonts w:hint="eastAsia" w:ascii="宋体" w:hAnsi="宋体" w:eastAsia="宋体" w:cs="宋体"/>
          <w:bCs/>
          <w:szCs w:val="21"/>
          <w:highlight w:val="none"/>
        </w:rPr>
      </w:pPr>
      <w:r>
        <w:rPr>
          <w:rFonts w:hint="eastAsia" w:ascii="宋体" w:hAnsi="宋体" w:eastAsia="宋体" w:cs="宋体"/>
          <w:b/>
          <w:szCs w:val="21"/>
          <w:highlight w:val="none"/>
        </w:rPr>
        <w:t xml:space="preserve">18.3</w:t>
      </w:r>
      <w:bookmarkEnd w:id="98"/>
      <w:r/>
      <w:bookmarkStart w:id="99" w:name="_Toc30296"/>
      <w:r/>
      <w:bookmarkStart w:id="100" w:name="_Toc513029231"/>
      <w:r/>
      <w:bookmarkStart w:id="101" w:name="_Toc16938547"/>
      <w:r/>
      <w:bookmarkStart w:id="102" w:name="_Toc29284"/>
      <w:r/>
      <w:bookmarkStart w:id="103" w:name="_Toc20823303"/>
      <w:r>
        <w:rPr>
          <w:rFonts w:hint="eastAsia" w:ascii="宋体" w:hAnsi="宋体" w:eastAsia="宋体" w:cs="宋体"/>
          <w:b/>
          <w:szCs w:val="21"/>
          <w:highlight w:val="none"/>
        </w:rPr>
        <w:t xml:space="preserve">通过资格性审查合格的投标人不足3家的，不得评标。</w:t>
      </w:r>
      <w:r>
        <w:rPr>
          <w:rFonts w:hint="eastAsia" w:ascii="宋体" w:hAnsi="宋体" w:eastAsia="宋体" w:cs="宋体"/>
          <w:bCs/>
          <w:szCs w:val="21"/>
          <w:highlight w:val="none"/>
        </w:rPr>
      </w:r>
      <w:r/>
    </w:p>
    <w:p>
      <w:pPr>
        <w:pStyle w:val="927"/>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19.评标 </w:t>
      </w:r>
      <w:r>
        <w:rPr>
          <w:rFonts w:hint="eastAsia" w:ascii="宋体" w:hAnsi="宋体" w:eastAsia="宋体" w:cs="宋体"/>
          <w:b/>
          <w:bCs/>
          <w:szCs w:val="21"/>
          <w:highlight w:val="none"/>
        </w:rPr>
      </w:r>
      <w:r/>
    </w:p>
    <w:p>
      <w:pPr>
        <w:pStyle w:val="927"/>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19.1评标组织</w:t>
      </w:r>
      <w:r>
        <w:rPr>
          <w:rFonts w:hint="eastAsia" w:ascii="宋体" w:hAnsi="宋体" w:eastAsia="宋体" w:cs="宋体"/>
          <w:b/>
          <w:szCs w:val="21"/>
          <w:highlight w:val="none"/>
        </w:rPr>
      </w:r>
      <w:r/>
    </w:p>
    <w:p>
      <w:pPr>
        <w:pStyle w:val="927"/>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19.1评标工作由采购代理机构负责组织，具体评标事务由依法组建的评标委员会负责，并独立履行下列职责：</w:t>
      </w:r>
      <w:r>
        <w:rPr>
          <w:rFonts w:hint="eastAsia" w:ascii="宋体" w:hAnsi="宋体" w:eastAsia="宋体" w:cs="宋体"/>
          <w:bCs/>
          <w:szCs w:val="21"/>
          <w:highlight w:val="none"/>
        </w:rPr>
      </w:r>
      <w:r/>
    </w:p>
    <w:p>
      <w:pPr>
        <w:pStyle w:val="927"/>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（1）审查、评价投标文件是否符合招标文件的商务、技术等实质性要求；</w:t>
      </w:r>
      <w:r>
        <w:rPr>
          <w:rFonts w:hint="eastAsia" w:ascii="宋体" w:hAnsi="宋体" w:eastAsia="宋体" w:cs="宋体"/>
          <w:bCs/>
          <w:szCs w:val="21"/>
          <w:highlight w:val="none"/>
        </w:rPr>
      </w:r>
      <w:r/>
    </w:p>
    <w:p>
      <w:pPr>
        <w:pStyle w:val="927"/>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（2）要求投标人对投标文件有关事项作出澄清或者说明；</w:t>
      </w:r>
      <w:r>
        <w:rPr>
          <w:rFonts w:hint="eastAsia" w:ascii="宋体" w:hAnsi="宋体" w:eastAsia="宋体" w:cs="宋体"/>
          <w:bCs/>
          <w:szCs w:val="21"/>
          <w:highlight w:val="none"/>
        </w:rPr>
      </w:r>
      <w:r/>
    </w:p>
    <w:p>
      <w:pPr>
        <w:pStyle w:val="927"/>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（3）对投标文件进行比较和评价；</w:t>
      </w:r>
      <w:r>
        <w:rPr>
          <w:rFonts w:hint="eastAsia" w:ascii="宋体" w:hAnsi="宋体" w:eastAsia="宋体" w:cs="宋体"/>
          <w:bCs/>
          <w:szCs w:val="21"/>
          <w:highlight w:val="none"/>
        </w:rPr>
      </w:r>
      <w:r/>
    </w:p>
    <w:p>
      <w:pPr>
        <w:pStyle w:val="927"/>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（4）确定中标候选人名单，以及根据采购人委托直接确定中标人；</w:t>
      </w:r>
      <w:r>
        <w:rPr>
          <w:rFonts w:hint="eastAsia" w:ascii="宋体" w:hAnsi="宋体" w:eastAsia="宋体" w:cs="宋体"/>
          <w:bCs/>
          <w:szCs w:val="21"/>
          <w:highlight w:val="none"/>
        </w:rPr>
      </w:r>
      <w:r/>
    </w:p>
    <w:p>
      <w:pPr>
        <w:pStyle w:val="927"/>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（5）向采购人、采购代理机构或者有关部门报告评标中发现的违法行为。</w:t>
      </w:r>
      <w:r>
        <w:rPr>
          <w:rFonts w:hint="eastAsia" w:ascii="宋体" w:hAnsi="宋体" w:eastAsia="宋体" w:cs="宋体"/>
          <w:szCs w:val="21"/>
          <w:highlight w:val="none"/>
        </w:rPr>
      </w:r>
      <w:r/>
    </w:p>
    <w:p>
      <w:pPr>
        <w:pStyle w:val="927"/>
        <w:ind w:firstLine="420"/>
        <w:spacing w:line="360" w:lineRule="auto"/>
        <w:rPr>
          <w:rFonts w:hint="eastAsia" w:ascii="宋体" w:hAnsi="宋体" w:eastAsia="宋体" w:cs="宋体"/>
          <w:szCs w:val="21"/>
          <w:highlight w:val="none"/>
        </w:rPr>
      </w:pPr>
      <w:r>
        <w:rPr>
          <w:rFonts w:hint="eastAsia" w:ascii="宋体" w:hAnsi="宋体" w:eastAsia="宋体" w:cs="宋体"/>
          <w:bCs/>
          <w:szCs w:val="21"/>
          <w:highlight w:val="none"/>
        </w:rPr>
        <w:t xml:space="preserve">19.2评标委员会由采购人代表和有关技术、经济等方面的专家组成，独立开展评审工作且评标委员会人员构成符合有关规定。</w:t>
      </w:r>
      <w:r>
        <w:rPr>
          <w:rFonts w:hint="eastAsia" w:ascii="宋体" w:hAnsi="宋体" w:eastAsia="宋体" w:cs="宋体"/>
          <w:szCs w:val="21"/>
          <w:highlight w:val="none"/>
        </w:rPr>
      </w:r>
      <w:r/>
    </w:p>
    <w:p>
      <w:pPr>
        <w:pStyle w:val="927"/>
        <w:ind w:firstLine="422"/>
        <w:spacing w:line="360" w:lineRule="auto"/>
        <w:rPr>
          <w:rFonts w:hint="eastAsia" w:ascii="宋体" w:hAnsi="宋体" w:eastAsia="宋体" w:cs="宋体"/>
          <w:b/>
          <w:szCs w:val="21"/>
          <w:highlight w:val="none"/>
        </w:rPr>
      </w:pPr>
      <w:r/>
      <w:bookmarkStart w:id="104" w:name="_Toc16288"/>
      <w:r>
        <w:rPr>
          <w:rFonts w:hint="eastAsia" w:ascii="宋体" w:hAnsi="宋体" w:eastAsia="宋体" w:cs="宋体"/>
          <w:b/>
          <w:szCs w:val="21"/>
          <w:highlight w:val="none"/>
        </w:rPr>
        <w:t xml:space="preserve">19.3 对投标文件的符合性审查</w:t>
      </w:r>
      <w:bookmarkEnd w:id="104"/>
      <w:r>
        <w:rPr>
          <w:rFonts w:hint="eastAsia" w:ascii="宋体" w:hAnsi="宋体" w:eastAsia="宋体" w:cs="宋体"/>
          <w:b/>
          <w:szCs w:val="21"/>
          <w:highlight w:val="none"/>
        </w:rPr>
      </w:r>
      <w:r/>
    </w:p>
    <w:p>
      <w:pPr>
        <w:pStyle w:val="927"/>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Cs/>
          <w:szCs w:val="21"/>
          <w:highlight w:val="none"/>
        </w:rPr>
        <w:t xml:space="preserve">19.3.1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eastAsia="宋体" w:cs="宋体"/>
          <w:b/>
          <w:szCs w:val="21"/>
          <w:highlight w:val="none"/>
        </w:rPr>
        <w:t xml:space="preserve">实质性要求是指本招标文件中用带星号（“★”）的商务和技术要求。</w:t>
      </w:r>
      <w:r>
        <w:rPr>
          <w:rFonts w:hint="eastAsia" w:ascii="宋体" w:hAnsi="宋体" w:eastAsia="宋体" w:cs="宋体"/>
          <w:b/>
          <w:szCs w:val="21"/>
          <w:highlight w:val="none"/>
        </w:rPr>
      </w:r>
      <w:r/>
    </w:p>
    <w:p>
      <w:pPr>
        <w:pStyle w:val="927"/>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19.3.2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rPr>
          <w:rFonts w:hint="eastAsia" w:ascii="宋体" w:hAnsi="宋体" w:eastAsia="宋体" w:cs="宋体"/>
          <w:bCs/>
          <w:szCs w:val="21"/>
          <w:highlight w:val="none"/>
        </w:rPr>
      </w:r>
      <w:r/>
    </w:p>
    <w:p>
      <w:pPr>
        <w:pStyle w:val="927"/>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19.3.3评审时，投标文件出现不一致情形的，按下列规定执行：</w:t>
      </w:r>
      <w:r>
        <w:rPr>
          <w:rFonts w:hint="eastAsia" w:ascii="宋体" w:hAnsi="宋体" w:eastAsia="宋体" w:cs="宋体"/>
          <w:bCs/>
          <w:szCs w:val="21"/>
          <w:highlight w:val="none"/>
        </w:rPr>
      </w:r>
      <w:r/>
    </w:p>
    <w:p>
      <w:pPr>
        <w:pStyle w:val="927"/>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19.3.3.1投标文件正本与副本不符的，以正本为准。</w:t>
      </w:r>
      <w:r>
        <w:rPr>
          <w:rFonts w:hint="eastAsia" w:ascii="宋体" w:hAnsi="宋体" w:eastAsia="宋体" w:cs="宋体"/>
          <w:bCs/>
          <w:szCs w:val="21"/>
          <w:highlight w:val="none"/>
        </w:rPr>
      </w:r>
      <w:r/>
    </w:p>
    <w:p>
      <w:pPr>
        <w:pStyle w:val="927"/>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19.3.3.2投标文件报价出现前后不一致的，按照下列规定修正：</w:t>
      </w:r>
      <w:r>
        <w:rPr>
          <w:rFonts w:hint="eastAsia" w:ascii="宋体" w:hAnsi="宋体" w:eastAsia="宋体" w:cs="宋体"/>
          <w:bCs/>
          <w:szCs w:val="21"/>
          <w:highlight w:val="none"/>
        </w:rPr>
      </w:r>
      <w:r/>
    </w:p>
    <w:p>
      <w:pPr>
        <w:pStyle w:val="927"/>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（1）投标文件中开标一览表（报价表）内容与投标文件中相应内容不一致的，以开标一览表（报价表）为准；</w:t>
      </w:r>
      <w:r>
        <w:rPr>
          <w:rFonts w:hint="eastAsia" w:ascii="宋体" w:hAnsi="宋体" w:eastAsia="宋体" w:cs="宋体"/>
          <w:bCs/>
          <w:szCs w:val="21"/>
          <w:highlight w:val="none"/>
        </w:rPr>
      </w:r>
      <w:r/>
    </w:p>
    <w:p>
      <w:pPr>
        <w:pStyle w:val="927"/>
        <w:ind w:firstLine="426"/>
        <w:spacing w:line="360" w:lineRule="auto"/>
        <w:tabs>
          <w:tab w:val="left" w:pos="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（2）大写金额和小写金额不一致的，以大写金额为准；</w:t>
      </w:r>
      <w:r>
        <w:rPr>
          <w:rFonts w:hint="eastAsia" w:ascii="宋体" w:hAnsi="宋体" w:eastAsia="宋体" w:cs="宋体"/>
          <w:bCs/>
          <w:szCs w:val="21"/>
          <w:highlight w:val="none"/>
        </w:rPr>
      </w:r>
      <w:r/>
    </w:p>
    <w:p>
      <w:pPr>
        <w:pStyle w:val="927"/>
        <w:ind w:firstLine="426"/>
        <w:spacing w:line="360" w:lineRule="auto"/>
        <w:tabs>
          <w:tab w:val="left" w:pos="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（3）单价金额小数点或者百分比有明显错位的，以开标一览表的总价为准，并修改单价；</w:t>
      </w:r>
      <w:r>
        <w:rPr>
          <w:rFonts w:hint="eastAsia" w:ascii="宋体" w:hAnsi="宋体" w:eastAsia="宋体" w:cs="宋体"/>
          <w:bCs/>
          <w:szCs w:val="21"/>
          <w:highlight w:val="none"/>
        </w:rPr>
      </w:r>
      <w:r/>
    </w:p>
    <w:p>
      <w:pPr>
        <w:pStyle w:val="927"/>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（4）总价金额与按单价汇总金额不一致的，以单价金额计算结果为准。</w:t>
      </w:r>
      <w:r>
        <w:rPr>
          <w:rFonts w:hint="eastAsia" w:ascii="宋体" w:hAnsi="宋体" w:eastAsia="宋体" w:cs="宋体"/>
          <w:bCs/>
          <w:szCs w:val="21"/>
          <w:highlight w:val="none"/>
        </w:rPr>
      </w:r>
      <w:r/>
    </w:p>
    <w:p>
      <w:pPr>
        <w:pStyle w:val="927"/>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rPr>
          <w:rFonts w:hint="eastAsia" w:ascii="宋体" w:hAnsi="宋体" w:eastAsia="宋体" w:cs="宋体"/>
          <w:bCs/>
          <w:szCs w:val="21"/>
          <w:highlight w:val="none"/>
        </w:rPr>
      </w:r>
      <w:r/>
    </w:p>
    <w:p>
      <w:pPr>
        <w:pStyle w:val="927"/>
        <w:ind w:firstLine="420"/>
        <w:spacing w:line="360" w:lineRule="auto"/>
        <w:rPr>
          <w:rFonts w:hint="eastAsia" w:ascii="宋体" w:hAnsi="宋体" w:eastAsia="宋体" w:cs="宋体"/>
          <w:b/>
          <w:sz w:val="21"/>
          <w:szCs w:val="21"/>
          <w:highlight w:val="none"/>
          <w:lang w:val="en-US"/>
        </w:rPr>
      </w:pPr>
      <w:r>
        <w:rPr>
          <w:rFonts w:hint="eastAsia" w:ascii="宋体" w:hAnsi="宋体" w:eastAsia="宋体" w:cs="宋体"/>
          <w:bCs/>
          <w:szCs w:val="21"/>
          <w:highlight w:val="none"/>
        </w:rPr>
        <w:t xml:space="preserve">19.3.4</w:t>
      </w:r>
      <w:r>
        <w:rPr>
          <w:rFonts w:hint="eastAsia" w:ascii="宋体" w:hAnsi="宋体" w:eastAsia="宋体" w:cs="宋体"/>
          <w:b/>
          <w:sz w:val="21"/>
          <w:szCs w:val="21"/>
          <w:highlight w:val="none"/>
          <w:lang w:val="en-US"/>
        </w:rPr>
        <w:t xml:space="preserve">异常低价投标审查</w:t>
      </w:r>
      <w:r>
        <w:rPr>
          <w:rFonts w:hint="eastAsia" w:ascii="宋体" w:hAnsi="宋体" w:eastAsia="宋体" w:cs="宋体"/>
          <w:b/>
          <w:sz w:val="21"/>
          <w:szCs w:val="21"/>
          <w:highlight w:val="none"/>
          <w:lang w:val="en-US"/>
        </w:rPr>
      </w:r>
      <w:r/>
    </w:p>
    <w:p>
      <w:pPr>
        <w:pStyle w:val="927"/>
        <w:ind w:firstLine="420"/>
        <w:spacing w:line="360" w:lineRule="auto"/>
        <w:rPr>
          <w:rFonts w:hint="eastAsia" w:ascii="宋体" w:hAnsi="宋体" w:eastAsia="宋体" w:cs="宋体"/>
          <w:bCs/>
          <w:sz w:val="21"/>
          <w:szCs w:val="21"/>
          <w:highlight w:val="none"/>
          <w:lang w:val="en-US"/>
        </w:rPr>
      </w:pPr>
      <w:r>
        <w:rPr>
          <w:rFonts w:hint="eastAsia" w:ascii="宋体" w:hAnsi="宋体" w:eastAsia="宋体" w:cs="宋体"/>
          <w:bCs/>
          <w:sz w:val="21"/>
          <w:szCs w:val="21"/>
          <w:highlight w:val="none"/>
          <w:lang w:val="en-US"/>
        </w:rPr>
        <w:t xml:space="preserve">评审过程中出现下列情形之一的，评标委员会应当启动异常低价投标审查程序：</w:t>
      </w:r>
      <w:r>
        <w:rPr>
          <w:rFonts w:hint="eastAsia" w:ascii="宋体" w:hAnsi="宋体" w:eastAsia="宋体" w:cs="宋体"/>
          <w:bCs/>
          <w:sz w:val="21"/>
          <w:szCs w:val="21"/>
          <w:highlight w:val="none"/>
          <w:lang w:val="en-US"/>
        </w:rPr>
      </w:r>
      <w:r/>
    </w:p>
    <w:p>
      <w:pPr>
        <w:pStyle w:val="927"/>
        <w:ind w:firstLine="420"/>
        <w:spacing w:line="360" w:lineRule="auto"/>
        <w:rPr>
          <w:rFonts w:hint="eastAsia" w:ascii="宋体" w:hAnsi="宋体" w:eastAsia="宋体" w:cs="宋体"/>
          <w:bCs/>
          <w:sz w:val="21"/>
          <w:szCs w:val="21"/>
          <w:highlight w:val="none"/>
          <w:lang w:val="en-US"/>
        </w:rPr>
      </w:pPr>
      <w:r>
        <w:rPr>
          <w:rFonts w:hint="eastAsia" w:ascii="宋体" w:hAnsi="宋体" w:eastAsia="宋体" w:cs="宋体"/>
          <w:bCs/>
          <w:sz w:val="21"/>
          <w:szCs w:val="21"/>
          <w:highlight w:val="none"/>
          <w:lang w:val="en-US"/>
        </w:rPr>
        <w:t xml:space="preserve">（1）投标（响应）报价低于全部通过符合性审查供应商投标（响应）报价平均值50%的，即投标（响应）报价＜全部通过符合性审查供应商投标（响应）报价平均值×50%；</w:t>
      </w:r>
      <w:r>
        <w:rPr>
          <w:rFonts w:hint="eastAsia" w:ascii="宋体" w:hAnsi="宋体" w:eastAsia="宋体" w:cs="宋体"/>
          <w:bCs/>
          <w:sz w:val="21"/>
          <w:szCs w:val="21"/>
          <w:highlight w:val="none"/>
          <w:lang w:val="en-US"/>
        </w:rPr>
      </w:r>
      <w:r/>
    </w:p>
    <w:p>
      <w:pPr>
        <w:pStyle w:val="927"/>
        <w:ind w:firstLine="420"/>
        <w:spacing w:line="360" w:lineRule="auto"/>
        <w:rPr>
          <w:rFonts w:hint="eastAsia" w:ascii="宋体" w:hAnsi="宋体" w:eastAsia="宋体" w:cs="宋体"/>
          <w:bCs/>
          <w:sz w:val="21"/>
          <w:szCs w:val="21"/>
          <w:highlight w:val="none"/>
          <w:lang w:val="en-US"/>
        </w:rPr>
      </w:pPr>
      <w:r>
        <w:rPr>
          <w:rFonts w:hint="eastAsia" w:ascii="宋体" w:hAnsi="宋体" w:eastAsia="宋体" w:cs="宋体"/>
          <w:bCs/>
          <w:sz w:val="21"/>
          <w:szCs w:val="21"/>
          <w:highlight w:val="none"/>
          <w:lang w:val="en-US"/>
        </w:rPr>
        <w:t xml:space="preserve">（2）投标（响应）报价低于通过符合性审查的次低报价供应商投标（响应）报价50%的，即投标（响应）报价＜通过符合性审查的次低报价供应商投标（响应）报价×50%；</w:t>
      </w:r>
      <w:r>
        <w:rPr>
          <w:rFonts w:hint="eastAsia" w:ascii="宋体" w:hAnsi="宋体" w:eastAsia="宋体" w:cs="宋体"/>
          <w:bCs/>
          <w:sz w:val="21"/>
          <w:szCs w:val="21"/>
          <w:highlight w:val="none"/>
          <w:lang w:val="en-US"/>
        </w:rPr>
      </w:r>
      <w:r/>
    </w:p>
    <w:p>
      <w:pPr>
        <w:pStyle w:val="927"/>
        <w:ind w:firstLine="420"/>
        <w:spacing w:line="360" w:lineRule="auto"/>
        <w:rPr>
          <w:rFonts w:hint="eastAsia" w:ascii="宋体" w:hAnsi="宋体" w:eastAsia="宋体" w:cs="宋体"/>
          <w:bCs/>
          <w:sz w:val="21"/>
          <w:szCs w:val="21"/>
          <w:highlight w:val="none"/>
          <w:lang w:val="en-US"/>
        </w:rPr>
      </w:pPr>
      <w:r>
        <w:rPr>
          <w:rFonts w:hint="eastAsia" w:ascii="宋体" w:hAnsi="宋体" w:eastAsia="宋体" w:cs="宋体"/>
          <w:bCs/>
          <w:sz w:val="21"/>
          <w:szCs w:val="21"/>
          <w:highlight w:val="none"/>
          <w:lang w:val="en-US"/>
        </w:rPr>
        <w:t xml:space="preserve">（3）投标（响应）报价低于采购项目最高限价45%的，即投标（响应）报价&lt;采购项目最高限价×45%；</w:t>
      </w:r>
      <w:r>
        <w:rPr>
          <w:rFonts w:hint="eastAsia" w:ascii="宋体" w:hAnsi="宋体" w:eastAsia="宋体" w:cs="宋体"/>
          <w:bCs/>
          <w:sz w:val="21"/>
          <w:szCs w:val="21"/>
          <w:highlight w:val="none"/>
          <w:lang w:val="en-US"/>
        </w:rPr>
      </w:r>
      <w:r/>
    </w:p>
    <w:p>
      <w:pPr>
        <w:pStyle w:val="927"/>
        <w:ind w:firstLine="420"/>
        <w:spacing w:line="360" w:lineRule="auto"/>
        <w:rPr>
          <w:rFonts w:hint="eastAsia" w:ascii="宋体" w:hAnsi="宋体" w:eastAsia="宋体" w:cs="宋体"/>
          <w:bCs/>
          <w:sz w:val="21"/>
          <w:szCs w:val="21"/>
          <w:highlight w:val="none"/>
          <w:lang w:val="en-US"/>
        </w:rPr>
      </w:pPr>
      <w:r>
        <w:rPr>
          <w:rFonts w:hint="eastAsia" w:ascii="宋体" w:hAnsi="宋体" w:eastAsia="宋体" w:cs="宋体"/>
          <w:bCs/>
          <w:sz w:val="21"/>
          <w:szCs w:val="21"/>
          <w:highlight w:val="none"/>
          <w:lang w:val="en-US"/>
        </w:rPr>
        <w:t xml:space="preserve">（4）评审委员会基于专业判断，认为供应商报价过低，有可能影响产品质量或者不能诚信履约的其他情形。</w:t>
      </w:r>
      <w:r>
        <w:rPr>
          <w:rFonts w:hint="eastAsia" w:ascii="宋体" w:hAnsi="宋体" w:eastAsia="宋体" w:cs="宋体"/>
          <w:bCs/>
          <w:sz w:val="21"/>
          <w:szCs w:val="21"/>
          <w:highlight w:val="none"/>
          <w:lang w:val="en-US"/>
        </w:rPr>
      </w:r>
      <w:r/>
    </w:p>
    <w:p>
      <w:pPr>
        <w:pStyle w:val="927"/>
        <w:ind w:firstLine="420"/>
        <w:spacing w:line="360" w:lineRule="auto"/>
        <w:rPr>
          <w:rFonts w:hint="eastAsia" w:ascii="宋体" w:hAnsi="宋体" w:eastAsia="宋体" w:cs="宋体"/>
          <w:bCs/>
          <w:sz w:val="21"/>
          <w:szCs w:val="21"/>
          <w:highlight w:val="none"/>
          <w:lang w:val="en-US"/>
        </w:rPr>
      </w:pPr>
      <w:r>
        <w:rPr>
          <w:rFonts w:hint="eastAsia" w:ascii="宋体" w:hAnsi="宋体" w:eastAsia="宋体" w:cs="宋体"/>
          <w:bCs/>
          <w:sz w:val="21"/>
          <w:szCs w:val="21"/>
          <w:highlight w:val="none"/>
          <w:lang w:val="en-US"/>
        </w:rPr>
        <w:t xml:space="preserve">评标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评标委员会通过“苏采云”系统要求供应商作出必要的说明，并规定回复时间。供应商说明应当采用通过“苏采云”系统（使用“CA数字证书”,加盖电子签章）形式。</w:t>
      </w:r>
      <w:r>
        <w:rPr>
          <w:rFonts w:hint="eastAsia" w:ascii="宋体" w:hAnsi="宋体" w:eastAsia="宋体" w:cs="宋体"/>
          <w:bCs/>
          <w:sz w:val="21"/>
          <w:szCs w:val="21"/>
          <w:highlight w:val="none"/>
          <w:lang w:val="en-US"/>
        </w:rPr>
      </w:r>
      <w:r/>
    </w:p>
    <w:p>
      <w:pPr>
        <w:pStyle w:val="927"/>
        <w:ind w:firstLine="420"/>
        <w:spacing w:line="360" w:lineRule="auto"/>
        <w:rPr>
          <w:rFonts w:hint="eastAsia" w:ascii="宋体" w:hAnsi="宋体" w:eastAsia="宋体" w:cs="宋体"/>
          <w:bCs/>
          <w:sz w:val="21"/>
          <w:szCs w:val="21"/>
          <w:highlight w:val="none"/>
          <w:lang w:val="en-US"/>
        </w:rPr>
      </w:pPr>
      <w:r>
        <w:rPr>
          <w:rFonts w:hint="eastAsia" w:ascii="宋体" w:hAnsi="宋体" w:eastAsia="宋体" w:cs="宋体"/>
          <w:bCs/>
          <w:sz w:val="21"/>
          <w:szCs w:val="21"/>
          <w:highlight w:val="none"/>
          <w:lang w:val="en-US"/>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rFonts w:hint="eastAsia" w:ascii="宋体" w:hAnsi="宋体" w:eastAsia="宋体" w:cs="宋体"/>
          <w:bCs/>
          <w:sz w:val="21"/>
          <w:szCs w:val="21"/>
          <w:highlight w:val="none"/>
          <w:lang w:val="en-US"/>
        </w:rPr>
      </w:r>
      <w:r/>
    </w:p>
    <w:p>
      <w:pPr>
        <w:pStyle w:val="927"/>
        <w:ind w:firstLine="653"/>
        <w:spacing w:line="360" w:lineRule="auto"/>
        <w:tabs>
          <w:tab w:val="left" w:pos="1365" w:leader="none"/>
        </w:tabs>
        <w:rPr>
          <w:rFonts w:hint="eastAsia" w:ascii="宋体" w:hAnsi="宋体" w:eastAsia="宋体" w:cs="宋体"/>
          <w:bCs/>
          <w:szCs w:val="21"/>
          <w:highlight w:val="none"/>
        </w:rPr>
      </w:pPr>
      <w:r>
        <w:rPr>
          <w:rFonts w:hint="eastAsia" w:ascii="宋体" w:hAnsi="宋体" w:eastAsia="宋体" w:cs="宋体"/>
          <w:bCs/>
          <w:sz w:val="21"/>
          <w:szCs w:val="21"/>
          <w:highlight w:val="none"/>
          <w:lang w:val="en-US"/>
        </w:rPr>
        <w:t xml:space="preserve">异常低价投标（响应）审查的启动原因、审查意见和审查结果应当在评标报告中记录，并随供应商提供的相关书面说明及证明材料，以及评标委员会有关互联网浏览、查询历史一并归档。</w:t>
      </w:r>
      <w:r>
        <w:rPr>
          <w:rFonts w:hint="eastAsia" w:ascii="宋体" w:hAnsi="宋体" w:eastAsia="宋体" w:cs="宋体"/>
          <w:bCs/>
          <w:szCs w:val="21"/>
          <w:highlight w:val="none"/>
        </w:rPr>
      </w:r>
      <w:r/>
    </w:p>
    <w:p>
      <w:pPr>
        <w:pStyle w:val="927"/>
        <w:ind w:firstLine="420"/>
        <w:spacing w:line="360" w:lineRule="auto"/>
        <w:rPr>
          <w:rFonts w:hint="eastAsia" w:ascii="宋体" w:hAnsi="宋体" w:eastAsia="宋体" w:cs="宋体"/>
          <w:szCs w:val="21"/>
          <w:highlight w:val="none"/>
        </w:rPr>
      </w:pPr>
      <w:r>
        <w:rPr>
          <w:rFonts w:hint="eastAsia" w:ascii="宋体" w:hAnsi="宋体" w:eastAsia="宋体" w:cs="宋体"/>
          <w:b/>
          <w:szCs w:val="21"/>
          <w:highlight w:val="none"/>
        </w:rPr>
        <w:t xml:space="preserve">19.3.5在评标期间，出现符合专业条件的供应商或者对招标文件做出实质响应的供应商不足三家情形的，此采购项目应予以废标。</w:t>
      </w:r>
      <w:r>
        <w:rPr>
          <w:rFonts w:hint="eastAsia" w:ascii="宋体" w:hAnsi="宋体" w:eastAsia="宋体" w:cs="宋体"/>
          <w:bCs/>
          <w:szCs w:val="21"/>
          <w:highlight w:val="none"/>
        </w:rPr>
        <w:t xml:space="preserve">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r>
        <w:rPr>
          <w:rFonts w:hint="eastAsia" w:ascii="宋体" w:hAnsi="宋体" w:eastAsia="宋体" w:cs="宋体"/>
          <w:szCs w:val="21"/>
          <w:highlight w:val="none"/>
        </w:rPr>
      </w:r>
      <w:r/>
    </w:p>
    <w:p>
      <w:pPr>
        <w:pStyle w:val="1135"/>
        <w:ind w:left="0" w:firstLine="422"/>
        <w:jc w:val="both"/>
        <w:spacing w:line="360" w:lineRule="auto"/>
        <w:tabs>
          <w:tab w:val="left" w:pos="480" w:leader="none"/>
        </w:tabs>
        <w:rPr>
          <w:rFonts w:hint="eastAsia" w:ascii="宋体" w:hAnsi="宋体" w:eastAsia="宋体" w:cs="宋体"/>
          <w:b/>
          <w:bCs/>
          <w:sz w:val="21"/>
          <w:szCs w:val="21"/>
          <w:highlight w:val="none"/>
        </w:rPr>
        <w:outlineLvl w:val="9"/>
      </w:pPr>
      <w:r/>
      <w:bookmarkEnd w:id="99"/>
      <w:r/>
      <w:bookmarkStart w:id="105" w:name="_Toc26857"/>
      <w:r/>
      <w:bookmarkStart w:id="106" w:name="_Toc13685"/>
      <w:r>
        <w:rPr>
          <w:rFonts w:hint="eastAsia" w:ascii="宋体" w:hAnsi="宋体" w:eastAsia="宋体" w:cs="宋体"/>
          <w:b/>
          <w:bCs/>
          <w:sz w:val="21"/>
          <w:szCs w:val="21"/>
          <w:highlight w:val="none"/>
        </w:rPr>
        <w:t xml:space="preserve">19.4投标文件的澄清</w:t>
      </w:r>
      <w:bookmarkEnd w:id="105"/>
      <w:r>
        <w:rPr>
          <w:rFonts w:hint="eastAsia" w:ascii="宋体" w:hAnsi="宋体" w:eastAsia="宋体" w:cs="宋体"/>
          <w:b/>
          <w:bCs/>
          <w:sz w:val="21"/>
          <w:szCs w:val="21"/>
          <w:highlight w:val="none"/>
        </w:rPr>
        <w:t xml:space="preserve">  </w:t>
      </w:r>
      <w:r>
        <w:rPr>
          <w:rFonts w:hint="eastAsia" w:ascii="宋体" w:hAnsi="宋体" w:eastAsia="宋体" w:cs="宋体"/>
          <w:b/>
          <w:bCs/>
          <w:sz w:val="21"/>
          <w:szCs w:val="21"/>
          <w:highlight w:val="none"/>
        </w:rPr>
      </w:r>
      <w:r/>
    </w:p>
    <w:p>
      <w:pPr>
        <w:pStyle w:val="927"/>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19.4.1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rPr>
          <w:rFonts w:hint="eastAsia" w:ascii="宋体" w:hAnsi="宋体" w:eastAsia="宋体" w:cs="宋体"/>
          <w:bCs/>
          <w:szCs w:val="21"/>
          <w:highlight w:val="none"/>
        </w:rPr>
      </w:r>
      <w:r/>
    </w:p>
    <w:p>
      <w:pPr>
        <w:pStyle w:val="927"/>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19.4.2 评标委员会应当通过“苏采云”系统要求投标人作出澄清、说明或者补正，并规定回复时间。投标人回复应当采用通过“苏采云”系统（使用“CA数字证书”,加盖电子签章）形式，将作为投标文件内容的一部分。</w:t>
      </w:r>
      <w:r>
        <w:rPr>
          <w:rFonts w:hint="eastAsia" w:ascii="宋体" w:hAnsi="宋体" w:eastAsia="宋体" w:cs="宋体"/>
          <w:bCs/>
          <w:szCs w:val="21"/>
          <w:highlight w:val="none"/>
        </w:rPr>
      </w:r>
      <w:r/>
    </w:p>
    <w:p>
      <w:pPr>
        <w:pStyle w:val="927"/>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19.4.3供应商澄清、说明或者补正不得超出投标文件的范围或者改变投标文件的实质性内容。供应商拒不按照要求对投标文件进行澄清、说明或者补正的，视其放弃该项权利。</w:t>
      </w:r>
      <w:r>
        <w:rPr>
          <w:rFonts w:hint="eastAsia" w:ascii="宋体" w:hAnsi="宋体" w:eastAsia="宋体" w:cs="宋体"/>
          <w:bCs/>
          <w:szCs w:val="21"/>
          <w:highlight w:val="none"/>
        </w:rPr>
      </w:r>
      <w:r/>
    </w:p>
    <w:p>
      <w:pPr>
        <w:pStyle w:val="927"/>
        <w:ind w:firstLine="424"/>
        <w:spacing w:line="360" w:lineRule="auto"/>
        <w:tabs>
          <w:tab w:val="left" w:pos="1365" w:leader="none"/>
        </w:tabs>
        <w:rPr>
          <w:rFonts w:hint="eastAsia" w:ascii="宋体" w:hAnsi="宋体" w:eastAsia="宋体" w:cs="宋体"/>
          <w:b/>
          <w:bCs/>
          <w:szCs w:val="21"/>
          <w:highlight w:val="none"/>
        </w:rPr>
      </w:pPr>
      <w:r/>
      <w:bookmarkEnd w:id="106"/>
      <w:r>
        <w:rPr>
          <w:rFonts w:hint="eastAsia" w:ascii="宋体" w:hAnsi="宋体" w:eastAsia="宋体" w:cs="宋体"/>
          <w:b/>
          <w:bCs/>
          <w:szCs w:val="21"/>
          <w:highlight w:val="none"/>
        </w:rPr>
        <w:t xml:space="preserve">19.5比较与评价</w:t>
      </w:r>
      <w:r>
        <w:rPr>
          <w:rFonts w:hint="eastAsia" w:ascii="宋体" w:hAnsi="宋体" w:eastAsia="宋体" w:cs="宋体"/>
          <w:b/>
          <w:bCs/>
          <w:szCs w:val="21"/>
          <w:highlight w:val="none"/>
        </w:rPr>
      </w:r>
      <w:r/>
    </w:p>
    <w:p>
      <w:pPr>
        <w:pStyle w:val="927"/>
        <w:ind w:firstLine="420"/>
        <w:spacing w:line="360" w:lineRule="auto"/>
        <w:tabs>
          <w:tab w:val="left" w:pos="1365"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19.5.1投标文件资格性检查和符合性检查结束后，凡属于“无效投标文件确认”的投标文件不进入比较与评价程序。</w:t>
      </w:r>
      <w:r>
        <w:rPr>
          <w:rFonts w:hint="eastAsia" w:ascii="宋体" w:hAnsi="宋体" w:eastAsia="宋体" w:cs="宋体"/>
          <w:bCs/>
          <w:szCs w:val="21"/>
          <w:highlight w:val="none"/>
        </w:rPr>
      </w:r>
      <w:r/>
    </w:p>
    <w:p>
      <w:pPr>
        <w:pStyle w:val="927"/>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19.5.2评标委员会应当按照招标文件中规定的评标方法和标准，对符合性审查合格的投标文件进行商务和技术评估，综合比较与评价。</w:t>
      </w:r>
      <w:r>
        <w:rPr>
          <w:rFonts w:hint="eastAsia" w:ascii="宋体" w:hAnsi="宋体" w:eastAsia="宋体" w:cs="宋体"/>
          <w:bCs/>
          <w:szCs w:val="21"/>
          <w:highlight w:val="none"/>
        </w:rPr>
      </w:r>
      <w:r/>
    </w:p>
    <w:p>
      <w:pPr>
        <w:pStyle w:val="927"/>
        <w:ind w:firstLine="420"/>
        <w:jc w:val="left"/>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19.5.3除评标方法和评标标准另有规定外，评标采用综合评分法。即投标文件满足招标文件全部实质性要求，且按照评审因素的量化指标评审得分最高的供应商为中标候选供应商的评标方法。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cs="宋体"/>
          <w:szCs w:val="21"/>
          <w:highlight w:val="none"/>
        </w:rPr>
        <w:t xml:space="preserve">评标时，评标委员会各成员应当独立对每个投标人的投标文件进行评价，并汇总每个投标人的得分。</w:t>
      </w:r>
      <w:r>
        <w:rPr>
          <w:rFonts w:hint="eastAsia" w:ascii="宋体" w:hAnsi="宋体" w:eastAsia="宋体" w:cs="宋体"/>
          <w:bCs/>
          <w:szCs w:val="21"/>
          <w:highlight w:val="none"/>
        </w:rPr>
      </w:r>
      <w:r/>
    </w:p>
    <w:p>
      <w:pPr>
        <w:pStyle w:val="927"/>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19.5.4评审因素包括投标报价、技术或者服务水平、履约能力、售后服务等。</w:t>
      </w:r>
      <w:r>
        <w:rPr>
          <w:rFonts w:hint="eastAsia" w:ascii="宋体" w:hAnsi="宋体" w:eastAsia="宋体" w:cs="宋体"/>
          <w:bCs/>
          <w:szCs w:val="21"/>
          <w:highlight w:val="none"/>
        </w:rPr>
      </w:r>
      <w:r/>
    </w:p>
    <w:p>
      <w:pPr>
        <w:pStyle w:val="927"/>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19.5.5评标方法和评标标准详见文件第三章。</w:t>
      </w:r>
      <w:r>
        <w:rPr>
          <w:rFonts w:hint="eastAsia" w:ascii="宋体" w:hAnsi="宋体" w:eastAsia="宋体" w:cs="宋体"/>
          <w:bCs/>
          <w:szCs w:val="21"/>
          <w:highlight w:val="none"/>
        </w:rPr>
      </w:r>
      <w:r/>
    </w:p>
    <w:p>
      <w:pPr>
        <w:pStyle w:val="927"/>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hint="eastAsia" w:ascii="宋体" w:hAnsi="宋体" w:eastAsia="宋体" w:cs="宋体"/>
          <w:bCs/>
          <w:szCs w:val="21"/>
          <w:highlight w:val="none"/>
        </w:rPr>
      </w:r>
      <w:r/>
    </w:p>
    <w:p>
      <w:pPr>
        <w:pStyle w:val="927"/>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rPr>
          <w:rFonts w:hint="eastAsia" w:ascii="宋体" w:hAnsi="宋体" w:eastAsia="宋体" w:cs="宋体"/>
          <w:bCs/>
          <w:szCs w:val="21"/>
          <w:highlight w:val="none"/>
        </w:rPr>
      </w:r>
      <w:r/>
    </w:p>
    <w:p>
      <w:pPr>
        <w:pStyle w:val="927"/>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非单一产品采购项目，采购人根据采购项目技术构成、产品价格比重等合理确定核心产品，并在招标文件中载明。多家供应商提供的核心产品品牌相同的，按前述规定处理。</w:t>
      </w:r>
      <w:r>
        <w:rPr>
          <w:rFonts w:hint="eastAsia" w:ascii="宋体" w:hAnsi="宋体" w:eastAsia="宋体" w:cs="宋体"/>
          <w:bCs/>
          <w:szCs w:val="21"/>
          <w:highlight w:val="none"/>
        </w:rPr>
      </w:r>
      <w:r/>
    </w:p>
    <w:p>
      <w:pPr>
        <w:pStyle w:val="927"/>
        <w:ind w:firstLine="424"/>
        <w:spacing w:line="360" w:lineRule="auto"/>
        <w:tabs>
          <w:tab w:val="left" w:pos="1365"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19.6投标供应商存在下列情况之一的，其投标无效：</w:t>
      </w:r>
      <w:r>
        <w:rPr>
          <w:rFonts w:hint="eastAsia" w:ascii="宋体" w:hAnsi="宋体" w:eastAsia="宋体" w:cs="宋体"/>
          <w:b/>
          <w:bCs/>
          <w:szCs w:val="21"/>
          <w:highlight w:val="none"/>
        </w:rPr>
      </w:r>
      <w:r/>
    </w:p>
    <w:p>
      <w:pPr>
        <w:pStyle w:val="927"/>
        <w:ind w:firstLine="420"/>
        <w:jc w:val="left"/>
        <w:spacing w:line="360" w:lineRule="auto"/>
        <w:shd w:val="clear" w:color="auto" w:fill="ffffff"/>
        <w:widowControl/>
        <w:tabs>
          <w:tab w:val="left" w:pos="767"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（1）投标人在苏采云系统规定的时间内未成功解密电子投标文件的。</w:t>
      </w:r>
      <w:r>
        <w:rPr>
          <w:rFonts w:hint="eastAsia" w:ascii="宋体" w:hAnsi="宋体" w:eastAsia="宋体" w:cs="宋体"/>
          <w:szCs w:val="21"/>
          <w:highlight w:val="none"/>
        </w:rPr>
      </w:r>
      <w:r/>
    </w:p>
    <w:p>
      <w:pPr>
        <w:pStyle w:val="927"/>
        <w:ind w:firstLine="420"/>
        <w:jc w:val="left"/>
        <w:spacing w:line="360" w:lineRule="auto"/>
        <w:shd w:val="clear" w:color="auto" w:fill="ffffff"/>
        <w:widowControl/>
        <w:tabs>
          <w:tab w:val="left" w:pos="767" w:leader="none"/>
        </w:tabs>
        <w:rPr>
          <w:rFonts w:hint="eastAsia" w:ascii="宋体" w:hAnsi="宋体" w:eastAsia="宋体" w:cs="宋体"/>
          <w:szCs w:val="21"/>
          <w:highlight w:val="none"/>
        </w:rPr>
      </w:pPr>
      <w:r>
        <w:rPr>
          <w:rFonts w:hint="eastAsia" w:ascii="宋体" w:hAnsi="宋体" w:eastAsia="宋体" w:cs="宋体"/>
          <w:bCs/>
          <w:szCs w:val="21"/>
          <w:highlight w:val="none"/>
        </w:rPr>
        <w:t xml:space="preserve">（2）</w:t>
      </w:r>
      <w:r>
        <w:rPr>
          <w:rFonts w:hint="eastAsia" w:ascii="宋体" w:hAnsi="宋体" w:eastAsia="宋体" w:cs="宋体"/>
          <w:szCs w:val="21"/>
          <w:highlight w:val="none"/>
        </w:rPr>
        <w:t xml:space="preserve">投标人未按照招标文件要求上传电子投标文件的。</w:t>
      </w:r>
      <w:r>
        <w:rPr>
          <w:rFonts w:hint="eastAsia" w:ascii="宋体" w:hAnsi="宋体" w:eastAsia="宋体" w:cs="宋体"/>
          <w:szCs w:val="21"/>
          <w:highlight w:val="none"/>
        </w:rPr>
      </w:r>
      <w:r/>
    </w:p>
    <w:p>
      <w:pPr>
        <w:pStyle w:val="927"/>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（3）供应商不具备招标文件中规定资格要求的</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927"/>
        <w:ind w:firstLine="420"/>
        <w:spacing w:line="360" w:lineRule="auto"/>
        <w:rPr>
          <w:rFonts w:hint="eastAsia" w:ascii="宋体" w:hAnsi="宋体" w:eastAsia="宋体" w:cs="宋体"/>
          <w:szCs w:val="21"/>
          <w:highlight w:val="none"/>
        </w:rPr>
      </w:pPr>
      <w:r>
        <w:rPr>
          <w:rFonts w:hint="eastAsia" w:ascii="宋体" w:hAnsi="宋体" w:eastAsia="宋体" w:cs="宋体"/>
          <w:bCs/>
          <w:szCs w:val="21"/>
          <w:highlight w:val="none"/>
        </w:rPr>
        <w:t xml:space="preserve">（4）供应商在报价时采用选择性报价；</w:t>
      </w:r>
      <w:r>
        <w:rPr>
          <w:rFonts w:hint="eastAsia" w:ascii="宋体" w:hAnsi="宋体" w:eastAsia="宋体" w:cs="宋体"/>
          <w:szCs w:val="21"/>
          <w:highlight w:val="none"/>
        </w:rPr>
      </w:r>
      <w:r/>
    </w:p>
    <w:p>
      <w:pPr>
        <w:pStyle w:val="927"/>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5</w:t>
      </w:r>
      <w:r>
        <w:rPr>
          <w:rFonts w:hint="eastAsia" w:ascii="宋体" w:hAnsi="宋体" w:eastAsia="宋体" w:cs="宋体"/>
          <w:szCs w:val="21"/>
          <w:highlight w:val="none"/>
        </w:rPr>
        <w:t xml:space="preserve">）报价超过招标文件中规定的预算金额或者</w:t>
      </w:r>
      <w:r>
        <w:rPr>
          <w:rFonts w:hint="eastAsia" w:ascii="宋体" w:hAnsi="宋体" w:eastAsia="宋体" w:cs="宋体"/>
          <w:szCs w:val="21"/>
          <w:highlight w:val="none"/>
          <w:lang w:val="en-US" w:eastAsia="zh-CN"/>
        </w:rPr>
        <w:t xml:space="preserve">单价</w:t>
      </w:r>
      <w:r>
        <w:rPr>
          <w:rFonts w:hint="eastAsia" w:ascii="宋体" w:hAnsi="宋体" w:eastAsia="宋体" w:cs="宋体"/>
          <w:szCs w:val="21"/>
          <w:highlight w:val="none"/>
        </w:rPr>
        <w:t xml:space="preserve">最高限价的；</w:t>
      </w:r>
      <w:r>
        <w:rPr>
          <w:rFonts w:hint="eastAsia" w:ascii="宋体" w:hAnsi="宋体" w:eastAsia="宋体" w:cs="宋体"/>
          <w:szCs w:val="21"/>
          <w:highlight w:val="none"/>
        </w:rPr>
      </w:r>
      <w:r/>
    </w:p>
    <w:p>
      <w:pPr>
        <w:pStyle w:val="927"/>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（6）投标文件含有采购人不能接受的附加条件的；</w:t>
      </w:r>
      <w:r>
        <w:rPr>
          <w:rFonts w:hint="eastAsia" w:ascii="宋体" w:hAnsi="宋体" w:eastAsia="宋体" w:cs="宋体"/>
          <w:szCs w:val="21"/>
          <w:highlight w:val="none"/>
        </w:rPr>
      </w:r>
      <w:r/>
    </w:p>
    <w:p>
      <w:pPr>
        <w:pStyle w:val="927"/>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7</w:t>
      </w:r>
      <w:r>
        <w:rPr>
          <w:rFonts w:hint="eastAsia" w:ascii="宋体" w:hAnsi="宋体" w:eastAsia="宋体" w:cs="宋体"/>
          <w:szCs w:val="21"/>
          <w:highlight w:val="none"/>
        </w:rPr>
        <w:t xml:space="preserve">）不同供应商的投标文件由同一单位或者个人编制；</w:t>
      </w:r>
      <w:r>
        <w:rPr>
          <w:rFonts w:hint="eastAsia" w:ascii="宋体" w:hAnsi="宋体" w:eastAsia="宋体" w:cs="宋体"/>
          <w:szCs w:val="21"/>
          <w:highlight w:val="none"/>
        </w:rPr>
      </w:r>
      <w:r/>
    </w:p>
    <w:p>
      <w:pPr>
        <w:pStyle w:val="927"/>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（8）不同供应商委托同一单位或者个人办理投标事宜；</w:t>
      </w:r>
      <w:r>
        <w:rPr>
          <w:rFonts w:hint="eastAsia" w:ascii="宋体" w:hAnsi="宋体" w:eastAsia="宋体" w:cs="宋体"/>
          <w:szCs w:val="21"/>
          <w:highlight w:val="none"/>
        </w:rPr>
      </w:r>
      <w:r/>
    </w:p>
    <w:p>
      <w:pPr>
        <w:pStyle w:val="927"/>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（9）不同供应商的投标文件载明的项目管理成员或联系人员为同一人；</w:t>
      </w:r>
      <w:r>
        <w:rPr>
          <w:rFonts w:hint="eastAsia" w:ascii="宋体" w:hAnsi="宋体" w:eastAsia="宋体" w:cs="宋体"/>
          <w:szCs w:val="21"/>
          <w:highlight w:val="none"/>
        </w:rPr>
      </w:r>
      <w:r/>
    </w:p>
    <w:p>
      <w:pPr>
        <w:pStyle w:val="927"/>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（10）不同供应商的投标文件异常一致或者投标报价呈规律性差异；</w:t>
      </w:r>
      <w:r>
        <w:rPr>
          <w:rFonts w:hint="eastAsia" w:ascii="宋体" w:hAnsi="宋体" w:eastAsia="宋体" w:cs="宋体"/>
          <w:szCs w:val="21"/>
          <w:highlight w:val="none"/>
        </w:rPr>
      </w:r>
      <w:r/>
    </w:p>
    <w:p>
      <w:pPr>
        <w:pStyle w:val="927"/>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（11）不同供应商的投标文件相互混装； </w:t>
      </w:r>
      <w:r>
        <w:rPr>
          <w:rFonts w:hint="eastAsia" w:ascii="宋体" w:hAnsi="宋体" w:eastAsia="宋体" w:cs="宋体"/>
          <w:szCs w:val="21"/>
          <w:highlight w:val="none"/>
        </w:rPr>
      </w:r>
      <w:r/>
    </w:p>
    <w:p>
      <w:pPr>
        <w:pStyle w:val="927"/>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（12）不同供应商的负责人为同一人或者存在控股、管理关系的；</w:t>
      </w:r>
      <w:r>
        <w:rPr>
          <w:rFonts w:hint="eastAsia" w:ascii="宋体" w:hAnsi="宋体" w:eastAsia="宋体" w:cs="宋体"/>
          <w:bCs/>
          <w:szCs w:val="21"/>
          <w:highlight w:val="none"/>
        </w:rPr>
      </w:r>
      <w:r/>
    </w:p>
    <w:p>
      <w:pPr>
        <w:pStyle w:val="927"/>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（13）不同供应商的委托代理人(或法定代表人、项目经理、项目总监、项目负责人等)在招标文件发布日上月至投标截止日当月在同一单位缴纳社会保险的；</w:t>
      </w:r>
      <w:r>
        <w:rPr>
          <w:rFonts w:hint="eastAsia" w:ascii="宋体" w:hAnsi="宋体" w:eastAsia="宋体" w:cs="宋体"/>
          <w:bCs/>
          <w:szCs w:val="21"/>
          <w:highlight w:val="none"/>
        </w:rPr>
      </w:r>
      <w:r/>
    </w:p>
    <w:p>
      <w:pPr>
        <w:pStyle w:val="927"/>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14</w:t>
      </w:r>
      <w:r>
        <w:rPr>
          <w:rFonts w:hint="eastAsia" w:ascii="宋体" w:hAnsi="宋体" w:eastAsia="宋体" w:cs="宋体"/>
          <w:szCs w:val="21"/>
          <w:highlight w:val="none"/>
        </w:rPr>
        <w:t xml:space="preserve">）提供虚假材料的（包括工商营业执照、财务报表、资格证明文件等）；</w:t>
      </w:r>
      <w:r>
        <w:rPr>
          <w:rFonts w:hint="eastAsia" w:ascii="宋体" w:hAnsi="宋体" w:eastAsia="宋体" w:cs="宋体"/>
          <w:szCs w:val="21"/>
          <w:highlight w:val="none"/>
        </w:rPr>
      </w:r>
      <w:r/>
    </w:p>
    <w:p>
      <w:pPr>
        <w:pStyle w:val="927"/>
        <w:ind w:firstLine="420"/>
        <w:spacing w:line="360" w:lineRule="auto"/>
        <w:rPr>
          <w:rFonts w:hint="eastAsia" w:ascii="宋体" w:hAnsi="宋体" w:eastAsia="宋体" w:cs="宋体"/>
          <w:szCs w:val="21"/>
          <w:highlight w:val="none"/>
        </w:rPr>
      </w:pPr>
      <w:r>
        <w:rPr>
          <w:rFonts w:hint="eastAsia" w:ascii="宋体" w:hAnsi="宋体" w:eastAsia="宋体" w:cs="宋体"/>
          <w:bCs/>
          <w:szCs w:val="21"/>
          <w:highlight w:val="none"/>
        </w:rPr>
        <w:t xml:space="preserve">（15）未通过符合性检查的；</w:t>
      </w:r>
      <w:r>
        <w:rPr>
          <w:rFonts w:hint="eastAsia" w:ascii="宋体" w:hAnsi="宋体" w:eastAsia="宋体" w:cs="宋体"/>
          <w:szCs w:val="21"/>
          <w:highlight w:val="none"/>
        </w:rPr>
      </w:r>
      <w:r/>
    </w:p>
    <w:p>
      <w:pPr>
        <w:pStyle w:val="927"/>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16</w:t>
      </w:r>
      <w:r>
        <w:rPr>
          <w:rFonts w:hint="eastAsia" w:ascii="宋体" w:hAnsi="宋体" w:eastAsia="宋体" w:cs="宋体"/>
          <w:szCs w:val="21"/>
          <w:highlight w:val="none"/>
        </w:rPr>
        <w:t xml:space="preserve">）不符合招标文件中规定的其它实质性要求的；</w:t>
      </w:r>
      <w:r>
        <w:rPr>
          <w:rFonts w:hint="eastAsia" w:ascii="宋体" w:hAnsi="宋体" w:eastAsia="宋体" w:cs="宋体"/>
          <w:szCs w:val="21"/>
          <w:highlight w:val="none"/>
        </w:rPr>
      </w:r>
      <w:r/>
    </w:p>
    <w:p>
      <w:pPr>
        <w:pStyle w:val="927"/>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7</w:t>
      </w:r>
      <w:r>
        <w:rPr>
          <w:rFonts w:hint="eastAsia" w:ascii="宋体" w:hAnsi="宋体" w:eastAsia="宋体" w:cs="宋体"/>
          <w:szCs w:val="21"/>
          <w:highlight w:val="none"/>
        </w:rPr>
        <w:t xml:space="preserve">）法律、法规和</w:t>
      </w:r>
      <w:r>
        <w:rPr>
          <w:rFonts w:hint="eastAsia" w:ascii="宋体" w:hAnsi="宋体" w:eastAsia="宋体" w:cs="宋体"/>
          <w:szCs w:val="21"/>
          <w:highlight w:val="none"/>
          <w:lang w:val="en-US" w:eastAsia="zh-CN"/>
        </w:rPr>
        <w:t xml:space="preserve">本</w:t>
      </w:r>
      <w:r>
        <w:rPr>
          <w:rFonts w:hint="eastAsia" w:ascii="宋体" w:hAnsi="宋体" w:eastAsia="宋体" w:cs="宋体"/>
          <w:szCs w:val="21"/>
          <w:highlight w:val="none"/>
        </w:rPr>
        <w:t xml:space="preserve">招标文件规定的其他无效情形。</w:t>
      </w:r>
      <w:r>
        <w:rPr>
          <w:rFonts w:hint="eastAsia" w:ascii="宋体" w:hAnsi="宋体" w:eastAsia="宋体" w:cs="宋体"/>
          <w:szCs w:val="21"/>
          <w:highlight w:val="none"/>
        </w:rPr>
      </w:r>
      <w:r/>
    </w:p>
    <w:p>
      <w:pPr>
        <w:pStyle w:val="927"/>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bCs/>
          <w:szCs w:val="21"/>
          <w:highlight w:val="none"/>
        </w:rPr>
        <w:t xml:space="preserve">19.7 </w:t>
      </w:r>
      <w:r>
        <w:rPr>
          <w:rFonts w:hint="eastAsia" w:ascii="宋体" w:hAnsi="宋体" w:eastAsia="宋体" w:cs="宋体"/>
          <w:b/>
          <w:szCs w:val="21"/>
          <w:highlight w:val="none"/>
        </w:rPr>
        <w:t xml:space="preserve">出现下列情形之一的，应予废标：</w:t>
      </w:r>
      <w:r>
        <w:rPr>
          <w:rFonts w:hint="eastAsia" w:ascii="宋体" w:hAnsi="宋体" w:eastAsia="宋体" w:cs="宋体"/>
          <w:b/>
          <w:szCs w:val="21"/>
          <w:highlight w:val="none"/>
        </w:rPr>
      </w:r>
      <w:r/>
    </w:p>
    <w:p>
      <w:pPr>
        <w:pStyle w:val="927"/>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（1）符合专业条件的供应商或者对招标文件作实质响应的供应商不足三家的；</w:t>
      </w:r>
      <w:r>
        <w:rPr>
          <w:rFonts w:hint="eastAsia" w:ascii="宋体" w:hAnsi="宋体" w:eastAsia="宋体" w:cs="宋体"/>
          <w:szCs w:val="21"/>
          <w:highlight w:val="none"/>
        </w:rPr>
      </w:r>
      <w:r/>
    </w:p>
    <w:p>
      <w:pPr>
        <w:pStyle w:val="927"/>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（2）出现影响采购公正的违法、违规行为的；</w:t>
      </w:r>
      <w:r>
        <w:rPr>
          <w:rFonts w:hint="eastAsia" w:ascii="宋体" w:hAnsi="宋体" w:eastAsia="宋体" w:cs="宋体"/>
          <w:szCs w:val="21"/>
          <w:highlight w:val="none"/>
        </w:rPr>
      </w:r>
      <w:r/>
    </w:p>
    <w:p>
      <w:pPr>
        <w:pStyle w:val="927"/>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（3）因重大变故，采购任务取消的；</w:t>
      </w:r>
      <w:r>
        <w:rPr>
          <w:rFonts w:hint="eastAsia" w:ascii="宋体" w:hAnsi="宋体" w:eastAsia="宋体" w:cs="宋体"/>
          <w:szCs w:val="21"/>
          <w:highlight w:val="none"/>
        </w:rPr>
      </w:r>
      <w:r/>
    </w:p>
    <w:p>
      <w:pPr>
        <w:pStyle w:val="927"/>
        <w:ind w:firstLine="420"/>
        <w:spacing w:line="360" w:lineRule="auto"/>
        <w:rPr>
          <w:rFonts w:hint="eastAsia" w:ascii="宋体" w:hAnsi="宋体" w:eastAsia="宋体" w:cs="宋体"/>
          <w:szCs w:val="21"/>
          <w:highlight w:val="none"/>
        </w:rPr>
      </w:pPr>
      <w:r>
        <w:rPr>
          <w:rFonts w:hint="eastAsia" w:ascii="宋体" w:hAnsi="宋体" w:eastAsia="宋体" w:cs="宋体"/>
          <w:bCs/>
          <w:szCs w:val="21"/>
          <w:highlight w:val="none"/>
        </w:rPr>
        <w:t xml:space="preserve">（4）评标委员会认定招标文件存在歧义、重大缺陷导致评审工作无法进行的，或者招标文件内容违反国家有关强制性规定的。</w:t>
      </w:r>
      <w:r>
        <w:rPr>
          <w:rFonts w:hint="eastAsia" w:ascii="宋体" w:hAnsi="宋体" w:eastAsia="宋体" w:cs="宋体"/>
          <w:szCs w:val="21"/>
          <w:highlight w:val="none"/>
        </w:rPr>
      </w:r>
      <w:r/>
    </w:p>
    <w:p>
      <w:pPr>
        <w:pStyle w:val="927"/>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在评标期间，通过资格审查或符合性审查的投标人不足3家情形的，比照</w:t>
      </w:r>
      <w:r>
        <w:rPr>
          <w:rFonts w:hint="eastAsia" w:ascii="宋体" w:hAnsi="宋体" w:eastAsia="宋体" w:cs="宋体"/>
          <w:b/>
          <w:bCs/>
          <w:szCs w:val="21"/>
          <w:highlight w:val="none"/>
        </w:rPr>
        <w:t xml:space="preserve">19.3.5</w:t>
      </w:r>
      <w:r>
        <w:rPr>
          <w:rFonts w:hint="eastAsia" w:ascii="宋体" w:hAnsi="宋体" w:eastAsia="宋体" w:cs="宋体"/>
          <w:szCs w:val="21"/>
          <w:highlight w:val="none"/>
        </w:rPr>
        <w:t xml:space="preserve">款执行。</w:t>
      </w:r>
      <w:r>
        <w:rPr>
          <w:rFonts w:hint="eastAsia" w:ascii="宋体" w:hAnsi="宋体" w:eastAsia="宋体" w:cs="宋体"/>
          <w:szCs w:val="21"/>
          <w:highlight w:val="none"/>
        </w:rPr>
      </w:r>
      <w:r/>
    </w:p>
    <w:p>
      <w:pPr>
        <w:pStyle w:val="927"/>
        <w:ind w:firstLine="420"/>
        <w:spacing w:line="360" w:lineRule="auto"/>
        <w:shd w:val="clear" w:color="auto" w:fill="ffffff"/>
        <w:widowControl/>
        <w:rPr>
          <w:rFonts w:hint="eastAsia" w:ascii="宋体" w:hAnsi="宋体" w:eastAsia="宋体" w:cs="宋体"/>
          <w:b/>
          <w:bCs/>
          <w:color w:val="000000"/>
          <w:szCs w:val="21"/>
          <w:highlight w:val="none"/>
        </w:rPr>
        <w:outlineLvl w:val="1"/>
      </w:pPr>
      <w:r/>
      <w:bookmarkEnd w:id="100"/>
      <w:r/>
      <w:bookmarkEnd w:id="101"/>
      <w:r/>
      <w:bookmarkEnd w:id="102"/>
      <w:r/>
      <w:bookmarkEnd w:id="103"/>
      <w:r/>
      <w:bookmarkStart w:id="107" w:name="_Toc12294"/>
      <w:r/>
      <w:bookmarkStart w:id="108" w:name="_Toc18327"/>
      <w:r>
        <w:rPr>
          <w:rFonts w:hint="eastAsia" w:ascii="宋体" w:hAnsi="宋体" w:eastAsia="宋体" w:cs="宋体"/>
          <w:b/>
          <w:bCs/>
          <w:color w:val="000000"/>
          <w:szCs w:val="21"/>
          <w:highlight w:val="none"/>
        </w:rPr>
        <w:t xml:space="preserve">六、授标</w:t>
      </w:r>
      <w:bookmarkEnd w:id="107"/>
      <w:r/>
      <w:bookmarkEnd w:id="108"/>
      <w:r>
        <w:rPr>
          <w:rFonts w:hint="eastAsia" w:ascii="宋体" w:hAnsi="宋体" w:eastAsia="宋体" w:cs="宋体"/>
          <w:b/>
          <w:bCs/>
          <w:color w:val="000000"/>
          <w:szCs w:val="21"/>
          <w:highlight w:val="none"/>
        </w:rPr>
      </w:r>
      <w:r/>
    </w:p>
    <w:p>
      <w:pPr>
        <w:pStyle w:val="927"/>
        <w:ind w:firstLine="420"/>
        <w:spacing w:line="360" w:lineRule="auto"/>
        <w:shd w:val="clear" w:color="auto" w:fill="ffffff"/>
        <w:widowControl/>
        <w:rPr>
          <w:rFonts w:hint="eastAsia" w:ascii="宋体" w:hAnsi="宋体" w:eastAsia="宋体" w:cs="宋体"/>
          <w:b/>
          <w:bCs/>
          <w:color w:val="000000"/>
          <w:sz w:val="21"/>
          <w:szCs w:val="21"/>
          <w:highlight w:val="none"/>
        </w:rPr>
      </w:pPr>
      <w:r/>
      <w:bookmarkStart w:id="109" w:name="_Toc28693"/>
      <w:r/>
      <w:bookmarkStart w:id="110" w:name="_Toc27522"/>
      <w:r>
        <w:rPr>
          <w:rFonts w:hint="eastAsia" w:ascii="宋体" w:hAnsi="宋体" w:eastAsia="宋体" w:cs="宋体"/>
          <w:b/>
          <w:bCs/>
          <w:color w:val="000000"/>
          <w:sz w:val="21"/>
          <w:szCs w:val="21"/>
          <w:highlight w:val="none"/>
        </w:rPr>
        <w:t xml:space="preserve">20.确定中标</w:t>
      </w:r>
      <w:bookmarkEnd w:id="109"/>
      <w:r>
        <w:rPr>
          <w:rFonts w:hint="eastAsia" w:ascii="宋体" w:hAnsi="宋体" w:eastAsia="宋体" w:cs="宋体"/>
          <w:b/>
          <w:bCs/>
          <w:color w:val="000000"/>
          <w:sz w:val="21"/>
          <w:szCs w:val="21"/>
          <w:highlight w:val="none"/>
        </w:rPr>
        <w:t xml:space="preserve">供应商</w:t>
      </w:r>
      <w:bookmarkEnd w:id="110"/>
      <w:r/>
      <w:bookmarkStart w:id="111" w:name="_Toc7377"/>
      <w:r>
        <w:rPr>
          <w:rFonts w:hint="eastAsia" w:ascii="宋体" w:hAnsi="宋体" w:eastAsia="宋体" w:cs="宋体"/>
          <w:b/>
          <w:bCs/>
          <w:color w:val="000000"/>
          <w:sz w:val="21"/>
          <w:szCs w:val="21"/>
          <w:highlight w:val="none"/>
        </w:rPr>
      </w:r>
      <w:r/>
    </w:p>
    <w:p>
      <w:pPr>
        <w:pStyle w:val="927"/>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20.1采用综合评分法的，评标结果按评审后得分由高到低顺序排列。得分相同的，按投标报价由低到高顺序排列。得分且投标报价相同的，按技术指标优劣顺序排列。投标文件满足招标文件全部实质性要求，且按照评审因素的量化指标评审得分最高的投标人为排名第一的中标候选人。最低投标价等任何单项因素的最优不是中标的必要条件。</w:t>
      </w:r>
      <w:r>
        <w:rPr>
          <w:rFonts w:hint="eastAsia" w:ascii="宋体" w:hAnsi="宋体" w:eastAsia="宋体" w:cs="宋体"/>
          <w:szCs w:val="21"/>
          <w:highlight w:val="none"/>
        </w:rPr>
      </w:r>
      <w:r/>
    </w:p>
    <w:p>
      <w:pPr>
        <w:pStyle w:val="927"/>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20.2中标人确定后，在江苏省政府采购网上公告中标结果，中标公告期为1个工作日，公告的同时向中标供应商发出中标通知书。</w:t>
      </w:r>
      <w:r>
        <w:rPr>
          <w:rFonts w:hint="eastAsia" w:ascii="宋体" w:hAnsi="宋体" w:eastAsia="宋体" w:cs="宋体"/>
          <w:szCs w:val="21"/>
          <w:highlight w:val="none"/>
        </w:rPr>
      </w:r>
      <w:r/>
    </w:p>
    <w:p>
      <w:pPr>
        <w:pStyle w:val="927"/>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20.3中标供应商在收到中标通知书后，应郑重保证履行中标供应商应履行的，含招标代理服务费在内的一切义务和责任。</w:t>
      </w:r>
      <w:r>
        <w:rPr>
          <w:rFonts w:hint="eastAsia" w:ascii="宋体" w:hAnsi="宋体" w:eastAsia="宋体" w:cs="宋体"/>
          <w:szCs w:val="21"/>
          <w:highlight w:val="none"/>
        </w:rPr>
      </w:r>
      <w:r/>
    </w:p>
    <w:p>
      <w:pPr>
        <w:pStyle w:val="927"/>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20.4中标通知书对采购人和中标供应商具有同等法律效力。</w:t>
      </w:r>
      <w:r>
        <w:rPr>
          <w:rFonts w:hint="eastAsia" w:ascii="宋体" w:hAnsi="宋体" w:eastAsia="宋体" w:cs="宋体"/>
          <w:szCs w:val="21"/>
          <w:highlight w:val="none"/>
        </w:rPr>
      </w:r>
      <w:r/>
    </w:p>
    <w:p>
      <w:pPr>
        <w:pStyle w:val="927"/>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20.5中标通知书发出后，中标或者成交后无正当理由拒不与采购人签订政府采购合同的；情节严重的，由财政部门将其列入不良行为记录名单，在一至三年内禁止参加政府采购活动，并予以通报。</w:t>
      </w:r>
      <w:r>
        <w:rPr>
          <w:rFonts w:hint="eastAsia" w:ascii="宋体" w:hAnsi="宋体" w:eastAsia="宋体" w:cs="宋体"/>
          <w:szCs w:val="21"/>
          <w:highlight w:val="none"/>
        </w:rPr>
      </w:r>
      <w:r/>
    </w:p>
    <w:p>
      <w:pPr>
        <w:pStyle w:val="927"/>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20.6 若评标委员会发现供应商的投标文件中有弄虚作假行为，则该供应商将失去中标资格。</w:t>
      </w:r>
      <w:r>
        <w:rPr>
          <w:rFonts w:hint="eastAsia" w:ascii="宋体" w:hAnsi="宋体" w:eastAsia="宋体" w:cs="宋体"/>
          <w:szCs w:val="21"/>
          <w:highlight w:val="none"/>
        </w:rPr>
      </w:r>
      <w:r/>
    </w:p>
    <w:p>
      <w:pPr>
        <w:pStyle w:val="927"/>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21.评标过程的保密性</w:t>
      </w:r>
      <w:r>
        <w:rPr>
          <w:rFonts w:hint="eastAsia" w:ascii="宋体" w:hAnsi="宋体" w:eastAsia="宋体" w:cs="宋体"/>
          <w:b/>
          <w:bCs/>
          <w:szCs w:val="21"/>
          <w:highlight w:val="none"/>
        </w:rPr>
      </w:r>
      <w:r/>
    </w:p>
    <w:p>
      <w:pPr>
        <w:pStyle w:val="927"/>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21.1 采购人和采购代理机构将采取必要措施，保证评标在严格保密的情况下进行。</w:t>
      </w:r>
      <w:r>
        <w:rPr>
          <w:rFonts w:hint="eastAsia" w:ascii="宋体" w:hAnsi="宋体" w:eastAsia="宋体" w:cs="宋体"/>
          <w:szCs w:val="21"/>
          <w:highlight w:val="none"/>
        </w:rPr>
      </w:r>
      <w:r/>
    </w:p>
    <w:p>
      <w:pPr>
        <w:pStyle w:val="927"/>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21.2 任何单位和个人不得非法干预、影响评标办法的确定，以及评标过程和结果。</w:t>
      </w:r>
      <w:r>
        <w:rPr>
          <w:rFonts w:hint="eastAsia" w:ascii="宋体" w:hAnsi="宋体" w:eastAsia="宋体" w:cs="宋体"/>
          <w:szCs w:val="21"/>
          <w:highlight w:val="none"/>
        </w:rPr>
      </w:r>
      <w:r/>
    </w:p>
    <w:p>
      <w:pPr>
        <w:pStyle w:val="927"/>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21.3 凡是与审查、澄清、评价和比较投标的有关资料等，均不向投标人及与评标无关的其他人员透露。</w:t>
      </w:r>
      <w:r>
        <w:rPr>
          <w:rFonts w:hint="eastAsia" w:ascii="宋体" w:hAnsi="宋体" w:eastAsia="宋体" w:cs="宋体"/>
          <w:szCs w:val="21"/>
          <w:highlight w:val="none"/>
        </w:rPr>
      </w:r>
      <w:r/>
    </w:p>
    <w:p>
      <w:pPr>
        <w:pStyle w:val="927"/>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22.签订合同</w:t>
      </w:r>
      <w:r>
        <w:rPr>
          <w:rFonts w:hint="eastAsia" w:ascii="宋体" w:hAnsi="宋体" w:eastAsia="宋体" w:cs="宋体"/>
          <w:b/>
          <w:bCs/>
          <w:szCs w:val="21"/>
          <w:highlight w:val="none"/>
        </w:rPr>
      </w:r>
      <w:r/>
    </w:p>
    <w:p>
      <w:pPr>
        <w:pStyle w:val="927"/>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22.1采购人应当自中标通知书发出之日起三十日内，按照招标文件和中标供应商投标文件的约定，与中标供应商签订书面合同。所签订的合同不得对招标文件和中标供应商投标文件作实质性修改。</w:t>
      </w:r>
      <w:r>
        <w:rPr>
          <w:rFonts w:hint="eastAsia" w:ascii="宋体" w:hAnsi="宋体" w:eastAsia="宋体" w:cs="宋体"/>
          <w:szCs w:val="21"/>
          <w:highlight w:val="none"/>
        </w:rPr>
      </w:r>
      <w:r/>
    </w:p>
    <w:p>
      <w:pPr>
        <w:pStyle w:val="927"/>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22.2招标文件、中标供应商的投标文件及评标过程中有关澄清、说明或者补正文件均应作为合同附件。</w:t>
      </w:r>
      <w:r>
        <w:rPr>
          <w:rFonts w:hint="eastAsia" w:ascii="宋体" w:hAnsi="宋体" w:eastAsia="宋体" w:cs="宋体"/>
          <w:szCs w:val="21"/>
          <w:highlight w:val="none"/>
        </w:rPr>
      </w:r>
      <w:r/>
    </w:p>
    <w:p>
      <w:pPr>
        <w:pStyle w:val="927"/>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22.3采购人不得向中标人提出任何不合理的要求作为签订合同的条件。</w:t>
      </w:r>
      <w:r>
        <w:rPr>
          <w:rFonts w:hint="eastAsia" w:ascii="宋体" w:hAnsi="宋体" w:eastAsia="宋体" w:cs="宋体"/>
          <w:szCs w:val="21"/>
          <w:highlight w:val="none"/>
        </w:rPr>
      </w:r>
      <w:r/>
    </w:p>
    <w:p>
      <w:pPr>
        <w:pStyle w:val="927"/>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22.4 中标供应商因不可抗力或者自身原因不能履行采购合同的，采购人可以与排位在中标供应商之后第一位的中标候选供应商签订采购合同，以此类推；采购人也可以重新开展采购活动。</w:t>
      </w:r>
      <w:r>
        <w:rPr>
          <w:rFonts w:hint="eastAsia" w:ascii="宋体" w:hAnsi="宋体" w:eastAsia="宋体" w:cs="宋体"/>
          <w:szCs w:val="21"/>
          <w:highlight w:val="none"/>
        </w:rPr>
      </w:r>
      <w:r/>
    </w:p>
    <w:p>
      <w:pPr>
        <w:pStyle w:val="927"/>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22.5 政府采购合同履行中，采购人需追加与合同标的相同的货物、工程或者服务的，在不改变合同其他条款的前提下，可以与供应商协商签订补充合同，但所有补充合同的采购金额不得超过原合同采购金额的百分之十。</w:t>
      </w:r>
      <w:r>
        <w:rPr>
          <w:rFonts w:hint="eastAsia" w:ascii="宋体" w:hAnsi="宋体" w:eastAsia="宋体" w:cs="宋体"/>
          <w:szCs w:val="21"/>
          <w:highlight w:val="none"/>
        </w:rPr>
      </w:r>
      <w:r/>
    </w:p>
    <w:p>
      <w:pPr>
        <w:pStyle w:val="927"/>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22.6 采购人与中标人应当根据合同的约定依法履行合同义务。</w:t>
      </w:r>
      <w:bookmarkEnd w:id="111"/>
      <w:r>
        <w:rPr>
          <w:rFonts w:hint="eastAsia" w:ascii="宋体" w:hAnsi="宋体" w:eastAsia="宋体" w:cs="宋体"/>
          <w:szCs w:val="21"/>
          <w:highlight w:val="none"/>
        </w:rPr>
      </w:r>
      <w:r/>
    </w:p>
    <w:p>
      <w:pPr>
        <w:pStyle w:val="927"/>
        <w:ind w:firstLine="420"/>
        <w:spacing w:line="360" w:lineRule="auto"/>
        <w:shd w:val="clear" w:color="auto" w:fill="ffffff"/>
        <w:widowControl/>
        <w:rPr>
          <w:rFonts w:hint="eastAsia" w:ascii="宋体" w:hAnsi="宋体" w:eastAsia="宋体" w:cs="宋体"/>
          <w:b/>
          <w:bCs/>
          <w:color w:val="000000"/>
          <w:szCs w:val="21"/>
          <w:highlight w:val="none"/>
        </w:rPr>
      </w:pPr>
      <w:r>
        <w:rPr>
          <w:rFonts w:hint="eastAsia" w:ascii="宋体" w:hAnsi="宋体" w:eastAsia="宋体" w:cs="宋体"/>
          <w:b/>
          <w:bCs/>
          <w:szCs w:val="21"/>
          <w:highlight w:val="none"/>
        </w:rPr>
        <w:t xml:space="preserve">22.7 履约保证金（本项目不收取）</w:t>
      </w:r>
      <w:bookmarkStart w:id="112" w:name="_Toc15509"/>
      <w:r/>
      <w:bookmarkStart w:id="113" w:name="_Toc415"/>
      <w:r>
        <w:rPr>
          <w:rFonts w:hint="eastAsia" w:ascii="宋体" w:hAnsi="宋体" w:eastAsia="宋体" w:cs="宋体"/>
          <w:b/>
          <w:bCs/>
          <w:color w:val="000000"/>
          <w:szCs w:val="21"/>
          <w:highlight w:val="none"/>
        </w:rPr>
      </w:r>
      <w:r/>
    </w:p>
    <w:p>
      <w:pPr>
        <w:pStyle w:val="927"/>
        <w:ind w:firstLine="420"/>
        <w:spacing w:line="360" w:lineRule="auto"/>
        <w:shd w:val="clear" w:color="auto" w:fill="ffffff"/>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23.招标代理服务费</w:t>
      </w:r>
      <w:bookmarkEnd w:id="112"/>
      <w:r/>
      <w:bookmarkEnd w:id="113"/>
      <w:r>
        <w:rPr>
          <w:rFonts w:hint="eastAsia" w:ascii="宋体" w:hAnsi="宋体" w:eastAsia="宋体" w:cs="宋体"/>
          <w:b/>
          <w:bCs/>
          <w:color w:val="000000"/>
          <w:sz w:val="21"/>
          <w:szCs w:val="21"/>
          <w:highlight w:val="none"/>
        </w:rPr>
      </w:r>
      <w:r/>
    </w:p>
    <w:p>
      <w:pPr>
        <w:pStyle w:val="927"/>
        <w:spacing w:line="360" w:lineRule="auto"/>
        <w:rPr>
          <w:rFonts w:hint="eastAsia" w:ascii="宋体" w:hAnsi="宋体" w:eastAsia="宋体" w:cs="宋体"/>
          <w:szCs w:val="21"/>
          <w:highlight w:val="none"/>
          <w:lang w:val="zh-CN"/>
        </w:rPr>
      </w:pPr>
      <w:r>
        <w:rPr>
          <w:rFonts w:hint="eastAsia" w:ascii="宋体" w:hAnsi="宋体" w:eastAsia="宋体" w:cs="宋体"/>
          <w:bCs/>
          <w:szCs w:val="21"/>
          <w:highlight w:val="none"/>
        </w:rPr>
        <w:t xml:space="preserve">    23.1 </w:t>
      </w:r>
      <w:r>
        <w:rPr>
          <w:rFonts w:hint="eastAsia" w:ascii="宋体" w:hAnsi="宋体" w:eastAsia="宋体" w:cs="宋体"/>
          <w:szCs w:val="21"/>
          <w:highlight w:val="none"/>
          <w:lang w:val="zh-CN"/>
        </w:rPr>
        <w:t xml:space="preserve">领取中标通知时，中标人向采购代理机构一次性付清。</w:t>
      </w:r>
      <w:r>
        <w:rPr>
          <w:rFonts w:hint="eastAsia" w:ascii="宋体" w:hAnsi="宋体" w:eastAsia="宋体" w:cs="宋体"/>
          <w:szCs w:val="21"/>
          <w:highlight w:val="none"/>
          <w:lang w:val="zh-CN"/>
        </w:rPr>
      </w:r>
      <w:r/>
    </w:p>
    <w:p>
      <w:pPr>
        <w:pStyle w:val="957"/>
        <w:ind w:firstLine="420"/>
        <w:spacing w:line="360" w:lineRule="auto"/>
        <w:rPr>
          <w:rFonts w:hint="eastAsia" w:hAnsi="宋体" w:eastAsia="宋体" w:cs="宋体"/>
          <w:bCs/>
          <w:szCs w:val="21"/>
          <w:highlight w:val="none"/>
          <w:lang w:val="en-US" w:eastAsia="zh-CN"/>
        </w:rPr>
      </w:pPr>
      <w:r>
        <w:rPr>
          <w:rFonts w:hint="eastAsia" w:hAnsi="宋体" w:eastAsia="宋体" w:cs="宋体"/>
          <w:bCs/>
          <w:szCs w:val="21"/>
          <w:highlight w:val="none"/>
        </w:rPr>
        <w:t xml:space="preserve">23.2</w:t>
      </w:r>
      <w:r>
        <w:rPr>
          <w:rFonts w:hint="eastAsia" w:hAnsi="宋体" w:eastAsia="宋体" w:cs="宋体"/>
          <w:bCs/>
          <w:szCs w:val="21"/>
          <w:highlight w:val="none"/>
          <w:lang w:val="en-US" w:eastAsia="zh-CN"/>
        </w:rPr>
        <w:t xml:space="preserve"> 招标代理服务费：根据江苏省财政厅《关于进一步规范政府采购活动相关费用管理的通知》（苏财规〔2026〕1号）相关要求，为提高采购效率、简化资金支付流程，本项目中标服务费由中标供应商在领取成交通知书时，一次性支付至采购代理机构。采购代理机构按中标金额的一定比例向中标供应商收取代理服务费，服务费按按照江苏省政府采购协会2024年11月20日印发的《江苏省政府采购代理服务收费指导意见》明确的采购代理常规服务收费指导价的70%收取，计费基准为各分包最终中标价格。</w:t>
      </w:r>
      <w:r>
        <w:rPr>
          <w:rFonts w:hint="eastAsia" w:hAnsi="宋体" w:eastAsia="宋体" w:cs="宋体"/>
          <w:bCs/>
          <w:szCs w:val="21"/>
          <w:highlight w:val="none"/>
          <w:lang w:val="en-US" w:eastAsia="zh-CN"/>
        </w:rPr>
      </w:r>
      <w:r/>
    </w:p>
    <w:p>
      <w:pPr>
        <w:pStyle w:val="957"/>
        <w:ind w:firstLine="420"/>
        <w:spacing w:line="360" w:lineRule="auto"/>
        <w:rPr>
          <w:rFonts w:hint="eastAsia" w:hAnsi="宋体" w:eastAsia="宋体" w:cs="宋体"/>
          <w:bCs/>
          <w:szCs w:val="21"/>
          <w:highlight w:val="none"/>
          <w:lang w:val="en-US" w:eastAsia="zh-CN"/>
        </w:rPr>
      </w:pPr>
      <w:r>
        <w:rPr>
          <w:rFonts w:hint="eastAsia" w:hAnsi="宋体" w:eastAsia="宋体" w:cs="宋体"/>
          <w:bCs/>
          <w:szCs w:val="21"/>
          <w:highlight w:val="none"/>
          <w:lang w:val="en-US" w:eastAsia="zh-CN"/>
        </w:rPr>
        <w:t xml:space="preserve">本项费用已综合包含在供应商投标报价内，不单独列项、不另行结算。各供应商在编制报价文件时，须足额测算、统筹将该项代理费纳入成本综合考量，因未合理预估该项费用所产生的损失与风险，均由供应商自行承担。</w:t>
      </w:r>
      <w:r>
        <w:rPr>
          <w:rFonts w:hint="eastAsia" w:hAnsi="宋体" w:eastAsia="宋体" w:cs="宋体"/>
          <w:bCs/>
          <w:szCs w:val="21"/>
          <w:highlight w:val="none"/>
          <w:lang w:val="en-US" w:eastAsia="zh-CN"/>
        </w:rPr>
      </w:r>
      <w:r/>
    </w:p>
    <w:p>
      <w:pPr>
        <w:pStyle w:val="957"/>
        <w:spacing w:line="360" w:lineRule="auto"/>
        <w:rPr>
          <w:rFonts w:hint="eastAsia" w:hAnsi="宋体" w:eastAsia="宋体" w:cs="宋体"/>
          <w:szCs w:val="21"/>
          <w:highlight w:val="none"/>
        </w:rPr>
      </w:pPr>
      <w:r>
        <w:rPr>
          <w:rFonts w:hint="eastAsia" w:hAnsi="宋体" w:eastAsia="宋体" w:cs="宋体"/>
          <w:bCs/>
          <w:szCs w:val="21"/>
          <w:highlight w:val="none"/>
        </w:rPr>
        <w:t xml:space="preserve">    23.3</w:t>
      </w:r>
      <w:r>
        <w:rPr>
          <w:rFonts w:hint="eastAsia" w:hAnsi="宋体" w:eastAsia="宋体" w:cs="宋体"/>
          <w:szCs w:val="21"/>
          <w:highlight w:val="none"/>
        </w:rPr>
        <w:t xml:space="preserve">服务费交纳账户：苏美达国际技术贸易有限公司</w:t>
      </w:r>
      <w:r>
        <w:rPr>
          <w:rFonts w:hint="eastAsia" w:hAnsi="宋体" w:eastAsia="宋体" w:cs="宋体"/>
          <w:szCs w:val="21"/>
          <w:highlight w:val="none"/>
        </w:rPr>
      </w:r>
      <w:r/>
    </w:p>
    <w:p>
      <w:pPr>
        <w:pStyle w:val="957"/>
        <w:ind w:firstLine="420"/>
        <w:spacing w:line="360" w:lineRule="auto"/>
        <w:rPr>
          <w:rFonts w:hint="eastAsia" w:hAnsi="宋体" w:eastAsia="宋体" w:cs="宋体"/>
          <w:szCs w:val="21"/>
          <w:highlight w:val="none"/>
        </w:rPr>
      </w:pPr>
      <w:r>
        <w:rPr>
          <w:rFonts w:hint="eastAsia" w:hAnsi="宋体" w:eastAsia="宋体" w:cs="宋体"/>
          <w:szCs w:val="21"/>
          <w:highlight w:val="none"/>
        </w:rPr>
        <w:t xml:space="preserve">账号：7321010182300013675　　　</w:t>
      </w:r>
      <w:r>
        <w:rPr>
          <w:rFonts w:hint="eastAsia" w:hAnsi="宋体" w:eastAsia="宋体" w:cs="宋体"/>
          <w:szCs w:val="21"/>
          <w:highlight w:val="none"/>
        </w:rPr>
      </w:r>
      <w:r/>
    </w:p>
    <w:p>
      <w:pPr>
        <w:pStyle w:val="1133"/>
        <w:ind w:firstLine="420"/>
        <w:rPr>
          <w:rFonts w:hint="eastAsia" w:ascii="宋体" w:hAnsi="宋体" w:eastAsia="宋体" w:cs="宋体"/>
          <w:sz w:val="21"/>
          <w:highlight w:val="none"/>
        </w:rPr>
      </w:pPr>
      <w:r>
        <w:rPr>
          <w:rFonts w:hint="eastAsia" w:ascii="宋体" w:hAnsi="宋体" w:eastAsia="宋体" w:cs="宋体"/>
          <w:sz w:val="21"/>
          <w:highlight w:val="none"/>
        </w:rPr>
        <w:t xml:space="preserve">开户银行：中信南京分行营业部　</w:t>
      </w:r>
      <w:r>
        <w:rPr>
          <w:rFonts w:hint="eastAsia" w:ascii="宋体" w:hAnsi="宋体" w:eastAsia="宋体" w:cs="宋体"/>
          <w:sz w:val="21"/>
          <w:highlight w:val="none"/>
        </w:rPr>
      </w:r>
      <w:r/>
    </w:p>
    <w:p>
      <w:pPr>
        <w:pStyle w:val="1133"/>
        <w:ind w:firstLine="420"/>
        <w:rPr>
          <w:rFonts w:hint="eastAsia" w:ascii="宋体" w:hAnsi="宋体" w:eastAsia="宋体" w:cs="宋体"/>
          <w:sz w:val="21"/>
          <w:highlight w:val="none"/>
        </w:rPr>
      </w:pPr>
      <w:r>
        <w:rPr>
          <w:rFonts w:hint="eastAsia" w:ascii="宋体" w:hAnsi="宋体" w:eastAsia="宋体" w:cs="宋体"/>
          <w:sz w:val="21"/>
          <w:highlight w:val="none"/>
        </w:rPr>
        <w:t xml:space="preserve">行号：302301003210</w:t>
      </w:r>
      <w:r>
        <w:rPr>
          <w:rFonts w:hint="eastAsia" w:ascii="宋体" w:hAnsi="宋体" w:eastAsia="宋体" w:cs="宋体"/>
          <w:sz w:val="21"/>
          <w:highlight w:val="none"/>
        </w:rPr>
      </w:r>
      <w:r/>
    </w:p>
    <w:p>
      <w:pPr>
        <w:pStyle w:val="1133"/>
        <w:ind w:firstLine="420"/>
        <w:rPr>
          <w:rFonts w:ascii="宋体" w:hAnsi="宋体" w:eastAsia="宋体" w:cs="宋体"/>
          <w:sz w:val="21"/>
          <w:highlight w:val="none"/>
          <w:lang w:val="en-US" w:eastAsia="zh-CN"/>
        </w:rPr>
      </w:pPr>
      <w:r>
        <w:rPr>
          <w:rFonts w:hint="eastAsia" w:ascii="宋体" w:hAnsi="宋体" w:eastAsia="宋体" w:cs="宋体"/>
          <w:sz w:val="21"/>
          <w:highlight w:val="none"/>
          <w:lang w:val="en-US" w:eastAsia="zh-CN"/>
        </w:rPr>
        <w:t xml:space="preserve">23.4 专家评审费用由采购人支付。</w:t>
      </w:r>
      <w:r>
        <w:rPr>
          <w:rFonts w:ascii="宋体" w:hAnsi="宋体" w:eastAsia="宋体" w:cs="宋体"/>
          <w:sz w:val="21"/>
          <w:highlight w:val="none"/>
          <w:lang w:val="en-US" w:eastAsia="zh-CN"/>
        </w:rPr>
      </w:r>
      <w:r/>
    </w:p>
    <w:p>
      <w:pPr>
        <w:pStyle w:val="927"/>
        <w:ind w:firstLine="420"/>
        <w:spacing w:line="360" w:lineRule="auto"/>
        <w:shd w:val="clear" w:color="auto" w:fill="ffffff"/>
        <w:widowControl/>
        <w:rPr>
          <w:rFonts w:hint="eastAsia" w:ascii="宋体" w:hAnsi="宋体" w:eastAsia="宋体" w:cs="宋体"/>
          <w:b/>
          <w:bCs/>
          <w:color w:val="000000"/>
          <w:szCs w:val="21"/>
          <w:highlight w:val="none"/>
        </w:rPr>
        <w:outlineLvl w:val="1"/>
      </w:pPr>
      <w:r/>
      <w:bookmarkStart w:id="114" w:name="_Toc5784"/>
      <w:r>
        <w:rPr>
          <w:rFonts w:hint="eastAsia" w:ascii="宋体" w:hAnsi="宋体" w:eastAsia="宋体" w:cs="宋体"/>
          <w:b/>
          <w:bCs/>
          <w:color w:val="000000"/>
          <w:szCs w:val="21"/>
          <w:highlight w:val="none"/>
        </w:rPr>
        <w:t xml:space="preserve">七、质疑</w:t>
      </w:r>
      <w:bookmarkEnd w:id="114"/>
      <w:r>
        <w:rPr>
          <w:rFonts w:hint="eastAsia" w:ascii="宋体" w:hAnsi="宋体" w:eastAsia="宋体" w:cs="宋体"/>
          <w:b/>
          <w:bCs/>
          <w:color w:val="000000"/>
          <w:szCs w:val="21"/>
          <w:highlight w:val="none"/>
        </w:rPr>
        <w:t xml:space="preserve">和投诉</w:t>
      </w:r>
      <w:r>
        <w:rPr>
          <w:rFonts w:hint="eastAsia" w:ascii="宋体" w:hAnsi="宋体" w:eastAsia="宋体" w:cs="宋体"/>
          <w:b/>
          <w:bCs/>
          <w:color w:val="000000"/>
          <w:szCs w:val="21"/>
          <w:highlight w:val="none"/>
        </w:rPr>
      </w:r>
      <w:r/>
    </w:p>
    <w:p>
      <w:pPr>
        <w:pStyle w:val="927"/>
        <w:ind w:firstLine="422"/>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24.质疑</w:t>
      </w:r>
      <w:r>
        <w:rPr>
          <w:rFonts w:hint="eastAsia" w:ascii="宋体" w:hAnsi="宋体" w:eastAsia="宋体" w:cs="宋体"/>
          <w:b/>
          <w:bCs/>
          <w:szCs w:val="21"/>
          <w:highlight w:val="none"/>
        </w:rPr>
      </w:r>
      <w:r/>
    </w:p>
    <w:p>
      <w:pPr>
        <w:pStyle w:val="927"/>
        <w:ind w:firstLine="420"/>
        <w:spacing w:line="360" w:lineRule="auto"/>
        <w:shd w:val="clear" w:color="auto" w:fill="ffffff"/>
        <w:widowControl/>
        <w:rPr>
          <w:rFonts w:hint="eastAsia" w:ascii="宋体" w:hAnsi="宋体" w:eastAsia="宋体" w:cs="宋体"/>
          <w:bCs/>
          <w:sz w:val="21"/>
          <w:szCs w:val="21"/>
          <w:highlight w:val="none"/>
        </w:rPr>
      </w:pPr>
      <w:r>
        <w:rPr>
          <w:rFonts w:hint="eastAsia" w:ascii="宋体" w:hAnsi="宋体" w:eastAsia="宋体" w:cs="宋体"/>
          <w:bCs/>
          <w:szCs w:val="21"/>
          <w:highlight w:val="none"/>
        </w:rPr>
        <w:t xml:space="preserve">24.1</w:t>
      </w:r>
      <w:r>
        <w:rPr>
          <w:rFonts w:hint="eastAsia" w:ascii="宋体" w:hAnsi="宋体" w:eastAsia="宋体" w:cs="宋体"/>
          <w:bCs/>
          <w:sz w:val="21"/>
          <w:szCs w:val="21"/>
          <w:highlight w:val="none"/>
        </w:rPr>
        <w:t xml:space="preserve"> 供应商认为招标文件、采购过程和中标结果使自己的合法权益受到损害的，可以在知道或者应当知道其权益受到损害之日起七个工作日内，以书面的形式（原件）向采购人或采购代理机构提出质疑。</w:t>
      </w:r>
      <w:r>
        <w:rPr>
          <w:rFonts w:hint="eastAsia" w:ascii="宋体" w:hAnsi="宋体" w:eastAsia="宋体" w:cs="宋体"/>
          <w:bCs/>
          <w:sz w:val="21"/>
          <w:szCs w:val="21"/>
          <w:highlight w:val="none"/>
        </w:rPr>
      </w:r>
      <w:r/>
    </w:p>
    <w:p>
      <w:pPr>
        <w:pStyle w:val="927"/>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 w:val="21"/>
          <w:szCs w:val="21"/>
          <w:highlight w:val="none"/>
        </w:rPr>
        <w:t xml:space="preserve">24.2 提出质疑的供应商应当是直接参加本项目采购活动的供应商。潜在供应商已依法获取其可质疑的招标文件的，可以对</w:t>
      </w:r>
      <w:r>
        <w:rPr>
          <w:rFonts w:hint="eastAsia" w:ascii="宋体" w:hAnsi="宋体" w:eastAsia="宋体" w:cs="宋体"/>
          <w:bCs/>
          <w:szCs w:val="21"/>
          <w:highlight w:val="none"/>
        </w:rPr>
        <w:t xml:space="preserve">该文件提出质疑。未参加投标活动的供应商或在投标活动中自身权益未受到损害的供应商所提出的质疑不予受理。</w:t>
      </w:r>
      <w:r>
        <w:rPr>
          <w:rFonts w:hint="eastAsia" w:ascii="宋体" w:hAnsi="宋体" w:eastAsia="宋体" w:cs="宋体"/>
          <w:bCs/>
          <w:szCs w:val="21"/>
          <w:highlight w:val="none"/>
        </w:rPr>
      </w:r>
      <w:r/>
    </w:p>
    <w:p>
      <w:pPr>
        <w:pStyle w:val="927"/>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24.3 供应商应知其权益受到损害之日，是指：对招标文件提出质疑的，应当在获取招标文件或者招标文件公告期限届满之日起7个工作日内提出；对采购过程提出质疑的，为各采购程序环节结束之日；对中标或者成交结果提出质疑的，为中标或者成交结果公告期限届满之日。</w:t>
      </w:r>
      <w:r>
        <w:rPr>
          <w:rFonts w:hint="eastAsia" w:ascii="宋体" w:hAnsi="宋体" w:eastAsia="宋体" w:cs="宋体"/>
          <w:bCs/>
          <w:szCs w:val="21"/>
          <w:highlight w:val="none"/>
        </w:rPr>
      </w:r>
      <w:r/>
    </w:p>
    <w:p>
      <w:pPr>
        <w:pStyle w:val="927"/>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24.4 供应商必须在法定质疑期内一次性提出针对同一采购程序环节的质疑。供应商如在法定期限内对同一采购程序环节提出多次质疑的，采购代理机构、采购人将只对供应商第一次质疑作出答复。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eastAsia="宋体" w:cs="宋体"/>
          <w:bCs/>
          <w:szCs w:val="21"/>
          <w:highlight w:val="none"/>
        </w:rPr>
      </w:r>
      <w:r/>
    </w:p>
    <w:p>
      <w:pPr>
        <w:pStyle w:val="927"/>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24.5 质疑函必须按照《质疑函范本》要求的格式和内容进行填写。供应商如组成联合体参加投标，则《质疑函范本》中要求签字、盖章、加盖公章之处，联合体各方均须按要求签字、盖章、加盖公章。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bCs/>
          <w:szCs w:val="21"/>
          <w:highlight w:val="none"/>
        </w:rPr>
      </w:r>
      <w:r/>
    </w:p>
    <w:p>
      <w:pPr>
        <w:pStyle w:val="927"/>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24.6 质疑文件应包括以下主要内容，并按照“谁主张、谁举证”的原则，附上相关证明材料。否则，采购代理机构或采购人不予受理：</w:t>
      </w:r>
      <w:r>
        <w:rPr>
          <w:rFonts w:hint="eastAsia" w:ascii="宋体" w:hAnsi="宋体" w:eastAsia="宋体" w:cs="宋体"/>
          <w:bCs/>
          <w:szCs w:val="21"/>
          <w:highlight w:val="none"/>
        </w:rPr>
      </w:r>
      <w:r/>
    </w:p>
    <w:p>
      <w:pPr>
        <w:pStyle w:val="927"/>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（1）供应商的姓名或者名称、地址、邮编、联系人及联系电话；</w:t>
      </w:r>
      <w:r>
        <w:rPr>
          <w:rFonts w:hint="eastAsia" w:ascii="宋体" w:hAnsi="宋体" w:eastAsia="宋体" w:cs="宋体"/>
          <w:bCs/>
          <w:szCs w:val="21"/>
          <w:highlight w:val="none"/>
        </w:rPr>
      </w:r>
      <w:r/>
    </w:p>
    <w:p>
      <w:pPr>
        <w:pStyle w:val="927"/>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（2）质疑项目的名称、编号；</w:t>
      </w:r>
      <w:r>
        <w:rPr>
          <w:rFonts w:hint="eastAsia" w:ascii="宋体" w:hAnsi="宋体" w:eastAsia="宋体" w:cs="宋体"/>
          <w:bCs/>
          <w:szCs w:val="21"/>
          <w:highlight w:val="none"/>
        </w:rPr>
      </w:r>
      <w:r/>
    </w:p>
    <w:p>
      <w:pPr>
        <w:pStyle w:val="927"/>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（3）具体、明确的质疑事项和与质疑事项相关的请求（具体条款）；</w:t>
      </w:r>
      <w:r>
        <w:rPr>
          <w:rFonts w:hint="eastAsia" w:ascii="宋体" w:hAnsi="宋体" w:eastAsia="宋体" w:cs="宋体"/>
          <w:bCs/>
          <w:szCs w:val="21"/>
          <w:highlight w:val="none"/>
        </w:rPr>
      </w:r>
      <w:r/>
    </w:p>
    <w:p>
      <w:pPr>
        <w:pStyle w:val="927"/>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（4）事实依据（具体条款）；</w:t>
      </w:r>
      <w:r>
        <w:rPr>
          <w:rFonts w:hint="eastAsia" w:ascii="宋体" w:hAnsi="宋体" w:eastAsia="宋体" w:cs="宋体"/>
          <w:bCs/>
          <w:szCs w:val="21"/>
          <w:highlight w:val="none"/>
        </w:rPr>
      </w:r>
      <w:r/>
    </w:p>
    <w:p>
      <w:pPr>
        <w:pStyle w:val="927"/>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（5）必要的法律依据（具体条款）；</w:t>
      </w:r>
      <w:r>
        <w:rPr>
          <w:rFonts w:hint="eastAsia" w:ascii="宋体" w:hAnsi="宋体" w:eastAsia="宋体" w:cs="宋体"/>
          <w:bCs/>
          <w:szCs w:val="21"/>
          <w:highlight w:val="none"/>
        </w:rPr>
      </w:r>
      <w:r/>
    </w:p>
    <w:p>
      <w:pPr>
        <w:pStyle w:val="927"/>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（6）提出质疑的日期。</w:t>
      </w:r>
      <w:r>
        <w:rPr>
          <w:rFonts w:hint="eastAsia" w:ascii="宋体" w:hAnsi="宋体" w:eastAsia="宋体" w:cs="宋体"/>
          <w:bCs/>
          <w:szCs w:val="21"/>
          <w:highlight w:val="none"/>
        </w:rPr>
      </w:r>
      <w:r/>
    </w:p>
    <w:p>
      <w:pPr>
        <w:pStyle w:val="927"/>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24.7 供应商为自然人的，应当由本人签字；供应商为法人或者其他组织的，应当由法定代表人、主要负责人，或者其委托代理人签字或者盖章，并加盖公章。代理人提出质疑和投诉，应当提交供应商签署的授权委托书。其授权委托书应当载明代理人的姓名或者名称、代理事项、具体权限、期限和相关事项。</w:t>
      </w:r>
      <w:r>
        <w:rPr>
          <w:rFonts w:hint="eastAsia" w:ascii="宋体" w:hAnsi="宋体" w:eastAsia="宋体" w:cs="宋体"/>
          <w:bCs/>
          <w:szCs w:val="21"/>
          <w:highlight w:val="none"/>
        </w:rPr>
      </w:r>
      <w:r/>
    </w:p>
    <w:p>
      <w:pPr>
        <w:pStyle w:val="927"/>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24.8 质疑函应当使用中文。相关当事人提供外文书证或者外国语视听资料的，应当附有中文译本，由翻译机构盖章或者翻译人员签名。</w:t>
      </w:r>
      <w:r>
        <w:rPr>
          <w:rFonts w:hint="eastAsia" w:ascii="宋体" w:hAnsi="宋体" w:eastAsia="宋体" w:cs="宋体"/>
          <w:bCs/>
          <w:szCs w:val="21"/>
          <w:highlight w:val="none"/>
        </w:rPr>
      </w:r>
      <w:r/>
    </w:p>
    <w:p>
      <w:pPr>
        <w:pStyle w:val="927"/>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24.9 质疑函应当现场提交至采购代理机构或采购人联系人处，提交时应出示有效身份证明。未按上述要求提交质疑函的，质疑不予受理。</w:t>
      </w:r>
      <w:r>
        <w:rPr>
          <w:rFonts w:hint="eastAsia" w:ascii="宋体" w:hAnsi="宋体" w:eastAsia="宋体" w:cs="宋体"/>
          <w:bCs/>
          <w:szCs w:val="21"/>
          <w:highlight w:val="none"/>
        </w:rPr>
      </w:r>
      <w:r/>
    </w:p>
    <w:p>
      <w:pPr>
        <w:pStyle w:val="927"/>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24.10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eastAsia="宋体" w:cs="宋体"/>
          <w:bCs/>
          <w:szCs w:val="21"/>
          <w:highlight w:val="none"/>
        </w:rPr>
      </w:r>
      <w:r/>
    </w:p>
    <w:p>
      <w:pPr>
        <w:pStyle w:val="927"/>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24.11 采购人或采购代理机构在收到供应商的书面质疑后在七个工作日内作出答复，并以书面形式通知质疑供应商和其他有关供应商，答复的内容不涉及商业秘密。</w:t>
      </w:r>
      <w:r>
        <w:rPr>
          <w:rFonts w:hint="eastAsia" w:ascii="宋体" w:hAnsi="宋体" w:eastAsia="宋体" w:cs="宋体"/>
          <w:bCs/>
          <w:szCs w:val="21"/>
          <w:highlight w:val="none"/>
        </w:rPr>
      </w:r>
      <w:r/>
    </w:p>
    <w:p>
      <w:pPr>
        <w:pStyle w:val="927"/>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24.12 以下情形的质疑不予受理</w:t>
      </w:r>
      <w:r>
        <w:rPr>
          <w:rFonts w:hint="eastAsia" w:ascii="宋体" w:hAnsi="宋体" w:eastAsia="宋体" w:cs="宋体"/>
          <w:bCs/>
          <w:szCs w:val="21"/>
          <w:highlight w:val="none"/>
        </w:rPr>
      </w:r>
      <w:r/>
    </w:p>
    <w:p>
      <w:pPr>
        <w:pStyle w:val="927"/>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24.12.1 内容不符合《政府采购质疑和投诉办法》第十二条规定的质疑。</w:t>
      </w:r>
      <w:r>
        <w:rPr>
          <w:rFonts w:hint="eastAsia" w:ascii="宋体" w:hAnsi="宋体" w:eastAsia="宋体" w:cs="宋体"/>
          <w:bCs/>
          <w:szCs w:val="21"/>
          <w:highlight w:val="none"/>
        </w:rPr>
      </w:r>
      <w:r/>
    </w:p>
    <w:p>
      <w:pPr>
        <w:pStyle w:val="927"/>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24.12.2 超出政府采购法定期限的质疑。</w:t>
      </w:r>
      <w:r>
        <w:rPr>
          <w:rFonts w:hint="eastAsia" w:ascii="宋体" w:hAnsi="宋体" w:eastAsia="宋体" w:cs="宋体"/>
          <w:bCs/>
          <w:szCs w:val="21"/>
          <w:highlight w:val="none"/>
        </w:rPr>
      </w:r>
      <w:r/>
    </w:p>
    <w:p>
      <w:pPr>
        <w:pStyle w:val="927"/>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24.12.3 以传真、电子邮件等方式递交的非原件形式的质疑。</w:t>
      </w:r>
      <w:r>
        <w:rPr>
          <w:rFonts w:hint="eastAsia" w:ascii="宋体" w:hAnsi="宋体" w:eastAsia="宋体" w:cs="宋体"/>
          <w:bCs/>
          <w:szCs w:val="21"/>
          <w:highlight w:val="none"/>
        </w:rPr>
      </w:r>
      <w:r/>
    </w:p>
    <w:p>
      <w:pPr>
        <w:pStyle w:val="927"/>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24.12.4 未参加投标活动的供应商或在投标活动中自身权益未受到损害的供应商所提出的质疑。</w:t>
      </w:r>
      <w:r>
        <w:rPr>
          <w:rFonts w:hint="eastAsia" w:ascii="宋体" w:hAnsi="宋体" w:eastAsia="宋体" w:cs="宋体"/>
          <w:bCs/>
          <w:szCs w:val="21"/>
          <w:highlight w:val="none"/>
        </w:rPr>
      </w:r>
      <w:r/>
    </w:p>
    <w:p>
      <w:pPr>
        <w:pStyle w:val="927"/>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24.12.5供应商组成联合体参加投标，联合体中任何一方或多方未按要求签字、盖章、加盖公章的质疑。</w:t>
      </w:r>
      <w:r>
        <w:rPr>
          <w:rFonts w:hint="eastAsia" w:ascii="宋体" w:hAnsi="宋体" w:eastAsia="宋体" w:cs="宋体"/>
          <w:bCs/>
          <w:szCs w:val="21"/>
          <w:highlight w:val="none"/>
        </w:rPr>
      </w:r>
      <w:r/>
    </w:p>
    <w:p>
      <w:pPr>
        <w:pStyle w:val="927"/>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24.13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eastAsia="宋体" w:cs="宋体"/>
          <w:szCs w:val="21"/>
          <w:highlight w:val="none"/>
        </w:rPr>
      </w:r>
      <w:r/>
    </w:p>
    <w:p>
      <w:pPr>
        <w:pStyle w:val="927"/>
        <w:ind w:firstLine="422"/>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25.投诉</w:t>
      </w:r>
      <w:r>
        <w:rPr>
          <w:rFonts w:hint="eastAsia" w:ascii="宋体" w:hAnsi="宋体" w:eastAsia="宋体" w:cs="宋体"/>
          <w:b/>
          <w:bCs/>
          <w:szCs w:val="21"/>
          <w:highlight w:val="none"/>
        </w:rPr>
      </w:r>
      <w:r/>
    </w:p>
    <w:p>
      <w:pPr>
        <w:pStyle w:val="927"/>
        <w:ind w:firstLine="420"/>
        <w:spacing w:line="360" w:lineRule="auto"/>
        <w:shd w:val="clear" w:color="auto" w:fill="ffffff"/>
        <w:widowControl/>
        <w:rPr>
          <w:rFonts w:ascii="宋体" w:hAnsi="宋体"/>
          <w:b/>
          <w:bCs/>
          <w:szCs w:val="21"/>
          <w:highlight w:val="none"/>
        </w:rPr>
      </w:pPr>
      <w:r>
        <w:rPr>
          <w:rFonts w:hint="eastAsia" w:ascii="宋体" w:hAnsi="宋体" w:eastAsia="宋体" w:cs="宋体"/>
          <w:szCs w:val="21"/>
          <w:highlight w:val="none"/>
        </w:rPr>
        <w:t xml:space="preserve">质疑投标商对代理机构的答复不满意，或代理机构未在规定的时间内作出答复的，可以在答复期满后</w:t>
      </w:r>
      <w:r>
        <w:rPr>
          <w:rFonts w:hint="eastAsia" w:ascii="宋体" w:hAnsi="宋体" w:eastAsia="宋体" w:cs="宋体"/>
          <w:b/>
          <w:bCs/>
          <w:szCs w:val="21"/>
          <w:highlight w:val="none"/>
        </w:rPr>
        <w:t xml:space="preserve">十五个工作日内</w:t>
      </w:r>
      <w:r>
        <w:rPr>
          <w:rFonts w:hint="eastAsia" w:ascii="宋体" w:hAnsi="宋体" w:eastAsia="宋体" w:cs="宋体"/>
          <w:szCs w:val="21"/>
          <w:highlight w:val="none"/>
        </w:rPr>
        <w:t xml:space="preserve">向采购人同级财政部门投诉。</w:t>
      </w:r>
      <w:r>
        <w:rPr>
          <w:rFonts w:ascii="宋体" w:hAnsi="宋体"/>
          <w:b/>
          <w:bCs/>
          <w:szCs w:val="21"/>
          <w:highlight w:val="none"/>
        </w:rPr>
        <w:t xml:space="preserve"> </w:t>
      </w:r>
      <w:r>
        <w:rPr>
          <w:rFonts w:ascii="宋体" w:hAnsi="宋体"/>
          <w:b/>
          <w:bCs/>
          <w:szCs w:val="21"/>
          <w:highlight w:val="none"/>
        </w:rPr>
      </w:r>
      <w:r/>
    </w:p>
    <w:p>
      <w:pPr>
        <w:pStyle w:val="927"/>
        <w:ind w:firstLine="420"/>
        <w:spacing w:line="360" w:lineRule="auto"/>
        <w:shd w:val="clear" w:color="auto" w:fill="ffffff"/>
        <w:widowControl/>
        <w:rPr>
          <w:rFonts w:ascii="宋体" w:hAnsi="宋体"/>
          <w:b/>
          <w:bCs/>
          <w:szCs w:val="21"/>
          <w:highlight w:val="none"/>
        </w:rPr>
      </w:pPr>
      <w:r>
        <w:rPr>
          <w:rFonts w:ascii="宋体" w:hAnsi="宋体"/>
          <w:b/>
          <w:bCs/>
          <w:szCs w:val="21"/>
          <w:highlight w:val="none"/>
        </w:rPr>
      </w:r>
      <w:r/>
    </w:p>
    <w:p>
      <w:pPr>
        <w:pStyle w:val="927"/>
        <w:ind w:firstLine="420"/>
        <w:spacing w:line="360" w:lineRule="auto"/>
        <w:shd w:val="clear" w:color="auto" w:fill="ffffff"/>
        <w:widowControl/>
        <w:rPr>
          <w:rFonts w:ascii="宋体" w:hAnsi="宋体"/>
          <w:b/>
          <w:bCs/>
          <w:szCs w:val="21"/>
          <w:highlight w:val="none"/>
        </w:rPr>
      </w:pPr>
      <w:r>
        <w:rPr>
          <w:rFonts w:ascii="宋体" w:hAnsi="宋体"/>
          <w:b/>
          <w:bCs/>
          <w:szCs w:val="21"/>
          <w:highlight w:val="none"/>
        </w:rPr>
      </w:r>
      <w:r/>
    </w:p>
    <w:p>
      <w:pPr>
        <w:pStyle w:val="927"/>
        <w:ind w:firstLine="420"/>
        <w:spacing w:line="360" w:lineRule="auto"/>
        <w:shd w:val="clear" w:color="auto" w:fill="ffffff"/>
        <w:widowControl/>
        <w:rPr>
          <w:rFonts w:ascii="宋体" w:hAnsi="宋体"/>
          <w:b/>
          <w:bCs/>
          <w:szCs w:val="21"/>
          <w:highlight w:val="none"/>
        </w:rPr>
      </w:pPr>
      <w:r>
        <w:rPr>
          <w:rFonts w:ascii="宋体" w:hAnsi="宋体"/>
          <w:b/>
          <w:bCs/>
          <w:szCs w:val="21"/>
          <w:highlight w:val="none"/>
        </w:rPr>
      </w:r>
      <w:r/>
    </w:p>
    <w:p>
      <w:pPr>
        <w:pStyle w:val="927"/>
        <w:ind w:firstLine="420"/>
        <w:spacing w:line="360" w:lineRule="auto"/>
        <w:shd w:val="clear" w:color="auto" w:fill="ffffff"/>
        <w:widowControl/>
        <w:rPr>
          <w:rFonts w:ascii="宋体" w:hAnsi="宋体"/>
          <w:b/>
          <w:bCs/>
          <w:szCs w:val="21"/>
          <w:highlight w:val="none"/>
        </w:rPr>
      </w:pPr>
      <w:r>
        <w:rPr>
          <w:rFonts w:ascii="宋体" w:hAnsi="宋体"/>
          <w:b/>
          <w:bCs/>
          <w:szCs w:val="21"/>
          <w:highlight w:val="none"/>
        </w:rPr>
      </w:r>
      <w:r/>
    </w:p>
    <w:p>
      <w:pPr>
        <w:pStyle w:val="927"/>
        <w:ind w:firstLine="420"/>
        <w:spacing w:line="360" w:lineRule="auto"/>
        <w:shd w:val="clear" w:color="auto" w:fill="ffffff"/>
        <w:widowControl/>
        <w:rPr>
          <w:rFonts w:ascii="宋体" w:hAnsi="宋体"/>
          <w:b/>
          <w:bCs/>
          <w:szCs w:val="21"/>
          <w:highlight w:val="none"/>
        </w:rPr>
      </w:pPr>
      <w:r>
        <w:rPr>
          <w:rFonts w:ascii="宋体" w:hAnsi="宋体"/>
          <w:b/>
          <w:bCs/>
          <w:szCs w:val="21"/>
          <w:highlight w:val="none"/>
        </w:rPr>
      </w:r>
      <w:r/>
    </w:p>
    <w:p>
      <w:pPr>
        <w:pStyle w:val="927"/>
        <w:ind w:firstLine="420"/>
        <w:spacing w:line="360" w:lineRule="auto"/>
        <w:shd w:val="clear" w:color="auto" w:fill="ffffff"/>
        <w:widowControl/>
        <w:rPr>
          <w:rFonts w:ascii="宋体" w:hAnsi="宋体"/>
          <w:b/>
          <w:bCs/>
          <w:szCs w:val="21"/>
          <w:highlight w:val="none"/>
        </w:rPr>
      </w:pPr>
      <w:r>
        <w:rPr>
          <w:rFonts w:ascii="宋体" w:hAnsi="宋体"/>
          <w:b/>
          <w:bCs/>
          <w:szCs w:val="21"/>
          <w:highlight w:val="none"/>
        </w:rPr>
      </w:r>
      <w:r/>
    </w:p>
    <w:p>
      <w:pPr>
        <w:pStyle w:val="927"/>
        <w:ind w:firstLine="420"/>
        <w:spacing w:line="360" w:lineRule="auto"/>
        <w:shd w:val="clear" w:color="auto" w:fill="ffffff"/>
        <w:widowControl/>
        <w:rPr>
          <w:rFonts w:ascii="宋体" w:hAnsi="宋体"/>
          <w:b/>
          <w:bCs/>
          <w:szCs w:val="21"/>
          <w:highlight w:val="none"/>
        </w:rPr>
      </w:pPr>
      <w:r>
        <w:rPr>
          <w:rFonts w:ascii="宋体" w:hAnsi="宋体"/>
          <w:b/>
          <w:bCs/>
          <w:szCs w:val="21"/>
          <w:highlight w:val="none"/>
        </w:rPr>
      </w:r>
      <w:r/>
    </w:p>
    <w:p>
      <w:pPr>
        <w:pStyle w:val="927"/>
        <w:spacing w:line="360" w:lineRule="auto"/>
        <w:shd w:val="clear" w:color="auto" w:fill="ffffff"/>
        <w:widowControl/>
        <w:rPr>
          <w:rFonts w:ascii="宋体" w:hAnsi="宋体"/>
          <w:b/>
          <w:bCs/>
          <w:szCs w:val="21"/>
          <w:highlight w:val="none"/>
        </w:rPr>
      </w:pPr>
      <w:r>
        <w:rPr>
          <w:rFonts w:ascii="宋体" w:hAnsi="宋体"/>
          <w:b/>
          <w:bCs/>
          <w:szCs w:val="21"/>
          <w:highlight w:val="none"/>
        </w:rPr>
      </w:r>
      <w:r/>
    </w:p>
    <w:p>
      <w:pPr>
        <w:pStyle w:val="927"/>
        <w:ind w:firstLine="562"/>
        <w:jc w:val="center"/>
        <w:spacing w:line="360" w:lineRule="auto"/>
        <w:rPr>
          <w:rFonts w:eastAsia="黑体"/>
          <w:b/>
          <w:bCs/>
          <w:sz w:val="32"/>
          <w:szCs w:val="32"/>
          <w:highlight w:val="none"/>
        </w:rPr>
        <w:outlineLvl w:val="0"/>
      </w:pPr>
      <w:r/>
      <w:bookmarkStart w:id="115" w:name="_Toc668"/>
      <w:r>
        <w:rPr>
          <w:rFonts w:eastAsia="黑体"/>
          <w:b/>
          <w:bCs/>
          <w:sz w:val="32"/>
          <w:szCs w:val="32"/>
          <w:highlight w:val="none"/>
        </w:rPr>
        <w:br w:type="page" w:clear="all"/>
      </w:r>
      <w:r>
        <w:rPr>
          <w:rFonts w:eastAsia="黑体"/>
          <w:b/>
          <w:bCs/>
          <w:sz w:val="32"/>
          <w:szCs w:val="32"/>
          <w:highlight w:val="none"/>
        </w:rPr>
        <w:t xml:space="preserve">第三章 </w:t>
      </w:r>
      <w:bookmarkEnd w:id="115"/>
      <w:r>
        <w:rPr>
          <w:rFonts w:eastAsia="黑体"/>
          <w:b/>
          <w:bCs/>
          <w:sz w:val="32"/>
          <w:szCs w:val="32"/>
          <w:highlight w:val="none"/>
        </w:rPr>
        <w:t xml:space="preserve">评标方法、评分标准</w:t>
      </w:r>
      <w:bookmarkStart w:id="116" w:name="_Toc11059"/>
      <w:r>
        <w:rPr>
          <w:rFonts w:eastAsia="黑体"/>
          <w:b/>
          <w:bCs/>
          <w:sz w:val="32"/>
          <w:szCs w:val="32"/>
          <w:highlight w:val="none"/>
        </w:rPr>
      </w:r>
      <w:r/>
    </w:p>
    <w:p>
      <w:pPr>
        <w:pStyle w:val="957"/>
        <w:ind w:firstLine="420"/>
        <w:spacing w:line="360" w:lineRule="auto"/>
        <w:rPr>
          <w:rFonts w:hint="eastAsia" w:hAnsi="宋体" w:eastAsia="宋体" w:cs="宋体"/>
          <w:szCs w:val="21"/>
          <w:highlight w:val="none"/>
        </w:rPr>
      </w:pPr>
      <w:r>
        <w:rPr>
          <w:rFonts w:hint="eastAsia" w:hAnsi="宋体" w:eastAsia="宋体" w:cs="宋体"/>
          <w:szCs w:val="21"/>
          <w:highlight w:val="none"/>
        </w:rPr>
        <w:t xml:space="preserve">一、评标办法：</w:t>
      </w:r>
      <w:r>
        <w:rPr>
          <w:rFonts w:hint="eastAsia" w:hAnsi="宋体" w:eastAsia="宋体" w:cs="宋体"/>
          <w:szCs w:val="21"/>
          <w:highlight w:val="none"/>
        </w:rPr>
      </w:r>
      <w:r/>
    </w:p>
    <w:p>
      <w:pPr>
        <w:pStyle w:val="957"/>
        <w:ind w:firstLine="420"/>
        <w:spacing w:line="360" w:lineRule="auto"/>
        <w:rPr>
          <w:rFonts w:hint="eastAsia" w:hAnsi="宋体" w:eastAsia="宋体" w:cs="宋体"/>
          <w:szCs w:val="21"/>
          <w:highlight w:val="none"/>
        </w:rPr>
      </w:pPr>
      <w:r>
        <w:rPr>
          <w:rFonts w:hint="eastAsia" w:hAnsi="宋体" w:eastAsia="宋体" w:cs="宋体"/>
          <w:szCs w:val="21"/>
          <w:highlight w:val="none"/>
        </w:rPr>
        <w:t xml:space="preserve">1、评标方法采用综合评分法。即在投标文件满足招标文件全部实质性要求，且按照评审因素的量化指标评审得分最高的投标人为中标人的评标方法。评审因素及各比重如下：价格分值占总分值的比重为30%（权重），技术与</w:t>
      </w:r>
      <w:r>
        <w:rPr>
          <w:rFonts w:hint="eastAsia" w:hAnsi="宋体" w:eastAsia="宋体" w:cs="宋体"/>
          <w:szCs w:val="21"/>
          <w:highlight w:val="none"/>
          <w:lang w:val="en-US" w:eastAsia="zh-CN"/>
        </w:rPr>
        <w:t xml:space="preserve">服务</w:t>
      </w:r>
      <w:r>
        <w:rPr>
          <w:rFonts w:hint="eastAsia" w:hAnsi="宋体" w:eastAsia="宋体" w:cs="宋体"/>
          <w:szCs w:val="21"/>
          <w:highlight w:val="none"/>
        </w:rPr>
        <w:t xml:space="preserve">及其它占70%（权重）。（保留小数点后2位）</w:t>
      </w:r>
      <w:r>
        <w:rPr>
          <w:rFonts w:hint="eastAsia" w:hAnsi="宋体" w:eastAsia="宋体" w:cs="宋体"/>
          <w:szCs w:val="21"/>
          <w:highlight w:val="none"/>
        </w:rPr>
      </w:r>
      <w:r/>
    </w:p>
    <w:p>
      <w:pPr>
        <w:pStyle w:val="957"/>
        <w:ind w:firstLine="420"/>
        <w:spacing w:line="360" w:lineRule="auto"/>
        <w:rPr>
          <w:rFonts w:hint="eastAsia" w:hAnsi="宋体" w:eastAsia="宋体" w:cs="宋体"/>
          <w:szCs w:val="21"/>
          <w:highlight w:val="none"/>
        </w:rPr>
      </w:pPr>
      <w:r>
        <w:rPr>
          <w:rFonts w:hint="eastAsia" w:hAnsi="宋体" w:eastAsia="宋体" w:cs="宋体"/>
          <w:szCs w:val="21"/>
          <w:highlight w:val="none"/>
        </w:rPr>
        <w:t xml:space="preserve">2、综合评分的主要因素为：价格、技术水平、履约能力、售后服务等，对采购文件的响应程度，以及相应的商务标和技术标比重或者分值等。</w:t>
      </w:r>
      <w:r>
        <w:rPr>
          <w:rFonts w:hint="eastAsia" w:hAnsi="宋体" w:eastAsia="宋体" w:cs="宋体"/>
          <w:szCs w:val="21"/>
          <w:highlight w:val="none"/>
        </w:rPr>
      </w:r>
      <w:r/>
    </w:p>
    <w:p>
      <w:pPr>
        <w:pStyle w:val="957"/>
        <w:ind w:firstLine="420"/>
        <w:spacing w:line="360" w:lineRule="auto"/>
        <w:rPr>
          <w:rFonts w:hint="eastAsia" w:hAnsi="宋体" w:eastAsia="宋体" w:cs="宋体"/>
          <w:szCs w:val="21"/>
          <w:highlight w:val="none"/>
        </w:rPr>
      </w:pPr>
      <w:r>
        <w:rPr>
          <w:rFonts w:hint="eastAsia" w:hAnsi="宋体" w:eastAsia="宋体" w:cs="宋体"/>
          <w:szCs w:val="21"/>
          <w:highlight w:val="none"/>
        </w:rPr>
        <w:t xml:space="preserve">3、评委会根据本招标文件规定评分办法与评分标准综合打分，并按综合得分由高到低顺序（综合得分相同的，按价格从低到高顺序）确定3名中标候选人，排名第1者，为中标单位。</w:t>
      </w:r>
      <w:r>
        <w:rPr>
          <w:rFonts w:hint="eastAsia" w:hAnsi="宋体" w:eastAsia="宋体" w:cs="宋体"/>
          <w:szCs w:val="21"/>
          <w:highlight w:val="none"/>
        </w:rPr>
      </w:r>
      <w:r/>
    </w:p>
    <w:p>
      <w:pPr>
        <w:pStyle w:val="957"/>
        <w:ind w:firstLine="420"/>
        <w:spacing w:line="360" w:lineRule="auto"/>
        <w:rPr>
          <w:rFonts w:hint="eastAsia" w:hAnsi="宋体" w:eastAsia="宋体" w:cs="宋体"/>
          <w:szCs w:val="21"/>
          <w:highlight w:val="none"/>
        </w:rPr>
      </w:pPr>
      <w:r>
        <w:rPr>
          <w:rFonts w:hint="eastAsia" w:hAnsi="宋体" w:eastAsia="宋体" w:cs="宋体"/>
          <w:szCs w:val="21"/>
          <w:highlight w:val="none"/>
        </w:rPr>
        <w:t xml:space="preserve">二、政府采购政策执行办法：</w:t>
      </w:r>
      <w:r>
        <w:rPr>
          <w:rFonts w:hint="eastAsia" w:hAnsi="宋体" w:eastAsia="宋体" w:cs="宋体"/>
          <w:szCs w:val="21"/>
          <w:highlight w:val="none"/>
        </w:rPr>
      </w:r>
      <w:r/>
    </w:p>
    <w:p>
      <w:pPr>
        <w:pStyle w:val="957"/>
        <w:ind w:firstLine="420"/>
        <w:spacing w:line="360" w:lineRule="auto"/>
        <w:rPr>
          <w:rFonts w:hint="eastAsia" w:hAnsi="宋体" w:eastAsia="宋体" w:cs="宋体"/>
          <w:szCs w:val="21"/>
          <w:highlight w:val="none"/>
        </w:rPr>
      </w:pPr>
      <w:r>
        <w:rPr>
          <w:rFonts w:hint="eastAsia" w:hAnsi="宋体" w:eastAsia="宋体" w:cs="宋体"/>
          <w:szCs w:val="21"/>
          <w:highlight w:val="none"/>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rPr>
          <w:rFonts w:hint="eastAsia" w:hAnsi="宋体" w:eastAsia="宋体" w:cs="宋体"/>
          <w:szCs w:val="21"/>
          <w:highlight w:val="none"/>
        </w:rPr>
      </w:r>
      <w:r/>
    </w:p>
    <w:p>
      <w:pPr>
        <w:pStyle w:val="957"/>
        <w:ind w:firstLine="420"/>
        <w:spacing w:line="360" w:lineRule="auto"/>
        <w:rPr>
          <w:rFonts w:hint="eastAsia" w:hAnsi="宋体" w:eastAsia="宋体" w:cs="宋体"/>
          <w:szCs w:val="21"/>
          <w:highlight w:val="none"/>
        </w:rPr>
      </w:pPr>
      <w:r>
        <w:rPr>
          <w:rFonts w:hint="eastAsia" w:hAnsi="宋体" w:eastAsia="宋体" w:cs="宋体"/>
          <w:szCs w:val="21"/>
          <w:highlight w:val="none"/>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hint="eastAsia" w:hAnsi="宋体" w:eastAsia="宋体" w:cs="宋体"/>
          <w:szCs w:val="21"/>
          <w:highlight w:val="none"/>
        </w:rPr>
      </w:r>
      <w:r/>
    </w:p>
    <w:p>
      <w:pPr>
        <w:pStyle w:val="957"/>
        <w:ind w:firstLine="420"/>
        <w:spacing w:line="360" w:lineRule="auto"/>
        <w:rPr>
          <w:rFonts w:hint="eastAsia" w:hAnsi="宋体" w:eastAsia="宋体" w:cs="宋体"/>
          <w:szCs w:val="21"/>
          <w:highlight w:val="none"/>
        </w:rPr>
      </w:pPr>
      <w:r>
        <w:rPr>
          <w:rFonts w:hint="eastAsia" w:hAnsi="宋体" w:eastAsia="宋体" w:cs="宋体"/>
          <w:szCs w:val="21"/>
          <w:highlight w:val="none"/>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hint="eastAsia" w:hAnsi="宋体" w:eastAsia="宋体" w:cs="宋体"/>
          <w:szCs w:val="21"/>
          <w:highlight w:val="none"/>
        </w:rPr>
      </w:r>
      <w:r/>
    </w:p>
    <w:p>
      <w:pPr>
        <w:pStyle w:val="957"/>
        <w:ind w:firstLine="420"/>
        <w:spacing w:line="360" w:lineRule="auto"/>
        <w:rPr>
          <w:rFonts w:hint="eastAsia" w:hAnsi="宋体" w:eastAsia="宋体" w:cs="宋体"/>
          <w:szCs w:val="21"/>
          <w:highlight w:val="none"/>
        </w:rPr>
      </w:pPr>
      <w:r>
        <w:rPr>
          <w:rFonts w:hint="eastAsia" w:hAnsi="宋体" w:eastAsia="宋体" w:cs="宋体"/>
          <w:szCs w:val="21"/>
          <w:highlight w:val="none"/>
        </w:rPr>
        <w:t xml:space="preserve">同一投标人，上述三项价格扣除优惠不得重复享受。</w:t>
      </w:r>
      <w:r>
        <w:rPr>
          <w:rFonts w:hint="eastAsia" w:hAnsi="宋体" w:eastAsia="宋体" w:cs="宋体"/>
          <w:szCs w:val="21"/>
          <w:highlight w:val="none"/>
        </w:rPr>
      </w:r>
      <w:r/>
    </w:p>
    <w:p>
      <w:pPr>
        <w:pStyle w:val="957"/>
        <w:ind w:firstLine="420"/>
        <w:spacing w:line="360" w:lineRule="auto"/>
        <w:rPr>
          <w:rFonts w:hint="eastAsia" w:hAnsi="宋体" w:eastAsia="宋体" w:cs="宋体"/>
          <w:szCs w:val="21"/>
          <w:highlight w:val="none"/>
        </w:rPr>
      </w:pPr>
      <w:r>
        <w:rPr>
          <w:rFonts w:hint="eastAsia" w:hAnsi="宋体" w:eastAsia="宋体" w:cs="宋体"/>
          <w:szCs w:val="21"/>
          <w:highlight w:val="none"/>
        </w:rPr>
        <w:t xml:space="preserve">④采购本国产品的支持政策</w:t>
      </w:r>
      <w:r>
        <w:rPr>
          <w:rFonts w:hint="eastAsia" w:hAnsi="宋体" w:eastAsia="宋体" w:cs="宋体"/>
          <w:szCs w:val="21"/>
          <w:highlight w:val="none"/>
        </w:rPr>
      </w:r>
      <w:r/>
    </w:p>
    <w:p>
      <w:pPr>
        <w:pStyle w:val="957"/>
        <w:ind w:firstLine="420"/>
        <w:spacing w:line="360" w:lineRule="auto"/>
        <w:rPr>
          <w:rFonts w:hint="eastAsia" w:hAnsi="宋体" w:eastAsia="宋体" w:cs="宋体"/>
          <w:szCs w:val="21"/>
          <w:highlight w:val="none"/>
        </w:rPr>
      </w:pPr>
      <w:r>
        <w:rPr>
          <w:rFonts w:hint="eastAsia" w:hAnsi="宋体" w:eastAsia="宋体" w:cs="宋体"/>
          <w:szCs w:val="21"/>
          <w:highlight w:val="none"/>
        </w:rPr>
        <w:t xml:space="preserve">本项目政府采购活动中既有本国产品又有非本国产品参与竞争的，依法对本国产品给予价格评审优惠，对本国产品的报价给予20%的价格扣除，用扣除后的价格参与评审。</w:t>
      </w:r>
      <w:r>
        <w:rPr>
          <w:rFonts w:hint="eastAsia" w:hAnsi="宋体" w:eastAsia="宋体" w:cs="宋体"/>
          <w:szCs w:val="21"/>
          <w:highlight w:val="none"/>
        </w:rPr>
      </w:r>
      <w:r/>
    </w:p>
    <w:p>
      <w:pPr>
        <w:pStyle w:val="957"/>
        <w:ind w:firstLine="420"/>
        <w:spacing w:line="360" w:lineRule="auto"/>
        <w:rPr>
          <w:rFonts w:hint="eastAsia" w:hAnsi="宋体" w:eastAsia="宋体" w:cs="宋体"/>
          <w:szCs w:val="21"/>
          <w:highlight w:val="none"/>
        </w:rPr>
      </w:pPr>
      <w:r>
        <w:rPr>
          <w:rFonts w:hint="eastAsia" w:hAnsi="宋体" w:eastAsia="宋体" w:cs="宋体"/>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hAnsi="宋体" w:eastAsia="宋体" w:cs="宋体"/>
          <w:szCs w:val="21"/>
          <w:highlight w:val="none"/>
        </w:rPr>
      </w:r>
      <w:r/>
    </w:p>
    <w:p>
      <w:pPr>
        <w:pStyle w:val="957"/>
        <w:ind w:firstLine="420"/>
        <w:spacing w:line="360" w:lineRule="auto"/>
        <w:rPr>
          <w:rFonts w:hint="eastAsia" w:hAnsi="宋体" w:eastAsia="宋体" w:cs="宋体"/>
          <w:szCs w:val="21"/>
          <w:highlight w:val="none"/>
        </w:rPr>
      </w:pPr>
      <w:r>
        <w:rPr>
          <w:rFonts w:hint="eastAsia" w:hAnsi="宋体" w:eastAsia="宋体" w:cs="宋体"/>
          <w:szCs w:val="21"/>
          <w:highlight w:val="none"/>
        </w:rPr>
        <w:t xml:space="preserve">供应商需按照招标文件的要求提供《关于符合本国产品标准的声明函》（以下简称《声明函》），如不提供将不享受本国产品价格评审优惠。</w:t>
      </w:r>
      <w:r>
        <w:rPr>
          <w:rFonts w:hint="eastAsia" w:hAnsi="宋体" w:eastAsia="宋体" w:cs="宋体"/>
          <w:szCs w:val="21"/>
          <w:highlight w:val="none"/>
        </w:rPr>
      </w:r>
      <w:r/>
    </w:p>
    <w:p>
      <w:pPr>
        <w:pStyle w:val="957"/>
        <w:ind w:firstLine="420"/>
        <w:spacing w:line="360" w:lineRule="auto"/>
        <w:rPr>
          <w:rFonts w:hint="eastAsia" w:hAnsi="宋体" w:eastAsia="宋体" w:cs="宋体"/>
          <w:szCs w:val="21"/>
          <w:highlight w:val="none"/>
        </w:rPr>
      </w:pPr>
      <w:r>
        <w:rPr>
          <w:rFonts w:hint="eastAsia" w:hAnsi="宋体" w:eastAsia="宋体" w:cs="宋体"/>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hAnsi="宋体" w:eastAsia="宋体" w:cs="宋体"/>
          <w:szCs w:val="21"/>
          <w:highlight w:val="none"/>
        </w:rPr>
      </w:r>
      <w:r/>
    </w:p>
    <w:p>
      <w:pPr>
        <w:pStyle w:val="957"/>
        <w:ind w:firstLine="420"/>
        <w:spacing w:line="360" w:lineRule="auto"/>
        <w:rPr>
          <w:rFonts w:hint="eastAsia" w:hAnsi="宋体" w:eastAsia="宋体" w:cs="宋体"/>
          <w:szCs w:val="21"/>
          <w:highlight w:val="none"/>
        </w:rPr>
      </w:pPr>
      <w:r>
        <w:rPr>
          <w:rFonts w:hint="eastAsia" w:hAnsi="宋体" w:eastAsia="宋体" w:cs="宋体"/>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hAnsi="宋体" w:eastAsia="宋体" w:cs="宋体"/>
          <w:szCs w:val="21"/>
          <w:highlight w:val="none"/>
        </w:rPr>
      </w:r>
      <w:r/>
    </w:p>
    <w:p>
      <w:pPr>
        <w:pStyle w:val="957"/>
        <w:ind w:firstLine="420"/>
        <w:spacing w:line="360" w:lineRule="auto"/>
        <w:rPr>
          <w:rFonts w:hint="eastAsia" w:hAnsi="宋体" w:eastAsia="宋体" w:cs="宋体"/>
          <w:szCs w:val="21"/>
          <w:highlight w:val="none"/>
        </w:rPr>
      </w:pPr>
      <w:r>
        <w:rPr>
          <w:rFonts w:hint="eastAsia" w:hAnsi="宋体" w:eastAsia="宋体" w:cs="宋体"/>
          <w:szCs w:val="21"/>
          <w:highlight w:val="none"/>
        </w:rPr>
        <w:t xml:space="preserve">三、评分标准：</w:t>
      </w:r>
      <w:r>
        <w:rPr>
          <w:rFonts w:hint="eastAsia" w:hAnsi="宋体" w:eastAsia="宋体" w:cs="宋体"/>
          <w:szCs w:val="21"/>
          <w:highlight w:val="none"/>
        </w:rPr>
      </w:r>
      <w:r/>
    </w:p>
    <w:p>
      <w:pPr>
        <w:pStyle w:val="957"/>
        <w:ind w:firstLine="420"/>
        <w:spacing w:line="360" w:lineRule="auto"/>
        <w:rPr>
          <w:rFonts w:hint="eastAsia" w:hAnsi="宋体" w:eastAsia="宋体" w:cs="宋体"/>
          <w:szCs w:val="21"/>
          <w:highlight w:val="none"/>
        </w:rPr>
      </w:pPr>
      <w:r>
        <w:rPr>
          <w:rFonts w:hint="eastAsia" w:hAnsi="宋体" w:eastAsia="宋体" w:cs="宋体"/>
          <w:szCs w:val="21"/>
          <w:highlight w:val="none"/>
        </w:rPr>
        <w:t xml:space="preserve">本次采购的评标方法采用综合评分法，小数点后保留两位，四舍五入。</w:t>
      </w:r>
      <w:r>
        <w:rPr>
          <w:rFonts w:hint="eastAsia" w:hAnsi="宋体" w:eastAsia="宋体" w:cs="宋体"/>
          <w:szCs w:val="21"/>
          <w:highlight w:val="none"/>
        </w:rPr>
      </w:r>
      <w:r/>
    </w:p>
    <w:tbl>
      <w:tblPr>
        <w:tblStyle w:val="1148"/>
        <w:tblW w:w="5062"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36"/>
        <w:gridCol w:w="1245"/>
        <w:gridCol w:w="6685"/>
        <w:gridCol w:w="678"/>
        <w:gridCol w:w="975"/>
      </w:tblGrid>
      <w:tr>
        <w:trPr>
          <w:trHeight w:val="501"/>
          <w:tblHeader/>
        </w:trPr>
        <w:tc>
          <w:tcPr>
            <w:tcW w:w="265" w:type="dxa"/>
            <w:vAlign w:val="center"/>
            <w:textDirection w:val="lrTb"/>
            <w:noWrap w:val="false"/>
          </w:tcPr>
          <w:p>
            <w:pPr>
              <w:pStyle w:val="927"/>
              <w:jc w:val="center"/>
              <w:keepLines w:val="0"/>
              <w:keepNext w:val="0"/>
              <w:pageBreakBefore w:val="0"/>
              <w:spacing w:before="0" w:line="360" w:lineRule="auto"/>
              <w:widowControl w:val="off"/>
              <w:rPr>
                <w:rFonts w:hint="eastAsia" w:ascii="宋体" w:hAnsi="宋体" w:eastAsia="宋体" w:cs="宋体"/>
                <w:b/>
                <w:bCs/>
                <w:spacing w:val="-3"/>
                <w:sz w:val="21"/>
                <w:szCs w:val="21"/>
                <w:highlight w:val="none"/>
              </w:rPr>
            </w:pPr>
            <w:r>
              <w:rPr>
                <w:rFonts w:hint="eastAsia" w:ascii="宋体" w:hAnsi="宋体" w:eastAsia="宋体" w:cs="宋体"/>
                <w:b/>
                <w:bCs/>
                <w:spacing w:val="-3"/>
                <w:sz w:val="21"/>
                <w:szCs w:val="21"/>
                <w:highlight w:val="none"/>
              </w:rPr>
              <w:t xml:space="preserve">序号</w:t>
            </w:r>
            <w:r>
              <w:rPr>
                <w:rFonts w:hint="eastAsia" w:ascii="宋体" w:hAnsi="宋体" w:eastAsia="宋体" w:cs="宋体"/>
                <w:b/>
                <w:bCs/>
                <w:spacing w:val="-3"/>
                <w:sz w:val="21"/>
                <w:szCs w:val="21"/>
                <w:highlight w:val="none"/>
              </w:rPr>
            </w:r>
            <w:r/>
          </w:p>
        </w:tc>
        <w:tc>
          <w:tcPr>
            <w:tcW w:w="615" w:type="dxa"/>
            <w:vAlign w:val="center"/>
            <w:textDirection w:val="lrTb"/>
            <w:noWrap w:val="false"/>
          </w:tcPr>
          <w:p>
            <w:pPr>
              <w:pStyle w:val="927"/>
              <w:jc w:val="center"/>
              <w:keepLines w:val="0"/>
              <w:keepNext w:val="0"/>
              <w:pageBreakBefore w:val="0"/>
              <w:spacing w:before="0" w:line="360" w:lineRule="auto"/>
              <w:widowControl w:val="off"/>
              <w:rPr>
                <w:rFonts w:hint="eastAsia" w:ascii="宋体" w:hAnsi="宋体" w:eastAsia="宋体" w:cs="宋体"/>
                <w:b/>
                <w:bCs/>
                <w:spacing w:val="-3"/>
                <w:sz w:val="21"/>
                <w:szCs w:val="21"/>
                <w:highlight w:val="none"/>
              </w:rPr>
            </w:pPr>
            <w:r>
              <w:rPr>
                <w:rFonts w:hint="eastAsia" w:ascii="宋体" w:hAnsi="宋体" w:eastAsia="宋体" w:cs="宋体"/>
                <w:b/>
                <w:bCs/>
                <w:spacing w:val="-3"/>
                <w:sz w:val="21"/>
                <w:szCs w:val="21"/>
                <w:highlight w:val="none"/>
              </w:rPr>
              <w:t xml:space="preserve">评审因素</w:t>
            </w:r>
            <w:r>
              <w:rPr>
                <w:rFonts w:hint="eastAsia" w:ascii="宋体" w:hAnsi="宋体" w:eastAsia="宋体" w:cs="宋体"/>
                <w:b/>
                <w:bCs/>
                <w:spacing w:val="-3"/>
                <w:sz w:val="21"/>
                <w:szCs w:val="21"/>
                <w:highlight w:val="none"/>
              </w:rPr>
            </w:r>
            <w:r/>
          </w:p>
        </w:tc>
        <w:tc>
          <w:tcPr>
            <w:tcW w:w="3302" w:type="dxa"/>
            <w:vAlign w:val="center"/>
            <w:textDirection w:val="lrTb"/>
            <w:noWrap w:val="false"/>
          </w:tcPr>
          <w:p>
            <w:pPr>
              <w:pStyle w:val="927"/>
              <w:jc w:val="center"/>
              <w:keepLines w:val="0"/>
              <w:keepNext w:val="0"/>
              <w:pageBreakBefore w:val="0"/>
              <w:spacing w:before="0" w:line="360" w:lineRule="auto"/>
              <w:widowControl w:val="off"/>
              <w:rPr>
                <w:rFonts w:hint="eastAsia" w:ascii="宋体" w:hAnsi="宋体" w:eastAsia="宋体" w:cs="宋体"/>
                <w:b/>
                <w:bCs/>
                <w:spacing w:val="-3"/>
                <w:sz w:val="21"/>
                <w:szCs w:val="21"/>
                <w:highlight w:val="none"/>
              </w:rPr>
            </w:pPr>
            <w:r>
              <w:rPr>
                <w:rFonts w:hint="eastAsia" w:ascii="宋体" w:hAnsi="宋体" w:eastAsia="宋体" w:cs="宋体"/>
                <w:b/>
                <w:bCs/>
                <w:spacing w:val="-3"/>
                <w:sz w:val="21"/>
                <w:szCs w:val="21"/>
                <w:highlight w:val="none"/>
              </w:rPr>
              <w:t xml:space="preserve">评审细则</w:t>
            </w:r>
            <w:r>
              <w:rPr>
                <w:rFonts w:hint="eastAsia" w:ascii="宋体" w:hAnsi="宋体" w:eastAsia="宋体" w:cs="宋体"/>
                <w:b/>
                <w:bCs/>
                <w:spacing w:val="-3"/>
                <w:sz w:val="21"/>
                <w:szCs w:val="21"/>
                <w:highlight w:val="none"/>
              </w:rPr>
            </w:r>
            <w:r/>
          </w:p>
        </w:tc>
        <w:tc>
          <w:tcPr>
            <w:tcW w:w="335" w:type="dxa"/>
            <w:vAlign w:val="center"/>
            <w:textDirection w:val="lrTb"/>
            <w:noWrap w:val="false"/>
          </w:tcPr>
          <w:p>
            <w:pPr>
              <w:pStyle w:val="927"/>
              <w:jc w:val="center"/>
              <w:keepLines w:val="0"/>
              <w:keepNext w:val="0"/>
              <w:pageBreakBefore w:val="0"/>
              <w:spacing w:before="0" w:line="360" w:lineRule="auto"/>
              <w:widowControl w:val="off"/>
              <w:rPr>
                <w:rFonts w:hint="eastAsia" w:ascii="宋体" w:hAnsi="宋体" w:eastAsia="宋体" w:cs="宋体"/>
                <w:b/>
                <w:bCs/>
                <w:spacing w:val="-3"/>
                <w:sz w:val="21"/>
                <w:szCs w:val="21"/>
                <w:highlight w:val="none"/>
              </w:rPr>
            </w:pPr>
            <w:r>
              <w:rPr>
                <w:rFonts w:hint="eastAsia" w:ascii="宋体" w:hAnsi="宋体" w:eastAsia="宋体" w:cs="宋体"/>
                <w:b/>
                <w:bCs/>
                <w:spacing w:val="-3"/>
                <w:sz w:val="21"/>
                <w:szCs w:val="21"/>
                <w:highlight w:val="none"/>
              </w:rPr>
              <w:t xml:space="preserve">分值</w:t>
            </w:r>
            <w:r>
              <w:rPr>
                <w:rFonts w:hint="eastAsia" w:ascii="宋体" w:hAnsi="宋体" w:eastAsia="宋体" w:cs="宋体"/>
                <w:b/>
                <w:bCs/>
                <w:spacing w:val="-3"/>
                <w:sz w:val="21"/>
                <w:szCs w:val="21"/>
                <w:highlight w:val="none"/>
              </w:rPr>
            </w:r>
            <w:r/>
          </w:p>
        </w:tc>
        <w:tc>
          <w:tcPr>
            <w:tcW w:w="481" w:type="dxa"/>
            <w:vAlign w:val="center"/>
            <w:textDirection w:val="lrTb"/>
            <w:noWrap w:val="false"/>
          </w:tcPr>
          <w:p>
            <w:pPr>
              <w:pStyle w:val="927"/>
              <w:jc w:val="center"/>
              <w:keepLines w:val="0"/>
              <w:keepNext w:val="0"/>
              <w:pageBreakBefore w:val="0"/>
              <w:spacing w:before="0" w:line="360" w:lineRule="auto"/>
              <w:widowControl w:val="off"/>
              <w:rPr>
                <w:rFonts w:hint="eastAsia" w:ascii="宋体" w:hAnsi="宋体" w:eastAsia="宋体" w:cs="宋体"/>
                <w:b/>
                <w:bCs/>
                <w:spacing w:val="-3"/>
                <w:sz w:val="21"/>
                <w:szCs w:val="21"/>
                <w:highlight w:val="none"/>
              </w:rPr>
            </w:pPr>
            <w:r>
              <w:rPr>
                <w:rFonts w:hint="eastAsia" w:ascii="宋体" w:hAnsi="宋体" w:eastAsia="宋体" w:cs="宋体"/>
                <w:b/>
                <w:bCs/>
                <w:spacing w:val="-3"/>
                <w:sz w:val="21"/>
                <w:szCs w:val="21"/>
                <w:highlight w:val="none"/>
              </w:rPr>
              <w:t xml:space="preserve">类型</w:t>
            </w:r>
            <w:r>
              <w:rPr>
                <w:rFonts w:hint="eastAsia" w:ascii="宋体" w:hAnsi="宋体" w:eastAsia="宋体" w:cs="宋体"/>
                <w:b/>
                <w:bCs/>
                <w:spacing w:val="-3"/>
                <w:sz w:val="21"/>
                <w:szCs w:val="21"/>
                <w:highlight w:val="none"/>
              </w:rPr>
            </w:r>
            <w:r/>
          </w:p>
        </w:tc>
      </w:tr>
      <w:tr>
        <w:trPr>
          <w:trHeight w:val="90"/>
        </w:trPr>
        <w:tc>
          <w:tcPr>
            <w:gridSpan w:val="5"/>
            <w:tcW w:w="10119" w:type="dxa"/>
            <w:vAlign w:val="top"/>
            <w:textDirection w:val="lrTb"/>
            <w:noWrap w:val="false"/>
          </w:tcPr>
          <w:p>
            <w:pPr>
              <w:pStyle w:val="927"/>
              <w:ind w:left="0"/>
              <w:keepLines w:val="0"/>
              <w:keepNext w:val="0"/>
              <w:pageBreakBefore w:val="0"/>
              <w:spacing w:before="0" w:line="360" w:lineRule="auto"/>
              <w:widowControl w:val="off"/>
              <w:rPr>
                <w:rFonts w:hint="eastAsia" w:ascii="宋体" w:hAnsi="宋体" w:eastAsia="宋体" w:cs="宋体"/>
                <w:sz w:val="21"/>
                <w:szCs w:val="21"/>
                <w:highlight w:val="none"/>
              </w:rPr>
            </w:pPr>
            <w:r>
              <w:rPr>
                <w:rFonts w:hint="eastAsia" w:ascii="宋体" w:hAnsi="宋体" w:eastAsia="宋体" w:cs="宋体"/>
                <w:b/>
                <w:bCs/>
                <w:spacing w:val="-3"/>
                <w:sz w:val="21"/>
                <w:szCs w:val="21"/>
                <w:highlight w:val="none"/>
                <w:lang w:val="en-US" w:eastAsia="zh-CN"/>
              </w:rPr>
              <w:t xml:space="preserve">1.</w:t>
            </w:r>
            <w:r>
              <w:rPr>
                <w:rFonts w:hint="eastAsia" w:ascii="宋体" w:hAnsi="宋体" w:eastAsia="宋体" w:cs="宋体"/>
                <w:b/>
                <w:bCs/>
                <w:spacing w:val="-3"/>
                <w:sz w:val="21"/>
                <w:szCs w:val="21"/>
                <w:highlight w:val="none"/>
              </w:rPr>
              <w:t xml:space="preserve">价</w:t>
            </w:r>
            <w:r>
              <w:rPr>
                <w:rFonts w:hint="eastAsia" w:ascii="宋体" w:hAnsi="宋体" w:eastAsia="宋体" w:cs="宋体"/>
                <w:b/>
                <w:bCs/>
                <w:spacing w:val="-2"/>
                <w:sz w:val="21"/>
                <w:szCs w:val="21"/>
                <w:highlight w:val="none"/>
              </w:rPr>
              <w:t xml:space="preserve">格</w:t>
            </w:r>
            <w:r>
              <w:rPr>
                <w:rFonts w:hint="eastAsia" w:ascii="宋体" w:hAnsi="宋体" w:eastAsia="宋体" w:cs="宋体"/>
                <w:sz w:val="21"/>
                <w:szCs w:val="21"/>
                <w:highlight w:val="none"/>
              </w:rPr>
            </w:r>
            <w:r/>
          </w:p>
        </w:tc>
      </w:tr>
      <w:tr>
        <w:trPr>
          <w:trHeight w:val="1030"/>
        </w:trPr>
        <w:tc>
          <w:tcPr>
            <w:tcW w:w="265" w:type="dxa"/>
            <w:vAlign w:val="center"/>
            <w:textDirection w:val="lrTb"/>
            <w:noWrap w:val="false"/>
          </w:tcPr>
          <w:p>
            <w:pPr>
              <w:pStyle w:val="927"/>
              <w:jc w:val="center"/>
              <w:keepLines w:val="0"/>
              <w:keepNext w:val="0"/>
              <w:spacing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sz w:val="21"/>
                <w:szCs w:val="21"/>
                <w:highlight w:val="none"/>
              </w:rPr>
            </w:r>
            <w:r/>
          </w:p>
        </w:tc>
        <w:tc>
          <w:tcPr>
            <w:tcW w:w="615" w:type="dxa"/>
            <w:vAlign w:val="center"/>
            <w:textDirection w:val="lrTb"/>
            <w:noWrap w:val="false"/>
          </w:tcPr>
          <w:p>
            <w:pPr>
              <w:pStyle w:val="927"/>
              <w:jc w:val="center"/>
              <w:keepLines w:val="0"/>
              <w:keepNext w:val="0"/>
              <w:spacing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价格分</w:t>
            </w:r>
            <w:r>
              <w:rPr>
                <w:rFonts w:hint="eastAsia" w:ascii="宋体" w:hAnsi="宋体" w:eastAsia="宋体" w:cs="宋体"/>
                <w:sz w:val="21"/>
                <w:szCs w:val="21"/>
                <w:highlight w:val="none"/>
              </w:rPr>
            </w:r>
            <w:r/>
          </w:p>
        </w:tc>
        <w:tc>
          <w:tcPr>
            <w:tcW w:w="3302" w:type="dxa"/>
            <w:vAlign w:val="center"/>
            <w:textDirection w:val="lrTb"/>
            <w:noWrap w:val="false"/>
          </w:tcPr>
          <w:p>
            <w:pPr>
              <w:pStyle w:val="927"/>
              <w:jc w:val="left"/>
              <w:keepLines w:val="0"/>
              <w:keepNext w:val="0"/>
              <w:spacing w:line="360" w:lineRule="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rPr>
                <w:rFonts w:hint="eastAsia" w:ascii="宋体" w:hAnsi="宋体" w:eastAsia="宋体" w:cs="宋体"/>
                <w:sz w:val="21"/>
                <w:szCs w:val="21"/>
                <w:highlight w:val="none"/>
                <w:lang w:val="en-US" w:eastAsia="zh-CN"/>
              </w:rPr>
            </w:r>
            <w:r/>
          </w:p>
        </w:tc>
        <w:tc>
          <w:tcPr>
            <w:tcW w:w="335" w:type="dxa"/>
            <w:vAlign w:val="center"/>
            <w:textDirection w:val="lrTb"/>
            <w:noWrap w:val="false"/>
          </w:tcPr>
          <w:p>
            <w:pPr>
              <w:pStyle w:val="927"/>
              <w:jc w:val="center"/>
              <w:keepLines w:val="0"/>
              <w:keepNext w:val="0"/>
              <w:spacing w:line="360" w:lineRule="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sz w:val="21"/>
                <w:szCs w:val="21"/>
                <w:highlight w:val="none"/>
                <w:lang w:val="en-US" w:eastAsia="zh-CN"/>
              </w:rPr>
            </w:r>
            <w:r/>
          </w:p>
        </w:tc>
        <w:tc>
          <w:tcPr>
            <w:tcW w:w="481" w:type="dxa"/>
            <w:vAlign w:val="center"/>
            <w:textDirection w:val="lrTb"/>
            <w:noWrap w:val="false"/>
          </w:tcPr>
          <w:p>
            <w:pPr>
              <w:pStyle w:val="927"/>
              <w:jc w:val="center"/>
              <w:keepLines w:val="0"/>
              <w:keepNext w:val="0"/>
              <w:spacing w:line="360" w:lineRule="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价格分</w:t>
            </w:r>
            <w:r>
              <w:rPr>
                <w:rFonts w:hint="eastAsia" w:ascii="宋体" w:hAnsi="宋体" w:eastAsia="宋体" w:cs="宋体"/>
                <w:sz w:val="21"/>
                <w:szCs w:val="21"/>
                <w:highlight w:val="none"/>
                <w:lang w:val="en-US" w:eastAsia="zh-CN"/>
              </w:rPr>
            </w:r>
            <w:r/>
          </w:p>
        </w:tc>
      </w:tr>
      <w:tr>
        <w:trPr>
          <w:trHeight w:val="460"/>
        </w:trPr>
        <w:tc>
          <w:tcPr>
            <w:gridSpan w:val="5"/>
            <w:tcW w:w="10119" w:type="dxa"/>
            <w:vAlign w:val="top"/>
            <w:textDirection w:val="lrTb"/>
            <w:noWrap w:val="false"/>
          </w:tcPr>
          <w:p>
            <w:pPr>
              <w:pStyle w:val="927"/>
              <w:ind w:left="0"/>
              <w:keepLines w:val="0"/>
              <w:keepNext w:val="0"/>
              <w:pageBreakBefore w:val="0"/>
              <w:spacing w:before="0" w:line="360" w:lineRule="auto"/>
              <w:widowControl w:val="off"/>
              <w:rPr>
                <w:rFonts w:hint="eastAsia" w:ascii="宋体" w:hAnsi="宋体" w:eastAsia="宋体" w:cs="宋体"/>
                <w:sz w:val="21"/>
                <w:szCs w:val="21"/>
                <w:highlight w:val="none"/>
              </w:rPr>
            </w:pPr>
            <w:r>
              <w:rPr>
                <w:rFonts w:hint="eastAsia" w:ascii="宋体" w:hAnsi="宋体" w:eastAsia="宋体" w:cs="宋体"/>
                <w:b/>
                <w:bCs/>
                <w:spacing w:val="-3"/>
                <w:sz w:val="21"/>
                <w:szCs w:val="21"/>
                <w:highlight w:val="none"/>
                <w:lang w:val="en-US" w:eastAsia="zh-CN"/>
              </w:rPr>
              <w:t xml:space="preserve">2.技术</w:t>
            </w:r>
            <w:r>
              <w:rPr>
                <w:rFonts w:hint="eastAsia" w:ascii="宋体" w:hAnsi="宋体" w:eastAsia="宋体" w:cs="宋体"/>
                <w:sz w:val="21"/>
                <w:szCs w:val="21"/>
                <w:highlight w:val="none"/>
              </w:rPr>
            </w:r>
            <w:r/>
          </w:p>
        </w:tc>
      </w:tr>
      <w:tr>
        <w:trPr>
          <w:trHeight w:val="891"/>
        </w:trPr>
        <w:tc>
          <w:tcPr>
            <w:tcW w:w="265" w:type="dxa"/>
            <w:vAlign w:val="center"/>
            <w:textDirection w:val="lrTb"/>
            <w:noWrap w:val="false"/>
          </w:tcPr>
          <w:p>
            <w:pPr>
              <w:pStyle w:val="927"/>
              <w:jc w:val="center"/>
              <w:keepLines w:val="0"/>
              <w:keepNext w:val="0"/>
              <w:spacing w:line="360" w:lineRule="auto"/>
              <w:widowControl/>
              <w:rPr>
                <w:rFonts w:hint="eastAsia" w:ascii="宋体" w:hAnsi="宋体" w:eastAsia="宋体" w:cs="宋体"/>
                <w:spacing w:val="-2"/>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spacing w:val="-2"/>
                <w:sz w:val="21"/>
                <w:szCs w:val="21"/>
                <w:highlight w:val="none"/>
              </w:rPr>
            </w:r>
            <w:r/>
          </w:p>
        </w:tc>
        <w:tc>
          <w:tcPr>
            <w:tcW w:w="615" w:type="dxa"/>
            <w:vAlign w:val="center"/>
            <w:textDirection w:val="lrTb"/>
            <w:noWrap w:val="false"/>
          </w:tcPr>
          <w:p>
            <w:pPr>
              <w:pStyle w:val="927"/>
              <w:jc w:val="center"/>
              <w:keepLines w:val="0"/>
              <w:keepNext w:val="0"/>
              <w:spacing w:line="360" w:lineRule="auto"/>
              <w:widowControl/>
              <w:rPr>
                <w:rFonts w:hint="eastAsia" w:ascii="宋体" w:hAnsi="宋体" w:eastAsia="宋体" w:cs="宋体"/>
                <w:spacing w:val="-2"/>
                <w:sz w:val="21"/>
                <w:szCs w:val="21"/>
                <w:highlight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产品功能、性能、配置要求</w:t>
            </w:r>
            <w:r>
              <w:rPr>
                <w:rFonts w:hint="eastAsia" w:ascii="宋体" w:hAnsi="宋体" w:eastAsia="宋体" w:cs="宋体"/>
                <w:spacing w:val="-2"/>
                <w:sz w:val="21"/>
                <w:szCs w:val="21"/>
                <w:highlight w:val="none"/>
                <w:lang w:eastAsia="zh-CN"/>
              </w:rPr>
            </w:r>
            <w:r/>
          </w:p>
        </w:tc>
        <w:tc>
          <w:tcPr>
            <w:tcW w:w="3302" w:type="dxa"/>
            <w:vAlign w:val="center"/>
            <w:textDirection w:val="lrTb"/>
            <w:noWrap w:val="false"/>
          </w:tcPr>
          <w:p>
            <w:pPr>
              <w:pStyle w:val="927"/>
              <w:jc w:val="left"/>
              <w:keepLines w:val="0"/>
              <w:keepNext w:val="0"/>
              <w:spacing w:line="360" w:lineRule="auto"/>
              <w:widowControl/>
              <w:rPr>
                <w:rFonts w:hint="eastAsia" w:ascii="宋体" w:hAnsi="宋体" w:eastAsia="宋体" w:cs="宋体"/>
                <w:spacing w:val="1"/>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设备技术参数全部满足招标要求的得满分30分；打▲号指标为重要指标，要求提供证明材料未提供的视为负偏离，有1项负偏离扣1分；其余指标有1项负偏离扣0.05分，扣完为止。</w:t>
            </w:r>
            <w:r>
              <w:rPr>
                <w:rFonts w:hint="eastAsia" w:ascii="宋体" w:hAnsi="宋体" w:eastAsia="宋体" w:cs="宋体"/>
                <w:spacing w:val="1"/>
                <w:sz w:val="21"/>
                <w:szCs w:val="21"/>
                <w:highlight w:val="none"/>
              </w:rPr>
            </w:r>
            <w:r/>
          </w:p>
        </w:tc>
        <w:tc>
          <w:tcPr>
            <w:tcW w:w="335" w:type="dxa"/>
            <w:vAlign w:val="center"/>
            <w:textDirection w:val="lrTb"/>
            <w:noWrap w:val="false"/>
          </w:tcPr>
          <w:p>
            <w:pPr>
              <w:pStyle w:val="927"/>
              <w:jc w:val="center"/>
              <w:keepLines w:val="0"/>
              <w:keepNext w:val="0"/>
              <w:spacing w:line="360" w:lineRule="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sz w:val="21"/>
                <w:szCs w:val="21"/>
                <w:highlight w:val="none"/>
                <w:lang w:val="en-US" w:eastAsia="zh-CN"/>
              </w:rPr>
            </w:r>
            <w:r/>
          </w:p>
        </w:tc>
        <w:tc>
          <w:tcPr>
            <w:tcW w:w="481" w:type="dxa"/>
            <w:vAlign w:val="center"/>
            <w:textDirection w:val="lrTb"/>
            <w:noWrap w:val="false"/>
          </w:tcPr>
          <w:p>
            <w:pPr>
              <w:pStyle w:val="927"/>
              <w:jc w:val="center"/>
              <w:keepLines w:val="0"/>
              <w:keepNext w:val="0"/>
              <w:spacing w:line="360" w:lineRule="auto"/>
              <w:widowControl/>
              <w:rPr>
                <w:rFonts w:hint="eastAsia" w:ascii="宋体" w:hAnsi="宋体" w:eastAsia="宋体" w:cs="宋体"/>
                <w:sz w:val="21"/>
                <w:szCs w:val="21"/>
                <w:highlight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客观分</w:t>
            </w:r>
            <w:r>
              <w:rPr>
                <w:rFonts w:hint="eastAsia" w:ascii="宋体" w:hAnsi="宋体" w:eastAsia="宋体" w:cs="宋体"/>
                <w:sz w:val="21"/>
                <w:szCs w:val="21"/>
                <w:highlight w:val="none"/>
                <w:lang w:eastAsia="zh-CN"/>
              </w:rPr>
            </w:r>
            <w:r/>
          </w:p>
        </w:tc>
      </w:tr>
      <w:tr>
        <w:trPr>
          <w:trHeight w:val="889"/>
        </w:trPr>
        <w:tc>
          <w:tcPr>
            <w:tcW w:w="265" w:type="dxa"/>
            <w:vAlign w:val="center"/>
            <w:textDirection w:val="lrTb"/>
            <w:noWrap w:val="false"/>
          </w:tcPr>
          <w:p>
            <w:pPr>
              <w:pStyle w:val="927"/>
              <w:jc w:val="center"/>
              <w:keepLines w:val="0"/>
              <w:keepNext w:val="0"/>
              <w:spacing w:line="360" w:lineRule="auto"/>
              <w:widowControl/>
              <w:rPr>
                <w:rFonts w:hint="eastAsia" w:ascii="宋体" w:hAnsi="宋体" w:eastAsia="宋体" w:cs="宋体"/>
                <w:spacing w:val="-2"/>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spacing w:val="-2"/>
                <w:sz w:val="21"/>
                <w:szCs w:val="21"/>
                <w:highlight w:val="none"/>
              </w:rPr>
            </w:r>
            <w:r/>
          </w:p>
        </w:tc>
        <w:tc>
          <w:tcPr>
            <w:tcW w:w="615" w:type="dxa"/>
            <w:vAlign w:val="center"/>
            <w:textDirection w:val="lrTb"/>
            <w:noWrap w:val="false"/>
          </w:tcPr>
          <w:p>
            <w:pPr>
              <w:pStyle w:val="927"/>
              <w:jc w:val="center"/>
              <w:keepLines w:val="0"/>
              <w:keepNext w:val="0"/>
              <w:spacing w:line="360" w:lineRule="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检测报告</w:t>
            </w:r>
            <w:r>
              <w:rPr>
                <w:rFonts w:hint="eastAsia" w:ascii="宋体" w:hAnsi="宋体" w:eastAsia="宋体" w:cs="宋体"/>
                <w:sz w:val="21"/>
                <w:szCs w:val="21"/>
                <w:highlight w:val="none"/>
                <w:lang w:val="en-US" w:eastAsia="zh-CN"/>
              </w:rPr>
            </w:r>
            <w:r/>
          </w:p>
        </w:tc>
        <w:tc>
          <w:tcPr>
            <w:tcW w:w="3302" w:type="dxa"/>
            <w:vAlign w:val="top"/>
            <w:textDirection w:val="lrTb"/>
            <w:noWrap w:val="false"/>
          </w:tcPr>
          <w:p>
            <w:pPr>
              <w:pStyle w:val="927"/>
              <w:jc w:val="left"/>
              <w:keepLines w:val="0"/>
              <w:keepNext w:val="0"/>
              <w:spacing w:line="360" w:lineRule="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1、所投高清智能警戒摄像机（产品清单10），支持内置鳞镜式补光灯，灯珠朝向与设备照射方向不同，灯杯为半弧形网格鳞片状；补光灯开启后正面不可见补光灯灯珠，得1分。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2、为了保证学校监控系统数据安全，所投监控存储（64路）1 （产品清单12）支持录像加密，可根据指定的摄像机通道、时间、录像类型进行加密，加密的录像文件只有在解密后才可以正常播放，得1分。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3、所投防火墙1（产品清单31）支持支持僵尸主机检测功能，产品内置僵尸网络特征库≥128万种，可识别主机的异常外联行为，得1分。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4、所投广播服务器（产品清单51）,支持6×4音频矩阵功能：线路输入接口≥6个，每一路线路输入有两个编组按键发送到任意编组混音，得1分。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以上1-4项均需提供具备CMA标识的第三方测试报告复印件，不提供不得分</w:t>
            </w:r>
            <w:r>
              <w:rPr>
                <w:rFonts w:hint="eastAsia" w:ascii="宋体" w:hAnsi="宋体" w:eastAsia="宋体" w:cs="宋体"/>
                <w:sz w:val="21"/>
                <w:szCs w:val="21"/>
                <w:highlight w:val="none"/>
                <w:lang w:val="en-US" w:eastAsia="zh-CN"/>
              </w:rPr>
            </w:r>
            <w:r/>
          </w:p>
        </w:tc>
        <w:tc>
          <w:tcPr>
            <w:tcW w:w="335" w:type="dxa"/>
            <w:vAlign w:val="center"/>
            <w:textDirection w:val="lrTb"/>
            <w:noWrap w:val="false"/>
          </w:tcPr>
          <w:p>
            <w:pPr>
              <w:pStyle w:val="927"/>
              <w:jc w:val="center"/>
              <w:keepLines w:val="0"/>
              <w:keepNext w:val="0"/>
              <w:spacing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sz w:val="21"/>
                <w:szCs w:val="21"/>
                <w:highlight w:val="none"/>
                <w:lang w:val="en-US" w:eastAsia="zh-CN" w:bidi="ar-SA"/>
              </w:rPr>
            </w:r>
            <w:r/>
          </w:p>
        </w:tc>
        <w:tc>
          <w:tcPr>
            <w:tcW w:w="481" w:type="dxa"/>
            <w:vAlign w:val="center"/>
            <w:textDirection w:val="lrTb"/>
            <w:noWrap w:val="false"/>
          </w:tcPr>
          <w:p>
            <w:pPr>
              <w:pStyle w:val="927"/>
              <w:jc w:val="center"/>
              <w:keepLines w:val="0"/>
              <w:keepNext w:val="0"/>
              <w:spacing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客观分</w:t>
            </w:r>
            <w:r>
              <w:rPr>
                <w:rFonts w:hint="eastAsia" w:ascii="宋体" w:hAnsi="宋体" w:eastAsia="宋体" w:cs="宋体"/>
                <w:sz w:val="21"/>
                <w:szCs w:val="21"/>
                <w:highlight w:val="none"/>
                <w:lang w:val="en-US" w:eastAsia="zh-CN" w:bidi="ar-SA"/>
              </w:rPr>
            </w:r>
            <w:r/>
          </w:p>
        </w:tc>
      </w:tr>
      <w:tr>
        <w:trPr>
          <w:trHeight w:val="889"/>
        </w:trPr>
        <w:tc>
          <w:tcPr>
            <w:tcW w:w="265" w:type="dxa"/>
            <w:vAlign w:val="center"/>
            <w:textDirection w:val="lrTb"/>
            <w:noWrap w:val="false"/>
          </w:tcPr>
          <w:p>
            <w:pPr>
              <w:pStyle w:val="927"/>
              <w:jc w:val="center"/>
              <w:keepLines w:val="0"/>
              <w:keepNext w:val="0"/>
              <w:spacing w:line="360" w:lineRule="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sz w:val="21"/>
                <w:szCs w:val="21"/>
                <w:highlight w:val="none"/>
                <w:lang w:val="en-US" w:eastAsia="zh-CN"/>
              </w:rPr>
            </w:r>
            <w:r/>
          </w:p>
        </w:tc>
        <w:tc>
          <w:tcPr>
            <w:tcW w:w="615" w:type="dxa"/>
            <w:vAlign w:val="center"/>
            <w:textDirection w:val="lrTb"/>
            <w:noWrap w:val="false"/>
          </w:tcPr>
          <w:p>
            <w:pPr>
              <w:pStyle w:val="927"/>
              <w:jc w:val="center"/>
              <w:keepLines w:val="0"/>
              <w:keepNext w:val="0"/>
              <w:spacing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深化设计方案</w:t>
            </w:r>
            <w:r>
              <w:rPr>
                <w:rFonts w:hint="eastAsia" w:ascii="宋体" w:hAnsi="宋体" w:eastAsia="宋体" w:cs="宋体"/>
                <w:sz w:val="21"/>
                <w:szCs w:val="21"/>
                <w:highlight w:val="none"/>
                <w:lang w:val="en-US" w:eastAsia="zh-CN" w:bidi="ar-SA"/>
              </w:rPr>
            </w:r>
            <w:r/>
          </w:p>
        </w:tc>
        <w:tc>
          <w:tcPr>
            <w:tcW w:w="3302" w:type="dxa"/>
            <w:vAlign w:val="center"/>
            <w:textDirection w:val="lrTb"/>
            <w:noWrap w:val="false"/>
          </w:tcPr>
          <w:p>
            <w:pPr>
              <w:pStyle w:val="927"/>
              <w:jc w:val="left"/>
              <w:keepLines w:val="0"/>
              <w:keepNext w:val="0"/>
              <w:spacing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投标人根据采购需求并针对本项目，分别提供南京市玄武高级中学、南京市长江路小学的安防系统深化设计，包括深化方案、点位图、拓扑图；评委根据设计方案及图纸进行综合评分：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（1）上述每项设计充分满足学校需求，安防系统深化方案科学合理、可行性强、图纸齐全、点位分布合理、系统结构完整，得5分；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（2）上述每项设计满足学校需求，网络系统深化方案较科学合理、可行性较强、图纸齐全、点位分布较合理、系统结构较完整，得2分；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（3）上述每项设计基本满足学校需求，网络系统深化方案科学合理性一般、可行性一般，得1分；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（4）上述每项设计不能满足学校需求，设计不合理、不完整、不准确、制作不规范或未提供的不得分。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b/>
                <w:bCs/>
                <w:i w:val="0"/>
                <w:iCs w:val="0"/>
                <w:color w:val="000000"/>
                <w:sz w:val="21"/>
                <w:szCs w:val="21"/>
                <w:highlight w:val="none"/>
                <w:u w:val="none"/>
                <w:lang w:val="en-US" w:eastAsia="zh-CN" w:bidi="ar"/>
              </w:rPr>
              <w:t xml:space="preserve">投标人提供南京市第五十四中学、南京市科利华小学的广播系统改造的深化设计，包括功能实现、系统连接图、广播点位图、操场区域声场图；评委根据设计方案及图纸进行综合评分：</w:t>
            </w:r>
            <w:r>
              <w:rPr>
                <w:rFonts w:hint="eastAsia" w:ascii="宋体" w:hAnsi="宋体" w:eastAsia="宋体" w:cs="宋体"/>
                <w:b/>
                <w:bCs/>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（1）上述每项设计充分满足学校需求，广播系统深化方案科学合理、可行性强、图纸齐全、点位分布合理、功能齐全，得5分；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（2）上述每项设计满足学校需求，广播系统深化方案较科学合理、可行性较强、图纸齐全、点位分布较合理、功能较齐全，得2分；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（3）上述每项设计基本满足学校需求，广播系统深化方科学合理性一般、可行性一般，得1分；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（4）上述每项设计不能满足学校需求，设计不合理、不完整、不准确、制作不规范或未提供的不得分。</w:t>
            </w:r>
            <w:r>
              <w:rPr>
                <w:rFonts w:hint="eastAsia" w:ascii="宋体" w:hAnsi="宋体" w:eastAsia="宋体" w:cs="宋体"/>
                <w:sz w:val="21"/>
                <w:szCs w:val="21"/>
                <w:highlight w:val="none"/>
                <w:lang w:val="en-US" w:eastAsia="zh-CN" w:bidi="ar-SA"/>
              </w:rPr>
            </w:r>
            <w:r/>
          </w:p>
        </w:tc>
        <w:tc>
          <w:tcPr>
            <w:tcW w:w="335" w:type="dxa"/>
            <w:vAlign w:val="center"/>
            <w:textDirection w:val="lrTb"/>
            <w:noWrap w:val="false"/>
          </w:tcPr>
          <w:p>
            <w:pPr>
              <w:pStyle w:val="927"/>
              <w:jc w:val="center"/>
              <w:keepLines w:val="0"/>
              <w:keepNext w:val="0"/>
              <w:spacing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sz w:val="21"/>
                <w:szCs w:val="21"/>
                <w:highlight w:val="none"/>
                <w:lang w:val="en-US" w:eastAsia="zh-CN" w:bidi="ar-SA"/>
              </w:rPr>
            </w:r>
            <w:r/>
          </w:p>
        </w:tc>
        <w:tc>
          <w:tcPr>
            <w:tcW w:w="481" w:type="dxa"/>
            <w:vAlign w:val="center"/>
            <w:textDirection w:val="lrTb"/>
            <w:noWrap w:val="false"/>
          </w:tcPr>
          <w:p>
            <w:pPr>
              <w:pStyle w:val="927"/>
              <w:jc w:val="center"/>
              <w:keepLines w:val="0"/>
              <w:keepNext w:val="0"/>
              <w:spacing w:line="360" w:lineRule="auto"/>
              <w:widowControl/>
              <w:rPr>
                <w:rFonts w:hint="eastAsia" w:ascii="宋体" w:hAnsi="宋体" w:eastAsia="宋体" w:cs="宋体"/>
                <w:spacing w:val="-6"/>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主观分</w:t>
            </w:r>
            <w:r>
              <w:rPr>
                <w:rFonts w:hint="eastAsia" w:ascii="宋体" w:hAnsi="宋体" w:eastAsia="宋体" w:cs="宋体"/>
                <w:spacing w:val="-6"/>
                <w:sz w:val="21"/>
                <w:szCs w:val="21"/>
                <w:highlight w:val="none"/>
                <w:lang w:val="en-US" w:eastAsia="zh-CN" w:bidi="ar-SA"/>
              </w:rPr>
            </w:r>
            <w:r/>
          </w:p>
        </w:tc>
      </w:tr>
      <w:tr>
        <w:trPr>
          <w:trHeight w:val="889"/>
        </w:trPr>
        <w:tc>
          <w:tcPr>
            <w:tcW w:w="2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lang w:val="en-US" w:eastAsia="zh-CN" w:bidi="ar"/>
              </w:rPr>
            </w:r>
            <w:r/>
          </w:p>
        </w:tc>
        <w:tc>
          <w:tcPr>
            <w:tcW w:w="61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实施方案</w:t>
            </w:r>
            <w:r>
              <w:rPr>
                <w:rFonts w:hint="eastAsia" w:ascii="宋体" w:hAnsi="宋体" w:eastAsia="宋体" w:cs="宋体"/>
                <w:i w:val="0"/>
                <w:iCs w:val="0"/>
                <w:color w:val="000000"/>
                <w:sz w:val="21"/>
                <w:szCs w:val="21"/>
                <w:highlight w:val="none"/>
                <w:u w:val="none"/>
                <w:lang w:val="en-US" w:eastAsia="zh-CN" w:bidi="ar"/>
              </w:rPr>
            </w:r>
            <w:r/>
          </w:p>
        </w:tc>
        <w:tc>
          <w:tcPr>
            <w:tcW w:w="3302" w:type="dxa"/>
            <w:vAlign w:val="center"/>
            <w:textDirection w:val="lrTb"/>
            <w:noWrap w:val="false"/>
          </w:tcPr>
          <w:p>
            <w:pPr>
              <w:pStyle w:val="927"/>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评委根据投标人提供的项目实施方案综合评分（每项内容逐条阐述）：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包括1.供货进度保证措施；2.质量保证措施；3.安装调试计划、4.协调配合措施；5.应急措施。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（1）上述每项内容完整、科学性、合理性、操作性强的，得1分；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（2）上述每项内容基本完整、基本科学合理，有可操作性的，得0.5分；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（3）上述每项内容不完整、不科学合理、不具可操作性或未提供的不得分。</w:t>
            </w:r>
            <w:r>
              <w:rPr>
                <w:rFonts w:hint="eastAsia" w:ascii="宋体" w:hAnsi="宋体" w:eastAsia="宋体" w:cs="宋体"/>
                <w:i w:val="0"/>
                <w:iCs w:val="0"/>
                <w:color w:val="000000"/>
                <w:sz w:val="21"/>
                <w:szCs w:val="21"/>
                <w:highlight w:val="none"/>
                <w:u w:val="none"/>
                <w:lang w:val="en-US" w:eastAsia="zh-CN" w:bidi="ar"/>
              </w:rPr>
            </w:r>
            <w:r/>
          </w:p>
        </w:tc>
        <w:tc>
          <w:tcPr>
            <w:tcW w:w="33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
              </w:rPr>
            </w:r>
            <w:r/>
          </w:p>
        </w:tc>
        <w:tc>
          <w:tcPr>
            <w:tcW w:w="48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主观分</w:t>
            </w:r>
            <w:r>
              <w:rPr>
                <w:rFonts w:hint="eastAsia" w:ascii="宋体" w:hAnsi="宋体" w:eastAsia="宋体" w:cs="宋体"/>
                <w:i w:val="0"/>
                <w:iCs w:val="0"/>
                <w:color w:val="000000"/>
                <w:sz w:val="21"/>
                <w:szCs w:val="21"/>
                <w:highlight w:val="none"/>
                <w:u w:val="none"/>
                <w:lang w:val="en-US" w:eastAsia="zh-CN" w:bidi="ar"/>
              </w:rPr>
            </w:r>
            <w:r/>
          </w:p>
        </w:tc>
      </w:tr>
      <w:tr>
        <w:trPr>
          <w:trHeight w:val="889"/>
        </w:trPr>
        <w:tc>
          <w:tcPr>
            <w:tcW w:w="2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lang w:val="en-US" w:eastAsia="zh-CN" w:bidi="ar"/>
              </w:rPr>
            </w:r>
            <w:r/>
          </w:p>
        </w:tc>
        <w:tc>
          <w:tcPr>
            <w:tcW w:w="61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视频演示</w:t>
            </w:r>
            <w:r>
              <w:rPr>
                <w:rFonts w:hint="eastAsia" w:ascii="宋体" w:hAnsi="宋体" w:eastAsia="宋体" w:cs="宋体"/>
                <w:i w:val="0"/>
                <w:iCs w:val="0"/>
                <w:color w:val="000000"/>
                <w:sz w:val="21"/>
                <w:szCs w:val="21"/>
                <w:highlight w:val="none"/>
                <w:u w:val="none"/>
                <w:lang w:val="en-US" w:eastAsia="zh-CN" w:bidi="ar"/>
              </w:rPr>
            </w:r>
            <w:r/>
          </w:p>
        </w:tc>
        <w:tc>
          <w:tcPr>
            <w:tcW w:w="3302" w:type="dxa"/>
            <w:vAlign w:val="top"/>
            <w:textDirection w:val="lrTb"/>
            <w:noWrap w:val="false"/>
          </w:tcPr>
          <w:p>
            <w:pPr>
              <w:pStyle w:val="927"/>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评委根据投标人所投“无线传声器（手持）”产品演示视频综合评分（演示视频文件演示时间不超过5分钟）：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1、连接互联网，通过TCP\IP协议可对接到物联网平台，进行多频段设备集中控制、状态显示、设备名称自定义、无干扰频率一键部署等。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可通过PC、平板客户端的无线传声器管理系统对多频段设备进行集中管控，自定义设备名称、通道名称，无干扰频率一键下发至所有在线设备，并支持设备加减锁、通道静音控制、接收模式选择、预设群组和通道选择、自定义频率、输出音量设置、静噪设置等，同时支持通道射频、音频、发射器电量等实时监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3、无线传声器管理系统软件适配安卓、鸿蒙等常用系统；将频谱测试与无线传输系统结合互动，图形化实时监测当前环境射频详情，并自动筛选不受干扰的频点，实现无线系统的稳定运行。</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以上功能，每成功演示一项得2分，全部满足得6分。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投标人未提供视频文件或因投标人自身原因视频文件无法打开或视频画面不清晰无法辨认的不得分。</w:t>
            </w:r>
            <w:r>
              <w:rPr>
                <w:rFonts w:hint="eastAsia" w:ascii="宋体" w:hAnsi="宋体" w:eastAsia="宋体" w:cs="宋体"/>
                <w:i w:val="0"/>
                <w:iCs w:val="0"/>
                <w:color w:val="000000"/>
                <w:sz w:val="21"/>
                <w:szCs w:val="21"/>
                <w:highlight w:val="none"/>
                <w:u w:val="none"/>
                <w:lang w:val="en-US" w:eastAsia="zh-CN" w:bidi="ar"/>
              </w:rPr>
            </w:r>
            <w:r/>
          </w:p>
        </w:tc>
        <w:tc>
          <w:tcPr>
            <w:tcW w:w="33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lang w:val="en-US" w:eastAsia="zh-CN" w:bidi="ar"/>
              </w:rPr>
            </w:r>
            <w:r/>
          </w:p>
        </w:tc>
        <w:tc>
          <w:tcPr>
            <w:tcW w:w="48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客观分</w:t>
            </w:r>
            <w:r>
              <w:rPr>
                <w:rFonts w:hint="eastAsia" w:ascii="宋体" w:hAnsi="宋体" w:eastAsia="宋体" w:cs="宋体"/>
                <w:i w:val="0"/>
                <w:iCs w:val="0"/>
                <w:color w:val="000000"/>
                <w:sz w:val="21"/>
                <w:szCs w:val="21"/>
                <w:highlight w:val="none"/>
                <w:u w:val="none"/>
                <w:lang w:val="en-US" w:eastAsia="zh-CN" w:bidi="ar"/>
              </w:rPr>
            </w:r>
            <w:r/>
          </w:p>
        </w:tc>
      </w:tr>
      <w:tr>
        <w:trPr>
          <w:trHeight w:val="472"/>
        </w:trPr>
        <w:tc>
          <w:tcPr>
            <w:gridSpan w:val="5"/>
            <w:tcW w:w="10119" w:type="dxa"/>
            <w:vAlign w:val="center"/>
            <w:textDirection w:val="lrTb"/>
            <w:noWrap w:val="false"/>
          </w:tcPr>
          <w:p>
            <w:pPr>
              <w:pStyle w:val="927"/>
              <w:jc w:val="both"/>
              <w:keepLines w:val="0"/>
              <w:keepNext w:val="0"/>
              <w:pageBreakBefore w:val="0"/>
              <w:spacing w:before="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b/>
                <w:bCs/>
                <w:spacing w:val="-3"/>
                <w:sz w:val="21"/>
                <w:szCs w:val="21"/>
                <w:highlight w:val="none"/>
                <w:lang w:val="en-US" w:eastAsia="zh-CN"/>
              </w:rPr>
              <w:t xml:space="preserve">3.服务</w:t>
            </w:r>
            <w:r>
              <w:rPr>
                <w:rFonts w:hint="eastAsia" w:ascii="宋体" w:hAnsi="宋体" w:eastAsia="宋体" w:cs="宋体"/>
                <w:sz w:val="21"/>
                <w:szCs w:val="21"/>
                <w:highlight w:val="none"/>
                <w:lang w:eastAsia="zh-CN"/>
              </w:rPr>
            </w:r>
            <w:r/>
          </w:p>
        </w:tc>
      </w:tr>
      <w:tr>
        <w:trPr>
          <w:trHeight w:val="1083"/>
        </w:trPr>
        <w:tc>
          <w:tcPr>
            <w:tcW w:w="265" w:type="dxa"/>
            <w:vAlign w:val="center"/>
            <w:textDirection w:val="lrTb"/>
            <w:noWrap w:val="false"/>
          </w:tcPr>
          <w:p>
            <w:pPr>
              <w:pStyle w:val="927"/>
              <w:jc w:val="center"/>
              <w:keepLines w:val="0"/>
              <w:keepNext w:val="0"/>
              <w:spacing w:line="360" w:lineRule="auto"/>
              <w:widowControl/>
              <w:rPr>
                <w:rFonts w:hint="eastAsia" w:ascii="宋体" w:hAnsi="宋体" w:eastAsia="宋体" w:cs="宋体"/>
                <w:spacing w:val="-2"/>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spacing w:val="-2"/>
                <w:sz w:val="21"/>
                <w:szCs w:val="21"/>
                <w:highlight w:val="none"/>
                <w:lang w:val="en-US" w:eastAsia="zh-CN"/>
              </w:rPr>
            </w:r>
            <w:r/>
          </w:p>
        </w:tc>
        <w:tc>
          <w:tcPr>
            <w:tcW w:w="615" w:type="dxa"/>
            <w:vAlign w:val="center"/>
            <w:textDirection w:val="lrTb"/>
            <w:noWrap w:val="false"/>
          </w:tcPr>
          <w:p>
            <w:pPr>
              <w:pStyle w:val="927"/>
              <w:jc w:val="center"/>
              <w:keepLines w:val="0"/>
              <w:keepNext w:val="0"/>
              <w:spacing w:line="360" w:lineRule="auto"/>
              <w:widowControl/>
              <w:rPr>
                <w:rFonts w:hint="eastAsia" w:ascii="宋体" w:hAnsi="宋体" w:eastAsia="宋体" w:cs="宋体"/>
                <w:spacing w:val="-2"/>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售后服务方案</w:t>
            </w:r>
            <w:r>
              <w:rPr>
                <w:rFonts w:hint="eastAsia" w:ascii="宋体" w:hAnsi="宋体" w:eastAsia="宋体" w:cs="宋体"/>
                <w:spacing w:val="-2"/>
                <w:sz w:val="21"/>
                <w:szCs w:val="21"/>
                <w:highlight w:val="none"/>
                <w:lang w:val="en-US" w:eastAsia="zh-CN" w:bidi="ar-SA"/>
              </w:rPr>
            </w:r>
            <w:r/>
          </w:p>
        </w:tc>
        <w:tc>
          <w:tcPr>
            <w:tcW w:w="3302" w:type="dxa"/>
            <w:vAlign w:val="center"/>
            <w:textDirection w:val="lrTb"/>
            <w:noWrap w:val="false"/>
          </w:tcPr>
          <w:p>
            <w:pPr>
              <w:pStyle w:val="927"/>
              <w:jc w:val="left"/>
              <w:keepLines w:val="0"/>
              <w:keepNext w:val="0"/>
              <w:spacing w:line="360" w:lineRule="auto"/>
              <w:widowControl/>
              <w:rPr>
                <w:rFonts w:hint="eastAsia" w:ascii="宋体" w:hAnsi="宋体" w:eastAsia="宋体" w:cs="宋体"/>
                <w:sz w:val="21"/>
                <w:szCs w:val="21"/>
                <w:highlight w:val="none"/>
                <w:lang w:val="zh-CN"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评委根据投标人提供的项目售后服务方案综合评分（每项内容逐条阐述）：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包括1.服务内容；2.故障解决方案；3.响应时间；4.技术人员保障；5.服务电话。</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（1）上述每项内容完整、科学性、合理性、操作性强的，得1分；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（2）上述每项内容基本完整、基本科学合理，有可操作性的，得0.5分；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（3）上述每项内容不完整、不科学合理、不具可操作性或未提供的不得分。</w:t>
            </w:r>
            <w:r>
              <w:rPr>
                <w:rFonts w:hint="eastAsia" w:ascii="宋体" w:hAnsi="宋体" w:eastAsia="宋体" w:cs="宋体"/>
                <w:sz w:val="21"/>
                <w:szCs w:val="21"/>
                <w:highlight w:val="none"/>
                <w:lang w:val="zh-CN" w:eastAsia="zh-CN" w:bidi="ar-SA"/>
              </w:rPr>
            </w:r>
            <w:r/>
          </w:p>
        </w:tc>
        <w:tc>
          <w:tcPr>
            <w:tcW w:w="335" w:type="dxa"/>
            <w:vAlign w:val="center"/>
            <w:textDirection w:val="lrTb"/>
            <w:noWrap w:val="false"/>
          </w:tcPr>
          <w:p>
            <w:pPr>
              <w:pStyle w:val="927"/>
              <w:jc w:val="center"/>
              <w:keepLines w:val="0"/>
              <w:keepNext w:val="0"/>
              <w:spacing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sz w:val="21"/>
                <w:szCs w:val="21"/>
                <w:highlight w:val="none"/>
                <w:lang w:val="en-US" w:eastAsia="zh-CN" w:bidi="ar-SA"/>
              </w:rPr>
            </w:r>
            <w:r/>
          </w:p>
        </w:tc>
        <w:tc>
          <w:tcPr>
            <w:tcW w:w="481" w:type="dxa"/>
            <w:vAlign w:val="center"/>
            <w:textDirection w:val="lrTb"/>
            <w:noWrap w:val="false"/>
          </w:tcPr>
          <w:p>
            <w:pPr>
              <w:pStyle w:val="927"/>
              <w:jc w:val="center"/>
              <w:keepLines w:val="0"/>
              <w:keepNext w:val="0"/>
              <w:spacing w:line="360" w:lineRule="auto"/>
              <w:widowControl/>
              <w:rPr>
                <w:rFonts w:hint="eastAsia" w:ascii="宋体" w:hAnsi="宋体" w:eastAsia="宋体" w:cs="宋体"/>
                <w:spacing w:val="-6"/>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主观分</w:t>
            </w:r>
            <w:r>
              <w:rPr>
                <w:rFonts w:hint="eastAsia" w:ascii="宋体" w:hAnsi="宋体" w:eastAsia="宋体" w:cs="宋体"/>
                <w:spacing w:val="-6"/>
                <w:sz w:val="21"/>
                <w:szCs w:val="21"/>
                <w:highlight w:val="none"/>
                <w:lang w:val="en-US" w:eastAsia="zh-CN" w:bidi="ar-SA"/>
              </w:rPr>
            </w:r>
            <w:r/>
          </w:p>
        </w:tc>
      </w:tr>
      <w:tr>
        <w:trPr>
          <w:trHeight w:val="133"/>
        </w:trPr>
        <w:tc>
          <w:tcPr>
            <w:tcW w:w="265" w:type="dxa"/>
            <w:vAlign w:val="center"/>
            <w:textDirection w:val="lrTb"/>
            <w:noWrap w:val="false"/>
          </w:tcPr>
          <w:p>
            <w:pPr>
              <w:pStyle w:val="927"/>
              <w:jc w:val="center"/>
              <w:keepLines w:val="0"/>
              <w:keepNext w:val="0"/>
              <w:spacing w:line="360" w:lineRule="auto"/>
              <w:widowControl/>
              <w:rPr>
                <w:rFonts w:hint="eastAsia" w:ascii="宋体" w:hAnsi="宋体" w:eastAsia="宋体" w:cs="宋体"/>
                <w:spacing w:val="-2"/>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spacing w:val="-2"/>
                <w:sz w:val="21"/>
                <w:szCs w:val="21"/>
                <w:highlight w:val="none"/>
                <w:lang w:val="en-US" w:eastAsia="zh-CN"/>
              </w:rPr>
            </w:r>
            <w:r/>
          </w:p>
        </w:tc>
        <w:tc>
          <w:tcPr>
            <w:tcW w:w="615" w:type="dxa"/>
            <w:vAlign w:val="center"/>
            <w:textDirection w:val="lrTb"/>
            <w:noWrap w:val="false"/>
          </w:tcPr>
          <w:p>
            <w:pPr>
              <w:pStyle w:val="927"/>
              <w:jc w:val="center"/>
              <w:keepLines w:val="0"/>
              <w:keepNext w:val="0"/>
              <w:spacing w:line="360" w:lineRule="auto"/>
              <w:widowControl/>
              <w:rPr>
                <w:rFonts w:hint="eastAsia" w:ascii="宋体" w:hAnsi="宋体" w:eastAsia="宋体" w:cs="宋体"/>
                <w:color w:val="000000"/>
                <w:spacing w:val="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培训方案</w:t>
            </w:r>
            <w:r>
              <w:rPr>
                <w:rFonts w:hint="eastAsia" w:ascii="宋体" w:hAnsi="宋体" w:eastAsia="宋体" w:cs="宋体"/>
                <w:color w:val="000000"/>
                <w:spacing w:val="0"/>
                <w:sz w:val="21"/>
                <w:szCs w:val="21"/>
                <w:highlight w:val="none"/>
                <w:lang w:val="en-US" w:eastAsia="zh-CN" w:bidi="ar-SA"/>
              </w:rPr>
            </w:r>
            <w:r/>
          </w:p>
        </w:tc>
        <w:tc>
          <w:tcPr>
            <w:tcW w:w="3302" w:type="dxa"/>
            <w:vAlign w:val="center"/>
            <w:textDirection w:val="lrTb"/>
            <w:noWrap w:val="false"/>
          </w:tcPr>
          <w:p>
            <w:pPr>
              <w:pStyle w:val="927"/>
              <w:jc w:val="left"/>
              <w:keepLines w:val="0"/>
              <w:keepNext w:val="0"/>
              <w:spacing w:line="360" w:lineRule="auto"/>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评委根据投标人提供的项目培训方案评分（每项内容逐条阐述）：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包括1.培训计划；2.培训内容；3.培训人数；4.培训时长；5.师资力量。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（1）上述每项方案完整详细、针对性强的，得1分；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（2）上述每项方案较完整详细、针对性较强的，得0.5分；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（3）上述每项方案没有针对性或未提供方案的不得分。</w:t>
            </w:r>
            <w:r>
              <w:rPr>
                <w:rFonts w:hint="eastAsia" w:ascii="宋体" w:hAnsi="宋体" w:eastAsia="宋体" w:cs="宋体"/>
                <w:color w:val="000000"/>
                <w:sz w:val="21"/>
                <w:szCs w:val="21"/>
                <w:highlight w:val="none"/>
                <w:lang w:val="en-US" w:eastAsia="zh-CN" w:bidi="ar-SA"/>
              </w:rPr>
            </w:r>
            <w:r/>
          </w:p>
        </w:tc>
        <w:tc>
          <w:tcPr>
            <w:tcW w:w="335" w:type="dxa"/>
            <w:vAlign w:val="center"/>
            <w:textDirection w:val="lrTb"/>
            <w:noWrap w:val="false"/>
          </w:tcPr>
          <w:p>
            <w:pPr>
              <w:pStyle w:val="927"/>
              <w:jc w:val="center"/>
              <w:keepLines w:val="0"/>
              <w:keepNext w:val="0"/>
              <w:spacing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sz w:val="21"/>
                <w:szCs w:val="21"/>
                <w:highlight w:val="none"/>
                <w:lang w:val="en-US" w:eastAsia="zh-CN" w:bidi="ar-SA"/>
              </w:rPr>
            </w:r>
            <w:r/>
          </w:p>
        </w:tc>
        <w:tc>
          <w:tcPr>
            <w:tcW w:w="481" w:type="dxa"/>
            <w:vAlign w:val="center"/>
            <w:textDirection w:val="lrTb"/>
            <w:noWrap w:val="false"/>
          </w:tcPr>
          <w:p>
            <w:pPr>
              <w:pStyle w:val="927"/>
              <w:jc w:val="center"/>
              <w:keepLines w:val="0"/>
              <w:keepNext w:val="0"/>
              <w:spacing w:line="360" w:lineRule="auto"/>
              <w:widowControl/>
              <w:rPr>
                <w:rFonts w:hint="eastAsia" w:ascii="宋体" w:hAnsi="宋体" w:eastAsia="宋体" w:cs="宋体"/>
                <w:spacing w:val="-6"/>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主观分</w:t>
            </w:r>
            <w:r>
              <w:rPr>
                <w:rFonts w:hint="eastAsia" w:ascii="宋体" w:hAnsi="宋体" w:eastAsia="宋体" w:cs="宋体"/>
                <w:spacing w:val="-6"/>
                <w:sz w:val="21"/>
                <w:szCs w:val="21"/>
                <w:highlight w:val="none"/>
                <w:lang w:val="en-US" w:eastAsia="zh-CN" w:bidi="ar-SA"/>
              </w:rPr>
            </w:r>
            <w:r/>
          </w:p>
        </w:tc>
      </w:tr>
      <w:tr>
        <w:trPr>
          <w:trHeight w:val="455"/>
        </w:trPr>
        <w:tc>
          <w:tcPr>
            <w:gridSpan w:val="5"/>
            <w:tcW w:w="10119" w:type="dxa"/>
            <w:vAlign w:val="center"/>
            <w:textDirection w:val="lrTb"/>
            <w:noWrap w:val="false"/>
          </w:tcPr>
          <w:p>
            <w:pPr>
              <w:pStyle w:val="927"/>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b/>
                <w:bCs/>
                <w:spacing w:val="-3"/>
                <w:sz w:val="21"/>
                <w:szCs w:val="21"/>
                <w:highlight w:val="none"/>
                <w:lang w:val="en-US" w:eastAsia="zh-CN"/>
              </w:rPr>
              <w:t xml:space="preserve">4.业绩</w:t>
            </w:r>
            <w:r>
              <w:rPr>
                <w:rFonts w:hint="eastAsia" w:ascii="宋体" w:hAnsi="宋体" w:eastAsia="宋体" w:cs="宋体"/>
                <w:sz w:val="21"/>
                <w:szCs w:val="21"/>
                <w:highlight w:val="none"/>
              </w:rPr>
            </w:r>
            <w:r/>
          </w:p>
        </w:tc>
      </w:tr>
      <w:tr>
        <w:trPr>
          <w:trHeight w:val="1015"/>
        </w:trPr>
        <w:tc>
          <w:tcPr>
            <w:tcW w:w="265" w:type="dxa"/>
            <w:vAlign w:val="center"/>
            <w:textDirection w:val="lrTb"/>
            <w:noWrap w:val="false"/>
          </w:tcPr>
          <w:p>
            <w:pPr>
              <w:pStyle w:val="927"/>
              <w:jc w:val="center"/>
              <w:keepLines w:val="0"/>
              <w:keepNext w:val="0"/>
              <w:spacing w:line="360" w:lineRule="auto"/>
              <w:widowControl/>
              <w:rPr>
                <w:rFonts w:hint="eastAsia" w:ascii="宋体" w:hAnsi="宋体" w:eastAsia="宋体" w:cs="宋体"/>
                <w:spacing w:val="-2"/>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eastAsia="宋体" w:cs="宋体"/>
                <w:spacing w:val="-2"/>
                <w:sz w:val="21"/>
                <w:szCs w:val="21"/>
                <w:highlight w:val="none"/>
              </w:rPr>
            </w:r>
            <w:r/>
          </w:p>
        </w:tc>
        <w:tc>
          <w:tcPr>
            <w:tcW w:w="615" w:type="dxa"/>
            <w:vAlign w:val="center"/>
            <w:textDirection w:val="lrTb"/>
            <w:noWrap w:val="false"/>
          </w:tcPr>
          <w:p>
            <w:pPr>
              <w:pStyle w:val="927"/>
              <w:jc w:val="center"/>
              <w:keepLines w:val="0"/>
              <w:keepNext w:val="0"/>
              <w:spacing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投标人业绩</w:t>
            </w:r>
            <w:r>
              <w:rPr>
                <w:rFonts w:hint="eastAsia" w:ascii="宋体" w:hAnsi="宋体" w:eastAsia="宋体" w:cs="宋体"/>
                <w:sz w:val="21"/>
                <w:szCs w:val="21"/>
                <w:highlight w:val="none"/>
                <w:lang w:val="en-US" w:eastAsia="zh-CN" w:bidi="ar-SA"/>
              </w:rPr>
            </w:r>
            <w:r/>
          </w:p>
        </w:tc>
        <w:tc>
          <w:tcPr>
            <w:tcW w:w="3302" w:type="dxa"/>
            <w:vAlign w:val="top"/>
            <w:textDirection w:val="lrTb"/>
            <w:noWrap w:val="false"/>
          </w:tcPr>
          <w:p>
            <w:pPr>
              <w:pStyle w:val="927"/>
              <w:jc w:val="left"/>
              <w:keepLines w:val="0"/>
              <w:keepNext w:val="0"/>
              <w:spacing w:line="360" w:lineRule="auto"/>
              <w:widowControl/>
              <w:rPr>
                <w:rFonts w:ascii="宋体" w:hAnsi="宋体" w:eastAsia="宋体" w:cs="宋体"/>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人提供2023年1月1日（以签订合同为准）以来类似项目业绩（至少包含广播设备、计算机网络、视频监控）,每份业绩须同时提供对应合同及合同验收材料，缺一不可。每提供1份得1分，最高得3分，未提供或提供不全不得分。</w:t>
            </w:r>
            <w:r>
              <w:rPr>
                <w:rFonts w:hint="eastAsia" w:ascii="宋体" w:hAnsi="宋体" w:eastAsia="宋体" w:cs="宋体"/>
                <w:highlight w:val="none"/>
                <w:lang w:val="en-US" w:eastAsia="zh-CN"/>
              </w:rPr>
              <w:t xml:space="preserve">同一用户单位业绩不重复计分</w:t>
            </w:r>
            <w:r>
              <w:rPr>
                <w:rFonts w:ascii="宋体" w:hAnsi="宋体" w:eastAsia="宋体" w:cs="宋体"/>
                <w:sz w:val="21"/>
                <w:szCs w:val="21"/>
                <w:highlight w:val="none"/>
                <w:lang w:val="en-US" w:eastAsia="zh-CN" w:bidi="ar-SA"/>
              </w:rPr>
            </w:r>
            <w:r/>
          </w:p>
        </w:tc>
        <w:tc>
          <w:tcPr>
            <w:tcW w:w="335" w:type="dxa"/>
            <w:vAlign w:val="center"/>
            <w:textDirection w:val="lrTb"/>
            <w:noWrap w:val="false"/>
          </w:tcPr>
          <w:p>
            <w:pPr>
              <w:pStyle w:val="927"/>
              <w:jc w:val="center"/>
              <w:keepLines w:val="0"/>
              <w:keepNext w:val="0"/>
              <w:spacing w:line="360" w:lineRule="auto"/>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color w:val="000000"/>
                <w:sz w:val="21"/>
                <w:szCs w:val="21"/>
                <w:highlight w:val="none"/>
                <w:lang w:val="en-US" w:eastAsia="zh-CN" w:bidi="ar-SA"/>
              </w:rPr>
            </w:r>
            <w:r/>
          </w:p>
        </w:tc>
        <w:tc>
          <w:tcPr>
            <w:tcW w:w="481" w:type="dxa"/>
            <w:vAlign w:val="center"/>
            <w:textDirection w:val="lrTb"/>
            <w:noWrap w:val="false"/>
          </w:tcPr>
          <w:p>
            <w:pPr>
              <w:pStyle w:val="927"/>
              <w:jc w:val="center"/>
              <w:keepLines w:val="0"/>
              <w:keepNext w:val="0"/>
              <w:spacing w:line="360" w:lineRule="auto"/>
              <w:widowControl/>
              <w:rPr>
                <w:rFonts w:hint="eastAsia" w:ascii="宋体" w:hAnsi="宋体" w:eastAsia="宋体" w:cs="宋体"/>
                <w:sz w:val="21"/>
                <w:szCs w:val="21"/>
                <w:highlight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客观分</w:t>
            </w:r>
            <w:r>
              <w:rPr>
                <w:rFonts w:hint="eastAsia" w:ascii="宋体" w:hAnsi="宋体" w:eastAsia="宋体" w:cs="宋体"/>
                <w:sz w:val="21"/>
                <w:szCs w:val="21"/>
                <w:highlight w:val="none"/>
                <w:lang w:eastAsia="zh-CN"/>
              </w:rPr>
            </w:r>
            <w:r/>
          </w:p>
        </w:tc>
      </w:tr>
      <w:tr>
        <w:trPr>
          <w:trHeight w:val="557"/>
        </w:trPr>
        <w:tc>
          <w:tcPr>
            <w:gridSpan w:val="5"/>
            <w:tcW w:w="10119" w:type="dxa"/>
            <w:vAlign w:val="center"/>
            <w:textDirection w:val="lrTb"/>
            <w:noWrap w:val="false"/>
          </w:tcPr>
          <w:p>
            <w:pPr>
              <w:pStyle w:val="927"/>
              <w:jc w:val="both"/>
              <w:keepLines w:val="0"/>
              <w:keepNext w:val="0"/>
              <w:spacing w:line="360" w:lineRule="auto"/>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5.政府采购政策</w:t>
            </w:r>
            <w:r>
              <w:rPr>
                <w:rFonts w:ascii="宋体" w:hAnsi="宋体" w:eastAsia="宋体" w:cs="宋体"/>
                <w:i w:val="0"/>
                <w:iCs w:val="0"/>
                <w:color w:val="000000"/>
                <w:sz w:val="21"/>
                <w:szCs w:val="21"/>
                <w:highlight w:val="none"/>
                <w:u w:val="none"/>
                <w:lang w:val="en-US" w:eastAsia="zh-CN" w:bidi="ar"/>
              </w:rPr>
            </w:r>
            <w:r/>
          </w:p>
        </w:tc>
      </w:tr>
      <w:tr>
        <w:trPr>
          <w:trHeight w:val="1015"/>
        </w:trPr>
        <w:tc>
          <w:tcPr>
            <w:tcW w:w="265" w:type="dxa"/>
            <w:vAlign w:val="center"/>
            <w:textDirection w:val="lrTb"/>
            <w:noWrap w:val="false"/>
          </w:tcPr>
          <w:p>
            <w:pPr>
              <w:pStyle w:val="927"/>
              <w:jc w:val="center"/>
              <w:keepLines w:val="0"/>
              <w:keepNext w:val="0"/>
              <w:spacing w:line="360" w:lineRule="auto"/>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rPr>
                <w:rFonts w:ascii="宋体" w:hAnsi="宋体" w:eastAsia="宋体" w:cs="宋体"/>
                <w:i w:val="0"/>
                <w:iCs w:val="0"/>
                <w:color w:val="000000"/>
                <w:sz w:val="21"/>
                <w:szCs w:val="21"/>
                <w:highlight w:val="none"/>
                <w:u w:val="none"/>
                <w:lang w:val="en-US" w:eastAsia="zh-CN" w:bidi="ar"/>
              </w:rPr>
            </w:r>
            <w:r/>
          </w:p>
        </w:tc>
        <w:tc>
          <w:tcPr>
            <w:tcW w:w="61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color w:val="000000"/>
                <w:sz w:val="21"/>
                <w:szCs w:val="21"/>
                <w:highlight w:val="none"/>
              </w:rPr>
              <w:t xml:space="preserve">节能产品</w:t>
            </w:r>
            <w:r>
              <w:rPr>
                <w:rFonts w:hint="eastAsia" w:ascii="宋体" w:hAnsi="宋体" w:eastAsia="宋体" w:cs="宋体"/>
                <w:i w:val="0"/>
                <w:iCs w:val="0"/>
                <w:color w:val="000000"/>
                <w:sz w:val="21"/>
                <w:szCs w:val="21"/>
                <w:highlight w:val="none"/>
                <w:u w:val="none"/>
                <w:lang w:val="en-US" w:eastAsia="zh-CN" w:bidi="ar"/>
              </w:rPr>
            </w:r>
            <w:r/>
          </w:p>
        </w:tc>
        <w:tc>
          <w:tcPr>
            <w:tcW w:w="3302" w:type="dxa"/>
            <w:vAlign w:val="top"/>
            <w:textDirection w:val="lrTb"/>
            <w:noWrap w:val="false"/>
          </w:tcPr>
          <w:p>
            <w:pPr>
              <w:pStyle w:val="927"/>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color w:val="000000"/>
                <w:sz w:val="21"/>
                <w:szCs w:val="21"/>
                <w:highlight w:val="none"/>
              </w:rPr>
              <w:t xml:space="preserve">节能产品：根据财政部、发展改革委、生态环境部、市场监管总局《关于调整优化节能产品、环境标志产品政府采购执行机制的通知》，投标标的如有属于《节能产品政府采购品目清单》（最新一期）内的产品，投标人需提供国家确定的认证机构出具的、处于有效期之内的节能产品认证证书，且同时提供《节能产品信息表》明确说明此产品在《节能产品政府采购品目清单》（最新一期）中归属的编码及名称。以上条件均符合情况下，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i w:val="0"/>
                <w:iCs w:val="0"/>
                <w:color w:val="000000"/>
                <w:sz w:val="21"/>
                <w:szCs w:val="21"/>
                <w:highlight w:val="none"/>
                <w:u w:val="none"/>
                <w:lang w:val="en-US" w:eastAsia="zh-CN" w:bidi="ar"/>
              </w:rPr>
            </w:r>
            <w:r/>
          </w:p>
        </w:tc>
        <w:tc>
          <w:tcPr>
            <w:tcW w:w="335" w:type="dxa"/>
            <w:vAlign w:val="center"/>
            <w:textDirection w:val="lrTb"/>
            <w:noWrap w:val="false"/>
          </w:tcPr>
          <w:p>
            <w:pPr>
              <w:pStyle w:val="927"/>
              <w:jc w:val="center"/>
              <w:keepLines w:val="0"/>
              <w:keepNext w:val="0"/>
              <w:spacing w:line="360" w:lineRule="auto"/>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ascii="宋体" w:hAnsi="宋体" w:eastAsia="宋体" w:cs="宋体"/>
                <w:i w:val="0"/>
                <w:iCs w:val="0"/>
                <w:color w:val="000000"/>
                <w:sz w:val="21"/>
                <w:szCs w:val="21"/>
                <w:highlight w:val="none"/>
                <w:u w:val="none"/>
                <w:lang w:val="en-US" w:eastAsia="zh-CN" w:bidi="ar"/>
              </w:rPr>
            </w:r>
            <w:r/>
          </w:p>
        </w:tc>
        <w:tc>
          <w:tcPr>
            <w:tcW w:w="48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客观分</w:t>
            </w:r>
            <w:r>
              <w:rPr>
                <w:rFonts w:hint="eastAsia" w:ascii="宋体" w:hAnsi="宋体" w:eastAsia="宋体" w:cs="宋体"/>
                <w:i w:val="0"/>
                <w:iCs w:val="0"/>
                <w:color w:val="000000"/>
                <w:sz w:val="21"/>
                <w:szCs w:val="21"/>
                <w:highlight w:val="none"/>
                <w:u w:val="none"/>
                <w:lang w:val="en-US" w:eastAsia="zh-CN" w:bidi="ar"/>
              </w:rPr>
            </w:r>
            <w:r/>
          </w:p>
        </w:tc>
      </w:tr>
      <w:tr>
        <w:trPr>
          <w:trHeight w:val="1015"/>
        </w:trPr>
        <w:tc>
          <w:tcPr>
            <w:tcW w:w="265" w:type="dxa"/>
            <w:vAlign w:val="center"/>
            <w:textDirection w:val="lrTb"/>
            <w:noWrap w:val="false"/>
          </w:tcPr>
          <w:p>
            <w:pPr>
              <w:pStyle w:val="927"/>
              <w:jc w:val="center"/>
              <w:keepLines w:val="0"/>
              <w:keepNext w:val="0"/>
              <w:spacing w:line="360" w:lineRule="auto"/>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ascii="宋体" w:hAnsi="宋体" w:eastAsia="宋体" w:cs="宋体"/>
                <w:i w:val="0"/>
                <w:iCs w:val="0"/>
                <w:color w:val="000000"/>
                <w:sz w:val="21"/>
                <w:szCs w:val="21"/>
                <w:highlight w:val="none"/>
                <w:u w:val="none"/>
                <w:lang w:val="en-US" w:eastAsia="zh-CN" w:bidi="ar"/>
              </w:rPr>
            </w:r>
            <w:r/>
          </w:p>
        </w:tc>
        <w:tc>
          <w:tcPr>
            <w:tcW w:w="61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color w:val="000000"/>
                <w:sz w:val="21"/>
                <w:szCs w:val="21"/>
                <w:highlight w:val="none"/>
              </w:rPr>
              <w:t xml:space="preserve">环境标志产品</w:t>
            </w:r>
            <w:r>
              <w:rPr>
                <w:rFonts w:hint="eastAsia" w:ascii="宋体" w:hAnsi="宋体" w:eastAsia="宋体" w:cs="宋体"/>
                <w:i w:val="0"/>
                <w:iCs w:val="0"/>
                <w:color w:val="000000"/>
                <w:sz w:val="21"/>
                <w:szCs w:val="21"/>
                <w:highlight w:val="none"/>
                <w:u w:val="none"/>
                <w:lang w:val="en-US" w:eastAsia="zh-CN" w:bidi="ar"/>
              </w:rPr>
            </w:r>
            <w:r/>
          </w:p>
        </w:tc>
        <w:tc>
          <w:tcPr>
            <w:tcW w:w="3302" w:type="dxa"/>
            <w:vAlign w:val="top"/>
            <w:textDirection w:val="lrTb"/>
            <w:noWrap w:val="false"/>
          </w:tcPr>
          <w:p>
            <w:pPr>
              <w:pStyle w:val="927"/>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color w:val="000000"/>
                <w:sz w:val="21"/>
                <w:szCs w:val="21"/>
                <w:highlight w:val="none"/>
              </w:rPr>
              <w:t xml:space="preserve">环境标志产品：根据财政部、发展改革委、生态环境部、市场监管总局《关于调整优化节能产品、环境标志产品政府采购执行机制的通知》，投标标的如有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i w:val="0"/>
                <w:iCs w:val="0"/>
                <w:color w:val="000000"/>
                <w:sz w:val="21"/>
                <w:szCs w:val="21"/>
                <w:highlight w:val="none"/>
                <w:u w:val="none"/>
                <w:lang w:val="en-US" w:eastAsia="zh-CN" w:bidi="ar"/>
              </w:rPr>
            </w:r>
            <w:r/>
          </w:p>
        </w:tc>
        <w:tc>
          <w:tcPr>
            <w:tcW w:w="33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48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客观分</w:t>
            </w:r>
            <w:r>
              <w:rPr>
                <w:rFonts w:hint="eastAsia" w:ascii="宋体" w:hAnsi="宋体" w:eastAsia="宋体" w:cs="宋体"/>
                <w:i w:val="0"/>
                <w:iCs w:val="0"/>
                <w:color w:val="000000"/>
                <w:sz w:val="21"/>
                <w:szCs w:val="21"/>
                <w:highlight w:val="none"/>
                <w:u w:val="none"/>
                <w:lang w:val="en-US" w:eastAsia="zh-CN" w:bidi="ar"/>
              </w:rPr>
            </w:r>
            <w:r/>
          </w:p>
        </w:tc>
      </w:tr>
      <w:tr>
        <w:trPr>
          <w:trHeight w:val="464"/>
        </w:trPr>
        <w:tc>
          <w:tcPr>
            <w:tcW w:w="265" w:type="dxa"/>
            <w:vAlign w:val="center"/>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ff0000"/>
                <w:sz w:val="21"/>
                <w:szCs w:val="21"/>
                <w:highlight w:val="none"/>
              </w:rPr>
            </w:pPr>
            <w:r>
              <w:rPr>
                <w:rFonts w:hint="eastAsia" w:ascii="宋体" w:hAnsi="宋体" w:eastAsia="宋体" w:cs="宋体"/>
                <w:spacing w:val="-3"/>
                <w:sz w:val="21"/>
                <w:szCs w:val="21"/>
                <w:highlight w:val="none"/>
              </w:rPr>
              <w:t xml:space="preserve">合</w:t>
            </w:r>
            <w:r>
              <w:rPr>
                <w:rFonts w:hint="eastAsia" w:ascii="宋体" w:hAnsi="宋体" w:eastAsia="宋体" w:cs="宋体"/>
                <w:spacing w:val="-2"/>
                <w:sz w:val="21"/>
                <w:szCs w:val="21"/>
                <w:highlight w:val="none"/>
              </w:rPr>
              <w:t xml:space="preserve">计</w:t>
            </w:r>
            <w:r>
              <w:rPr>
                <w:rFonts w:hint="eastAsia" w:ascii="宋体" w:hAnsi="宋体" w:eastAsia="宋体" w:cs="宋体"/>
                <w:color w:val="ff0000"/>
                <w:sz w:val="21"/>
                <w:szCs w:val="21"/>
                <w:highlight w:val="none"/>
              </w:rPr>
            </w:r>
            <w:r/>
          </w:p>
        </w:tc>
        <w:tc>
          <w:tcPr>
            <w:gridSpan w:val="2"/>
            <w:tcW w:w="7930" w:type="dxa"/>
            <w:vAlign w:val="center"/>
            <w:textDirection w:val="lrTb"/>
            <w:noWrap w:val="false"/>
          </w:tcPr>
          <w:p>
            <w:pPr>
              <w:pStyle w:val="927"/>
              <w:ind w:left="0"/>
              <w:jc w:val="center"/>
              <w:keepLines w:val="0"/>
              <w:keepNext w:val="0"/>
              <w:pageBreakBefore w:val="0"/>
              <w:spacing w:before="0" w:line="360" w:lineRule="auto"/>
              <w:widowControl w:val="off"/>
              <w:rPr>
                <w:rFonts w:hint="eastAsia" w:ascii="宋体" w:hAnsi="宋体" w:eastAsia="宋体" w:cs="宋体"/>
                <w:color w:val="ff0000"/>
                <w:spacing w:val="-2"/>
                <w:sz w:val="21"/>
                <w:szCs w:val="21"/>
                <w:highlight w:val="none"/>
              </w:rPr>
            </w:pPr>
            <w:r>
              <w:rPr>
                <w:rFonts w:hint="eastAsia" w:ascii="宋体" w:hAnsi="宋体" w:eastAsia="宋体" w:cs="宋体"/>
                <w:color w:val="ff0000"/>
                <w:spacing w:val="-2"/>
                <w:sz w:val="21"/>
                <w:szCs w:val="21"/>
                <w:highlight w:val="none"/>
              </w:rPr>
            </w:r>
            <w:r/>
          </w:p>
        </w:tc>
        <w:tc>
          <w:tcPr>
            <w:gridSpan w:val="2"/>
            <w:tcW w:w="1653" w:type="dxa"/>
            <w:vAlign w:val="center"/>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11"/>
                <w:sz w:val="21"/>
                <w:szCs w:val="21"/>
                <w:highlight w:val="none"/>
              </w:rPr>
              <w:t xml:space="preserve">100分</w:t>
            </w:r>
            <w:r>
              <w:rPr>
                <w:rFonts w:hint="eastAsia" w:ascii="宋体" w:hAnsi="宋体" w:eastAsia="宋体" w:cs="宋体"/>
                <w:color w:val="000000"/>
                <w:sz w:val="21"/>
                <w:szCs w:val="21"/>
                <w:highlight w:val="none"/>
              </w:rPr>
            </w:r>
            <w:r/>
          </w:p>
        </w:tc>
      </w:tr>
    </w:tbl>
    <w:p>
      <w:pPr>
        <w:pStyle w:val="957"/>
        <w:ind w:firstLine="420"/>
        <w:spacing w:line="360" w:lineRule="auto"/>
        <w:rPr>
          <w:rFonts w:hint="eastAsia" w:hAnsi="宋体"/>
          <w:szCs w:val="21"/>
          <w:highlight w:val="none"/>
        </w:rPr>
      </w:pPr>
      <w:r>
        <w:rPr>
          <w:rFonts w:hint="eastAsia" w:hAnsi="宋体"/>
          <w:szCs w:val="21"/>
          <w:highlight w:val="none"/>
        </w:rPr>
      </w:r>
      <w:r/>
    </w:p>
    <w:p>
      <w:pPr>
        <w:pStyle w:val="927"/>
        <w:numPr>
          <w:ilvl w:val="0"/>
          <w:numId w:val="5"/>
        </w:numPr>
        <w:jc w:val="center"/>
        <w:spacing w:line="360" w:lineRule="auto"/>
        <w:rPr>
          <w:rFonts w:hint="eastAsia" w:ascii="宋体" w:hAnsi="宋体" w:cs="宋体"/>
          <w:b/>
          <w:color w:val="000000"/>
          <w:sz w:val="32"/>
          <w:szCs w:val="32"/>
          <w:highlight w:val="none"/>
        </w:rPr>
        <w:outlineLvl w:val="0"/>
      </w:pPr>
      <w:r/>
      <w:bookmarkEnd w:id="116"/>
      <w:r>
        <w:rPr>
          <w:rFonts w:hint="eastAsia" w:ascii="黑体" w:hAnsi="黑体" w:eastAsia="黑体" w:cs="黑体"/>
          <w:b/>
          <w:color w:val="000000"/>
          <w:sz w:val="32"/>
          <w:szCs w:val="32"/>
          <w:highlight w:val="none"/>
        </w:rPr>
        <w:br w:type="page" w:clear="all"/>
      </w:r>
      <w:r>
        <w:rPr>
          <w:rFonts w:hint="eastAsia" w:ascii="宋体" w:hAnsi="宋体" w:cs="宋体"/>
          <w:b/>
          <w:color w:val="000000"/>
          <w:sz w:val="32"/>
          <w:szCs w:val="32"/>
          <w:highlight w:val="none"/>
        </w:rPr>
        <w:t xml:space="preserve">  采购需求</w:t>
      </w:r>
      <w:r>
        <w:rPr>
          <w:rFonts w:hint="eastAsia" w:ascii="宋体" w:hAnsi="宋体" w:cs="宋体"/>
          <w:b/>
          <w:color w:val="000000"/>
          <w:sz w:val="32"/>
          <w:szCs w:val="32"/>
          <w:highlight w:val="none"/>
        </w:rPr>
      </w:r>
      <w:r/>
    </w:p>
    <w:p>
      <w:pPr>
        <w:pStyle w:val="927"/>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一、</w:t>
      </w:r>
      <w:r>
        <w:rPr>
          <w:rFonts w:hint="eastAsia" w:ascii="宋体" w:hAnsi="宋体" w:eastAsia="宋体" w:cs="宋体"/>
          <w:color w:val="000000"/>
          <w:sz w:val="21"/>
          <w:szCs w:val="21"/>
          <w:highlight w:val="none"/>
        </w:rPr>
        <w:t xml:space="preserve">项目属性</w:t>
      </w:r>
      <w:r>
        <w:rPr>
          <w:rFonts w:hint="eastAsia" w:ascii="宋体" w:hAnsi="宋体" w:eastAsia="宋体" w:cs="宋体"/>
          <w:color w:val="000000"/>
          <w:sz w:val="21"/>
          <w:szCs w:val="21"/>
          <w:highlight w:val="none"/>
          <w:lang w:eastAsia="zh-CN"/>
        </w:rPr>
        <w:t xml:space="preserve">：货物</w:t>
      </w:r>
      <w:r>
        <w:rPr>
          <w:rFonts w:hint="eastAsia" w:ascii="宋体" w:hAnsi="宋体" w:eastAsia="宋体" w:cs="宋体"/>
          <w:color w:val="000000"/>
          <w:sz w:val="21"/>
          <w:szCs w:val="21"/>
          <w:highlight w:val="none"/>
        </w:rPr>
        <w:t xml:space="preserve">类项目。</w:t>
      </w:r>
      <w:r>
        <w:rPr>
          <w:rFonts w:hint="eastAsia" w:ascii="宋体" w:hAnsi="宋体" w:eastAsia="宋体" w:cs="宋体"/>
          <w:color w:val="000000"/>
          <w:sz w:val="21"/>
          <w:szCs w:val="21"/>
          <w:highlight w:val="none"/>
        </w:rPr>
      </w:r>
      <w:r/>
    </w:p>
    <w:p>
      <w:pPr>
        <w:pStyle w:val="927"/>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二、</w:t>
      </w:r>
      <w:r>
        <w:rPr>
          <w:rFonts w:hint="eastAsia" w:ascii="宋体" w:hAnsi="宋体" w:eastAsia="宋体" w:cs="宋体"/>
          <w:color w:val="000000"/>
          <w:sz w:val="21"/>
          <w:szCs w:val="21"/>
          <w:highlight w:val="none"/>
        </w:rPr>
        <w:t xml:space="preserve">项目概况</w:t>
      </w:r>
      <w:r>
        <w:rPr>
          <w:rFonts w:hint="eastAsia" w:ascii="宋体" w:hAnsi="宋体" w:eastAsia="宋体" w:cs="宋体"/>
          <w:color w:val="000000"/>
          <w:sz w:val="21"/>
          <w:szCs w:val="21"/>
          <w:highlight w:val="none"/>
        </w:rPr>
      </w:r>
      <w:r/>
    </w:p>
    <w:p>
      <w:pPr>
        <w:pStyle w:val="927"/>
        <w:ind w:firstLine="480"/>
        <w:keepLines w:val="0"/>
        <w:keepNext w:val="0"/>
        <w:pageBreakBefore w:val="0"/>
        <w:spacing w:line="360" w:lineRule="auto"/>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eastAsia="zh-CN"/>
        </w:rPr>
        <w:t xml:space="preserve">（一）项目背景</w:t>
      </w:r>
      <w:r>
        <w:rPr>
          <w:rFonts w:hint="eastAsia" w:ascii="宋体" w:hAnsi="宋体" w:eastAsia="宋体" w:cs="宋体"/>
          <w:bCs/>
          <w:sz w:val="21"/>
          <w:szCs w:val="21"/>
          <w:highlight w:val="none"/>
          <w:lang w:eastAsia="zh-CN"/>
        </w:rPr>
      </w:r>
      <w:r/>
    </w:p>
    <w:p>
      <w:pPr>
        <w:pStyle w:val="927"/>
        <w:ind w:firstLine="480"/>
        <w:keepLines w:val="0"/>
        <w:keepNext w:val="0"/>
        <w:pageBreakBefore w:val="0"/>
        <w:spacing w:line="360" w:lineRule="auto"/>
        <w:widowControl w:val="off"/>
        <w:rPr>
          <w:rFonts w:hint="eastAsia" w:ascii="宋体" w:hAnsi="宋体" w:eastAsia="宋体" w:cs="宋体"/>
          <w:color w:val="0000ff"/>
          <w:sz w:val="21"/>
          <w:szCs w:val="21"/>
          <w:highlight w:val="none"/>
          <w:lang w:val="en-US" w:eastAsia="zh-CN"/>
        </w:rPr>
      </w:pPr>
      <w:r>
        <w:rPr>
          <w:rFonts w:hint="eastAsia" w:ascii="宋体" w:hAnsi="宋体" w:eastAsia="宋体" w:cs="宋体"/>
          <w:color w:val="000000"/>
          <w:sz w:val="21"/>
          <w:szCs w:val="21"/>
          <w:highlight w:val="none"/>
          <w:lang w:val="zh-CN"/>
        </w:rPr>
        <w:t xml:space="preserve">根据学校教学</w:t>
      </w:r>
      <w:r>
        <w:rPr>
          <w:rFonts w:hint="eastAsia" w:ascii="宋体" w:hAnsi="宋体" w:eastAsia="宋体" w:cs="宋体"/>
          <w:color w:val="000000"/>
          <w:sz w:val="21"/>
          <w:szCs w:val="21"/>
          <w:highlight w:val="none"/>
          <w:lang w:val="en-US" w:eastAsia="zh-CN"/>
        </w:rPr>
        <w:t xml:space="preserve">管理</w:t>
      </w:r>
      <w:r>
        <w:rPr>
          <w:rFonts w:hint="eastAsia" w:ascii="宋体" w:hAnsi="宋体" w:eastAsia="宋体" w:cs="宋体"/>
          <w:color w:val="000000"/>
          <w:sz w:val="21"/>
          <w:szCs w:val="21"/>
          <w:highlight w:val="none"/>
          <w:lang w:val="zh-CN"/>
        </w:rPr>
        <w:t xml:space="preserve">需求，配置</w:t>
      </w:r>
      <w:r>
        <w:rPr>
          <w:rFonts w:hint="eastAsia" w:ascii="宋体" w:hAnsi="宋体" w:eastAsia="宋体" w:cs="宋体"/>
          <w:color w:val="000000"/>
          <w:sz w:val="21"/>
          <w:szCs w:val="21"/>
          <w:highlight w:val="none"/>
          <w:lang w:val="en-US" w:eastAsia="zh-CN"/>
        </w:rPr>
        <w:t xml:space="preserve">综合布线、数据网络、校园广播、校园安防、中心机房等设备安装与调试，保障开学日常教育教学管理需求。</w:t>
      </w:r>
      <w:r>
        <w:rPr>
          <w:rFonts w:hint="eastAsia" w:ascii="宋体" w:hAnsi="宋体" w:eastAsia="宋体" w:cs="宋体"/>
          <w:color w:val="0000ff"/>
          <w:sz w:val="21"/>
          <w:szCs w:val="21"/>
          <w:highlight w:val="none"/>
          <w:lang w:val="en-US" w:eastAsia="zh-CN"/>
        </w:rPr>
      </w:r>
      <w:r/>
    </w:p>
    <w:p>
      <w:pPr>
        <w:pStyle w:val="927"/>
        <w:ind w:firstLine="480"/>
        <w:keepLines w:val="0"/>
        <w:keepNext w:val="0"/>
        <w:pageBreakBefore w:val="0"/>
        <w:spacing w:line="360" w:lineRule="auto"/>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eastAsia="zh-CN"/>
        </w:rPr>
        <w:t xml:space="preserve">（二）项目建设遵循标准</w:t>
      </w:r>
      <w:r>
        <w:rPr>
          <w:rFonts w:hint="eastAsia" w:ascii="宋体" w:hAnsi="宋体" w:eastAsia="宋体" w:cs="宋体"/>
          <w:bCs/>
          <w:sz w:val="21"/>
          <w:szCs w:val="21"/>
          <w:highlight w:val="none"/>
          <w:lang w:eastAsia="zh-CN"/>
        </w:rPr>
      </w:r>
      <w:r/>
    </w:p>
    <w:p>
      <w:pPr>
        <w:pStyle w:val="927"/>
        <w:ind w:firstLine="48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招标文件涉及标准中未标年号的一律采用最新的标准；随着标准的修订，以修订后的最新标准为依据。除上述规范标准以外，须遵循国家、行业及地方现行的规范和标准要求。</w:t>
      </w:r>
      <w:r>
        <w:rPr>
          <w:rFonts w:hint="eastAsia" w:ascii="宋体" w:hAnsi="宋体" w:eastAsia="宋体" w:cs="宋体"/>
          <w:sz w:val="21"/>
          <w:szCs w:val="21"/>
          <w:highlight w:val="none"/>
          <w:lang w:val="en-US" w:eastAsia="zh-CN"/>
        </w:rPr>
      </w:r>
      <w:r/>
    </w:p>
    <w:p>
      <w:pPr>
        <w:pStyle w:val="927"/>
        <w:ind w:firstLine="480"/>
        <w:keepLines w:val="0"/>
        <w:keepNext w:val="0"/>
        <w:pageBreakBefore w:val="0"/>
        <w:spacing w:line="360" w:lineRule="auto"/>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eastAsia="zh-CN"/>
        </w:rPr>
        <w:t xml:space="preserve">（三）</w:t>
      </w:r>
      <w:r>
        <w:rPr>
          <w:rFonts w:hint="eastAsia" w:ascii="宋体" w:hAnsi="宋体" w:eastAsia="宋体" w:cs="宋体"/>
          <w:bCs/>
          <w:sz w:val="21"/>
          <w:szCs w:val="21"/>
          <w:highlight w:val="none"/>
          <w:lang w:val="en-US" w:eastAsia="zh-CN"/>
        </w:rPr>
        <w:t xml:space="preserve">资产配置标准</w:t>
      </w:r>
      <w:r>
        <w:rPr>
          <w:rFonts w:hint="eastAsia" w:ascii="宋体" w:hAnsi="宋体" w:eastAsia="宋体" w:cs="宋体"/>
          <w:bCs/>
          <w:sz w:val="21"/>
          <w:szCs w:val="21"/>
          <w:highlight w:val="none"/>
          <w:lang w:val="en-US" w:eastAsia="zh-CN"/>
        </w:rPr>
      </w:r>
      <w:r/>
    </w:p>
    <w:p>
      <w:pPr>
        <w:pStyle w:val="927"/>
        <w:ind w:firstLine="480"/>
        <w:keepLines w:val="0"/>
        <w:keepNext w:val="0"/>
        <w:pageBreakBefore w:val="0"/>
        <w:spacing w:line="360" w:lineRule="auto"/>
        <w:widowControl w:val="off"/>
        <w:rPr>
          <w:rFonts w:hint="eastAsia" w:ascii="宋体" w:hAnsi="宋体" w:eastAsia="宋体" w:cs="宋体"/>
          <w:bCs/>
          <w:color w:val="0000ff"/>
          <w:sz w:val="21"/>
          <w:szCs w:val="21"/>
          <w:highlight w:val="none"/>
          <w:lang w:eastAsia="zh-CN"/>
        </w:rPr>
      </w:pPr>
      <w:r>
        <w:rPr>
          <w:rFonts w:hint="eastAsia" w:ascii="宋体" w:hAnsi="宋体" w:eastAsia="宋体" w:cs="宋体"/>
          <w:bCs/>
          <w:sz w:val="21"/>
          <w:szCs w:val="21"/>
          <w:highlight w:val="none"/>
        </w:rPr>
        <w:t xml:space="preserve">符合《市政府办公厅关于印发&lt;南京市市级行政事业单位资产配置标准&gt;、&lt;南京市市级行政事业单位资产使用年限标准&gt;（2016年修订版）的通知》</w:t>
      </w:r>
      <w:r>
        <w:rPr>
          <w:rFonts w:hint="eastAsia" w:ascii="宋体" w:hAnsi="宋体" w:eastAsia="宋体" w:cs="宋体"/>
          <w:bCs/>
          <w:sz w:val="21"/>
          <w:szCs w:val="21"/>
          <w:highlight w:val="none"/>
          <w:lang w:eastAsia="zh-CN"/>
        </w:rPr>
        <w:t xml:space="preserve">。</w:t>
      </w:r>
      <w:r>
        <w:rPr>
          <w:rFonts w:hint="eastAsia" w:ascii="宋体" w:hAnsi="宋体" w:eastAsia="宋体" w:cs="宋体"/>
          <w:bCs/>
          <w:color w:val="0000ff"/>
          <w:sz w:val="21"/>
          <w:szCs w:val="21"/>
          <w:highlight w:val="none"/>
          <w:lang w:eastAsia="zh-CN"/>
        </w:rPr>
      </w:r>
      <w:r/>
    </w:p>
    <w:p>
      <w:pPr>
        <w:pStyle w:val="927"/>
        <w:ind w:firstLine="480"/>
        <w:keepLines w:val="0"/>
        <w:keepNext w:val="0"/>
        <w:pageBreakBefore w:val="0"/>
        <w:spacing w:line="360" w:lineRule="auto"/>
        <w:widowControl w:val="off"/>
        <w:rPr>
          <w:rFonts w:hint="eastAsia" w:ascii="宋体" w:hAnsi="宋体" w:eastAsia="宋体" w:cs="宋体"/>
          <w:bCs/>
          <w:sz w:val="21"/>
          <w:szCs w:val="21"/>
          <w:highlight w:val="none"/>
          <w:lang w:eastAsia="zh-CN"/>
        </w:rPr>
      </w:pPr>
      <w:r>
        <w:rPr>
          <w:rFonts w:hint="eastAsia" w:ascii="宋体" w:hAnsi="宋体" w:eastAsia="宋体" w:cs="宋体"/>
          <w:bCs w:val="0"/>
          <w:color w:val="000000"/>
          <w:sz w:val="21"/>
          <w:szCs w:val="21"/>
          <w:highlight w:val="none"/>
          <w:lang w:eastAsia="zh-CN"/>
        </w:rPr>
        <w:t xml:space="preserve">三、</w:t>
      </w:r>
      <w:r>
        <w:rPr>
          <w:rFonts w:hint="eastAsia" w:ascii="宋体" w:hAnsi="宋体" w:eastAsia="宋体" w:cs="宋体"/>
          <w:bCs w:val="0"/>
          <w:color w:val="000000"/>
          <w:sz w:val="21"/>
          <w:szCs w:val="21"/>
          <w:highlight w:val="none"/>
          <w:lang w:val="en-US" w:eastAsia="zh-CN"/>
        </w:rPr>
        <w:t xml:space="preserve">项目</w:t>
      </w:r>
      <w:r>
        <w:rPr>
          <w:rFonts w:hint="eastAsia" w:ascii="宋体" w:hAnsi="宋体" w:eastAsia="宋体" w:cs="宋体"/>
          <w:bCs w:val="0"/>
          <w:color w:val="000000"/>
          <w:sz w:val="21"/>
          <w:szCs w:val="21"/>
          <w:highlight w:val="none"/>
          <w:lang w:eastAsia="zh-CN"/>
        </w:rPr>
        <w:t xml:space="preserve">清单</w:t>
      </w:r>
      <w:r>
        <w:rPr>
          <w:rFonts w:hint="eastAsia" w:ascii="宋体" w:hAnsi="宋体" w:eastAsia="宋体" w:cs="宋体"/>
          <w:bCs/>
          <w:sz w:val="21"/>
          <w:szCs w:val="21"/>
          <w:highlight w:val="none"/>
          <w:lang w:eastAsia="zh-CN"/>
        </w:rPr>
      </w:r>
      <w:r/>
    </w:p>
    <w:tbl>
      <w:tblPr>
        <w:tblW w:w="4999"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96"/>
        <w:gridCol w:w="2324"/>
        <w:gridCol w:w="706"/>
        <w:gridCol w:w="706"/>
        <w:gridCol w:w="1357"/>
        <w:gridCol w:w="843"/>
        <w:gridCol w:w="1359"/>
        <w:gridCol w:w="761"/>
        <w:gridCol w:w="1441"/>
      </w:tblGrid>
      <w:tr>
        <w:trPr>
          <w:trHeight w:val="951"/>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分项名称</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单价上限（元）</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产品类型</w:t>
            </w: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所属行业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属性</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政府强制采购节能产品</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高清半球摄像机1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780</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高清半球摄像机2</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780</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高清半球摄像机3</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756</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高清半球摄像机4</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795</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6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5</w:t>
            </w:r>
            <w:r>
              <w:rPr>
                <w:rFonts w:hint="eastAsia" w:ascii="宋体" w:hAnsi="宋体" w:eastAsia="宋体" w:cs="宋体"/>
                <w:b/>
                <w:bCs/>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高清枪式摄像机1</w:t>
            </w:r>
            <w:r>
              <w:rPr>
                <w:rFonts w:hint="eastAsia" w:ascii="宋体" w:hAnsi="宋体" w:eastAsia="宋体" w:cs="宋体"/>
                <w:b/>
                <w:bCs/>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435</w:t>
            </w:r>
            <w:r>
              <w:rPr>
                <w:rFonts w:hint="eastAsia" w:ascii="宋体" w:hAnsi="宋体" w:eastAsia="宋体" w:cs="宋体"/>
                <w:b/>
                <w:bCs/>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台</w:t>
            </w:r>
            <w:r>
              <w:rPr>
                <w:rFonts w:hint="eastAsia" w:ascii="宋体" w:hAnsi="宋体" w:eastAsia="宋体" w:cs="宋体"/>
                <w:b/>
                <w:bCs/>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780</w:t>
            </w:r>
            <w:r>
              <w:rPr>
                <w:rFonts w:hint="eastAsia" w:ascii="宋体" w:hAnsi="宋体" w:eastAsia="宋体" w:cs="宋体"/>
                <w:b/>
                <w:bCs/>
                <w:i w:val="0"/>
                <w:iCs w:val="0"/>
                <w:color w:val="000000"/>
                <w:sz w:val="21"/>
                <w:szCs w:val="21"/>
                <w:highlight w:val="none"/>
                <w:u w:val="none"/>
              </w:rPr>
            </w:r>
            <w:r/>
          </w:p>
        </w:tc>
        <w:tc>
          <w:tcPr>
            <w:tcW w:w="413" w:type="dxa"/>
            <w:vAlign w:val="center"/>
            <w:textDirection w:val="lrTb"/>
            <w:noWrap w:val="false"/>
          </w:tcPr>
          <w:p>
            <w:pPr>
              <w:pStyle w:val="927"/>
              <w:jc w:val="center"/>
              <w:keepLines w:val="0"/>
              <w:keepNext w:val="0"/>
              <w:spacing w:line="36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核心产品</w:t>
            </w:r>
            <w:r>
              <w:rPr>
                <w:rFonts w:hint="eastAsia" w:ascii="宋体" w:hAnsi="宋体" w:eastAsia="宋体" w:cs="宋体"/>
                <w:b/>
                <w:bCs/>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工业</w:t>
            </w:r>
            <w:r>
              <w:rPr>
                <w:rFonts w:hint="eastAsia" w:ascii="宋体" w:hAnsi="宋体" w:eastAsia="宋体" w:cs="宋体"/>
                <w:b/>
                <w:bCs/>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货物</w:t>
            </w:r>
            <w:r>
              <w:rPr>
                <w:rFonts w:hint="eastAsia" w:ascii="宋体" w:hAnsi="宋体" w:eastAsia="宋体" w:cs="宋体"/>
                <w:b/>
                <w:bCs/>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w:t>
            </w:r>
            <w:r>
              <w:rPr>
                <w:rFonts w:hint="eastAsia" w:ascii="宋体" w:hAnsi="宋体" w:eastAsia="宋体" w:cs="宋体"/>
                <w:b/>
                <w:bCs/>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高清枪式摄像机2</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845</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高清双目摄像机</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820</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高清超广角摄像机</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796</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高清双光筒型摄像机</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760</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高清智能警戒摄像机</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1327</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高清智能全彩摄像机</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3500</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监控存储（64路）1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6500</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监控存储（64路）2</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5800</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监控存储（64路）3</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8230</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监控存储（32路）1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5750</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监控存储（32路）2</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4158</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监控存储（32路）3</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3930</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监控存储（16路）</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1735</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存储硬盘8T</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294</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2950</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存储硬盘12T</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4278</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校时服务器</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10613</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6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综合安防管理平台</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45646</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主要产品</w:t>
            </w: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摄像机接入授权</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346</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高清视频解码器1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4650</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高清视频解码器2</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10615</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高清视频解码器3</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7500</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拾音器</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184</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摄像机支架</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764</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视频切换器</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983</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视频监控测试仪</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1090</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6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防火墙1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42000</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主要产品</w:t>
            </w: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6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防火墙2</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29231</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主要产品</w:t>
            </w: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6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网络智慧存储1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33608</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主要产品</w:t>
            </w: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6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网络智慧存储2</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49138</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主要产品</w:t>
            </w: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光汇聚交换机</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6233</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8口POE交换机1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2500</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8口POE交换机2</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1350</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8口POE交换机3</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1250</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24口POE交换机1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2900</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24口POE交换机2</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2900</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24口接入交换机</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1508</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无线接入授权</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137</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放装AP1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965</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放装AP2</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1285</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高密AP</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2200</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室外AP1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3117</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室外AP2</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1764</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面板AP</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796</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光模块1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367</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光模块2</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245</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广播服务器</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12000</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广播智能中心机</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3846</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广播系统主控软件</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5714</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广播监听音箱</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1182</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广播电源时序控制器</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2862</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广播网络音箱</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1182</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广播网络音箱副箱</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246</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广播走廊壁挂音箱</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192</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室外音柱1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1015</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室外音柱2</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738</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室外音柱3</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1369</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调音台1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3262</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调音台2</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2900</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无线手持话筒</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2650</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播音话筒</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554</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数字定压功放1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3077</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数字定压功放2</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3446</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数字定压功放3</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3692</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纯后级定压功放</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4554</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四分区合并式定压功放</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3450</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广播解码器</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2200</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天线分配器</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2708</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有源对数周期天线</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1092</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天线合路器</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985</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无线传声器（手持）</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3738</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音频隔离器</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280</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定时软件</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显示器支架</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电子围栏控制终端</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1538</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电子地图</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2231</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电子围栏张力控制器</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1736</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电子围栏防雨箱</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262</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电子围栏四线单防测控杆</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1077</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电子围栏四线双防测控杆</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1385</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电子围栏室外警灯</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主动红外对射</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对</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331</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红外对射网络型模块</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338</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电子围栏配件</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电子围栏集成调试</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13000</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电动门</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11500</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刷脸门禁主机</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890</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光纤收发器</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对</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室外铠装光纤（12芯）</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室外铠装光纤（4芯）</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光纤配线架</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185</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法兰</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光纤尾纤</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光纤熔接</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光纤跳线</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156</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光纤接插件</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101</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双绞线</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149</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箱</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1020</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102</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室外防水双绞线</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箱</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1173</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六类网络水晶头</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1924</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理线架</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设备箱</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106</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电源线1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电源线2</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电源线3</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109</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广播信号线1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1270</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广播信号线2</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705</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广播话筒信号线</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420</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监控室外机柜</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1720</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监控防水箱</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350</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PDU</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立杆（长）</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980</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立杆（短）</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538</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辅材1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4500</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辅材2</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辅材3</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辅材4</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辅材5</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900</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辅材6</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辅材7</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辅材8</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3500</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辅材9</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2400</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126</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辅材10</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127</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辅材11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设备安装集成与维护1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58936</w:t>
            </w:r>
            <w:r>
              <w:rPr>
                <w:rFonts w:ascii="宋体" w:hAnsi="宋体" w:eastAsia="宋体" w:cs="宋体"/>
                <w:i w:val="0"/>
                <w:iCs w:val="0"/>
                <w:color w:val="000000"/>
                <w:sz w:val="21"/>
                <w:szCs w:val="21"/>
                <w:highlight w:val="none"/>
                <w:u w:val="none"/>
                <w:lang w:val="en-US"/>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软件和信息技术服务业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129</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设备安装集成与维护2</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4200</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软件和信息技术服务业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设备安装集成与维护3</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71411</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软件和信息技术服务业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131</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设备安装集成与维护4</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16150</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软件和信息技术服务业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设备安装集成与维护5</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8000</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软件和信息技术服务业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设备安装集成与维护6</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6066</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软件和信息技术服务业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设备安装集成与维护7</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24425</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软件和信息技术服务业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设备安装集成与维护8</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16800</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软件和信息技术服务业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136</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设备安装集成与维护9</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6870</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软件和信息技术服务业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137</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设备安装集成与维护10</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37040</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软件和信息技术服务业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138</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设备安装集成与维护11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16955</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软件和信息技术服务业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139</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设备安装集成与维护12</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7000</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软件和信息技术服务业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设备安装集成与维护13</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4040</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软件和信息技术服务业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设备安装集成与维护14</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16185</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软件和信息技术服务业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142</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设备安装集成与维护15</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24286</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软件和信息技术服务业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设备安装集成与维护16</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1750</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软件和信息技术服务业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144</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设备安装集成与维护17</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10000</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软件和信息技术服务业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315"/>
        </w:trPr>
        <w:tc>
          <w:tcPr>
            <w:tcW w:w="341"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145</w:t>
            </w:r>
            <w:r>
              <w:rPr>
                <w:rFonts w:hint="eastAsia" w:ascii="宋体" w:hAnsi="宋体" w:eastAsia="宋体" w:cs="宋体"/>
                <w:i w:val="0"/>
                <w:iCs w:val="0"/>
                <w:color w:val="000000"/>
                <w:sz w:val="21"/>
                <w:szCs w:val="21"/>
                <w:highlight w:val="none"/>
                <w:u w:val="none"/>
              </w:rPr>
            </w:r>
            <w:r/>
          </w:p>
        </w:tc>
        <w:tc>
          <w:tcPr>
            <w:tcW w:w="1139"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设备安装集成与维护18</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34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665"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1920</w:t>
            </w:r>
            <w:r>
              <w:rPr>
                <w:rFonts w:hint="eastAsia" w:ascii="宋体" w:hAnsi="宋体" w:eastAsia="宋体" w:cs="宋体"/>
                <w:i w:val="0"/>
                <w:iCs w:val="0"/>
                <w:color w:val="000000"/>
                <w:sz w:val="21"/>
                <w:szCs w:val="21"/>
                <w:highlight w:val="none"/>
                <w:u w:val="none"/>
              </w:rPr>
            </w:r>
            <w:r/>
          </w:p>
        </w:tc>
        <w:tc>
          <w:tcPr>
            <w:tcW w:w="413" w:type="dxa"/>
            <w:vAlign w:val="center"/>
            <w:textDirection w:val="lrTb"/>
            <w:noWrap w:val="false"/>
          </w:tcPr>
          <w:p>
            <w:pPr>
              <w:pStyle w:val="927"/>
              <w:jc w:val="center"/>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软件和信息技术服务业</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w:t>
            </w:r>
            <w:r>
              <w:rPr>
                <w:rFonts w:hint="eastAsia" w:ascii="宋体" w:hAnsi="宋体" w:eastAsia="宋体" w:cs="宋体"/>
                <w:i w:val="0"/>
                <w:iCs w:val="0"/>
                <w:color w:val="000000"/>
                <w:sz w:val="21"/>
                <w:szCs w:val="21"/>
                <w:highlight w:val="none"/>
                <w:u w:val="none"/>
              </w:rPr>
            </w:r>
            <w:r/>
          </w:p>
        </w:tc>
        <w:tc>
          <w:tcPr>
            <w:tcW w:w="706" w:type="dxa"/>
            <w:vAlign w:val="center"/>
            <w:textDirection w:val="lrTb"/>
            <w:noWrap w:val="false"/>
          </w:tcPr>
          <w:p>
            <w:pPr>
              <w:pStyle w:val="927"/>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bl>
    <w:p>
      <w:pPr>
        <w:pStyle w:val="927"/>
        <w:ind w:firstLine="480"/>
        <w:keepLines w:val="0"/>
        <w:keepNext w:val="0"/>
        <w:pageBreakBefore w:val="0"/>
        <w:spacing w:line="360" w:lineRule="auto"/>
        <w:widowControl/>
        <w:rPr>
          <w:rFonts w:hint="eastAsia" w:ascii="宋体" w:hAnsi="宋体" w:eastAsia="宋体" w:cs="宋体"/>
          <w:bCs w:val="0"/>
          <w:color w:val="000000"/>
          <w:sz w:val="21"/>
          <w:szCs w:val="21"/>
          <w:highlight w:val="none"/>
          <w:lang w:eastAsia="zh-CN"/>
        </w:rPr>
      </w:pPr>
      <w:r>
        <w:rPr>
          <w:rFonts w:hint="eastAsia" w:ascii="宋体" w:hAnsi="宋体" w:eastAsia="宋体" w:cs="宋体"/>
          <w:bCs w:val="0"/>
          <w:color w:val="000000"/>
          <w:sz w:val="21"/>
          <w:szCs w:val="21"/>
          <w:highlight w:val="none"/>
          <w:lang w:eastAsia="zh-CN"/>
        </w:rPr>
      </w:r>
      <w:r/>
    </w:p>
    <w:p>
      <w:pPr>
        <w:pStyle w:val="927"/>
        <w:ind w:firstLine="480"/>
        <w:keepLines w:val="0"/>
        <w:keepNext w:val="0"/>
        <w:pageBreakBefore w:val="0"/>
        <w:spacing w:line="360" w:lineRule="auto"/>
        <w:widowControl w:val="off"/>
        <w:rPr>
          <w:rFonts w:hint="eastAsia" w:ascii="宋体" w:hAnsi="宋体" w:eastAsia="宋体" w:cs="宋体"/>
          <w:b/>
          <w:bCs w:val="0"/>
          <w:color w:val="000000"/>
          <w:sz w:val="21"/>
          <w:szCs w:val="21"/>
          <w:highlight w:val="none"/>
        </w:rPr>
      </w:pPr>
      <w:r>
        <w:rPr>
          <w:rFonts w:hint="eastAsia" w:ascii="宋体" w:hAnsi="宋体" w:eastAsia="宋体" w:cs="宋体"/>
          <w:bCs w:val="0"/>
          <w:color w:val="000000"/>
          <w:sz w:val="21"/>
          <w:szCs w:val="21"/>
          <w:highlight w:val="none"/>
          <w:lang w:eastAsia="zh-CN"/>
        </w:rPr>
        <w:t xml:space="preserve">四、</w:t>
      </w:r>
      <w:r>
        <w:rPr>
          <w:rFonts w:hint="eastAsia" w:ascii="宋体" w:hAnsi="宋体" w:eastAsia="宋体" w:cs="宋体"/>
          <w:bCs w:val="0"/>
          <w:color w:val="000000"/>
          <w:sz w:val="21"/>
          <w:szCs w:val="21"/>
          <w:highlight w:val="none"/>
        </w:rPr>
        <w:t xml:space="preserve">拟采购标的需要满足的技术、商务要求</w:t>
      </w:r>
      <w:r>
        <w:rPr>
          <w:rFonts w:hint="eastAsia" w:ascii="宋体" w:hAnsi="宋体" w:eastAsia="宋体" w:cs="宋体"/>
          <w:b/>
          <w:bCs w:val="0"/>
          <w:color w:val="000000"/>
          <w:sz w:val="21"/>
          <w:szCs w:val="21"/>
          <w:highlight w:val="none"/>
        </w:rPr>
      </w:r>
      <w:r/>
    </w:p>
    <w:p>
      <w:pPr>
        <w:pStyle w:val="927"/>
        <w:ind w:firstLine="48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（一）技术要求</w:t>
      </w:r>
      <w:r>
        <w:rPr>
          <w:rFonts w:hint="eastAsia" w:ascii="宋体" w:hAnsi="宋体" w:eastAsia="宋体" w:cs="宋体"/>
          <w:bCs/>
          <w:color w:val="000000"/>
          <w:sz w:val="21"/>
          <w:szCs w:val="21"/>
          <w:highlight w:val="none"/>
        </w:rPr>
      </w:r>
      <w:r/>
    </w:p>
    <w:tbl>
      <w:tblPr>
        <w:tblW w:w="10062" w:type="dxa"/>
        <w:tblInd w:w="-2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3"/>
        <w:gridCol w:w="1506"/>
        <w:gridCol w:w="7913"/>
      </w:tblGrid>
      <w:tr>
        <w:trPr/>
        <w:tc>
          <w:tcPr>
            <w:tcW w:w="643" w:type="dxa"/>
            <w:vAlign w:val="center"/>
            <w:textDirection w:val="lrTb"/>
            <w:noWrap w:val="false"/>
          </w:tcPr>
          <w:p>
            <w:pPr>
              <w:pStyle w:val="927"/>
              <w:jc w:val="center"/>
              <w:keepLines w:val="0"/>
              <w:keepNext w:val="0"/>
              <w:pageBreakBefore w:val="0"/>
              <w:spacing w:line="360" w:lineRule="auto"/>
              <w:widowControl w:val="off"/>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序号</w:t>
            </w:r>
            <w:r>
              <w:rPr>
                <w:rFonts w:hint="eastAsia" w:ascii="宋体" w:hAnsi="宋体" w:eastAsia="宋体" w:cs="宋体"/>
                <w:b/>
                <w:bCs w:val="0"/>
                <w:sz w:val="21"/>
                <w:szCs w:val="21"/>
                <w:highlight w:val="none"/>
              </w:rPr>
            </w:r>
            <w:r/>
          </w:p>
        </w:tc>
        <w:tc>
          <w:tcPr>
            <w:tcW w:w="1506" w:type="dxa"/>
            <w:vAlign w:val="center"/>
            <w:textDirection w:val="lrTb"/>
            <w:noWrap w:val="false"/>
          </w:tcPr>
          <w:p>
            <w:pPr>
              <w:pStyle w:val="927"/>
              <w:jc w:val="center"/>
              <w:keepLines w:val="0"/>
              <w:keepNext w:val="0"/>
              <w:pageBreakBefore w:val="0"/>
              <w:spacing w:line="360" w:lineRule="auto"/>
              <w:widowControl w:val="off"/>
              <w:rPr>
                <w:rFonts w:hint="eastAsia" w:ascii="宋体" w:hAnsi="宋体" w:eastAsia="宋体" w:cs="宋体"/>
                <w:b/>
                <w:bCs w:val="0"/>
                <w:sz w:val="21"/>
                <w:szCs w:val="21"/>
                <w:highlight w:val="none"/>
                <w:lang w:eastAsia="zh-CN"/>
              </w:rPr>
            </w:pPr>
            <w:r>
              <w:rPr>
                <w:rFonts w:hint="eastAsia" w:ascii="宋体" w:hAnsi="宋体" w:eastAsia="宋体" w:cs="宋体"/>
                <w:b/>
                <w:bCs w:val="0"/>
                <w:sz w:val="21"/>
                <w:szCs w:val="21"/>
                <w:highlight w:val="none"/>
              </w:rPr>
              <w:t xml:space="preserve">产品</w:t>
            </w:r>
            <w:r>
              <w:rPr>
                <w:rFonts w:hint="eastAsia" w:ascii="宋体" w:hAnsi="宋体" w:eastAsia="宋体" w:cs="宋体"/>
                <w:b/>
                <w:bCs w:val="0"/>
                <w:sz w:val="21"/>
                <w:szCs w:val="21"/>
                <w:highlight w:val="none"/>
                <w:lang w:eastAsia="zh-CN"/>
              </w:rPr>
              <w:t xml:space="preserve">名称</w:t>
            </w:r>
            <w:r>
              <w:rPr>
                <w:rFonts w:hint="eastAsia" w:ascii="宋体" w:hAnsi="宋体" w:eastAsia="宋体" w:cs="宋体"/>
                <w:b/>
                <w:bCs w:val="0"/>
                <w:sz w:val="21"/>
                <w:szCs w:val="21"/>
                <w:highlight w:val="none"/>
                <w:lang w:eastAsia="zh-CN"/>
              </w:rPr>
            </w:r>
            <w:r/>
          </w:p>
        </w:tc>
        <w:tc>
          <w:tcPr>
            <w:tcW w:w="7913" w:type="dxa"/>
            <w:vAlign w:val="center"/>
            <w:textDirection w:val="lrTb"/>
            <w:noWrap w:val="false"/>
          </w:tcPr>
          <w:p>
            <w:pPr>
              <w:pStyle w:val="927"/>
              <w:jc w:val="center"/>
              <w:keepLines w:val="0"/>
              <w:keepNext w:val="0"/>
              <w:pageBreakBefore w:val="0"/>
              <w:spacing w:line="360" w:lineRule="auto"/>
              <w:widowControl w:val="off"/>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功能、性能、配置要求</w:t>
            </w:r>
            <w:r>
              <w:rPr>
                <w:rFonts w:hint="eastAsia" w:ascii="宋体" w:hAnsi="宋体" w:eastAsia="宋体" w:cs="宋体"/>
                <w:b/>
                <w:bCs w:val="0"/>
                <w:sz w:val="21"/>
                <w:szCs w:val="21"/>
                <w:highlight w:val="none"/>
                <w:lang w:val="en-US" w:eastAsia="zh-CN"/>
              </w:rPr>
              <w:t xml:space="preserve">不低于以下要求</w:t>
            </w:r>
            <w:r>
              <w:rPr>
                <w:rFonts w:hint="eastAsia" w:ascii="宋体" w:hAnsi="宋体" w:eastAsia="宋体" w:cs="宋体"/>
                <w:b/>
                <w:bCs w:val="0"/>
                <w:sz w:val="21"/>
                <w:szCs w:val="21"/>
                <w:highlight w:val="none"/>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bCs/>
                <w:color w:val="000000"/>
                <w:sz w:val="21"/>
                <w:szCs w:val="21"/>
                <w:highlight w:val="none"/>
                <w:lang w:val="en-US" w:eastAsia="zh-CN"/>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高清半球摄像机1</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numPr>
                <w:ilvl w:val="0"/>
                <w:numId w:val="6"/>
              </w:numPr>
              <w:jc w:val="left"/>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分辨率≥2560×1440；传感器类型：不低于1/2.7" Progressive Scan CMOS；</w:t>
            </w:r>
            <w:r>
              <w:rPr>
                <w:rFonts w:hint="eastAsia" w:ascii="宋体" w:hAnsi="宋体" w:eastAsia="宋体" w:cs="宋体"/>
                <w:i w:val="0"/>
                <w:iCs w:val="0"/>
                <w:color w:val="000000"/>
                <w:sz w:val="21"/>
                <w:szCs w:val="21"/>
                <w:highlight w:val="none"/>
                <w:u w:val="none"/>
                <w:lang w:val="en-US" w:eastAsia="zh-CN" w:bidi="ar"/>
              </w:rPr>
            </w:r>
            <w:r/>
          </w:p>
          <w:p>
            <w:pPr>
              <w:pStyle w:val="927"/>
              <w:numPr>
                <w:ilvl w:val="0"/>
                <w:numId w:val="6"/>
              </w:numPr>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支持内置1个温度传感器、1个扬声器、 1个麦克风、1个红外接收器、1个RJ45网络接口、1个SD卡卡槽、2颗补光灯、4个状态指示灯；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3、支持交直流两种供电方式，支持POE；支持双向语音对讲和单向语音广播功能；支持本地SD卡存储，最大支持≥512GB。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4、不带辅助光源的设备,输出图像的分辨力下降到标称亮度条件下分辨力的70%时,目标景物上的照度满足照度彩色≤0.05lx，黑白≤0.01lx；</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5、开启红外夜视功能， 可识别距设备30m处的人体（1.7m×0.5m）轮廓；</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6、设备具有实时温度数据叠加功能，可开启或关闭实时温度叠加，OSD叠加位置可进行调整；设备具有实时温度曲线叠加功能，支持实时温度曲线叠加到监控画面中，触发报警后温度曲线自动变为红色。</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bCs/>
                <w:color w:val="000000"/>
                <w:sz w:val="21"/>
                <w:szCs w:val="21"/>
                <w:highlight w:val="none"/>
                <w:lang w:val="en-US" w:eastAsia="zh-CN"/>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高清半球摄像机2</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1、分辨率≥2688×1520；支持背光补偿，强光抑制，3D数字降噪，宽动态≥120 dB；支持白光/红外双补光，白光≥20 m，红外光≥30m；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2、内置≥1个麦克风，≥1个喇叭，支持双向语音对讲；支持报警：1路输入，1路输出；音频：支持1路输入，1路输出；SD卡扩展：内置插槽，最大支持≥512 GB；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3、支持对画面内人员、机动车等目标进行智能特征解析；可适配后端存储，实现以文搜图语义检索功能，通过文字描述快速检索匹配目标画面，满足事件追溯与智能排查需求。</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bCs/>
                <w:color w:val="000000"/>
                <w:sz w:val="21"/>
                <w:szCs w:val="21"/>
                <w:highlight w:val="none"/>
                <w:lang w:val="en-US" w:eastAsia="zh-CN"/>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高清半球摄像机3</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1、分辨率≥2560×1440；最低照度：</w:t>
            </w:r>
            <w:r>
              <w:rPr>
                <w:rFonts w:hint="eastAsia" w:ascii="宋体" w:hAnsi="宋体" w:eastAsia="宋体" w:cs="宋体"/>
                <w:szCs w:val="21"/>
                <w:highlight w:val="none"/>
                <w:lang w:val="en-US" w:eastAsia="zh-CN"/>
              </w:rPr>
              <w:t xml:space="preserve">≤</w:t>
            </w:r>
            <w:r>
              <w:rPr>
                <w:rFonts w:hint="eastAsia" w:ascii="宋体" w:hAnsi="宋体" w:eastAsia="宋体" w:cs="宋体"/>
                <w:i w:val="0"/>
                <w:iCs w:val="0"/>
                <w:color w:val="000000"/>
                <w:sz w:val="21"/>
                <w:szCs w:val="21"/>
                <w:highlight w:val="none"/>
                <w:u w:val="none"/>
                <w:lang w:val="en-US" w:eastAsia="zh-CN" w:bidi="ar"/>
              </w:rPr>
              <w:t xml:space="preserve">0.01lux（彩色模式）；≤0.001lux（黑白模式）；最大补光距离：≥50m（红外）；补光灯：≥2颗（红外灯）；视场角：水平：≥78°；垂直：≥43°；对角：≥92°；</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2、报警事件：网络断开、IP冲突、非法访问、动态检测、视频遮挡、音频异常侦测、智能动检（人）、安全异常。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3、传感器类型：不低于1/3" Progressive Scan CMOS。</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bCs/>
                <w:color w:val="000000"/>
                <w:sz w:val="21"/>
                <w:szCs w:val="21"/>
                <w:highlight w:val="none"/>
                <w:lang w:val="en-US" w:eastAsia="zh-CN"/>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高清半球摄像机4</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1、分辨率≥2688×1520；传感器类型：不低于1/2.4" Progressive Scan CMOS；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2、内置≥1个麦克风，≥1个喇叭，支持双向语音对讲；支持白光/红外双补光，红外光≥30 m，暖光≥20 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支持AI-ISP图像质量提升功能，在低照度环境下，可自动调节预览场景视频画面中人脸、人体、车辆等目标及预览场景视频画面的区域曝光、亮度、色彩饱和度、对比度、锐度等；（承诺签订合同时提供具有CMA标识的第三方检测机构出具的检测报告，提供承诺书加盖投标人公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4、支持对画面内人员、机动车等目标进行智能特征解析；可适配后端存储，实现以文搜图语义检索功能，通过文字描述快速检索匹配目标画面，满足事件追溯与智能排查需求。</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bCs/>
                <w:color w:val="000000"/>
                <w:sz w:val="21"/>
                <w:szCs w:val="21"/>
                <w:highlight w:val="none"/>
                <w:lang w:val="en-US" w:eastAsia="zh-CN"/>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高清枪式摄像机1</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1、支持输出图像分辨率≥2560×1440；支持靶面尺寸1/2.7英寸；信噪比≥55dB；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2、支持红外补光、白光补光，有效补光距离均≥30m；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3、支持内置1个麦克风，1个RJ45网络接口。</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bCs/>
                <w:color w:val="000000"/>
                <w:sz w:val="21"/>
                <w:szCs w:val="21"/>
                <w:highlight w:val="none"/>
                <w:lang w:val="en-US" w:eastAsia="zh-CN"/>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高清枪式摄像机2</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1、分辨率：≥2560×1440；靶面尺寸：≥1/3英寸；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2、支持越界侦测，区域入侵侦测；支持白光/红外双补光，红外光≥50 m，白光≥30 m；支持内置1个麦克风。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3、支持对画面内人员、机动车等目标进行智能特征解析；可适配后端存储，实现以文搜图语义检索功能，通过文字描述快速检索匹配目标画面，满足事件追溯与智能排查需求。</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bCs/>
                <w:color w:val="000000"/>
                <w:sz w:val="21"/>
                <w:szCs w:val="21"/>
                <w:highlight w:val="none"/>
                <w:lang w:val="en-US" w:eastAsia="zh-CN"/>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高清双目摄像机</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1、400万双光全彩智能广角筒型网络摄像机，传感器类型：1/2.5，采用深度学习硬件及算法，支持越界侦测，区域入侵侦测，进入区域侦测和离开区域侦测；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2、内置GPU芯片，分辨率≥3040x1368，最低照度≤0.005 lx（彩色模式），红外补光时可识别摄像机≥30米处的人体轮廓，摄像机水平视场角不小于180°，垂直视场角不小于81°，相机可听清距离10m处声级不小于70dB的声音；</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3、支持双镜头拼接，水平视场角≥180°，画面比例20:9，支持背光补偿，强光抑制，3D降噪，宽动态≥120dB；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4、≥1个内置麦克风，≥1个内置扬声器，支持双向语音对讲，≥1路报警输入，≥1路报警输出（报警输出最大支持AC24/DC24V，1A），网络：≥1个RJ4510M/100M自适应以太网口，电源输出：DC12V，100mA，可用于拾音器供电 ，供电方式：DC：12V±25%，支持防反接保护；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当智能分析行为类型为区域入侵、越界入侵、进入区域、离开区域时，报警检测目标设置为人体或车辆时，在设定的检测区域内出现如下情况时，不触发报警：光线明暗变化、篮球滚动、狗行走、树摇晃；（承诺签订合同时提供具有CMA标识的第三方检测机构出具的检测报告，提供承诺书加盖投标人公章）。</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bCs/>
                <w:color w:val="000000"/>
                <w:sz w:val="21"/>
                <w:szCs w:val="21"/>
                <w:highlight w:val="none"/>
                <w:lang w:val="en-US" w:eastAsia="zh-CN"/>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高清超广角摄像机</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1、分辨率≥2688×1520；支持背光补偿，强光抑制，防补光过曝，3D数字降噪，宽动态≥120dB；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2、支持焦距&amp;视场角≤1.68mm，水平视场角≥180°，垂直视场角≥98°；支持≥1个内置麦克风；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3、支持区域入侵侦测，越界侦测，进入区域侦测，离开区域侦测，物品遗留侦测，物品拿取侦测，徘徊侦测，停车侦测，人员聚集侦测，快速移动侦测。</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bCs/>
                <w:color w:val="000000"/>
                <w:sz w:val="21"/>
                <w:szCs w:val="21"/>
                <w:highlight w:val="none"/>
                <w:lang w:val="en-US" w:eastAsia="zh-CN"/>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高清双光筒型摄像机</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1、分辨率≥2560×1440；最低照度：彩色≤0.0005lux，黑色≤0.0001lux；内置拾音器，拾音距离≥15m；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设备红外补光灯开启后可识别距离摄像机150m处人体轮廓，设备白光补光灯开启后可识别距离摄像机100m处人体轮廓；（承诺签订合同时提供具有CMA标识的第三方检测机构出具的检测报告，提供承诺书加盖投标人公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3、支持区域遮盖功能：可在监视画面上设置遮盖的区域，区域个数、大小、位置可设置，最多可设置8个区域；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智能行为分析功能检验：当以下的智能分析行为达到设定的阈值时，可通过客户端软件或WEB客户端给出报警提示：a）越界入侵b）进入区域c）离开区域d）徘徊e）区域入侵f）快速移动g）人员聚集h)停车i）物品移除j）物体遗留；</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5、设备启用视频内容保护功能后，只有经过授权并具有解码秘钥的用户才能通过平台软件正常播放、回放和下载设备回传的视频数据；缺少解码秘钥的用户无法正常播放、回放和下载设备回传的视频数据；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摄像机启用视频内容保护功能后，视频码流中的解码密钥应能够周期性动态变化，变化周期可通过IMP安全管理系统软件和VM图像应用平台软件设置为10分钟至1个月；（承诺签订合同时提供具有CMA标识的第三方检测机构出具的检测报告，提供承诺书加盖投标人公章）</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bCs/>
                <w:color w:val="000000"/>
                <w:sz w:val="21"/>
                <w:szCs w:val="21"/>
                <w:highlight w:val="none"/>
                <w:lang w:val="en-US" w:eastAsia="zh-CN"/>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高清智能警戒摄像机</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1、分辨率≥2560×1440；传感器类型：不低于1/2.7" 逐行扫描 CMOS；内置不少于1个麦克风、1个扬声器，具有1个音频输入接口、1个音频输出接口、1路报警输入、1路报警输出。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▲2、基于transformer架构的大模型算法，内置1颗算力不小于8TOPS的CPU、GPU、NPU一体化芯片；（承诺签订合同时提供具有CMA标识的第三方检测机构出具的检测报告，提供承诺书加盖投标人公章）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3、支持开启、关闭智能文搜功能，功能开启后，设备可上传目标场景图片及目标信息，目标信息包括出现的时间、目标类别、在视场中的位置；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4、内置大模型算法芯片，运用大模型算法检测并分类识别目标(人员、机动车、动物)；</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设备采用智能大模型算法，在环境光照度不高于1lx的情况下，当检测区域存在晃动的树叶、光影时，可对人员、机动车、狗进行目标检测，检测上报廷时不大于1s；（承诺签订合同时提供具有CMA标识的第三方检测机构出具的检测报告，提供承诺书加盖投标人公章）。</w:t>
            </w:r>
            <w:r>
              <w:rPr>
                <w:rFonts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bCs/>
                <w:color w:val="000000"/>
                <w:sz w:val="21"/>
                <w:szCs w:val="21"/>
                <w:highlight w:val="none"/>
                <w:lang w:val="en-US" w:eastAsia="zh-CN"/>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高清智能全彩摄像机</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1、支持600万像素 CMOS传感器，内置双镜头，双图像传感器，所有码流均可实时输出由2路采集的图像水平拼接后的码流；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2、靶面尺寸均≥1/2.5"靶面尺寸，镜头光圈大小支持F1.0±5%；最低照度彩色：≤0.0005 lx，黑白:≤0.0001 lx；支持水平视场角≥180°，垂直视场角≥81°；内置≥1颗GPU、≥1个麦克风、≥1个扬声器；支持声光报警功能，当报警产生时，可在报警时间内联动声音警报和/或白光闪烁；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3、支持人数统计功能，可分别设置不同区域的报警类型、报警时间间隔、报警延迟时间、报警持续次数、是否OSD叠加人员数量以及布防时间段；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4、在彩色模式下，当环境照度低于预设值时，可自动开启补光灯，在白天、夜晚均可输出彩色视频图像；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5、在DC12V±30%范围内变化时可以正常工作，支持POE；摄像机能够在-40~70摄氏度，湿度小于93%环境下稳定工作。</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bCs/>
                <w:color w:val="000000"/>
                <w:sz w:val="21"/>
                <w:szCs w:val="21"/>
                <w:highlight w:val="none"/>
                <w:lang w:val="en-US" w:eastAsia="zh-CN"/>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监控存储（64路）1</w:t>
            </w:r>
            <w:r>
              <w:rPr>
                <w:rFonts w:hint="eastAsia" w:ascii="宋体" w:hAnsi="宋体" w:eastAsia="宋体" w:cs="宋体"/>
                <w:bCs/>
                <w:color w:val="000000"/>
                <w:sz w:val="21"/>
                <w:szCs w:val="21"/>
                <w:highlight w:val="none"/>
                <w:lang w:val="en-US" w:eastAsia="zh-CN"/>
              </w:rPr>
            </w:r>
            <w:r/>
          </w:p>
        </w:tc>
        <w:tc>
          <w:tcPr>
            <w:tcW w:w="7913" w:type="dxa"/>
            <w:vAlign w:val="top"/>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接入摄像机路数≥64路，内置硬盘盘位≥16；支持最大接入带宽≥1536Mbps，最大存储带宽≥1536Mbps，最大回放带宽≥1536Mbps，最大转发带宽≥1536Mbps，可接入H.265、H.264、H.265+、H.264+、超级H.265+、超级H.264+视频编码格式的IPC；</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2、具备HDMI≥2个、VGA≥2个、GE网口≥2个、USB接口≥3个、SATA接口≥16个、报警≥16进10出；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3、支持≥2个HDMI、≥2个VGA，支持≥4屏异源输出，支持≥4个视频输出接口之间异源输出视频图像，每个屏均可分别控制进行预览，回放，配置等操作；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4、可接入SATA接口硬盘容量≥224T，可接入AI硬盘，可接入加密硬盘，支持不同品牌的监控级和企业级硬盘混合接入；</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5、支持前端智能：人脸比对、车辆检测、深度周界、人数统计、混行检测、电瓶车入梯、高空抛物、双目拼接、枪球联动、热成像测温等；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▲6、支持一键创建RAID5阵列，支持对硬盘进行Smart检测，坏道检测，可查看Smart信息；（承诺签订合同时提供具有CMA标识的第三方检测机构出具的检测报告，提供承诺书加盖投标人公章）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7、支持人脸抓拍、人脸比对、车辆、行为、人数统计等检索模式；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支持在视频画面叠加智能分析的规则框、目标框，规则框和目标框以不同颜色区分；支持实时视频加密，开启后可对实时发送的视频加密，加密方式包括AES、RSA、MD5、SHA；（承诺签订合同时提供具有CMA标识的第三方检测机构出具的检测报告，提供承诺书加盖投标人公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9、支持1/4/6/8/9/16/25/36/64分屏模式；具有磁盘阵列功能，支持RAID0、RAID1、RAID5、RAID6、RAID10、RAID50、RAID60、JOBD模式。</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bCs/>
                <w:color w:val="000000"/>
                <w:sz w:val="21"/>
                <w:szCs w:val="21"/>
                <w:highlight w:val="none"/>
                <w:lang w:val="en-US" w:eastAsia="zh-CN"/>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监控存储（64路）2</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1、接入摄像机路数≥64路，内置硬盘盘位≥16，单口支持硬盘容量≥12T；</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2、输入带宽：≥320Mbps，输出带宽：≥160Mbps，接入能力：≥64路H.264、H.265格式高清码流接入，解码能力：最大支持≥12×1080P，显示能力：最大支持</w:t>
            </w:r>
            <w:r>
              <w:rPr>
                <w:rFonts w:hint="eastAsia" w:ascii="宋体" w:hAnsi="宋体" w:eastAsia="宋体" w:cs="宋体"/>
                <w:szCs w:val="21"/>
                <w:highlight w:val="none"/>
                <w:lang w:val="en-US" w:eastAsia="zh-CN"/>
              </w:rPr>
              <w:t xml:space="preserve">≥</w:t>
            </w:r>
            <w:r>
              <w:rPr>
                <w:rFonts w:hint="eastAsia" w:ascii="宋体" w:hAnsi="宋体" w:eastAsia="宋体" w:cs="宋体"/>
                <w:i w:val="0"/>
                <w:iCs w:val="0"/>
                <w:color w:val="000000"/>
                <w:sz w:val="21"/>
                <w:szCs w:val="21"/>
                <w:highlight w:val="none"/>
                <w:u w:val="none"/>
                <w:lang w:val="en-US" w:eastAsia="zh-CN" w:bidi="ar"/>
              </w:rPr>
              <w:t xml:space="preserve">4K+1080P异源输出；视频接口：≥2×HDMI，≥2×VGA；网络接口：≥2×RJ45 10/100/1000Mbps自适应以太网口；</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3、报警接口：≥16路报警输入，≥9路报警输出；反向供电：≥1路DC12V 1A；串行接口：≥1路RS-232接口，≥1路半双工RS-485接口；USB接口：≥2×USB 2.0，≥2×USB 3.0。</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bCs/>
                <w:color w:val="000000"/>
                <w:sz w:val="21"/>
                <w:szCs w:val="21"/>
                <w:highlight w:val="none"/>
                <w:lang w:val="en-US" w:eastAsia="zh-CN"/>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监控存储（64路）3</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1、接入摄像机路数≥64路，内置硬盘盘位≥16；支持最大接入带宽≥384Mbps，最大存储带宽≥256Mbps，最大转发带宽≥256Mbps；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2、具有不低于2个HDMI接口、2个VGA接口、1个CVBS接口、2个RJ45 千兆网络接口；2个USB2.0接口、2个USB3.0接口、1个RS232接口、1个RS485接口、1个eSata接口；具有1路音频输入接口、2路音频输出接口、16路报警输入接口、9路报警输出接口、具有1路直流12V输出接口；</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3、HDMI1和HDMI2支持最大单路8K（7680×4320）和1080P（1920×1080）异源输出；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4、支持录像目标检索功能，目标检索支持单帧模式调整目标画面，可通过鼠标滚轮调整录像画面帧序列；事件中心，切片回放、回放支持目标检索快速入口；</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支持预览时对实时视频流进行手动打标签，通过标签检索可以检索到相关的录像片段。支持预览的单窗口轮巡，设备支持在多画面的固定窗口上进行轮巡预览，其他预览窗口不轮巡。支持音视频动态调整组合分配功能，可将任一路音频与任一路视频组合成复合流编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6、支持实时查看通道码流信息，包括实时预览取流连接数、录像回放的最大连接数以及具体的信息，包括：通道、协议、码流类型、状态、IP地址、端口、码率、帧率、分辨率、连接建立时间等；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7、支持目标抓拍、比对报警；支持以图搜图、按姓名检索、按属性检索；支持≥4路视频流人脸识别，支持≥16路图片流人脸识别；支持前端IPC证书二次校验机制，未通过证书校验的IPC不允许添加到NVR。</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bCs/>
                <w:color w:val="000000"/>
                <w:sz w:val="21"/>
                <w:szCs w:val="21"/>
                <w:highlight w:val="none"/>
                <w:lang w:val="en-US" w:eastAsia="zh-CN"/>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监控存储（32路）1</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1、接入摄像机路数≥32路，内置硬盘盘位≥9；单口支持硬盘容量≥12T。解码能力：最大支持≥24×1080P，向下兼容；显示能力：最大支持不低于4K+1080P异源输出，向下兼容；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2、支持不低于2个HDMI接口、2个VGA接口、2个RJ45千兆网络接口、2个USB2.0接口、1个USB3.0接口、1个RS232接口、2个RS485接口、1个eSATA接口；</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3、支持不低于1路音频输入接口、2路音频输出接口、16路报警输入接口、9路报警输出接口、1路直流12V输出接口；</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4、文搜检索结果支持选中查看关联录像/图片，录像片段内显示关联目标跟踪框，支持对录像关联目标及其周围目标进行二次精准检索；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支持文搜功能，可通过文字语义描述，快速检索目标对象或内容；支持对人体、车辆、非机动车、物品、动物、基础事件等类型的检索；并可基于文搜快速检索的结果，对目标进行图搜的二次精准检索定位；（承诺签订合同时提供具有CMA标识的第三方检测机构出具的检测报告，提供承诺书加盖投标人公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6、支持独立的文搜应用展示界面，支持全通道录像检索，且通道和时间范围可设；支持自定义选择时间范围，可快速选择1天、3天、7天；</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7、设备支持独立的智能文搜应用模块，应用内置文搜高频热词，如：人的上衣颜色、下装颜色、随身物品、性别；车的颜色、类型、品牌；其他的烟雾、打电话、玩手机等；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8、支持≥16个人脸库，库容≥5万张人脸图片；支持≥2路视频流人脸识别，支持≥8路图片流人脸识别。</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bCs/>
                <w:color w:val="000000"/>
                <w:sz w:val="21"/>
                <w:szCs w:val="21"/>
                <w:highlight w:val="none"/>
                <w:lang w:val="en-US" w:eastAsia="zh-CN"/>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监控存储（32路）2</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1、接入摄像机路数≥32路，内置硬盘盘位≥8；解码能力：最大支持≥24×1080P，向下兼容；显示能力：最大支持≥4K+1080P异源输出，向下兼容；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支持≥2个HDMI接口、≥2个VGA接口、≥2个RJ45千兆网络接口、≥2个USB2.0接口、≥1个USB3.0接口、≥1个RS232接口、≥2个RS485接口、≥1个eSATA接口；≥1路音频输入接口、≥2路音频输出接口、≥16路报警输入接口、≥4路报警输出接口，支持最大接入≥12TB硬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3、支持最大接入带宽≥256Mbps，最大存储带宽≥256Mbps，最大转发带宽≥160Mbps；支持可同时解码输出≥32路2MP、H.265编码、25fps、1920×1080格式的视频图像；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4、支持存储安全保障功能，当存储压力过高或硬盘出现性能不足时，可优先录像业务存储；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5、支持接入警戒摄像机，可对 IPC 的声音和闪光参数进行配置， 支持通过移动侦测、区域入侵、越界侦测、进入区域和离开区域事件联动一个或多个 IPC 的声光报警，可对声光联动一键撤防。</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bCs/>
                <w:color w:val="000000"/>
                <w:sz w:val="21"/>
                <w:szCs w:val="21"/>
                <w:highlight w:val="none"/>
                <w:lang w:val="en-US" w:eastAsia="zh-CN"/>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监控存储（32路）3</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1、接入摄像机路数≥32路，内置硬盘盘位≥9；支持最大分辨率：≥16MP；</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2、支持解码能力：≥1路16MP@30fps; ≥2路12MP@30fps; ≥3路8MP@30fps;≥4路5MP@30fps; ≥6路4MP@30fps; ≥12路2MP@30fps；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3、支持报警输入：≥16路；支持报警输出：≥4路；单盘最大≥20T；</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后智能分析：支持后智能人脸检测、人脸识别、周界防范、智能动检；前智能分析：支持前智能人脸检测、人脸识别、周界防范、智能动检、立体行为分析、人群分布、人数统计、车牌识别、物品监控、高空抛物检测、电瓶车入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5、支持周界后智能性能：≥2路；支持周界前智能性能：≥8路。</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bCs/>
                <w:color w:val="000000"/>
                <w:sz w:val="21"/>
                <w:szCs w:val="21"/>
                <w:highlight w:val="none"/>
                <w:lang w:val="en-US" w:eastAsia="zh-CN"/>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监控存储（16路）</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1、支持≥16路H.264、H.265格式高清码流接入，支持最大接入带宽≥384Mbps，最大存储带宽≥256Mbps，最大转发带宽≥256Mbps；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2、具有≥2个HDMI接口、≥2个VGA接口、≥1个CVBS接口、≥2个RJ45 千兆网络接口；≥2个USB2.0接口、≥2个USB3.0接口、≥1个RS232接口、≥1个RS485接口、≥1个eSata接口；具有≥1路音频输入接口、≥2路音频输出接口、≥16路报警输入接口、≥9路报警输出接口、具有≥1路直流12V输出接口、可内置≥2块SATA接口硬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3、HDMI1和HDMI2支持最大单路8K（7680×4320）和1080P（1920×1080）异源输出。</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bCs/>
                <w:color w:val="000000"/>
                <w:sz w:val="21"/>
                <w:szCs w:val="21"/>
                <w:highlight w:val="none"/>
                <w:lang w:val="en-US" w:eastAsia="zh-CN"/>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存储硬盘8T</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监控级存储硬盘，3.5英寸，单盘容量8TB，转速≥5400RPM，缓存≥256MB，SATA3.0接口，读取速度≥215MB/s。</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lang w:val="en-US" w:eastAsia="zh-CN" w:bidi="ar"/>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存储硬盘12T</w:t>
            </w:r>
            <w:r>
              <w:rPr>
                <w:rFonts w:hint="eastAsia" w:ascii="宋体" w:hAnsi="宋体" w:eastAsia="宋体" w:cs="宋体"/>
                <w:i w:val="0"/>
                <w:iCs w:val="0"/>
                <w:color w:val="000000"/>
                <w:sz w:val="21"/>
                <w:szCs w:val="21"/>
                <w:highlight w:val="none"/>
                <w:u w:val="none"/>
                <w:lang w:val="en-US" w:eastAsia="zh-CN" w:bidi="ar"/>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监控级存储硬盘，3.5英寸，单盘容量12TB，转速≥7200RPM，缓存≥512MB，SATA3.0接口，读取速度≥265MB/s。</w:t>
            </w:r>
            <w:r>
              <w:rPr>
                <w:rFonts w:hint="eastAsia" w:ascii="宋体" w:hAnsi="宋体" w:eastAsia="宋体" w:cs="宋体"/>
                <w:i w:val="0"/>
                <w:iCs w:val="0"/>
                <w:color w:val="000000"/>
                <w:sz w:val="21"/>
                <w:szCs w:val="21"/>
                <w:highlight w:val="none"/>
                <w:u w:val="none"/>
                <w:lang w:val="en-US" w:eastAsia="zh-CN" w:bidi="ar"/>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bCs/>
                <w:color w:val="000000"/>
                <w:sz w:val="21"/>
                <w:szCs w:val="21"/>
                <w:highlight w:val="none"/>
                <w:lang w:val="en-US" w:eastAsia="zh-CN"/>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校时服务器</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1、嵌入式ARM处理器，内存≥128M；同步精度：卫星同步精度纳秒级；NTP同步精度毫秒级；授时容量：≥500次/每秒；授时精度：≤1ms；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2、接口不低于：2个NTP授时端口（RJ45）、1个GPS/BD天线接口、1个串口（RJ45）、1个NTP输入口（RJ45）、1个管理口（RJ45）、1个1PPS时间输出口；</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3、设备上电或重启后，系统自启校时服务，支持对监控设备（DVR、NVR、网络摄像机）、服务器进行授时，可通过WEB管理对NTP时钟进行配置管理；授时频段：GPS: 1575.42±1.023MHz ，北斗: 1561.098±2.046MHz；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4、含授时天线接收器、≥30米成品馈线、支持防雷。</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bCs/>
                <w:color w:val="000000"/>
                <w:sz w:val="21"/>
                <w:szCs w:val="21"/>
                <w:highlight w:val="none"/>
                <w:lang w:val="en-US" w:eastAsia="zh-CN"/>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综合安防管理平台</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具有≥1个DP接口、≥2个HDMI接口、≥1个VGA接口、≥4个RJ4510/100/1000Mbps自适应以太网口；≥7个USB接口（其中≥5个USB2.0接口,≥2个USB3.0接口）、≥1个RS-232接口、≥1个RS-485接口、≥16路报警输入接口、≥4路报警输出接口；≥2路音频输入（其中1路3.5mm），≥2路音频输出（其中1路3.5mm）、≥5个SATA3.0接口；</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支持视频预览、录像回放、即时回放、录像剪辑、手动录像和录像下载时叠加水印；支持在线和离线GIS地图、静态地图导入，同时支持对一个区域添加多张静态地图，支持在地图上添加标记、收藏、测量、放大缩小等基本地图工具，支持地图上资源点的搜索，实现在地图上资源的快速定位，支持资源点报警时，在地图上发生颜色变化，按不同等级的报警显示报警数，并显示报警列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3、支持以脸搜脸的多脸模式，上传一张图片中有多个人脸时，可对图片中的多个人脸一次识别后依次选择进行以脸搜脸，无需多次上传，人脸数最大不超过五个；</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支持门禁权限自动下发更新数据到设备；可配置固定时间、固定次数自动下发异动的门禁权限，包含卡、人脸、指纹；支持人员的卡权限在平台进行权限认证，当卡权限还未下发到设备时，平台可以根据刷卡事件进行人员权限判断并进行反控开门；支持人员通行记录区分：内部人员、外部人员、陌生人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支持视频事件级联，包括：穿越警戒面、进入区域、离开区域、区域入侵、人员聚集；支持人脸事件级联，包括高频人员、陌生人、重点人员；支持多色彩（红、橙、黄）展示运行告警状态，支持告警统计、概览、处理，支持告警记录查看、查询，支持告警单条、批量处理；支持系统最近7天每日告警数统计，支持评分量化系统监控指数，显示系统运行状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支持对监控点、编码设备的在线状态进行设备巡检，并以统计图方式展示巡检结果；支持对监控的图像进行视频质量诊断，图像异常项包括图像偏色、噪声干扰、图像过暗、图像过亮、视频丢帧、视频抖动、对比度异常、条纹干扰、视频遮挡、信号丢失、图像黑白、图像模糊、场景变换、视频剧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7、内置≥300路视频，≥50个门禁，≥10个车道，≥50个防区管理，≥10路紧急报警，≥1万人员基础信息管理。</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bCs/>
                <w:color w:val="000000"/>
                <w:sz w:val="21"/>
                <w:szCs w:val="21"/>
                <w:highlight w:val="none"/>
                <w:lang w:val="en-US" w:eastAsia="zh-CN"/>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摄像机接入授权</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现有校园安防管理平台摄像机接入管理授权，品牌：海康威视。</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bCs/>
                <w:color w:val="000000"/>
                <w:sz w:val="21"/>
                <w:szCs w:val="21"/>
                <w:highlight w:val="none"/>
                <w:lang w:val="en-US" w:eastAsia="zh-CN"/>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高清视频解码器1</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1、采用嵌入式架构；支持≥1个HDMI接口、≥1个VGA接口、≥1个语音接口、≥8路报警输入、≥8路报警输出、≥1个RS485接口、≥1个RS232接口、≥1个CVBS模拟视频输出接口和≥1个RJ45网线接口；</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支持对输入的视频画面进行90°、180°、270°旋转显示；支持通过设备抓屏软件，将远程电脑桌面实时解码上墙显示，画面帧率30fps；支持通过客户端软件设置HDMI接口输出分辨率为3840*2160（30Hz、1920*1080（50Hz）、1920*1080（60Hz））、1680*1050（60Hz）、1600*1200（60Hz）、1280*1024（60Hz）、1280*720（60Hz）、1280*720（50Hz）、1024*768（60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3、支持1、2、4、6、8、9、10、12、16画面分割显示；支持平均分割；支持分割线开启 / 关闭设置，支持底色设置功能；支持通过客户端软件将1路输入视频图像发送至多个输出接口拼接显示，支持1×2、1×3、1×4、1×5、1×6、1×7、1×8、2×1、2×2、2×3、2×4、3×1、3×2、4×1、4×2、5×1、6×1、7×1、8×1的拼接显示；支持视频轮巡功能，并可在客户端软件设置轮巡计划。</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bCs/>
                <w:color w:val="000000"/>
                <w:sz w:val="21"/>
                <w:szCs w:val="21"/>
                <w:highlight w:val="none"/>
                <w:lang w:val="en-US" w:eastAsia="zh-CN"/>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高清视频解码器2</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1、采用嵌入式架构；支持≥1路HDMI输入，≥4路HDMI输出；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支持对输入的视频画面进行90°、180°、270°旋转显示；支持1、2、4、6、8、3、10、12、16画面分割显示；支持平均分割；支持分割线开启/关闭设置，支持底色设置功能；支持通过客户端软件将1路输入视频图像发送至多个输出接口拼接显示，支持1x2、1x3、1x4、2x1、2x2、3x1、4x1的拼接显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烟雾检测场景：支持接入具有烟雾检测功能的前端摄像机，检测指定区域内是否有烟雾；当检测到烟雾时，可在显示画面中实时指示烟雾位置，可对前端码流里面的智能信息进行解码并显示，并触发报警弹窗、联动报警输出。（承诺签订合同时提供具有CMA标识的第三方检测机构出具的检测报告，提供承诺书加盖投标人公章）</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bCs/>
                <w:color w:val="000000"/>
                <w:sz w:val="21"/>
                <w:szCs w:val="21"/>
                <w:highlight w:val="none"/>
                <w:lang w:val="en-US" w:eastAsia="zh-CN"/>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高清视频解码器3</w:t>
            </w:r>
            <w:r>
              <w:rPr>
                <w:rFonts w:hint="eastAsia" w:ascii="宋体" w:hAnsi="宋体" w:eastAsia="宋体" w:cs="宋体"/>
                <w:bCs/>
                <w:color w:val="000000"/>
                <w:sz w:val="21"/>
                <w:szCs w:val="21"/>
                <w:highlight w:val="none"/>
                <w:lang w:val="en-US" w:eastAsia="zh-CN"/>
              </w:rPr>
            </w:r>
            <w:r/>
          </w:p>
        </w:tc>
        <w:tc>
          <w:tcPr>
            <w:tcW w:w="7913" w:type="dxa"/>
            <w:vAlign w:val="top"/>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支持10/100/1000M自适应网口≥2个、10/100/1000MBase-T自适应的光纤网口≥2个、HDMI视频输出接口≥2个、VGA视频输出接口≥1个、SDI视频输出接口≥1个、音频输入接口≥1个、音频输出接口≥1个、USB3.0接口≥4个、RS485接口≥2个、RS232接口≥1个、报警输入接口≥4个、报警输出接口≥3个；</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支持解码输出1路分辨率为7680×4320，帧率为60fps或8路分辨率为4000×3000，帧率为20fps或8路分辨率为3840×2160，帧率为30fps或32路分辨率为1920×1080，帧率为30fps或64路分辨率为1280×720，帧率为30fps的图像；单屏支持1、2、3、4、5、6、7、8、9、10、13、16、25、36、64画面分割；</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支持通过移动客户端控制电视墙业务，包括一键开窗、分屏、漫游、缩放、场景切换、场景保存；支持通过移动客户端进行云台控制，包括方向控制、配置转速、变倍、聚焦等功能；支持场景功能，支持多个场景间的切换，可保存不低于64个场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支持相同布局场景切换功能，从64路实况切换到另外64路实况的切换时间＜0.3s；支持隐私保护功能，可以对加密的IPC码流数据进行解码，并输出；（承诺签订合同时提供具有CMA标识的第三方检测机构出具的检测报告，提供承诺书加盖投标人公章）</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bCs/>
                <w:color w:val="000000"/>
                <w:sz w:val="21"/>
                <w:szCs w:val="21"/>
                <w:highlight w:val="none"/>
                <w:lang w:val="en-US" w:eastAsia="zh-CN"/>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拾音器</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1、指向特性：全指向；采样率：8khz、16khz、32khz可选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2、灵敏度：≤-32 dB；信噪比：≥90 dB；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3、频率响应覆盖范围：20 Hz~20 kHz。</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bCs/>
                <w:color w:val="000000"/>
                <w:sz w:val="21"/>
                <w:szCs w:val="21"/>
                <w:highlight w:val="none"/>
                <w:lang w:val="en-US" w:eastAsia="zh-CN"/>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摄像机支架</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整体铝合金材质；支持摄像机接头防水功能。</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bCs/>
                <w:color w:val="000000"/>
                <w:sz w:val="21"/>
                <w:szCs w:val="21"/>
                <w:highlight w:val="none"/>
                <w:lang w:val="en-US" w:eastAsia="zh-CN"/>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视频切换器</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输入接口≥8个VGA，输出接口≥1个VGA，分辨率≥1920*1080，支持面板按键切换，支持控制器切换；配置≥8*VGA线缆；≥1*键盘抽，≥1*键鼠。</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bCs/>
                <w:color w:val="000000"/>
                <w:sz w:val="21"/>
                <w:szCs w:val="21"/>
                <w:highlight w:val="none"/>
                <w:lang w:val="en-US" w:eastAsia="zh-CN"/>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视频监控测试仪</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高清触控显示屏≥5.5英寸 ，分辨率≥1920×1080；内置≥3200mAh 锂电池，满功耗续航≥4小时；兼容海康、大华、宇视、华为等主流品牌网络摄像机；内置 48V POE 供电，符合 IEEE802.3af/at 协议，最大输出功率≥30W；支持TDR线缆检测技术，可检测网线长度、断点、短路、串扰故障，支持线序校对、端口寻线、网络环路检测；支持DC12V/2A、DC5V/2A及48V POE供电输出。</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ascii="宋体" w:hAnsi="宋体" w:eastAsia="宋体" w:cs="宋体"/>
                <w:bCs/>
                <w:color w:val="000000"/>
                <w:sz w:val="21"/>
                <w:szCs w:val="21"/>
                <w:highlight w:val="none"/>
                <w:lang w:val="en-US" w:eastAsia="zh-CN"/>
              </w:rPr>
              <w:suppressLineNumbers w:val="0"/>
            </w:pPr>
            <w:r>
              <w:rPr>
                <w:rFonts w:hint="eastAsia" w:ascii="宋体" w:hAnsi="宋体" w:eastAsia="宋体" w:cs="宋体"/>
                <w:bCs/>
                <w:color w:val="000000"/>
                <w:sz w:val="21"/>
                <w:szCs w:val="21"/>
                <w:highlight w:val="none"/>
                <w:lang w:val="en-US" w:eastAsia="zh-CN"/>
              </w:rPr>
              <w:t xml:space="preserve">31</w:t>
            </w:r>
            <w:r>
              <w:rPr>
                <w:rFonts w:ascii="宋体" w:hAnsi="宋体" w:eastAsia="宋体" w:cs="宋体"/>
                <w:bCs/>
                <w:color w:val="000000"/>
                <w:sz w:val="21"/>
                <w:szCs w:val="21"/>
                <w:highlight w:val="none"/>
                <w:lang w:val="en-US" w:eastAsia="zh-CN"/>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防火墙1</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1、内存大小≥8G，硬盘容量≥128G SSD，千兆电口≥8、万兆光口SFP+≥2；网络层吞吐量≥10Gbps，IPS吞吐量≥1Gbps，并发连接数≥200万，每秒新建连接数≥6万，IPSec VPN最大接入数≥800，IPSec VPN吞吐量≥500Mbps；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支持虚拟防火墙功能，支持虚拟防火墙的创建和删除，具备独立的接口、会话管理、应用控制策略、NAT等资源；支持路由类型、协议类型、网络对象、国家地区等条件进行自动选路的策略路由，支持不少于3种的调度算法，至少包括带宽比例、加权流量、线路优先等；支持IPSec VPN智能选路功能，根据线路质量和应用实现自动链路切换选路模式支持智能负载选路、按指定顺序选路、优先使用质量最优的线路、按剩余带宽比例负载；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3、支持SD-WAN组网丢包优化功能，优化互联网场景下丢包严重的问题，改善实时类应用的业务访问体验，满足用户业务稳定访问需求；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4、支持对不少于9000种应用的识别和控制，应用类型包括游戏、购物、图书百科、工作招聘、P2P下载、聊天工具、旅游出行、股票软件等类型应用进行检测与控制；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5、内置不低于16000种漏洞规则，同时支持在控制台界面通过漏洞ID、漏洞名称、危险等级、漏洞CVE标识、漏洞描述等条件查询漏洞特征信息，支持用户自定义IPS规则；</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支持独立的账号安全防护模块，具备事前账号脆弱性、事中账号爆破、事后账号失陷的全生命周期安全防护，在设备界面可以详细展示账号安全相关信息，包括风险业务、风险等级、存在账号入口、存在弱口令、遭受口令爆破、异常登录账号；</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支持策略生命周期管理功能，支持对安全策略修改的时间、原因、变更类型进行统一管理，便于策略的运维与管理；支持联动云端智能运营平台，支持流量日志分析、事件聚合、云端专家研判，安全事件微信端就可接受预警和处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8、含6年软硬件质保服务，病毒库升级服务。</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防火墙2</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1、硬件参数：网络层吞吐量≥3G，应用层吞吐量≥1G，最大并发连接数≥100万，每秒新建连接数≥3万，防病毒吞吐量≥500M，IPS吞吐量≥400M，全威胁吞吐量≥300M，内存≥4G，硬盘≥64G SSD，千兆电口≥6个，千兆光口≥2个；</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2、支持路由模式、透明模式、虚拟网线模式、旁路镜像模式等部署方式；支持IPSec VPN智能选路功能，根据线路质量和应用实现自动链路切换；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3、支持僵尸主机检测功能，产品预定义特征库≥100万种，可识别主机的异常外联行为；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支持预定义漏洞特征数量≥10000种，支持在产品漏洞特征库中以漏洞名称、漏洞ID、漏洞CVE标识、危险等级和漏洞描述等条件快速查询特定漏洞特征信息，支持用户自定义IPS规则；（承诺签订合同时提供产品功能截图证明，提供承诺书加盖投标人公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支持被动监测和主动扫描两种资产识别方式，可梳理离线资产、高危端口开放、冗余端口等安全风险；支持可视化拓扑关系图展示资产和资产之间的访问关系、访问细节协议端口等信息；支持策略生命周期管理功能，支持对安全策略修改的时间、原因、变更类型进行统一管理，便于策略的运维与管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6、质保期内免费提供软件升级与6年入侵防御规则库升级服务。</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网络智慧存储1</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1、支持八核八线程处理器，主频≥2.7GHz，Linux底层，内存≥16GB DDR4，可扩展至≥32GB；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2、热插拔盘位≥6个，支持SATA\SAS硬盘，本次配置≥3个7200转4T NAS硬盘，总容量≥12T；硬阵列，阵列类型：支持RAID 0,1,5,6,10，50；支持RAID组态迁移RAID1toRAID5、RAID5toRAID6，支持缓存加速功能；≥2个1G网络电口,支持10GB端口扩展；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中文WEB界面管理，自带网盘功能，支持SMB，NFS，FTP，SFTP，AFP，iSCSI，WebDav，rSync等协议；支持虚拟硬盘、远程文件夹和多通道、文件分享和收集；支持AD、LDAP，内置免费文件共享、用户和群组的ACL权限管理、支持子文件夹权限精细管控；支持文件夹和卷快照，支持快照锁定功能，在定义的时间内锁定文件和快照备份版本，防止勒索病毒等恶意事件造成资料修改或删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4、数据安全：可以对文件进行加密，密码支持国密SM4和AES256算法；日志中心，审计追溯可疑行为；自动封锁可疑 IP，支持UPS联助断电保护；支持SSO，可与企业微信或者钉钉对接，支持扫码登录页面，单点登录（需要端口外网映射，设备能访问互联网）；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5、配置稳压及断电保护功能。</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网络智慧存储2</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1、支持八核八线程处理器，主频≥2.7GHz，Linux底层，内存≥16GB DDR4，可扩展至≥32G；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2、≥6个热插拔盘位，支持SATA\SAS硬盘，本次配置≥6个7200转8T NAS硬盘，总容量≥48T；硬阵列，阵列类型：支持RAID 0,1,5,6,10，50；支持RAID组态迁移RAID1toRAID5、RAID5toRAID6，支持缓存加速功能；1G网络电口≥2个,支持端口扩展≥10GB；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中文WEB界面管理，自带网盘功能，支持SMB，NFS，FTP，SFTP，AFP，iSCSI，WebDav，rSync等协议；支持虚拟硬盘、远程文件夹和多通道、文件分享和收集；支持AD、LDAP，内置免费文件共享、用户和群组的ACL权限管理、支持子文件夹权限精细管控；支持文件夹和卷快照，支持快照锁定功能，在定义的时间内锁定文件和快照备份版本，防止勒索病毒等恶意事件造成资料修改或删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4、数据安全：可以对文件进行加密，密码支持国密SM4和AES256算法；日志中心，审计追溯可疑行为；自动封锁可疑 IP，支持UPS联助断电保护；支持SSO，可与企业微信或者钉钉对接，支持扫码登录页面，单点登录（需要端口外网映射，设备能访问互联网）；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5、配置稳压及断电保护功能。</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光汇聚交换机</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1、交换容量≥826Gbps；转发性能≥228Mpps；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2、接口≥24个100/1000BASE-X SFP口(含≥8个GE Combo口),≥4个万兆SFP口，≥1个micro USB + 1USB；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3、符合IEEE 802.3az（EEE）节能标准、支持端口休眠，关闭没有应用的端口，节省能源；支持VRRP/VRRPv3支持802.1X认证/集中式MAC地址认证、支持PORTAL认证、支持动态ARP检测，防止中间人攻击和ARP拒绝服务。</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8口POE交换机1</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1、交换容量≥596Gbps/5.96Tbps，包转发率≥96Mpps；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2、≥8*10/100/1000Base-T以太网端口，≥2*1000 Base-X SFP光口，支持POE+；单端口最大功率输出功率≥35W，MAX：≥153W（POE：125W）。</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8口POE交换机2</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1、提供≥2个千兆Hi-PoE电口，≥6个千兆PoE电口，≥1个千兆电口，≥1个千兆光口；Hi-PoE口支持IEEE 802.3at/af/bt，PoE口支持IEEE 802.3at/af；</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2、端口最大供电功率：Hi-PoE端口≥90W，PoE端口≥30W，整机最大供电功率：≥230W，交换容量：≥20Gbps，包转发率：≥14.88Mpps；支持IEEE 802.3、IEEE 802.3u、IEEE 802.3x、IEEE 802.3ab、IEEE 802.3z；PoE口防浪涌≥6KV，支持PoE输出功率管理，线速转发、无阻塞设计，存储转发交换方式，坚固式高强度金属外壳。</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8口POE交换机3</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1、交换容量≥192Gbps，转发率≥19.5Mpps，≥8个10/100/1000 Base-T PoE+电口, ≥2个2.5G/1G SFP光口，整机最大输出≥130W，支持PoE+，单端口最大供电功率≥30W；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2、支持转发优先端口，关键业务优先转发，保障用户网络体验；当系统供电功率不足时，优先保障高优端口接入的摄像头等关键设备供电零中断；防雷保护≥6KV。</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24口POE交换机1</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1、支持≥24个千兆PoE电口，≥1个千兆电口，≥1个千兆光口；</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2、交换容量≥52 Gbps，包转发率≥38.69 Mpps；端口最大供电功率≥30 W；整机最大供电功率≥370 W。</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24口POE交换机2</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1、交换容量≥672Gbps，包转发率≥126Mpps；接口≥24千兆电+4千兆SFP；整机供电功率≥375W，单端口最大供电功率≥30W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2、支持G.8032以太网环保护协议ERPS，切换时间≤50ms，可兼容其他支持该协议的产品；支持RRPP ；支持CPU保护功能，支持限制非法报文对CPU的攻击，保护交换机在各种环境下稳定工作；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3、支持≥10KV业务端口防雷能力；支持端口休眠。</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24口接入交换机</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1、交换容量≥672Gbps，包转发率≥126Mpps；接口≥24千兆电+4千兆SFP；</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2、支持G.8032以太网环保护协议ERPS，切换时间≤50ms，支持RRPP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3、业务端口防雷能力≥10KV；支持端口休眠。</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无线接入授权</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无线AP接入控制器license授权函，管理1AP。</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放装AP1</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1、整机≥双频4流，支持802.11a/b/g/n/ac/ac wave2/ax模式；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2、整机协商速率≥1.775Gbps，5G射频速率≥1.2G，2.4G速率≥0.575G；≥1个10/100/1000Mbps(GE)；</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3、支持基于空口利用率的SSID自动隐藏功能，当空口繁忙程度达到或超过配置的阈值时，SSID自动隐藏，为用户提供稳定可靠的无线服务。</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放装AP2</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1、整机无线速率≥2.975Gbps；GE端口≥1；支持内置智能天线；最大用户数≥256；</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2、支持内置蓝牙BLE5.2，支持云管理、Fit/FAT/云工作模式；</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高密AP</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1、三射频设计，支持802.11a/b/g/n/ac/ac wave2/ax模式；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2、整机协商速率≥5.375Gbps，所有5G频段单频段速率≥2.4Gbps；固化接口数≥4个（1个2.5G PSFP， 3个10/100/1000Mbps电口，其中1个电口支持PoE out对外供电）；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3、内置智能天线；内置蓝牙5.1；发射功率≥20dBm。</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室外AP1</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1、支持802.11a/b/g/n/ac/ac wave2/ax/be模式；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2、接口：≥1个100/1000M/2.5G电口，≥1个10G PSFP（光电合一）光口兼容SFP+；≥双频4条流，整机接入速率≥3.57Gbps；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3、内置智能天线；支持IP68防护等级；支持基于空口利用率的SSID自动隐藏功能。</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室外AP2</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Wi-Fi 6双射频通用级室外型无线接入点,支持802.11a/b/g/n/ac和802.11ax协议，内置全向天线，整机≥4条空间流，整机最高接入速率≥2.975Gbps，支持胖/瘦模式切换；支持光电上行，支持802.3af/at供电和本地DC电源供电</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面板AP</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1、支持X86底盒面板或壁挂安装；支持11ax/wave2，DL/UL MU-MIMO，OFDMA、空间复用；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2、接口：≥1个10/100/1000M电口，≥下行4个10/100/1000M电口；支持802.11ax，≥双频4条流，最高速率≥2.975Gbps；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3、内置BLE5.1模块，支持基于蓝牙协议的物联网业务。</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光模块1</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SFP封装，传输速率≥1.25Gbps，传输距离≥10km，LC双工，单模。</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光模块2</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1000BASE-LX mini GBIC转换模块，传输距离≥10km。</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广播服务器</w:t>
            </w:r>
            <w:r>
              <w:rPr>
                <w:rFonts w:hint="eastAsia" w:ascii="宋体" w:hAnsi="宋体" w:eastAsia="宋体" w:cs="宋体"/>
                <w:bCs/>
                <w:color w:val="000000"/>
                <w:sz w:val="21"/>
                <w:szCs w:val="21"/>
                <w:highlight w:val="none"/>
                <w:lang w:val="en-US" w:eastAsia="zh-CN"/>
              </w:rPr>
            </w:r>
            <w:r/>
          </w:p>
        </w:tc>
        <w:tc>
          <w:tcPr>
            <w:tcW w:w="7913" w:type="dxa"/>
            <w:vAlign w:val="top"/>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1、标准机架式全铝机箱，全高清触摸屏≥15.6英寸，亮度≥350，对比度≥600:1，分辨率≥1920×1080；CPU≥8核处理器，内存容量≥8G，硬盘容量≥256G固态硬盘；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2、COM接口≥5个；MIC输入口≥4个；USB接口≥8个；线路输入接口≥6个；RJ45接口≥2个；VGA接口≥1个；DVI-D视频接口≥1个；PS/2接口≥1个。</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▲3、线路输入和话筒输入均带音量和音调调节，音量调节旋钮≥9个，高低音调节旋钮≥9组（18个）；（承诺签订合同时提供设备实物接口图，提供承诺书加盖投标人公章）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4、面板带支持编程的紧急按键；线路输出接口≥2组；内置监听功能，监听音量可以单独调整；支持触发开机，用于外部设备定时驱动开机运行。</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广播智能中心机</w:t>
            </w:r>
            <w:r>
              <w:rPr>
                <w:rFonts w:hint="eastAsia" w:ascii="宋体" w:hAnsi="宋体" w:eastAsia="宋体" w:cs="宋体"/>
                <w:bCs/>
                <w:color w:val="000000"/>
                <w:sz w:val="21"/>
                <w:szCs w:val="21"/>
                <w:highlight w:val="none"/>
                <w:lang w:val="en-US" w:eastAsia="zh-CN"/>
              </w:rPr>
            </w:r>
            <w:r/>
          </w:p>
        </w:tc>
        <w:tc>
          <w:tcPr>
            <w:tcW w:w="7913" w:type="dxa"/>
            <w:vAlign w:val="top"/>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触摸显示屏≥5寸，全中文与图形结合的操作菜单。支持TF卡播放，U盘播放，话筒讲话，FM收音，辅助音源播放，一键紧急播音，定时自动广播，密码设置，网络设置，电源设置，音量预设，系统升级，任务备份，校时器校时。自动广播可设置多套方案，方案按时间顺序自动切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2、可以通过IP地址登录网页对本机远程控制，实现对本机的文件上传、手动播音、任务编辑、系统设置等功能；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支持≥1个USB接口，≥1个TF卡接口（支持常用音频格式mp3,wav,wma等）；≥1个监听音量调节旋钮，内置监听功能；≥1个总音量调节旋钮；≥1个紧急播音按钮；≥3路本地话筒输入；≥3路线路输入；≥2路音频输出；≥2路功放输入；≥6路分区输出；可编程≥3路音源电源控制；≥2路功放电源控制；≥1路电源输入；≥1路FM输入；≥1路短路输入；≥1路24V信号输入；≥1路短路输出；≥1路RS485；≥1路RS232。</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4、失真度：≤0.5%；线路频率响应：20Hz～20KHz  ±3dB；话筒频率响应：40Hz～16KHz  ±3dB；输入灵敏度：线路 250±30mV  话筒 10±2mV；信噪比：线路：≥80dB  话筒：≥70dB。</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广播系统主控软件</w:t>
            </w:r>
            <w:r>
              <w:rPr>
                <w:rFonts w:hint="eastAsia" w:ascii="宋体" w:hAnsi="宋体" w:eastAsia="宋体" w:cs="宋体"/>
                <w:bCs/>
                <w:color w:val="000000"/>
                <w:sz w:val="21"/>
                <w:szCs w:val="21"/>
                <w:highlight w:val="none"/>
                <w:lang w:val="en-US" w:eastAsia="zh-CN"/>
              </w:rPr>
            </w:r>
            <w:r/>
          </w:p>
        </w:tc>
        <w:tc>
          <w:tcPr>
            <w:tcW w:w="7913" w:type="dxa"/>
            <w:vAlign w:val="top"/>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支持多套定时打铃方案，方案内可编制任意数量的打铃任务，支持一键复制/禁用/启用方案或任务，实现全自动无人值守校园铃声播报，满足各时间段多场景播报需求；可对任意单点、分组或全区执行实时音频/文本，实时采播，一键寻呼喊话任务，支持30路广播并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根据编制好的任务定时、定点自动播出，支持定时音频/文本/采播广播，可批量创建多时段定时任务，支持一键启用/禁用；支持全区分区消防联动，短路输入输出端口联动自由配置，自动化的安全机制，可远程控制设备强切输出，包括短路输出和广播播放；</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t xml:space="preserve">、可对广播内容进行实时监听，也可实时循环监听终端周围环境声音实况；内置嵌入式TTS语音引擎支持TTS文字转语音广播，可提供不同人声、语速等个性化配置，支持导入TXT文本；支持考试模式，网络与定压备份可切换；可通过网络远程推送定时广播内容至任务覆盖的终端，实现终端离线自动播放功能；可针对指定分区插入临时任务，不影响原有打铃方案在其他分区的正常运行；配置广播任务时支持功放分区通道自定义打开/关闭；可自定义添加常用功能，一键快速创建广播任务；可视化图表展示任务分类和任务数据统计，支持系统任务列表查看和详情页查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系统支持日志查询和导出，用户日志，系统日志，设备日志，任务日志灵活查看；可选择自动，手动，或者上传备份文件进行系统备份；智能管控和设置不同任务类型优先级，可按需灵活设置，系统智能检测任务优先级冲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5、通过软件预设终端自带电源提前打开，双重保障任务在终端播放成功；通过智能语音播控台，实现系统服务器媒体库中节目的任意点播；可设置定时任务间隔播放时长，在指定结束时间前循环间隔播放。</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支持Web模式远程登录管理控制所有设备，支持远程升级设备；支持将设备添加至设备地图，可视化管控设备，地图上划定范围快速发起广播；支持设备在线分组设置，通过Web页面后台或分控客户端均可轻松进行设备分组管理；系统可设置管理员，高级用户，普通用户多种角色，可按需自定义角色操作权限，提供不同的操作界面，人性化管理不同用户需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支持同一账号实现终端与广播系统平台同步登录，数据自动同步，支持多台设备同时登录，支持分控账号管理远程节目播放管理；支持平台设置设备定时巡检任务，巡检状态和巡检记录实时上报；支持寻呼+文件/文本广播（话筒上设置），采播+文件/文本广播双路混音合成输出，混音比例可自由调节；支持全双工实时对讲，视频对讲，支持多人对讲，会议模式；支持对讲呼叫转移；平台可配置对讲策略；支持通过配置工具一键批量配置设备IP地址，设备IP地址冲突自动智能检测。</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广播监听音箱</w:t>
            </w:r>
            <w:r>
              <w:rPr>
                <w:rFonts w:hint="eastAsia" w:ascii="宋体" w:hAnsi="宋体" w:eastAsia="宋体" w:cs="宋体"/>
                <w:bCs/>
                <w:color w:val="000000"/>
                <w:sz w:val="21"/>
                <w:szCs w:val="21"/>
                <w:highlight w:val="none"/>
                <w:lang w:val="en-US" w:eastAsia="zh-CN"/>
              </w:rPr>
            </w:r>
            <w:r/>
          </w:p>
        </w:tc>
        <w:tc>
          <w:tcPr>
            <w:tcW w:w="7913" w:type="dxa"/>
            <w:vAlign w:val="top"/>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1、一体化壁挂式设计，木质箱体；内置≥2×15W立体声数字功率放大器，可接副箱；内置≥6.5吋全频扬声器；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内置≥1路网络硬件音频解码模块，支持TCP/UDP/ARP/ICMP/IGMP(组播)协议；终端支持服务器推送的实时和定时文件广播，文本广播，实时喊话；支持≥1路线路输入，≥1路MIC输入，≥1路线路输出；带本地音量调节，支持外接音量控制开关；支持复位功能恢复出厂默认设置；输入灵敏度：线路：250±50 mV，话筒：15±5 mV；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3、线路输出：600±50 mV；功放频响：100-18000Hz±3dB；失真度：≤1 %；声频率响应覆盖范围：190Hz-16500Hz；最小源电动势输出声压级：103±3dB；噪声声级≤17dBA。</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广播电源时序控制器</w:t>
            </w:r>
            <w:r>
              <w:rPr>
                <w:rFonts w:hint="eastAsia" w:ascii="宋体" w:hAnsi="宋体" w:eastAsia="宋体" w:cs="宋体"/>
                <w:bCs/>
                <w:color w:val="000000"/>
                <w:sz w:val="21"/>
                <w:szCs w:val="21"/>
                <w:highlight w:val="none"/>
                <w:lang w:val="en-US" w:eastAsia="zh-CN"/>
              </w:rPr>
            </w:r>
            <w:r/>
          </w:p>
        </w:tc>
        <w:tc>
          <w:tcPr>
            <w:tcW w:w="7913" w:type="dxa"/>
            <w:vAlign w:val="top"/>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1、16路电源输出；单路电源电流≥10A；16路电源总电流≥40A；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2、硬件接口不低于：RS232控制口×1；RS422数据接口×2；适用电压：220V±10%。</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广播网络音箱</w:t>
            </w:r>
            <w:r>
              <w:rPr>
                <w:rFonts w:hint="eastAsia" w:ascii="宋体" w:hAnsi="宋体" w:eastAsia="宋体" w:cs="宋体"/>
                <w:bCs/>
                <w:color w:val="000000"/>
                <w:sz w:val="21"/>
                <w:szCs w:val="21"/>
                <w:highlight w:val="none"/>
                <w:lang w:val="en-US" w:eastAsia="zh-CN"/>
              </w:rPr>
            </w:r>
            <w:r/>
          </w:p>
        </w:tc>
        <w:tc>
          <w:tcPr>
            <w:tcW w:w="7913" w:type="dxa"/>
            <w:vAlign w:val="top"/>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1、一体化壁挂式设计，木质箱体；内置≥2×15W立体声数字功率放大器，可接副箱；内置≥6.5吋全频扬声器；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内置1路网络硬件音频解码模块，支持TCP/UDP/ARP/ICMP/IGMP(组播)协议；终端支持服务器推送的实时和定时文件广播，文本广播，实时喊话；支持≥1路线路输入，≥1路MIC输入，≥1路线路输出；带本地音量调节，支持外接音量控制开关；支持复位功能恢复出厂默认设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3、输入灵敏度：线路：250±50 mV，话筒：15±5 mV；线路输出：600±50 mV；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4、功放频响：100-18000Hz±3dB；失真度：≤1 %；声频率响应覆盖范围：190Hz-16500Hz；最小源电动势输出声压级：103±3dB；噪声声级≤17dBA；电压适应范围：～185V～265V/50Hz。</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广播网络音箱副箱</w:t>
            </w:r>
            <w:r>
              <w:rPr>
                <w:rFonts w:hint="eastAsia" w:ascii="宋体" w:hAnsi="宋体" w:eastAsia="宋体" w:cs="宋体"/>
                <w:bCs/>
                <w:color w:val="000000"/>
                <w:sz w:val="21"/>
                <w:szCs w:val="21"/>
                <w:highlight w:val="none"/>
                <w:lang w:val="en-US" w:eastAsia="zh-CN"/>
              </w:rPr>
            </w:r>
            <w:r/>
          </w:p>
        </w:tc>
        <w:tc>
          <w:tcPr>
            <w:tcW w:w="7913" w:type="dxa"/>
            <w:vAlign w:val="top"/>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专业一体化壁挂式设计，木质箱体；额定功率：15W，单元规格：6.5寸全频扬声器*1；额定阻抗：8Ω；频率响应范围：160Hz-16.5KHz（±15%）；灵敏度：93dB±3dB。</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广播走廊壁挂音箱</w:t>
            </w:r>
            <w:r>
              <w:rPr>
                <w:rFonts w:hint="eastAsia" w:ascii="宋体" w:hAnsi="宋体" w:eastAsia="宋体" w:cs="宋体"/>
                <w:bCs/>
                <w:color w:val="000000"/>
                <w:sz w:val="21"/>
                <w:szCs w:val="21"/>
                <w:highlight w:val="none"/>
                <w:lang w:val="en-US" w:eastAsia="zh-CN"/>
              </w:rPr>
            </w:r>
            <w:r/>
          </w:p>
        </w:tc>
        <w:tc>
          <w:tcPr>
            <w:tcW w:w="7913" w:type="dxa"/>
            <w:vAlign w:val="top"/>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1、木质音箱PVC皮,壁挂安装；一只≥4.5吋中低音和一只高音揚声器，二单元二分频；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2、额定输入电压：100V；额定功率：≥10W；频率响应范围：130Hz-17KHz ±10%；灵敏度：≥88dB ±3dB。</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室外音柱1</w:t>
            </w:r>
            <w:r>
              <w:rPr>
                <w:rFonts w:hint="eastAsia" w:ascii="宋体" w:hAnsi="宋体" w:eastAsia="宋体" w:cs="宋体"/>
                <w:bCs/>
                <w:color w:val="000000"/>
                <w:sz w:val="21"/>
                <w:szCs w:val="21"/>
                <w:highlight w:val="none"/>
                <w:lang w:val="en-US" w:eastAsia="zh-CN"/>
              </w:rPr>
            </w:r>
            <w:r/>
          </w:p>
        </w:tc>
        <w:tc>
          <w:tcPr>
            <w:tcW w:w="7913" w:type="dxa"/>
            <w:vAlign w:val="top"/>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1、壳体均为铝合金材质；防尘防水等级≥IP56；额定输入电压：100V；额定功率：≥50W；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2、频率响应范围：100Hz-18KHz (±10%）；灵敏度：≥91dB （±3 dB）；最大声压级：≥108dB；喇叭单元不低于：LF：4"×4；HF：3"×1号角高音。</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室外音柱2</w:t>
            </w:r>
            <w:r>
              <w:rPr>
                <w:rFonts w:hint="eastAsia" w:ascii="宋体" w:hAnsi="宋体" w:eastAsia="宋体" w:cs="宋体"/>
                <w:bCs/>
                <w:color w:val="000000"/>
                <w:sz w:val="21"/>
                <w:szCs w:val="21"/>
                <w:highlight w:val="none"/>
                <w:lang w:val="en-US" w:eastAsia="zh-CN"/>
              </w:rPr>
            </w:r>
            <w:r/>
          </w:p>
        </w:tc>
        <w:tc>
          <w:tcPr>
            <w:tcW w:w="7913" w:type="dxa"/>
            <w:vAlign w:val="top"/>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1、外壳铝合金材质，含安装支架；喇叭单元：LF：5"×4，HF：1"寸高音；额定输入电压：100V；额定功率：≥60W；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2、频率响应范围：130Hz-18KHz (±10%）；灵敏度：≥89dB±3 dB；最大声压级：≥107dB±1dB。</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室外音柱3</w:t>
            </w:r>
            <w:r>
              <w:rPr>
                <w:rFonts w:hint="eastAsia" w:ascii="宋体" w:hAnsi="宋体" w:eastAsia="宋体" w:cs="宋体"/>
                <w:bCs/>
                <w:color w:val="000000"/>
                <w:sz w:val="21"/>
                <w:szCs w:val="21"/>
                <w:highlight w:val="none"/>
                <w:lang w:val="en-US" w:eastAsia="zh-CN"/>
              </w:rPr>
            </w:r>
            <w:r/>
          </w:p>
        </w:tc>
        <w:tc>
          <w:tcPr>
            <w:tcW w:w="7913" w:type="dxa"/>
            <w:vAlign w:val="top"/>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1、外壳铝合金材质，含安装支架；防尘防水等级≥IP56；额定功率：≥80W；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2、输入电压：100V；灵敏度：90±3dB；频率响应范围：110Hz-18KHz（±15%）；喇叭单元：LF:5.25"×4；HF:3"×1。</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调音台1</w:t>
            </w:r>
            <w:r>
              <w:rPr>
                <w:rFonts w:hint="eastAsia" w:ascii="宋体" w:hAnsi="宋体" w:eastAsia="宋体" w:cs="宋体"/>
                <w:bCs/>
                <w:color w:val="000000"/>
                <w:sz w:val="21"/>
                <w:szCs w:val="21"/>
                <w:highlight w:val="none"/>
                <w:lang w:val="en-US" w:eastAsia="zh-CN"/>
              </w:rPr>
            </w:r>
            <w:r/>
          </w:p>
        </w:tc>
        <w:tc>
          <w:tcPr>
            <w:tcW w:w="7913" w:type="dxa"/>
            <w:vAlign w:val="top"/>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1、支持8路MIC/LINE，1组立体声输入,1组RCA音轨立体声+1路USB，8路插入点；支持48V幻象供电；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2、支持≥10路输出（2路主输出+2路编组+2路辅助输出+1路立体声监听输出+1路立体声耳机输出+1组立体声录音输出）；支持蓝牙接收，USB声卡功能，支持声控（话筒优先），内置DSP效果器，支持≥99种预设；</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3、频率响应覆盖范围：20Hz～20kHz （+1dB，-3dB）；总谐波失真：≤0.1%；信噪比（A计权）：≥95dB；增益：≥70dB；最大输入电平：≥18dBu；最大输出电平：≥18dBu.</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调音台2</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≥8通道带效果模拟调音台，≥8个单声道，≥2个立体声输入输入；内置效果器；配置GB30前置放大器；≥2路辅助输出，AUX发送全部可切换到推子前或推子后；48V幻象电源供电。</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无线手持话筒</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一、无线接收机：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1、频率响应范围：640-689.75MHz；可调信道数：≥100×2；振荡方式：锁相环频率合成（PLL）；频率稳定度：±10ppm；接收方式：真分集超外差二次变频。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二、发射器：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1、频率范围覆盖范围:640-689.75MHz；可调信道数:≥200个；振荡方式:锁相环频率合成（PLL）；谐波抑制:≤-30dB；调制方式:调频（FM）；调频方式:红外对频；最大偏移度:+-45KHz。</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播音话筒</w:t>
            </w:r>
            <w:r>
              <w:rPr>
                <w:rFonts w:hint="eastAsia" w:ascii="宋体" w:hAnsi="宋体" w:eastAsia="宋体" w:cs="宋体"/>
                <w:bCs/>
                <w:color w:val="000000"/>
                <w:sz w:val="21"/>
                <w:szCs w:val="21"/>
                <w:highlight w:val="none"/>
                <w:lang w:val="en-US" w:eastAsia="zh-CN"/>
              </w:rPr>
            </w:r>
            <w:r/>
          </w:p>
        </w:tc>
        <w:tc>
          <w:tcPr>
            <w:tcW w:w="7913" w:type="dxa"/>
            <w:vAlign w:val="top"/>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1、换能方式：电容式；指向性：心型指向；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2、频率响应覆盖范围：40Hz-18KHz；输出阻抗: 600Ω±30%；MIC灵敏度：-39dB±3dB；供电电压：DC12V(外置电源)或9V(层叠电池)。</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数字定压功放1</w:t>
            </w:r>
            <w:r>
              <w:rPr>
                <w:rFonts w:hint="eastAsia" w:ascii="宋体" w:hAnsi="宋体" w:eastAsia="宋体" w:cs="宋体"/>
                <w:bCs/>
                <w:color w:val="000000"/>
                <w:sz w:val="21"/>
                <w:szCs w:val="21"/>
                <w:highlight w:val="none"/>
                <w:lang w:val="en-US" w:eastAsia="zh-CN"/>
              </w:rPr>
            </w:r>
            <w:r/>
          </w:p>
        </w:tc>
        <w:tc>
          <w:tcPr>
            <w:tcW w:w="7913" w:type="dxa"/>
            <w:vAlign w:val="top"/>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1、D类数字功率放大器；支持MP3、Bluetooth播放功能,音量独立可调；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支持不低于3路话筒（TRS6.35）输入、3组(6路)线路输入，1路录音输出，1路消防信号输入。其中3路话筒音量、3组线路音量独立调节，话筒高、低音独立调节功能，3路话筒具有+48V幻像供电选择开关，话筒1具有默音可调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3、支持≥1路短路报警强切接口，≥1路24V报警强切接口，支持≥1路RS485接口；支持100V定压输出、70V定压输出、定阻（8Ω）输出三种输出方式；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4、输出功率≥200W；线路输入灵敏度：300mV±30mV；话筒输入灵敏度：15mV±3mV；话筒音调：低音100Hz、高音10KHz ≥8dB；频率响应：120Hz~20KHz （+0.5dB~-3dB）；信噪比：线路 ≥82dB（A计权），话筒：≥72dB（A计权）；失真度：≤1%（@1KHz，额定输出功率）；功放输出调整率：400HZ ≤2；4KHZ ≤2.5。</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数字定压功放2</w:t>
            </w:r>
            <w:r>
              <w:rPr>
                <w:rFonts w:hint="eastAsia" w:ascii="宋体" w:hAnsi="宋体" w:eastAsia="宋体" w:cs="宋体"/>
                <w:bCs/>
                <w:color w:val="000000"/>
                <w:sz w:val="21"/>
                <w:szCs w:val="21"/>
                <w:highlight w:val="none"/>
                <w:lang w:val="en-US" w:eastAsia="zh-CN"/>
              </w:rPr>
            </w:r>
            <w:r/>
          </w:p>
        </w:tc>
        <w:tc>
          <w:tcPr>
            <w:tcW w:w="7913" w:type="dxa"/>
            <w:vAlign w:val="top"/>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1、D类数字功率放大器；支持MP3、Bluetooth播放功能,音量独立可调；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支持不低于3路话筒（TRS6.35）输入、3组(6路)线路输入，1路录音输出，1路消防信号输入。其中3路话筒音量、3组线路音量独立调节，话筒高、低音独立调节功能，3路话筒具有+48V幻像供电选择开关，话筒1具有默音可调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3、支持≥1路短路报警强切接口，≥1路24V报警强切接口，≥1路RS485接口；</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支持100V定压输出、70V定压输出、定阻（8Ω）输出三种输出方式；支持≥6分区输出，可通过按键控制各分区；输出功率≥300W；线路输入灵敏度：300mV±30mV；话筒输入灵敏度：15mV±3mV；话筒音调：低音100Hz、高音10KHz ≥8dB；频率响应：120Hz~20KHz （+0.5dB~-3dB）；信噪比：线路 ≥82dB（A计权），话筒：≥72dB（A计权）；失真度：≤1%（@1KHz，额定输出功率）；功放输出调整率：400HZ ≤2；4KHZ ≤2.5。</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数字定压功放3</w:t>
            </w:r>
            <w:r>
              <w:rPr>
                <w:rFonts w:hint="eastAsia" w:ascii="宋体" w:hAnsi="宋体" w:eastAsia="宋体" w:cs="宋体"/>
                <w:bCs/>
                <w:color w:val="000000"/>
                <w:sz w:val="21"/>
                <w:szCs w:val="21"/>
                <w:highlight w:val="none"/>
                <w:lang w:val="en-US" w:eastAsia="zh-CN"/>
              </w:rPr>
            </w:r>
            <w:r/>
          </w:p>
        </w:tc>
        <w:tc>
          <w:tcPr>
            <w:tcW w:w="7913" w:type="dxa"/>
            <w:vAlign w:val="top"/>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1、D类数字功率放大器；支持MP3、Bluetooth播放功能,音量独立可调；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支持3路话筒（TRS6.35）输入、3组(6路)线路输入，1路录音输出，1路消防信号输入；其中3路话筒音量、3组线路音量独立调节，话筒高、低音独立调节功能，3路话筒具有+48V幻像供电选择开关，话筒1具有默音可调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3、支持1路短路报警强切接口，1路24V报警强切接口，1路RS485接口；支持100V定压输出、70V定压输出、定阻（8Ω）输出三种输出方式；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4、支持≥6分区输出；输出功率：≥500W；线路输入灵敏度：≥300mV±30mV；话筒输入灵敏度：≥15mV±3mV；频率响应覆盖范围：120Hz~20KHz （+0.5dB~-3dB）；信噪比：线路 ≥82dB（A计权），话筒：≥72dB（A计权）；失真度：≤1%（@1KHz，额定输出功率）；功放输出调整率：400HZ ≤2；4KHZ ≤2.5。</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纯后级定压功放</w:t>
            </w:r>
            <w:r>
              <w:rPr>
                <w:rFonts w:hint="eastAsia" w:ascii="宋体" w:hAnsi="宋体" w:eastAsia="宋体" w:cs="宋体"/>
                <w:bCs/>
                <w:color w:val="000000"/>
                <w:sz w:val="21"/>
                <w:szCs w:val="21"/>
                <w:highlight w:val="none"/>
                <w:lang w:val="en-US" w:eastAsia="zh-CN"/>
              </w:rPr>
            </w:r>
            <w:r/>
          </w:p>
        </w:tc>
        <w:tc>
          <w:tcPr>
            <w:tcW w:w="7913" w:type="dxa"/>
            <w:vAlign w:val="top"/>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1、D类数字功率放大器；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2、支持≥1路TRS6.35接口,≥1路XLR输入接口,≥2路凤凰音频输入接口,≥1组（2路）莲花输入接口，≥1路莲花输出接口，≥1路消防信号输入接口；</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3、支持≥1路短路控制接口，≥1路短路报警强切接口，≥1路24V报警强切接口；</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1路RS485接口：实现RS485远程监控功能。通过广播管理系统主机能监测功放的输出电流，电压，输出模式，功放温度，网络状态，功放保护状态。（承诺签订合同时提供具有CMA标识的第三方检测机构出具的检测报告，提供承诺书加盖投标人公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5、支持100V定压输出、70V定压输出、定阻（8Ω）输出三种输出方式；输出功率：≥1300W；输入灵敏度：≥775mv；线路输出：≥775mv；频率响应覆盖范围：120Hz-20KHz（定压 100V）20Hz-20KHz （+0.5dB~-3dB）（定阻）；信噪比：≥100dBA (A 计权) ；总谐波失真：≤1%(1kHz，额定输出功率)；过载源电动势：≥14dB；功放输出调整率：400HZ ≤2；4KHZ ≤2.5。</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四分区合并式定压功放</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1、二路话筒输入,二路线路输入,一路辅助输出；额定输出：≥600W；输出方式：定阻4-16Ω，定压70K，100K；输入：MIC1、2 /600Ω，2.0MK（-54db），不平衡；AUX1、2 /10KΩ，100MK（-10db），不平衡；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2、频响响应覆盖范围：100HZ~16KHZ；谐波失真：&lt;0.1% 1KHZ；信噪比：≥66db；音调调节：Bass±10db GT 100HZ Treble：±10db GT 10KHZ；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3、保护：开机保护，过压保护，直流保护，短路保护，过热保护。</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广播解码器</w:t>
            </w:r>
            <w:r>
              <w:rPr>
                <w:rFonts w:hint="eastAsia" w:ascii="宋体" w:hAnsi="宋体" w:eastAsia="宋体" w:cs="宋体"/>
                <w:bCs/>
                <w:color w:val="000000"/>
                <w:sz w:val="21"/>
                <w:szCs w:val="21"/>
                <w:highlight w:val="none"/>
                <w:lang w:val="en-US" w:eastAsia="zh-CN"/>
              </w:rPr>
            </w:r>
            <w:r/>
          </w:p>
        </w:tc>
        <w:tc>
          <w:tcPr>
            <w:tcW w:w="7913" w:type="dxa"/>
            <w:vAlign w:val="top"/>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1、频率响应覆盖范围：20Hz～20KHz；输入灵敏度：话筒：-36±3dB； 线路：-10±2dB；音频输出电平：0dB(775mv)；音频位率：8Kbps～320Kbps自适应；</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2、支持ARP、UDP、TCP/IP、ICMP、IGMP(组播)协议；音频格式： MP3；传输速率：10/100Mbps；本地音频输入口：≥RCA×2；信噪比≥80dB。</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天线分配器</w:t>
            </w:r>
            <w:r>
              <w:rPr>
                <w:rFonts w:hint="eastAsia" w:ascii="宋体" w:hAnsi="宋体" w:eastAsia="宋体" w:cs="宋体"/>
                <w:bCs/>
                <w:color w:val="000000"/>
                <w:sz w:val="21"/>
                <w:szCs w:val="21"/>
                <w:highlight w:val="none"/>
                <w:lang w:val="en-US" w:eastAsia="zh-CN"/>
              </w:rPr>
            </w:r>
            <w:r/>
          </w:p>
        </w:tc>
        <w:tc>
          <w:tcPr>
            <w:tcW w:w="7913" w:type="dxa"/>
            <w:vAlign w:val="top"/>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1、频宽范围覆盖范围：500MHz-850MHz；输入截断点：+15dBm；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2、输出/输入增益：+1.0dB±1dB；输出端隔离度： &gt;18dB 在500MHz-850MHz ；输出/入阻抗：50Ω；天线输出接头：TNC插座；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3、可提供4路12V DC电源输出，为4台无线接收机提供电源；支持四台宽频多频道接收机共用一对天线。</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有源对数周期天线</w:t>
            </w:r>
            <w:r>
              <w:rPr>
                <w:rFonts w:hint="eastAsia" w:ascii="宋体" w:hAnsi="宋体" w:eastAsia="宋体" w:cs="宋体"/>
                <w:bCs/>
                <w:color w:val="000000"/>
                <w:sz w:val="21"/>
                <w:szCs w:val="21"/>
                <w:highlight w:val="none"/>
                <w:lang w:val="en-US" w:eastAsia="zh-CN"/>
              </w:rPr>
            </w:r>
            <w:r/>
          </w:p>
        </w:tc>
        <w:tc>
          <w:tcPr>
            <w:tcW w:w="7913" w:type="dxa"/>
            <w:vAlign w:val="top"/>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1、频宽覆盖范围： 500MHz-850MHz；步进增益，总增益量：0-18dB ±2dB 步进量：±1dB；步进衰减，总衰减量：0-9dB  ±2dB 步进量：±1dB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2、天线阻抗:50Ω；天线增益:≥3-5dB；驻波比:≤2.5:1；接收模式(3 dB 波束宽度)：≥65°（垂直角）,≥120°(水平面）；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3、单指向性天线。采用对数周期偶极振子阵列,支持不低于28档位增益设置。</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天线合路器</w:t>
            </w:r>
            <w:r>
              <w:rPr>
                <w:rFonts w:hint="eastAsia" w:ascii="宋体" w:hAnsi="宋体" w:eastAsia="宋体" w:cs="宋体"/>
                <w:bCs/>
                <w:color w:val="000000"/>
                <w:sz w:val="21"/>
                <w:szCs w:val="21"/>
                <w:highlight w:val="none"/>
                <w:lang w:val="en-US" w:eastAsia="zh-CN"/>
              </w:rPr>
            </w:r>
            <w:r/>
          </w:p>
        </w:tc>
        <w:tc>
          <w:tcPr>
            <w:tcW w:w="7913" w:type="dxa"/>
            <w:vAlign w:val="top"/>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1、一对二天线分配整合器；频段覆盖范围:500MHZ-850 MHZ；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2、总衰减量: ≤4dB (typ)；隔离度: ≥20dB(typ)；系统阻抗:50Ω；最大耐压/耐流: 50V DC/1.5A。</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无线传声器（手持）</w:t>
            </w:r>
            <w:r>
              <w:rPr>
                <w:rFonts w:hint="eastAsia" w:ascii="宋体" w:hAnsi="宋体" w:eastAsia="宋体" w:cs="宋体"/>
                <w:bCs/>
                <w:color w:val="000000"/>
                <w:sz w:val="21"/>
                <w:szCs w:val="21"/>
                <w:highlight w:val="none"/>
                <w:lang w:val="en-US" w:eastAsia="zh-CN"/>
              </w:rPr>
            </w:r>
            <w:r/>
          </w:p>
        </w:tc>
        <w:tc>
          <w:tcPr>
            <w:tcW w:w="7913" w:type="dxa"/>
            <w:vAlign w:val="top"/>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1、一拖二无线手持话筒；</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2、总谐波失真（THD+N）:≤0.5%  (10mV@1kHz)；延迟：≤5ms（典型值）；最大频偏：±45KHz；最大输出电平：≥+10dBV；动态范围：≥100dBA；最大声压级：≥134dB spl；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3、有效使用距离：≥80米(无遮挡)；音频频率响应（线路）：40Hz-18KHz。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需提供软件功能截图，截图内容须包含：</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支持通过PC、平板客户端软件对多频段设备进行集中管控通道射频、发射器电量等实时状态显示，自动分配无干扰频率；支持通过PC、平板客户端软件对多频段设备进行集中管控单一通道群组、信道、自定义频率、音量、SQ、接收模式设置；RF强度、AF强度、电量显示；（承诺签订合同时提供软件功能截图，提供承诺书加盖投标人公章）</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音频隔离器</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可以有效隔离电流噪声。</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定时软件</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1、多套作息方案支持同时启用，能够批量增删改查、复制剪切、导入导出作息计划；</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用户所在地区可选，自动获取当地天气信息，根据自定义配置信息，智能切换作息方案；作息计划内容可配，可自定义触发机制、工作方式、设备启动时间，以及节目源的个数，每个计划可同时播出≥100路节目；播放列表敏捷管理，支持一键增删改查，适用常见音频格式，包含MP3、WMA、AAC、OGG、MID、WAV、FLAC、APE等，集成文本文档转语音TTS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提供CD级音质录播单元，支持边录边听、多节目源同步录播，音量、均衡可调节，能够用于个性化铃声的录制；提供设备管理地图，可导入鸟瞰图、点位图、结构图等，设备信息可在图浏览，支持在图开关设备通道、音量调节、位置调整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4、提供单声卡左右声道双节目源输出功能，支持多声卡同时启用，可一键配置多进多出音频矩阵；数据自动备份，周期可调（每天、每周、每月），支持主备服务器数据自动同步。</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显示器支架</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显示器壁装支架，支持显示器尺寸范围：17-35英寸，支持上下、前后拉伸，上下调节幅度≥195mm，前后伸缩范围不低于100-345mm。</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79</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电子围栏控制终端</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1、显示屏：≥4.3英尺彩屏；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2、通讯接口：支持2路RS485、1路网口、1路usb口；报警输出：支持1组报警无源开关量输出；防护等级≥IP20；使用环境覆盖：温度-10℃～+55℃；相对湿度：≤95%。</w:t>
            </w:r>
            <w:r>
              <w:rPr>
                <w:rFonts w:hint="eastAsia" w:ascii="宋体" w:hAnsi="宋体" w:eastAsia="宋体" w:cs="宋体"/>
                <w:bCs/>
                <w:color w:val="000000"/>
                <w:sz w:val="21"/>
                <w:szCs w:val="21"/>
                <w:highlight w:val="none"/>
                <w:lang w:val="en-US" w:eastAsia="zh-CN"/>
              </w:rPr>
            </w:r>
            <w:r/>
          </w:p>
        </w:tc>
      </w:tr>
      <w:tr>
        <w:trPr>
          <w:trHeight w:val="1241"/>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电子地图</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1、支持周界报警显示功能,标示主要建筑平面位置及各防点位置和编号,显示系统正常运行工作状态(LED灯灭)或报警故障状态(LED灯亮)；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2、面积≥1个平方，亚克力面板，不锈钢边框，配置联动控制模块。</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电子围栏张力控制器</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1、显示屏≥3.5 英寸，显示防区地址、围栏线制、警戒张力值、松弛拉紧报警值、通讯状态、报警状态、电源状态、故障报警、防拆报警、蓄电池报警等信息；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支持≥4组以上定时控制功能，可实现对单个防区或全部防区定时控制；支持设置定时巡检，能根据巡检时的静态张力值自动更新报警阈值；支持在本地设置防区地址、报警阈值、断线报警使能、防拆报警使能以及蓄电池欠压报警使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3、支持自动识别防区类别为单防区或双防区；支持张力主机离线时，智能控制终端在≤1.5s内监测到张力主机的离线状态；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4、使用环境：温度：－40℃～+80℃   相对湿度≤95%；报警延时：≤2s；功率：最大功率15W；报警输出接口：每防区≥1路，常开、常闭、公共。</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电子围栏防雨箱</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SUS201材质，对主机等附属设备起到防水防尘和防盗，尺寸规格：500*300*150mm。</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电子围栏四线单防测控杆</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警戒张力值范围：100～450N；材质：铝合金；尺寸≥76*38*798mm；防水等级≥IP66。</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电子围栏四线双防测控杆</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警戒张力值范围：100～450N；材质：铝合金；尺寸≥76*38*798mm；防水等级≥IP66。</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电子围栏室外警灯</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室外型，报警时发出声光报警信号，DC12V 1W；含支架。</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主动红外对射</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1、探测方式：光束遮断检测；光源：红外数字脉冲；</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2、警报输出：继电器触点输出 ON 或 NC 接点容量 AC/DC30V 0.5Amax；防拆输出：接点输出 NC 接点容量 AC/DC24V 0.5A max；</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3、光轴调整角度 (水平)：180°(土90°)；光轴调整角度 (垂直)：20°(士10°)；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4、含配套红外对射支架。</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红外对射网络型模块</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防区数:≥2个分线制防区；通信接口：支持≥100M网口。</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电子围栏配件</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材料含万向底座、支撑杆件、不锈钢钢丝绳、不锈钢弹簧、受力杆万向底座、受力杆固定件、四道受力轴承杆、转向滑轮、轴承杆万向底座、张力支撑杆固定件、内置螺母、支撑杆万向底座、张力线固定件、警示牌、紧线器、压接铝套、线槽线管、线缆等配套材料。</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电子围栏集成调试</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含管路开挖回填，管线铺设，电子围栏设备安装、系统调试，长度500米。</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电动门</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1、尺寸：宽度1470mm*高度2150mm；直臂电机、无触点控制系统，具有微电脑数码限位装置；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2、双转换纯在线式架构，电池市电供电模式切换的零转换时间，支持定频输出；采用DSP数字化控制技术，提供稳定正弦波供电；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3、90V~300V输入电压及40~70Hz频率输入范围，兼容恶劣电力环境，减少电池放电次数；50Hz/60Hz电源系统自适应，可输出200/208/220/230/240Vac 50/60Hz；采用有源功率因数校正技术(PFC)，输入功率因数≥0.99；</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4、全玻璃纤维双面电路材，配合大跨距元件，结实，耐腐蚀。</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91</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刷脸门禁主机</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1、显示屏：≥4.3英寸触摸屏；用户容量：≥4000个；卡容量：≥4000张（IC卡）；面部容量：≥4000张；指纹容量：≥4000枚；记录容量：≥30万条；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2、通讯方式：TCP/IP、U盘、选配WiFi；</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3、基础功能：可视对讲、IP65、T9输入法、高级门禁、无线门铃、记录查询。</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光纤收发器</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单模SC接口千兆光纤收发器，含光纤跳线。</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室外铠装光纤（12芯）</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1、12芯室外铠装单模光缆；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2、工作温度覆盖-40℃～+70℃；结构要求：钢带纵包铝-聚乙烯或者钢带纵包聚乙烯双护套；光缆护套颜色黑色，聚乙烯（PE）外护套。</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室外铠装光纤（4芯）</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1、4芯室外铠装单模光缆；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2、工作温度覆盖-40℃～+70℃；结构要求：钢带纵包铝-聚乙烯或者钢带纵包聚乙烯双护套；光缆护套颜色黑色，聚乙烯（PE）外护套。</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光纤配线架</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1、24芯光纤配线架；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2、标准机架式，采用前置面板，保护光纤跳线连接；表面静电喷塑，具有抗腐蚀能力；熔纤盘弯曲半径≥40mm；≥4个进缆孔。</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法兰</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1、双LC接口；材料：陶瓷插芯材料，插入损耗：单模：UPC≤0.35dB。</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97</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光纤尾纤</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1、纤芯材料：G652D单模纤芯；连接器材料：A级陶瓷插芯，外护套材料：环保阻燃PVC外被；连接器类型：LC卡扣式；线长：≥0.5米；</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光纤熔接</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专业机器熔接、配套热缩管、塑料扎带。</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99</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光纤跳线</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长度≥2米，单模9/125um单芯，接头类型：LC。</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光纤接插件</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含SC接口单模尾纤、SC接口单模耦合器、SC接口熔纤盒、相关配件。</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101</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双绞线</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1、六类非屏蔽双绞线，≥305米/箱；</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2、导体23AWG无氧铜，带撕裂绳，带宽≥250MHz，8根芯线采用单股软铜线，每根芯线带有彩色绝缘层。</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102</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室外防水双绞线</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1、六类非屏蔽双绞线，≥305米/箱；</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2、导体23AWG无氧铜，带撕裂绳，带宽≥250MHz；8根芯线采用单股软铜线，每根芯线带有彩色绝缘层。</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103</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六类网络水晶头</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1、性能：传输带宽≥250MHz，≥1000兆数据传输，接点镀金厚度≥50μ(inch)，插拔寿命≥1000次，透明塑胶外壳。</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104</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理线架</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1、标准机架式，全金属材质，支持盖板可拆卸。</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105</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设备箱</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1、不锈钢材质、存放交换机、熔接盒、接线板等，尺寸：≥500*400*300mm；含≥6位五孔接线板、微型断路器C20A2P。</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106</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电源线1</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国标无氧铜护套线，RVV2*2.5mm²。</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107</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电源线2</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国标无氧铜护套线，RVV2*1.5mm²。</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108</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电源线3</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国标无氧铜护套线，RVV3*1.5mm²。</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109</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广播信号线1</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国标无氧铜护套线，RVV2*2.0mm²。</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广播信号线2</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国标无氧铜护套线，RVV2*1.5mm²。</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111</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广播话筒信号线</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50欧同轴线，配套≥4个BNC头</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112</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监控室外机柜</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1、尺寸：600*800*450mm（含6位五孔PDU 1只、微型断路器C16A/2P）；</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2、SPCE镀锌板≥1.5mm，防腐蚀防锈处理，防水，散热，水泥浇灌底座，高于地面≥150mm。</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113</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监控防水箱</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室外监控专用、不锈钢防水材质.</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114</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PDU</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1、安装方式：横向安装，≥6孔位，输出支路电流为220V10A，输出总电流≥32A。</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115</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立杆（长）</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1、立杆上杆76mm+,下杆140mm+；立杆高度3.5-4米可定制；镀锌钢管立杆厚度≥2mm；材质:镀锌钢管材质,整体热镀锌材质，混凝土立杆基础及钢制地笼。</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116</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立杆（短）</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高度：1-1.5米(根据现场需求)；材质：钢制；杆体表面全部热浸镀锌，静电喷塑，高温烤漆处理。</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117</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辅材1</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配套线槽线管，槽孔回填修补，信号线，控制线，设备连接线，接插件，插排，螺丝，辅料等。</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118</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辅材2</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配套线槽线管，槽孔回填修补，信号线，控制线，设备连接线，接插件，插排，螺丝，辅料等。</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119</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辅材3</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配套线槽线管，槽孔回填修补，信号线，控制线，设备连接线，接插件，插排，螺丝，辅料等。</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辅材4</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配套线槽线管，槽孔回填修补，信号线，控制线，设备连接线，接插件，插排，螺丝，辅料等。</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121</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辅材5</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配套线槽线管，槽孔回填修补，信号线，控制线，设备连接线，接插件，插排，螺丝，辅料等。</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122</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辅材6</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配套线槽线管，槽孔回填修补，信号线，控制线，设备连接线，接插件，插排，螺丝，辅料等。</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123</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辅材7</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配套线槽线管，槽孔回填修补，信号线，控制线，设备连接线，接插件，插排，螺丝，辅料等。</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124</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辅材8</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配套线槽线管，槽孔回填修补，信号线，控制线，设备连接线，接插件，插排，螺丝，辅料等。</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辅材9</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配套线槽线管，槽孔回填修补，信号线，控制线，设备连接线，接插件，插排，螺丝，辅料等。</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126</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辅材10</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配套线槽线管，槽孔回填修补，信号线，控制线，设备连接线，接插件，插排，螺丝，辅料等。</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127</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辅材11</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配套线槽线管，槽孔回填修补，信号线，控制线，设备连接线，接插件，插排，螺丝，辅料等。</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128</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设备安装集成与维护1</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含管线铺设、设备集成、调试、用户培训等费用，利旧设备拆除迁移调试费用，安防视频监控点集成167个。</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129</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设备安装集成与维护2</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含管线铺设、设备集成、调试、用户培训等费用，利旧设备拆除迁移调试费用，安防视频监控点集成15个。</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设备安装集成与维护3</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含管线铺设、设备集成、调试、用户培训等费用，利旧设备拆除迁移调试费用，安防视频监控点集成153个。</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131</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设备安装集成与维护4</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含管线铺设、光纤熔接、设备集成、调试、用户培训等费用，利旧设备拆除迁移调试费用，、安防视频监控点集成15个。</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132</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设备安装集成与维护5</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含项目所需配套线槽线管、槽孔回填修补、信号线、螺丝、辅料，设备规范安装、调试、检测，线缆铺设，旧设备与管线拆除，保洁与施工垃圾清运等所有费用。</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设备安装集成与维护6</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含管线铺设、设备集成、调试、用户培训等费用，利旧设备拆除迁移调试费用，安防视频监控点集成36个。</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134</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设备安装集成与维护7</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含管线铺设、设备集成、调试、用户培训等费用，利旧设备拆除迁移调试费用，安防视频监控点集成45个。</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设备安装集成与维护8</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调整监控摄像头的角度，达到最佳覆盖面；调整画面重叠的摄像机位置；调整室外被遮挡的机位，安防视频监控点集成67个。</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136</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设备安装集成与维护9</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含管线铺设、设备集成、调试、用户培训等费用，利旧设备拆除迁移调试费用，安防视频监控点集成27个。</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137</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设备安装集成与维护10</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含管线铺设、设备集成、调试、用户培训等费用，利旧设备拆除迁移调试费用，安防视频监控点集成162个。</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138</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设备安装集成与维护11</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含管线铺设、设备集成、调试、用户培训等费用，利旧设备拆除迁移调试费用，安防视频监控点集成93个。</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139</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设备安装集成与维护12</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含管线铺设、设备集成、调试、用户培训等费用，利旧设备拆除迁移调试费用，安防视频监控点集成25个。</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设备安装集成与维护13</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含管线铺设、设备集成、调试、用户培训等费用，利旧设备拆除迁移调试费用，安防视频监控点集成16个。</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141</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设备安装集成与维护14</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含管线铺设、设备集成、调试、用户培训等费用，利旧设备拆除迁移调试费用，安防视频监控点集成96个。</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142</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设备安装集成与维护15</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含项目所需配套线槽线管、槽孔回填修补、信号线、控制线、设备连接线、接插件、插排、螺丝、辅料，广播设备规范安装、调试，线缆铺设，旧设备与管线拆除，保洁与施工垃圾清运等所有费用。</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143</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设备安装集成与维护16</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含项目所需配套线槽线管、槽孔回填修补、信号线、螺丝、辅料，设备规范安装、调试，线缆铺设，旧设备与管线拆除，保洁与施工垃圾清运等所有费用。</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144</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设备安装集成与维护17</w:t>
            </w:r>
            <w:r>
              <w:rPr>
                <w:rFonts w:hint="eastAsia" w:ascii="宋体" w:hAnsi="宋体" w:eastAsia="宋体" w:cs="宋体"/>
                <w:bCs/>
                <w:color w:val="000000"/>
                <w:sz w:val="21"/>
                <w:szCs w:val="21"/>
                <w:highlight w:val="none"/>
                <w:lang w:val="en-US" w:eastAsia="zh-CN"/>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含项目所需配套线槽线管、槽孔回填修补、信号线、控制线、设备连接线、接插件、插排、螺丝、辅料，管路开挖回填，线缆铺设，广播设备规范安装调试等，旧设备与管线拆除，保洁与施工垃圾清运等所有费用。</w:t>
            </w:r>
            <w:r>
              <w:rPr>
                <w:rFonts w:hint="eastAsia" w:ascii="宋体" w:hAnsi="宋体" w:eastAsia="宋体" w:cs="宋体"/>
                <w:bCs/>
                <w:color w:val="000000"/>
                <w:sz w:val="21"/>
                <w:szCs w:val="21"/>
                <w:highlight w:val="none"/>
                <w:lang w:val="en-US" w:eastAsia="zh-CN"/>
              </w:rPr>
            </w:r>
            <w:r/>
          </w:p>
        </w:tc>
      </w:tr>
      <w:tr>
        <w:trPr>
          <w:trHeight w:val="404"/>
        </w:trPr>
        <w:tc>
          <w:tcPr>
            <w:tcW w:w="64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145</w:t>
            </w:r>
            <w:r>
              <w:rPr>
                <w:rFonts w:hint="eastAsia" w:ascii="宋体" w:hAnsi="宋体" w:eastAsia="宋体" w:cs="宋体"/>
                <w:bCs/>
                <w:color w:val="000000"/>
                <w:sz w:val="21"/>
                <w:szCs w:val="21"/>
                <w:highlight w:val="none"/>
                <w:lang w:val="en-US" w:eastAsia="zh-CN" w:bidi="ar-SA"/>
              </w:rPr>
            </w:r>
            <w:r/>
          </w:p>
        </w:tc>
        <w:tc>
          <w:tcPr>
            <w:tcW w:w="1506"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设备安装集成与维护18</w:t>
            </w:r>
            <w:r>
              <w:rPr>
                <w:rFonts w:hint="eastAsia" w:ascii="宋体" w:hAnsi="宋体" w:eastAsia="宋体" w:cs="宋体"/>
                <w:i w:val="0"/>
                <w:iCs w:val="0"/>
                <w:color w:val="000000"/>
                <w:sz w:val="21"/>
                <w:szCs w:val="21"/>
                <w:highlight w:val="none"/>
                <w:u w:val="none"/>
                <w:lang w:val="en-US" w:eastAsia="zh-CN" w:bidi="ar"/>
              </w:rPr>
            </w:r>
            <w:r/>
          </w:p>
        </w:tc>
        <w:tc>
          <w:tcPr>
            <w:tcW w:w="7913" w:type="dxa"/>
            <w:vAlign w:val="center"/>
            <w:textDirection w:val="lrTb"/>
            <w:noWrap w:val="false"/>
          </w:tcPr>
          <w:p>
            <w:pPr>
              <w:pStyle w:val="927"/>
              <w:jc w:val="left"/>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含管线铺设、设备集成、调试、用户培训等费用，利旧设备拆除迁移调试费用，安防视频监控点集成9个。</w:t>
            </w:r>
            <w:r>
              <w:rPr>
                <w:rFonts w:hint="eastAsia" w:ascii="宋体" w:hAnsi="宋体" w:eastAsia="宋体" w:cs="宋体"/>
                <w:i w:val="0"/>
                <w:iCs w:val="0"/>
                <w:color w:val="000000"/>
                <w:sz w:val="21"/>
                <w:szCs w:val="21"/>
                <w:highlight w:val="none"/>
                <w:u w:val="none"/>
                <w:lang w:val="en-US" w:eastAsia="zh-CN" w:bidi="ar"/>
              </w:rPr>
            </w:r>
            <w:r/>
          </w:p>
        </w:tc>
      </w:tr>
    </w:tbl>
    <w:p>
      <w:pPr>
        <w:pStyle w:val="927"/>
        <w:ind w:firstLine="48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 w:val="0"/>
          <w:bCs w:val="0"/>
          <w:i w:val="0"/>
          <w:iCs w:val="0"/>
          <w:color w:val="000000"/>
          <w:sz w:val="21"/>
          <w:szCs w:val="21"/>
          <w:highlight w:val="none"/>
          <w:u w:val="none"/>
          <w:lang w:val="en-US" w:eastAsia="zh-CN"/>
        </w:rPr>
        <w:t xml:space="preserve">★</w:t>
      </w:r>
      <w:r>
        <w:rPr>
          <w:rFonts w:hint="eastAsia" w:ascii="宋体" w:hAnsi="宋体" w:eastAsia="宋体" w:cs="宋体"/>
          <w:bCs/>
          <w:color w:val="000000"/>
          <w:sz w:val="21"/>
          <w:szCs w:val="21"/>
          <w:highlight w:val="none"/>
        </w:rPr>
        <w:t xml:space="preserve">（二）商务要求</w:t>
      </w:r>
      <w:r>
        <w:rPr>
          <w:rFonts w:hint="eastAsia" w:ascii="宋体" w:hAnsi="宋体" w:eastAsia="宋体" w:cs="宋体"/>
          <w:bCs/>
          <w:color w:val="000000"/>
          <w:sz w:val="21"/>
          <w:szCs w:val="21"/>
          <w:highlight w:val="none"/>
        </w:rPr>
      </w:r>
      <w:r/>
    </w:p>
    <w:p>
      <w:pPr>
        <w:pStyle w:val="927"/>
        <w:ind w:firstLine="48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1.报价要求</w:t>
      </w:r>
      <w:r>
        <w:rPr>
          <w:rFonts w:hint="eastAsia" w:ascii="宋体" w:hAnsi="宋体" w:eastAsia="宋体" w:cs="宋体"/>
          <w:color w:val="000000"/>
          <w:sz w:val="21"/>
          <w:szCs w:val="21"/>
          <w:highlight w:val="none"/>
          <w:lang w:val="en-US" w:eastAsia="zh-CN"/>
        </w:rPr>
      </w:r>
      <w:r/>
    </w:p>
    <w:p>
      <w:pPr>
        <w:pStyle w:val="927"/>
        <w:ind w:firstLine="48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color w:val="000000"/>
          <w:sz w:val="21"/>
          <w:szCs w:val="21"/>
          <w:highlight w:val="none"/>
          <w:lang w:val="en-US" w:eastAsia="zh-CN"/>
        </w:rPr>
      </w:r>
      <w:r/>
    </w:p>
    <w:p>
      <w:pPr>
        <w:pStyle w:val="927"/>
        <w:ind w:firstLine="48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（2）供应商的任何错漏、优惠、竞争性报价不得作为减轻责任、减少服务、增加收费、降低服务质量的理由。</w:t>
      </w:r>
      <w:r>
        <w:rPr>
          <w:rFonts w:hint="eastAsia" w:ascii="宋体" w:hAnsi="宋体" w:eastAsia="宋体" w:cs="宋体"/>
          <w:color w:val="000000"/>
          <w:sz w:val="21"/>
          <w:szCs w:val="21"/>
          <w:highlight w:val="none"/>
          <w:lang w:val="en-US" w:eastAsia="zh-CN"/>
        </w:rPr>
      </w:r>
      <w:r/>
    </w:p>
    <w:p>
      <w:pPr>
        <w:pStyle w:val="927"/>
        <w:ind w:firstLine="480"/>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eastAsia="宋体" w:cs="宋体"/>
          <w:b w:val="0"/>
          <w:bCs w:val="0"/>
          <w:color w:val="000000"/>
          <w:sz w:val="21"/>
          <w:szCs w:val="21"/>
          <w:highlight w:val="none"/>
          <w:lang w:val="en-US" w:eastAsia="zh-CN"/>
        </w:rPr>
      </w:r>
      <w:r/>
    </w:p>
    <w:p>
      <w:pPr>
        <w:pStyle w:val="927"/>
        <w:ind w:firstLine="480"/>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2.实施要求</w:t>
      </w:r>
      <w:r>
        <w:rPr>
          <w:rFonts w:hint="eastAsia" w:ascii="宋体" w:hAnsi="宋体" w:eastAsia="宋体" w:cs="宋体"/>
          <w:b w:val="0"/>
          <w:bCs w:val="0"/>
          <w:color w:val="000000"/>
          <w:sz w:val="21"/>
          <w:szCs w:val="21"/>
          <w:highlight w:val="none"/>
          <w:lang w:val="en-US" w:eastAsia="zh-CN"/>
        </w:rPr>
      </w:r>
      <w:r/>
    </w:p>
    <w:p>
      <w:pPr>
        <w:pStyle w:val="927"/>
        <w:ind w:firstLine="480"/>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（1）总体要求</w:t>
      </w:r>
      <w:r>
        <w:rPr>
          <w:rFonts w:hint="eastAsia" w:ascii="宋体" w:hAnsi="宋体" w:eastAsia="宋体" w:cs="宋体"/>
          <w:b w:val="0"/>
          <w:bCs w:val="0"/>
          <w:color w:val="000000"/>
          <w:sz w:val="21"/>
          <w:szCs w:val="21"/>
          <w:highlight w:val="none"/>
          <w:lang w:val="en-US" w:eastAsia="zh-CN"/>
        </w:rPr>
      </w:r>
      <w:r/>
    </w:p>
    <w:p>
      <w:pPr>
        <w:pStyle w:val="927"/>
        <w:ind w:firstLine="480"/>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①供应商中标后提供设备安装日程计划。</w:t>
      </w:r>
      <w:r>
        <w:rPr>
          <w:rFonts w:hint="eastAsia" w:ascii="宋体" w:hAnsi="宋体" w:eastAsia="宋体" w:cs="宋体"/>
          <w:b w:val="0"/>
          <w:bCs w:val="0"/>
          <w:color w:val="000000"/>
          <w:sz w:val="21"/>
          <w:szCs w:val="21"/>
          <w:highlight w:val="none"/>
          <w:lang w:val="en-US" w:eastAsia="zh-CN"/>
        </w:rPr>
      </w:r>
      <w:r/>
    </w:p>
    <w:p>
      <w:pPr>
        <w:pStyle w:val="927"/>
        <w:ind w:firstLine="480"/>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②供应商应及时与采购人联系，对本项目所有产品的规格尺寸、款式、颜色等要求进一步确认，得到采购人的签字盖章认可后方可生产，并确保产品质量。</w:t>
      </w:r>
      <w:r>
        <w:rPr>
          <w:rFonts w:hint="eastAsia" w:ascii="宋体" w:hAnsi="宋体" w:eastAsia="宋体" w:cs="宋体"/>
          <w:b w:val="0"/>
          <w:bCs w:val="0"/>
          <w:color w:val="000000"/>
          <w:sz w:val="21"/>
          <w:szCs w:val="21"/>
          <w:highlight w:val="none"/>
          <w:lang w:val="en-US" w:eastAsia="zh-CN"/>
        </w:rPr>
      </w:r>
      <w:r/>
    </w:p>
    <w:p>
      <w:pPr>
        <w:pStyle w:val="927"/>
        <w:ind w:firstLine="480"/>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（2）质量要求</w:t>
      </w:r>
      <w:r>
        <w:rPr>
          <w:rFonts w:hint="eastAsia" w:ascii="宋体" w:hAnsi="宋体" w:eastAsia="宋体" w:cs="宋体"/>
          <w:b w:val="0"/>
          <w:bCs w:val="0"/>
          <w:color w:val="000000"/>
          <w:sz w:val="21"/>
          <w:szCs w:val="21"/>
          <w:highlight w:val="none"/>
          <w:lang w:val="en-US" w:eastAsia="zh-CN"/>
        </w:rPr>
      </w:r>
      <w:r/>
    </w:p>
    <w:p>
      <w:pPr>
        <w:pStyle w:val="927"/>
        <w:ind w:firstLine="480"/>
        <w:keepLines w:val="0"/>
        <w:keepNext w:val="0"/>
        <w:pageBreakBefore w:val="0"/>
        <w:spacing w:line="360" w:lineRule="auto"/>
        <w:widowControl w:val="off"/>
        <w:rPr>
          <w:rFonts w:hint="eastAsia" w:ascii="宋体" w:hAnsi="宋体" w:eastAsia="宋体" w:cs="宋体"/>
          <w:b w:val="0"/>
          <w:bCs w:val="0"/>
          <w:color w:val="0000ff"/>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所供产品必须是全新的原装正品，符合国家规定的质量标准，不得私自添加或更改，保证所有产品原材料及部件均是全新的纯正部件，不得以废、旧材料制作，产品必须符合家具行业设计及采购人的品质要求。交货时所有货物应完好，物品配件齐全，否则视为不合格产品。</w:t>
      </w:r>
      <w:r>
        <w:rPr>
          <w:rFonts w:hint="eastAsia" w:ascii="宋体" w:hAnsi="宋体" w:eastAsia="宋体" w:cs="宋体"/>
          <w:b w:val="0"/>
          <w:bCs w:val="0"/>
          <w:color w:val="0000ff"/>
          <w:sz w:val="21"/>
          <w:szCs w:val="21"/>
          <w:highlight w:val="none"/>
          <w:lang w:val="en-US" w:eastAsia="zh-CN"/>
        </w:rPr>
      </w:r>
      <w:r/>
    </w:p>
    <w:p>
      <w:pPr>
        <w:pStyle w:val="927"/>
        <w:ind w:firstLine="480"/>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(3)安全实施要求</w:t>
      </w:r>
      <w:r>
        <w:rPr>
          <w:rFonts w:hint="eastAsia" w:ascii="宋体" w:hAnsi="宋体" w:eastAsia="宋体" w:cs="宋体"/>
          <w:b w:val="0"/>
          <w:bCs w:val="0"/>
          <w:color w:val="000000"/>
          <w:sz w:val="21"/>
          <w:szCs w:val="21"/>
          <w:highlight w:val="none"/>
          <w:lang w:val="en-US" w:eastAsia="zh-CN"/>
        </w:rPr>
      </w:r>
      <w:r/>
    </w:p>
    <w:p>
      <w:pPr>
        <w:pStyle w:val="927"/>
        <w:ind w:firstLine="480"/>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供应商应采取安全措施，确保项目实施安全。因本项目实施产生的实施人员和学校师生人身安全问题由供应商承担全部责任。</w:t>
      </w:r>
      <w:r>
        <w:rPr>
          <w:rFonts w:hint="eastAsia" w:ascii="宋体" w:hAnsi="宋体" w:eastAsia="宋体" w:cs="宋体"/>
          <w:b w:val="0"/>
          <w:bCs w:val="0"/>
          <w:color w:val="000000"/>
          <w:sz w:val="21"/>
          <w:szCs w:val="21"/>
          <w:highlight w:val="none"/>
          <w:lang w:val="en-US" w:eastAsia="zh-CN"/>
        </w:rPr>
      </w:r>
      <w:r/>
    </w:p>
    <w:p>
      <w:pPr>
        <w:pStyle w:val="927"/>
        <w:ind w:firstLine="480"/>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（4）验收要求</w:t>
      </w:r>
      <w:r>
        <w:rPr>
          <w:rFonts w:hint="eastAsia" w:ascii="宋体" w:hAnsi="宋体" w:eastAsia="宋体" w:cs="宋体"/>
          <w:b w:val="0"/>
          <w:bCs w:val="0"/>
          <w:color w:val="000000"/>
          <w:sz w:val="21"/>
          <w:szCs w:val="21"/>
          <w:highlight w:val="none"/>
          <w:lang w:val="en-US" w:eastAsia="zh-CN"/>
        </w:rPr>
      </w:r>
      <w:r/>
    </w:p>
    <w:p>
      <w:pPr>
        <w:pStyle w:val="927"/>
        <w:ind w:firstLine="480"/>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因产品质量或安装不当导致验收不合格，应及时处理直至验收合格，期间产生的一切费用由供应商承担;若二次验收不合格，采购人有权退货。采购人在此期间保留对供应商的索赔权利。</w:t>
      </w:r>
      <w:r>
        <w:rPr>
          <w:rFonts w:hint="eastAsia" w:ascii="宋体" w:hAnsi="宋体" w:eastAsia="宋体" w:cs="宋体"/>
          <w:b w:val="0"/>
          <w:bCs w:val="0"/>
          <w:color w:val="000000"/>
          <w:sz w:val="21"/>
          <w:szCs w:val="21"/>
          <w:highlight w:val="none"/>
          <w:lang w:val="en-US" w:eastAsia="zh-CN"/>
        </w:rPr>
      </w:r>
      <w:r/>
    </w:p>
    <w:p>
      <w:pPr>
        <w:pStyle w:val="927"/>
        <w:ind w:firstLine="480"/>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安装完毕后，供应商主动配合采购人组织的验收小组进行验收，提供制成品现场抽测的相关质量检测报告，如检测达不到质量和环保要求，采购人有权退货，供应商承担采购人由此而造成的相关损失。</w:t>
      </w:r>
      <w:r>
        <w:rPr>
          <w:rFonts w:hint="eastAsia" w:ascii="宋体" w:hAnsi="宋体" w:eastAsia="宋体" w:cs="宋体"/>
          <w:b w:val="0"/>
          <w:bCs w:val="0"/>
          <w:color w:val="000000"/>
          <w:sz w:val="21"/>
          <w:szCs w:val="21"/>
          <w:highlight w:val="none"/>
          <w:lang w:val="en-US" w:eastAsia="zh-CN"/>
        </w:rPr>
      </w:r>
      <w:r/>
    </w:p>
    <w:p>
      <w:pPr>
        <w:pStyle w:val="927"/>
        <w:ind w:firstLine="480"/>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（5）质保（维保）及售后要求</w:t>
      </w:r>
      <w:r>
        <w:rPr>
          <w:rFonts w:hint="eastAsia" w:ascii="宋体" w:hAnsi="宋体" w:eastAsia="宋体" w:cs="宋体"/>
          <w:b w:val="0"/>
          <w:bCs w:val="0"/>
          <w:color w:val="000000"/>
          <w:sz w:val="21"/>
          <w:szCs w:val="21"/>
          <w:highlight w:val="none"/>
          <w:lang w:val="en-US" w:eastAsia="zh-CN"/>
        </w:rPr>
      </w:r>
      <w:r/>
    </w:p>
    <w:p>
      <w:pPr>
        <w:pStyle w:val="927"/>
        <w:ind w:firstLine="480"/>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①本项目所有产品质保期限不低于六年(自验收报告签字确认之日起，开始进入质保期）。质保期内，每年维护保养1次，维护保养及更换损坏件的费用包含在投标总价中。</w:t>
      </w:r>
      <w:r>
        <w:rPr>
          <w:rFonts w:hint="eastAsia" w:ascii="宋体" w:hAnsi="宋体" w:eastAsia="宋体" w:cs="宋体"/>
          <w:b w:val="0"/>
          <w:bCs w:val="0"/>
          <w:color w:val="000000"/>
          <w:sz w:val="21"/>
          <w:szCs w:val="21"/>
          <w:highlight w:val="none"/>
          <w:lang w:val="en-US" w:eastAsia="zh-CN"/>
        </w:rPr>
      </w:r>
      <w:r/>
    </w:p>
    <w:p>
      <w:pPr>
        <w:pStyle w:val="927"/>
        <w:ind w:firstLine="480"/>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②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产品的一切质量问题，更换部件及产品本身质量原因造成的直接经济损失全部由供应商负责。无法短时间完成维修的，应向采购人提供应急备用产品。 </w:t>
      </w:r>
      <w:r>
        <w:rPr>
          <w:rFonts w:hint="eastAsia" w:ascii="宋体" w:hAnsi="宋体" w:eastAsia="宋体" w:cs="宋体"/>
          <w:b w:val="0"/>
          <w:bCs w:val="0"/>
          <w:color w:val="000000"/>
          <w:sz w:val="21"/>
          <w:szCs w:val="21"/>
          <w:highlight w:val="none"/>
          <w:lang w:val="en-US" w:eastAsia="zh-CN"/>
        </w:rPr>
      </w:r>
      <w:r/>
    </w:p>
    <w:p>
      <w:pPr>
        <w:pStyle w:val="927"/>
        <w:ind w:firstLine="480"/>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③质保期内维修（人为因素除外）费用包含在投标总价中，质保期外提供不高于市场价格的终身维护。中标后提供质保期外配件价格明细表。</w:t>
      </w:r>
      <w:r>
        <w:rPr>
          <w:rFonts w:hint="eastAsia" w:ascii="宋体" w:hAnsi="宋体" w:eastAsia="宋体" w:cs="宋体"/>
          <w:b w:val="0"/>
          <w:bCs w:val="0"/>
          <w:color w:val="000000"/>
          <w:sz w:val="21"/>
          <w:szCs w:val="21"/>
          <w:highlight w:val="none"/>
          <w:lang w:val="en-US" w:eastAsia="zh-CN"/>
        </w:rPr>
      </w:r>
      <w:r/>
    </w:p>
    <w:p>
      <w:pPr>
        <w:pStyle w:val="927"/>
        <w:ind w:firstLine="480"/>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（6）人员要求</w:t>
      </w:r>
      <w:r>
        <w:rPr>
          <w:rFonts w:hint="eastAsia" w:ascii="宋体" w:hAnsi="宋体" w:eastAsia="宋体" w:cs="宋体"/>
          <w:b w:val="0"/>
          <w:bCs w:val="0"/>
          <w:color w:val="000000"/>
          <w:sz w:val="21"/>
          <w:szCs w:val="21"/>
          <w:highlight w:val="none"/>
          <w:lang w:val="en-US" w:eastAsia="zh-CN"/>
        </w:rPr>
      </w:r>
      <w:r/>
    </w:p>
    <w:p>
      <w:pPr>
        <w:pStyle w:val="927"/>
        <w:ind w:firstLine="480"/>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本项目实施团队人员不少于4人，其中包括项目负责人1人。</w:t>
      </w:r>
      <w:r>
        <w:rPr>
          <w:rFonts w:hint="eastAsia" w:ascii="宋体" w:hAnsi="宋体" w:eastAsia="宋体" w:cs="宋体"/>
          <w:b w:val="0"/>
          <w:bCs w:val="0"/>
          <w:color w:val="000000"/>
          <w:sz w:val="21"/>
          <w:szCs w:val="21"/>
          <w:highlight w:val="none"/>
          <w:lang w:val="en-US" w:eastAsia="zh-CN"/>
        </w:rPr>
      </w:r>
      <w:r/>
    </w:p>
    <w:p>
      <w:pPr>
        <w:pStyle w:val="927"/>
        <w:ind w:firstLine="480"/>
        <w:keepLines w:val="0"/>
        <w:keepNext w:val="0"/>
        <w:pageBreakBefore w:val="0"/>
        <w:spacing w:line="360" w:lineRule="auto"/>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3.付款条件</w:t>
      </w:r>
      <w:r>
        <w:rPr>
          <w:rFonts w:hint="eastAsia" w:ascii="宋体" w:hAnsi="宋体" w:eastAsia="宋体" w:cs="宋体"/>
          <w:bCs/>
          <w:color w:val="000000"/>
          <w:sz w:val="21"/>
          <w:szCs w:val="21"/>
          <w:highlight w:val="none"/>
          <w:lang w:val="en-US" w:eastAsia="zh-CN"/>
        </w:rPr>
      </w:r>
      <w:r/>
    </w:p>
    <w:p>
      <w:pPr>
        <w:pStyle w:val="927"/>
        <w:ind w:firstLine="48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以第三章合同文本内容为准。</w:t>
      </w:r>
      <w:r>
        <w:rPr>
          <w:rFonts w:hint="eastAsia" w:ascii="宋体" w:hAnsi="宋体" w:eastAsia="宋体" w:cs="宋体"/>
          <w:color w:val="000000"/>
          <w:sz w:val="21"/>
          <w:szCs w:val="21"/>
          <w:highlight w:val="none"/>
          <w:lang w:val="en-US" w:eastAsia="zh-CN"/>
        </w:rPr>
      </w:r>
      <w:r/>
    </w:p>
    <w:p>
      <w:pPr>
        <w:pStyle w:val="927"/>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交付时间及地点</w:t>
      </w:r>
      <w:r>
        <w:rPr>
          <w:rFonts w:hint="eastAsia" w:ascii="宋体" w:hAnsi="宋体" w:eastAsia="宋体" w:cs="宋体"/>
          <w:color w:val="000000"/>
          <w:sz w:val="21"/>
          <w:szCs w:val="21"/>
          <w:highlight w:val="none"/>
        </w:rPr>
      </w:r>
      <w:r/>
    </w:p>
    <w:p>
      <w:pPr>
        <w:pStyle w:val="927"/>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（1）交付时间：合同签订后</w:t>
      </w:r>
      <w:r>
        <w:rPr>
          <w:rFonts w:hint="eastAsia" w:ascii="宋体" w:hAnsi="宋体" w:eastAsia="宋体" w:cs="宋体"/>
          <w:bCs/>
          <w:color w:val="000000"/>
          <w:sz w:val="21"/>
          <w:szCs w:val="21"/>
          <w:highlight w:val="none"/>
          <w:lang w:val="en-US" w:eastAsia="zh-CN"/>
        </w:rPr>
        <w:t xml:space="preserve">45</w:t>
      </w:r>
      <w:r>
        <w:rPr>
          <w:rFonts w:hint="eastAsia" w:ascii="宋体" w:hAnsi="宋体" w:eastAsia="宋体" w:cs="宋体"/>
          <w:color w:val="000000"/>
          <w:sz w:val="21"/>
          <w:szCs w:val="21"/>
          <w:highlight w:val="none"/>
        </w:rPr>
        <w:t xml:space="preserve">天内交付并完成安装调试及验收等相关工作</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927"/>
        <w:ind w:firstLine="48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（2）交付地点：采购人指定地点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27"/>
        <w:ind w:firstLine="48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5.其他要求</w:t>
      </w:r>
      <w:r>
        <w:rPr>
          <w:rFonts w:hint="eastAsia" w:ascii="宋体" w:hAnsi="宋体" w:eastAsia="宋体" w:cs="宋体"/>
          <w:color w:val="000000"/>
          <w:sz w:val="21"/>
          <w:szCs w:val="21"/>
          <w:highlight w:val="none"/>
          <w:lang w:val="en-US" w:eastAsia="zh-CN"/>
        </w:rPr>
      </w:r>
      <w:r/>
    </w:p>
    <w:p>
      <w:pPr>
        <w:pStyle w:val="927"/>
        <w:ind w:firstLine="48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招标文件中要求提供证明材料的，供应商签订合同时应按招标文件要求和投标文件响应内容向采购人提供相应证明材料核验。供应商未按招标文件要求和投标文件响应内容提供相应证明材料或者提供的证明材料不符合招标文件要求的，视为提供虚假材料谋取中标，采购人将取消其中标资格。</w:t>
      </w:r>
      <w:r>
        <w:rPr>
          <w:rFonts w:hint="eastAsia" w:ascii="宋体" w:hAnsi="宋体" w:eastAsia="宋体" w:cs="宋体"/>
          <w:color w:val="000000"/>
          <w:sz w:val="21"/>
          <w:szCs w:val="21"/>
          <w:highlight w:val="none"/>
          <w:lang w:val="en-US" w:eastAsia="zh-CN"/>
        </w:rPr>
      </w:r>
      <w:r/>
    </w:p>
    <w:p>
      <w:pPr>
        <w:pStyle w:val="927"/>
        <w:ind w:firstLine="48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招标文件评标方法与评标标准中涉及的相关证明材料，应在投标文件中提供，并由评审委员会在评审现场予以确认，否则无法得到相应分值。</w:t>
      </w:r>
      <w:r>
        <w:rPr>
          <w:rFonts w:hint="eastAsia" w:ascii="宋体" w:hAnsi="宋体" w:eastAsia="宋体" w:cs="宋体"/>
          <w:color w:val="000000"/>
          <w:sz w:val="21"/>
          <w:szCs w:val="21"/>
          <w:highlight w:val="none"/>
          <w:lang w:val="en-US" w:eastAsia="zh-CN"/>
        </w:rPr>
      </w:r>
      <w:r/>
    </w:p>
    <w:p>
      <w:pPr>
        <w:pStyle w:val="927"/>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rPr>
        <w:t xml:space="preserve">演示要求</w:t>
      </w:r>
      <w:r>
        <w:rPr>
          <w:rFonts w:hint="eastAsia" w:ascii="宋体" w:hAnsi="宋体" w:eastAsia="宋体" w:cs="宋体"/>
          <w:color w:val="000000"/>
          <w:sz w:val="21"/>
          <w:szCs w:val="21"/>
          <w:highlight w:val="none"/>
        </w:rPr>
      </w:r>
      <w:r/>
    </w:p>
    <w:p>
      <w:pPr>
        <w:pStyle w:val="927"/>
        <w:ind w:firstLine="48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视频文件的格式为*.mp4或*.avi，</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须将视频文件压缩为*.zip文件上传（单个文件不得大于50M，所有文件</w:t>
      </w:r>
      <w:r>
        <w:rPr>
          <w:rFonts w:hint="eastAsia" w:ascii="宋体" w:hAnsi="宋体" w:eastAsia="宋体" w:cs="宋体"/>
          <w:color w:val="000000"/>
          <w:sz w:val="21"/>
          <w:szCs w:val="21"/>
          <w:highlight w:val="none"/>
          <w:lang w:val="en-US" w:eastAsia="zh-CN"/>
        </w:rPr>
        <w:t xml:space="preserve">合计</w:t>
      </w:r>
      <w:r>
        <w:rPr>
          <w:rFonts w:hint="eastAsia" w:ascii="宋体" w:hAnsi="宋体" w:eastAsia="宋体" w:cs="宋体"/>
          <w:color w:val="000000"/>
          <w:sz w:val="21"/>
          <w:szCs w:val="21"/>
          <w:highlight w:val="none"/>
        </w:rPr>
        <w:t xml:space="preserve">不得大于300M）。文件上传方式见《操作手册》，上传的演示视频将作为投标文件的组成部分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视频时长总计不超过</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分钟</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p>
      <w:pPr>
        <w:pStyle w:val="927"/>
        <w:ind w:firstLine="48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2.演示内容详见“第三章  评标方法、评分标准”。</w:t>
      </w:r>
      <w:r>
        <w:rPr>
          <w:rFonts w:hint="eastAsia" w:ascii="宋体" w:hAnsi="宋体" w:eastAsia="宋体" w:cs="宋体"/>
          <w:color w:val="000000"/>
          <w:sz w:val="21"/>
          <w:szCs w:val="21"/>
          <w:highlight w:val="none"/>
          <w:lang w:val="en-US" w:eastAsia="zh-CN"/>
        </w:rPr>
      </w:r>
      <w:r/>
    </w:p>
    <w:p>
      <w:pPr>
        <w:pStyle w:val="927"/>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27"/>
        <w:jc w:val="left"/>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927"/>
        <w:jc w:val="left"/>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927"/>
        <w:jc w:val="left"/>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927"/>
        <w:jc w:val="left"/>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927"/>
        <w:jc w:val="left"/>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927"/>
        <w:ind w:left="482"/>
        <w:jc w:val="center"/>
        <w:spacing w:line="420" w:lineRule="exact"/>
        <w:rPr>
          <w:rFonts w:hint="eastAsia" w:ascii="黑体" w:hAnsi="宋体" w:eastAsia="黑体"/>
          <w:b/>
          <w:bCs/>
          <w:sz w:val="32"/>
          <w:szCs w:val="32"/>
          <w:highlight w:val="none"/>
        </w:rPr>
        <w:outlineLvl w:val="0"/>
      </w:pPr>
      <w:r>
        <w:rPr>
          <w:rFonts w:hint="eastAsia" w:ascii="黑体" w:hAnsi="宋体" w:eastAsia="黑体"/>
          <w:b/>
          <w:bCs/>
          <w:sz w:val="32"/>
          <w:szCs w:val="32"/>
          <w:highlight w:val="none"/>
        </w:rPr>
        <w:br w:type="page" w:clear="all"/>
      </w:r>
      <w:r>
        <w:rPr>
          <w:rFonts w:hint="eastAsia" w:ascii="黑体" w:hAnsi="宋体" w:eastAsia="黑体"/>
          <w:b/>
          <w:bCs/>
          <w:sz w:val="32"/>
          <w:szCs w:val="32"/>
          <w:highlight w:val="none"/>
        </w:rPr>
        <w:t xml:space="preserve">第五章</w:t>
      </w:r>
      <w:r>
        <w:rPr>
          <w:rFonts w:ascii="黑体" w:hAnsi="宋体" w:eastAsia="黑体"/>
          <w:b/>
          <w:bCs/>
          <w:sz w:val="32"/>
          <w:szCs w:val="32"/>
          <w:highlight w:val="none"/>
        </w:rPr>
        <w:t xml:space="preserve">  </w:t>
      </w:r>
      <w:r>
        <w:rPr>
          <w:rFonts w:hint="eastAsia" w:ascii="黑体" w:hAnsi="宋体" w:eastAsia="黑体"/>
          <w:b/>
          <w:bCs/>
          <w:sz w:val="32"/>
          <w:szCs w:val="32"/>
          <w:highlight w:val="none"/>
        </w:rPr>
        <w:t xml:space="preserve">合同条款</w:t>
      </w:r>
      <w:r>
        <w:rPr>
          <w:rFonts w:hint="eastAsia" w:ascii="黑体" w:hAnsi="宋体" w:eastAsia="黑体"/>
          <w:b/>
          <w:bCs/>
          <w:sz w:val="32"/>
          <w:szCs w:val="32"/>
          <w:highlight w:val="none"/>
        </w:rPr>
      </w:r>
      <w:r/>
    </w:p>
    <w:p>
      <w:pPr>
        <w:pStyle w:val="927"/>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t xml:space="preserve">政府采购合同（货物）</w:t>
      </w:r>
      <w:r>
        <w:rPr>
          <w:rFonts w:hint="eastAsia" w:ascii="方正小标宋简体" w:hAnsi="方正小标宋简体" w:eastAsia="方正小标宋简体" w:cs="方正小标宋简体"/>
          <w:b w:val="0"/>
          <w:bCs/>
          <w:color w:val="000000"/>
          <w:sz w:val="32"/>
          <w:szCs w:val="32"/>
          <w:highlight w:val="none"/>
        </w:rPr>
      </w:r>
      <w:r/>
    </w:p>
    <w:p>
      <w:pPr>
        <w:pStyle w:val="927"/>
        <w:jc w:val="left"/>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outlineLvl w:val="9"/>
      </w:pPr>
      <w:r>
        <w:rPr>
          <w:rFonts w:hint="eastAsia" w:ascii="宋体" w:hAnsi="宋体" w:eastAsia="宋体" w:cs="宋体"/>
          <w:b w:val="0"/>
          <w:color w:val="000000"/>
          <w:sz w:val="21"/>
          <w:szCs w:val="21"/>
          <w:highlight w:val="none"/>
        </w:rPr>
        <w:t xml:space="preserve">合同编号</w:t>
      </w:r>
      <w:r>
        <w:rPr>
          <w:rFonts w:hint="eastAsia" w:ascii="宋体" w:hAnsi="宋体" w:eastAsia="宋体" w:cs="宋体"/>
          <w:b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r>
      <w:r/>
    </w:p>
    <w:p>
      <w:pPr>
        <w:pStyle w:val="927"/>
        <w:keepLines w:val="0"/>
        <w:keepNext w:val="0"/>
        <w:pageBreakBefore w:val="0"/>
        <w:spacing w:before="0" w:after="0"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项目名称：                                       项目编号：</w:t>
      </w:r>
      <w:r>
        <w:rPr>
          <w:rFonts w:hint="eastAsia" w:ascii="宋体" w:hAnsi="宋体" w:eastAsia="宋体" w:cs="宋体"/>
          <w:color w:val="000000"/>
          <w:sz w:val="21"/>
          <w:szCs w:val="21"/>
          <w:highlight w:val="none"/>
        </w:rPr>
      </w:r>
      <w:r/>
    </w:p>
    <w:p>
      <w:pPr>
        <w:pStyle w:val="927"/>
        <w:jc w:val="left"/>
        <w:keepLines w:val="0"/>
        <w:keepNext w:val="0"/>
        <w:pageBreakBefore w:val="0"/>
        <w:spacing w:before="0" w:after="0"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甲方（买方）：</w:t>
      </w:r>
      <w:r>
        <w:rPr>
          <w:rFonts w:hint="eastAsia" w:ascii="宋体" w:hAnsi="宋体" w:eastAsia="宋体" w:cs="宋体"/>
          <w:color w:val="000000"/>
          <w:sz w:val="21"/>
          <w:szCs w:val="21"/>
          <w:highlight w:val="none"/>
        </w:rPr>
      </w:r>
      <w:r/>
    </w:p>
    <w:p>
      <w:pPr>
        <w:pStyle w:val="927"/>
        <w:jc w:val="left"/>
        <w:keepLines w:val="0"/>
        <w:keepNext w:val="0"/>
        <w:pageBreakBefore w:val="0"/>
        <w:spacing w:before="0" w:after="0"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乙方（卖方）：</w:t>
      </w:r>
      <w:r>
        <w:rPr>
          <w:rFonts w:hint="eastAsia" w:ascii="宋体" w:hAnsi="宋体" w:eastAsia="宋体" w:cs="宋体"/>
          <w:color w:val="000000"/>
          <w:sz w:val="21"/>
          <w:szCs w:val="21"/>
          <w:highlight w:val="none"/>
        </w:rPr>
      </w:r>
      <w:r/>
    </w:p>
    <w:p>
      <w:pPr>
        <w:pStyle w:val="927"/>
        <w:keepLines w:val="0"/>
        <w:keepNext w:val="0"/>
        <w:pageBreakBefore w:val="0"/>
        <w:spacing w:before="0" w:after="0"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   </w:t>
      </w:r>
      <w:r>
        <w:rPr>
          <w:rFonts w:hint="eastAsia" w:ascii="宋体" w:hAnsi="宋体" w:eastAsia="宋体" w:cs="宋体"/>
          <w:b/>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甲、乙双方根据</w:t>
      </w:r>
      <w:r>
        <w:rPr>
          <w:rFonts w:hint="eastAsia" w:ascii="宋体" w:hAnsi="宋体" w:eastAsia="宋体" w:cs="宋体"/>
          <w:color w:val="000000"/>
          <w:sz w:val="21"/>
          <w:szCs w:val="21"/>
          <w:highlight w:val="none"/>
          <w:lang w:eastAsia="zh-CN"/>
        </w:rPr>
        <w:t xml:space="preserve">苏美达国际技术贸易有限公司</w:t>
      </w:r>
      <w:r>
        <w:rPr>
          <w:rFonts w:hint="eastAsia" w:ascii="宋体" w:hAnsi="宋体" w:eastAsia="宋体" w:cs="宋体"/>
          <w:color w:val="000000"/>
          <w:sz w:val="21"/>
          <w:szCs w:val="21"/>
          <w:highlight w:val="none"/>
          <w:u w:val="none"/>
          <w:lang w:val="en-US" w:eastAsia="zh-CN"/>
        </w:rPr>
        <w:t xml:space="preserve">组织的</w:t>
      </w:r>
      <w:r>
        <w:rPr>
          <w:rFonts w:hint="eastAsia" w:ascii="宋体" w:hAnsi="宋体" w:eastAsia="宋体" w:cs="宋体"/>
          <w:sz w:val="21"/>
          <w:szCs w:val="21"/>
          <w:highlight w:val="none"/>
        </w:rPr>
        <w:t xml:space="preserve">____________________</w:t>
      </w:r>
      <w:r>
        <w:rPr>
          <w:rFonts w:hint="eastAsia" w:ascii="宋体" w:hAnsi="宋体" w:eastAsia="宋体" w:cs="宋体"/>
          <w:color w:val="000000"/>
          <w:sz w:val="21"/>
          <w:szCs w:val="21"/>
          <w:highlight w:val="none"/>
        </w:rPr>
        <w:t xml:space="preserve">项目公开招标结果</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签署本合同。</w:t>
      </w:r>
      <w:r>
        <w:rPr>
          <w:rFonts w:hint="eastAsia" w:ascii="宋体" w:hAnsi="宋体" w:eastAsia="宋体" w:cs="宋体"/>
          <w:b/>
          <w:color w:val="000000"/>
          <w:sz w:val="21"/>
          <w:szCs w:val="21"/>
          <w:highlight w:val="none"/>
        </w:rPr>
      </w:r>
      <w:r/>
    </w:p>
    <w:p>
      <w:pPr>
        <w:pStyle w:val="927"/>
        <w:keepLines w:val="0"/>
        <w:keepNext w:val="0"/>
        <w:pageBreakBefore w:val="0"/>
        <w:spacing w:before="0" w:after="0" w:line="360" w:lineRule="auto"/>
        <w:widowControl w:val="off"/>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一、合同内容</w:t>
      </w:r>
      <w:r>
        <w:rPr>
          <w:rFonts w:hint="eastAsia" w:ascii="宋体" w:hAnsi="宋体" w:eastAsia="宋体" w:cs="宋体"/>
          <w:b w:val="0"/>
          <w:bCs/>
          <w:color w:val="000000"/>
          <w:sz w:val="21"/>
          <w:szCs w:val="21"/>
          <w:highlight w:val="none"/>
        </w:rPr>
      </w:r>
      <w:r/>
    </w:p>
    <w:p>
      <w:pPr>
        <w:pStyle w:val="927"/>
        <w:keepLines w:val="0"/>
        <w:keepNext w:val="0"/>
        <w:pageBreakBefore w:val="0"/>
        <w:spacing w:before="0" w:after="0"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 标的名称：</w:t>
      </w:r>
      <w:r>
        <w:rPr>
          <w:rFonts w:hint="eastAsia" w:ascii="宋体" w:hAnsi="宋体" w:eastAsia="宋体" w:cs="宋体"/>
          <w:color w:val="000000"/>
          <w:sz w:val="21"/>
          <w:szCs w:val="21"/>
          <w:highlight w:val="none"/>
        </w:rPr>
      </w:r>
      <w:r/>
    </w:p>
    <w:p>
      <w:pPr>
        <w:pStyle w:val="927"/>
        <w:keepLines w:val="0"/>
        <w:keepNext w:val="0"/>
        <w:pageBreakBefore w:val="0"/>
        <w:spacing w:before="0" w:after="0"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 标的质量：</w:t>
      </w:r>
      <w:r>
        <w:rPr>
          <w:rFonts w:hint="eastAsia" w:ascii="宋体" w:hAnsi="宋体" w:eastAsia="宋体" w:cs="宋体"/>
          <w:color w:val="000000"/>
          <w:sz w:val="21"/>
          <w:szCs w:val="21"/>
          <w:highlight w:val="none"/>
          <w:lang w:eastAsia="zh-CN"/>
        </w:rPr>
        <w:t xml:space="preserve">按招标文件及投标文件执行。</w:t>
      </w:r>
      <w:r>
        <w:rPr>
          <w:rFonts w:hint="eastAsia" w:ascii="宋体" w:hAnsi="宋体" w:eastAsia="宋体" w:cs="宋体"/>
          <w:color w:val="000000"/>
          <w:sz w:val="21"/>
          <w:szCs w:val="21"/>
          <w:highlight w:val="none"/>
        </w:rPr>
      </w:r>
      <w:r/>
    </w:p>
    <w:p>
      <w:pPr>
        <w:pStyle w:val="927"/>
        <w:keepLines w:val="0"/>
        <w:keepNext w:val="0"/>
        <w:pageBreakBefore w:val="0"/>
        <w:spacing w:before="0" w:after="0"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rPr>
        <w:t xml:space="preserve">1</w:t>
      </w:r>
      <w:r>
        <w:rPr>
          <w:rFonts w:hint="eastAsia" w:ascii="宋体" w:hAnsi="宋体" w:eastAsia="宋体" w:cs="宋体"/>
          <w:color w:val="000000"/>
          <w:sz w:val="21"/>
          <w:szCs w:val="21"/>
          <w:highlight w:val="none"/>
        </w:rPr>
        <w:t xml:space="preserve">.3 标的数量（规模）：</w:t>
      </w:r>
      <w:r>
        <w:rPr>
          <w:rFonts w:hint="eastAsia" w:ascii="宋体" w:hAnsi="宋体" w:eastAsia="宋体" w:cs="宋体"/>
          <w:color w:val="000000"/>
          <w:sz w:val="21"/>
          <w:szCs w:val="21"/>
          <w:highlight w:val="none"/>
          <w:lang w:eastAsia="zh-CN"/>
        </w:rPr>
        <w:t xml:space="preserve">按招标文件及投标文件执行。</w:t>
      </w:r>
      <w:r>
        <w:rPr>
          <w:rFonts w:hint="eastAsia" w:ascii="宋体" w:hAnsi="宋体" w:eastAsia="宋体" w:cs="宋体"/>
          <w:color w:val="000000"/>
          <w:sz w:val="21"/>
          <w:szCs w:val="21"/>
          <w:highlight w:val="none"/>
        </w:rPr>
      </w:r>
      <w:r/>
    </w:p>
    <w:p>
      <w:pPr>
        <w:pStyle w:val="927"/>
        <w:keepLines w:val="0"/>
        <w:keepNext w:val="0"/>
        <w:pageBreakBefore w:val="0"/>
        <w:spacing w:before="0" w:after="0"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rPr>
        <w:t xml:space="preserve">1</w:t>
      </w:r>
      <w:r>
        <w:rPr>
          <w:rFonts w:hint="eastAsia" w:ascii="宋体" w:hAnsi="宋体" w:eastAsia="宋体" w:cs="宋体"/>
          <w:color w:val="000000"/>
          <w:sz w:val="21"/>
          <w:szCs w:val="21"/>
          <w:highlight w:val="none"/>
        </w:rPr>
        <w:t xml:space="preserve">.4 履行时间（期限）：</w:t>
      </w:r>
      <w:r>
        <w:rPr>
          <w:rFonts w:hint="eastAsia" w:ascii="宋体" w:hAnsi="宋体" w:eastAsia="宋体" w:cs="宋体"/>
          <w:color w:val="000000"/>
          <w:sz w:val="21"/>
          <w:szCs w:val="21"/>
          <w:highlight w:val="none"/>
          <w:lang w:eastAsia="zh-CN"/>
        </w:rPr>
        <w:t xml:space="preserve">按招标文件及投标文件执行。</w:t>
      </w:r>
      <w:r>
        <w:rPr>
          <w:rFonts w:hint="eastAsia" w:ascii="宋体" w:hAnsi="宋体" w:eastAsia="宋体" w:cs="宋体"/>
          <w:color w:val="000000"/>
          <w:sz w:val="21"/>
          <w:szCs w:val="21"/>
          <w:highlight w:val="none"/>
        </w:rPr>
      </w:r>
      <w:r/>
    </w:p>
    <w:p>
      <w:pPr>
        <w:pStyle w:val="927"/>
        <w:keepLines w:val="0"/>
        <w:keepNext w:val="0"/>
        <w:pageBreakBefore w:val="0"/>
        <w:spacing w:before="0" w:after="0" w:line="360" w:lineRule="auto"/>
        <w:widowControl w:val="off"/>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rPr>
        <w:t xml:space="preserve">1</w:t>
      </w:r>
      <w:r>
        <w:rPr>
          <w:rFonts w:hint="eastAsia" w:ascii="宋体" w:hAnsi="宋体" w:eastAsia="宋体" w:cs="宋体"/>
          <w:color w:val="000000"/>
          <w:sz w:val="21"/>
          <w:szCs w:val="21"/>
          <w:highlight w:val="none"/>
        </w:rPr>
        <w:t xml:space="preserve">.5 履行地点：</w:t>
      </w:r>
      <w:r>
        <w:rPr>
          <w:rFonts w:hint="eastAsia" w:ascii="宋体" w:hAnsi="宋体" w:eastAsia="宋体" w:cs="宋体"/>
          <w:color w:val="000000"/>
          <w:sz w:val="21"/>
          <w:szCs w:val="21"/>
          <w:highlight w:val="none"/>
          <w:lang w:eastAsia="zh-CN"/>
        </w:rPr>
        <w:t xml:space="preserve">采购人指定地点。</w:t>
      </w:r>
      <w:r>
        <w:rPr>
          <w:rFonts w:hint="eastAsia" w:ascii="宋体" w:hAnsi="宋体" w:eastAsia="宋体" w:cs="宋体"/>
          <w:color w:val="000000"/>
          <w:sz w:val="21"/>
          <w:szCs w:val="21"/>
          <w:highlight w:val="none"/>
          <w:lang w:eastAsia="zh-CN"/>
        </w:rPr>
      </w:r>
      <w:r/>
    </w:p>
    <w:p>
      <w:pPr>
        <w:pStyle w:val="927"/>
        <w:keepLines w:val="0"/>
        <w:keepNext w:val="0"/>
        <w:pageBreakBefore w:val="0"/>
        <w:spacing w:before="0" w:after="0" w:line="360" w:lineRule="auto"/>
        <w:widowControl w:val="off"/>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rPr>
        <w:t xml:space="preserve">1</w:t>
      </w:r>
      <w:r>
        <w:rPr>
          <w:rFonts w:hint="eastAsia" w:ascii="宋体" w:hAnsi="宋体" w:eastAsia="宋体" w:cs="宋体"/>
          <w:color w:val="000000"/>
          <w:sz w:val="21"/>
          <w:szCs w:val="21"/>
          <w:highlight w:val="none"/>
        </w:rPr>
        <w:t xml:space="preserve">.6 履行方式：</w:t>
      </w:r>
      <w:r>
        <w:rPr>
          <w:rFonts w:hint="eastAsia" w:ascii="宋体" w:hAnsi="宋体" w:eastAsia="宋体" w:cs="宋体"/>
          <w:color w:val="000000"/>
          <w:sz w:val="21"/>
          <w:szCs w:val="21"/>
          <w:highlight w:val="none"/>
          <w:lang w:eastAsia="zh-CN"/>
        </w:rPr>
        <w:t xml:space="preserve">按招标文件及投标文件执行。</w:t>
      </w:r>
      <w:r>
        <w:rPr>
          <w:rFonts w:hint="eastAsia" w:ascii="宋体" w:hAnsi="宋体" w:eastAsia="宋体" w:cs="宋体"/>
          <w:color w:val="000000"/>
          <w:sz w:val="21"/>
          <w:szCs w:val="21"/>
          <w:highlight w:val="none"/>
          <w:lang w:eastAsia="zh-CN"/>
        </w:rPr>
      </w:r>
      <w:r/>
    </w:p>
    <w:p>
      <w:pPr>
        <w:pStyle w:val="927"/>
        <w:keepLines w:val="0"/>
        <w:keepNext w:val="0"/>
        <w:pageBreakBefore w:val="0"/>
        <w:spacing w:before="0" w:after="0"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rPr>
        <w:t xml:space="preserve">1</w:t>
      </w:r>
      <w:r>
        <w:rPr>
          <w:rFonts w:hint="eastAsia" w:ascii="宋体" w:hAnsi="宋体" w:eastAsia="宋体" w:cs="宋体"/>
          <w:color w:val="000000"/>
          <w:sz w:val="21"/>
          <w:szCs w:val="21"/>
          <w:highlight w:val="none"/>
        </w:rPr>
        <w:t xml:space="preserve">.7 包装方式：</w:t>
      </w:r>
      <w:r>
        <w:rPr>
          <w:rFonts w:hint="eastAsia" w:ascii="宋体" w:hAnsi="宋体" w:eastAsia="宋体" w:cs="宋体"/>
          <w:color w:val="000000"/>
          <w:sz w:val="21"/>
          <w:szCs w:val="21"/>
          <w:highlight w:val="none"/>
          <w:lang w:eastAsia="zh-CN"/>
        </w:rPr>
        <w:t xml:space="preserve">按招标文件及投标文件执行。</w:t>
      </w:r>
      <w:r>
        <w:rPr>
          <w:rFonts w:hint="eastAsia" w:ascii="宋体" w:hAnsi="宋体" w:eastAsia="宋体" w:cs="宋体"/>
          <w:color w:val="000000"/>
          <w:sz w:val="21"/>
          <w:szCs w:val="21"/>
          <w:highlight w:val="none"/>
        </w:rPr>
      </w:r>
      <w:r/>
    </w:p>
    <w:p>
      <w:pPr>
        <w:pStyle w:val="927"/>
        <w:keepLines w:val="0"/>
        <w:keepNext w:val="0"/>
        <w:pageBreakBefore w:val="0"/>
        <w:spacing w:before="0" w:after="0" w:line="360" w:lineRule="auto"/>
        <w:widowControl w:val="off"/>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二、合同金额</w:t>
      </w:r>
      <w:r>
        <w:rPr>
          <w:rFonts w:hint="eastAsia" w:ascii="宋体" w:hAnsi="宋体" w:eastAsia="宋体" w:cs="宋体"/>
          <w:b w:val="0"/>
          <w:bCs/>
          <w:color w:val="000000"/>
          <w:sz w:val="21"/>
          <w:szCs w:val="21"/>
          <w:highlight w:val="none"/>
        </w:rPr>
      </w:r>
      <w:r/>
    </w:p>
    <w:p>
      <w:pPr>
        <w:pStyle w:val="1149"/>
        <w:keepLines w:val="0"/>
        <w:keepNext w:val="0"/>
        <w:pageBreakBefore w:val="0"/>
        <w:spacing w:before="0" w:after="0" w:line="360" w:lineRule="auto"/>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2.1 </w:t>
      </w:r>
      <w:r>
        <w:rPr>
          <w:rFonts w:hint="eastAsia" w:hAnsi="宋体" w:eastAsia="宋体" w:cs="宋体"/>
          <w:sz w:val="21"/>
          <w:szCs w:val="21"/>
          <w:highlight w:val="none"/>
        </w:rPr>
        <w:t xml:space="preserve">本合同金额为（大写）：____________________圆（____________________元）人民币。</w:t>
      </w:r>
      <w:r>
        <w:rPr>
          <w:rFonts w:hint="eastAsia" w:ascii="宋体" w:hAnsi="宋体" w:cs="宋体"/>
          <w:color w:val="000000"/>
          <w:sz w:val="21"/>
          <w:szCs w:val="21"/>
          <w:highlight w:val="none"/>
        </w:rPr>
      </w:r>
      <w:r/>
    </w:p>
    <w:p>
      <w:pPr>
        <w:pStyle w:val="927"/>
        <w:keepLines w:val="0"/>
        <w:keepNext w:val="0"/>
        <w:pageBreakBefore w:val="0"/>
        <w:spacing w:before="0" w:after="0" w:line="360" w:lineRule="auto"/>
        <w:widowControl w:val="off"/>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三、技术资料</w:t>
      </w:r>
      <w:r>
        <w:rPr>
          <w:rFonts w:hint="eastAsia" w:ascii="宋体" w:hAnsi="宋体" w:eastAsia="宋体" w:cs="宋体"/>
          <w:b w:val="0"/>
          <w:bCs/>
          <w:color w:val="000000"/>
          <w:sz w:val="21"/>
          <w:szCs w:val="21"/>
          <w:highlight w:val="none"/>
        </w:rPr>
      </w:r>
      <w:r/>
    </w:p>
    <w:p>
      <w:pPr>
        <w:pStyle w:val="927"/>
        <w:keepLines w:val="0"/>
        <w:keepNext w:val="0"/>
        <w:pageBreakBefore w:val="0"/>
        <w:spacing w:before="0" w:after="0"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rPr>
        <w:t xml:space="preserve">3</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乙方应按招标文件规定的时间向甲方提供货物(包含与货物相关的服务)的有关技术资料。</w:t>
      </w:r>
      <w:r>
        <w:rPr>
          <w:rFonts w:hint="eastAsia" w:ascii="宋体" w:hAnsi="宋体" w:eastAsia="宋体" w:cs="宋体"/>
          <w:color w:val="000000"/>
          <w:sz w:val="21"/>
          <w:szCs w:val="21"/>
          <w:highlight w:val="none"/>
        </w:rPr>
      </w:r>
      <w:r/>
    </w:p>
    <w:p>
      <w:pPr>
        <w:pStyle w:val="927"/>
        <w:keepLines w:val="0"/>
        <w:keepNext w:val="0"/>
        <w:pageBreakBefore w:val="0"/>
        <w:spacing w:before="0" w:after="0"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rPr>
        <w:t xml:space="preserve">3</w:t>
      </w:r>
      <w:r>
        <w:rPr>
          <w:rFonts w:hint="eastAsia" w:ascii="宋体" w:hAnsi="宋体" w:eastAsia="宋体" w:cs="宋体"/>
          <w:color w:val="000000"/>
          <w:sz w:val="21"/>
          <w:szCs w:val="21"/>
          <w:highlight w:val="none"/>
        </w:rPr>
        <w:t xml:space="preserve">.2 没有甲方事先书面同意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乙方不得将</w:t>
      </w:r>
      <w:r>
        <w:rPr>
          <w:rFonts w:hint="eastAsia" w:ascii="宋体" w:hAnsi="宋体" w:eastAsia="宋体" w:cs="宋体"/>
          <w:color w:val="000000"/>
          <w:sz w:val="21"/>
          <w:szCs w:val="21"/>
          <w:highlight w:val="none"/>
          <w:lang w:eastAsia="zh-CN"/>
        </w:rPr>
        <w:t xml:space="preserve">由甲方提供的</w:t>
      </w:r>
      <w:r>
        <w:rPr>
          <w:rFonts w:hint="eastAsia" w:ascii="宋体" w:hAnsi="宋体" w:eastAsia="宋体" w:cs="宋体"/>
          <w:color w:val="000000"/>
          <w:sz w:val="21"/>
          <w:szCs w:val="21"/>
          <w:highlight w:val="none"/>
        </w:rPr>
        <w:t xml:space="preserve">有关合同或任何合同条文、规格、计划、图纸、样品或资料提供给与履行本合同无关的任何其他人。即使向履行本合同有关的人员提供</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也应注意保密并限于履行合同的必需范围。保密期至保密内容按照相关法律法规规定</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以合法方式和途径将其全部披露或本合同终止后5年为止</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以两者孰长为准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927"/>
        <w:ind w:left="0" w:firstLine="0"/>
        <w:keepLines w:val="0"/>
        <w:keepNext w:val="0"/>
        <w:pageBreakBefore w:val="0"/>
        <w:spacing w:before="0" w:after="0" w:line="360" w:lineRule="auto"/>
        <w:widowControl w:val="off"/>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四、知识产权</w:t>
      </w:r>
      <w:r>
        <w:rPr>
          <w:rFonts w:hint="eastAsia" w:ascii="宋体" w:hAnsi="宋体" w:eastAsia="宋体" w:cs="宋体"/>
          <w:b w:val="0"/>
          <w:bCs/>
          <w:color w:val="000000"/>
          <w:sz w:val="21"/>
          <w:szCs w:val="21"/>
          <w:highlight w:val="none"/>
        </w:rPr>
      </w:r>
      <w:r/>
    </w:p>
    <w:p>
      <w:pPr>
        <w:pStyle w:val="927"/>
        <w:keepLines w:val="0"/>
        <w:keepNext w:val="0"/>
        <w:pageBreakBefore w:val="0"/>
        <w:spacing w:before="0" w:after="0"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乙方应保证甲方在使用、接受本合同货物（包含与货物相关的服务）或其任何一部分时不受第三方提出侵犯其专利权、</w:t>
      </w:r>
      <w:r>
        <w:rPr>
          <w:rFonts w:hint="eastAsia" w:ascii="宋体" w:hAnsi="宋体" w:eastAsia="宋体" w:cs="宋体"/>
          <w:color w:val="000000"/>
          <w:sz w:val="21"/>
          <w:szCs w:val="21"/>
          <w:highlight w:val="none"/>
          <w:lang w:val="en-US" w:eastAsia="zh-CN"/>
        </w:rPr>
        <w:t xml:space="preserve">著作</w:t>
      </w:r>
      <w:r>
        <w:rPr>
          <w:rFonts w:hint="eastAsia" w:ascii="宋体" w:hAnsi="宋体" w:eastAsia="宋体" w:cs="宋体"/>
          <w:color w:val="000000"/>
          <w:sz w:val="21"/>
          <w:szCs w:val="21"/>
          <w:highlight w:val="none"/>
        </w:rPr>
        <w:t xml:space="preserve">权、商标权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工业设计权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商业秘密</w:t>
      </w:r>
      <w:r>
        <w:rPr>
          <w:rFonts w:hint="eastAsia" w:ascii="宋体" w:hAnsi="宋体" w:eastAsia="宋体" w:cs="宋体"/>
          <w:color w:val="000000"/>
          <w:sz w:val="21"/>
          <w:szCs w:val="21"/>
          <w:highlight w:val="none"/>
        </w:rPr>
        <w:t xml:space="preserve">等知识产权的起诉。一旦出现侵权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由乙方负全部责任。</w:t>
      </w:r>
      <w:r>
        <w:rPr>
          <w:rFonts w:hint="eastAsia" w:ascii="宋体" w:hAnsi="宋体" w:eastAsia="宋体" w:cs="宋体"/>
          <w:color w:val="000000"/>
          <w:sz w:val="21"/>
          <w:szCs w:val="21"/>
          <w:highlight w:val="none"/>
        </w:rPr>
      </w:r>
      <w:r/>
    </w:p>
    <w:p>
      <w:pPr>
        <w:pStyle w:val="927"/>
        <w:keepLines w:val="0"/>
        <w:keepNext w:val="0"/>
        <w:pageBreakBefore w:val="0"/>
        <w:spacing w:before="0" w:after="0" w:line="360" w:lineRule="auto"/>
        <w:widowControl w:val="off"/>
        <w:rPr>
          <w:rFonts w:hint="eastAsia" w:ascii="宋体" w:hAnsi="宋体" w:eastAsia="宋体" w:cs="宋体"/>
          <w:bCs/>
          <w:color w:val="000000"/>
          <w:sz w:val="21"/>
          <w:szCs w:val="21"/>
          <w:highlight w:val="none"/>
          <w:u w:val="none"/>
        </w:rPr>
        <w:outlineLvl w:val="9"/>
      </w:pPr>
      <w:r>
        <w:rPr>
          <w:rFonts w:hint="eastAsia" w:ascii="宋体" w:hAnsi="宋体" w:eastAsia="宋体" w:cs="宋体"/>
          <w:b w:val="0"/>
          <w:bCs/>
          <w:color w:val="000000"/>
          <w:sz w:val="21"/>
          <w:szCs w:val="21"/>
          <w:highlight w:val="none"/>
        </w:rPr>
        <w:t xml:space="preserve">五、产权担保</w:t>
      </w:r>
      <w:r>
        <w:rPr>
          <w:rFonts w:hint="eastAsia" w:ascii="宋体" w:hAnsi="宋体" w:eastAsia="宋体" w:cs="宋体"/>
          <w:bCs/>
          <w:color w:val="000000"/>
          <w:sz w:val="21"/>
          <w:szCs w:val="21"/>
          <w:highlight w:val="none"/>
          <w:u w:val="none"/>
        </w:rPr>
      </w:r>
      <w:r/>
    </w:p>
    <w:p>
      <w:pPr>
        <w:pStyle w:val="927"/>
        <w:keepLines w:val="0"/>
        <w:keepNext w:val="0"/>
        <w:pageBreakBefore w:val="0"/>
        <w:spacing w:before="0" w:after="0"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5.1 乙方保证所交付的货物（包含与货物相关的服务）的所有权完全属于乙方且无任何抵押、查封等产权瑕疵。</w:t>
      </w:r>
      <w:r>
        <w:rPr>
          <w:rFonts w:hint="eastAsia" w:ascii="宋体" w:hAnsi="宋体" w:eastAsia="宋体" w:cs="宋体"/>
          <w:color w:val="000000"/>
          <w:sz w:val="21"/>
          <w:szCs w:val="21"/>
          <w:highlight w:val="none"/>
        </w:rPr>
      </w:r>
      <w:r/>
    </w:p>
    <w:p>
      <w:pPr>
        <w:pStyle w:val="927"/>
        <w:ind w:left="0" w:firstLine="0"/>
        <w:keepLines w:val="0"/>
        <w:keepNext w:val="0"/>
        <w:pageBreakBefore w:val="0"/>
        <w:spacing w:before="0" w:after="0" w:line="360" w:lineRule="auto"/>
        <w:widowControl w:val="off"/>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六、履约保证金</w:t>
      </w:r>
      <w:r>
        <w:rPr>
          <w:rFonts w:hint="eastAsia" w:ascii="宋体" w:hAnsi="宋体" w:eastAsia="宋体" w:cs="宋体"/>
          <w:b w:val="0"/>
          <w:bCs/>
          <w:color w:val="000000"/>
          <w:sz w:val="21"/>
          <w:szCs w:val="21"/>
          <w:highlight w:val="none"/>
        </w:rPr>
      </w:r>
      <w:r/>
    </w:p>
    <w:p>
      <w:pPr>
        <w:pStyle w:val="927"/>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outlineLvl w:val="9"/>
      </w:pPr>
      <w:r>
        <w:rPr>
          <w:rFonts w:hint="eastAsia" w:ascii="宋体" w:hAnsi="宋体" w:eastAsia="宋体" w:cs="宋体"/>
          <w:b w:val="0"/>
          <w:bCs w:val="0"/>
          <w:color w:val="000000"/>
          <w:sz w:val="21"/>
          <w:szCs w:val="21"/>
          <w:highlight w:val="none"/>
          <w:lang w:val="en-US" w:eastAsia="zh-CN"/>
        </w:rPr>
        <w:t xml:space="preserve">6.1 本项目乙方无需缴纳</w:t>
      </w:r>
      <w:r>
        <w:rPr>
          <w:rFonts w:hint="eastAsia" w:ascii="宋体" w:hAnsi="宋体" w:eastAsia="宋体" w:cs="宋体"/>
          <w:b w:val="0"/>
          <w:bCs w:val="0"/>
          <w:color w:val="000000"/>
          <w:sz w:val="21"/>
          <w:szCs w:val="21"/>
          <w:highlight w:val="none"/>
        </w:rPr>
        <w:t xml:space="preserve">履约保证金</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r>
      <w:r/>
    </w:p>
    <w:p>
      <w:pPr>
        <w:pStyle w:val="927"/>
        <w:keepLines w:val="0"/>
        <w:keepNext w:val="0"/>
        <w:pageBreakBefore w:val="0"/>
        <w:spacing w:before="0" w:after="0" w:line="360" w:lineRule="auto"/>
        <w:widowControl w:val="off"/>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七、合同转包或分包</w:t>
      </w:r>
      <w:r>
        <w:rPr>
          <w:rFonts w:hint="eastAsia" w:ascii="宋体" w:hAnsi="宋体" w:eastAsia="宋体" w:cs="宋体"/>
          <w:b w:val="0"/>
          <w:bCs/>
          <w:color w:val="000000"/>
          <w:sz w:val="21"/>
          <w:szCs w:val="21"/>
          <w:highlight w:val="none"/>
        </w:rPr>
      </w:r>
      <w:r/>
    </w:p>
    <w:p>
      <w:pPr>
        <w:pStyle w:val="927"/>
        <w:keepLines w:val="0"/>
        <w:keepNext w:val="0"/>
        <w:pageBreakBefore w:val="0"/>
        <w:spacing w:before="0" w:after="0"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乙方不得将合同标的转包给他人履行。</w:t>
      </w:r>
      <w:r>
        <w:rPr>
          <w:rFonts w:hint="eastAsia" w:ascii="宋体" w:hAnsi="宋体" w:eastAsia="宋体" w:cs="宋体"/>
          <w:color w:val="000000"/>
          <w:sz w:val="21"/>
          <w:szCs w:val="21"/>
          <w:highlight w:val="none"/>
        </w:rPr>
      </w:r>
      <w:r/>
    </w:p>
    <w:p>
      <w:pPr>
        <w:pStyle w:val="927"/>
        <w:keepLines w:val="0"/>
        <w:keepNext w:val="0"/>
        <w:pageBreakBefore w:val="0"/>
        <w:spacing w:before="0" w:after="0"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除招标文件接受分包并经甲方同意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乙方可按分包意向协议分包情况外</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乙方不得将合同标的分包给他人履行。</w:t>
      </w:r>
      <w:r>
        <w:rPr>
          <w:rFonts w:hint="eastAsia" w:ascii="宋体" w:hAnsi="宋体" w:eastAsia="宋体" w:cs="宋体"/>
          <w:color w:val="000000"/>
          <w:sz w:val="21"/>
          <w:szCs w:val="21"/>
          <w:highlight w:val="none"/>
        </w:rPr>
      </w:r>
      <w:r/>
    </w:p>
    <w:p>
      <w:pPr>
        <w:pStyle w:val="927"/>
        <w:keepLines w:val="0"/>
        <w:keepNext w:val="0"/>
        <w:pageBreakBefore w:val="0"/>
        <w:spacing w:before="0" w:after="0"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7.3</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乙方如有转包或未经甲方同意的分包行为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甲方有权终止合同。</w:t>
      </w:r>
      <w:r>
        <w:rPr>
          <w:rFonts w:hint="eastAsia" w:ascii="宋体" w:hAnsi="宋体" w:eastAsia="宋体" w:cs="宋体"/>
          <w:color w:val="000000"/>
          <w:sz w:val="21"/>
          <w:szCs w:val="21"/>
          <w:highlight w:val="none"/>
        </w:rPr>
      </w:r>
      <w:r/>
    </w:p>
    <w:p>
      <w:pPr>
        <w:pStyle w:val="927"/>
        <w:keepLines w:val="0"/>
        <w:keepNext w:val="0"/>
        <w:pageBreakBefore w:val="0"/>
        <w:spacing w:before="0" w:after="0" w:line="360" w:lineRule="auto"/>
        <w:widowControl w:val="off"/>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八、合同款项支付</w:t>
      </w:r>
      <w:r>
        <w:rPr>
          <w:rFonts w:hint="eastAsia" w:ascii="宋体" w:hAnsi="宋体" w:eastAsia="宋体" w:cs="宋体"/>
          <w:b w:val="0"/>
          <w:bCs/>
          <w:color w:val="000000"/>
          <w:sz w:val="21"/>
          <w:szCs w:val="21"/>
          <w:highlight w:val="none"/>
        </w:rPr>
      </w:r>
      <w:r/>
    </w:p>
    <w:p>
      <w:pPr>
        <w:pStyle w:val="1149"/>
        <w:keepLines w:val="0"/>
        <w:keepNext w:val="0"/>
        <w:pageBreakBefore w:val="0"/>
        <w:spacing w:before="0" w:after="0"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rPr>
        <w:t xml:space="preserve">8.1</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合同款项的支付方式及</w:t>
      </w:r>
      <w:r>
        <w:rPr>
          <w:rFonts w:hint="eastAsia" w:ascii="宋体" w:hAnsi="宋体" w:eastAsia="宋体" w:cs="宋体"/>
          <w:sz w:val="21"/>
          <w:szCs w:val="21"/>
          <w:highlight w:val="none"/>
          <w:lang w:val="en-US" w:eastAsia="zh-CN"/>
        </w:rPr>
        <w:t xml:space="preserve">时间</w:t>
      </w:r>
      <w:r>
        <w:rPr>
          <w:rFonts w:hint="eastAsia" w:ascii="宋体" w:hAnsi="宋体" w:eastAsia="宋体" w:cs="宋体"/>
          <w:sz w:val="21"/>
          <w:szCs w:val="21"/>
          <w:highlight w:val="none"/>
          <w:lang w:val="en-US" w:eastAsia="zh-CN"/>
        </w:rPr>
      </w:r>
      <w:r/>
    </w:p>
    <w:p>
      <w:pPr>
        <w:pStyle w:val="1149"/>
        <w:keepLines w:val="0"/>
        <w:keepNext w:val="0"/>
        <w:pageBreakBefore w:val="0"/>
        <w:spacing w:before="0"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8.1.1</w:t>
      </w:r>
      <w:r>
        <w:rPr>
          <w:rFonts w:hint="eastAsia" w:ascii="宋体" w:hAnsi="宋体" w:eastAsia="宋体" w:cs="宋体"/>
          <w:color w:val="0000ff"/>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t xml:space="preserve">合同签订后，甲方支付合同总价款的30%作为预付款。</w:t>
      </w:r>
      <w:r>
        <w:rPr>
          <w:rFonts w:hint="eastAsia" w:ascii="宋体" w:hAnsi="宋体" w:eastAsia="宋体" w:cs="宋体"/>
          <w:color w:val="000000"/>
          <w:sz w:val="21"/>
          <w:szCs w:val="21"/>
          <w:highlight w:val="none"/>
          <w:lang w:val="en-US" w:eastAsia="zh-CN"/>
        </w:rPr>
      </w:r>
      <w:r/>
    </w:p>
    <w:p>
      <w:pPr>
        <w:pStyle w:val="1149"/>
        <w:keepLines w:val="0"/>
        <w:keepNext w:val="0"/>
        <w:pageBreakBefore w:val="0"/>
        <w:spacing w:before="0"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8.1.2 供货结束并验收合格后，甲方支付合同总价款的70%。</w:t>
      </w:r>
      <w:r>
        <w:rPr>
          <w:rFonts w:hint="eastAsia" w:ascii="宋体" w:hAnsi="宋体" w:eastAsia="宋体" w:cs="宋体"/>
          <w:color w:val="000000"/>
          <w:sz w:val="21"/>
          <w:szCs w:val="21"/>
          <w:highlight w:val="none"/>
          <w:lang w:val="en-US" w:eastAsia="zh-CN"/>
        </w:rPr>
      </w:r>
      <w:r/>
    </w:p>
    <w:p>
      <w:pPr>
        <w:pStyle w:val="1149"/>
        <w:keepLines w:val="0"/>
        <w:keepNext w:val="0"/>
        <w:pageBreakBefore w:val="0"/>
        <w:spacing w:before="0" w:after="0"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8.1.3 满足合同约定支付条件的，甲方收到乙方发票后</w:t>
      </w:r>
      <w:r>
        <w:rPr>
          <w:rFonts w:hint="eastAsia" w:ascii="宋体" w:hAnsi="宋体" w:eastAsia="宋体" w:cs="宋体"/>
          <w:sz w:val="21"/>
          <w:szCs w:val="21"/>
          <w:highlight w:val="none"/>
          <w:lang w:val="en-US" w:eastAsia="zh-CN"/>
        </w:rPr>
        <w:t xml:space="preserve">10个工作日内，将资金支付到合同约定的乙方账户。 </w:t>
      </w:r>
      <w:r>
        <w:rPr>
          <w:rFonts w:hint="eastAsia" w:ascii="宋体" w:hAnsi="宋体" w:eastAsia="宋体" w:cs="宋体"/>
          <w:sz w:val="21"/>
          <w:szCs w:val="21"/>
          <w:highlight w:val="none"/>
          <w:lang w:val="en-US" w:eastAsia="zh-CN"/>
        </w:rPr>
      </w:r>
      <w:r/>
    </w:p>
    <w:p>
      <w:pPr>
        <w:pStyle w:val="1149"/>
        <w:keepLines w:val="0"/>
        <w:keepNext w:val="0"/>
        <w:pageBreakBefore w:val="0"/>
        <w:spacing w:before="0" w:after="0"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lang w:val="en-US" w:eastAsia="zh-CN"/>
        </w:rPr>
        <w:t xml:space="preserve">8.2 </w:t>
      </w:r>
      <w:r>
        <w:rPr>
          <w:rFonts w:hint="eastAsia" w:ascii="宋体" w:hAnsi="宋体" w:eastAsia="宋体" w:cs="宋体"/>
          <w:sz w:val="21"/>
          <w:szCs w:val="21"/>
          <w:highlight w:val="none"/>
        </w:rPr>
        <w:t xml:space="preserve">根据工业和信息化部关于印发《保障中小企业款项支付投诉处理暂行办法》的通知（工信部企业〔2021〕224 号）</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甲方</w:t>
      </w:r>
      <w:r>
        <w:rPr>
          <w:rFonts w:hint="eastAsia" w:ascii="宋体" w:hAnsi="宋体" w:eastAsia="宋体" w:cs="宋体"/>
          <w:sz w:val="21"/>
          <w:szCs w:val="21"/>
          <w:highlight w:val="none"/>
        </w:rPr>
        <w:t xml:space="preserve">未按合同约定支付款项的</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乙方</w:t>
      </w:r>
      <w:r>
        <w:rPr>
          <w:rFonts w:hint="eastAsia" w:ascii="宋体" w:hAnsi="宋体" w:eastAsia="宋体" w:cs="宋体"/>
          <w:sz w:val="21"/>
          <w:szCs w:val="21"/>
          <w:highlight w:val="none"/>
        </w:rPr>
        <w:t xml:space="preserve">可以向有关部门投诉。</w:t>
      </w:r>
      <w:r>
        <w:rPr>
          <w:rFonts w:hint="eastAsia" w:ascii="宋体" w:hAnsi="宋体" w:eastAsia="宋体" w:cs="宋体"/>
          <w:sz w:val="21"/>
          <w:szCs w:val="21"/>
          <w:highlight w:val="none"/>
        </w:rPr>
      </w:r>
      <w:r/>
    </w:p>
    <w:p>
      <w:pPr>
        <w:pStyle w:val="1149"/>
        <w:keepLines w:val="0"/>
        <w:keepNext w:val="0"/>
        <w:pageBreakBefore w:val="0"/>
        <w:spacing w:before="0" w:after="0"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lang w:val="en-US" w:eastAsia="zh-CN"/>
        </w:rPr>
        <w:t xml:space="preserve">3 </w:t>
      </w:r>
      <w:r>
        <w:rPr>
          <w:rFonts w:hint="eastAsia" w:ascii="宋体" w:hAnsi="宋体" w:eastAsia="宋体" w:cs="宋体"/>
          <w:sz w:val="21"/>
          <w:szCs w:val="21"/>
          <w:highlight w:val="none"/>
        </w:rPr>
        <w:t xml:space="preserve">当采购数量与实际使用数量不一致时</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乙方应根据实际使用量供货</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合同的最终结算金额按实际使用量乘以成交单价进行计算。</w:t>
      </w:r>
      <w:r>
        <w:rPr>
          <w:rFonts w:hint="eastAsia" w:ascii="宋体" w:hAnsi="宋体" w:eastAsia="宋体" w:cs="宋体"/>
          <w:sz w:val="21"/>
          <w:szCs w:val="21"/>
          <w:highlight w:val="none"/>
        </w:rPr>
      </w:r>
      <w:r/>
    </w:p>
    <w:p>
      <w:pPr>
        <w:pStyle w:val="927"/>
        <w:keepLines w:val="0"/>
        <w:keepNext w:val="0"/>
        <w:pageBreakBefore w:val="0"/>
        <w:spacing w:before="0" w:after="0" w:line="360" w:lineRule="auto"/>
        <w:widowControl w:val="off"/>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九、税费</w:t>
      </w:r>
      <w:r>
        <w:rPr>
          <w:rFonts w:hint="eastAsia" w:ascii="宋体" w:hAnsi="宋体" w:eastAsia="宋体" w:cs="宋体"/>
          <w:b w:val="0"/>
          <w:bCs/>
          <w:color w:val="000000"/>
          <w:sz w:val="21"/>
          <w:szCs w:val="21"/>
          <w:highlight w:val="none"/>
        </w:rPr>
      </w:r>
      <w:r/>
    </w:p>
    <w:p>
      <w:pPr>
        <w:pStyle w:val="927"/>
        <w:keepLines w:val="0"/>
        <w:keepNext w:val="0"/>
        <w:pageBreakBefore w:val="0"/>
        <w:spacing w:before="0" w:after="0"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9.1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本合同执行中</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相关税费均由乙方负担。</w:t>
      </w:r>
      <w:r>
        <w:rPr>
          <w:rFonts w:hint="eastAsia" w:ascii="宋体" w:hAnsi="宋体" w:eastAsia="宋体" w:cs="宋体"/>
          <w:color w:val="000000"/>
          <w:sz w:val="21"/>
          <w:szCs w:val="21"/>
          <w:highlight w:val="none"/>
        </w:rPr>
      </w:r>
      <w:r/>
    </w:p>
    <w:p>
      <w:pPr>
        <w:pStyle w:val="927"/>
        <w:ind w:left="0" w:firstLine="0"/>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 w:val="0"/>
          <w:bCs/>
          <w:color w:val="000000"/>
          <w:sz w:val="21"/>
          <w:szCs w:val="21"/>
          <w:highlight w:val="none"/>
        </w:rPr>
        <w:t xml:space="preserve">十、质量保修范围和保修期及售后服务</w:t>
      </w:r>
      <w:r>
        <w:rPr>
          <w:rFonts w:hint="eastAsia" w:ascii="宋体" w:hAnsi="宋体" w:eastAsia="宋体" w:cs="宋体"/>
          <w:bCs/>
          <w:color w:val="000000"/>
          <w:sz w:val="21"/>
          <w:szCs w:val="21"/>
          <w:highlight w:val="none"/>
        </w:rPr>
      </w:r>
      <w:r/>
    </w:p>
    <w:p>
      <w:pPr>
        <w:pStyle w:val="927"/>
        <w:keepLines w:val="0"/>
        <w:keepNext w:val="0"/>
        <w:pageBreakBefore w:val="0"/>
        <w:spacing w:before="0" w:after="0"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10.1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乙方应按招标文件规定的货物性能、技术要求、质量标准向甲方提供未经使用的全新产品。</w:t>
      </w:r>
      <w:r>
        <w:rPr>
          <w:rFonts w:hint="eastAsia" w:ascii="宋体" w:hAnsi="宋体" w:eastAsia="宋体" w:cs="宋体"/>
          <w:color w:val="000000"/>
          <w:sz w:val="21"/>
          <w:szCs w:val="21"/>
          <w:highlight w:val="none"/>
        </w:rPr>
      </w:r>
      <w:r/>
    </w:p>
    <w:p>
      <w:pPr>
        <w:pStyle w:val="927"/>
        <w:keepLines w:val="0"/>
        <w:keepNext w:val="0"/>
        <w:pageBreakBefore w:val="0"/>
        <w:spacing w:before="0" w:after="0"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10.2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乙方提供的货物在质</w:t>
      </w:r>
      <w:r>
        <w:rPr>
          <w:rFonts w:hint="eastAsia" w:ascii="宋体" w:hAnsi="宋体" w:eastAsia="宋体" w:cs="宋体"/>
          <w:color w:val="000000"/>
          <w:sz w:val="21"/>
          <w:szCs w:val="21"/>
          <w:highlight w:val="none"/>
          <w:lang w:val="en-US" w:eastAsia="zh-CN"/>
        </w:rPr>
        <w:t xml:space="preserve">保</w:t>
      </w:r>
      <w:r>
        <w:rPr>
          <w:rFonts w:hint="eastAsia" w:ascii="宋体" w:hAnsi="宋体" w:eastAsia="宋体" w:cs="宋体"/>
          <w:color w:val="000000"/>
          <w:sz w:val="21"/>
          <w:szCs w:val="21"/>
          <w:highlight w:val="none"/>
        </w:rPr>
        <w:t xml:space="preserve">期内因货物本身的质量问题发生故障</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乙方应负责更换。对达不到技术要求者</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根据实际情况</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经双方协商可按以下</w:t>
      </w:r>
      <w:r>
        <w:rPr>
          <w:rFonts w:hint="eastAsia" w:ascii="宋体" w:hAnsi="宋体" w:eastAsia="宋体" w:cs="宋体"/>
          <w:color w:val="000000"/>
          <w:sz w:val="21"/>
          <w:szCs w:val="21"/>
          <w:highlight w:val="none"/>
          <w:lang w:val="en-US" w:eastAsia="zh-CN"/>
        </w:rPr>
        <w:t xml:space="preserve">方式</w:t>
      </w:r>
      <w:r>
        <w:rPr>
          <w:rFonts w:hint="eastAsia" w:ascii="宋体" w:hAnsi="宋体" w:eastAsia="宋体" w:cs="宋体"/>
          <w:color w:val="000000"/>
          <w:sz w:val="21"/>
          <w:szCs w:val="21"/>
          <w:highlight w:val="none"/>
        </w:rPr>
        <w:t xml:space="preserve">处理：</w:t>
      </w:r>
      <w:r>
        <w:rPr>
          <w:rFonts w:hint="eastAsia" w:ascii="宋体" w:hAnsi="宋体" w:eastAsia="宋体" w:cs="宋体"/>
          <w:color w:val="000000"/>
          <w:sz w:val="21"/>
          <w:szCs w:val="21"/>
          <w:highlight w:val="none"/>
        </w:rPr>
      </w:r>
      <w:r/>
    </w:p>
    <w:p>
      <w:pPr>
        <w:pStyle w:val="927"/>
        <w:keepLines w:val="0"/>
        <w:keepNext w:val="0"/>
        <w:pageBreakBefore w:val="0"/>
        <w:spacing w:before="0" w:after="0" w:line="360" w:lineRule="auto"/>
        <w:widowControl w:val="off"/>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10.2.1 </w:t>
      </w:r>
      <w:r>
        <w:rPr>
          <w:rFonts w:hint="eastAsia" w:ascii="宋体" w:hAnsi="宋体" w:eastAsia="宋体" w:cs="宋体"/>
          <w:color w:val="000000"/>
          <w:sz w:val="21"/>
          <w:szCs w:val="21"/>
          <w:highlight w:val="none"/>
        </w:rPr>
        <w:t xml:space="preserve">更换：由乙方承担所发生的全部费用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27"/>
        <w:keepLines w:val="0"/>
        <w:keepNext w:val="0"/>
        <w:pageBreakBefore w:val="0"/>
        <w:spacing w:before="0" w:after="0" w:line="360" w:lineRule="auto"/>
        <w:widowControl w:val="off"/>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10.2.2 </w:t>
      </w:r>
      <w:r>
        <w:rPr>
          <w:rFonts w:hint="eastAsia" w:ascii="宋体" w:hAnsi="宋体" w:eastAsia="宋体" w:cs="宋体"/>
          <w:color w:val="000000"/>
          <w:sz w:val="21"/>
          <w:szCs w:val="21"/>
          <w:highlight w:val="none"/>
        </w:rPr>
        <w:t xml:space="preserve">贬值处理：由甲乙双方合议定价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27"/>
        <w:keepLines w:val="0"/>
        <w:keepNext w:val="0"/>
        <w:pageBreakBefore w:val="0"/>
        <w:spacing w:before="0" w:after="0"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10.2.3 </w:t>
      </w:r>
      <w:r>
        <w:rPr>
          <w:rFonts w:hint="eastAsia" w:ascii="宋体" w:hAnsi="宋体" w:eastAsia="宋体" w:cs="宋体"/>
          <w:color w:val="000000"/>
          <w:sz w:val="21"/>
          <w:szCs w:val="21"/>
          <w:highlight w:val="none"/>
        </w:rPr>
        <w:t xml:space="preserve">退货处理：乙方应退还甲方支付的合同款</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同时应承担该货物的直接费用（运输、保险、检验、货款利息及银行手续费等）。</w:t>
      </w:r>
      <w:r>
        <w:rPr>
          <w:rFonts w:hint="eastAsia" w:ascii="宋体" w:hAnsi="宋体" w:eastAsia="宋体" w:cs="宋体"/>
          <w:color w:val="000000"/>
          <w:sz w:val="21"/>
          <w:szCs w:val="21"/>
          <w:highlight w:val="none"/>
        </w:rPr>
      </w:r>
      <w:r/>
    </w:p>
    <w:p>
      <w:pPr>
        <w:pStyle w:val="927"/>
        <w:keepLines w:val="0"/>
        <w:keepNext w:val="0"/>
        <w:pageBreakBefore w:val="0"/>
        <w:spacing w:before="0" w:after="0"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10.3</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如在使用过程中发生质量问题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lang w:val="en-US" w:eastAsia="zh-CN"/>
        </w:rPr>
        <w:t xml:space="preserve">应</w:t>
      </w:r>
      <w:r>
        <w:rPr>
          <w:rFonts w:hint="eastAsia" w:ascii="宋体" w:hAnsi="宋体" w:eastAsia="宋体" w:cs="宋体"/>
          <w:color w:val="000000"/>
          <w:sz w:val="21"/>
          <w:szCs w:val="21"/>
          <w:highlight w:val="none"/>
        </w:rPr>
        <w:t xml:space="preserve">在接到甲方通知后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2</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小时内到达甲方现场。</w:t>
      </w:r>
      <w:r>
        <w:rPr>
          <w:rFonts w:hint="eastAsia" w:ascii="宋体" w:hAnsi="宋体" w:eastAsia="宋体" w:cs="宋体"/>
          <w:color w:val="000000"/>
          <w:sz w:val="21"/>
          <w:szCs w:val="21"/>
          <w:highlight w:val="none"/>
        </w:rPr>
      </w:r>
      <w:r/>
    </w:p>
    <w:p>
      <w:pPr>
        <w:pStyle w:val="927"/>
        <w:keepLines w:val="0"/>
        <w:keepNext w:val="0"/>
        <w:pageBreakBefore w:val="0"/>
        <w:spacing w:before="0" w:after="0"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10.4</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质保期内</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乙方应对货物出现的质量及安全问题负责处理解决并承担一切费用。</w:t>
      </w:r>
      <w:r>
        <w:rPr>
          <w:rFonts w:hint="eastAsia" w:ascii="宋体" w:hAnsi="宋体" w:eastAsia="宋体" w:cs="宋体"/>
          <w:color w:val="000000"/>
          <w:sz w:val="21"/>
          <w:szCs w:val="21"/>
          <w:highlight w:val="none"/>
        </w:rPr>
      </w:r>
      <w:r/>
    </w:p>
    <w:p>
      <w:pPr>
        <w:pStyle w:val="927"/>
        <w:keepLines w:val="0"/>
        <w:keepNext w:val="0"/>
        <w:pageBreakBefore w:val="0"/>
        <w:spacing w:before="0" w:after="0"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10.5</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质保期为</w:t>
      </w:r>
      <w:r>
        <w:rPr>
          <w:rFonts w:hint="eastAsia" w:ascii="宋体" w:hAnsi="宋体" w:eastAsia="宋体" w:cs="宋体"/>
          <w:color w:val="000000"/>
          <w:sz w:val="21"/>
          <w:szCs w:val="21"/>
          <w:highlight w:val="none"/>
          <w:u w:val="none"/>
        </w:rPr>
        <w:t xml:space="preserve">自交货验收合格之日起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六</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因人为因素出现的故障不在质保范围内。超过质保期的</w:t>
      </w:r>
      <w:r>
        <w:rPr>
          <w:rFonts w:hint="eastAsia" w:ascii="宋体" w:hAnsi="宋体" w:eastAsia="宋体" w:cs="宋体"/>
          <w:color w:val="000000"/>
          <w:sz w:val="21"/>
          <w:szCs w:val="21"/>
          <w:highlight w:val="none"/>
          <w:lang w:val="en-US" w:eastAsia="zh-CN"/>
        </w:rPr>
        <w:t xml:space="preserve">乙方负责</w:t>
      </w:r>
      <w:r>
        <w:rPr>
          <w:rFonts w:hint="eastAsia" w:ascii="宋体" w:hAnsi="宋体" w:eastAsia="宋体" w:cs="宋体"/>
          <w:color w:val="000000"/>
          <w:sz w:val="21"/>
          <w:szCs w:val="21"/>
          <w:highlight w:val="none"/>
        </w:rPr>
        <w:t xml:space="preserve">终生维修</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维修时只收</w:t>
      </w:r>
      <w:r>
        <w:rPr>
          <w:rFonts w:hint="eastAsia" w:ascii="宋体" w:hAnsi="宋体" w:eastAsia="宋体" w:cs="宋体"/>
          <w:color w:val="000000"/>
          <w:sz w:val="21"/>
          <w:szCs w:val="21"/>
          <w:highlight w:val="none"/>
          <w:lang w:val="en-US" w:eastAsia="zh-CN"/>
        </w:rPr>
        <w:t xml:space="preserve">取</w:t>
      </w:r>
      <w:r>
        <w:rPr>
          <w:rFonts w:hint="eastAsia" w:ascii="宋体" w:hAnsi="宋体" w:eastAsia="宋体" w:cs="宋体"/>
          <w:color w:val="000000"/>
          <w:sz w:val="21"/>
          <w:szCs w:val="21"/>
          <w:highlight w:val="none"/>
        </w:rPr>
        <w:t xml:space="preserve">部件成本费。</w:t>
      </w:r>
      <w:r>
        <w:rPr>
          <w:rFonts w:hint="eastAsia" w:ascii="宋体" w:hAnsi="宋体" w:eastAsia="宋体" w:cs="宋体"/>
          <w:color w:val="000000"/>
          <w:sz w:val="21"/>
          <w:szCs w:val="21"/>
          <w:highlight w:val="none"/>
        </w:rPr>
      </w:r>
      <w:r/>
    </w:p>
    <w:p>
      <w:pPr>
        <w:pStyle w:val="927"/>
        <w:keepLines w:val="0"/>
        <w:keepNext w:val="0"/>
        <w:pageBreakBefore w:val="0"/>
        <w:spacing w:before="0" w:after="0" w:line="360" w:lineRule="auto"/>
        <w:widowControl w:val="off"/>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十一、项目验收</w:t>
      </w:r>
      <w:r>
        <w:rPr>
          <w:rFonts w:hint="eastAsia" w:ascii="宋体" w:hAnsi="宋体" w:eastAsia="宋体" w:cs="宋体"/>
          <w:b w:val="0"/>
          <w:bCs/>
          <w:color w:val="000000"/>
          <w:sz w:val="21"/>
          <w:szCs w:val="21"/>
          <w:highlight w:val="none"/>
        </w:rPr>
      </w:r>
      <w:r/>
    </w:p>
    <w:p>
      <w:pPr>
        <w:pStyle w:val="927"/>
        <w:keepLines w:val="0"/>
        <w:keepNext w:val="0"/>
        <w:pageBreakBefore w:val="0"/>
        <w:spacing w:before="0" w:after="0"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甲方依法组织履约验收工作。</w:t>
      </w:r>
      <w:r>
        <w:rPr>
          <w:rFonts w:hint="eastAsia" w:ascii="宋体" w:hAnsi="宋体" w:eastAsia="宋体" w:cs="宋体"/>
          <w:color w:val="000000"/>
          <w:sz w:val="21"/>
          <w:szCs w:val="21"/>
          <w:highlight w:val="none"/>
        </w:rPr>
      </w:r>
      <w:r/>
    </w:p>
    <w:p>
      <w:pPr>
        <w:pStyle w:val="927"/>
        <w:keepLines w:val="0"/>
        <w:keepNext w:val="0"/>
        <w:pageBreakBefore w:val="0"/>
        <w:spacing w:before="0" w:after="0"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甲方在组织履约验收前</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将根据项目特点制定验收方案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明确验收的时间、方式、程序等</w:t>
      </w:r>
      <w:r>
        <w:rPr>
          <w:rFonts w:hint="eastAsia" w:ascii="宋体" w:hAnsi="宋体" w:eastAsia="宋体" w:cs="宋体"/>
          <w:color w:val="000000"/>
          <w:sz w:val="21"/>
          <w:szCs w:val="21"/>
          <w:highlight w:val="none"/>
          <w:lang w:eastAsia="zh-CN"/>
        </w:rPr>
        <w:t xml:space="preserve">内容，</w:t>
      </w:r>
      <w:r>
        <w:rPr>
          <w:rFonts w:hint="eastAsia" w:ascii="宋体" w:hAnsi="宋体" w:eastAsia="宋体" w:cs="宋体"/>
          <w:color w:val="000000"/>
          <w:sz w:val="21"/>
          <w:szCs w:val="21"/>
          <w:highlight w:val="none"/>
        </w:rPr>
        <w:t xml:space="preserve">并可根据项目特点对服务期内的服务实施情况进行分期考核</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综合考核情况和服务效果进行验收。乙方应根据验收方案做好相应配合工作。</w:t>
      </w:r>
      <w:r>
        <w:rPr>
          <w:rFonts w:hint="eastAsia" w:ascii="宋体" w:hAnsi="宋体" w:eastAsia="宋体" w:cs="宋体"/>
          <w:color w:val="000000"/>
          <w:sz w:val="21"/>
          <w:szCs w:val="21"/>
          <w:highlight w:val="none"/>
        </w:rPr>
      </w:r>
      <w:r/>
    </w:p>
    <w:p>
      <w:pPr>
        <w:pStyle w:val="927"/>
        <w:keepLines w:val="0"/>
        <w:keepNext w:val="0"/>
        <w:pageBreakBefore w:val="0"/>
        <w:spacing w:before="0" w:after="0"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11.3</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对于实际使用人和甲方分离的项目</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甲方邀请实际使用人参与验收。</w:t>
      </w:r>
      <w:r>
        <w:rPr>
          <w:rFonts w:hint="eastAsia" w:ascii="宋体" w:hAnsi="宋体" w:eastAsia="宋体" w:cs="宋体"/>
          <w:color w:val="000000"/>
          <w:sz w:val="21"/>
          <w:szCs w:val="21"/>
          <w:highlight w:val="none"/>
        </w:rPr>
      </w:r>
      <w:r/>
    </w:p>
    <w:p>
      <w:pPr>
        <w:pStyle w:val="927"/>
        <w:keepLines w:val="0"/>
        <w:keepNext w:val="0"/>
        <w:pageBreakBefore w:val="0"/>
        <w:spacing w:before="0" w:after="0"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11.4</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如有必要</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甲方</w:t>
      </w:r>
      <w:r>
        <w:rPr>
          <w:rFonts w:hint="eastAsia" w:ascii="宋体" w:hAnsi="宋体" w:eastAsia="宋体" w:cs="宋体"/>
          <w:color w:val="000000"/>
          <w:sz w:val="21"/>
          <w:szCs w:val="21"/>
          <w:highlight w:val="none"/>
          <w:lang w:val="en-US" w:eastAsia="zh-CN"/>
        </w:rPr>
        <w:t xml:space="preserve">可</w:t>
      </w:r>
      <w:r>
        <w:rPr>
          <w:rFonts w:hint="eastAsia" w:ascii="宋体" w:hAnsi="宋体" w:eastAsia="宋体" w:cs="宋体"/>
          <w:color w:val="000000"/>
          <w:sz w:val="21"/>
          <w:szCs w:val="21"/>
          <w:highlight w:val="none"/>
        </w:rPr>
        <w:t xml:space="preserve">邀请参加本项目</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的其他供应商或第三方专业机构及专家参与验收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相关意见将作为验收</w:t>
      </w:r>
      <w:r>
        <w:rPr>
          <w:rFonts w:hint="eastAsia" w:ascii="宋体" w:hAnsi="宋体" w:eastAsia="宋体" w:cs="宋体"/>
          <w:color w:val="000000"/>
          <w:sz w:val="21"/>
          <w:szCs w:val="21"/>
          <w:highlight w:val="none"/>
          <w:lang w:val="en-US" w:eastAsia="zh-CN"/>
        </w:rPr>
        <w:t xml:space="preserve">结论</w:t>
      </w:r>
      <w:r>
        <w:rPr>
          <w:rFonts w:hint="eastAsia" w:ascii="宋体" w:hAnsi="宋体" w:eastAsia="宋体" w:cs="宋体"/>
          <w:color w:val="000000"/>
          <w:sz w:val="21"/>
          <w:szCs w:val="21"/>
          <w:highlight w:val="none"/>
        </w:rPr>
        <w:t xml:space="preserve">的参考。</w:t>
      </w:r>
      <w:r>
        <w:rPr>
          <w:rFonts w:hint="eastAsia" w:ascii="宋体" w:hAnsi="宋体" w:eastAsia="宋体" w:cs="宋体"/>
          <w:color w:val="000000"/>
          <w:sz w:val="21"/>
          <w:szCs w:val="21"/>
          <w:highlight w:val="none"/>
        </w:rPr>
      </w:r>
      <w:r/>
    </w:p>
    <w:p>
      <w:pPr>
        <w:pStyle w:val="927"/>
        <w:keepLines w:val="0"/>
        <w:keepNext w:val="0"/>
        <w:pageBreakBefore w:val="0"/>
        <w:spacing w:before="0" w:after="0"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11.5</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甲方成立验收小组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列明各项标准的验收情况及项目总体评价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由验收双方共同签署。验收结果与采购合同约定的资金支付及履约保证金</w:t>
      </w:r>
      <w:r>
        <w:rPr>
          <w:rFonts w:hint="eastAsia" w:ascii="宋体" w:hAnsi="宋体" w:eastAsia="宋体" w:cs="宋体"/>
          <w:color w:val="000000"/>
          <w:sz w:val="21"/>
          <w:szCs w:val="21"/>
          <w:highlight w:val="none"/>
          <w:lang w:val="en-US" w:eastAsia="zh-CN"/>
        </w:rPr>
        <w:t xml:space="preserve">退</w:t>
      </w:r>
      <w:r>
        <w:rPr>
          <w:rFonts w:hint="eastAsia" w:ascii="宋体" w:hAnsi="宋体" w:eastAsia="宋体" w:cs="宋体"/>
          <w:color w:val="000000"/>
          <w:sz w:val="21"/>
          <w:szCs w:val="21"/>
          <w:highlight w:val="none"/>
        </w:rPr>
        <w:t xml:space="preserve">还挂钩。履约验收的各项资料存档备查。</w:t>
      </w:r>
      <w:r>
        <w:rPr>
          <w:rFonts w:hint="eastAsia" w:ascii="宋体" w:hAnsi="宋体" w:eastAsia="宋体" w:cs="宋体"/>
          <w:color w:val="000000"/>
          <w:sz w:val="21"/>
          <w:szCs w:val="21"/>
          <w:highlight w:val="none"/>
        </w:rPr>
      </w:r>
      <w:r/>
    </w:p>
    <w:p>
      <w:pPr>
        <w:pStyle w:val="927"/>
        <w:keepLines w:val="0"/>
        <w:keepNext w:val="0"/>
        <w:pageBreakBefore w:val="0"/>
        <w:spacing w:before="0" w:after="0"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11.6</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验收合格的项目</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甲方根据采购合同的约定及时向乙方支付合同款项、退还履约保证金。验收不合格的项目</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甲方依法及时处理。采购合同的履行、违约责任和解决争议的方式等适用《</w:t>
      </w:r>
      <w:r>
        <w:rPr>
          <w:rFonts w:hint="eastAsia" w:ascii="宋体" w:hAnsi="宋体" w:eastAsia="宋体" w:cs="宋体"/>
          <w:color w:val="000000"/>
          <w:sz w:val="21"/>
          <w:szCs w:val="21"/>
          <w:highlight w:val="none"/>
          <w:lang w:eastAsia="zh-CN"/>
        </w:rPr>
        <w:t xml:space="preserve">中华人民共和国</w:t>
      </w:r>
      <w:r>
        <w:rPr>
          <w:rFonts w:hint="eastAsia" w:ascii="宋体" w:hAnsi="宋体" w:eastAsia="宋体" w:cs="宋体"/>
          <w:color w:val="000000"/>
          <w:sz w:val="21"/>
          <w:szCs w:val="21"/>
          <w:highlight w:val="none"/>
        </w:rPr>
        <w:t xml:space="preserve">民法典》。乙方在履约过程中有政府采购法律法规规定的违法违规情形的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甲方将及时报告本级财政部门。</w:t>
      </w:r>
      <w:r>
        <w:rPr>
          <w:rFonts w:hint="eastAsia" w:ascii="宋体" w:hAnsi="宋体" w:eastAsia="宋体" w:cs="宋体"/>
          <w:color w:val="000000"/>
          <w:sz w:val="21"/>
          <w:szCs w:val="21"/>
          <w:highlight w:val="none"/>
        </w:rPr>
      </w:r>
      <w:r/>
    </w:p>
    <w:p>
      <w:pPr>
        <w:pStyle w:val="927"/>
        <w:keepLines w:val="0"/>
        <w:keepNext w:val="0"/>
        <w:pageBreakBefore w:val="0"/>
        <w:spacing w:before="0" w:after="0" w:line="360" w:lineRule="auto"/>
        <w:widowControl w:val="off"/>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十二、货物的包装、发运及运输</w:t>
      </w:r>
      <w:r>
        <w:rPr>
          <w:rFonts w:hint="eastAsia" w:ascii="宋体" w:hAnsi="宋体" w:eastAsia="宋体" w:cs="宋体"/>
          <w:b w:val="0"/>
          <w:bCs/>
          <w:color w:val="000000"/>
          <w:sz w:val="21"/>
          <w:szCs w:val="21"/>
          <w:highlight w:val="none"/>
        </w:rPr>
      </w:r>
      <w:r/>
    </w:p>
    <w:p>
      <w:pPr>
        <w:pStyle w:val="927"/>
        <w:keepLines w:val="0"/>
        <w:keepNext w:val="0"/>
        <w:pageBreakBefore w:val="0"/>
        <w:spacing w:before="0" w:after="0"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rPr>
        <w:t xml:space="preserve">12.</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乙方应在货物发运前对其进行满足运输距离、防潮、防震、防锈和防破损装卸等要求包装</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以保证货物安全运达甲方指定地点。货物的包装应符合《商品包装政府采购需求标准（试行）》《快递包装政府采购需求标准（试行）》的规定。</w:t>
      </w:r>
      <w:r>
        <w:rPr>
          <w:rFonts w:hint="eastAsia" w:ascii="宋体" w:hAnsi="宋体" w:eastAsia="宋体" w:cs="宋体"/>
          <w:color w:val="000000"/>
          <w:sz w:val="21"/>
          <w:szCs w:val="21"/>
          <w:highlight w:val="none"/>
        </w:rPr>
      </w:r>
      <w:r/>
    </w:p>
    <w:p>
      <w:pPr>
        <w:pStyle w:val="927"/>
        <w:keepLines w:val="0"/>
        <w:keepNext w:val="0"/>
        <w:pageBreakBefore w:val="0"/>
        <w:spacing w:before="0" w:after="0"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使用说明书、质量检验证明书、随配附件和工具以及清单一并附于货物内。</w:t>
      </w:r>
      <w:r>
        <w:rPr>
          <w:rFonts w:hint="eastAsia" w:ascii="宋体" w:hAnsi="宋体" w:eastAsia="宋体" w:cs="宋体"/>
          <w:color w:val="000000"/>
          <w:sz w:val="21"/>
          <w:szCs w:val="21"/>
          <w:highlight w:val="none"/>
        </w:rPr>
      </w:r>
      <w:r/>
    </w:p>
    <w:p>
      <w:pPr>
        <w:pStyle w:val="927"/>
        <w:keepLines w:val="0"/>
        <w:keepNext w:val="0"/>
        <w:pageBreakBefore w:val="0"/>
        <w:spacing w:before="0" w:after="0"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12.3</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乙方在货物发运手续办理完毕后24小时内或货到甲方48小时前通知甲方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以准备接货。</w:t>
      </w:r>
      <w:r>
        <w:rPr>
          <w:rFonts w:hint="eastAsia" w:ascii="宋体" w:hAnsi="宋体" w:eastAsia="宋体" w:cs="宋体"/>
          <w:color w:val="000000"/>
          <w:sz w:val="21"/>
          <w:szCs w:val="21"/>
          <w:highlight w:val="none"/>
        </w:rPr>
      </w:r>
      <w:r/>
    </w:p>
    <w:p>
      <w:pPr>
        <w:pStyle w:val="927"/>
        <w:keepLines w:val="0"/>
        <w:keepNext w:val="0"/>
        <w:pageBreakBefore w:val="0"/>
        <w:spacing w:before="0" w:after="0"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12.4</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货物在交付甲方前发生的风险均由乙方负责。</w:t>
      </w:r>
      <w:r>
        <w:rPr>
          <w:rFonts w:hint="eastAsia" w:ascii="宋体" w:hAnsi="宋体" w:eastAsia="宋体" w:cs="宋体"/>
          <w:color w:val="000000"/>
          <w:sz w:val="21"/>
          <w:szCs w:val="21"/>
          <w:highlight w:val="none"/>
        </w:rPr>
      </w:r>
      <w:r/>
    </w:p>
    <w:p>
      <w:pPr>
        <w:pStyle w:val="927"/>
        <w:keepLines w:val="0"/>
        <w:keepNext w:val="0"/>
        <w:pageBreakBefore w:val="0"/>
        <w:spacing w:before="0" w:after="0"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12.5</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货物在规定的交付期限内由乙方送达甲方指定的地点视为交付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乙方同时需通知甲方货物已送达。</w:t>
      </w:r>
      <w:r>
        <w:rPr>
          <w:rFonts w:hint="eastAsia" w:ascii="宋体" w:hAnsi="宋体" w:eastAsia="宋体" w:cs="宋体"/>
          <w:color w:val="000000"/>
          <w:sz w:val="21"/>
          <w:szCs w:val="21"/>
          <w:highlight w:val="none"/>
        </w:rPr>
      </w:r>
      <w:r/>
    </w:p>
    <w:p>
      <w:pPr>
        <w:pStyle w:val="927"/>
        <w:keepLines w:val="0"/>
        <w:keepNext w:val="0"/>
        <w:pageBreakBefore w:val="0"/>
        <w:spacing w:before="0" w:after="0" w:line="360" w:lineRule="auto"/>
        <w:widowControl w:val="off"/>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十三、违约责任</w:t>
      </w:r>
      <w:r>
        <w:rPr>
          <w:rFonts w:hint="eastAsia" w:ascii="宋体" w:hAnsi="宋体" w:eastAsia="宋体" w:cs="宋体"/>
          <w:b w:val="0"/>
          <w:bCs/>
          <w:color w:val="000000"/>
          <w:sz w:val="21"/>
          <w:szCs w:val="21"/>
          <w:highlight w:val="none"/>
        </w:rPr>
      </w:r>
      <w:r/>
    </w:p>
    <w:p>
      <w:pPr>
        <w:pStyle w:val="927"/>
        <w:keepLines w:val="0"/>
        <w:keepNext w:val="0"/>
        <w:pageBreakBefore w:val="0"/>
        <w:spacing w:before="0" w:after="0"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甲方无正当理由拒收货物的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应</w:t>
      </w:r>
      <w:r>
        <w:rPr>
          <w:rFonts w:hint="eastAsia" w:ascii="宋体" w:hAnsi="宋体" w:eastAsia="宋体" w:cs="宋体"/>
          <w:color w:val="000000"/>
          <w:sz w:val="21"/>
          <w:szCs w:val="21"/>
          <w:highlight w:val="none"/>
        </w:rPr>
        <w:t xml:space="preserve">向乙方偿付拒收货</w:t>
      </w:r>
      <w:r>
        <w:rPr>
          <w:rFonts w:hint="eastAsia" w:ascii="宋体" w:hAnsi="宋体" w:eastAsia="宋体" w:cs="宋体"/>
          <w:color w:val="000000"/>
          <w:sz w:val="21"/>
          <w:szCs w:val="21"/>
          <w:highlight w:val="none"/>
          <w:lang w:val="en-US" w:eastAsia="zh-CN"/>
        </w:rPr>
        <w:t xml:space="preserve">物</w:t>
      </w:r>
      <w:r>
        <w:rPr>
          <w:rFonts w:hint="eastAsia" w:ascii="宋体" w:hAnsi="宋体" w:eastAsia="宋体" w:cs="宋体"/>
          <w:color w:val="000000"/>
          <w:sz w:val="21"/>
          <w:szCs w:val="21"/>
          <w:highlight w:val="none"/>
        </w:rPr>
        <w:t xml:space="preserve">总</w:t>
      </w:r>
      <w:r>
        <w:rPr>
          <w:rFonts w:hint="eastAsia" w:ascii="宋体" w:hAnsi="宋体" w:eastAsia="宋体" w:cs="宋体"/>
          <w:color w:val="000000"/>
          <w:sz w:val="21"/>
          <w:szCs w:val="21"/>
          <w:highlight w:val="none"/>
          <w:lang w:val="en-US" w:eastAsia="zh-CN"/>
        </w:rPr>
        <w:t xml:space="preserve">价</w:t>
      </w:r>
      <w:r>
        <w:rPr>
          <w:rFonts w:hint="eastAsia" w:ascii="宋体" w:hAnsi="宋体" w:eastAsia="宋体" w:cs="宋体"/>
          <w:color w:val="000000"/>
          <w:sz w:val="21"/>
          <w:szCs w:val="21"/>
          <w:highlight w:val="none"/>
        </w:rPr>
        <w:t xml:space="preserve">款</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ascii="宋体" w:hAnsi="宋体" w:eastAsia="宋体" w:cs="宋体"/>
          <w:color w:val="000000"/>
          <w:sz w:val="21"/>
          <w:szCs w:val="21"/>
          <w:highlight w:val="none"/>
          <w:u w:val="single"/>
        </w:rPr>
        <w:t xml:space="preserve">5%</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的违约金。</w:t>
      </w:r>
      <w:r>
        <w:rPr>
          <w:rFonts w:hint="eastAsia" w:ascii="宋体" w:hAnsi="宋体" w:eastAsia="宋体" w:cs="宋体"/>
          <w:color w:val="000000"/>
          <w:sz w:val="21"/>
          <w:szCs w:val="21"/>
          <w:highlight w:val="none"/>
        </w:rPr>
      </w:r>
      <w:r/>
    </w:p>
    <w:p>
      <w:pPr>
        <w:pStyle w:val="927"/>
        <w:keepLines w:val="0"/>
        <w:keepNext w:val="0"/>
        <w:pageBreakBefore w:val="0"/>
        <w:spacing w:before="0" w:after="0"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甲方无故逾期验收和办理货款支付手续的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应按逾期付款总额每日</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u w:val="single"/>
        </w:rPr>
        <w:t xml:space="preserve">5‰</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向乙方支付违约金。</w:t>
      </w:r>
      <w:r>
        <w:rPr>
          <w:rFonts w:hint="eastAsia" w:ascii="宋体" w:hAnsi="宋体" w:eastAsia="宋体" w:cs="宋体"/>
          <w:color w:val="000000"/>
          <w:sz w:val="21"/>
          <w:szCs w:val="21"/>
          <w:highlight w:val="none"/>
        </w:rPr>
      </w:r>
      <w:r/>
    </w:p>
    <w:p>
      <w:pPr>
        <w:pStyle w:val="927"/>
        <w:keepLines w:val="0"/>
        <w:keepNext w:val="0"/>
        <w:pageBreakBefore w:val="0"/>
        <w:spacing w:before="0" w:after="0"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13.3</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乙方逾期交付货物的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应按逾期交货总额每日</w:t>
      </w:r>
      <w:r>
        <w:rPr>
          <w:rFonts w:hint="eastAsia" w:ascii="宋体" w:hAnsi="宋体" w:eastAsia="宋体" w:cs="宋体"/>
          <w:color w:val="000000"/>
          <w:sz w:val="21"/>
          <w:szCs w:val="21"/>
          <w:highlight w:val="none"/>
          <w:u w:val="single"/>
          <w:lang w:val="en-US" w:eastAsia="zh-CN"/>
        </w:rPr>
        <w:t xml:space="preserve">  </w:t>
      </w:r>
      <w:r>
        <w:rPr>
          <w:rFonts w:ascii="宋体" w:hAnsi="宋体" w:eastAsia="宋体" w:cs="宋体"/>
          <w:color w:val="000000"/>
          <w:sz w:val="21"/>
          <w:szCs w:val="21"/>
          <w:highlight w:val="none"/>
          <w:u w:val="single"/>
        </w:rPr>
        <w:t xml:space="preserve">5‰</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向甲方支付违约金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由甲方从待付货款中扣除。逾期超过约定日期10个工作日不能交货的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甲方可解除本合同。乙方因逾期交货或因其他违约行为导致甲方解除合同的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应向甲方支付合同总</w:t>
      </w:r>
      <w:r>
        <w:rPr>
          <w:rFonts w:hint="eastAsia" w:ascii="宋体" w:hAnsi="宋体" w:eastAsia="宋体" w:cs="宋体"/>
          <w:color w:val="000000"/>
          <w:sz w:val="21"/>
          <w:szCs w:val="21"/>
          <w:highlight w:val="none"/>
          <w:lang w:val="en-US" w:eastAsia="zh-CN"/>
        </w:rPr>
        <w:t xml:space="preserve">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ascii="宋体" w:hAnsi="宋体" w:eastAsia="宋体" w:cs="宋体"/>
          <w:color w:val="000000"/>
          <w:sz w:val="21"/>
          <w:szCs w:val="21"/>
          <w:highlight w:val="none"/>
          <w:u w:val="single"/>
        </w:rPr>
        <w:t xml:space="preserve">30%</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的违约金。 </w:t>
      </w:r>
      <w:r>
        <w:rPr>
          <w:rFonts w:hint="eastAsia" w:ascii="宋体" w:hAnsi="宋体" w:eastAsia="宋体" w:cs="宋体"/>
          <w:color w:val="000000"/>
          <w:sz w:val="21"/>
          <w:szCs w:val="21"/>
          <w:highlight w:val="none"/>
        </w:rPr>
      </w:r>
      <w:r/>
    </w:p>
    <w:p>
      <w:pPr>
        <w:pStyle w:val="927"/>
        <w:keepLines w:val="0"/>
        <w:keepNext w:val="0"/>
        <w:pageBreakBefore w:val="0"/>
        <w:spacing w:before="0" w:after="0"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13.4 乙方所交</w:t>
      </w:r>
      <w:r>
        <w:rPr>
          <w:rFonts w:hint="eastAsia" w:ascii="宋体" w:hAnsi="宋体" w:eastAsia="宋体" w:cs="宋体"/>
          <w:color w:val="000000"/>
          <w:sz w:val="21"/>
          <w:szCs w:val="21"/>
          <w:highlight w:val="none"/>
          <w:lang w:val="en-US" w:eastAsia="zh-CN"/>
        </w:rPr>
        <w:t xml:space="preserve">付</w:t>
      </w:r>
      <w:r>
        <w:rPr>
          <w:rFonts w:hint="eastAsia" w:ascii="宋体" w:hAnsi="宋体" w:eastAsia="宋体" w:cs="宋体"/>
          <w:color w:val="000000"/>
          <w:sz w:val="21"/>
          <w:szCs w:val="21"/>
          <w:highlight w:val="none"/>
        </w:rPr>
        <w:t xml:space="preserve">的货物品种、型号、规格、技术参数、质量不符合合同规定及招标文件规定标准的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甲方有权拒收该货物</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乙方愿意更换货物但逾期交货的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按乙方逾期交货处理。乙方拒绝更换货物的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甲方可单方面解除合同。</w:t>
      </w:r>
      <w:r>
        <w:rPr>
          <w:rFonts w:hint="eastAsia" w:ascii="宋体" w:hAnsi="宋体" w:eastAsia="宋体" w:cs="宋体"/>
          <w:color w:val="000000"/>
          <w:sz w:val="21"/>
          <w:szCs w:val="21"/>
          <w:highlight w:val="none"/>
        </w:rPr>
      </w:r>
      <w:r/>
    </w:p>
    <w:p>
      <w:pPr>
        <w:pStyle w:val="927"/>
        <w:keepLines w:val="0"/>
        <w:keepNext w:val="0"/>
        <w:pageBreakBefore w:val="0"/>
        <w:spacing w:before="0" w:after="0" w:line="360" w:lineRule="auto"/>
        <w:widowControl w:val="off"/>
        <w:rPr>
          <w:rFonts w:hint="eastAsia" w:ascii="宋体" w:hAnsi="宋体" w:eastAsia="宋体" w:cs="宋体"/>
          <w:szCs w:val="21"/>
          <w:highlight w:val="none"/>
        </w:rPr>
        <w:outlineLvl w:val="9"/>
      </w:pPr>
      <w:r>
        <w:rPr>
          <w:rFonts w:hint="eastAsia" w:ascii="宋体" w:hAnsi="宋体" w:eastAsia="宋体" w:cs="宋体"/>
          <w:color w:val="000000"/>
          <w:sz w:val="21"/>
          <w:szCs w:val="21"/>
          <w:highlight w:val="none"/>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eastAsia="宋体" w:cs="宋体"/>
          <w:szCs w:val="21"/>
          <w:highlight w:val="none"/>
        </w:rPr>
      </w:r>
      <w:r/>
    </w:p>
    <w:p>
      <w:pPr>
        <w:pStyle w:val="927"/>
        <w:keepLines w:val="0"/>
        <w:keepNext w:val="0"/>
        <w:pageBreakBefore w:val="0"/>
        <w:spacing w:before="0" w:after="0" w:line="360" w:lineRule="auto"/>
        <w:widowControl w:val="off"/>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十四、不可抗力事件处理</w:t>
      </w:r>
      <w:r>
        <w:rPr>
          <w:rFonts w:hint="eastAsia" w:ascii="宋体" w:hAnsi="宋体" w:eastAsia="宋体" w:cs="宋体"/>
          <w:b w:val="0"/>
          <w:bCs/>
          <w:color w:val="000000"/>
          <w:sz w:val="21"/>
          <w:szCs w:val="21"/>
          <w:highlight w:val="none"/>
        </w:rPr>
      </w:r>
      <w:r/>
    </w:p>
    <w:p>
      <w:pPr>
        <w:pStyle w:val="927"/>
        <w:keepLines w:val="0"/>
        <w:keepNext w:val="0"/>
        <w:pageBreakBefore w:val="0"/>
        <w:spacing w:before="0" w:after="0"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14.1 在合同有效期内</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任何一方因不可抗力事件导致不能履行合同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则合同履行期可延长</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其延长期与不可抗力影响期相同。</w:t>
      </w:r>
      <w:r>
        <w:rPr>
          <w:rFonts w:hint="eastAsia" w:ascii="宋体" w:hAnsi="宋体" w:eastAsia="宋体" w:cs="宋体"/>
          <w:color w:val="000000"/>
          <w:sz w:val="21"/>
          <w:szCs w:val="21"/>
          <w:highlight w:val="none"/>
        </w:rPr>
      </w:r>
      <w:r/>
    </w:p>
    <w:p>
      <w:pPr>
        <w:pStyle w:val="927"/>
        <w:keepLines w:val="0"/>
        <w:keepNext w:val="0"/>
        <w:pageBreakBefore w:val="0"/>
        <w:spacing w:before="0" w:after="0"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14.2 不可抗力事件发生后</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应立即通知对方并寄送有关权威机构出具的证明。</w:t>
      </w:r>
      <w:r>
        <w:rPr>
          <w:rFonts w:hint="eastAsia" w:ascii="宋体" w:hAnsi="宋体" w:eastAsia="宋体" w:cs="宋体"/>
          <w:color w:val="000000"/>
          <w:sz w:val="21"/>
          <w:szCs w:val="21"/>
          <w:highlight w:val="none"/>
        </w:rPr>
      </w:r>
      <w:r/>
    </w:p>
    <w:p>
      <w:pPr>
        <w:pStyle w:val="927"/>
        <w:keepLines w:val="0"/>
        <w:keepNext w:val="0"/>
        <w:pageBreakBefore w:val="0"/>
        <w:spacing w:before="0" w:after="0"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14.3 不可抗力事件延续120天以上</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双方应通过友好协商确定是否继续履行合同。</w:t>
      </w:r>
      <w:r>
        <w:rPr>
          <w:rFonts w:hint="eastAsia" w:ascii="宋体" w:hAnsi="宋体" w:eastAsia="宋体" w:cs="宋体"/>
          <w:color w:val="000000"/>
          <w:sz w:val="21"/>
          <w:szCs w:val="21"/>
          <w:highlight w:val="none"/>
        </w:rPr>
      </w:r>
      <w:r/>
    </w:p>
    <w:p>
      <w:pPr>
        <w:pStyle w:val="927"/>
        <w:keepLines w:val="0"/>
        <w:keepNext w:val="0"/>
        <w:pageBreakBefore w:val="0"/>
        <w:spacing w:before="0" w:after="0" w:line="360" w:lineRule="auto"/>
        <w:widowControl w:val="off"/>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十五、解决争议的方法</w:t>
      </w:r>
      <w:r>
        <w:rPr>
          <w:rFonts w:hint="eastAsia" w:ascii="宋体" w:hAnsi="宋体" w:eastAsia="宋体" w:cs="宋体"/>
          <w:b w:val="0"/>
          <w:bCs/>
          <w:color w:val="000000"/>
          <w:sz w:val="21"/>
          <w:szCs w:val="21"/>
          <w:highlight w:val="none"/>
        </w:rPr>
      </w:r>
      <w:r/>
    </w:p>
    <w:p>
      <w:pPr>
        <w:pStyle w:val="927"/>
        <w:keepLines w:val="0"/>
        <w:keepNext w:val="0"/>
        <w:pageBreakBefore w:val="0"/>
        <w:spacing w:before="0" w:after="0"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15.1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甲乙双方因合同签订、履行而发生的一切争议</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应通过友好协商解决。协商不成</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由甲方住所地人民法院管辖。</w:t>
      </w:r>
      <w:r>
        <w:rPr>
          <w:rFonts w:hint="eastAsia" w:ascii="宋体" w:hAnsi="宋体" w:eastAsia="宋体" w:cs="宋体"/>
          <w:color w:val="000000"/>
          <w:sz w:val="21"/>
          <w:szCs w:val="21"/>
          <w:highlight w:val="none"/>
        </w:rPr>
      </w:r>
      <w:r/>
    </w:p>
    <w:p>
      <w:pPr>
        <w:pStyle w:val="927"/>
        <w:keepLines w:val="0"/>
        <w:keepNext w:val="0"/>
        <w:pageBreakBefore w:val="0"/>
        <w:spacing w:before="0" w:after="0" w:line="360" w:lineRule="auto"/>
        <w:widowControl w:val="off"/>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十六、合同生效及其它</w:t>
      </w:r>
      <w:r>
        <w:rPr>
          <w:rFonts w:hint="eastAsia" w:ascii="宋体" w:hAnsi="宋体" w:eastAsia="宋体" w:cs="宋体"/>
          <w:b w:val="0"/>
          <w:bCs/>
          <w:color w:val="000000"/>
          <w:sz w:val="21"/>
          <w:szCs w:val="21"/>
          <w:highlight w:val="none"/>
        </w:rPr>
      </w:r>
      <w:r/>
    </w:p>
    <w:p>
      <w:pPr>
        <w:pStyle w:val="927"/>
        <w:keepLines w:val="0"/>
        <w:keepNext w:val="0"/>
        <w:pageBreakBefore w:val="0"/>
        <w:spacing w:before="0" w:after="0"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16.1 </w:t>
      </w:r>
      <w:r>
        <w:rPr>
          <w:rFonts w:hint="eastAsia" w:ascii="宋体" w:hAnsi="宋体" w:eastAsia="宋体" w:cs="宋体"/>
          <w:color w:val="000000"/>
          <w:sz w:val="21"/>
          <w:szCs w:val="21"/>
          <w:highlight w:val="none"/>
          <w:lang w:val="en-US" w:eastAsia="zh-CN"/>
        </w:rPr>
        <w:t xml:space="preserve">本</w:t>
      </w:r>
      <w:r>
        <w:rPr>
          <w:rFonts w:hint="eastAsia" w:ascii="宋体" w:hAnsi="宋体" w:eastAsia="宋体" w:cs="宋体"/>
          <w:color w:val="000000"/>
          <w:sz w:val="21"/>
          <w:szCs w:val="21"/>
          <w:highlight w:val="none"/>
        </w:rPr>
        <w:t xml:space="preserve">合同经双方加盖单位公章后生效。</w:t>
      </w:r>
      <w:r>
        <w:rPr>
          <w:rFonts w:hint="eastAsia" w:ascii="宋体" w:hAnsi="宋体" w:eastAsia="宋体" w:cs="宋体"/>
          <w:color w:val="000000"/>
          <w:sz w:val="21"/>
          <w:szCs w:val="21"/>
          <w:highlight w:val="none"/>
        </w:rPr>
      </w:r>
      <w:r/>
    </w:p>
    <w:p>
      <w:pPr>
        <w:pStyle w:val="927"/>
        <w:keepLines w:val="0"/>
        <w:keepNext w:val="0"/>
        <w:pageBreakBefore w:val="0"/>
        <w:spacing w:before="0" w:after="0"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本合同未尽事宜</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遵照《</w:t>
      </w:r>
      <w:r>
        <w:rPr>
          <w:rFonts w:hint="eastAsia" w:ascii="宋体" w:hAnsi="宋体" w:eastAsia="宋体" w:cs="宋体"/>
          <w:color w:val="000000"/>
          <w:sz w:val="21"/>
          <w:szCs w:val="21"/>
          <w:highlight w:val="none"/>
          <w:lang w:eastAsia="zh-CN"/>
        </w:rPr>
        <w:t xml:space="preserve">中华人民共和国</w:t>
      </w:r>
      <w:r>
        <w:rPr>
          <w:rFonts w:hint="eastAsia" w:ascii="宋体" w:hAnsi="宋体" w:eastAsia="宋体" w:cs="宋体"/>
          <w:color w:val="000000"/>
          <w:sz w:val="21"/>
          <w:szCs w:val="21"/>
          <w:highlight w:val="none"/>
        </w:rPr>
        <w:t xml:space="preserve">民法典》《</w:t>
      </w:r>
      <w:r>
        <w:rPr>
          <w:rFonts w:hint="eastAsia" w:ascii="宋体" w:hAnsi="宋体" w:eastAsia="宋体" w:cs="宋体"/>
          <w:color w:val="000000"/>
          <w:sz w:val="21"/>
          <w:szCs w:val="21"/>
          <w:highlight w:val="none"/>
          <w:lang w:eastAsia="zh-CN"/>
        </w:rPr>
        <w:t xml:space="preserve">中华人民共和国</w:t>
      </w:r>
      <w:r>
        <w:rPr>
          <w:rFonts w:hint="eastAsia" w:ascii="宋体" w:hAnsi="宋体" w:eastAsia="宋体" w:cs="宋体"/>
          <w:color w:val="000000"/>
          <w:sz w:val="21"/>
          <w:szCs w:val="21"/>
          <w:highlight w:val="none"/>
        </w:rPr>
        <w:t xml:space="preserve">政府采购法》有关条文执行。</w:t>
      </w:r>
      <w:r>
        <w:rPr>
          <w:rFonts w:hint="eastAsia" w:ascii="宋体" w:hAnsi="宋体" w:eastAsia="宋体" w:cs="宋体"/>
          <w:color w:val="000000"/>
          <w:sz w:val="21"/>
          <w:szCs w:val="21"/>
          <w:highlight w:val="none"/>
        </w:rPr>
      </w:r>
      <w:r/>
    </w:p>
    <w:p>
      <w:pPr>
        <w:pStyle w:val="927"/>
        <w:keepLines w:val="0"/>
        <w:keepNext w:val="0"/>
        <w:pageBreakBefore w:val="0"/>
        <w:spacing w:before="0" w:after="0"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16.3 本合同正本一式两份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具有同等法律效力</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甲方、乙方各执一份。</w:t>
      </w:r>
      <w:r>
        <w:rPr>
          <w:rFonts w:hint="eastAsia" w:ascii="宋体" w:hAnsi="宋体" w:eastAsia="宋体" w:cs="宋体"/>
          <w:color w:val="000000"/>
          <w:sz w:val="21"/>
          <w:szCs w:val="21"/>
          <w:highlight w:val="none"/>
        </w:rPr>
      </w:r>
      <w:r/>
    </w:p>
    <w:p>
      <w:pPr>
        <w:pStyle w:val="1149"/>
        <w:keepLines w:val="0"/>
        <w:keepNext w:val="0"/>
        <w:pageBreakBefore w:val="0"/>
        <w:spacing w:before="0" w:after="0" w:line="360" w:lineRule="auto"/>
        <w:widowControl w:val="off"/>
        <w:rPr>
          <w:rFonts w:hint="eastAsia" w:hAnsi="宋体" w:eastAsia="宋体" w:cs="宋体"/>
          <w:sz w:val="21"/>
          <w:szCs w:val="21"/>
          <w:highlight w:val="none"/>
        </w:rPr>
        <w:outlineLvl w:val="9"/>
      </w:pPr>
      <w:r/>
      <w:bookmarkStart w:id="117" w:name="_Hlt16619369"/>
      <w:r/>
      <w:bookmarkEnd w:id="117"/>
      <w:r>
        <w:rPr>
          <w:rFonts w:hint="eastAsia" w:hAnsi="宋体" w:eastAsia="宋体" w:cs="宋体"/>
          <w:sz w:val="21"/>
          <w:szCs w:val="21"/>
          <w:highlight w:val="none"/>
        </w:rPr>
        <w:t xml:space="preserve">  </w:t>
      </w:r>
      <w:r>
        <w:rPr>
          <w:rFonts w:hint="eastAsia" w:hAnsi="宋体" w:eastAsia="宋体" w:cs="宋体"/>
          <w:sz w:val="21"/>
          <w:szCs w:val="21"/>
          <w:highlight w:val="none"/>
        </w:rPr>
      </w:r>
      <w:r/>
    </w:p>
    <w:p>
      <w:pPr>
        <w:pStyle w:val="1149"/>
        <w:ind w:firstLine="0"/>
        <w:keepLines w:val="0"/>
        <w:keepNext w:val="0"/>
        <w:pageBreakBefore w:val="0"/>
        <w:spacing w:before="0" w:after="0" w:line="360" w:lineRule="auto"/>
        <w:widowControl w:val="off"/>
        <w:rPr>
          <w:rFonts w:hint="eastAsia" w:hAnsi="宋体" w:eastAsia="宋体" w:cs="宋体"/>
          <w:sz w:val="21"/>
          <w:szCs w:val="21"/>
          <w:highlight w:val="none"/>
        </w:rPr>
        <w:outlineLvl w:val="9"/>
      </w:pPr>
      <w:r>
        <w:rPr>
          <w:rFonts w:hint="eastAsia" w:hAnsi="宋体" w:eastAsia="宋体" w:cs="宋体"/>
          <w:sz w:val="21"/>
          <w:szCs w:val="21"/>
          <w:highlight w:val="none"/>
        </w:rPr>
        <w:t xml:space="preserve">甲</w:t>
      </w:r>
      <w:r>
        <w:rPr>
          <w:rFonts w:hint="eastAsia" w:hAnsi="宋体" w:eastAsia="宋体" w:cs="宋体"/>
          <w:sz w:val="21"/>
          <w:szCs w:val="21"/>
          <w:highlight w:val="none"/>
          <w:lang w:val="en-US" w:eastAsia="zh-CN"/>
        </w:rPr>
        <w:t xml:space="preserve">  </w:t>
      </w:r>
      <w:r>
        <w:rPr>
          <w:rFonts w:hint="eastAsia" w:hAnsi="宋体" w:eastAsia="宋体" w:cs="宋体"/>
          <w:sz w:val="21"/>
          <w:szCs w:val="21"/>
          <w:highlight w:val="none"/>
        </w:rPr>
        <w:t xml:space="preserve">方：</w:t>
      </w:r>
      <w:r>
        <w:rPr>
          <w:rFonts w:hint="eastAsia" w:hAnsi="宋体" w:eastAsia="宋体" w:cs="宋体"/>
          <w:sz w:val="21"/>
          <w:szCs w:val="21"/>
          <w:highlight w:val="none"/>
          <w:lang w:eastAsia="zh-CN"/>
        </w:rPr>
        <w:t xml:space="preserve">（</w:t>
      </w:r>
      <w:r>
        <w:rPr>
          <w:rFonts w:hint="eastAsia" w:hAnsi="宋体" w:eastAsia="宋体" w:cs="宋体"/>
          <w:sz w:val="21"/>
          <w:szCs w:val="21"/>
          <w:highlight w:val="none"/>
          <w:lang w:val="en-US" w:eastAsia="zh-CN"/>
        </w:rPr>
        <w:t xml:space="preserve">公章</w:t>
      </w:r>
      <w:r>
        <w:rPr>
          <w:rFonts w:hint="eastAsia" w:hAnsi="宋体" w:eastAsia="宋体" w:cs="宋体"/>
          <w:sz w:val="21"/>
          <w:szCs w:val="21"/>
          <w:highlight w:val="none"/>
          <w:lang w:eastAsia="zh-CN"/>
        </w:rPr>
        <w:t xml:space="preserve">）</w:t>
      </w:r>
      <w:r>
        <w:rPr>
          <w:rFonts w:hint="eastAsia" w:hAnsi="宋体" w:eastAsia="宋体" w:cs="宋体"/>
          <w:sz w:val="21"/>
          <w:szCs w:val="21"/>
          <w:highlight w:val="none"/>
        </w:rPr>
        <w:t xml:space="preserve">                       乙</w:t>
      </w:r>
      <w:r>
        <w:rPr>
          <w:rFonts w:hint="eastAsia" w:hAnsi="宋体" w:eastAsia="宋体" w:cs="宋体"/>
          <w:sz w:val="21"/>
          <w:szCs w:val="21"/>
          <w:highlight w:val="none"/>
          <w:lang w:val="en-US" w:eastAsia="zh-CN"/>
        </w:rPr>
        <w:t xml:space="preserve">  </w:t>
      </w:r>
      <w:r>
        <w:rPr>
          <w:rFonts w:hint="eastAsia" w:hAnsi="宋体" w:eastAsia="宋体" w:cs="宋体"/>
          <w:sz w:val="21"/>
          <w:szCs w:val="21"/>
          <w:highlight w:val="none"/>
        </w:rPr>
        <w:t xml:space="preserve">方：</w:t>
      </w:r>
      <w:r>
        <w:rPr>
          <w:rFonts w:hint="eastAsia" w:hAnsi="宋体" w:eastAsia="宋体" w:cs="宋体"/>
          <w:sz w:val="21"/>
          <w:szCs w:val="21"/>
          <w:highlight w:val="none"/>
          <w:lang w:eastAsia="zh-CN"/>
        </w:rPr>
        <w:t xml:space="preserve">（</w:t>
      </w:r>
      <w:r>
        <w:rPr>
          <w:rFonts w:hint="eastAsia" w:hAnsi="宋体" w:eastAsia="宋体" w:cs="宋体"/>
          <w:sz w:val="21"/>
          <w:szCs w:val="21"/>
          <w:highlight w:val="none"/>
          <w:lang w:val="en-US" w:eastAsia="zh-CN"/>
        </w:rPr>
        <w:t xml:space="preserve">公章</w:t>
      </w:r>
      <w:r>
        <w:rPr>
          <w:rFonts w:hint="eastAsia" w:hAnsi="宋体" w:eastAsia="宋体" w:cs="宋体"/>
          <w:sz w:val="21"/>
          <w:szCs w:val="21"/>
          <w:highlight w:val="none"/>
          <w:lang w:eastAsia="zh-CN"/>
        </w:rPr>
        <w:t xml:space="preserve">）</w:t>
      </w:r>
      <w:r>
        <w:rPr>
          <w:rFonts w:hint="eastAsia" w:hAnsi="宋体" w:eastAsia="宋体" w:cs="宋体"/>
          <w:sz w:val="21"/>
          <w:szCs w:val="21"/>
          <w:highlight w:val="none"/>
        </w:rPr>
        <w:t xml:space="preserve"> </w:t>
      </w:r>
      <w:r>
        <w:rPr>
          <w:rFonts w:hint="eastAsia" w:hAnsi="宋体" w:eastAsia="宋体" w:cs="宋体"/>
          <w:sz w:val="21"/>
          <w:szCs w:val="21"/>
          <w:highlight w:val="none"/>
        </w:rPr>
      </w:r>
      <w:r/>
    </w:p>
    <w:p>
      <w:pPr>
        <w:pStyle w:val="1149"/>
        <w:keepLines w:val="0"/>
        <w:keepNext w:val="0"/>
        <w:pageBreakBefore w:val="0"/>
        <w:spacing w:before="0" w:after="0" w:line="360" w:lineRule="auto"/>
        <w:widowControl w:val="off"/>
        <w:rPr>
          <w:rFonts w:hint="eastAsia" w:hAnsi="宋体" w:eastAsia="宋体" w:cs="宋体"/>
          <w:sz w:val="21"/>
          <w:szCs w:val="21"/>
          <w:highlight w:val="none"/>
        </w:rPr>
        <w:outlineLvl w:val="9"/>
      </w:pPr>
      <w:r>
        <w:rPr>
          <w:rFonts w:hint="eastAsia" w:hAnsi="宋体" w:eastAsia="宋体" w:cs="宋体"/>
          <w:sz w:val="21"/>
          <w:szCs w:val="21"/>
          <w:highlight w:val="none"/>
        </w:rPr>
        <w:t xml:space="preserve">地</w:t>
      </w:r>
      <w:r>
        <w:rPr>
          <w:rFonts w:hint="eastAsia" w:hAnsi="宋体" w:eastAsia="宋体" w:cs="宋体"/>
          <w:sz w:val="21"/>
          <w:szCs w:val="21"/>
          <w:highlight w:val="none"/>
          <w:lang w:val="en-US" w:eastAsia="zh-CN"/>
        </w:rPr>
        <w:t xml:space="preserve">  </w:t>
      </w:r>
      <w:r>
        <w:rPr>
          <w:rFonts w:hint="eastAsia" w:hAnsi="宋体" w:eastAsia="宋体" w:cs="宋体"/>
          <w:sz w:val="21"/>
          <w:szCs w:val="21"/>
          <w:highlight w:val="none"/>
        </w:rPr>
        <w:t xml:space="preserve">址：                        </w:t>
      </w:r>
      <w:r>
        <w:rPr>
          <w:rFonts w:hint="eastAsia" w:hAnsi="宋体" w:eastAsia="宋体" w:cs="宋体"/>
          <w:sz w:val="21"/>
          <w:szCs w:val="21"/>
          <w:highlight w:val="none"/>
          <w:lang w:val="en-US" w:eastAsia="zh-CN"/>
        </w:rPr>
        <w:t xml:space="preserve">       </w:t>
      </w:r>
      <w:r>
        <w:rPr>
          <w:rFonts w:hint="eastAsia" w:hAnsi="宋体" w:eastAsia="宋体" w:cs="宋体"/>
          <w:sz w:val="21"/>
          <w:szCs w:val="21"/>
          <w:highlight w:val="none"/>
        </w:rPr>
        <w:t xml:space="preserve">地</w:t>
      </w:r>
      <w:r>
        <w:rPr>
          <w:rFonts w:hint="eastAsia" w:hAnsi="宋体" w:eastAsia="宋体" w:cs="宋体"/>
          <w:sz w:val="21"/>
          <w:szCs w:val="21"/>
          <w:highlight w:val="none"/>
          <w:lang w:val="en-US" w:eastAsia="zh-CN"/>
        </w:rPr>
        <w:t xml:space="preserve">  </w:t>
      </w:r>
      <w:r>
        <w:rPr>
          <w:rFonts w:hint="eastAsia" w:hAnsi="宋体" w:eastAsia="宋体" w:cs="宋体"/>
          <w:sz w:val="21"/>
          <w:szCs w:val="21"/>
          <w:highlight w:val="none"/>
        </w:rPr>
        <w:t xml:space="preserve">址： </w:t>
      </w:r>
      <w:r>
        <w:rPr>
          <w:rFonts w:hint="eastAsia" w:hAnsi="宋体" w:eastAsia="宋体" w:cs="宋体"/>
          <w:sz w:val="21"/>
          <w:szCs w:val="21"/>
          <w:highlight w:val="none"/>
        </w:rPr>
      </w:r>
      <w:r/>
    </w:p>
    <w:p>
      <w:pPr>
        <w:pStyle w:val="1149"/>
        <w:keepLines w:val="0"/>
        <w:keepNext w:val="0"/>
        <w:pageBreakBefore w:val="0"/>
        <w:spacing w:before="0" w:after="0" w:line="360" w:lineRule="auto"/>
        <w:widowControl w:val="off"/>
        <w:rPr>
          <w:rFonts w:hint="eastAsia" w:hAnsi="宋体" w:eastAsia="宋体" w:cs="宋体"/>
          <w:sz w:val="21"/>
          <w:szCs w:val="21"/>
          <w:highlight w:val="none"/>
        </w:rPr>
        <w:outlineLvl w:val="9"/>
      </w:pPr>
      <w:r>
        <w:rPr>
          <w:rFonts w:hint="eastAsia" w:hAnsi="宋体" w:eastAsia="宋体" w:cs="宋体"/>
          <w:sz w:val="21"/>
          <w:szCs w:val="21"/>
          <w:highlight w:val="none"/>
        </w:rPr>
        <w:t xml:space="preserve">法定代表人或授权代表：        </w:t>
      </w:r>
      <w:r>
        <w:rPr>
          <w:rFonts w:hint="eastAsia" w:hAnsi="宋体" w:eastAsia="宋体" w:cs="宋体"/>
          <w:sz w:val="21"/>
          <w:szCs w:val="21"/>
          <w:highlight w:val="none"/>
          <w:lang w:val="en-US" w:eastAsia="zh-CN"/>
        </w:rPr>
        <w:t xml:space="preserve">         </w:t>
      </w:r>
      <w:r>
        <w:rPr>
          <w:rFonts w:hint="eastAsia" w:hAnsi="宋体" w:eastAsia="宋体" w:cs="宋体"/>
          <w:sz w:val="21"/>
          <w:szCs w:val="21"/>
          <w:highlight w:val="none"/>
        </w:rPr>
        <w:t xml:space="preserve">法定代表人或授权代表：</w:t>
      </w:r>
      <w:r>
        <w:rPr>
          <w:rFonts w:hint="eastAsia" w:hAnsi="宋体" w:eastAsia="宋体" w:cs="宋体"/>
          <w:sz w:val="21"/>
          <w:szCs w:val="21"/>
          <w:highlight w:val="none"/>
        </w:rPr>
      </w:r>
      <w:r/>
    </w:p>
    <w:p>
      <w:pPr>
        <w:pStyle w:val="1149"/>
        <w:ind w:firstLine="0"/>
        <w:keepLines w:val="0"/>
        <w:keepNext w:val="0"/>
        <w:pageBreakBefore w:val="0"/>
        <w:spacing w:before="0" w:after="0" w:line="360" w:lineRule="auto"/>
        <w:widowControl w:val="off"/>
        <w:rPr>
          <w:rFonts w:hint="eastAsia" w:hAnsi="宋体" w:eastAsia="宋体" w:cs="宋体"/>
          <w:sz w:val="21"/>
          <w:szCs w:val="21"/>
          <w:highlight w:val="none"/>
        </w:rPr>
        <w:outlineLvl w:val="9"/>
      </w:pPr>
      <w:r>
        <w:rPr>
          <w:rFonts w:hint="eastAsia" w:hAnsi="宋体" w:eastAsia="宋体" w:cs="宋体"/>
          <w:sz w:val="21"/>
          <w:szCs w:val="21"/>
          <w:highlight w:val="none"/>
        </w:rPr>
        <w:t xml:space="preserve">联系电话：                    </w:t>
      </w:r>
      <w:r>
        <w:rPr>
          <w:rFonts w:hint="eastAsia" w:hAnsi="宋体" w:eastAsia="宋体" w:cs="宋体"/>
          <w:sz w:val="21"/>
          <w:szCs w:val="21"/>
          <w:highlight w:val="none"/>
          <w:lang w:val="en-US" w:eastAsia="zh-CN"/>
        </w:rPr>
        <w:t xml:space="preserve">         </w:t>
      </w:r>
      <w:r>
        <w:rPr>
          <w:rFonts w:hint="eastAsia" w:hAnsi="宋体" w:eastAsia="宋体" w:cs="宋体"/>
          <w:sz w:val="21"/>
          <w:szCs w:val="21"/>
          <w:highlight w:val="none"/>
        </w:rPr>
        <w:t xml:space="preserve">联系电话：          </w:t>
      </w:r>
      <w:r>
        <w:rPr>
          <w:rFonts w:hint="eastAsia" w:hAnsi="宋体" w:eastAsia="宋体" w:cs="宋体"/>
          <w:sz w:val="21"/>
          <w:szCs w:val="21"/>
          <w:highlight w:val="none"/>
        </w:rPr>
      </w:r>
      <w:r/>
    </w:p>
    <w:p>
      <w:pPr>
        <w:pStyle w:val="1149"/>
        <w:keepLines w:val="0"/>
        <w:keepNext w:val="0"/>
        <w:pageBreakBefore w:val="0"/>
        <w:spacing w:before="0" w:after="0" w:line="360" w:lineRule="auto"/>
        <w:widowControl w:val="off"/>
        <w:rPr>
          <w:rFonts w:hint="eastAsia" w:hAnsi="宋体" w:eastAsia="宋体" w:cs="宋体"/>
          <w:sz w:val="21"/>
          <w:szCs w:val="21"/>
          <w:highlight w:val="none"/>
        </w:rPr>
        <w:outlineLvl w:val="9"/>
      </w:pPr>
      <w:r>
        <w:rPr>
          <w:rFonts w:hint="eastAsia" w:hAnsi="宋体" w:eastAsia="宋体" w:cs="宋体"/>
          <w:sz w:val="21"/>
          <w:szCs w:val="21"/>
          <w:highlight w:val="none"/>
        </w:rPr>
        <w:t xml:space="preserve">                                          </w:t>
      </w:r>
      <w:r>
        <w:rPr>
          <w:rFonts w:hint="eastAsia" w:hAnsi="宋体" w:eastAsia="宋体" w:cs="宋体"/>
          <w:sz w:val="21"/>
          <w:szCs w:val="21"/>
          <w:highlight w:val="none"/>
        </w:rPr>
      </w:r>
      <w:r/>
    </w:p>
    <w:p>
      <w:pPr>
        <w:pStyle w:val="1149"/>
        <w:ind w:firstLine="4800"/>
        <w:keepLines w:val="0"/>
        <w:keepNext w:val="0"/>
        <w:pageBreakBefore w:val="0"/>
        <w:spacing w:before="0" w:after="0" w:line="360" w:lineRule="auto"/>
        <w:widowControl w:val="off"/>
        <w:rPr>
          <w:rFonts w:hint="eastAsia" w:hAnsi="宋体" w:eastAsia="宋体" w:cs="Courier New"/>
          <w:sz w:val="24"/>
          <w:szCs w:val="24"/>
          <w:highlight w:val="none"/>
        </w:rPr>
        <w:outlineLvl w:val="9"/>
      </w:pPr>
      <w:r>
        <w:rPr>
          <w:rFonts w:hint="eastAsia" w:hAnsi="宋体" w:eastAsia="宋体" w:cs="宋体"/>
          <w:sz w:val="21"/>
          <w:szCs w:val="21"/>
          <w:highlight w:val="none"/>
        </w:rPr>
        <w:t xml:space="preserve">签订日期：</w:t>
      </w: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27"/>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927"/>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pStyle w:val="927"/>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t xml:space="preserve">《*******合同》补充协议（合同附件）</w:t>
      </w:r>
      <w:r>
        <w:rPr>
          <w:rFonts w:hint="eastAsia" w:ascii="方正小标宋简体" w:hAnsi="方正小标宋简体" w:eastAsia="方正小标宋简体" w:cs="方正小标宋简体"/>
          <w:b w:val="0"/>
          <w:bCs/>
          <w:sz w:val="32"/>
          <w:szCs w:val="32"/>
          <w:highlight w:val="none"/>
        </w:rPr>
      </w:r>
      <w:r/>
    </w:p>
    <w:p>
      <w:pPr>
        <w:pStyle w:val="927"/>
        <w:jc w:val="center"/>
        <w:spacing w:line="440" w:lineRule="exact"/>
        <w:rPr>
          <w:rFonts w:hint="eastAsia" w:hAnsi="宋体"/>
          <w:color w:val="000000"/>
          <w:sz w:val="24"/>
          <w:szCs w:val="24"/>
          <w:highlight w:val="none"/>
        </w:rPr>
        <w:outlineLvl w:val="9"/>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int="eastAsia" w:hAnsi="宋体"/>
          <w:color w:val="000000"/>
          <w:sz w:val="24"/>
          <w:szCs w:val="24"/>
          <w:highlight w:val="none"/>
        </w:rPr>
      </w:r>
      <w:r/>
    </w:p>
    <w:p>
      <w:pPr>
        <w:pStyle w:val="927"/>
        <w:jc w:val="center"/>
        <w:spacing w:line="440" w:lineRule="exact"/>
        <w:rPr>
          <w:rFonts w:hint="eastAsia" w:ascii="Arial" w:hAnsi="Arial" w:eastAsia="宋体" w:cs="Arial"/>
          <w:b/>
          <w:sz w:val="28"/>
          <w:szCs w:val="28"/>
          <w:highlight w:val="none"/>
          <w:lang w:eastAsia="zh-CN"/>
        </w:rPr>
        <w:outlineLvl w:val="0"/>
      </w:pPr>
      <w:r>
        <w:rPr>
          <w:szCs w:val="21"/>
          <w:highlight w:val="none"/>
        </w:rPr>
        <w:br w:type="page" w:clear="all"/>
      </w:r>
      <w:r>
        <w:rPr>
          <w:rFonts w:hint="eastAsia" w:ascii="Arial" w:hAnsi="Arial" w:eastAsia="黑体" w:cs="Arial"/>
          <w:b/>
          <w:sz w:val="28"/>
          <w:szCs w:val="28"/>
          <w:highlight w:val="none"/>
          <w:lang w:eastAsia="zh-CN"/>
        </w:rPr>
        <w:t xml:space="preserve">第六章  投标文件格式及附件</w:t>
      </w:r>
      <w:r>
        <w:rPr>
          <w:rFonts w:hint="eastAsia" w:ascii="Arial" w:hAnsi="Arial" w:eastAsia="宋体" w:cs="Arial"/>
          <w:b/>
          <w:sz w:val="28"/>
          <w:szCs w:val="28"/>
          <w:highlight w:val="none"/>
          <w:lang w:eastAsia="zh-CN"/>
        </w:rPr>
      </w:r>
      <w:r/>
    </w:p>
    <w:p>
      <w:pPr>
        <w:pStyle w:val="927"/>
        <w:spacing w:line="440" w:lineRule="exact"/>
        <w:rPr>
          <w:rFonts w:hint="eastAsia" w:ascii="Arial" w:hAnsi="Arial" w:cs="Arial"/>
          <w:b/>
          <w:bCs/>
          <w:sz w:val="24"/>
          <w:highlight w:val="none"/>
        </w:rPr>
      </w:pPr>
      <w:r>
        <w:rPr>
          <w:rFonts w:hint="eastAsia" w:ascii="Arial" w:hAnsi="Arial" w:cs="Arial"/>
          <w:b/>
          <w:bCs/>
          <w:sz w:val="24"/>
          <w:highlight w:val="none"/>
        </w:rPr>
        <w:t xml:space="preserve">注：</w:t>
      </w:r>
      <w:r>
        <w:rPr>
          <w:rFonts w:hint="eastAsia" w:ascii="Arial" w:hAnsi="Arial" w:cs="Arial"/>
          <w:b/>
          <w:bCs/>
          <w:sz w:val="24"/>
          <w:highlight w:val="none"/>
        </w:rPr>
      </w:r>
      <w:r/>
    </w:p>
    <w:p>
      <w:pPr>
        <w:pStyle w:val="927"/>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1.本部分内容仅提供格式参考。 </w:t>
      </w:r>
      <w:r>
        <w:rPr>
          <w:rFonts w:hint="eastAsia" w:ascii="宋体" w:hAnsi="宋体" w:cs="宋体"/>
          <w:color w:val="000000"/>
          <w:szCs w:val="21"/>
          <w:highlight w:val="none"/>
        </w:rPr>
      </w:r>
      <w:r/>
    </w:p>
    <w:p>
      <w:pPr>
        <w:pStyle w:val="927"/>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2.供应商应按照以下文件的要求格式、内容制作投标文件，并编制目录及页码，混乱的编排导致投标文件被误读或查找不到，后果由供应商承担。 </w:t>
      </w:r>
      <w:r>
        <w:rPr>
          <w:rFonts w:hint="eastAsia" w:ascii="宋体" w:hAnsi="宋体" w:cs="宋体"/>
          <w:color w:val="000000"/>
          <w:szCs w:val="21"/>
          <w:highlight w:val="none"/>
        </w:rPr>
      </w:r>
      <w:r/>
    </w:p>
    <w:p>
      <w:pPr>
        <w:pStyle w:val="927"/>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3.所附表格中要求回答的全部问题和信息都必须正面回答。 </w:t>
      </w:r>
      <w:r>
        <w:rPr>
          <w:rFonts w:hint="eastAsia" w:ascii="宋体" w:hAnsi="宋体" w:cs="宋体"/>
          <w:color w:val="000000"/>
          <w:szCs w:val="21"/>
          <w:highlight w:val="none"/>
        </w:rPr>
      </w:r>
      <w:r/>
    </w:p>
    <w:p>
      <w:pPr>
        <w:pStyle w:val="927"/>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4.供应商提交的材料不予退还。 </w:t>
      </w:r>
      <w:r>
        <w:rPr>
          <w:rFonts w:hint="eastAsia" w:ascii="宋体" w:hAnsi="宋体" w:cs="宋体"/>
          <w:color w:val="000000"/>
          <w:szCs w:val="21"/>
          <w:highlight w:val="none"/>
        </w:rPr>
      </w:r>
      <w:r/>
    </w:p>
    <w:p>
      <w:pPr>
        <w:pStyle w:val="927"/>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5.全部文件应按投标人须知以及前附表中规定的语言和份数提交。 </w:t>
      </w:r>
      <w:r>
        <w:rPr>
          <w:rFonts w:hint="eastAsia" w:ascii="宋体" w:hAnsi="宋体" w:cs="宋体"/>
          <w:color w:val="000000"/>
          <w:szCs w:val="21"/>
          <w:highlight w:val="none"/>
        </w:rPr>
      </w:r>
      <w:r/>
    </w:p>
    <w:p>
      <w:pPr>
        <w:pStyle w:val="927"/>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6.投标文件应按照投标文件格式逐项填写，无相应内容可填的项应填写“无”“未测试”“没有相应指标”等明确的回答文字。 </w:t>
      </w:r>
      <w:r>
        <w:rPr>
          <w:rFonts w:hint="eastAsia" w:ascii="宋体" w:hAnsi="宋体" w:cs="宋体"/>
          <w:color w:val="000000"/>
          <w:szCs w:val="21"/>
          <w:highlight w:val="none"/>
        </w:rPr>
      </w:r>
      <w:r/>
    </w:p>
    <w:p>
      <w:pPr>
        <w:pStyle w:val="927"/>
        <w:spacing w:line="360" w:lineRule="auto"/>
        <w:rPr>
          <w:rFonts w:hint="eastAsia" w:ascii="宋体" w:hAnsi="宋体" w:cs="宋体"/>
          <w:sz w:val="24"/>
          <w:highlight w:val="none"/>
        </w:rPr>
        <w:sectPr>
          <w:headerReference w:type="default" r:id="rId11"/>
          <w:footerReference w:type="default" r:id="rId17"/>
          <w:footnotePr/>
          <w:endnotePr/>
          <w:type w:val="nextPage"/>
          <w:pgSz w:w="11906" w:h="16838" w:orient="portrait"/>
          <w:pgMar w:top="1020" w:right="907" w:bottom="1020" w:left="1020" w:header="737" w:footer="992" w:gutter="0"/>
          <w:cols w:num="1" w:sep="0" w:space="1701" w:equalWidth="1"/>
          <w:docGrid w:linePitch="360"/>
          <w:titlePg/>
        </w:sectPr>
      </w:pPr>
      <w:r>
        <w:rPr>
          <w:rFonts w:hint="eastAsia" w:ascii="宋体" w:hAnsi="宋体" w:cs="宋体"/>
          <w:color w:val="000000"/>
          <w:szCs w:val="21"/>
          <w:highlight w:val="none"/>
        </w:rPr>
        <w:t xml:space="preserve"> </w:t>
      </w:r>
      <w:r>
        <w:rPr>
          <w:rFonts w:hint="eastAsia" w:ascii="宋体" w:hAnsi="宋体" w:cs="宋体"/>
          <w:sz w:val="24"/>
          <w:highlight w:val="none"/>
        </w:rPr>
      </w:r>
      <w:r/>
    </w:p>
    <w:p>
      <w:pPr>
        <w:pStyle w:val="975"/>
        <w:jc w:val="center"/>
        <w:spacing w:beforeAutospacing="0" w:afterAutospacing="0"/>
        <w:widowControl/>
        <w:rPr>
          <w:rFonts w:ascii="宋体" w:hAnsi="宋体" w:cs="宋体"/>
          <w:b/>
          <w:bCs/>
          <w:color w:val="000000"/>
          <w:sz w:val="72"/>
          <w:szCs w:val="72"/>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72"/>
          <w:szCs w:val="72"/>
          <w:highlight w:val="none"/>
        </w:rPr>
      </w:r>
      <w:r/>
    </w:p>
    <w:p>
      <w:pPr>
        <w:pStyle w:val="975"/>
        <w:jc w:val="center"/>
        <w:spacing w:beforeAutospacing="0" w:afterAutospacing="0"/>
        <w:widowControl/>
        <w:rPr>
          <w:rFonts w:ascii="宋体" w:hAnsi="宋体" w:cs="宋体"/>
          <w:b/>
          <w:bCs/>
          <w:color w:val="000000"/>
          <w:sz w:val="72"/>
          <w:szCs w:val="72"/>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72"/>
          <w:szCs w:val="72"/>
          <w:highlight w:val="none"/>
        </w:rPr>
      </w:r>
      <w:r/>
    </w:p>
    <w:p>
      <w:pPr>
        <w:pStyle w:val="975"/>
        <w:jc w:val="center"/>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72"/>
          <w:szCs w:val="72"/>
          <w:highlight w:val="none"/>
        </w:rPr>
        <w:t xml:space="preserve">投标文件</w:t>
      </w:r>
      <w:r>
        <w:rPr>
          <w:highlight w:val="none"/>
        </w:rPr>
      </w:r>
      <w:r/>
    </w:p>
    <w:p>
      <w:pPr>
        <w:pStyle w:val="975"/>
        <w:jc w:val="center"/>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72"/>
          <w:szCs w:val="72"/>
          <w:highlight w:val="none"/>
        </w:rPr>
        <w:t xml:space="preserve"> </w:t>
      </w:r>
      <w:r>
        <w:rPr>
          <w:highlight w:val="none"/>
        </w:rPr>
      </w:r>
      <w:r/>
    </w:p>
    <w:p>
      <w:pPr>
        <w:pStyle w:val="975"/>
        <w:jc w:val="center"/>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72"/>
          <w:szCs w:val="72"/>
          <w:highlight w:val="none"/>
        </w:rPr>
        <w:t xml:space="preserve"> </w:t>
      </w:r>
      <w:r>
        <w:rPr>
          <w:highlight w:val="none"/>
        </w:rPr>
      </w:r>
      <w:r/>
    </w:p>
    <w:p>
      <w:pPr>
        <w:pStyle w:val="975"/>
        <w:jc w:val="center"/>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36"/>
          <w:szCs w:val="36"/>
          <w:highlight w:val="none"/>
        </w:rPr>
        <w:t xml:space="preserve"> </w:t>
      </w:r>
      <w:r>
        <w:rPr>
          <w:highlight w:val="none"/>
        </w:rPr>
      </w:r>
      <w:r/>
    </w:p>
    <w:p>
      <w:pPr>
        <w:pStyle w:val="975"/>
        <w:jc w:val="center"/>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36"/>
          <w:szCs w:val="36"/>
          <w:highlight w:val="none"/>
        </w:rPr>
        <w:t xml:space="preserve"> </w:t>
      </w:r>
      <w:r>
        <w:rPr>
          <w:highlight w:val="none"/>
        </w:rPr>
      </w:r>
      <w:r/>
    </w:p>
    <w:p>
      <w:pPr>
        <w:pStyle w:val="975"/>
        <w:jc w:val="center"/>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36"/>
          <w:szCs w:val="36"/>
          <w:highlight w:val="none"/>
        </w:rPr>
        <w:t xml:space="preserve"> </w:t>
      </w:r>
      <w:r>
        <w:rPr>
          <w:highlight w:val="none"/>
        </w:rPr>
      </w:r>
      <w:r/>
    </w:p>
    <w:p>
      <w:pPr>
        <w:pStyle w:val="975"/>
        <w:ind w:firstLine="1081"/>
        <w:jc w:val="both"/>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36"/>
          <w:szCs w:val="36"/>
          <w:highlight w:val="none"/>
        </w:rPr>
        <w:t xml:space="preserve">项 目 名 称：</w:t>
      </w:r>
      <w:r>
        <w:rPr>
          <w:rFonts w:ascii="宋体" w:hAnsi="宋体" w:cs="宋体"/>
          <w:b/>
          <w:bCs/>
          <w:color w:val="000000"/>
          <w:sz w:val="36"/>
          <w:szCs w:val="36"/>
          <w:highlight w:val="none"/>
          <w:u w:val="single"/>
        </w:rPr>
        <w:t xml:space="preserve">          </w:t>
      </w:r>
      <w:r>
        <w:rPr>
          <w:highlight w:val="none"/>
        </w:rPr>
      </w:r>
      <w:r/>
    </w:p>
    <w:p>
      <w:pPr>
        <w:pStyle w:val="975"/>
        <w:ind w:firstLine="1081"/>
        <w:jc w:val="both"/>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36"/>
          <w:szCs w:val="36"/>
          <w:highlight w:val="none"/>
        </w:rPr>
        <w:t xml:space="preserve">招 标 编 号：</w:t>
      </w:r>
      <w:r>
        <w:rPr>
          <w:rFonts w:ascii="宋体" w:hAnsi="宋体" w:cs="宋体"/>
          <w:b/>
          <w:bCs/>
          <w:color w:val="000000"/>
          <w:sz w:val="36"/>
          <w:szCs w:val="36"/>
          <w:highlight w:val="none"/>
          <w:u w:val="single"/>
        </w:rPr>
        <w:t xml:space="preserve">          </w:t>
      </w:r>
      <w:r>
        <w:rPr>
          <w:highlight w:val="none"/>
        </w:rPr>
      </w:r>
      <w:r/>
    </w:p>
    <w:p>
      <w:pPr>
        <w:pStyle w:val="975"/>
        <w:jc w:val="both"/>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36"/>
          <w:szCs w:val="36"/>
          <w:highlight w:val="none"/>
        </w:rPr>
        <w:t xml:space="preserve">   投标人名称 ：</w:t>
      </w:r>
      <w:r>
        <w:rPr>
          <w:rFonts w:ascii="宋体" w:hAnsi="宋体" w:cs="宋体"/>
          <w:b/>
          <w:bCs/>
          <w:color w:val="000000"/>
          <w:sz w:val="36"/>
          <w:szCs w:val="36"/>
          <w:highlight w:val="none"/>
          <w:u w:val="single"/>
        </w:rPr>
        <w:t xml:space="preserve">（加盖CA电子公章）</w:t>
      </w:r>
      <w:r>
        <w:rPr>
          <w:highlight w:val="none"/>
        </w:rPr>
      </w:r>
      <w:r/>
    </w:p>
    <w:p>
      <w:pPr>
        <w:pStyle w:val="975"/>
        <w:jc w:val="both"/>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36"/>
          <w:szCs w:val="36"/>
          <w:highlight w:val="none"/>
        </w:rPr>
        <w:t xml:space="preserve">   日 </w:t>
      </w:r>
      <w:r>
        <w:rPr>
          <w:rFonts w:hint="eastAsia" w:cs="宋体"/>
          <w:b/>
          <w:bCs/>
          <w:color w:val="000000"/>
          <w:sz w:val="36"/>
          <w:szCs w:val="36"/>
          <w:highlight w:val="none"/>
        </w:rPr>
        <w:t xml:space="preserve">    </w:t>
      </w:r>
      <w:r>
        <w:rPr>
          <w:rFonts w:ascii="宋体" w:hAnsi="宋体" w:cs="宋体"/>
          <w:b/>
          <w:bCs/>
          <w:color w:val="000000"/>
          <w:sz w:val="36"/>
          <w:szCs w:val="36"/>
          <w:highlight w:val="none"/>
        </w:rPr>
        <w:t xml:space="preserve">期 ：</w:t>
      </w:r>
      <w:r>
        <w:rPr>
          <w:rFonts w:ascii="宋体" w:hAnsi="宋体" w:cs="宋体"/>
          <w:b/>
          <w:bCs/>
          <w:color w:val="000000"/>
          <w:sz w:val="36"/>
          <w:szCs w:val="36"/>
          <w:highlight w:val="none"/>
          <w:u w:val="single"/>
        </w:rPr>
        <w:t xml:space="preserve">          </w:t>
      </w:r>
      <w:r>
        <w:rPr>
          <w:highlight w:val="none"/>
        </w:rPr>
      </w:r>
      <w:r/>
    </w:p>
    <w:p>
      <w:pPr>
        <w:pStyle w:val="927"/>
        <w:jc w:val="center"/>
        <w:rPr>
          <w:rFonts w:hint="eastAsia" w:ascii="宋体" w:hAnsi="宋体" w:cs="宋体"/>
          <w:b/>
          <w:sz w:val="36"/>
          <w:szCs w:val="36"/>
          <w:highlight w:val="none"/>
        </w:rPr>
      </w:pPr>
      <w:r>
        <w:rPr>
          <w:rFonts w:hint="eastAsia" w:ascii="宋体" w:hAnsi="宋体" w:cs="宋体"/>
          <w:b/>
          <w:sz w:val="36"/>
          <w:szCs w:val="36"/>
          <w:highlight w:val="none"/>
        </w:rPr>
      </w:r>
      <w:r/>
    </w:p>
    <w:p>
      <w:pPr>
        <w:pStyle w:val="927"/>
        <w:rPr>
          <w:rFonts w:hint="eastAsia" w:ascii="宋体" w:hAnsi="宋体" w:cs="宋体"/>
          <w:b/>
          <w:sz w:val="36"/>
          <w:szCs w:val="36"/>
          <w:highlight w:val="none"/>
        </w:rPr>
      </w:pPr>
      <w:r>
        <w:rPr>
          <w:rFonts w:hint="eastAsia" w:ascii="宋体" w:hAnsi="宋体" w:cs="宋体"/>
          <w:b/>
          <w:sz w:val="36"/>
          <w:szCs w:val="36"/>
          <w:highlight w:val="none"/>
        </w:rPr>
      </w:r>
      <w:r/>
    </w:p>
    <w:p>
      <w:pPr>
        <w:pStyle w:val="927"/>
        <w:rPr>
          <w:rFonts w:hint="eastAsia" w:ascii="宋体" w:hAnsi="宋体" w:cs="宋体"/>
          <w:b/>
          <w:sz w:val="36"/>
          <w:szCs w:val="36"/>
          <w:highlight w:val="none"/>
        </w:rPr>
      </w:pPr>
      <w:r>
        <w:rPr>
          <w:rFonts w:hint="eastAsia" w:ascii="宋体" w:hAnsi="宋体" w:cs="宋体"/>
          <w:b/>
          <w:sz w:val="36"/>
          <w:szCs w:val="36"/>
          <w:highlight w:val="none"/>
        </w:rPr>
      </w:r>
      <w:r/>
    </w:p>
    <w:p>
      <w:pPr>
        <w:pStyle w:val="927"/>
        <w:rPr>
          <w:rFonts w:hint="eastAsia" w:ascii="宋体" w:hAnsi="宋体" w:cs="宋体"/>
          <w:b/>
          <w:sz w:val="36"/>
          <w:szCs w:val="36"/>
          <w:highlight w:val="none"/>
        </w:rPr>
      </w:pPr>
      <w:r>
        <w:rPr>
          <w:rFonts w:hint="eastAsia" w:ascii="宋体" w:hAnsi="宋体" w:cs="宋体"/>
          <w:b/>
          <w:sz w:val="36"/>
          <w:szCs w:val="36"/>
          <w:highlight w:val="none"/>
        </w:rPr>
      </w:r>
      <w:r/>
    </w:p>
    <w:p>
      <w:pPr>
        <w:pStyle w:val="927"/>
        <w:rPr>
          <w:rFonts w:hint="eastAsia" w:ascii="宋体" w:hAnsi="宋体" w:cs="宋体"/>
          <w:b/>
          <w:sz w:val="36"/>
          <w:szCs w:val="36"/>
          <w:highlight w:val="none"/>
        </w:rPr>
      </w:pPr>
      <w:r>
        <w:rPr>
          <w:rFonts w:hint="eastAsia" w:ascii="宋体" w:hAnsi="宋体" w:cs="宋体"/>
          <w:b/>
          <w:sz w:val="36"/>
          <w:szCs w:val="36"/>
          <w:highlight w:val="none"/>
        </w:rPr>
      </w:r>
      <w:r/>
    </w:p>
    <w:p>
      <w:pPr>
        <w:pStyle w:val="927"/>
        <w:rPr>
          <w:rFonts w:hint="eastAsia" w:ascii="宋体" w:hAnsi="宋体" w:cs="宋体"/>
          <w:b/>
          <w:sz w:val="36"/>
          <w:szCs w:val="36"/>
          <w:highlight w:val="none"/>
        </w:rPr>
      </w:pPr>
      <w:r>
        <w:rPr>
          <w:rFonts w:hint="eastAsia" w:ascii="宋体" w:hAnsi="宋体" w:cs="宋体"/>
          <w:b/>
          <w:sz w:val="36"/>
          <w:szCs w:val="36"/>
          <w:highlight w:val="none"/>
        </w:rPr>
      </w:r>
      <w:r/>
    </w:p>
    <w:p>
      <w:pPr>
        <w:pStyle w:val="927"/>
        <w:rPr>
          <w:rFonts w:hint="eastAsia" w:ascii="宋体" w:hAnsi="宋体" w:cs="宋体"/>
          <w:b/>
          <w:sz w:val="36"/>
          <w:szCs w:val="36"/>
          <w:highlight w:val="none"/>
        </w:rPr>
      </w:pPr>
      <w:r>
        <w:rPr>
          <w:rFonts w:hint="eastAsia" w:ascii="宋体" w:hAnsi="宋体" w:cs="宋体"/>
          <w:b/>
          <w:sz w:val="36"/>
          <w:szCs w:val="36"/>
          <w:highlight w:val="none"/>
        </w:rPr>
      </w:r>
      <w:r/>
    </w:p>
    <w:p>
      <w:pPr>
        <w:pStyle w:val="927"/>
        <w:rPr>
          <w:rFonts w:hint="eastAsia" w:ascii="宋体" w:hAnsi="宋体" w:cs="宋体"/>
          <w:b/>
          <w:sz w:val="36"/>
          <w:szCs w:val="36"/>
          <w:highlight w:val="none"/>
        </w:rPr>
      </w:pPr>
      <w:r>
        <w:rPr>
          <w:rFonts w:hint="eastAsia" w:ascii="宋体" w:hAnsi="宋体" w:cs="宋体"/>
          <w:b/>
          <w:sz w:val="36"/>
          <w:szCs w:val="36"/>
          <w:highlight w:val="none"/>
        </w:rPr>
      </w:r>
      <w:r/>
    </w:p>
    <w:p>
      <w:pPr>
        <w:pStyle w:val="927"/>
        <w:rPr>
          <w:rFonts w:hint="eastAsia" w:ascii="宋体" w:hAnsi="宋体" w:cs="宋体"/>
          <w:b/>
          <w:sz w:val="36"/>
          <w:szCs w:val="36"/>
          <w:highlight w:val="none"/>
        </w:rPr>
      </w:pPr>
      <w:r>
        <w:rPr>
          <w:rFonts w:hint="eastAsia" w:ascii="宋体" w:hAnsi="宋体" w:cs="宋体"/>
          <w:b/>
          <w:sz w:val="36"/>
          <w:szCs w:val="36"/>
          <w:highlight w:val="none"/>
        </w:rPr>
      </w:r>
      <w:r/>
    </w:p>
    <w:p>
      <w:pPr>
        <w:pStyle w:val="927"/>
        <w:rPr>
          <w:rFonts w:hint="eastAsia" w:ascii="宋体" w:hAnsi="宋体" w:cs="宋体"/>
          <w:b/>
          <w:sz w:val="36"/>
          <w:szCs w:val="36"/>
          <w:highlight w:val="none"/>
        </w:rPr>
      </w:pPr>
      <w:r>
        <w:rPr>
          <w:rFonts w:hint="eastAsia" w:ascii="宋体" w:hAnsi="宋体" w:cs="宋体"/>
          <w:b/>
          <w:sz w:val="36"/>
          <w:szCs w:val="36"/>
          <w:highlight w:val="none"/>
        </w:rPr>
      </w:r>
      <w:r/>
    </w:p>
    <w:p>
      <w:pPr>
        <w:pStyle w:val="927"/>
        <w:rPr>
          <w:rFonts w:hint="eastAsia" w:ascii="宋体" w:hAnsi="宋体" w:cs="宋体"/>
          <w:b/>
          <w:sz w:val="36"/>
          <w:szCs w:val="36"/>
          <w:highlight w:val="none"/>
        </w:rPr>
      </w:pPr>
      <w:r>
        <w:rPr>
          <w:rFonts w:hint="eastAsia" w:ascii="宋体" w:hAnsi="宋体" w:cs="宋体"/>
          <w:b/>
          <w:sz w:val="36"/>
          <w:szCs w:val="36"/>
          <w:highlight w:val="none"/>
        </w:rPr>
      </w:r>
      <w:r/>
    </w:p>
    <w:p>
      <w:pPr>
        <w:pStyle w:val="927"/>
        <w:rPr>
          <w:rFonts w:hint="eastAsia" w:ascii="宋体" w:hAnsi="宋体" w:cs="宋体"/>
          <w:b/>
          <w:sz w:val="36"/>
          <w:szCs w:val="36"/>
          <w:highlight w:val="none"/>
        </w:rPr>
      </w:pPr>
      <w:r>
        <w:rPr>
          <w:rFonts w:hint="eastAsia" w:ascii="宋体" w:hAnsi="宋体" w:cs="宋体"/>
          <w:b/>
          <w:sz w:val="36"/>
          <w:szCs w:val="36"/>
          <w:highlight w:val="none"/>
        </w:rPr>
      </w:r>
      <w:r/>
    </w:p>
    <w:p>
      <w:pPr>
        <w:pStyle w:val="927"/>
        <w:rPr>
          <w:rFonts w:hint="eastAsia" w:ascii="宋体" w:hAnsi="宋体" w:cs="宋体"/>
          <w:b/>
          <w:sz w:val="36"/>
          <w:szCs w:val="36"/>
          <w:highlight w:val="none"/>
        </w:rPr>
      </w:pPr>
      <w:r>
        <w:rPr>
          <w:rFonts w:hint="eastAsia" w:ascii="宋体" w:hAnsi="宋体" w:cs="宋体"/>
          <w:b/>
          <w:sz w:val="36"/>
          <w:szCs w:val="36"/>
          <w:highlight w:val="none"/>
        </w:rPr>
      </w:r>
      <w:r/>
    </w:p>
    <w:p>
      <w:pPr>
        <w:pStyle w:val="927"/>
        <w:rPr>
          <w:rFonts w:hint="eastAsia" w:ascii="宋体" w:hAnsi="宋体" w:cs="宋体"/>
          <w:b/>
          <w:sz w:val="36"/>
          <w:szCs w:val="36"/>
          <w:highlight w:val="none"/>
        </w:rPr>
      </w:pPr>
      <w:r>
        <w:rPr>
          <w:rFonts w:hint="eastAsia" w:ascii="宋体" w:hAnsi="宋体" w:cs="宋体"/>
          <w:b/>
          <w:sz w:val="36"/>
          <w:szCs w:val="36"/>
          <w:highlight w:val="none"/>
        </w:rPr>
      </w:r>
      <w:r/>
    </w:p>
    <w:p>
      <w:pPr>
        <w:pStyle w:val="927"/>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（一）投标函(格式)：</w:t>
      </w:r>
      <w:r>
        <w:rPr>
          <w:rFonts w:hint="eastAsia" w:ascii="宋体" w:hAnsi="宋体" w:cs="宋体"/>
          <w:b/>
          <w:sz w:val="24"/>
          <w:szCs w:val="24"/>
          <w:highlight w:val="none"/>
        </w:rPr>
      </w:r>
      <w:r/>
    </w:p>
    <w:p>
      <w:pPr>
        <w:pStyle w:val="927"/>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t xml:space="preserve">投  标  函</w:t>
      </w:r>
      <w:r>
        <w:rPr>
          <w:rFonts w:hint="eastAsia" w:ascii="宋体" w:hAnsi="宋体" w:cs="宋体"/>
          <w:b/>
          <w:sz w:val="36"/>
          <w:szCs w:val="28"/>
          <w:highlight w:val="none"/>
        </w:rPr>
      </w:r>
      <w:r/>
    </w:p>
    <w:p>
      <w:pPr>
        <w:pStyle w:val="927"/>
        <w:spacing w:line="360" w:lineRule="auto"/>
        <w:rPr>
          <w:rFonts w:hint="eastAsia" w:ascii="宋体" w:hAnsi="宋体" w:cs="宋体"/>
          <w:bCs/>
          <w:szCs w:val="21"/>
          <w:highlight w:val="none"/>
        </w:rPr>
      </w:pPr>
      <w:r>
        <w:rPr>
          <w:rFonts w:hint="eastAsia" w:ascii="宋体" w:hAnsi="宋体" w:cs="宋体"/>
          <w:bCs/>
          <w:szCs w:val="21"/>
          <w:highlight w:val="none"/>
        </w:rPr>
        <w:t xml:space="preserve">致苏美达国际技术贸易有限公司：</w:t>
      </w:r>
      <w:r>
        <w:rPr>
          <w:rFonts w:hint="eastAsia" w:ascii="宋体" w:hAnsi="宋体" w:cs="宋体"/>
          <w:bCs/>
          <w:szCs w:val="21"/>
          <w:highlight w:val="none"/>
        </w:rPr>
      </w:r>
      <w:r/>
    </w:p>
    <w:p>
      <w:pPr>
        <w:pStyle w:val="927"/>
        <w:ind w:firstLine="420"/>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我方收到贵方编号</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招标文件，经仔细阅读和研究，我们决定参加此次项目的投标。</w:t>
      </w:r>
      <w:r>
        <w:rPr>
          <w:rFonts w:hint="eastAsia" w:ascii="宋体" w:hAnsi="宋体" w:cs="宋体"/>
          <w:bCs/>
          <w:szCs w:val="21"/>
          <w:highlight w:val="none"/>
        </w:rPr>
      </w:r>
      <w:r/>
    </w:p>
    <w:p>
      <w:pPr>
        <w:pStyle w:val="927"/>
        <w:ind w:firstLine="420"/>
        <w:spacing w:line="360" w:lineRule="auto"/>
        <w:tabs>
          <w:tab w:val="left" w:pos="420" w:leader="none"/>
          <w:tab w:val="left" w:pos="945" w:leader="none"/>
          <w:tab w:val="left" w:pos="1155" w:leader="none"/>
        </w:tabs>
        <w:rPr>
          <w:rFonts w:hint="eastAsia" w:ascii="宋体" w:hAnsi="宋体" w:cs="宋体"/>
          <w:bCs/>
          <w:szCs w:val="21"/>
          <w:highlight w:val="none"/>
        </w:rPr>
      </w:pPr>
      <w:r>
        <w:rPr>
          <w:rFonts w:hint="eastAsia" w:ascii="宋体" w:hAnsi="宋体" w:cs="宋体"/>
          <w:bCs/>
          <w:szCs w:val="21"/>
          <w:highlight w:val="none"/>
        </w:rPr>
        <w:t xml:space="preserve">一、我方愿意按照招标文件的一切要求，提供本项目的投标，投标总价见《开标一览表》。</w:t>
      </w:r>
      <w:r>
        <w:rPr>
          <w:rFonts w:hint="eastAsia" w:ascii="宋体" w:hAnsi="宋体" w:cs="宋体"/>
          <w:bCs/>
          <w:szCs w:val="21"/>
          <w:highlight w:val="none"/>
        </w:rPr>
      </w:r>
      <w:r/>
    </w:p>
    <w:p>
      <w:pPr>
        <w:pStyle w:val="927"/>
        <w:ind w:firstLine="420"/>
        <w:spacing w:line="360" w:lineRule="auto"/>
        <w:tabs>
          <w:tab w:val="left" w:pos="315" w:leader="none"/>
          <w:tab w:val="left" w:pos="945" w:leader="none"/>
          <w:tab w:val="left" w:pos="1155" w:leader="none"/>
        </w:tabs>
        <w:rPr>
          <w:rFonts w:hint="eastAsia" w:ascii="宋体" w:hAnsi="宋体" w:cs="宋体"/>
          <w:bCs/>
          <w:szCs w:val="21"/>
          <w:highlight w:val="none"/>
        </w:rPr>
      </w:pPr>
      <w:r>
        <w:rPr>
          <w:rFonts w:hint="eastAsia" w:ascii="宋体" w:hAnsi="宋体" w:cs="宋体"/>
          <w:bCs/>
          <w:szCs w:val="21"/>
          <w:highlight w:val="none"/>
        </w:rPr>
        <w:t xml:space="preserve">二、我方愿意提供苏美达国际技术贸易有限公司在招标文件中要求的文件、资料。</w:t>
      </w:r>
      <w:r>
        <w:rPr>
          <w:rFonts w:hint="eastAsia" w:ascii="宋体" w:hAnsi="宋体" w:cs="宋体"/>
          <w:bCs/>
          <w:szCs w:val="21"/>
          <w:highlight w:val="none"/>
        </w:rPr>
      </w:r>
      <w:r/>
    </w:p>
    <w:p>
      <w:pPr>
        <w:pStyle w:val="927"/>
        <w:ind w:firstLine="420"/>
        <w:spacing w:line="360" w:lineRule="auto"/>
        <w:tabs>
          <w:tab w:val="left" w:pos="945" w:leader="none"/>
        </w:tabs>
        <w:rPr>
          <w:rFonts w:hint="eastAsia" w:ascii="宋体" w:hAnsi="宋体" w:cs="宋体"/>
          <w:bCs/>
          <w:szCs w:val="21"/>
          <w:highlight w:val="none"/>
        </w:rPr>
      </w:pPr>
      <w:r>
        <w:rPr>
          <w:rFonts w:hint="eastAsia" w:ascii="宋体" w:hAnsi="宋体" w:cs="宋体"/>
          <w:bCs/>
          <w:szCs w:val="21"/>
          <w:highlight w:val="none"/>
        </w:rPr>
        <w:t xml:space="preserve">三、我方同意按招标文件中的规定，本投标文件投标的有效期限为开标之日起90天。</w:t>
      </w:r>
      <w:r>
        <w:rPr>
          <w:rFonts w:hint="eastAsia" w:ascii="宋体" w:hAnsi="宋体" w:cs="宋体"/>
          <w:bCs/>
          <w:szCs w:val="21"/>
          <w:highlight w:val="none"/>
        </w:rPr>
      </w:r>
      <w:r/>
    </w:p>
    <w:p>
      <w:pPr>
        <w:pStyle w:val="927"/>
        <w:ind w:firstLine="420"/>
        <w:spacing w:line="360" w:lineRule="auto"/>
        <w:tabs>
          <w:tab w:val="left" w:pos="945" w:leader="none"/>
        </w:tabs>
        <w:rPr>
          <w:rFonts w:hint="eastAsia" w:ascii="宋体" w:hAnsi="宋体" w:cs="宋体"/>
          <w:bCs/>
          <w:szCs w:val="21"/>
          <w:highlight w:val="none"/>
        </w:rPr>
      </w:pPr>
      <w:r>
        <w:rPr>
          <w:rFonts w:hint="eastAsia" w:ascii="宋体" w:hAnsi="宋体" w:cs="宋体"/>
          <w:bCs/>
          <w:szCs w:val="21"/>
          <w:highlight w:val="none"/>
        </w:rPr>
        <w:t xml:space="preserve">四、如果我方的投标文件被接受，我方将履行招标文件中规定的每一项要求，按期、按质、按量，完成服务任务。</w:t>
      </w:r>
      <w:r>
        <w:rPr>
          <w:rFonts w:hint="eastAsia" w:ascii="宋体" w:hAnsi="宋体" w:cs="宋体"/>
          <w:bCs/>
          <w:szCs w:val="21"/>
          <w:highlight w:val="none"/>
        </w:rPr>
      </w:r>
      <w:r/>
    </w:p>
    <w:p>
      <w:pPr>
        <w:pStyle w:val="927"/>
        <w:ind w:left="480"/>
        <w:spacing w:line="360" w:lineRule="auto"/>
        <w:tabs>
          <w:tab w:val="left" w:pos="945" w:leader="none"/>
        </w:tabs>
        <w:rPr>
          <w:rFonts w:hint="eastAsia" w:ascii="宋体" w:hAnsi="宋体" w:cs="宋体"/>
          <w:bCs/>
          <w:szCs w:val="21"/>
          <w:highlight w:val="none"/>
        </w:rPr>
      </w:pPr>
      <w:r>
        <w:rPr>
          <w:rFonts w:hint="eastAsia" w:ascii="宋体" w:hAnsi="宋体" w:cs="宋体"/>
          <w:bCs/>
          <w:szCs w:val="21"/>
          <w:highlight w:val="none"/>
        </w:rPr>
        <w:t xml:space="preserve">五、我方认为你们有权决定中标者。</w:t>
      </w:r>
      <w:r>
        <w:rPr>
          <w:rFonts w:hint="eastAsia" w:ascii="宋体" w:hAnsi="宋体" w:cs="宋体"/>
          <w:bCs/>
          <w:szCs w:val="21"/>
          <w:highlight w:val="none"/>
        </w:rPr>
      </w:r>
      <w:r/>
    </w:p>
    <w:p>
      <w:pPr>
        <w:pStyle w:val="927"/>
        <w:ind w:firstLine="420"/>
        <w:spacing w:line="360" w:lineRule="auto"/>
        <w:tabs>
          <w:tab w:val="left" w:pos="315" w:leader="none"/>
          <w:tab w:val="left" w:pos="945" w:leader="none"/>
          <w:tab w:val="left" w:pos="1155" w:leader="none"/>
        </w:tabs>
        <w:rPr>
          <w:rFonts w:hint="eastAsia" w:ascii="宋体" w:hAnsi="宋体" w:cs="宋体"/>
          <w:bCs/>
          <w:szCs w:val="21"/>
          <w:highlight w:val="none"/>
        </w:rPr>
      </w:pPr>
      <w:r>
        <w:rPr>
          <w:rFonts w:hint="eastAsia" w:ascii="宋体" w:hAnsi="宋体" w:cs="宋体"/>
          <w:bCs/>
          <w:szCs w:val="21"/>
          <w:highlight w:val="none"/>
        </w:rPr>
        <w:t xml:space="preserve">六、我方愿意遵守《中华人民共和国政府采购法》，并按《中华人民共和国民法典》、财政部《政府采购货物和服务招标投标管理办法》和合同条款履行自己的全部责任。</w:t>
      </w:r>
      <w:r>
        <w:rPr>
          <w:rFonts w:hint="eastAsia" w:ascii="宋体" w:hAnsi="宋体" w:cs="宋体"/>
          <w:bCs/>
          <w:szCs w:val="21"/>
          <w:highlight w:val="none"/>
        </w:rPr>
      </w:r>
      <w:r/>
    </w:p>
    <w:p>
      <w:pPr>
        <w:pStyle w:val="927"/>
        <w:ind w:firstLine="420"/>
        <w:spacing w:line="360" w:lineRule="auto"/>
        <w:tabs>
          <w:tab w:val="left" w:pos="315" w:leader="none"/>
          <w:tab w:val="left" w:pos="945" w:leader="none"/>
          <w:tab w:val="left" w:pos="1155" w:leader="none"/>
        </w:tabs>
        <w:rPr>
          <w:rFonts w:hint="eastAsia" w:ascii="宋体" w:hAnsi="宋体" w:cs="宋体"/>
          <w:bCs/>
          <w:szCs w:val="21"/>
          <w:highlight w:val="none"/>
        </w:rPr>
      </w:pPr>
      <w:r>
        <w:rPr>
          <w:rFonts w:hint="eastAsia" w:ascii="宋体" w:hAnsi="宋体" w:cs="宋体"/>
          <w:bCs/>
          <w:szCs w:val="21"/>
          <w:highlight w:val="none"/>
        </w:rPr>
        <w:t xml:space="preserve">七、我方认可并遵守招标文件的所有规定，放弃对招标文件提出质疑的权利。</w:t>
      </w:r>
      <w:r>
        <w:rPr>
          <w:rFonts w:hint="eastAsia" w:ascii="宋体" w:hAnsi="宋体" w:cs="宋体"/>
          <w:bCs/>
          <w:szCs w:val="21"/>
          <w:highlight w:val="none"/>
        </w:rPr>
      </w:r>
      <w:r/>
    </w:p>
    <w:p>
      <w:pPr>
        <w:pStyle w:val="927"/>
        <w:ind w:firstLine="420"/>
        <w:spacing w:line="360" w:lineRule="auto"/>
        <w:tabs>
          <w:tab w:val="left" w:pos="945" w:leader="none"/>
        </w:tabs>
        <w:rPr>
          <w:rFonts w:hint="eastAsia" w:ascii="宋体" w:hAnsi="宋体" w:cs="宋体"/>
          <w:bCs/>
          <w:szCs w:val="21"/>
          <w:highlight w:val="none"/>
        </w:rPr>
      </w:pPr>
      <w:r>
        <w:rPr>
          <w:rFonts w:hint="eastAsia" w:ascii="宋体" w:hAnsi="宋体" w:cs="宋体"/>
          <w:bCs/>
          <w:szCs w:val="21"/>
          <w:highlight w:val="none"/>
        </w:rPr>
        <w:t xml:space="preserve">八、如果我方被确定为中标供应商，我方愿意在合同签订前按招标文件的规定缴纳履约保证金。且我方如无不可抗力，又未履行招标文件、投标文件和合同条款的，一经查实，我方愿意赔偿由此而造成的一切损失，并同意接受按招标文件的相关要求对我方进行的处理。</w:t>
      </w:r>
      <w:r>
        <w:rPr>
          <w:rFonts w:hint="eastAsia" w:ascii="宋体" w:hAnsi="宋体" w:cs="宋体"/>
          <w:bCs/>
          <w:szCs w:val="21"/>
          <w:highlight w:val="none"/>
        </w:rPr>
      </w:r>
      <w:r/>
    </w:p>
    <w:p>
      <w:pPr>
        <w:pStyle w:val="927"/>
        <w:ind w:firstLine="420"/>
        <w:spacing w:line="360" w:lineRule="auto"/>
        <w:tabs>
          <w:tab w:val="left" w:pos="945" w:leader="none"/>
        </w:tabs>
        <w:rPr>
          <w:rFonts w:hint="eastAsia" w:ascii="宋体" w:hAnsi="宋体" w:cs="宋体"/>
          <w:bCs/>
          <w:szCs w:val="21"/>
          <w:highlight w:val="none"/>
        </w:rPr>
      </w:pPr>
      <w:r>
        <w:rPr>
          <w:rFonts w:hint="eastAsia" w:ascii="宋体" w:hAnsi="宋体" w:cs="宋体"/>
          <w:bCs/>
          <w:szCs w:val="21"/>
          <w:highlight w:val="none"/>
        </w:rPr>
        <w:t xml:space="preserve">九、我方决不提供虚假材料谋取中标、决不采取不正当手段诋毁、排挤其他供应商、决不与采购人、其它供应商或者苏美达国际技术贸易有限公司恶意串通、决不向采购人、苏美达国际技术贸易有限公司工作人员和评委进行商业贿赂、决不在采购过程中与采购人进行协商谈判、决不拒绝有关部门监督检查或提供虚假情况，如有违反，无条件接受贵方及相关管理部门的处罚。</w:t>
      </w:r>
      <w:r>
        <w:rPr>
          <w:rFonts w:hint="eastAsia" w:ascii="宋体" w:hAnsi="宋体" w:cs="宋体"/>
          <w:bCs/>
          <w:szCs w:val="21"/>
          <w:highlight w:val="none"/>
        </w:rPr>
      </w:r>
      <w:r/>
    </w:p>
    <w:p>
      <w:pPr>
        <w:pStyle w:val="927"/>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927"/>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投标人(盖章)：     </w:t>
      </w:r>
      <w:r>
        <w:rPr>
          <w:rFonts w:hint="eastAsia" w:ascii="宋体" w:hAnsi="宋体" w:cs="宋体"/>
          <w:bCs/>
          <w:szCs w:val="21"/>
          <w:highlight w:val="none"/>
        </w:rPr>
      </w:r>
      <w:r/>
    </w:p>
    <w:p>
      <w:pPr>
        <w:pStyle w:val="927"/>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法定代表人或法定代表人授权代表签字或盖章：</w:t>
      </w:r>
      <w:r>
        <w:rPr>
          <w:rFonts w:hint="eastAsia" w:ascii="宋体" w:hAnsi="宋体" w:cs="宋体"/>
          <w:bCs/>
          <w:szCs w:val="21"/>
          <w:highlight w:val="none"/>
        </w:rPr>
      </w:r>
      <w:r/>
    </w:p>
    <w:p>
      <w:pPr>
        <w:pStyle w:val="927"/>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电话：                              传真：</w:t>
      </w:r>
      <w:r>
        <w:rPr>
          <w:rFonts w:hint="eastAsia" w:ascii="宋体" w:hAnsi="宋体" w:cs="宋体"/>
          <w:bCs/>
          <w:szCs w:val="21"/>
          <w:highlight w:val="none"/>
        </w:rPr>
      </w:r>
      <w:r/>
    </w:p>
    <w:p>
      <w:pPr>
        <w:pStyle w:val="927"/>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通讯地址：                          邮编：</w:t>
      </w:r>
      <w:r>
        <w:rPr>
          <w:rFonts w:hint="eastAsia" w:ascii="宋体" w:hAnsi="宋体" w:cs="宋体"/>
          <w:bCs/>
          <w:szCs w:val="21"/>
          <w:highlight w:val="none"/>
        </w:rPr>
      </w:r>
      <w:r/>
    </w:p>
    <w:p>
      <w:pPr>
        <w:pStyle w:val="927"/>
        <w:spacing w:line="360" w:lineRule="auto"/>
        <w:rPr>
          <w:rFonts w:eastAsia="黑体"/>
          <w:bCs/>
          <w:sz w:val="24"/>
          <w:szCs w:val="24"/>
          <w:highlight w:val="none"/>
        </w:rPr>
        <w:sectPr>
          <w:footnotePr/>
          <w:endnotePr/>
          <w:type w:val="nextPage"/>
          <w:pgSz w:w="11907" w:h="16840" w:orient="portrait"/>
          <w:pgMar w:top="1134" w:right="1134" w:bottom="1134" w:left="1134" w:header="851" w:footer="992" w:gutter="0"/>
          <w:cols w:num="1" w:sep="0" w:space="1701" w:equalWidth="1"/>
          <w:docGrid w:linePitch="360"/>
        </w:sectPr>
      </w:pPr>
      <w:r>
        <w:rPr>
          <w:rFonts w:eastAsia="黑体"/>
          <w:bCs/>
          <w:sz w:val="24"/>
          <w:szCs w:val="24"/>
          <w:highlight w:val="none"/>
        </w:rPr>
      </w:r>
      <w:r/>
    </w:p>
    <w:p>
      <w:pPr>
        <w:pStyle w:val="927"/>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（二）法定代表人授权委托书(格式)：</w:t>
      </w:r>
      <w:r>
        <w:rPr>
          <w:rFonts w:hint="eastAsia" w:ascii="宋体" w:hAnsi="宋体" w:cs="宋体"/>
          <w:b/>
          <w:sz w:val="24"/>
          <w:szCs w:val="24"/>
          <w:highlight w:val="none"/>
        </w:rPr>
      </w:r>
      <w:r/>
    </w:p>
    <w:p>
      <w:pPr>
        <w:pStyle w:val="927"/>
        <w:spacing w:line="360" w:lineRule="auto"/>
        <w:rPr>
          <w:rFonts w:eastAsia="黑体"/>
          <w:bCs/>
          <w:sz w:val="28"/>
          <w:szCs w:val="28"/>
          <w:highlight w:val="none"/>
        </w:rPr>
      </w:pPr>
      <w:r>
        <w:rPr>
          <w:rFonts w:eastAsia="黑体"/>
          <w:bCs/>
          <w:sz w:val="28"/>
          <w:szCs w:val="28"/>
          <w:highlight w:val="none"/>
        </w:rPr>
      </w:r>
      <w:r/>
    </w:p>
    <w:p>
      <w:pPr>
        <w:pStyle w:val="927"/>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t xml:space="preserve">法定代表人授权委托书</w:t>
      </w:r>
      <w:r>
        <w:rPr>
          <w:rFonts w:hint="eastAsia" w:ascii="宋体" w:hAnsi="宋体" w:cs="宋体"/>
          <w:b/>
          <w:sz w:val="36"/>
          <w:szCs w:val="28"/>
          <w:highlight w:val="none"/>
        </w:rPr>
      </w:r>
      <w:r/>
    </w:p>
    <w:p>
      <w:pPr>
        <w:pStyle w:val="927"/>
        <w:jc w:val="center"/>
        <w:spacing w:line="360" w:lineRule="auto"/>
        <w:rPr>
          <w:rFonts w:eastAsia="黑体"/>
          <w:bCs/>
          <w:sz w:val="28"/>
          <w:szCs w:val="28"/>
          <w:highlight w:val="none"/>
        </w:rPr>
      </w:pPr>
      <w:r>
        <w:rPr>
          <w:rFonts w:eastAsia="黑体"/>
          <w:bCs/>
          <w:sz w:val="28"/>
          <w:szCs w:val="28"/>
          <w:highlight w:val="none"/>
        </w:rPr>
      </w:r>
      <w:r/>
    </w:p>
    <w:p>
      <w:pPr>
        <w:pStyle w:val="927"/>
        <w:spacing w:line="360" w:lineRule="auto"/>
        <w:rPr>
          <w:rFonts w:hint="eastAsia" w:ascii="宋体" w:hAnsi="宋体" w:cs="宋体"/>
          <w:bCs/>
          <w:szCs w:val="21"/>
          <w:highlight w:val="none"/>
        </w:rPr>
      </w:pPr>
      <w:r>
        <w:rPr>
          <w:rFonts w:eastAsia="楷体_GB2312"/>
          <w:bCs/>
          <w:sz w:val="30"/>
          <w:highlight w:val="none"/>
        </w:rPr>
        <w:t xml:space="preserve">  </w:t>
      </w:r>
      <w:r>
        <w:rPr>
          <w:rFonts w:eastAsia="楷体_GB2312"/>
          <w:bCs/>
          <w:sz w:val="24"/>
          <w:szCs w:val="24"/>
          <w:highlight w:val="none"/>
        </w:rPr>
        <w:t xml:space="preserve">  </w:t>
      </w:r>
      <w:r>
        <w:rPr>
          <w:rFonts w:hint="eastAsia" w:ascii="宋体" w:hAnsi="宋体" w:cs="宋体"/>
          <w:bCs/>
          <w:sz w:val="24"/>
          <w:szCs w:val="24"/>
          <w:highlight w:val="none"/>
        </w:rPr>
        <w:t xml:space="preserve">                    </w:t>
      </w:r>
      <w:r>
        <w:rPr>
          <w:rFonts w:hint="eastAsia" w:ascii="宋体" w:hAnsi="宋体" w:cs="宋体"/>
          <w:bCs/>
          <w:szCs w:val="21"/>
          <w:highlight w:val="none"/>
        </w:rPr>
        <w:t xml:space="preserve">           招标编号：</w:t>
      </w:r>
      <w:r>
        <w:rPr>
          <w:rFonts w:hint="eastAsia" w:ascii="宋体" w:hAnsi="宋体" w:cs="宋体"/>
          <w:bCs/>
          <w:szCs w:val="21"/>
          <w:highlight w:val="none"/>
        </w:rPr>
      </w:r>
      <w:r/>
    </w:p>
    <w:p>
      <w:pPr>
        <w:pStyle w:val="927"/>
        <w:ind w:firstLine="4620"/>
        <w:spacing w:line="360" w:lineRule="auto"/>
        <w:rPr>
          <w:rFonts w:hint="eastAsia" w:ascii="宋体" w:hAnsi="宋体" w:cs="宋体"/>
          <w:bCs/>
          <w:szCs w:val="21"/>
          <w:highlight w:val="none"/>
        </w:rPr>
      </w:pPr>
      <w:r>
        <w:rPr>
          <w:rFonts w:hint="eastAsia" w:ascii="宋体" w:hAnsi="宋体" w:cs="宋体"/>
          <w:bCs/>
          <w:szCs w:val="21"/>
          <w:highlight w:val="none"/>
        </w:rPr>
        <w:t xml:space="preserve">日期：</w:t>
      </w:r>
      <w:r>
        <w:rPr>
          <w:rFonts w:hint="eastAsia" w:ascii="宋体" w:hAnsi="宋体" w:cs="宋体"/>
          <w:bCs/>
          <w:szCs w:val="21"/>
          <w:highlight w:val="none"/>
        </w:rPr>
      </w:r>
      <w:r/>
    </w:p>
    <w:p>
      <w:pPr>
        <w:pStyle w:val="927"/>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927"/>
        <w:spacing w:line="360" w:lineRule="auto"/>
        <w:rPr>
          <w:rFonts w:hint="eastAsia" w:ascii="宋体" w:hAnsi="宋体" w:cs="宋体"/>
          <w:bCs/>
          <w:szCs w:val="21"/>
          <w:highlight w:val="none"/>
        </w:rPr>
      </w:pPr>
      <w:r>
        <w:rPr>
          <w:rFonts w:hint="eastAsia" w:ascii="宋体" w:hAnsi="宋体" w:cs="宋体"/>
          <w:bCs/>
          <w:szCs w:val="21"/>
          <w:highlight w:val="none"/>
        </w:rPr>
        <w:t xml:space="preserve">苏美达国际技术贸易有限公司：</w:t>
      </w:r>
      <w:r>
        <w:rPr>
          <w:rFonts w:hint="eastAsia" w:ascii="宋体" w:hAnsi="宋体" w:cs="宋体"/>
          <w:bCs/>
          <w:szCs w:val="21"/>
          <w:highlight w:val="none"/>
        </w:rPr>
      </w:r>
      <w:r/>
    </w:p>
    <w:p>
      <w:pPr>
        <w:pStyle w:val="927"/>
        <w:ind w:firstLine="420"/>
        <w:spacing w:line="360" w:lineRule="auto"/>
        <w:rPr>
          <w:rFonts w:hint="eastAsia" w:ascii="宋体" w:hAnsi="宋体" w:cs="宋体"/>
          <w:bCs/>
          <w:szCs w:val="21"/>
          <w:highlight w:val="none"/>
        </w:rPr>
      </w:pPr>
      <w:r>
        <w:rPr>
          <w:rFonts w:hint="eastAsia" w:ascii="宋体" w:hAnsi="宋体" w:cs="宋体"/>
          <w:bCs/>
          <w:szCs w:val="21"/>
          <w:highlight w:val="none"/>
          <w:u w:val="single"/>
        </w:rPr>
        <w:t xml:space="preserve">                          </w:t>
      </w:r>
      <w:r>
        <w:rPr>
          <w:rFonts w:hint="eastAsia" w:ascii="宋体" w:hAnsi="宋体" w:cs="宋体"/>
          <w:bCs/>
          <w:szCs w:val="21"/>
          <w:highlight w:val="none"/>
        </w:rPr>
        <w:t xml:space="preserve">系中华人民共和国合法企业，特授权</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代表我公司(单位)全权办理针对本项目</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的投标、参与开标、评标、签约等具体工作，并签署全部有关的文件、协议及合同。</w:t>
      </w:r>
      <w:r>
        <w:rPr>
          <w:rFonts w:hint="eastAsia" w:ascii="宋体" w:hAnsi="宋体" w:cs="宋体"/>
          <w:bCs/>
          <w:szCs w:val="21"/>
          <w:highlight w:val="none"/>
        </w:rPr>
      </w:r>
      <w:r/>
    </w:p>
    <w:p>
      <w:pPr>
        <w:pStyle w:val="927"/>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我公司(单位)对被授权人的签名负全部责任。</w:t>
      </w:r>
      <w:r>
        <w:rPr>
          <w:rFonts w:hint="eastAsia" w:ascii="宋体" w:hAnsi="宋体" w:cs="宋体"/>
          <w:bCs/>
          <w:szCs w:val="21"/>
          <w:highlight w:val="none"/>
        </w:rPr>
      </w:r>
      <w:r/>
    </w:p>
    <w:p>
      <w:pPr>
        <w:pStyle w:val="927"/>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在撤销授权的书面通知送达你处以前，本授权书一直有效，被授权人签署的所有文件(在授权书有效期内签署的)不因授权的撤销而失效。</w:t>
      </w:r>
      <w:r>
        <w:rPr>
          <w:rFonts w:hint="eastAsia" w:ascii="宋体" w:hAnsi="宋体" w:cs="宋体"/>
          <w:bCs/>
          <w:szCs w:val="21"/>
          <w:highlight w:val="none"/>
        </w:rPr>
      </w:r>
      <w:r/>
    </w:p>
    <w:p>
      <w:pPr>
        <w:pStyle w:val="927"/>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被授权人情况：</w:t>
      </w:r>
      <w:r>
        <w:rPr>
          <w:rFonts w:hint="eastAsia" w:ascii="宋体" w:hAnsi="宋体" w:cs="宋体"/>
          <w:bCs/>
          <w:szCs w:val="21"/>
          <w:highlight w:val="none"/>
        </w:rPr>
      </w:r>
      <w:r/>
    </w:p>
    <w:p>
      <w:pPr>
        <w:pStyle w:val="927"/>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姓名：         性别：             电话：</w:t>
      </w:r>
      <w:r>
        <w:rPr>
          <w:rFonts w:hint="eastAsia" w:ascii="宋体" w:hAnsi="宋体" w:cs="宋体"/>
          <w:bCs/>
          <w:szCs w:val="21"/>
          <w:highlight w:val="none"/>
        </w:rPr>
      </w:r>
      <w:r/>
    </w:p>
    <w:p>
      <w:pPr>
        <w:pStyle w:val="927"/>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rPr>
          <w:rFonts w:hint="eastAsia" w:ascii="宋体" w:hAnsi="宋体" w:cs="宋体"/>
          <w:bCs/>
          <w:szCs w:val="21"/>
          <w:highlight w:val="none"/>
        </w:rPr>
      </w:r>
      <w:r/>
    </w:p>
    <w:p>
      <w:pPr>
        <w:pStyle w:val="927"/>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927"/>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                              投标人(盖章)：</w:t>
      </w:r>
      <w:r>
        <w:rPr>
          <w:rFonts w:hint="eastAsia" w:ascii="宋体" w:hAnsi="宋体" w:cs="宋体"/>
          <w:bCs/>
          <w:szCs w:val="21"/>
          <w:highlight w:val="none"/>
        </w:rPr>
      </w:r>
      <w:r/>
    </w:p>
    <w:p>
      <w:pPr>
        <w:pStyle w:val="927"/>
        <w:ind w:firstLine="3570"/>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927"/>
        <w:ind w:firstLine="3570"/>
        <w:spacing w:line="360" w:lineRule="auto"/>
        <w:rPr>
          <w:rFonts w:hint="eastAsia" w:ascii="宋体" w:hAnsi="宋体" w:cs="宋体"/>
          <w:bCs/>
          <w:szCs w:val="21"/>
          <w:highlight w:val="none"/>
        </w:rPr>
      </w:pPr>
      <w:r>
        <w:rPr>
          <w:rFonts w:hint="eastAsia" w:ascii="宋体" w:hAnsi="宋体" w:cs="宋体"/>
          <w:bCs/>
          <w:szCs w:val="21"/>
          <w:highlight w:val="none"/>
        </w:rPr>
        <w:t xml:space="preserve">法定代表人(签字或盖章)：</w:t>
      </w:r>
      <w:r>
        <w:rPr>
          <w:rFonts w:hint="eastAsia" w:ascii="宋体" w:hAnsi="宋体" w:cs="宋体"/>
          <w:bCs/>
          <w:szCs w:val="21"/>
          <w:highlight w:val="none"/>
        </w:rPr>
      </w:r>
      <w:r/>
    </w:p>
    <w:p>
      <w:pPr>
        <w:pStyle w:val="927"/>
        <w:ind w:firstLine="4080"/>
        <w:spacing w:line="360" w:lineRule="auto"/>
        <w:rPr>
          <w:bCs/>
          <w:sz w:val="24"/>
          <w:szCs w:val="24"/>
          <w:highlight w:val="none"/>
        </w:rPr>
      </w:pPr>
      <w:r>
        <w:rPr>
          <w:bCs/>
          <w:sz w:val="24"/>
          <w:szCs w:val="24"/>
          <w:highlight w:val="none"/>
        </w:rPr>
      </w:r>
      <w:r/>
    </w:p>
    <w:p>
      <w:pPr>
        <w:pStyle w:val="927"/>
        <w:ind w:firstLine="4080"/>
        <w:spacing w:line="360" w:lineRule="auto"/>
        <w:rPr>
          <w:bCs/>
          <w:sz w:val="24"/>
          <w:szCs w:val="24"/>
          <w:highlight w:val="none"/>
        </w:rPr>
      </w:pPr>
      <w:r>
        <w:rPr>
          <w:bCs/>
          <w:sz w:val="24"/>
          <w:szCs w:val="24"/>
          <w:highlight w:val="none"/>
        </w:rPr>
      </w:r>
      <w:r/>
    </w:p>
    <w:p>
      <w:pPr>
        <w:pStyle w:val="927"/>
        <w:ind w:firstLine="4080"/>
        <w:spacing w:line="360" w:lineRule="auto"/>
        <w:rPr>
          <w:bCs/>
          <w:sz w:val="24"/>
          <w:szCs w:val="24"/>
          <w:highlight w:val="none"/>
        </w:rPr>
      </w:pPr>
      <w:r>
        <w:rPr>
          <w:bCs/>
          <w:sz w:val="24"/>
          <w:szCs w:val="24"/>
          <w:highlight w:val="none"/>
        </w:rPr>
      </w:r>
      <w:r/>
    </w:p>
    <w:p>
      <w:pPr>
        <w:pStyle w:val="927"/>
        <w:ind w:firstLine="4080"/>
        <w:spacing w:line="360" w:lineRule="auto"/>
        <w:rPr>
          <w:bCs/>
          <w:sz w:val="24"/>
          <w:szCs w:val="24"/>
          <w:highlight w:val="none"/>
        </w:rPr>
      </w:pPr>
      <w:r>
        <w:rPr>
          <w:bCs/>
          <w:sz w:val="24"/>
          <w:szCs w:val="24"/>
          <w:highlight w:val="none"/>
        </w:rPr>
      </w:r>
      <w:r/>
    </w:p>
    <w:p>
      <w:pPr>
        <w:pStyle w:val="927"/>
        <w:ind w:firstLine="4080"/>
        <w:spacing w:line="360" w:lineRule="auto"/>
        <w:rPr>
          <w:bCs/>
          <w:sz w:val="24"/>
          <w:szCs w:val="24"/>
          <w:highlight w:val="none"/>
        </w:rPr>
      </w:pPr>
      <w:r>
        <w:rPr>
          <w:bCs/>
          <w:sz w:val="24"/>
          <w:szCs w:val="24"/>
          <w:highlight w:val="none"/>
        </w:rPr>
      </w:r>
      <w:r/>
    </w:p>
    <w:p>
      <w:pPr>
        <w:pStyle w:val="927"/>
        <w:spacing w:line="360" w:lineRule="auto"/>
        <w:rPr>
          <w:rFonts w:hint="eastAsia"/>
          <w:bCs/>
          <w:sz w:val="24"/>
          <w:szCs w:val="24"/>
          <w:highlight w:val="none"/>
        </w:rPr>
      </w:pPr>
      <w:r>
        <w:rPr>
          <w:rFonts w:hint="eastAsia"/>
          <w:bCs/>
          <w:sz w:val="24"/>
          <w:szCs w:val="24"/>
          <w:highlight w:val="none"/>
        </w:rPr>
      </w:r>
      <w:r/>
    </w:p>
    <w:p>
      <w:pPr>
        <w:pStyle w:val="927"/>
        <w:rPr>
          <w:rFonts w:hint="eastAsia"/>
          <w:bCs/>
          <w:sz w:val="24"/>
          <w:szCs w:val="24"/>
          <w:highlight w:val="none"/>
        </w:rPr>
      </w:pPr>
      <w:r>
        <w:rPr>
          <w:rFonts w:hint="eastAsia"/>
          <w:bCs/>
          <w:sz w:val="24"/>
          <w:szCs w:val="24"/>
          <w:highlight w:val="none"/>
        </w:rPr>
      </w:r>
      <w:r/>
    </w:p>
    <w:p>
      <w:pPr>
        <w:pStyle w:val="927"/>
        <w:rPr>
          <w:bCs/>
          <w:sz w:val="24"/>
          <w:szCs w:val="24"/>
          <w:highlight w:val="none"/>
        </w:rPr>
      </w:pPr>
      <w:r>
        <w:rPr>
          <w:bCs/>
          <w:sz w:val="24"/>
          <w:szCs w:val="24"/>
          <w:highlight w:val="none"/>
        </w:rPr>
      </w:r>
      <w:r/>
    </w:p>
    <w:p>
      <w:pPr>
        <w:pStyle w:val="927"/>
        <w:rPr>
          <w:bCs/>
          <w:sz w:val="24"/>
          <w:szCs w:val="24"/>
          <w:highlight w:val="none"/>
        </w:rPr>
      </w:pPr>
      <w:r>
        <w:rPr>
          <w:bCs/>
          <w:sz w:val="24"/>
          <w:szCs w:val="24"/>
          <w:highlight w:val="none"/>
        </w:rPr>
      </w:r>
      <w:r/>
    </w:p>
    <w:p>
      <w:pPr>
        <w:pStyle w:val="927"/>
        <w:spacing w:line="360" w:lineRule="auto"/>
        <w:rPr>
          <w:rFonts w:eastAsia="黑体"/>
          <w:bCs/>
          <w:sz w:val="24"/>
          <w:szCs w:val="24"/>
          <w:highlight w:val="none"/>
        </w:rPr>
      </w:pPr>
      <w:r>
        <w:rPr>
          <w:rFonts w:eastAsia="黑体"/>
          <w:bCs/>
          <w:sz w:val="24"/>
          <w:szCs w:val="24"/>
          <w:highlight w:val="none"/>
        </w:rPr>
      </w:r>
      <w:r/>
    </w:p>
    <w:p>
      <w:pPr>
        <w:pStyle w:val="952"/>
        <w:rPr>
          <w:rFonts w:eastAsia="黑体"/>
          <w:sz w:val="24"/>
          <w:szCs w:val="24"/>
          <w:highlight w:val="none"/>
        </w:rPr>
      </w:pPr>
      <w:r>
        <w:rPr>
          <w:rFonts w:eastAsia="黑体"/>
          <w:sz w:val="24"/>
          <w:szCs w:val="24"/>
          <w:highlight w:val="none"/>
        </w:rPr>
      </w:r>
      <w:r/>
    </w:p>
    <w:p>
      <w:pPr>
        <w:pStyle w:val="927"/>
        <w:rPr>
          <w:highlight w:val="none"/>
        </w:rPr>
      </w:pPr>
      <w:r>
        <w:rPr>
          <w:highlight w:val="none"/>
        </w:rPr>
      </w:r>
      <w:r/>
    </w:p>
    <w:p>
      <w:pPr>
        <w:pStyle w:val="927"/>
        <w:rPr>
          <w:highlight w:val="none"/>
        </w:rPr>
      </w:pPr>
      <w:r>
        <w:rPr>
          <w:highlight w:val="none"/>
        </w:rPr>
      </w:r>
      <w:r/>
    </w:p>
    <w:p>
      <w:pPr>
        <w:pStyle w:val="927"/>
        <w:rPr>
          <w:highlight w:val="none"/>
        </w:rPr>
      </w:pPr>
      <w:r>
        <w:rPr>
          <w:highlight w:val="none"/>
        </w:rPr>
      </w:r>
      <w:r/>
    </w:p>
    <w:p>
      <w:pPr>
        <w:pStyle w:val="927"/>
        <w:rPr>
          <w:rFonts w:eastAsia="黑体"/>
          <w:bCs/>
          <w:sz w:val="24"/>
          <w:szCs w:val="24"/>
          <w:highlight w:val="none"/>
        </w:rPr>
      </w:pPr>
      <w:r>
        <w:rPr>
          <w:rFonts w:eastAsia="黑体"/>
          <w:bCs/>
          <w:sz w:val="24"/>
          <w:szCs w:val="24"/>
          <w:highlight w:val="none"/>
        </w:rPr>
      </w:r>
      <w:r/>
    </w:p>
    <w:p>
      <w:pPr>
        <w:pStyle w:val="927"/>
        <w:rPr>
          <w:rFonts w:hint="eastAsia"/>
          <w:bCs/>
          <w:sz w:val="24"/>
          <w:szCs w:val="24"/>
          <w:highlight w:val="none"/>
        </w:rPr>
      </w:pPr>
      <w:r>
        <w:rPr>
          <w:bCs/>
          <w:sz w:val="24"/>
          <w:szCs w:val="24"/>
          <w:highlight w:val="none"/>
        </w:rPr>
        <w:t xml:space="preserve">投标人法定代表人身份证</w:t>
      </w:r>
      <w:r>
        <w:rPr>
          <w:rFonts w:hint="eastAsia"/>
          <w:bCs/>
          <w:sz w:val="24"/>
          <w:szCs w:val="24"/>
          <w:highlight w:val="none"/>
        </w:rPr>
        <w:t xml:space="preserve">：</w:t>
      </w:r>
      <w:r>
        <w:rPr>
          <w:rFonts w:hint="eastAsia"/>
          <w:bCs/>
          <w:sz w:val="24"/>
          <w:szCs w:val="24"/>
          <w:highlight w:val="none"/>
        </w:rPr>
      </w:r>
      <w:r/>
    </w:p>
    <w:p>
      <w:pPr>
        <w:pStyle w:val="927"/>
        <w:rPr>
          <w:rFonts w:hint="eastAsia"/>
          <w:bCs/>
          <w:sz w:val="24"/>
          <w:szCs w:val="24"/>
          <w:highlight w:val="none"/>
        </w:rPr>
      </w:pPr>
      <w:r>
        <w:rPr>
          <w:rFonts w:hint="eastAsia"/>
          <w:bCs/>
          <w:sz w:val="24"/>
          <w:szCs w:val="24"/>
          <w:highlight w:val="none"/>
        </w:rPr>
      </w:r>
      <w:r/>
    </w:p>
    <w:p>
      <w:pPr>
        <w:pStyle w:val="927"/>
        <w:rPr>
          <w:rFonts w:hint="eastAsia"/>
          <w:bCs/>
          <w:sz w:val="24"/>
          <w:szCs w:val="24"/>
          <w:highlight w:val="none"/>
        </w:rPr>
      </w:pPr>
      <w:r>
        <w:rPr>
          <w:bCs/>
          <w:sz w:val="24"/>
          <w:szCs w:val="24"/>
          <w:highlight w:val="none"/>
        </w:rPr>
        <w:fldChar w:fldCharType="begin"/>
      </w:r>
      <w:r>
        <w:rPr>
          <w:bCs/>
          <w:sz w:val="24"/>
          <w:szCs w:val="24"/>
          <w:highlight w:val="none"/>
        </w:rPr>
        <w:instrText xml:space="preserve"> SHAPE  \* MERGEFORMAT </w:instrText>
      </w:r>
      <w:r>
        <w:rPr>
          <w:bCs/>
          <w:sz w:val="24"/>
          <w:szCs w:val="24"/>
          <w:highlight w:val="none"/>
        </w:rPr>
        <w:fldChar w:fldCharType="separate"/>
      </w:r>
      <w:r>
        <w:rPr>
          <w:bCs/>
          <w:sz w:val="24"/>
          <w:szCs w:val="24"/>
          <w:highlight w:val="none"/>
        </w:rPr>
        <mc:AlternateContent>
          <mc:Choice Requires="wpg">
            <w:drawing>
              <wp:inline xmlns:wp="http://schemas.openxmlformats.org/drawingml/2006/wordprocessingDrawing" distT="0" distB="0" distL="0" distR="0">
                <wp:extent cx="2418080" cy="1584960"/>
                <wp:effectExtent l="0" t="0" r="0" b="0"/>
                <wp:docPr id="4" name=""/>
                <wp:cNvGraphicFramePr/>
                <a:graphic xmlns:a="http://schemas.openxmlformats.org/drawingml/2006/main">
                  <a:graphicData uri="http://schemas.microsoft.com/office/word/2010/wordprocessingShape">
                    <wps:wsp>
                      <wps:cNvPr id="0" name=""/>
                      <wps:cNvSpPr txBox="1"/>
                      <wps:spPr bwMode="auto">
                        <a:xfrm>
                          <a:off x="0" y="0"/>
                          <a:ext cx="2418080" cy="1584960"/>
                        </a:xfrm>
                        <a:prstGeom prst="rect">
                          <a:avLst/>
                        </a:prstGeom>
                        <a:solidFill>
                          <a:srgbClr val="FFFFFF"/>
                        </a:solidFill>
                        <a:ln>
                          <a:solidFill>
                            <a:srgbClr val="000000"/>
                          </a:solidFill>
                        </a:ln>
                      </wps:spPr>
                      <wps:txbx>
                        <w:txbxContent>
                          <w:p>
                            <w:pPr>
                              <w:pStyle w:val="927"/>
                              <w:jc w:val="center"/>
                              <w:rPr>
                                <w:rFonts w:ascii="黑体" w:eastAsia="黑体"/>
                                <w:sz w:val="32"/>
                                <w:szCs w:val="32"/>
                              </w:rPr>
                            </w:pPr>
                            <w:r>
                              <w:rPr>
                                <w:rFonts w:ascii="黑体" w:eastAsia="黑体"/>
                                <w:sz w:val="32"/>
                                <w:szCs w:val="32"/>
                              </w:rPr>
                            </w:r>
                            <w:r/>
                          </w:p>
                          <w:p>
                            <w:pPr>
                              <w:pStyle w:val="927"/>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927"/>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927"/>
                            </w:pPr>
                            <w:r/>
                            <w:r/>
                          </w:p>
                        </w:txbxContent>
                      </wps:txbx>
                      <wps:bodyPr wrap="square" upright="1"/>
                    </wps:wsp>
                  </a:graphicData>
                </a:graphic>
              </wp:inline>
            </w:drawing>
          </mc:Choice>
          <mc:Fallback>
            <w:pict>
              <v:shape id="shape 3" o:spid="_x0000_s3" o:spt="202" type="#_x0000_t202" style="width:190.4pt;height:124.8pt;mso-wrap-distance-left:0.0pt;mso-wrap-distance-top:0.0pt;mso-wrap-distance-right:0.0pt;mso-wrap-distance-bottom:0.0pt;visibility:visible;" fillcolor="#FFFFFF" strokecolor="#000000">
                <v:textbox inset="0,0,0,0">
                  <w:txbxContent>
                    <w:p>
                      <w:pPr>
                        <w:pStyle w:val="927"/>
                        <w:jc w:val="center"/>
                        <w:rPr>
                          <w:rFonts w:ascii="黑体" w:eastAsia="黑体"/>
                          <w:sz w:val="32"/>
                          <w:szCs w:val="32"/>
                        </w:rPr>
                      </w:pPr>
                      <w:r>
                        <w:rPr>
                          <w:rFonts w:ascii="黑体" w:eastAsia="黑体"/>
                          <w:sz w:val="32"/>
                          <w:szCs w:val="32"/>
                        </w:rPr>
                      </w:r>
                      <w:r/>
                    </w:p>
                    <w:p>
                      <w:pPr>
                        <w:pStyle w:val="927"/>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927"/>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927"/>
                      </w:pPr>
                      <w:r/>
                      <w:r/>
                    </w:p>
                  </w:txbxContent>
                </v:textbox>
              </v:shape>
            </w:pict>
          </mc:Fallback>
        </mc:AlternateContent>
      </w:r>
      <w:r>
        <w:rPr>
          <w:bCs/>
          <w:sz w:val="24"/>
          <w:szCs w:val="24"/>
          <w:highlight w:val="none"/>
        </w:rPr>
        <w:fldChar w:fldCharType="end"/>
      </w:r>
      <w:r>
        <w:rPr>
          <w:rFonts w:hint="eastAsia" w:ascii="黑体" w:eastAsia="黑体"/>
          <w:sz w:val="32"/>
          <w:szCs w:val="32"/>
          <w:highlight w:val="none"/>
        </w:rPr>
        <w:t xml:space="preserve"> </w:t>
      </w:r>
      <w:r>
        <w:rPr>
          <w:rFonts w:hint="eastAsia" w:ascii="黑体" w:eastAsia="黑体"/>
          <w:sz w:val="32"/>
          <w:szCs w:val="32"/>
          <w:highlight w:val="none"/>
        </w:rPr>
        <w:fldChar w:fldCharType="begin"/>
      </w:r>
      <w:r>
        <w:rPr>
          <w:rFonts w:hint="eastAsia" w:ascii="黑体" w:eastAsia="黑体"/>
          <w:sz w:val="32"/>
          <w:szCs w:val="32"/>
          <w:highlight w:val="none"/>
        </w:rPr>
        <w:instrText xml:space="preserve"> SHAPE  \* MERGEFORMAT </w:instrText>
      </w:r>
      <w:r>
        <w:rPr>
          <w:rFonts w:hint="eastAsia" w:ascii="黑体" w:eastAsia="黑体"/>
          <w:sz w:val="32"/>
          <w:szCs w:val="32"/>
          <w:highlight w:val="none"/>
        </w:rPr>
        <w:fldChar w:fldCharType="separate"/>
      </w:r>
      <w:r>
        <w:rPr>
          <w:bCs/>
          <w:sz w:val="24"/>
          <w:szCs w:val="24"/>
          <w:highlight w:val="none"/>
        </w:rPr>
        <mc:AlternateContent>
          <mc:Choice Requires="wpg">
            <w:drawing>
              <wp:inline xmlns:wp="http://schemas.openxmlformats.org/drawingml/2006/wordprocessingDrawing" distT="0" distB="0" distL="0" distR="0">
                <wp:extent cx="2395855" cy="1584960"/>
                <wp:effectExtent l="0" t="0" r="0" b="0"/>
                <wp:docPr id="5" name=""/>
                <wp:cNvGraphicFramePr/>
                <a:graphic xmlns:a="http://schemas.openxmlformats.org/drawingml/2006/main">
                  <a:graphicData uri="http://schemas.microsoft.com/office/word/2010/wordprocessingShape">
                    <wps:wsp>
                      <wps:cNvPr id="0" name=""/>
                      <wps:cNvSpPr txBox="1"/>
                      <wps:spPr bwMode="auto">
                        <a:xfrm>
                          <a:off x="0" y="0"/>
                          <a:ext cx="2395855" cy="1584960"/>
                        </a:xfrm>
                        <a:prstGeom prst="rect">
                          <a:avLst/>
                        </a:prstGeom>
                        <a:solidFill>
                          <a:srgbClr val="FFFFFF"/>
                        </a:solidFill>
                        <a:ln>
                          <a:solidFill>
                            <a:srgbClr val="000000"/>
                          </a:solidFill>
                        </a:ln>
                      </wps:spPr>
                      <wps:txbx>
                        <w:txbxContent>
                          <w:p>
                            <w:pPr>
                              <w:pStyle w:val="927"/>
                              <w:jc w:val="center"/>
                              <w:rPr>
                                <w:rFonts w:ascii="黑体" w:eastAsia="黑体"/>
                                <w:sz w:val="32"/>
                                <w:szCs w:val="32"/>
                              </w:rPr>
                            </w:pPr>
                            <w:r>
                              <w:rPr>
                                <w:rFonts w:ascii="黑体" w:eastAsia="黑体"/>
                                <w:sz w:val="32"/>
                                <w:szCs w:val="32"/>
                              </w:rPr>
                            </w:r>
                            <w:r/>
                          </w:p>
                          <w:p>
                            <w:pPr>
                              <w:pStyle w:val="927"/>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927"/>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927"/>
                            </w:pPr>
                            <w:r/>
                            <w:r/>
                          </w:p>
                        </w:txbxContent>
                      </wps:txbx>
                      <wps:bodyPr wrap="square" upright="1"/>
                    </wps:wsp>
                  </a:graphicData>
                </a:graphic>
              </wp:inline>
            </w:drawing>
          </mc:Choice>
          <mc:Fallback>
            <w:pict>
              <v:shape id="shape 4" o:spid="_x0000_s4" o:spt="202" type="#_x0000_t202" style="width:188.6pt;height:124.8pt;mso-wrap-distance-left:0.0pt;mso-wrap-distance-top:0.0pt;mso-wrap-distance-right:0.0pt;mso-wrap-distance-bottom:0.0pt;visibility:visible;" fillcolor="#FFFFFF" strokecolor="#000000">
                <v:textbox inset="0,0,0,0">
                  <w:txbxContent>
                    <w:p>
                      <w:pPr>
                        <w:pStyle w:val="927"/>
                        <w:jc w:val="center"/>
                        <w:rPr>
                          <w:rFonts w:ascii="黑体" w:eastAsia="黑体"/>
                          <w:sz w:val="32"/>
                          <w:szCs w:val="32"/>
                        </w:rPr>
                      </w:pPr>
                      <w:r>
                        <w:rPr>
                          <w:rFonts w:ascii="黑体" w:eastAsia="黑体"/>
                          <w:sz w:val="32"/>
                          <w:szCs w:val="32"/>
                        </w:rPr>
                      </w:r>
                      <w:r/>
                    </w:p>
                    <w:p>
                      <w:pPr>
                        <w:pStyle w:val="927"/>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927"/>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927"/>
                      </w:pPr>
                      <w:r/>
                      <w:r/>
                    </w:p>
                  </w:txbxContent>
                </v:textbox>
              </v:shape>
            </w:pict>
          </mc:Fallback>
        </mc:AlternateContent>
      </w:r>
      <w:r>
        <w:rPr>
          <w:rFonts w:hint="eastAsia" w:ascii="黑体" w:eastAsia="黑体"/>
          <w:sz w:val="32"/>
          <w:szCs w:val="32"/>
          <w:highlight w:val="none"/>
        </w:rPr>
        <w:fldChar w:fldCharType="end"/>
      </w:r>
      <w:r>
        <w:rPr>
          <w:rFonts w:hint="eastAsia"/>
          <w:bCs/>
          <w:sz w:val="24"/>
          <w:szCs w:val="24"/>
          <w:highlight w:val="none"/>
        </w:rPr>
        <w:t xml:space="preserve">       </w:t>
      </w:r>
      <w:r>
        <w:rPr>
          <w:rFonts w:hint="eastAsia"/>
          <w:bCs/>
          <w:sz w:val="24"/>
          <w:szCs w:val="24"/>
          <w:highlight w:val="none"/>
        </w:rPr>
      </w:r>
      <w:r/>
    </w:p>
    <w:p>
      <w:pPr>
        <w:pStyle w:val="927"/>
        <w:rPr>
          <w:rFonts w:hint="eastAsia"/>
          <w:bCs/>
          <w:sz w:val="24"/>
          <w:szCs w:val="24"/>
          <w:highlight w:val="none"/>
        </w:rPr>
      </w:pPr>
      <w:r>
        <w:rPr>
          <w:rFonts w:hint="eastAsia"/>
          <w:bCs/>
          <w:sz w:val="24"/>
          <w:szCs w:val="24"/>
          <w:highlight w:val="none"/>
        </w:rPr>
      </w:r>
      <w:r/>
    </w:p>
    <w:p>
      <w:pPr>
        <w:pStyle w:val="927"/>
        <w:rPr>
          <w:rFonts w:hint="eastAsia"/>
          <w:bCs/>
          <w:sz w:val="24"/>
          <w:szCs w:val="24"/>
          <w:highlight w:val="none"/>
        </w:rPr>
      </w:pPr>
      <w:r>
        <w:rPr>
          <w:rFonts w:hint="eastAsia"/>
          <w:bCs/>
          <w:sz w:val="24"/>
          <w:szCs w:val="24"/>
          <w:highlight w:val="none"/>
        </w:rPr>
      </w:r>
      <w:r/>
    </w:p>
    <w:p>
      <w:pPr>
        <w:pStyle w:val="927"/>
        <w:rPr>
          <w:rFonts w:hint="eastAsia"/>
          <w:bCs/>
          <w:sz w:val="24"/>
          <w:szCs w:val="24"/>
          <w:highlight w:val="none"/>
        </w:rPr>
      </w:pPr>
      <w:r>
        <w:rPr>
          <w:rFonts w:hint="eastAsia"/>
          <w:bCs/>
          <w:sz w:val="24"/>
          <w:szCs w:val="24"/>
          <w:highlight w:val="none"/>
        </w:rPr>
      </w:r>
      <w:r/>
    </w:p>
    <w:p>
      <w:pPr>
        <w:pStyle w:val="927"/>
        <w:rPr>
          <w:rFonts w:hint="eastAsia"/>
          <w:bCs/>
          <w:sz w:val="24"/>
          <w:szCs w:val="24"/>
          <w:highlight w:val="none"/>
        </w:rPr>
      </w:pPr>
      <w:r>
        <w:rPr>
          <w:bCs/>
          <w:sz w:val="24"/>
          <w:szCs w:val="24"/>
          <w:highlight w:val="none"/>
        </w:rPr>
        <w:t xml:space="preserve">法定代表人授权代表身份证</w:t>
      </w:r>
      <w:r>
        <w:rPr>
          <w:rFonts w:hint="eastAsia"/>
          <w:bCs/>
          <w:sz w:val="24"/>
          <w:szCs w:val="24"/>
          <w:highlight w:val="none"/>
        </w:rPr>
        <w:t xml:space="preserve">：（</w:t>
      </w:r>
      <w:r>
        <w:rPr>
          <w:rFonts w:hAnsi="宋体"/>
          <w:b/>
          <w:bCs/>
          <w:sz w:val="24"/>
          <w:szCs w:val="24"/>
          <w:highlight w:val="none"/>
        </w:rPr>
        <w:t xml:space="preserve">法定代表人亲自参与投标的除外</w:t>
      </w:r>
      <w:r>
        <w:rPr>
          <w:rFonts w:hint="eastAsia" w:hAnsi="宋体"/>
          <w:b/>
          <w:bCs/>
          <w:sz w:val="24"/>
          <w:szCs w:val="24"/>
          <w:highlight w:val="none"/>
        </w:rPr>
        <w:t xml:space="preserve">）</w:t>
      </w:r>
      <w:r>
        <w:rPr>
          <w:rFonts w:hint="eastAsia"/>
          <w:bCs/>
          <w:sz w:val="24"/>
          <w:szCs w:val="24"/>
          <w:highlight w:val="none"/>
        </w:rPr>
      </w:r>
      <w:r/>
    </w:p>
    <w:p>
      <w:pPr>
        <w:pStyle w:val="952"/>
        <w:rPr>
          <w:highlight w:val="none"/>
        </w:rPr>
      </w:pPr>
      <w:r>
        <w:rPr>
          <w:sz w:val="24"/>
          <w:szCs w:val="24"/>
          <w:highlight w:val="none"/>
        </w:rPr>
        <w:fldChar w:fldCharType="begin"/>
      </w:r>
      <w:r>
        <w:rPr>
          <w:sz w:val="24"/>
          <w:szCs w:val="24"/>
          <w:highlight w:val="none"/>
        </w:rPr>
        <w:instrText xml:space="preserve"> SHAPE  \* MERGEFORMAT </w:instrText>
      </w:r>
      <w:r>
        <w:rPr>
          <w:sz w:val="24"/>
          <w:szCs w:val="24"/>
          <w:highlight w:val="none"/>
        </w:rPr>
        <w:fldChar w:fldCharType="separate"/>
      </w:r>
      <w:r>
        <w:rPr>
          <w:sz w:val="24"/>
          <w:szCs w:val="24"/>
          <w:highlight w:val="none"/>
        </w:rPr>
        <mc:AlternateContent>
          <mc:Choice Requires="wpg">
            <w:drawing>
              <wp:inline xmlns:wp="http://schemas.openxmlformats.org/drawingml/2006/wordprocessingDrawing" distT="0" distB="0" distL="0" distR="0">
                <wp:extent cx="2414270" cy="1584960"/>
                <wp:effectExtent l="0" t="0" r="0" b="0"/>
                <wp:docPr id="6" name=""/>
                <wp:cNvGraphicFramePr/>
                <a:graphic xmlns:a="http://schemas.openxmlformats.org/drawingml/2006/main">
                  <a:graphicData uri="http://schemas.microsoft.com/office/word/2010/wordprocessingShape">
                    <wps:wsp>
                      <wps:cNvPr id="0" name=""/>
                      <wps:cNvSpPr txBox="1"/>
                      <wps:spPr bwMode="auto">
                        <a:xfrm>
                          <a:off x="0" y="0"/>
                          <a:ext cx="2414270" cy="1584960"/>
                        </a:xfrm>
                        <a:prstGeom prst="rect">
                          <a:avLst/>
                        </a:prstGeom>
                        <a:solidFill>
                          <a:srgbClr val="FFFFFF"/>
                        </a:solidFill>
                        <a:ln>
                          <a:solidFill>
                            <a:srgbClr val="000000"/>
                          </a:solidFill>
                        </a:ln>
                      </wps:spPr>
                      <wps:txbx>
                        <w:txbxContent>
                          <w:p>
                            <w:pPr>
                              <w:pStyle w:val="927"/>
                              <w:jc w:val="center"/>
                              <w:rPr>
                                <w:rFonts w:ascii="黑体" w:eastAsia="黑体"/>
                                <w:sz w:val="32"/>
                                <w:szCs w:val="32"/>
                              </w:rPr>
                            </w:pPr>
                            <w:r>
                              <w:rPr>
                                <w:rFonts w:ascii="黑体" w:eastAsia="黑体"/>
                                <w:sz w:val="32"/>
                                <w:szCs w:val="32"/>
                              </w:rPr>
                            </w:r>
                            <w:r/>
                          </w:p>
                          <w:p>
                            <w:pPr>
                              <w:pStyle w:val="927"/>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rPr>
                            </w:r>
                            <w:r/>
                          </w:p>
                          <w:p>
                            <w:pPr>
                              <w:pStyle w:val="927"/>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927"/>
                            </w:pPr>
                            <w:r/>
                            <w:r/>
                          </w:p>
                        </w:txbxContent>
                      </wps:txbx>
                      <wps:bodyPr wrap="square" upright="1"/>
                    </wps:wsp>
                  </a:graphicData>
                </a:graphic>
              </wp:inline>
            </w:drawing>
          </mc:Choice>
          <mc:Fallback>
            <w:pict>
              <v:shape id="shape 5" o:spid="_x0000_s5" o:spt="202" type="#_x0000_t202" style="width:190.1pt;height:124.8pt;mso-wrap-distance-left:0.0pt;mso-wrap-distance-top:0.0pt;mso-wrap-distance-right:0.0pt;mso-wrap-distance-bottom:0.0pt;visibility:visible;" fillcolor="#FFFFFF" strokecolor="#000000">
                <v:textbox inset="0,0,0,0">
                  <w:txbxContent>
                    <w:p>
                      <w:pPr>
                        <w:pStyle w:val="927"/>
                        <w:jc w:val="center"/>
                        <w:rPr>
                          <w:rFonts w:ascii="黑体" w:eastAsia="黑体"/>
                          <w:sz w:val="32"/>
                          <w:szCs w:val="32"/>
                        </w:rPr>
                      </w:pPr>
                      <w:r>
                        <w:rPr>
                          <w:rFonts w:ascii="黑体" w:eastAsia="黑体"/>
                          <w:sz w:val="32"/>
                          <w:szCs w:val="32"/>
                        </w:rPr>
                      </w:r>
                      <w:r/>
                    </w:p>
                    <w:p>
                      <w:pPr>
                        <w:pStyle w:val="927"/>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rPr>
                      </w:r>
                      <w:r/>
                    </w:p>
                    <w:p>
                      <w:pPr>
                        <w:pStyle w:val="927"/>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927"/>
                      </w:pPr>
                      <w:r/>
                      <w:r/>
                    </w:p>
                  </w:txbxContent>
                </v:textbox>
              </v:shape>
            </w:pict>
          </mc:Fallback>
        </mc:AlternateContent>
      </w:r>
      <w:r>
        <w:rPr>
          <w:sz w:val="24"/>
          <w:szCs w:val="24"/>
          <w:highlight w:val="none"/>
        </w:rPr>
        <w:fldChar w:fldCharType="end"/>
      </w:r>
      <w:r>
        <w:rPr>
          <w:rFonts w:hint="eastAsia"/>
          <w:sz w:val="24"/>
          <w:szCs w:val="24"/>
          <w:highlight w:val="none"/>
        </w:rPr>
        <w:t xml:space="preserve"> </w:t>
      </w:r>
      <w:r>
        <w:rPr>
          <w:rFonts w:hint="eastAsia"/>
          <w:sz w:val="24"/>
          <w:szCs w:val="24"/>
          <w:highlight w:val="none"/>
        </w:rPr>
        <w:fldChar w:fldCharType="begin"/>
      </w:r>
      <w:r>
        <w:rPr>
          <w:rFonts w:hint="eastAsia"/>
          <w:sz w:val="24"/>
          <w:szCs w:val="24"/>
          <w:highlight w:val="none"/>
        </w:rPr>
        <w:instrText xml:space="preserve"> SHAPE  \* MERGEFORMAT </w:instrText>
      </w:r>
      <w:r>
        <w:rPr>
          <w:rFonts w:hint="eastAsia"/>
          <w:sz w:val="24"/>
          <w:szCs w:val="24"/>
          <w:highlight w:val="none"/>
        </w:rPr>
        <w:fldChar w:fldCharType="separate"/>
      </w:r>
      <w:r>
        <w:rPr>
          <w:sz w:val="24"/>
          <w:szCs w:val="24"/>
          <w:highlight w:val="none"/>
        </w:rPr>
        <mc:AlternateContent>
          <mc:Choice Requires="wpg">
            <w:drawing>
              <wp:inline xmlns:wp="http://schemas.openxmlformats.org/drawingml/2006/wordprocessingDrawing" distT="0" distB="0" distL="0" distR="0">
                <wp:extent cx="2397125" cy="1584960"/>
                <wp:effectExtent l="0" t="0" r="0" b="0"/>
                <wp:docPr id="7" name=""/>
                <wp:cNvGraphicFramePr/>
                <a:graphic xmlns:a="http://schemas.openxmlformats.org/drawingml/2006/main">
                  <a:graphicData uri="http://schemas.microsoft.com/office/word/2010/wordprocessingShape">
                    <wps:wsp>
                      <wps:cNvPr id="0" name=""/>
                      <wps:cNvSpPr txBox="1"/>
                      <wps:spPr bwMode="auto">
                        <a:xfrm>
                          <a:off x="0" y="0"/>
                          <a:ext cx="2397125" cy="1584960"/>
                        </a:xfrm>
                        <a:prstGeom prst="rect">
                          <a:avLst/>
                        </a:prstGeom>
                        <a:solidFill>
                          <a:srgbClr val="FFFFFF"/>
                        </a:solidFill>
                        <a:ln>
                          <a:solidFill>
                            <a:srgbClr val="000000"/>
                          </a:solidFill>
                          <a:round/>
                        </a:ln>
                      </wps:spPr>
                      <wps:txbx>
                        <w:txbxContent>
                          <w:p>
                            <w:pPr>
                              <w:pStyle w:val="927"/>
                              <w:jc w:val="center"/>
                              <w:rPr>
                                <w:rFonts w:ascii="黑体" w:eastAsia="黑体"/>
                                <w:sz w:val="32"/>
                                <w:szCs w:val="32"/>
                              </w:rPr>
                            </w:pPr>
                            <w:r>
                              <w:rPr>
                                <w:rFonts w:ascii="黑体" w:eastAsia="黑体"/>
                                <w:sz w:val="32"/>
                                <w:szCs w:val="32"/>
                              </w:rPr>
                            </w:r>
                            <w:r/>
                          </w:p>
                          <w:p>
                            <w:pPr>
                              <w:pStyle w:val="927"/>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rPr>
                            </w:r>
                            <w:r/>
                          </w:p>
                          <w:p>
                            <w:pPr>
                              <w:pStyle w:val="927"/>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927"/>
                            </w:pPr>
                            <w:r/>
                            <w:r/>
                          </w:p>
                        </w:txbxContent>
                      </wps:txbx>
                      <wps:bodyPr wrap="square" upright="1"/>
                    </wps:wsp>
                  </a:graphicData>
                </a:graphic>
              </wp:inline>
            </w:drawing>
          </mc:Choice>
          <mc:Fallback>
            <w:pict>
              <v:shape id="shape 6" o:spid="_x0000_s6" o:spt="202" type="#_x0000_t202" style="width:188.8pt;height:124.8pt;mso-wrap-distance-left:0.0pt;mso-wrap-distance-top:0.0pt;mso-wrap-distance-right:0.0pt;mso-wrap-distance-bottom:0.0pt;visibility:visible;" fillcolor="#FFFFFF" strokecolor="#000000">
                <v:textbox inset="0,0,0,0">
                  <w:txbxContent>
                    <w:p>
                      <w:pPr>
                        <w:pStyle w:val="927"/>
                        <w:jc w:val="center"/>
                        <w:rPr>
                          <w:rFonts w:ascii="黑体" w:eastAsia="黑体"/>
                          <w:sz w:val="32"/>
                          <w:szCs w:val="32"/>
                        </w:rPr>
                      </w:pPr>
                      <w:r>
                        <w:rPr>
                          <w:rFonts w:ascii="黑体" w:eastAsia="黑体"/>
                          <w:sz w:val="32"/>
                          <w:szCs w:val="32"/>
                        </w:rPr>
                      </w:r>
                      <w:r/>
                    </w:p>
                    <w:p>
                      <w:pPr>
                        <w:pStyle w:val="927"/>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rPr>
                      </w:r>
                      <w:r/>
                    </w:p>
                    <w:p>
                      <w:pPr>
                        <w:pStyle w:val="927"/>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927"/>
                      </w:pPr>
                      <w:r/>
                      <w:r/>
                    </w:p>
                  </w:txbxContent>
                </v:textbox>
              </v:shape>
            </w:pict>
          </mc:Fallback>
        </mc:AlternateContent>
      </w:r>
      <w:r>
        <w:rPr>
          <w:rFonts w:hint="eastAsia"/>
          <w:sz w:val="24"/>
          <w:szCs w:val="24"/>
          <w:highlight w:val="none"/>
        </w:rPr>
        <w:fldChar w:fldCharType="end"/>
      </w:r>
      <w:r>
        <w:rPr>
          <w:highlight w:val="none"/>
        </w:rPr>
      </w:r>
      <w:r/>
    </w:p>
    <w:p>
      <w:pPr>
        <w:pStyle w:val="927"/>
        <w:spacing w:line="360" w:lineRule="auto"/>
        <w:rPr>
          <w:rFonts w:eastAsia="黑体"/>
          <w:bCs/>
          <w:sz w:val="24"/>
          <w:szCs w:val="24"/>
          <w:highlight w:val="none"/>
        </w:rPr>
      </w:pPr>
      <w:r>
        <w:rPr>
          <w:rFonts w:eastAsia="黑体"/>
          <w:bCs/>
          <w:sz w:val="24"/>
          <w:szCs w:val="24"/>
          <w:highlight w:val="none"/>
        </w:rPr>
      </w:r>
      <w:r/>
    </w:p>
    <w:p>
      <w:pPr>
        <w:pStyle w:val="927"/>
        <w:spacing w:line="360" w:lineRule="auto"/>
        <w:rPr>
          <w:rFonts w:eastAsia="黑体"/>
          <w:bCs/>
          <w:sz w:val="24"/>
          <w:szCs w:val="24"/>
          <w:highlight w:val="none"/>
        </w:rPr>
      </w:pPr>
      <w:r>
        <w:rPr>
          <w:rFonts w:eastAsia="黑体"/>
          <w:bCs/>
          <w:sz w:val="24"/>
          <w:szCs w:val="24"/>
          <w:highlight w:val="none"/>
        </w:rPr>
      </w:r>
      <w:r/>
    </w:p>
    <w:p>
      <w:pPr>
        <w:pStyle w:val="927"/>
        <w:spacing w:line="360" w:lineRule="auto"/>
        <w:rPr>
          <w:rFonts w:ascii="宋体"/>
          <w:sz w:val="24"/>
          <w:highlight w:val="none"/>
        </w:rPr>
      </w:pPr>
      <w:r>
        <w:rPr>
          <w:rFonts w:ascii="宋体"/>
          <w:sz w:val="24"/>
          <w:highlight w:val="none"/>
        </w:rPr>
      </w:r>
      <w:r/>
    </w:p>
    <w:p>
      <w:pPr>
        <w:pStyle w:val="927"/>
        <w:spacing w:line="360" w:lineRule="auto"/>
        <w:rPr>
          <w:rFonts w:eastAsia="黑体"/>
          <w:bCs/>
          <w:sz w:val="24"/>
          <w:szCs w:val="24"/>
          <w:highlight w:val="none"/>
        </w:rPr>
      </w:pPr>
      <w:r>
        <w:rPr>
          <w:rFonts w:eastAsia="黑体"/>
          <w:bCs/>
          <w:sz w:val="24"/>
          <w:szCs w:val="24"/>
          <w:highlight w:val="none"/>
        </w:rPr>
      </w:r>
      <w:r/>
    </w:p>
    <w:p>
      <w:pPr>
        <w:pStyle w:val="927"/>
        <w:spacing w:line="360" w:lineRule="auto"/>
        <w:rPr>
          <w:rFonts w:hint="eastAsia" w:ascii="宋体" w:hAnsi="宋体" w:cs="宋体"/>
          <w:b/>
          <w:sz w:val="24"/>
          <w:szCs w:val="24"/>
          <w:highlight w:val="none"/>
        </w:rPr>
      </w:pPr>
      <w:r>
        <w:rPr>
          <w:rFonts w:hint="eastAsia" w:ascii="宋体" w:hAnsi="宋体" w:cs="宋体"/>
          <w:b/>
          <w:sz w:val="24"/>
          <w:szCs w:val="24"/>
          <w:highlight w:val="none"/>
        </w:rPr>
        <w:br w:type="page" w:clear="all"/>
      </w:r>
      <w:r>
        <w:rPr>
          <w:rFonts w:hint="eastAsia" w:ascii="宋体" w:hAnsi="宋体" w:cs="宋体"/>
          <w:b/>
          <w:sz w:val="24"/>
          <w:szCs w:val="24"/>
          <w:highlight w:val="none"/>
        </w:rPr>
        <w:t xml:space="preserve">（三）开标一览表(系统生成)：</w:t>
      </w:r>
      <w:r>
        <w:rPr>
          <w:rFonts w:hint="eastAsia" w:ascii="宋体" w:hAnsi="宋体" w:cs="宋体"/>
          <w:b/>
          <w:sz w:val="24"/>
          <w:szCs w:val="24"/>
          <w:highlight w:val="none"/>
        </w:rPr>
      </w:r>
      <w:r/>
    </w:p>
    <w:p>
      <w:pPr>
        <w:pStyle w:val="927"/>
        <w:rPr>
          <w:rFonts w:eastAsia="黑体"/>
          <w:bCs/>
          <w:sz w:val="28"/>
          <w:szCs w:val="28"/>
          <w:highlight w:val="none"/>
        </w:rPr>
      </w:pPr>
      <w:r>
        <w:rPr>
          <w:rFonts w:eastAsia="黑体"/>
          <w:bCs/>
          <w:sz w:val="28"/>
          <w:szCs w:val="28"/>
          <w:highlight w:val="none"/>
        </w:rPr>
      </w:r>
      <w:r/>
    </w:p>
    <w:p>
      <w:pPr>
        <w:pStyle w:val="927"/>
        <w:rPr>
          <w:highlight w:val="none"/>
        </w:rPr>
      </w:pPr>
      <w:r>
        <w:rPr>
          <w:highlight w:val="none"/>
        </w:rPr>
      </w:r>
      <w:r/>
    </w:p>
    <w:p>
      <w:pPr>
        <w:pStyle w:val="954"/>
        <w:ind w:left="1260"/>
        <w:rPr>
          <w:highlight w:val="none"/>
        </w:rPr>
      </w:pPr>
      <w:r>
        <w:rPr>
          <w:highlight w:val="none"/>
        </w:rPr>
      </w:r>
      <w:r/>
    </w:p>
    <w:p>
      <w:pPr>
        <w:pStyle w:val="927"/>
        <w:rPr>
          <w:highlight w:val="none"/>
        </w:rPr>
      </w:pPr>
      <w:r>
        <w:rPr>
          <w:highlight w:val="none"/>
        </w:rPr>
      </w:r>
      <w:r/>
    </w:p>
    <w:p>
      <w:pPr>
        <w:pStyle w:val="954"/>
        <w:ind w:left="1260"/>
        <w:rPr>
          <w:highlight w:val="none"/>
        </w:rPr>
      </w:pPr>
      <w:r>
        <w:rPr>
          <w:highlight w:val="none"/>
        </w:rPr>
      </w:r>
      <w:r/>
    </w:p>
    <w:p>
      <w:pPr>
        <w:pStyle w:val="927"/>
        <w:rPr>
          <w:highlight w:val="none"/>
        </w:rPr>
      </w:pPr>
      <w:r>
        <w:rPr>
          <w:highlight w:val="none"/>
        </w:rPr>
      </w:r>
      <w:r/>
    </w:p>
    <w:p>
      <w:pPr>
        <w:pStyle w:val="954"/>
        <w:ind w:left="1260"/>
        <w:rPr>
          <w:highlight w:val="none"/>
        </w:rPr>
      </w:pPr>
      <w:r>
        <w:rPr>
          <w:highlight w:val="none"/>
        </w:rPr>
      </w:r>
      <w:r/>
    </w:p>
    <w:p>
      <w:pPr>
        <w:pStyle w:val="927"/>
        <w:spacing w:line="360" w:lineRule="auto"/>
        <w:rPr>
          <w:rFonts w:hint="eastAsia"/>
          <w:bCs/>
          <w:sz w:val="24"/>
          <w:szCs w:val="24"/>
          <w:highlight w:val="none"/>
        </w:rPr>
      </w:pPr>
      <w:r>
        <w:rPr>
          <w:rFonts w:eastAsia="黑体"/>
          <w:bCs/>
          <w:sz w:val="24"/>
          <w:szCs w:val="24"/>
          <w:highlight w:val="none"/>
        </w:rPr>
        <w:br w:type="page" w:clear="all"/>
      </w:r>
      <w:r>
        <w:rPr>
          <w:rFonts w:hint="eastAsia" w:ascii="宋体" w:hAnsi="宋体" w:cs="宋体"/>
          <w:b/>
          <w:sz w:val="24"/>
          <w:szCs w:val="24"/>
          <w:highlight w:val="none"/>
        </w:rPr>
        <w:t xml:space="preserve">（四）分项报价表 (格式)：</w:t>
      </w:r>
      <w:r>
        <w:rPr>
          <w:rFonts w:hint="eastAsia"/>
          <w:bCs/>
          <w:sz w:val="24"/>
          <w:szCs w:val="24"/>
          <w:highlight w:val="none"/>
        </w:rPr>
      </w:r>
      <w:r/>
    </w:p>
    <w:p>
      <w:pPr>
        <w:pStyle w:val="927"/>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t xml:space="preserve">分项报价表</w:t>
      </w:r>
      <w:r>
        <w:rPr>
          <w:rFonts w:hint="eastAsia" w:ascii="宋体" w:hAnsi="宋体" w:cs="宋体"/>
          <w:b/>
          <w:sz w:val="36"/>
          <w:szCs w:val="28"/>
          <w:highlight w:val="none"/>
        </w:rPr>
      </w:r>
      <w:r/>
    </w:p>
    <w:p>
      <w:pPr>
        <w:pStyle w:val="952"/>
        <w:rPr>
          <w:rFonts w:hint="eastAsia"/>
          <w:highlight w:val="none"/>
        </w:rPr>
      </w:pPr>
      <w:r>
        <w:rPr>
          <w:rFonts w:hint="eastAsia"/>
          <w:highlight w:val="none"/>
        </w:rPr>
      </w:r>
      <w:r/>
    </w:p>
    <w:p>
      <w:pPr>
        <w:pStyle w:val="927"/>
        <w:spacing w:line="400" w:lineRule="exact"/>
        <w:rPr>
          <w:rFonts w:hint="eastAsia" w:ascii="宋体" w:hAnsi="宋体" w:cs="宋体"/>
          <w:szCs w:val="21"/>
          <w:highlight w:val="none"/>
        </w:rPr>
      </w:pPr>
      <w:r>
        <w:rPr>
          <w:rFonts w:hint="eastAsia" w:ascii="宋体" w:hAnsi="宋体" w:cs="宋体"/>
          <w:szCs w:val="21"/>
          <w:highlight w:val="none"/>
        </w:rPr>
        <w:t xml:space="preserve">投标人名称（盖章）                              招标编号：</w:t>
      </w:r>
      <w:r>
        <w:rPr>
          <w:rFonts w:hint="eastAsia" w:ascii="宋体" w:hAnsi="宋体" w:cs="宋体"/>
          <w:szCs w:val="21"/>
          <w:highlight w:val="none"/>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85"/>
        <w:gridCol w:w="985"/>
        <w:gridCol w:w="985"/>
        <w:gridCol w:w="985"/>
        <w:gridCol w:w="985"/>
        <w:gridCol w:w="985"/>
        <w:gridCol w:w="985"/>
        <w:gridCol w:w="985"/>
        <w:gridCol w:w="985"/>
        <w:gridCol w:w="985"/>
      </w:tblGrid>
      <w:tr>
        <w:trPr>
          <w:trHeight w:val="570"/>
        </w:trPr>
        <w:tc>
          <w:tcPr>
            <w:tcW w:w="500" w:type="dxa"/>
            <w:vAlign w:val="center"/>
            <w:textDirection w:val="lrTb"/>
            <w:noWrap/>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rPr>
                <w:rFonts w:hint="eastAsia" w:ascii="宋体" w:hAnsi="宋体" w:eastAsia="宋体" w:cs="宋体"/>
                <w:i w:val="0"/>
                <w:iCs w:val="0"/>
                <w:color w:val="000000"/>
                <w:sz w:val="21"/>
                <w:szCs w:val="21"/>
                <w:highlight w:val="none"/>
                <w:u w:val="none"/>
              </w:rPr>
            </w:r>
            <w:r/>
          </w:p>
        </w:tc>
        <w:tc>
          <w:tcPr>
            <w:tcW w:w="50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产品名称</w:t>
            </w:r>
            <w:r>
              <w:rPr>
                <w:rFonts w:hint="eastAsia" w:ascii="宋体" w:hAnsi="宋体" w:eastAsia="宋体" w:cs="宋体"/>
                <w:i w:val="0"/>
                <w:iCs w:val="0"/>
                <w:color w:val="000000"/>
                <w:sz w:val="21"/>
                <w:szCs w:val="21"/>
                <w:highlight w:val="none"/>
                <w:u w:val="none"/>
              </w:rPr>
            </w:r>
            <w:r/>
          </w:p>
        </w:tc>
        <w:tc>
          <w:tcPr>
            <w:tcW w:w="50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品牌</w:t>
            </w:r>
            <w:r>
              <w:rPr>
                <w:rFonts w:hint="eastAsia" w:ascii="宋体" w:hAnsi="宋体" w:eastAsia="宋体" w:cs="宋体"/>
                <w:i w:val="0"/>
                <w:iCs w:val="0"/>
                <w:color w:val="000000"/>
                <w:sz w:val="21"/>
                <w:szCs w:val="21"/>
                <w:highlight w:val="none"/>
                <w:u w:val="none"/>
              </w:rPr>
            </w:r>
            <w:r/>
          </w:p>
        </w:tc>
        <w:tc>
          <w:tcPr>
            <w:tcW w:w="50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规格型号</w:t>
            </w:r>
            <w:r>
              <w:rPr>
                <w:rFonts w:hint="eastAsia" w:ascii="宋体" w:hAnsi="宋体" w:eastAsia="宋体" w:cs="宋体"/>
                <w:i w:val="0"/>
                <w:iCs w:val="0"/>
                <w:color w:val="000000"/>
                <w:sz w:val="21"/>
                <w:szCs w:val="21"/>
                <w:highlight w:val="none"/>
                <w:u w:val="none"/>
              </w:rPr>
            </w:r>
            <w:r/>
          </w:p>
        </w:tc>
        <w:tc>
          <w:tcPr>
            <w:tcW w:w="50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产地</w:t>
            </w:r>
            <w:r>
              <w:rPr>
                <w:rFonts w:hint="eastAsia" w:ascii="宋体" w:hAnsi="宋体" w:eastAsia="宋体" w:cs="宋体"/>
                <w:i w:val="0"/>
                <w:iCs w:val="0"/>
                <w:color w:val="000000"/>
                <w:sz w:val="21"/>
                <w:szCs w:val="21"/>
                <w:highlight w:val="none"/>
                <w:u w:val="none"/>
              </w:rPr>
            </w:r>
            <w:r/>
          </w:p>
        </w:tc>
        <w:tc>
          <w:tcPr>
            <w:tcW w:w="50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rPr>
                <w:rFonts w:hint="eastAsia" w:ascii="宋体" w:hAnsi="宋体" w:eastAsia="宋体" w:cs="宋体"/>
                <w:i w:val="0"/>
                <w:iCs w:val="0"/>
                <w:color w:val="000000"/>
                <w:sz w:val="21"/>
                <w:szCs w:val="21"/>
                <w:highlight w:val="none"/>
                <w:u w:val="none"/>
              </w:rPr>
            </w:r>
            <w:r/>
          </w:p>
        </w:tc>
        <w:tc>
          <w:tcPr>
            <w:tcW w:w="50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rPr>
                <w:rFonts w:hint="eastAsia" w:ascii="宋体" w:hAnsi="宋体" w:eastAsia="宋体" w:cs="宋体"/>
                <w:i w:val="0"/>
                <w:iCs w:val="0"/>
                <w:color w:val="000000"/>
                <w:sz w:val="21"/>
                <w:szCs w:val="21"/>
                <w:highlight w:val="none"/>
                <w:u w:val="none"/>
              </w:rPr>
            </w:r>
            <w:r/>
          </w:p>
        </w:tc>
        <w:tc>
          <w:tcPr>
            <w:tcW w:w="50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单价（元）</w:t>
            </w:r>
            <w:r>
              <w:rPr>
                <w:rFonts w:hint="eastAsia" w:ascii="宋体" w:hAnsi="宋体" w:eastAsia="宋体" w:cs="宋体"/>
                <w:i w:val="0"/>
                <w:iCs w:val="0"/>
                <w:color w:val="000000"/>
                <w:sz w:val="21"/>
                <w:szCs w:val="21"/>
                <w:highlight w:val="none"/>
                <w:u w:val="none"/>
              </w:rPr>
            </w:r>
            <w:r/>
          </w:p>
        </w:tc>
        <w:tc>
          <w:tcPr>
            <w:tcW w:w="50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合计（元）</w:t>
            </w:r>
            <w:r>
              <w:rPr>
                <w:rFonts w:hint="eastAsia" w:ascii="宋体" w:hAnsi="宋体" w:eastAsia="宋体" w:cs="宋体"/>
                <w:i w:val="0"/>
                <w:iCs w:val="0"/>
                <w:color w:val="000000"/>
                <w:sz w:val="21"/>
                <w:szCs w:val="21"/>
                <w:highlight w:val="none"/>
                <w:u w:val="none"/>
              </w:rPr>
            </w:r>
            <w:r/>
          </w:p>
        </w:tc>
        <w:tc>
          <w:tcPr>
            <w:tcW w:w="500" w:type="dxa"/>
            <w:vAlign w:val="center"/>
            <w:textDirection w:val="lrTb"/>
            <w:noWrap/>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备注</w:t>
            </w:r>
            <w:r>
              <w:rPr>
                <w:rFonts w:hint="eastAsia" w:ascii="宋体" w:hAnsi="宋体" w:eastAsia="宋体" w:cs="宋体"/>
                <w:i w:val="0"/>
                <w:iCs w:val="0"/>
                <w:color w:val="000000"/>
                <w:sz w:val="21"/>
                <w:szCs w:val="21"/>
                <w:highlight w:val="none"/>
                <w:u w:val="none"/>
              </w:rPr>
            </w:r>
            <w:r/>
          </w:p>
        </w:tc>
      </w:tr>
      <w:tr>
        <w:trPr>
          <w:trHeight w:val="310"/>
        </w:trPr>
        <w:tc>
          <w:tcPr>
            <w:tcW w:w="500" w:type="dxa"/>
            <w:vAlign w:val="center"/>
            <w:textDirection w:val="lrTb"/>
            <w:noWrap/>
          </w:tcPr>
          <w:p>
            <w:pPr>
              <w:pStyle w:val="92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95"/>
        </w:trPr>
        <w:tc>
          <w:tcPr>
            <w:tcW w:w="500" w:type="dxa"/>
            <w:vAlign w:val="center"/>
            <w:textDirection w:val="lrTb"/>
            <w:noWrap/>
          </w:tcPr>
          <w:p>
            <w:pPr>
              <w:pStyle w:val="92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95"/>
        </w:trPr>
        <w:tc>
          <w:tcPr>
            <w:tcW w:w="500" w:type="dxa"/>
            <w:vAlign w:val="center"/>
            <w:textDirection w:val="lrTb"/>
            <w:noWrap/>
          </w:tcPr>
          <w:p>
            <w:pPr>
              <w:pStyle w:val="92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95"/>
        </w:trPr>
        <w:tc>
          <w:tcPr>
            <w:tcW w:w="500" w:type="dxa"/>
            <w:vAlign w:val="center"/>
            <w:textDirection w:val="lrTb"/>
            <w:noWrap/>
          </w:tcPr>
          <w:p>
            <w:pPr>
              <w:pStyle w:val="92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95"/>
        </w:trPr>
        <w:tc>
          <w:tcPr>
            <w:tcW w:w="500" w:type="dxa"/>
            <w:vAlign w:val="center"/>
            <w:textDirection w:val="lrTb"/>
            <w:noWrap/>
          </w:tcPr>
          <w:p>
            <w:pPr>
              <w:pStyle w:val="92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95"/>
        </w:trPr>
        <w:tc>
          <w:tcPr>
            <w:tcW w:w="500" w:type="dxa"/>
            <w:vAlign w:val="center"/>
            <w:textDirection w:val="lrTb"/>
            <w:noWrap/>
          </w:tcPr>
          <w:p>
            <w:pPr>
              <w:pStyle w:val="92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95"/>
        </w:trPr>
        <w:tc>
          <w:tcPr>
            <w:tcW w:w="500" w:type="dxa"/>
            <w:vAlign w:val="center"/>
            <w:textDirection w:val="lrTb"/>
            <w:noWrap/>
          </w:tcPr>
          <w:p>
            <w:pPr>
              <w:pStyle w:val="92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95"/>
        </w:trPr>
        <w:tc>
          <w:tcPr>
            <w:tcW w:w="500" w:type="dxa"/>
            <w:vAlign w:val="center"/>
            <w:textDirection w:val="lrTb"/>
            <w:noWrap/>
          </w:tcPr>
          <w:p>
            <w:pPr>
              <w:pStyle w:val="92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95"/>
        </w:trPr>
        <w:tc>
          <w:tcPr>
            <w:tcW w:w="500" w:type="dxa"/>
            <w:vAlign w:val="center"/>
            <w:textDirection w:val="lrTb"/>
            <w:noWrap/>
          </w:tcPr>
          <w:p>
            <w:pPr>
              <w:pStyle w:val="92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95"/>
        </w:trPr>
        <w:tc>
          <w:tcPr>
            <w:tcW w:w="500" w:type="dxa"/>
            <w:vAlign w:val="center"/>
            <w:textDirection w:val="lrTb"/>
            <w:noWrap/>
          </w:tcPr>
          <w:p>
            <w:pPr>
              <w:pStyle w:val="92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95"/>
        </w:trPr>
        <w:tc>
          <w:tcPr>
            <w:tcW w:w="500" w:type="dxa"/>
            <w:vAlign w:val="center"/>
            <w:textDirection w:val="lrTb"/>
            <w:noWrap/>
          </w:tcPr>
          <w:p>
            <w:pPr>
              <w:pStyle w:val="92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95"/>
        </w:trPr>
        <w:tc>
          <w:tcPr>
            <w:tcW w:w="500" w:type="dxa"/>
            <w:vAlign w:val="center"/>
            <w:textDirection w:val="lrTb"/>
            <w:noWrap/>
          </w:tcPr>
          <w:p>
            <w:pPr>
              <w:pStyle w:val="92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95"/>
        </w:trPr>
        <w:tc>
          <w:tcPr>
            <w:tcW w:w="500" w:type="dxa"/>
            <w:vAlign w:val="center"/>
            <w:textDirection w:val="lrTb"/>
            <w:noWrap/>
          </w:tcPr>
          <w:p>
            <w:pPr>
              <w:pStyle w:val="92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95"/>
        </w:trPr>
        <w:tc>
          <w:tcPr>
            <w:tcW w:w="500" w:type="dxa"/>
            <w:vAlign w:val="center"/>
            <w:textDirection w:val="lrTb"/>
            <w:noWrap/>
          </w:tcPr>
          <w:p>
            <w:pPr>
              <w:pStyle w:val="92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95"/>
        </w:trPr>
        <w:tc>
          <w:tcPr>
            <w:tcW w:w="500" w:type="dxa"/>
            <w:vAlign w:val="center"/>
            <w:textDirection w:val="lrTb"/>
            <w:noWrap/>
          </w:tcPr>
          <w:p>
            <w:pPr>
              <w:pStyle w:val="92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00" w:type="dxa"/>
            <w:vAlign w:val="center"/>
            <w:textDirection w:val="lrTb"/>
            <w:noWrap/>
          </w:tcPr>
          <w:p>
            <w:pPr>
              <w:pStyle w:val="927"/>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10"/>
        </w:trPr>
        <w:tc>
          <w:tcPr>
            <w:gridSpan w:val="10"/>
            <w:tcW w:w="9850" w:type="dxa"/>
            <w:vAlign w:val="center"/>
            <w:textDirection w:val="lrTb"/>
            <w:noWrap/>
          </w:tcPr>
          <w:p>
            <w:pPr>
              <w:pStyle w:val="927"/>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合计</w:t>
            </w:r>
            <w:r>
              <w:rPr>
                <w:rFonts w:hint="eastAsia" w:ascii="宋体" w:hAnsi="宋体" w:eastAsia="宋体" w:cs="宋体"/>
                <w:i w:val="0"/>
                <w:iCs w:val="0"/>
                <w:color w:val="000000"/>
                <w:sz w:val="22"/>
                <w:szCs w:val="22"/>
                <w:highlight w:val="none"/>
                <w:u w:val="none"/>
              </w:rPr>
            </w:r>
            <w:r/>
          </w:p>
        </w:tc>
      </w:tr>
    </w:tbl>
    <w:p>
      <w:pPr>
        <w:pStyle w:val="927"/>
        <w:spacing w:line="240" w:lineRule="exact"/>
        <w:rPr>
          <w:rFonts w:hint="eastAsia" w:ascii="宋体" w:hAnsi="宋体" w:cs="宋体"/>
          <w:b/>
          <w:bCs/>
          <w:szCs w:val="21"/>
          <w:highlight w:val="none"/>
        </w:rPr>
      </w:pPr>
      <w:r>
        <w:rPr>
          <w:rFonts w:hint="eastAsia" w:ascii="宋体" w:hAnsi="宋体" w:cs="宋体"/>
          <w:b/>
          <w:bCs/>
          <w:szCs w:val="21"/>
          <w:highlight w:val="none"/>
        </w:rPr>
      </w:r>
      <w:r/>
    </w:p>
    <w:p>
      <w:pPr>
        <w:pStyle w:val="927"/>
        <w:spacing w:line="240" w:lineRule="exact"/>
        <w:rPr>
          <w:rFonts w:hint="eastAsia" w:ascii="宋体" w:hAnsi="宋体" w:cs="宋体"/>
          <w:b/>
          <w:bCs/>
          <w:szCs w:val="21"/>
          <w:highlight w:val="none"/>
        </w:rPr>
      </w:pPr>
      <w:r>
        <w:rPr>
          <w:rFonts w:hint="eastAsia" w:ascii="宋体" w:hAnsi="宋体" w:cs="宋体"/>
          <w:b/>
          <w:bCs/>
          <w:szCs w:val="21"/>
          <w:highlight w:val="none"/>
        </w:rPr>
      </w:r>
      <w:r/>
    </w:p>
    <w:p>
      <w:pPr>
        <w:pStyle w:val="927"/>
        <w:spacing w:line="360" w:lineRule="auto"/>
        <w:rPr>
          <w:rFonts w:hint="eastAsia" w:ascii="宋体" w:hAnsi="宋体" w:cs="宋体"/>
          <w:szCs w:val="21"/>
          <w:highlight w:val="none"/>
        </w:rPr>
      </w:pPr>
      <w:r>
        <w:rPr>
          <w:rFonts w:hint="eastAsia" w:ascii="宋体" w:hAnsi="宋体" w:cs="宋体"/>
          <w:szCs w:val="21"/>
          <w:highlight w:val="none"/>
        </w:rPr>
      </w:r>
      <w:r/>
    </w:p>
    <w:p>
      <w:pPr>
        <w:pStyle w:val="927"/>
        <w:spacing w:line="360" w:lineRule="auto"/>
        <w:rPr>
          <w:rFonts w:hint="eastAsia" w:ascii="宋体" w:hAnsi="宋体" w:cs="宋体"/>
          <w:szCs w:val="21"/>
          <w:highlight w:val="none"/>
        </w:rPr>
      </w:pPr>
      <w:r>
        <w:rPr>
          <w:rFonts w:hint="eastAsia" w:ascii="宋体" w:hAnsi="宋体" w:cs="宋体"/>
          <w:szCs w:val="21"/>
          <w:highlight w:val="none"/>
        </w:rPr>
        <w:t xml:space="preserve">法定代表人或法定代表人授权代表签字或盖章：</w:t>
      </w:r>
      <w:r>
        <w:rPr>
          <w:rFonts w:hint="eastAsia" w:ascii="宋体" w:hAnsi="宋体" w:cs="宋体"/>
          <w:szCs w:val="21"/>
          <w:highlight w:val="none"/>
        </w:rPr>
      </w:r>
      <w:r/>
    </w:p>
    <w:p>
      <w:pPr>
        <w:pStyle w:val="927"/>
        <w:spacing w:line="360" w:lineRule="auto"/>
        <w:rPr>
          <w:rFonts w:hint="eastAsia" w:ascii="宋体" w:hAnsi="宋体" w:cs="宋体"/>
          <w:szCs w:val="21"/>
          <w:highlight w:val="none"/>
        </w:rPr>
      </w:pPr>
      <w:r>
        <w:rPr>
          <w:rFonts w:hint="eastAsia" w:ascii="宋体" w:hAnsi="宋体" w:cs="宋体"/>
          <w:szCs w:val="21"/>
          <w:highlight w:val="none"/>
        </w:rPr>
      </w:r>
      <w:r/>
    </w:p>
    <w:p>
      <w:pPr>
        <w:pStyle w:val="927"/>
        <w:spacing w:line="360" w:lineRule="auto"/>
        <w:rPr>
          <w:rFonts w:hint="eastAsia" w:ascii="宋体" w:hAnsi="宋体" w:cs="宋体"/>
          <w:szCs w:val="21"/>
          <w:highlight w:val="none"/>
        </w:rPr>
      </w:pPr>
      <w:r>
        <w:rPr>
          <w:rFonts w:hint="eastAsia" w:ascii="宋体" w:hAnsi="宋体" w:cs="宋体"/>
          <w:szCs w:val="21"/>
          <w:highlight w:val="none"/>
        </w:rPr>
        <w:t xml:space="preserve">日期：</w:t>
      </w:r>
      <w:r>
        <w:rPr>
          <w:rFonts w:hint="eastAsia" w:ascii="宋体" w:hAnsi="宋体" w:cs="宋体"/>
          <w:szCs w:val="21"/>
          <w:highlight w:val="none"/>
        </w:rPr>
      </w:r>
      <w:r/>
    </w:p>
    <w:p>
      <w:pPr>
        <w:pStyle w:val="1136"/>
        <w:ind w:firstLine="0"/>
        <w:rPr>
          <w:rFonts w:hint="eastAsia" w:eastAsia="黑体"/>
          <w:bCs/>
          <w:sz w:val="24"/>
          <w:szCs w:val="24"/>
          <w:highlight w:val="none"/>
        </w:rPr>
      </w:pPr>
      <w:r>
        <w:rPr>
          <w:rFonts w:hint="eastAsia" w:eastAsia="黑体"/>
          <w:bCs/>
          <w:sz w:val="24"/>
          <w:szCs w:val="24"/>
          <w:highlight w:val="none"/>
        </w:rPr>
        <w:br w:type="page" w:clear="all"/>
      </w:r>
      <w:r>
        <w:rPr>
          <w:rFonts w:hint="eastAsia" w:ascii="宋体" w:hAnsi="宋体" w:eastAsia="宋体" w:cs="宋体"/>
          <w:b/>
          <w:sz w:val="24"/>
          <w:szCs w:val="24"/>
          <w:highlight w:val="none"/>
        </w:rPr>
        <w:t xml:space="preserve">（五）商务响应偏离表（格式）：</w:t>
      </w:r>
      <w:r>
        <w:rPr>
          <w:rFonts w:hint="eastAsia" w:eastAsia="黑体"/>
          <w:bCs/>
          <w:sz w:val="24"/>
          <w:szCs w:val="24"/>
          <w:highlight w:val="none"/>
        </w:rPr>
      </w:r>
      <w:r/>
    </w:p>
    <w:p>
      <w:pPr>
        <w:pStyle w:val="927"/>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r>
      <w:r/>
    </w:p>
    <w:p>
      <w:pPr>
        <w:pStyle w:val="927"/>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t xml:space="preserve">商务响应偏离表</w:t>
      </w:r>
      <w:r>
        <w:rPr>
          <w:rFonts w:hint="eastAsia" w:ascii="宋体" w:hAnsi="宋体" w:cs="宋体"/>
          <w:b/>
          <w:sz w:val="36"/>
          <w:szCs w:val="28"/>
          <w:highlight w:val="none"/>
        </w:rPr>
      </w:r>
      <w:r/>
    </w:p>
    <w:p>
      <w:pPr>
        <w:pStyle w:val="927"/>
        <w:spacing w:line="400" w:lineRule="exact"/>
        <w:rPr>
          <w:rFonts w:ascii="宋体" w:hAnsi="宋体"/>
          <w:bCs/>
          <w:sz w:val="24"/>
          <w:szCs w:val="24"/>
          <w:highlight w:val="none"/>
        </w:rPr>
      </w:pPr>
      <w:r>
        <w:rPr>
          <w:rFonts w:ascii="宋体" w:hAnsi="宋体"/>
          <w:bCs/>
          <w:sz w:val="24"/>
          <w:szCs w:val="24"/>
          <w:highlight w:val="none"/>
        </w:rPr>
      </w:r>
      <w:r/>
    </w:p>
    <w:p>
      <w:pPr>
        <w:pStyle w:val="927"/>
        <w:spacing w:line="360" w:lineRule="auto"/>
        <w:rPr>
          <w:rFonts w:hint="eastAsia" w:ascii="宋体" w:hAnsi="宋体"/>
          <w:bCs/>
          <w:szCs w:val="21"/>
          <w:highlight w:val="none"/>
        </w:rPr>
      </w:pPr>
      <w:r>
        <w:rPr>
          <w:rFonts w:hint="eastAsia" w:ascii="宋体" w:hAnsi="宋体"/>
          <w:bCs/>
          <w:szCs w:val="21"/>
          <w:highlight w:val="none"/>
        </w:rPr>
        <w:t xml:space="preserve">招标编号：</w:t>
      </w:r>
      <w:r>
        <w:rPr>
          <w:rFonts w:hint="eastAsia" w:ascii="宋体" w:hAnsi="宋体"/>
          <w:bCs/>
          <w:szCs w:val="21"/>
          <w:highlight w:val="none"/>
        </w:rPr>
      </w:r>
      <w:r/>
    </w:p>
    <w:tbl>
      <w:tblPr>
        <w:tblpPr w:horzAnchor="text" w:tblpXSpec="center" w:vertAnchor="text" w:tblpY="1" w:leftFromText="180" w:topFromText="0" w:rightFromText="180" w:bottomFromText="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4"/>
        <w:gridCol w:w="2051"/>
        <w:gridCol w:w="2970"/>
        <w:gridCol w:w="2149"/>
        <w:gridCol w:w="1335"/>
      </w:tblGrid>
      <w:tr>
        <w:trPr>
          <w:trHeight w:val="855"/>
        </w:trPr>
        <w:tc>
          <w:tcPr>
            <w:tcW w:w="934" w:type="dxa"/>
            <w:vAlign w:val="center"/>
            <w:textDirection w:val="lrTb"/>
            <w:noWrap w:val="false"/>
          </w:tcPr>
          <w:p>
            <w:pPr>
              <w:pStyle w:val="927"/>
              <w:jc w:val="left"/>
              <w:spacing w:line="360" w:lineRule="auto"/>
              <w:rPr>
                <w:rFonts w:ascii="宋体" w:hAnsi="宋体"/>
                <w:bCs/>
                <w:szCs w:val="21"/>
                <w:highlight w:val="none"/>
              </w:rPr>
              <w:framePr w:vAnchor="margin" w:hAnchor="page" w:xAlign="center" w:y="1"/>
            </w:pPr>
            <w:r>
              <w:rPr>
                <w:rFonts w:hint="eastAsia" w:ascii="宋体" w:hAnsi="宋体"/>
                <w:bCs/>
                <w:szCs w:val="21"/>
                <w:highlight w:val="none"/>
              </w:rPr>
              <w:t xml:space="preserve">序号</w:t>
            </w:r>
            <w:r>
              <w:rPr>
                <w:rFonts w:ascii="宋体" w:hAnsi="宋体"/>
                <w:bCs/>
                <w:szCs w:val="21"/>
                <w:highlight w:val="none"/>
              </w:rPr>
            </w:r>
            <w:r/>
          </w:p>
        </w:tc>
        <w:tc>
          <w:tcPr>
            <w:tcW w:w="2051"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pPr>
            <w:r>
              <w:rPr>
                <w:rFonts w:hint="eastAsia" w:ascii="宋体" w:hAnsi="宋体"/>
                <w:bCs/>
                <w:szCs w:val="21"/>
                <w:highlight w:val="none"/>
              </w:rPr>
              <w:t xml:space="preserve">招标文件条目号</w:t>
            </w:r>
            <w:r>
              <w:rPr>
                <w:rFonts w:ascii="宋体" w:hAnsi="宋体"/>
                <w:bCs/>
                <w:szCs w:val="21"/>
                <w:highlight w:val="none"/>
              </w:rPr>
            </w:r>
            <w:r/>
          </w:p>
        </w:tc>
        <w:tc>
          <w:tcPr>
            <w:tcW w:w="2970" w:type="dxa"/>
            <w:vAlign w:val="center"/>
            <w:textDirection w:val="lrTb"/>
            <w:noWrap w:val="false"/>
          </w:tcPr>
          <w:p>
            <w:pPr>
              <w:pStyle w:val="927"/>
              <w:jc w:val="center"/>
              <w:spacing w:line="360" w:lineRule="auto"/>
              <w:rPr>
                <w:rFonts w:hint="eastAsia" w:ascii="宋体" w:hAnsi="宋体"/>
                <w:bCs/>
                <w:szCs w:val="21"/>
                <w:highlight w:val="none"/>
              </w:rPr>
              <w:framePr w:vAnchor="margin" w:hAnchor="page" w:xAlign="center" w:y="1"/>
            </w:pPr>
            <w:r>
              <w:rPr>
                <w:rFonts w:hint="eastAsia" w:ascii="宋体" w:hAnsi="宋体"/>
                <w:bCs/>
                <w:szCs w:val="21"/>
                <w:highlight w:val="none"/>
              </w:rPr>
              <w:t xml:space="preserve">招标文件要求的商务条款</w:t>
            </w:r>
            <w:r>
              <w:rPr>
                <w:rFonts w:hint="eastAsia" w:ascii="宋体" w:hAnsi="宋体"/>
                <w:bCs/>
                <w:szCs w:val="21"/>
                <w:highlight w:val="none"/>
              </w:rPr>
            </w:r>
            <w:r/>
          </w:p>
        </w:tc>
        <w:tc>
          <w:tcPr>
            <w:tcW w:w="2149"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pPr>
            <w:r>
              <w:rPr>
                <w:rFonts w:hint="eastAsia" w:ascii="宋体" w:hAnsi="宋体"/>
                <w:bCs/>
                <w:szCs w:val="21"/>
                <w:highlight w:val="none"/>
              </w:rPr>
              <w:t xml:space="preserve">投标文件响应情况</w:t>
            </w:r>
            <w:r>
              <w:rPr>
                <w:rFonts w:ascii="宋体" w:hAnsi="宋体"/>
                <w:bCs/>
                <w:szCs w:val="21"/>
                <w:highlight w:val="none"/>
              </w:rPr>
            </w:r>
            <w:r/>
          </w:p>
        </w:tc>
        <w:tc>
          <w:tcPr>
            <w:tcW w:w="1335"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pPr>
            <w:r>
              <w:rPr>
                <w:rFonts w:hint="eastAsia" w:ascii="宋体" w:hAnsi="宋体"/>
                <w:bCs/>
                <w:szCs w:val="21"/>
                <w:highlight w:val="none"/>
              </w:rPr>
              <w:t xml:space="preserve">偏离/响应</w:t>
            </w:r>
            <w:r>
              <w:rPr>
                <w:rFonts w:ascii="宋体" w:hAnsi="宋体"/>
                <w:bCs/>
                <w:szCs w:val="21"/>
                <w:highlight w:val="none"/>
              </w:rPr>
            </w:r>
            <w:r/>
          </w:p>
        </w:tc>
      </w:tr>
      <w:tr>
        <w:trPr>
          <w:trHeight w:val="478"/>
        </w:trPr>
        <w:tc>
          <w:tcPr>
            <w:tcW w:w="934" w:type="dxa"/>
            <w:vAlign w:val="center"/>
            <w:textDirection w:val="lrTb"/>
            <w:noWrap w:val="false"/>
          </w:tcPr>
          <w:p>
            <w:pPr>
              <w:pStyle w:val="927"/>
              <w:jc w:val="left"/>
              <w:spacing w:line="360" w:lineRule="auto"/>
              <w:rPr>
                <w:rFonts w:ascii="宋体" w:hAnsi="宋体"/>
                <w:bCs/>
                <w:szCs w:val="21"/>
                <w:highlight w:val="none"/>
              </w:rPr>
              <w:framePr w:vAnchor="margin" w:hAnchor="page" w:xAlign="center" w:y="1"/>
            </w:pPr>
            <w:r>
              <w:rPr>
                <w:rFonts w:ascii="宋体" w:hAnsi="宋体"/>
                <w:bCs/>
                <w:szCs w:val="21"/>
                <w:highlight w:val="none"/>
              </w:rPr>
            </w:r>
            <w:r/>
          </w:p>
        </w:tc>
        <w:tc>
          <w:tcPr>
            <w:tcW w:w="2051"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pPr>
            <w:r>
              <w:rPr>
                <w:rFonts w:ascii="宋体" w:hAnsi="宋体"/>
                <w:bCs/>
                <w:szCs w:val="21"/>
                <w:highlight w:val="none"/>
              </w:rPr>
            </w:r>
            <w:r/>
          </w:p>
        </w:tc>
        <w:tc>
          <w:tcPr>
            <w:tcW w:w="2970"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pPr>
            <w:r>
              <w:rPr>
                <w:rFonts w:ascii="宋体" w:hAnsi="宋体"/>
                <w:bCs/>
                <w:szCs w:val="21"/>
                <w:highlight w:val="none"/>
              </w:rPr>
            </w:r>
            <w:r/>
          </w:p>
        </w:tc>
        <w:tc>
          <w:tcPr>
            <w:tcW w:w="2149"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pPr>
            <w:r>
              <w:rPr>
                <w:rFonts w:ascii="宋体" w:hAnsi="宋体"/>
                <w:bCs/>
                <w:szCs w:val="21"/>
                <w:highlight w:val="none"/>
              </w:rPr>
            </w:r>
            <w:r/>
          </w:p>
        </w:tc>
        <w:tc>
          <w:tcPr>
            <w:tcW w:w="1335"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pPr>
            <w:r>
              <w:rPr>
                <w:rFonts w:ascii="宋体" w:hAnsi="宋体"/>
                <w:bCs/>
                <w:szCs w:val="21"/>
                <w:highlight w:val="none"/>
              </w:rPr>
            </w:r>
            <w:r/>
          </w:p>
        </w:tc>
      </w:tr>
      <w:tr>
        <w:trPr>
          <w:trHeight w:val="478"/>
        </w:trPr>
        <w:tc>
          <w:tcPr>
            <w:tcW w:w="934"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pPr>
            <w:r>
              <w:rPr>
                <w:rFonts w:ascii="宋体" w:hAnsi="宋体"/>
                <w:bCs/>
                <w:szCs w:val="21"/>
                <w:highlight w:val="none"/>
              </w:rPr>
            </w:r>
            <w:r/>
          </w:p>
        </w:tc>
        <w:tc>
          <w:tcPr>
            <w:tcW w:w="2051"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pPr>
            <w:r>
              <w:rPr>
                <w:rFonts w:ascii="宋体" w:hAnsi="宋体"/>
                <w:bCs/>
                <w:szCs w:val="21"/>
                <w:highlight w:val="none"/>
              </w:rPr>
            </w:r>
            <w:r/>
          </w:p>
        </w:tc>
        <w:tc>
          <w:tcPr>
            <w:tcW w:w="2970"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pPr>
            <w:r>
              <w:rPr>
                <w:rFonts w:ascii="宋体" w:hAnsi="宋体"/>
                <w:bCs/>
                <w:szCs w:val="21"/>
                <w:highlight w:val="none"/>
              </w:rPr>
            </w:r>
            <w:r/>
          </w:p>
        </w:tc>
        <w:tc>
          <w:tcPr>
            <w:tcW w:w="2149"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pPr>
            <w:r>
              <w:rPr>
                <w:rFonts w:ascii="宋体" w:hAnsi="宋体"/>
                <w:bCs/>
                <w:szCs w:val="21"/>
                <w:highlight w:val="none"/>
              </w:rPr>
            </w:r>
            <w:r/>
          </w:p>
        </w:tc>
        <w:tc>
          <w:tcPr>
            <w:tcW w:w="1335"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pPr>
            <w:r>
              <w:rPr>
                <w:rFonts w:ascii="宋体" w:hAnsi="宋体"/>
                <w:bCs/>
                <w:szCs w:val="21"/>
                <w:highlight w:val="none"/>
              </w:rPr>
            </w:r>
            <w:r/>
          </w:p>
        </w:tc>
      </w:tr>
      <w:tr>
        <w:trPr>
          <w:trHeight w:val="478"/>
        </w:trPr>
        <w:tc>
          <w:tcPr>
            <w:tcW w:w="934"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pPr>
            <w:r>
              <w:rPr>
                <w:rFonts w:ascii="宋体" w:hAnsi="宋体"/>
                <w:bCs/>
                <w:szCs w:val="21"/>
                <w:highlight w:val="none"/>
              </w:rPr>
            </w:r>
            <w:r/>
          </w:p>
        </w:tc>
        <w:tc>
          <w:tcPr>
            <w:tcW w:w="2051"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pPr>
            <w:r>
              <w:rPr>
                <w:rFonts w:ascii="宋体" w:hAnsi="宋体"/>
                <w:bCs/>
                <w:szCs w:val="21"/>
                <w:highlight w:val="none"/>
              </w:rPr>
            </w:r>
            <w:r/>
          </w:p>
        </w:tc>
        <w:tc>
          <w:tcPr>
            <w:tcW w:w="2970"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pPr>
            <w:r>
              <w:rPr>
                <w:rFonts w:ascii="宋体" w:hAnsi="宋体"/>
                <w:bCs/>
                <w:szCs w:val="21"/>
                <w:highlight w:val="none"/>
              </w:rPr>
            </w:r>
            <w:r/>
          </w:p>
        </w:tc>
        <w:tc>
          <w:tcPr>
            <w:tcW w:w="2149"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pPr>
            <w:r>
              <w:rPr>
                <w:rFonts w:ascii="宋体" w:hAnsi="宋体"/>
                <w:bCs/>
                <w:szCs w:val="21"/>
                <w:highlight w:val="none"/>
              </w:rPr>
            </w:r>
            <w:r/>
          </w:p>
        </w:tc>
        <w:tc>
          <w:tcPr>
            <w:tcW w:w="1335"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pPr>
            <w:r>
              <w:rPr>
                <w:rFonts w:ascii="宋体" w:hAnsi="宋体"/>
                <w:bCs/>
                <w:szCs w:val="21"/>
                <w:highlight w:val="none"/>
              </w:rPr>
            </w:r>
            <w:r/>
          </w:p>
        </w:tc>
      </w:tr>
      <w:tr>
        <w:trPr>
          <w:trHeight w:val="478"/>
        </w:trPr>
        <w:tc>
          <w:tcPr>
            <w:tcW w:w="934"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pPr>
            <w:r>
              <w:rPr>
                <w:rFonts w:ascii="宋体" w:hAnsi="宋体"/>
                <w:bCs/>
                <w:szCs w:val="21"/>
                <w:highlight w:val="none"/>
              </w:rPr>
            </w:r>
            <w:r/>
          </w:p>
        </w:tc>
        <w:tc>
          <w:tcPr>
            <w:tcW w:w="2051"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pPr>
            <w:r>
              <w:rPr>
                <w:rFonts w:ascii="宋体" w:hAnsi="宋体"/>
                <w:bCs/>
                <w:szCs w:val="21"/>
                <w:highlight w:val="none"/>
              </w:rPr>
            </w:r>
            <w:r/>
          </w:p>
        </w:tc>
        <w:tc>
          <w:tcPr>
            <w:tcW w:w="2970"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pPr>
            <w:r>
              <w:rPr>
                <w:rFonts w:ascii="宋体" w:hAnsi="宋体"/>
                <w:bCs/>
                <w:szCs w:val="21"/>
                <w:highlight w:val="none"/>
              </w:rPr>
            </w:r>
            <w:r/>
          </w:p>
        </w:tc>
        <w:tc>
          <w:tcPr>
            <w:tcW w:w="2149"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pPr>
            <w:r>
              <w:rPr>
                <w:rFonts w:ascii="宋体" w:hAnsi="宋体"/>
                <w:bCs/>
                <w:szCs w:val="21"/>
                <w:highlight w:val="none"/>
              </w:rPr>
            </w:r>
            <w:r/>
          </w:p>
        </w:tc>
        <w:tc>
          <w:tcPr>
            <w:tcW w:w="1335"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pPr>
            <w:r>
              <w:rPr>
                <w:rFonts w:ascii="宋体" w:hAnsi="宋体"/>
                <w:bCs/>
                <w:szCs w:val="21"/>
                <w:highlight w:val="none"/>
              </w:rPr>
            </w:r>
            <w:r/>
          </w:p>
        </w:tc>
      </w:tr>
      <w:tr>
        <w:trPr>
          <w:trHeight w:val="478"/>
        </w:trPr>
        <w:tc>
          <w:tcPr>
            <w:tcW w:w="934"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pPr>
            <w:r>
              <w:rPr>
                <w:rFonts w:ascii="宋体" w:hAnsi="宋体"/>
                <w:bCs/>
                <w:szCs w:val="21"/>
                <w:highlight w:val="none"/>
              </w:rPr>
            </w:r>
            <w:r/>
          </w:p>
        </w:tc>
        <w:tc>
          <w:tcPr>
            <w:tcW w:w="2051"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pPr>
            <w:r>
              <w:rPr>
                <w:rFonts w:ascii="宋体" w:hAnsi="宋体"/>
                <w:bCs/>
                <w:szCs w:val="21"/>
                <w:highlight w:val="none"/>
              </w:rPr>
            </w:r>
            <w:r/>
          </w:p>
        </w:tc>
        <w:tc>
          <w:tcPr>
            <w:tcW w:w="2970"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pPr>
            <w:r>
              <w:rPr>
                <w:rFonts w:ascii="宋体" w:hAnsi="宋体"/>
                <w:bCs/>
                <w:szCs w:val="21"/>
                <w:highlight w:val="none"/>
              </w:rPr>
            </w:r>
            <w:r/>
          </w:p>
        </w:tc>
        <w:tc>
          <w:tcPr>
            <w:tcW w:w="2149"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pPr>
            <w:r>
              <w:rPr>
                <w:rFonts w:ascii="宋体" w:hAnsi="宋体"/>
                <w:bCs/>
                <w:szCs w:val="21"/>
                <w:highlight w:val="none"/>
              </w:rPr>
            </w:r>
            <w:r/>
          </w:p>
        </w:tc>
        <w:tc>
          <w:tcPr>
            <w:tcW w:w="1335"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pPr>
            <w:r>
              <w:rPr>
                <w:rFonts w:ascii="宋体" w:hAnsi="宋体"/>
                <w:bCs/>
                <w:szCs w:val="21"/>
                <w:highlight w:val="none"/>
              </w:rPr>
            </w:r>
            <w:r/>
          </w:p>
        </w:tc>
      </w:tr>
      <w:tr>
        <w:trPr>
          <w:trHeight w:val="478"/>
        </w:trPr>
        <w:tc>
          <w:tcPr>
            <w:tcW w:w="934" w:type="dxa"/>
            <w:vAlign w:val="center"/>
            <w:textDirection w:val="lrTb"/>
            <w:noWrap w:val="false"/>
          </w:tcPr>
          <w:p>
            <w:pPr>
              <w:pStyle w:val="927"/>
              <w:jc w:val="center"/>
              <w:spacing w:line="360" w:lineRule="auto"/>
              <w:rPr>
                <w:rFonts w:hint="eastAsia" w:ascii="宋体" w:hAnsi="宋体"/>
                <w:bCs/>
                <w:szCs w:val="21"/>
                <w:highlight w:val="none"/>
              </w:rPr>
              <w:framePr w:vAnchor="margin" w:hAnchor="page" w:xAlign="center" w:y="1"/>
            </w:pPr>
            <w:r>
              <w:rPr>
                <w:rFonts w:hint="eastAsia" w:ascii="宋体" w:hAnsi="宋体"/>
                <w:bCs/>
                <w:szCs w:val="21"/>
                <w:highlight w:val="none"/>
              </w:rPr>
            </w:r>
            <w:r/>
          </w:p>
        </w:tc>
        <w:tc>
          <w:tcPr>
            <w:tcW w:w="2051"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pPr>
            <w:r>
              <w:rPr>
                <w:rFonts w:ascii="宋体" w:hAnsi="宋体"/>
                <w:bCs/>
                <w:szCs w:val="21"/>
                <w:highlight w:val="none"/>
              </w:rPr>
            </w:r>
            <w:r/>
          </w:p>
        </w:tc>
        <w:tc>
          <w:tcPr>
            <w:tcW w:w="2970"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pPr>
            <w:r>
              <w:rPr>
                <w:rFonts w:ascii="宋体" w:hAnsi="宋体"/>
                <w:bCs/>
                <w:szCs w:val="21"/>
                <w:highlight w:val="none"/>
              </w:rPr>
            </w:r>
            <w:r/>
          </w:p>
        </w:tc>
        <w:tc>
          <w:tcPr>
            <w:tcW w:w="2149"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pPr>
            <w:r>
              <w:rPr>
                <w:rFonts w:ascii="宋体" w:hAnsi="宋体"/>
                <w:bCs/>
                <w:szCs w:val="21"/>
                <w:highlight w:val="none"/>
              </w:rPr>
            </w:r>
            <w:r/>
          </w:p>
        </w:tc>
        <w:tc>
          <w:tcPr>
            <w:tcW w:w="1335"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pPr>
            <w:r>
              <w:rPr>
                <w:rFonts w:ascii="宋体" w:hAnsi="宋体"/>
                <w:bCs/>
                <w:szCs w:val="21"/>
                <w:highlight w:val="none"/>
              </w:rPr>
            </w:r>
            <w:r/>
          </w:p>
        </w:tc>
      </w:tr>
      <w:tr>
        <w:trPr>
          <w:trHeight w:val="495"/>
        </w:trPr>
        <w:tc>
          <w:tcPr>
            <w:tcW w:w="934" w:type="dxa"/>
            <w:vAlign w:val="center"/>
            <w:textDirection w:val="lrTb"/>
            <w:noWrap w:val="false"/>
          </w:tcPr>
          <w:p>
            <w:pPr>
              <w:pStyle w:val="927"/>
              <w:jc w:val="center"/>
              <w:spacing w:line="360" w:lineRule="auto"/>
              <w:rPr>
                <w:rFonts w:hint="eastAsia" w:ascii="宋体" w:hAnsi="宋体"/>
                <w:bCs/>
                <w:szCs w:val="21"/>
                <w:highlight w:val="none"/>
              </w:rPr>
              <w:framePr w:vAnchor="margin" w:hAnchor="page" w:xAlign="center" w:y="1"/>
            </w:pPr>
            <w:r>
              <w:rPr>
                <w:rFonts w:hint="eastAsia" w:ascii="宋体" w:hAnsi="宋体"/>
                <w:bCs/>
                <w:szCs w:val="21"/>
                <w:highlight w:val="none"/>
              </w:rPr>
            </w:r>
            <w:r/>
          </w:p>
        </w:tc>
        <w:tc>
          <w:tcPr>
            <w:tcW w:w="2051"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pPr>
            <w:r>
              <w:rPr>
                <w:rFonts w:ascii="宋体" w:hAnsi="宋体"/>
                <w:bCs/>
                <w:szCs w:val="21"/>
                <w:highlight w:val="none"/>
              </w:rPr>
            </w:r>
            <w:r/>
          </w:p>
        </w:tc>
        <w:tc>
          <w:tcPr>
            <w:tcW w:w="2970"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pPr>
            <w:r>
              <w:rPr>
                <w:rFonts w:ascii="宋体" w:hAnsi="宋体"/>
                <w:bCs/>
                <w:szCs w:val="21"/>
                <w:highlight w:val="none"/>
              </w:rPr>
            </w:r>
            <w:r/>
          </w:p>
        </w:tc>
        <w:tc>
          <w:tcPr>
            <w:tcW w:w="2149"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pPr>
            <w:r>
              <w:rPr>
                <w:rFonts w:ascii="宋体" w:hAnsi="宋体"/>
                <w:bCs/>
                <w:szCs w:val="21"/>
                <w:highlight w:val="none"/>
              </w:rPr>
            </w:r>
            <w:r/>
          </w:p>
        </w:tc>
        <w:tc>
          <w:tcPr>
            <w:tcW w:w="1335" w:type="dxa"/>
            <w:vAlign w:val="center"/>
            <w:textDirection w:val="lrTb"/>
            <w:noWrap w:val="false"/>
          </w:tcPr>
          <w:p>
            <w:pPr>
              <w:pStyle w:val="927"/>
              <w:jc w:val="center"/>
              <w:spacing w:line="360" w:lineRule="auto"/>
              <w:rPr>
                <w:rFonts w:ascii="宋体" w:hAnsi="宋体"/>
                <w:bCs/>
                <w:szCs w:val="21"/>
                <w:highlight w:val="none"/>
              </w:rPr>
              <w:framePr w:vAnchor="margin" w:hAnchor="page" w:xAlign="center" w:y="1"/>
            </w:pPr>
            <w:r>
              <w:rPr>
                <w:rFonts w:ascii="宋体" w:hAnsi="宋体"/>
                <w:bCs/>
                <w:szCs w:val="21"/>
                <w:highlight w:val="none"/>
              </w:rPr>
            </w:r>
            <w:r/>
          </w:p>
        </w:tc>
      </w:tr>
    </w:tbl>
    <w:p>
      <w:pPr>
        <w:pStyle w:val="1137"/>
        <w:ind w:firstLine="0"/>
        <w:spacing w:line="360" w:lineRule="auto"/>
        <w:rPr>
          <w:rFonts w:hint="eastAsia"/>
          <w:szCs w:val="21"/>
          <w:highlight w:val="none"/>
        </w:rPr>
      </w:pPr>
      <w:r>
        <w:rPr>
          <w:rFonts w:hint="eastAsia"/>
          <w:szCs w:val="21"/>
          <w:highlight w:val="none"/>
        </w:rPr>
      </w:r>
      <w:r/>
    </w:p>
    <w:p>
      <w:pPr>
        <w:pStyle w:val="927"/>
        <w:spacing w:line="360" w:lineRule="auto"/>
        <w:rPr>
          <w:rFonts w:hint="eastAsia" w:ascii="Arial" w:hAnsi="Arial" w:cs="Arial"/>
          <w:szCs w:val="21"/>
          <w:highlight w:val="none"/>
        </w:rPr>
      </w:pPr>
      <w:r>
        <w:rPr>
          <w:rFonts w:hint="eastAsia" w:ascii="Arial" w:hAnsi="Arial" w:cs="Arial"/>
          <w:szCs w:val="21"/>
          <w:highlight w:val="none"/>
        </w:rPr>
      </w:r>
      <w:r/>
    </w:p>
    <w:p>
      <w:pPr>
        <w:pStyle w:val="927"/>
        <w:spacing w:line="360" w:lineRule="auto"/>
        <w:rPr>
          <w:rFonts w:hint="eastAsia" w:ascii="Arial" w:hAnsi="Arial" w:cs="Arial"/>
          <w:szCs w:val="21"/>
          <w:highlight w:val="none"/>
        </w:rPr>
      </w:pPr>
      <w:r>
        <w:rPr>
          <w:rFonts w:hint="eastAsia" w:ascii="Arial" w:hAnsi="Arial" w:cs="Arial"/>
          <w:szCs w:val="21"/>
          <w:highlight w:val="none"/>
        </w:rPr>
        <w:t xml:space="preserve">投标人名称（盖章）：</w:t>
      </w:r>
      <w:r>
        <w:rPr>
          <w:rFonts w:hint="eastAsia" w:ascii="Arial" w:hAnsi="Arial" w:cs="Arial"/>
          <w:szCs w:val="21"/>
          <w:highlight w:val="none"/>
        </w:rPr>
      </w:r>
      <w:r/>
    </w:p>
    <w:p>
      <w:pPr>
        <w:pStyle w:val="927"/>
        <w:spacing w:line="360" w:lineRule="auto"/>
        <w:rPr>
          <w:rFonts w:hint="eastAsia" w:ascii="Arial" w:hAnsi="Arial" w:cs="Arial"/>
          <w:szCs w:val="21"/>
          <w:highlight w:val="none"/>
        </w:rPr>
      </w:pPr>
      <w:r>
        <w:rPr>
          <w:rFonts w:hint="eastAsia" w:ascii="Arial" w:hAnsi="Arial" w:cs="Arial"/>
          <w:szCs w:val="21"/>
          <w:highlight w:val="none"/>
        </w:rPr>
      </w:r>
      <w:r/>
    </w:p>
    <w:p>
      <w:pPr>
        <w:pStyle w:val="927"/>
        <w:spacing w:line="360" w:lineRule="auto"/>
        <w:rPr>
          <w:rFonts w:hint="eastAsia" w:ascii="Arial" w:hAnsi="Arial" w:cs="Arial"/>
          <w:szCs w:val="21"/>
          <w:highlight w:val="none"/>
        </w:rPr>
      </w:pPr>
      <w:r>
        <w:rPr>
          <w:rFonts w:hint="eastAsia" w:ascii="Arial" w:hAnsi="Arial" w:cs="Arial"/>
          <w:szCs w:val="21"/>
          <w:highlight w:val="none"/>
        </w:rPr>
        <w:t xml:space="preserve">法定代表人或法定代表人授权代表签字或盖章：</w:t>
      </w:r>
      <w:r>
        <w:rPr>
          <w:rFonts w:hint="eastAsia" w:ascii="Arial" w:hAnsi="Arial" w:cs="Arial"/>
          <w:szCs w:val="21"/>
          <w:highlight w:val="none"/>
        </w:rPr>
      </w:r>
      <w:r/>
    </w:p>
    <w:p>
      <w:pPr>
        <w:pStyle w:val="927"/>
        <w:spacing w:line="360" w:lineRule="auto"/>
        <w:rPr>
          <w:rFonts w:hint="eastAsia" w:ascii="Arial" w:hAnsi="Arial" w:cs="Arial"/>
          <w:szCs w:val="21"/>
          <w:highlight w:val="none"/>
        </w:rPr>
      </w:pPr>
      <w:r>
        <w:rPr>
          <w:rFonts w:hint="eastAsia" w:ascii="Arial" w:hAnsi="Arial" w:cs="Arial"/>
          <w:szCs w:val="21"/>
          <w:highlight w:val="none"/>
        </w:rPr>
      </w:r>
      <w:r/>
    </w:p>
    <w:p>
      <w:pPr>
        <w:pStyle w:val="927"/>
        <w:spacing w:line="360" w:lineRule="auto"/>
        <w:rPr>
          <w:rFonts w:hint="eastAsia" w:ascii="Arial" w:hAnsi="Arial" w:cs="Arial"/>
          <w:szCs w:val="21"/>
          <w:highlight w:val="none"/>
        </w:rPr>
      </w:pPr>
      <w:r>
        <w:rPr>
          <w:rFonts w:hint="eastAsia" w:ascii="Arial" w:hAnsi="Arial" w:cs="Arial"/>
          <w:szCs w:val="21"/>
          <w:highlight w:val="none"/>
        </w:rPr>
        <w:t xml:space="preserve">日期：</w:t>
      </w:r>
      <w:r>
        <w:rPr>
          <w:rFonts w:hint="eastAsia" w:ascii="Arial" w:hAnsi="Arial" w:cs="Arial"/>
          <w:szCs w:val="21"/>
          <w:highlight w:val="none"/>
        </w:rPr>
      </w:r>
      <w:r/>
    </w:p>
    <w:p>
      <w:pPr>
        <w:pStyle w:val="927"/>
        <w:spacing w:line="440" w:lineRule="exact"/>
        <w:rPr>
          <w:rFonts w:ascii="Arial" w:hAnsi="Arial" w:cs="Arial"/>
          <w:color w:val="000000"/>
          <w:szCs w:val="21"/>
          <w:highlight w:val="none"/>
        </w:rPr>
      </w:pPr>
      <w:r>
        <w:rPr>
          <w:rFonts w:ascii="Arial" w:hAnsi="Arial" w:cs="Arial"/>
          <w:color w:val="000000"/>
          <w:szCs w:val="21"/>
          <w:highlight w:val="none"/>
        </w:rPr>
      </w:r>
      <w:r/>
    </w:p>
    <w:p>
      <w:pPr>
        <w:pStyle w:val="927"/>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注：1、</w:t>
      </w:r>
      <w:r>
        <w:rPr>
          <w:rFonts w:hint="eastAsia" w:ascii="宋体" w:hAnsi="宋体" w:cs="宋体"/>
          <w:szCs w:val="21"/>
          <w:highlight w:val="none"/>
        </w:rPr>
        <w:t xml:space="preserve">投标人应对招标文件《采购需求》二）商务要求的内容给予逐条响应，若漏项或不逐条应答视为</w:t>
      </w:r>
      <w:r>
        <w:rPr>
          <w:rFonts w:hint="eastAsia" w:ascii="宋体" w:hAnsi="宋体" w:cs="宋体"/>
          <w:color w:val="000000"/>
          <w:szCs w:val="21"/>
          <w:highlight w:val="none"/>
        </w:rPr>
        <w:t xml:space="preserve">完全响应招标文件的商务条款要求。</w:t>
      </w:r>
      <w:r>
        <w:rPr>
          <w:rFonts w:hint="eastAsia" w:ascii="宋体" w:hAnsi="宋体" w:cs="宋体"/>
          <w:color w:val="000000"/>
          <w:szCs w:val="21"/>
          <w:highlight w:val="none"/>
        </w:rPr>
      </w:r>
      <w:r/>
    </w:p>
    <w:p>
      <w:pPr>
        <w:pStyle w:val="927"/>
        <w:numPr>
          <w:ilvl w:val="0"/>
          <w:numId w:val="7"/>
        </w:numPr>
        <w:ind w:firstLine="420"/>
        <w:spacing w:line="440" w:lineRule="exact"/>
        <w:rPr>
          <w:rFonts w:hint="eastAsia" w:ascii="宋体" w:hAnsi="宋体" w:cs="宋体"/>
          <w:color w:val="000000"/>
          <w:szCs w:val="21"/>
          <w:highlight w:val="none"/>
        </w:rPr>
      </w:pPr>
      <w:r>
        <w:rPr>
          <w:rFonts w:hint="eastAsia" w:ascii="宋体" w:hAnsi="宋体" w:cs="宋体"/>
          <w:szCs w:val="21"/>
          <w:highlight w:val="none"/>
        </w:rPr>
        <w:t xml:space="preserve">“偏离/响应”</w:t>
      </w:r>
      <w:r>
        <w:rPr>
          <w:rFonts w:hint="eastAsia" w:ascii="宋体" w:hAnsi="宋体" w:cs="宋体"/>
          <w:color w:val="000000"/>
          <w:szCs w:val="21"/>
          <w:highlight w:val="none"/>
        </w:rPr>
        <w:t xml:space="preserve">栏请注明”响应或无偏离/正偏离/负偏离，正偏离指供应商的响应高于招标文件要求，负偏离指供应商的响应低于招标文件要求。</w:t>
      </w:r>
      <w:r>
        <w:rPr>
          <w:rFonts w:hint="eastAsia" w:ascii="宋体" w:hAnsi="宋体" w:cs="宋体"/>
          <w:color w:val="000000"/>
          <w:szCs w:val="21"/>
          <w:highlight w:val="none"/>
        </w:rPr>
      </w:r>
      <w:r/>
    </w:p>
    <w:p>
      <w:pPr>
        <w:pStyle w:val="927"/>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3、如果行数不够，请自行增加。</w:t>
      </w:r>
      <w:r>
        <w:rPr>
          <w:rFonts w:hint="eastAsia" w:ascii="宋体" w:hAnsi="宋体" w:cs="宋体"/>
          <w:color w:val="000000"/>
          <w:szCs w:val="21"/>
          <w:highlight w:val="none"/>
        </w:rPr>
      </w:r>
      <w:r/>
    </w:p>
    <w:p>
      <w:pPr>
        <w:pStyle w:val="952"/>
        <w:rPr>
          <w:rFonts w:hint="eastAsia" w:ascii="宋体" w:hAnsi="宋体"/>
          <w:sz w:val="24"/>
          <w:szCs w:val="24"/>
          <w:highlight w:val="none"/>
        </w:rPr>
      </w:pPr>
      <w:r>
        <w:rPr>
          <w:rFonts w:hint="eastAsia" w:ascii="宋体" w:hAnsi="宋体"/>
          <w:sz w:val="24"/>
          <w:szCs w:val="24"/>
          <w:highlight w:val="none"/>
        </w:rPr>
      </w:r>
      <w:r/>
    </w:p>
    <w:p>
      <w:pPr>
        <w:pStyle w:val="927"/>
        <w:jc w:val="left"/>
        <w:spacing w:line="360" w:lineRule="auto"/>
        <w:rPr>
          <w:rFonts w:hint="eastAsia" w:ascii="宋体" w:hAnsi="宋体" w:cs="宋体"/>
          <w:b/>
          <w:sz w:val="24"/>
          <w:szCs w:val="24"/>
          <w:highlight w:val="none"/>
        </w:rPr>
      </w:pPr>
      <w:r>
        <w:rPr>
          <w:rFonts w:hint="eastAsia" w:ascii="宋体" w:hAnsi="宋体" w:cs="宋体"/>
          <w:b/>
          <w:sz w:val="24"/>
          <w:szCs w:val="24"/>
          <w:highlight w:val="none"/>
        </w:rPr>
        <w:br w:type="page" w:clear="all"/>
      </w:r>
      <w:r>
        <w:rPr>
          <w:rFonts w:hint="eastAsia" w:ascii="宋体" w:hAnsi="宋体" w:cs="宋体"/>
          <w:b/>
          <w:sz w:val="24"/>
          <w:szCs w:val="24"/>
          <w:highlight w:val="none"/>
        </w:rPr>
        <w:t xml:space="preserve">（六）技术响应偏离表（格式）：</w:t>
      </w:r>
      <w:r>
        <w:rPr>
          <w:rFonts w:hint="eastAsia" w:ascii="宋体" w:hAnsi="宋体" w:cs="宋体"/>
          <w:b/>
          <w:sz w:val="24"/>
          <w:szCs w:val="24"/>
          <w:highlight w:val="none"/>
        </w:rPr>
      </w:r>
      <w:r/>
    </w:p>
    <w:p>
      <w:pPr>
        <w:pStyle w:val="927"/>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r>
      <w:r/>
    </w:p>
    <w:p>
      <w:pPr>
        <w:pStyle w:val="927"/>
        <w:jc w:val="center"/>
        <w:spacing w:line="360" w:lineRule="auto"/>
        <w:rPr>
          <w:rFonts w:ascii="宋体" w:hAnsi="宋体" w:cs="宋体"/>
          <w:b/>
          <w:sz w:val="36"/>
          <w:szCs w:val="28"/>
          <w:highlight w:val="none"/>
        </w:rPr>
      </w:pPr>
      <w:r>
        <w:rPr>
          <w:rFonts w:hint="eastAsia" w:ascii="宋体" w:hAnsi="宋体" w:cs="宋体"/>
          <w:b/>
          <w:sz w:val="36"/>
          <w:szCs w:val="28"/>
          <w:highlight w:val="none"/>
        </w:rPr>
        <w:t xml:space="preserve">技术响应偏离表</w:t>
      </w:r>
      <w:r>
        <w:rPr>
          <w:rFonts w:ascii="宋体" w:hAnsi="宋体" w:cs="宋体"/>
          <w:b/>
          <w:sz w:val="36"/>
          <w:szCs w:val="28"/>
          <w:highlight w:val="none"/>
        </w:rPr>
      </w:r>
      <w:r/>
    </w:p>
    <w:p>
      <w:pPr>
        <w:pStyle w:val="927"/>
        <w:spacing w:line="360" w:lineRule="auto"/>
        <w:rPr>
          <w:rFonts w:hint="eastAsia" w:ascii="宋体" w:hAnsi="宋体"/>
          <w:bCs/>
          <w:szCs w:val="21"/>
          <w:highlight w:val="none"/>
        </w:rPr>
      </w:pPr>
      <w:r>
        <w:rPr>
          <w:rFonts w:hint="eastAsia" w:ascii="宋体" w:hAnsi="宋体"/>
          <w:bCs/>
          <w:szCs w:val="21"/>
          <w:highlight w:val="none"/>
        </w:rPr>
        <w:t xml:space="preserve">招标编号：</w:t>
      </w:r>
      <w:r>
        <w:rPr>
          <w:rFonts w:hint="eastAsia" w:ascii="宋体" w:hAnsi="宋体"/>
          <w:bCs/>
          <w:szCs w:val="21"/>
          <w:highlight w:val="none"/>
        </w:rPr>
      </w:r>
      <w:r/>
    </w:p>
    <w:tbl>
      <w:tblPr>
        <w:tblW w:w="825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577"/>
        <w:gridCol w:w="1978"/>
        <w:gridCol w:w="2229"/>
        <w:gridCol w:w="1516"/>
      </w:tblGrid>
      <w:tr>
        <w:trPr>
          <w:trHeight w:val="855"/>
        </w:trPr>
        <w:tc>
          <w:tcPr>
            <w:tcW w:w="959" w:type="dxa"/>
            <w:vAlign w:val="center"/>
            <w:textDirection w:val="lrTb"/>
            <w:noWrap w:val="false"/>
          </w:tcPr>
          <w:p>
            <w:pPr>
              <w:pStyle w:val="927"/>
              <w:jc w:val="center"/>
              <w:spacing w:line="360" w:lineRule="auto"/>
              <w:rPr>
                <w:rFonts w:ascii="宋体" w:hAnsi="宋体"/>
                <w:bCs/>
                <w:szCs w:val="21"/>
                <w:highlight w:val="none"/>
              </w:rPr>
            </w:pPr>
            <w:r>
              <w:rPr>
                <w:rFonts w:hint="eastAsia" w:ascii="宋体" w:hAnsi="宋体"/>
                <w:bCs/>
                <w:szCs w:val="21"/>
                <w:highlight w:val="none"/>
              </w:rPr>
              <w:t xml:space="preserve">序号</w:t>
            </w:r>
            <w:r>
              <w:rPr>
                <w:rFonts w:ascii="宋体" w:hAnsi="宋体"/>
                <w:bCs/>
                <w:szCs w:val="21"/>
                <w:highlight w:val="none"/>
              </w:rPr>
            </w:r>
            <w:r/>
          </w:p>
        </w:tc>
        <w:tc>
          <w:tcPr>
            <w:tcW w:w="1577" w:type="dxa"/>
            <w:vAlign w:val="center"/>
            <w:textDirection w:val="lrTb"/>
            <w:noWrap w:val="false"/>
          </w:tcPr>
          <w:p>
            <w:pPr>
              <w:pStyle w:val="927"/>
              <w:jc w:val="center"/>
              <w:spacing w:line="360" w:lineRule="auto"/>
              <w:rPr>
                <w:rFonts w:ascii="宋体" w:hAnsi="宋体"/>
                <w:bCs/>
                <w:szCs w:val="21"/>
                <w:highlight w:val="none"/>
              </w:rPr>
            </w:pPr>
            <w:r>
              <w:rPr>
                <w:rFonts w:hint="eastAsia" w:ascii="宋体" w:hAnsi="宋体"/>
                <w:bCs/>
                <w:szCs w:val="21"/>
                <w:highlight w:val="none"/>
              </w:rPr>
              <w:t xml:space="preserve">招标文件条目号</w:t>
            </w:r>
            <w:r>
              <w:rPr>
                <w:rFonts w:ascii="宋体" w:hAnsi="宋体"/>
                <w:bCs/>
                <w:szCs w:val="21"/>
                <w:highlight w:val="none"/>
              </w:rPr>
            </w:r>
            <w:r/>
          </w:p>
        </w:tc>
        <w:tc>
          <w:tcPr>
            <w:tcW w:w="1978" w:type="dxa"/>
            <w:vAlign w:val="center"/>
            <w:textDirection w:val="lrTb"/>
            <w:noWrap w:val="false"/>
          </w:tcPr>
          <w:p>
            <w:pPr>
              <w:pStyle w:val="927"/>
              <w:jc w:val="center"/>
              <w:spacing w:line="360" w:lineRule="auto"/>
              <w:rPr>
                <w:rFonts w:hint="eastAsia" w:ascii="宋体" w:hAnsi="宋体"/>
                <w:bCs/>
                <w:szCs w:val="21"/>
                <w:highlight w:val="none"/>
              </w:rPr>
            </w:pPr>
            <w:r>
              <w:rPr>
                <w:rFonts w:hint="eastAsia" w:ascii="宋体" w:hAnsi="宋体"/>
                <w:bCs/>
                <w:szCs w:val="21"/>
                <w:highlight w:val="none"/>
              </w:rPr>
              <w:t xml:space="preserve">招标要求规格</w:t>
            </w:r>
            <w:r>
              <w:rPr>
                <w:rFonts w:hint="eastAsia" w:ascii="宋体" w:hAnsi="宋体"/>
                <w:bCs/>
                <w:szCs w:val="21"/>
                <w:highlight w:val="none"/>
              </w:rPr>
            </w:r>
            <w:r/>
          </w:p>
        </w:tc>
        <w:tc>
          <w:tcPr>
            <w:tcW w:w="2229" w:type="dxa"/>
            <w:vAlign w:val="center"/>
            <w:textDirection w:val="lrTb"/>
            <w:noWrap w:val="false"/>
          </w:tcPr>
          <w:p>
            <w:pPr>
              <w:pStyle w:val="927"/>
              <w:jc w:val="center"/>
              <w:spacing w:line="360" w:lineRule="auto"/>
              <w:rPr>
                <w:rFonts w:ascii="宋体" w:hAnsi="宋体"/>
                <w:bCs/>
                <w:szCs w:val="21"/>
                <w:highlight w:val="none"/>
              </w:rPr>
            </w:pPr>
            <w:r>
              <w:rPr>
                <w:rFonts w:hint="eastAsia" w:ascii="宋体" w:hAnsi="宋体"/>
                <w:bCs/>
                <w:szCs w:val="21"/>
                <w:highlight w:val="none"/>
              </w:rPr>
              <w:t xml:space="preserve">投标文件响应情况</w:t>
            </w:r>
            <w:r>
              <w:rPr>
                <w:rFonts w:ascii="宋体" w:hAnsi="宋体"/>
                <w:bCs/>
                <w:szCs w:val="21"/>
                <w:highlight w:val="none"/>
              </w:rPr>
            </w:r>
            <w:r/>
          </w:p>
        </w:tc>
        <w:tc>
          <w:tcPr>
            <w:tcW w:w="1516" w:type="dxa"/>
            <w:vAlign w:val="center"/>
            <w:textDirection w:val="lrTb"/>
            <w:noWrap w:val="false"/>
          </w:tcPr>
          <w:p>
            <w:pPr>
              <w:pStyle w:val="927"/>
              <w:jc w:val="center"/>
              <w:spacing w:line="360" w:lineRule="auto"/>
              <w:rPr>
                <w:rFonts w:ascii="宋体" w:hAnsi="宋体"/>
                <w:bCs/>
                <w:szCs w:val="21"/>
                <w:highlight w:val="none"/>
              </w:rPr>
            </w:pPr>
            <w:r>
              <w:rPr>
                <w:rFonts w:hint="eastAsia" w:ascii="宋体" w:hAnsi="宋体"/>
                <w:bCs/>
                <w:szCs w:val="21"/>
                <w:highlight w:val="none"/>
              </w:rPr>
              <w:t xml:space="preserve">偏离/响应</w:t>
            </w:r>
            <w:r>
              <w:rPr>
                <w:rFonts w:ascii="宋体" w:hAnsi="宋体"/>
                <w:bCs/>
                <w:szCs w:val="21"/>
                <w:highlight w:val="none"/>
              </w:rPr>
            </w:r>
            <w:r/>
          </w:p>
        </w:tc>
      </w:tr>
      <w:tr>
        <w:trPr>
          <w:trHeight w:val="478"/>
        </w:trPr>
        <w:tc>
          <w:tcPr>
            <w:tcW w:w="959" w:type="dxa"/>
            <w:vAlign w:val="center"/>
            <w:textDirection w:val="lrTb"/>
            <w:noWrap w:val="false"/>
          </w:tcPr>
          <w:p>
            <w:pPr>
              <w:pStyle w:val="927"/>
              <w:jc w:val="left"/>
              <w:spacing w:line="360" w:lineRule="auto"/>
              <w:rPr>
                <w:rFonts w:ascii="宋体" w:hAnsi="宋体"/>
                <w:bCs/>
                <w:szCs w:val="21"/>
                <w:highlight w:val="none"/>
              </w:rPr>
            </w:pPr>
            <w:r>
              <w:rPr>
                <w:rFonts w:ascii="宋体" w:hAnsi="宋体"/>
                <w:bCs/>
                <w:szCs w:val="21"/>
                <w:highlight w:val="none"/>
              </w:rPr>
            </w:r>
            <w:r/>
          </w:p>
        </w:tc>
        <w:tc>
          <w:tcPr>
            <w:tcW w:w="1577" w:type="dxa"/>
            <w:vAlign w:val="center"/>
            <w:textDirection w:val="lrTb"/>
            <w:noWrap w:val="false"/>
          </w:tcPr>
          <w:p>
            <w:pPr>
              <w:pStyle w:val="927"/>
              <w:jc w:val="center"/>
              <w:spacing w:line="360" w:lineRule="auto"/>
              <w:rPr>
                <w:rFonts w:ascii="宋体" w:hAnsi="宋体"/>
                <w:bCs/>
                <w:szCs w:val="21"/>
                <w:highlight w:val="none"/>
              </w:rPr>
            </w:pPr>
            <w:r>
              <w:rPr>
                <w:rFonts w:ascii="宋体" w:hAnsi="宋体"/>
                <w:bCs/>
                <w:szCs w:val="21"/>
                <w:highlight w:val="none"/>
              </w:rPr>
            </w:r>
            <w:r/>
          </w:p>
        </w:tc>
        <w:tc>
          <w:tcPr>
            <w:tcW w:w="1978" w:type="dxa"/>
            <w:vAlign w:val="center"/>
            <w:textDirection w:val="lrTb"/>
            <w:noWrap w:val="false"/>
          </w:tcPr>
          <w:p>
            <w:pPr>
              <w:pStyle w:val="927"/>
              <w:jc w:val="center"/>
              <w:spacing w:line="360" w:lineRule="auto"/>
              <w:rPr>
                <w:rFonts w:ascii="宋体" w:hAnsi="宋体"/>
                <w:bCs/>
                <w:szCs w:val="21"/>
                <w:highlight w:val="none"/>
              </w:rPr>
            </w:pPr>
            <w:r>
              <w:rPr>
                <w:rFonts w:ascii="宋体" w:hAnsi="宋体"/>
                <w:bCs/>
                <w:szCs w:val="21"/>
                <w:highlight w:val="none"/>
              </w:rPr>
            </w:r>
            <w:r/>
          </w:p>
        </w:tc>
        <w:tc>
          <w:tcPr>
            <w:tcW w:w="2229" w:type="dxa"/>
            <w:vAlign w:val="center"/>
            <w:textDirection w:val="lrTb"/>
            <w:noWrap w:val="false"/>
          </w:tcPr>
          <w:p>
            <w:pPr>
              <w:pStyle w:val="927"/>
              <w:jc w:val="center"/>
              <w:spacing w:line="360" w:lineRule="auto"/>
              <w:rPr>
                <w:rFonts w:ascii="宋体" w:hAnsi="宋体"/>
                <w:bCs/>
                <w:szCs w:val="21"/>
                <w:highlight w:val="none"/>
              </w:rPr>
            </w:pPr>
            <w:r>
              <w:rPr>
                <w:rFonts w:ascii="宋体" w:hAnsi="宋体"/>
                <w:bCs/>
                <w:szCs w:val="21"/>
                <w:highlight w:val="none"/>
              </w:rPr>
            </w:r>
            <w:r/>
          </w:p>
        </w:tc>
        <w:tc>
          <w:tcPr>
            <w:tcW w:w="1516" w:type="dxa"/>
            <w:vAlign w:val="center"/>
            <w:textDirection w:val="lrTb"/>
            <w:noWrap w:val="false"/>
          </w:tcPr>
          <w:p>
            <w:pPr>
              <w:pStyle w:val="927"/>
              <w:jc w:val="center"/>
              <w:spacing w:line="360" w:lineRule="auto"/>
              <w:rPr>
                <w:rFonts w:ascii="宋体" w:hAnsi="宋体"/>
                <w:bCs/>
                <w:szCs w:val="21"/>
                <w:highlight w:val="none"/>
              </w:rPr>
            </w:pPr>
            <w:r>
              <w:rPr>
                <w:rFonts w:ascii="宋体" w:hAnsi="宋体"/>
                <w:bCs/>
                <w:szCs w:val="21"/>
                <w:highlight w:val="none"/>
              </w:rPr>
            </w:r>
            <w:r/>
          </w:p>
        </w:tc>
      </w:tr>
      <w:tr>
        <w:trPr>
          <w:trHeight w:val="478"/>
        </w:trPr>
        <w:tc>
          <w:tcPr>
            <w:tcW w:w="959" w:type="dxa"/>
            <w:vAlign w:val="center"/>
            <w:textDirection w:val="lrTb"/>
            <w:noWrap w:val="false"/>
          </w:tcPr>
          <w:p>
            <w:pPr>
              <w:pStyle w:val="927"/>
              <w:jc w:val="center"/>
              <w:spacing w:line="360" w:lineRule="auto"/>
              <w:rPr>
                <w:rFonts w:ascii="宋体" w:hAnsi="宋体"/>
                <w:bCs/>
                <w:szCs w:val="21"/>
                <w:highlight w:val="none"/>
              </w:rPr>
            </w:pPr>
            <w:r>
              <w:rPr>
                <w:rFonts w:ascii="宋体" w:hAnsi="宋体"/>
                <w:bCs/>
                <w:szCs w:val="21"/>
                <w:highlight w:val="none"/>
              </w:rPr>
            </w:r>
            <w:r/>
          </w:p>
        </w:tc>
        <w:tc>
          <w:tcPr>
            <w:tcW w:w="1577" w:type="dxa"/>
            <w:vAlign w:val="center"/>
            <w:textDirection w:val="lrTb"/>
            <w:noWrap w:val="false"/>
          </w:tcPr>
          <w:p>
            <w:pPr>
              <w:pStyle w:val="927"/>
              <w:jc w:val="center"/>
              <w:spacing w:line="360" w:lineRule="auto"/>
              <w:rPr>
                <w:rFonts w:ascii="宋体" w:hAnsi="宋体"/>
                <w:bCs/>
                <w:szCs w:val="21"/>
                <w:highlight w:val="none"/>
              </w:rPr>
            </w:pPr>
            <w:r>
              <w:rPr>
                <w:rFonts w:ascii="宋体" w:hAnsi="宋体"/>
                <w:bCs/>
                <w:szCs w:val="21"/>
                <w:highlight w:val="none"/>
              </w:rPr>
            </w:r>
            <w:r/>
          </w:p>
        </w:tc>
        <w:tc>
          <w:tcPr>
            <w:tcW w:w="1978" w:type="dxa"/>
            <w:vAlign w:val="center"/>
            <w:textDirection w:val="lrTb"/>
            <w:noWrap w:val="false"/>
          </w:tcPr>
          <w:p>
            <w:pPr>
              <w:pStyle w:val="927"/>
              <w:jc w:val="center"/>
              <w:spacing w:line="360" w:lineRule="auto"/>
              <w:rPr>
                <w:rFonts w:ascii="宋体" w:hAnsi="宋体"/>
                <w:bCs/>
                <w:szCs w:val="21"/>
                <w:highlight w:val="none"/>
              </w:rPr>
            </w:pPr>
            <w:r>
              <w:rPr>
                <w:rFonts w:ascii="宋体" w:hAnsi="宋体"/>
                <w:bCs/>
                <w:szCs w:val="21"/>
                <w:highlight w:val="none"/>
              </w:rPr>
            </w:r>
            <w:r/>
          </w:p>
        </w:tc>
        <w:tc>
          <w:tcPr>
            <w:tcW w:w="2229" w:type="dxa"/>
            <w:vAlign w:val="center"/>
            <w:textDirection w:val="lrTb"/>
            <w:noWrap w:val="false"/>
          </w:tcPr>
          <w:p>
            <w:pPr>
              <w:pStyle w:val="927"/>
              <w:jc w:val="center"/>
              <w:spacing w:line="360" w:lineRule="auto"/>
              <w:rPr>
                <w:rFonts w:ascii="宋体" w:hAnsi="宋体"/>
                <w:bCs/>
                <w:szCs w:val="21"/>
                <w:highlight w:val="none"/>
              </w:rPr>
            </w:pPr>
            <w:r>
              <w:rPr>
                <w:rFonts w:ascii="宋体" w:hAnsi="宋体"/>
                <w:bCs/>
                <w:szCs w:val="21"/>
                <w:highlight w:val="none"/>
              </w:rPr>
            </w:r>
            <w:r/>
          </w:p>
        </w:tc>
        <w:tc>
          <w:tcPr>
            <w:tcW w:w="1516" w:type="dxa"/>
            <w:vAlign w:val="center"/>
            <w:textDirection w:val="lrTb"/>
            <w:noWrap w:val="false"/>
          </w:tcPr>
          <w:p>
            <w:pPr>
              <w:pStyle w:val="927"/>
              <w:jc w:val="center"/>
              <w:spacing w:line="360" w:lineRule="auto"/>
              <w:rPr>
                <w:rFonts w:ascii="宋体" w:hAnsi="宋体"/>
                <w:bCs/>
                <w:szCs w:val="21"/>
                <w:highlight w:val="none"/>
              </w:rPr>
            </w:pPr>
            <w:r>
              <w:rPr>
                <w:rFonts w:ascii="宋体" w:hAnsi="宋体"/>
                <w:bCs/>
                <w:szCs w:val="21"/>
                <w:highlight w:val="none"/>
              </w:rPr>
            </w:r>
            <w:r/>
          </w:p>
        </w:tc>
      </w:tr>
      <w:tr>
        <w:trPr>
          <w:trHeight w:val="478"/>
        </w:trPr>
        <w:tc>
          <w:tcPr>
            <w:tcW w:w="959" w:type="dxa"/>
            <w:vAlign w:val="center"/>
            <w:textDirection w:val="lrTb"/>
            <w:noWrap w:val="false"/>
          </w:tcPr>
          <w:p>
            <w:pPr>
              <w:pStyle w:val="927"/>
              <w:jc w:val="center"/>
              <w:spacing w:line="360" w:lineRule="auto"/>
              <w:rPr>
                <w:rFonts w:ascii="宋体" w:hAnsi="宋体"/>
                <w:bCs/>
                <w:szCs w:val="21"/>
                <w:highlight w:val="none"/>
              </w:rPr>
            </w:pPr>
            <w:r>
              <w:rPr>
                <w:rFonts w:ascii="宋体" w:hAnsi="宋体"/>
                <w:bCs/>
                <w:szCs w:val="21"/>
                <w:highlight w:val="none"/>
              </w:rPr>
            </w:r>
            <w:r/>
          </w:p>
        </w:tc>
        <w:tc>
          <w:tcPr>
            <w:tcW w:w="1577" w:type="dxa"/>
            <w:vAlign w:val="center"/>
            <w:textDirection w:val="lrTb"/>
            <w:noWrap w:val="false"/>
          </w:tcPr>
          <w:p>
            <w:pPr>
              <w:pStyle w:val="927"/>
              <w:jc w:val="center"/>
              <w:spacing w:line="360" w:lineRule="auto"/>
              <w:rPr>
                <w:rFonts w:ascii="宋体" w:hAnsi="宋体"/>
                <w:bCs/>
                <w:szCs w:val="21"/>
                <w:highlight w:val="none"/>
              </w:rPr>
            </w:pPr>
            <w:r>
              <w:rPr>
                <w:rFonts w:ascii="宋体" w:hAnsi="宋体"/>
                <w:bCs/>
                <w:szCs w:val="21"/>
                <w:highlight w:val="none"/>
              </w:rPr>
            </w:r>
            <w:r/>
          </w:p>
        </w:tc>
        <w:tc>
          <w:tcPr>
            <w:tcW w:w="1978" w:type="dxa"/>
            <w:vAlign w:val="center"/>
            <w:textDirection w:val="lrTb"/>
            <w:noWrap w:val="false"/>
          </w:tcPr>
          <w:p>
            <w:pPr>
              <w:pStyle w:val="927"/>
              <w:jc w:val="center"/>
              <w:spacing w:line="360" w:lineRule="auto"/>
              <w:rPr>
                <w:rFonts w:ascii="宋体" w:hAnsi="宋体"/>
                <w:bCs/>
                <w:szCs w:val="21"/>
                <w:highlight w:val="none"/>
              </w:rPr>
            </w:pPr>
            <w:r>
              <w:rPr>
                <w:rFonts w:ascii="宋体" w:hAnsi="宋体"/>
                <w:bCs/>
                <w:szCs w:val="21"/>
                <w:highlight w:val="none"/>
              </w:rPr>
            </w:r>
            <w:r/>
          </w:p>
        </w:tc>
        <w:tc>
          <w:tcPr>
            <w:tcW w:w="2229" w:type="dxa"/>
            <w:vAlign w:val="center"/>
            <w:textDirection w:val="lrTb"/>
            <w:noWrap w:val="false"/>
          </w:tcPr>
          <w:p>
            <w:pPr>
              <w:pStyle w:val="927"/>
              <w:jc w:val="center"/>
              <w:spacing w:line="360" w:lineRule="auto"/>
              <w:rPr>
                <w:rFonts w:ascii="宋体" w:hAnsi="宋体"/>
                <w:bCs/>
                <w:szCs w:val="21"/>
                <w:highlight w:val="none"/>
              </w:rPr>
            </w:pPr>
            <w:r>
              <w:rPr>
                <w:rFonts w:ascii="宋体" w:hAnsi="宋体"/>
                <w:bCs/>
                <w:szCs w:val="21"/>
                <w:highlight w:val="none"/>
              </w:rPr>
            </w:r>
            <w:r/>
          </w:p>
        </w:tc>
        <w:tc>
          <w:tcPr>
            <w:tcW w:w="1516" w:type="dxa"/>
            <w:vAlign w:val="center"/>
            <w:textDirection w:val="lrTb"/>
            <w:noWrap w:val="false"/>
          </w:tcPr>
          <w:p>
            <w:pPr>
              <w:pStyle w:val="927"/>
              <w:jc w:val="center"/>
              <w:spacing w:line="360" w:lineRule="auto"/>
              <w:rPr>
                <w:rFonts w:ascii="宋体" w:hAnsi="宋体"/>
                <w:bCs/>
                <w:szCs w:val="21"/>
                <w:highlight w:val="none"/>
              </w:rPr>
            </w:pPr>
            <w:r>
              <w:rPr>
                <w:rFonts w:ascii="宋体" w:hAnsi="宋体"/>
                <w:bCs/>
                <w:szCs w:val="21"/>
                <w:highlight w:val="none"/>
              </w:rPr>
            </w:r>
            <w:r/>
          </w:p>
        </w:tc>
      </w:tr>
      <w:tr>
        <w:trPr>
          <w:trHeight w:val="478"/>
        </w:trPr>
        <w:tc>
          <w:tcPr>
            <w:tcW w:w="959" w:type="dxa"/>
            <w:vAlign w:val="center"/>
            <w:textDirection w:val="lrTb"/>
            <w:noWrap w:val="false"/>
          </w:tcPr>
          <w:p>
            <w:pPr>
              <w:pStyle w:val="927"/>
              <w:jc w:val="center"/>
              <w:spacing w:line="360" w:lineRule="auto"/>
              <w:rPr>
                <w:rFonts w:ascii="宋体" w:hAnsi="宋体"/>
                <w:bCs/>
                <w:szCs w:val="21"/>
                <w:highlight w:val="none"/>
              </w:rPr>
            </w:pPr>
            <w:r>
              <w:rPr>
                <w:rFonts w:ascii="宋体" w:hAnsi="宋体"/>
                <w:bCs/>
                <w:szCs w:val="21"/>
                <w:highlight w:val="none"/>
              </w:rPr>
            </w:r>
            <w:r/>
          </w:p>
        </w:tc>
        <w:tc>
          <w:tcPr>
            <w:tcW w:w="1577" w:type="dxa"/>
            <w:vAlign w:val="center"/>
            <w:textDirection w:val="lrTb"/>
            <w:noWrap w:val="false"/>
          </w:tcPr>
          <w:p>
            <w:pPr>
              <w:pStyle w:val="927"/>
              <w:jc w:val="center"/>
              <w:spacing w:line="360" w:lineRule="auto"/>
              <w:rPr>
                <w:rFonts w:ascii="宋体" w:hAnsi="宋体"/>
                <w:bCs/>
                <w:szCs w:val="21"/>
                <w:highlight w:val="none"/>
              </w:rPr>
            </w:pPr>
            <w:r>
              <w:rPr>
                <w:rFonts w:ascii="宋体" w:hAnsi="宋体"/>
                <w:bCs/>
                <w:szCs w:val="21"/>
                <w:highlight w:val="none"/>
              </w:rPr>
            </w:r>
            <w:r/>
          </w:p>
        </w:tc>
        <w:tc>
          <w:tcPr>
            <w:tcW w:w="1978" w:type="dxa"/>
            <w:vAlign w:val="center"/>
            <w:textDirection w:val="lrTb"/>
            <w:noWrap w:val="false"/>
          </w:tcPr>
          <w:p>
            <w:pPr>
              <w:pStyle w:val="927"/>
              <w:jc w:val="center"/>
              <w:spacing w:line="360" w:lineRule="auto"/>
              <w:rPr>
                <w:rFonts w:ascii="宋体" w:hAnsi="宋体"/>
                <w:bCs/>
                <w:szCs w:val="21"/>
                <w:highlight w:val="none"/>
              </w:rPr>
            </w:pPr>
            <w:r>
              <w:rPr>
                <w:rFonts w:ascii="宋体" w:hAnsi="宋体"/>
                <w:bCs/>
                <w:szCs w:val="21"/>
                <w:highlight w:val="none"/>
              </w:rPr>
            </w:r>
            <w:r/>
          </w:p>
        </w:tc>
        <w:tc>
          <w:tcPr>
            <w:tcW w:w="2229" w:type="dxa"/>
            <w:vAlign w:val="center"/>
            <w:textDirection w:val="lrTb"/>
            <w:noWrap w:val="false"/>
          </w:tcPr>
          <w:p>
            <w:pPr>
              <w:pStyle w:val="927"/>
              <w:jc w:val="center"/>
              <w:spacing w:line="360" w:lineRule="auto"/>
              <w:rPr>
                <w:rFonts w:ascii="宋体" w:hAnsi="宋体"/>
                <w:bCs/>
                <w:szCs w:val="21"/>
                <w:highlight w:val="none"/>
              </w:rPr>
            </w:pPr>
            <w:r>
              <w:rPr>
                <w:rFonts w:ascii="宋体" w:hAnsi="宋体"/>
                <w:bCs/>
                <w:szCs w:val="21"/>
                <w:highlight w:val="none"/>
              </w:rPr>
            </w:r>
            <w:r/>
          </w:p>
        </w:tc>
        <w:tc>
          <w:tcPr>
            <w:tcW w:w="1516" w:type="dxa"/>
            <w:vAlign w:val="center"/>
            <w:textDirection w:val="lrTb"/>
            <w:noWrap w:val="false"/>
          </w:tcPr>
          <w:p>
            <w:pPr>
              <w:pStyle w:val="927"/>
              <w:jc w:val="center"/>
              <w:spacing w:line="360" w:lineRule="auto"/>
              <w:rPr>
                <w:rFonts w:ascii="宋体" w:hAnsi="宋体"/>
                <w:bCs/>
                <w:szCs w:val="21"/>
                <w:highlight w:val="none"/>
              </w:rPr>
            </w:pPr>
            <w:r>
              <w:rPr>
                <w:rFonts w:ascii="宋体" w:hAnsi="宋体"/>
                <w:bCs/>
                <w:szCs w:val="21"/>
                <w:highlight w:val="none"/>
              </w:rPr>
            </w:r>
            <w:r/>
          </w:p>
        </w:tc>
      </w:tr>
      <w:tr>
        <w:trPr>
          <w:trHeight w:val="478"/>
        </w:trPr>
        <w:tc>
          <w:tcPr>
            <w:tcW w:w="959" w:type="dxa"/>
            <w:vAlign w:val="center"/>
            <w:textDirection w:val="lrTb"/>
            <w:noWrap w:val="false"/>
          </w:tcPr>
          <w:p>
            <w:pPr>
              <w:pStyle w:val="927"/>
              <w:jc w:val="center"/>
              <w:spacing w:line="360" w:lineRule="auto"/>
              <w:rPr>
                <w:rFonts w:ascii="宋体" w:hAnsi="宋体"/>
                <w:bCs/>
                <w:szCs w:val="21"/>
                <w:highlight w:val="none"/>
              </w:rPr>
            </w:pPr>
            <w:r>
              <w:rPr>
                <w:rFonts w:ascii="宋体" w:hAnsi="宋体"/>
                <w:bCs/>
                <w:szCs w:val="21"/>
                <w:highlight w:val="none"/>
              </w:rPr>
            </w:r>
            <w:r/>
          </w:p>
        </w:tc>
        <w:tc>
          <w:tcPr>
            <w:tcW w:w="1577" w:type="dxa"/>
            <w:vAlign w:val="center"/>
            <w:textDirection w:val="lrTb"/>
            <w:noWrap w:val="false"/>
          </w:tcPr>
          <w:p>
            <w:pPr>
              <w:pStyle w:val="927"/>
              <w:jc w:val="center"/>
              <w:spacing w:line="360" w:lineRule="auto"/>
              <w:rPr>
                <w:rFonts w:ascii="宋体" w:hAnsi="宋体"/>
                <w:bCs/>
                <w:szCs w:val="21"/>
                <w:highlight w:val="none"/>
              </w:rPr>
            </w:pPr>
            <w:r>
              <w:rPr>
                <w:rFonts w:ascii="宋体" w:hAnsi="宋体"/>
                <w:bCs/>
                <w:szCs w:val="21"/>
                <w:highlight w:val="none"/>
              </w:rPr>
            </w:r>
            <w:r/>
          </w:p>
        </w:tc>
        <w:tc>
          <w:tcPr>
            <w:tcW w:w="1978" w:type="dxa"/>
            <w:vAlign w:val="center"/>
            <w:textDirection w:val="lrTb"/>
            <w:noWrap w:val="false"/>
          </w:tcPr>
          <w:p>
            <w:pPr>
              <w:pStyle w:val="927"/>
              <w:jc w:val="center"/>
              <w:spacing w:line="360" w:lineRule="auto"/>
              <w:rPr>
                <w:rFonts w:ascii="宋体" w:hAnsi="宋体"/>
                <w:bCs/>
                <w:szCs w:val="21"/>
                <w:highlight w:val="none"/>
              </w:rPr>
            </w:pPr>
            <w:r>
              <w:rPr>
                <w:rFonts w:ascii="宋体" w:hAnsi="宋体"/>
                <w:bCs/>
                <w:szCs w:val="21"/>
                <w:highlight w:val="none"/>
              </w:rPr>
            </w:r>
            <w:r/>
          </w:p>
        </w:tc>
        <w:tc>
          <w:tcPr>
            <w:tcW w:w="2229" w:type="dxa"/>
            <w:vAlign w:val="center"/>
            <w:textDirection w:val="lrTb"/>
            <w:noWrap w:val="false"/>
          </w:tcPr>
          <w:p>
            <w:pPr>
              <w:pStyle w:val="927"/>
              <w:jc w:val="center"/>
              <w:spacing w:line="360" w:lineRule="auto"/>
              <w:rPr>
                <w:rFonts w:ascii="宋体" w:hAnsi="宋体"/>
                <w:bCs/>
                <w:szCs w:val="21"/>
                <w:highlight w:val="none"/>
              </w:rPr>
            </w:pPr>
            <w:r>
              <w:rPr>
                <w:rFonts w:ascii="宋体" w:hAnsi="宋体"/>
                <w:bCs/>
                <w:szCs w:val="21"/>
                <w:highlight w:val="none"/>
              </w:rPr>
            </w:r>
            <w:r/>
          </w:p>
        </w:tc>
        <w:tc>
          <w:tcPr>
            <w:tcW w:w="1516" w:type="dxa"/>
            <w:vAlign w:val="center"/>
            <w:textDirection w:val="lrTb"/>
            <w:noWrap w:val="false"/>
          </w:tcPr>
          <w:p>
            <w:pPr>
              <w:pStyle w:val="927"/>
              <w:jc w:val="center"/>
              <w:spacing w:line="360" w:lineRule="auto"/>
              <w:rPr>
                <w:rFonts w:ascii="宋体" w:hAnsi="宋体"/>
                <w:bCs/>
                <w:szCs w:val="21"/>
                <w:highlight w:val="none"/>
              </w:rPr>
            </w:pPr>
            <w:r>
              <w:rPr>
                <w:rFonts w:ascii="宋体" w:hAnsi="宋体"/>
                <w:bCs/>
                <w:szCs w:val="21"/>
                <w:highlight w:val="none"/>
              </w:rPr>
            </w:r>
            <w:r/>
          </w:p>
        </w:tc>
      </w:tr>
      <w:tr>
        <w:trPr>
          <w:trHeight w:val="478"/>
        </w:trPr>
        <w:tc>
          <w:tcPr>
            <w:tcW w:w="959" w:type="dxa"/>
            <w:vAlign w:val="center"/>
            <w:textDirection w:val="lrTb"/>
            <w:noWrap w:val="false"/>
          </w:tcPr>
          <w:p>
            <w:pPr>
              <w:pStyle w:val="927"/>
              <w:jc w:val="center"/>
              <w:spacing w:line="360" w:lineRule="auto"/>
              <w:rPr>
                <w:rFonts w:hint="eastAsia" w:ascii="宋体" w:hAnsi="宋体"/>
                <w:bCs/>
                <w:szCs w:val="21"/>
                <w:highlight w:val="none"/>
              </w:rPr>
            </w:pPr>
            <w:r>
              <w:rPr>
                <w:rFonts w:hint="eastAsia" w:ascii="宋体" w:hAnsi="宋体"/>
                <w:bCs/>
                <w:szCs w:val="21"/>
                <w:highlight w:val="none"/>
              </w:rPr>
            </w:r>
            <w:r/>
          </w:p>
        </w:tc>
        <w:tc>
          <w:tcPr>
            <w:tcW w:w="1577" w:type="dxa"/>
            <w:vAlign w:val="center"/>
            <w:textDirection w:val="lrTb"/>
            <w:noWrap w:val="false"/>
          </w:tcPr>
          <w:p>
            <w:pPr>
              <w:pStyle w:val="927"/>
              <w:jc w:val="center"/>
              <w:spacing w:line="360" w:lineRule="auto"/>
              <w:rPr>
                <w:rFonts w:ascii="宋体" w:hAnsi="宋体"/>
                <w:bCs/>
                <w:szCs w:val="21"/>
                <w:highlight w:val="none"/>
              </w:rPr>
            </w:pPr>
            <w:r>
              <w:rPr>
                <w:rFonts w:ascii="宋体" w:hAnsi="宋体"/>
                <w:bCs/>
                <w:szCs w:val="21"/>
                <w:highlight w:val="none"/>
              </w:rPr>
            </w:r>
            <w:r/>
          </w:p>
        </w:tc>
        <w:tc>
          <w:tcPr>
            <w:tcW w:w="1978" w:type="dxa"/>
            <w:vAlign w:val="center"/>
            <w:textDirection w:val="lrTb"/>
            <w:noWrap w:val="false"/>
          </w:tcPr>
          <w:p>
            <w:pPr>
              <w:pStyle w:val="927"/>
              <w:jc w:val="center"/>
              <w:spacing w:line="360" w:lineRule="auto"/>
              <w:rPr>
                <w:rFonts w:ascii="宋体" w:hAnsi="宋体"/>
                <w:bCs/>
                <w:szCs w:val="21"/>
                <w:highlight w:val="none"/>
              </w:rPr>
            </w:pPr>
            <w:r>
              <w:rPr>
                <w:rFonts w:ascii="宋体" w:hAnsi="宋体"/>
                <w:bCs/>
                <w:szCs w:val="21"/>
                <w:highlight w:val="none"/>
              </w:rPr>
            </w:r>
            <w:r/>
          </w:p>
        </w:tc>
        <w:tc>
          <w:tcPr>
            <w:tcW w:w="2229" w:type="dxa"/>
            <w:vAlign w:val="center"/>
            <w:textDirection w:val="lrTb"/>
            <w:noWrap w:val="false"/>
          </w:tcPr>
          <w:p>
            <w:pPr>
              <w:pStyle w:val="927"/>
              <w:jc w:val="center"/>
              <w:spacing w:line="360" w:lineRule="auto"/>
              <w:rPr>
                <w:rFonts w:ascii="宋体" w:hAnsi="宋体"/>
                <w:bCs/>
                <w:szCs w:val="21"/>
                <w:highlight w:val="none"/>
              </w:rPr>
            </w:pPr>
            <w:r>
              <w:rPr>
                <w:rFonts w:ascii="宋体" w:hAnsi="宋体"/>
                <w:bCs/>
                <w:szCs w:val="21"/>
                <w:highlight w:val="none"/>
              </w:rPr>
            </w:r>
            <w:r/>
          </w:p>
        </w:tc>
        <w:tc>
          <w:tcPr>
            <w:tcW w:w="1516" w:type="dxa"/>
            <w:vAlign w:val="center"/>
            <w:textDirection w:val="lrTb"/>
            <w:noWrap w:val="false"/>
          </w:tcPr>
          <w:p>
            <w:pPr>
              <w:pStyle w:val="927"/>
              <w:jc w:val="center"/>
              <w:spacing w:line="360" w:lineRule="auto"/>
              <w:rPr>
                <w:rFonts w:ascii="宋体" w:hAnsi="宋体"/>
                <w:bCs/>
                <w:szCs w:val="21"/>
                <w:highlight w:val="none"/>
              </w:rPr>
            </w:pPr>
            <w:r>
              <w:rPr>
                <w:rFonts w:ascii="宋体" w:hAnsi="宋体"/>
                <w:bCs/>
                <w:szCs w:val="21"/>
                <w:highlight w:val="none"/>
              </w:rPr>
            </w:r>
            <w:r/>
          </w:p>
        </w:tc>
      </w:tr>
      <w:tr>
        <w:trPr>
          <w:trHeight w:val="495"/>
        </w:trPr>
        <w:tc>
          <w:tcPr>
            <w:tcW w:w="959" w:type="dxa"/>
            <w:vAlign w:val="center"/>
            <w:textDirection w:val="lrTb"/>
            <w:noWrap w:val="false"/>
          </w:tcPr>
          <w:p>
            <w:pPr>
              <w:pStyle w:val="927"/>
              <w:jc w:val="center"/>
              <w:spacing w:line="360" w:lineRule="auto"/>
              <w:rPr>
                <w:rFonts w:hint="eastAsia" w:ascii="宋体" w:hAnsi="宋体"/>
                <w:bCs/>
                <w:szCs w:val="21"/>
                <w:highlight w:val="none"/>
              </w:rPr>
            </w:pPr>
            <w:r>
              <w:rPr>
                <w:rFonts w:hint="eastAsia" w:ascii="宋体" w:hAnsi="宋体"/>
                <w:bCs/>
                <w:szCs w:val="21"/>
                <w:highlight w:val="none"/>
              </w:rPr>
            </w:r>
            <w:r/>
          </w:p>
        </w:tc>
        <w:tc>
          <w:tcPr>
            <w:tcW w:w="1577" w:type="dxa"/>
            <w:vAlign w:val="center"/>
            <w:textDirection w:val="lrTb"/>
            <w:noWrap w:val="false"/>
          </w:tcPr>
          <w:p>
            <w:pPr>
              <w:pStyle w:val="927"/>
              <w:jc w:val="center"/>
              <w:spacing w:line="360" w:lineRule="auto"/>
              <w:rPr>
                <w:rFonts w:ascii="宋体" w:hAnsi="宋体"/>
                <w:bCs/>
                <w:szCs w:val="21"/>
                <w:highlight w:val="none"/>
              </w:rPr>
            </w:pPr>
            <w:r>
              <w:rPr>
                <w:rFonts w:ascii="宋体" w:hAnsi="宋体"/>
                <w:bCs/>
                <w:szCs w:val="21"/>
                <w:highlight w:val="none"/>
              </w:rPr>
            </w:r>
            <w:r/>
          </w:p>
        </w:tc>
        <w:tc>
          <w:tcPr>
            <w:tcW w:w="1978" w:type="dxa"/>
            <w:vAlign w:val="center"/>
            <w:textDirection w:val="lrTb"/>
            <w:noWrap w:val="false"/>
          </w:tcPr>
          <w:p>
            <w:pPr>
              <w:pStyle w:val="927"/>
              <w:jc w:val="center"/>
              <w:spacing w:line="360" w:lineRule="auto"/>
              <w:rPr>
                <w:rFonts w:ascii="宋体" w:hAnsi="宋体"/>
                <w:bCs/>
                <w:szCs w:val="21"/>
                <w:highlight w:val="none"/>
              </w:rPr>
            </w:pPr>
            <w:r>
              <w:rPr>
                <w:rFonts w:ascii="宋体" w:hAnsi="宋体"/>
                <w:bCs/>
                <w:szCs w:val="21"/>
                <w:highlight w:val="none"/>
              </w:rPr>
            </w:r>
            <w:r/>
          </w:p>
        </w:tc>
        <w:tc>
          <w:tcPr>
            <w:tcW w:w="2229" w:type="dxa"/>
            <w:vAlign w:val="center"/>
            <w:textDirection w:val="lrTb"/>
            <w:noWrap w:val="false"/>
          </w:tcPr>
          <w:p>
            <w:pPr>
              <w:pStyle w:val="927"/>
              <w:jc w:val="center"/>
              <w:spacing w:line="360" w:lineRule="auto"/>
              <w:rPr>
                <w:rFonts w:ascii="宋体" w:hAnsi="宋体"/>
                <w:bCs/>
                <w:szCs w:val="21"/>
                <w:highlight w:val="none"/>
              </w:rPr>
            </w:pPr>
            <w:r>
              <w:rPr>
                <w:rFonts w:ascii="宋体" w:hAnsi="宋体"/>
                <w:bCs/>
                <w:szCs w:val="21"/>
                <w:highlight w:val="none"/>
              </w:rPr>
            </w:r>
            <w:r/>
          </w:p>
        </w:tc>
        <w:tc>
          <w:tcPr>
            <w:tcW w:w="1516" w:type="dxa"/>
            <w:vAlign w:val="center"/>
            <w:textDirection w:val="lrTb"/>
            <w:noWrap w:val="false"/>
          </w:tcPr>
          <w:p>
            <w:pPr>
              <w:pStyle w:val="927"/>
              <w:jc w:val="center"/>
              <w:spacing w:line="360" w:lineRule="auto"/>
              <w:rPr>
                <w:rFonts w:ascii="宋体" w:hAnsi="宋体"/>
                <w:bCs/>
                <w:szCs w:val="21"/>
                <w:highlight w:val="none"/>
              </w:rPr>
            </w:pPr>
            <w:r>
              <w:rPr>
                <w:rFonts w:ascii="宋体" w:hAnsi="宋体"/>
                <w:bCs/>
                <w:szCs w:val="21"/>
                <w:highlight w:val="none"/>
              </w:rPr>
            </w:r>
            <w:r/>
          </w:p>
        </w:tc>
      </w:tr>
    </w:tbl>
    <w:p>
      <w:pPr>
        <w:pStyle w:val="927"/>
        <w:spacing w:line="360" w:lineRule="auto"/>
        <w:rPr>
          <w:rFonts w:hint="eastAsia" w:ascii="宋体" w:hAnsi="宋体"/>
          <w:bCs/>
          <w:szCs w:val="21"/>
          <w:highlight w:val="none"/>
        </w:rPr>
      </w:pPr>
      <w:r>
        <w:rPr>
          <w:rFonts w:hint="eastAsia" w:ascii="宋体" w:hAnsi="宋体"/>
          <w:bCs/>
          <w:szCs w:val="21"/>
          <w:highlight w:val="none"/>
        </w:rPr>
      </w:r>
      <w:r/>
    </w:p>
    <w:p>
      <w:pPr>
        <w:pStyle w:val="927"/>
        <w:spacing w:line="360" w:lineRule="auto"/>
        <w:rPr>
          <w:rFonts w:hint="eastAsia" w:ascii="Arial" w:hAnsi="Arial" w:cs="Arial"/>
          <w:szCs w:val="21"/>
          <w:highlight w:val="none"/>
        </w:rPr>
      </w:pPr>
      <w:r>
        <w:rPr>
          <w:rFonts w:hint="eastAsia" w:ascii="Arial" w:hAnsi="Arial" w:cs="Arial"/>
          <w:szCs w:val="21"/>
          <w:highlight w:val="none"/>
        </w:rPr>
      </w:r>
      <w:r/>
    </w:p>
    <w:p>
      <w:pPr>
        <w:pStyle w:val="927"/>
        <w:spacing w:line="360" w:lineRule="auto"/>
        <w:rPr>
          <w:rFonts w:hint="eastAsia" w:ascii="Arial" w:hAnsi="Arial" w:cs="Arial"/>
          <w:szCs w:val="21"/>
          <w:highlight w:val="none"/>
        </w:rPr>
      </w:pPr>
      <w:r>
        <w:rPr>
          <w:rFonts w:hint="eastAsia" w:ascii="Arial" w:hAnsi="Arial" w:cs="Arial"/>
          <w:szCs w:val="21"/>
          <w:highlight w:val="none"/>
        </w:rPr>
        <w:t xml:space="preserve">投标人名称（盖章）：</w:t>
      </w:r>
      <w:r>
        <w:rPr>
          <w:rFonts w:hint="eastAsia" w:ascii="Arial" w:hAnsi="Arial" w:cs="Arial"/>
          <w:szCs w:val="21"/>
          <w:highlight w:val="none"/>
        </w:rPr>
      </w:r>
      <w:r/>
    </w:p>
    <w:p>
      <w:pPr>
        <w:pStyle w:val="927"/>
        <w:spacing w:line="360" w:lineRule="auto"/>
        <w:rPr>
          <w:rFonts w:hint="eastAsia" w:ascii="Arial" w:hAnsi="Arial" w:cs="Arial"/>
          <w:szCs w:val="21"/>
          <w:highlight w:val="none"/>
        </w:rPr>
      </w:pPr>
      <w:r>
        <w:rPr>
          <w:rFonts w:hint="eastAsia" w:ascii="Arial" w:hAnsi="Arial" w:cs="Arial"/>
          <w:szCs w:val="21"/>
          <w:highlight w:val="none"/>
        </w:rPr>
      </w:r>
      <w:r/>
    </w:p>
    <w:p>
      <w:pPr>
        <w:pStyle w:val="927"/>
        <w:spacing w:line="360" w:lineRule="auto"/>
        <w:rPr>
          <w:rFonts w:hint="eastAsia" w:ascii="Arial" w:hAnsi="Arial" w:cs="Arial"/>
          <w:szCs w:val="21"/>
          <w:highlight w:val="none"/>
        </w:rPr>
      </w:pPr>
      <w:r>
        <w:rPr>
          <w:rFonts w:hint="eastAsia" w:ascii="Arial" w:hAnsi="Arial" w:cs="Arial"/>
          <w:szCs w:val="21"/>
          <w:highlight w:val="none"/>
        </w:rPr>
        <w:t xml:space="preserve">法定代表人或法定代表人授权代表签字或盖章：</w:t>
      </w:r>
      <w:r>
        <w:rPr>
          <w:rFonts w:hint="eastAsia" w:ascii="Arial" w:hAnsi="Arial" w:cs="Arial"/>
          <w:szCs w:val="21"/>
          <w:highlight w:val="none"/>
        </w:rPr>
      </w:r>
      <w:r/>
    </w:p>
    <w:p>
      <w:pPr>
        <w:pStyle w:val="927"/>
        <w:spacing w:line="360" w:lineRule="auto"/>
        <w:rPr>
          <w:rFonts w:hint="eastAsia" w:ascii="Arial" w:hAnsi="Arial" w:cs="Arial"/>
          <w:szCs w:val="21"/>
          <w:highlight w:val="none"/>
        </w:rPr>
      </w:pPr>
      <w:r>
        <w:rPr>
          <w:rFonts w:hint="eastAsia" w:ascii="Arial" w:hAnsi="Arial" w:cs="Arial"/>
          <w:szCs w:val="21"/>
          <w:highlight w:val="none"/>
        </w:rPr>
      </w:r>
      <w:r/>
    </w:p>
    <w:p>
      <w:pPr>
        <w:pStyle w:val="927"/>
        <w:spacing w:line="360" w:lineRule="auto"/>
        <w:rPr>
          <w:rFonts w:hint="eastAsia" w:ascii="Arial" w:hAnsi="Arial" w:cs="Arial"/>
          <w:szCs w:val="21"/>
          <w:highlight w:val="none"/>
        </w:rPr>
      </w:pPr>
      <w:r>
        <w:rPr>
          <w:rFonts w:hint="eastAsia" w:ascii="Arial" w:hAnsi="Arial" w:cs="Arial"/>
          <w:szCs w:val="21"/>
          <w:highlight w:val="none"/>
        </w:rPr>
        <w:t xml:space="preserve">日期：</w:t>
      </w:r>
      <w:r>
        <w:rPr>
          <w:rFonts w:hint="eastAsia" w:ascii="Arial" w:hAnsi="Arial" w:cs="Arial"/>
          <w:szCs w:val="21"/>
          <w:highlight w:val="none"/>
        </w:rPr>
      </w:r>
      <w:r/>
    </w:p>
    <w:p>
      <w:pPr>
        <w:pStyle w:val="927"/>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27"/>
        <w:spacing w:line="440" w:lineRule="exact"/>
        <w:rPr>
          <w:rFonts w:hint="eastAsia" w:ascii="宋体" w:hAnsi="宋体" w:cs="宋体"/>
          <w:color w:val="000000"/>
          <w:szCs w:val="21"/>
          <w:highlight w:val="none"/>
        </w:rPr>
      </w:pPr>
      <w:r>
        <w:rPr>
          <w:rFonts w:hint="eastAsia" w:ascii="宋体" w:hAnsi="宋体" w:cs="宋体"/>
          <w:bCs/>
          <w:szCs w:val="21"/>
          <w:highlight w:val="none"/>
        </w:rPr>
        <w:t xml:space="preserve">注：</w:t>
      </w:r>
      <w:r>
        <w:rPr>
          <w:rFonts w:hint="eastAsia" w:ascii="宋体" w:hAnsi="宋体" w:cs="宋体"/>
          <w:color w:val="000000"/>
          <w:szCs w:val="21"/>
          <w:highlight w:val="none"/>
        </w:rPr>
        <w:t xml:space="preserve">1、</w:t>
      </w:r>
      <w:r>
        <w:rPr>
          <w:rFonts w:hint="eastAsia" w:ascii="宋体" w:hAnsi="宋体" w:cs="宋体"/>
          <w:szCs w:val="21"/>
          <w:highlight w:val="none"/>
        </w:rPr>
        <w:t xml:space="preserve">投标人应对招标文件《采购需求》一）、技术要求”的内容给予逐条响应，若漏项或不逐条应答视为负偏离。</w:t>
      </w:r>
      <w:r>
        <w:rPr>
          <w:rFonts w:hint="eastAsia" w:ascii="宋体" w:hAnsi="宋体" w:cs="宋体"/>
          <w:color w:val="000000"/>
          <w:szCs w:val="21"/>
          <w:highlight w:val="none"/>
        </w:rPr>
      </w:r>
      <w:r/>
    </w:p>
    <w:p>
      <w:pPr>
        <w:pStyle w:val="927"/>
        <w:ind w:firstLine="420"/>
        <w:spacing w:line="440" w:lineRule="exact"/>
        <w:rPr>
          <w:rFonts w:ascii="宋体" w:hAnsi="宋体" w:cs="宋体"/>
          <w:szCs w:val="21"/>
          <w:highlight w:val="none"/>
        </w:rPr>
      </w:pPr>
      <w:r>
        <w:rPr>
          <w:rFonts w:hint="eastAsia" w:ascii="宋体" w:hAnsi="宋体" w:cs="宋体"/>
          <w:szCs w:val="21"/>
          <w:highlight w:val="none"/>
        </w:rPr>
        <w:t xml:space="preserve">2、“偏离/响应”</w:t>
      </w:r>
      <w:r>
        <w:rPr>
          <w:rFonts w:hint="eastAsia" w:ascii="宋体" w:hAnsi="宋体" w:cs="宋体"/>
          <w:color w:val="000000"/>
          <w:szCs w:val="21"/>
          <w:highlight w:val="none"/>
        </w:rPr>
        <w:t xml:space="preserve">栏请注明”响应或无偏离/正偏离/负偏离，正偏离指供应商的响应高于招标文件要求，负偏离指供应商的响应低于招标文件要求。</w:t>
      </w:r>
      <w:r>
        <w:rPr>
          <w:rFonts w:ascii="宋体" w:hAnsi="宋体" w:cs="宋体"/>
          <w:szCs w:val="21"/>
          <w:highlight w:val="none"/>
        </w:rPr>
      </w:r>
      <w:r/>
    </w:p>
    <w:p>
      <w:pPr>
        <w:pStyle w:val="927"/>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3、如果行数不够，请自行增加。</w:t>
      </w:r>
      <w:r>
        <w:rPr>
          <w:rFonts w:hint="eastAsia" w:ascii="宋体" w:hAnsi="宋体" w:cs="宋体"/>
          <w:color w:val="000000"/>
          <w:szCs w:val="21"/>
          <w:highlight w:val="none"/>
        </w:rPr>
      </w:r>
      <w:r/>
    </w:p>
    <w:p>
      <w:pPr>
        <w:pStyle w:val="927"/>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927"/>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27"/>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27"/>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27"/>
        <w:rPr>
          <w:highlight w:val="none"/>
        </w:rPr>
      </w:pPr>
      <w:r>
        <w:rPr>
          <w:rFonts w:hint="eastAsia" w:ascii="宋体" w:hAnsi="宋体" w:cs="宋体"/>
          <w:b/>
          <w:sz w:val="24"/>
          <w:szCs w:val="24"/>
          <w:highlight w:val="none"/>
        </w:rPr>
        <w:t xml:space="preserve">（七）中小企业声明函（格式）：</w:t>
      </w:r>
      <w:r>
        <w:rPr>
          <w:highlight w:val="none"/>
        </w:rPr>
      </w:r>
      <w:r/>
    </w:p>
    <w:p>
      <w:pPr>
        <w:pStyle w:val="927"/>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r>
      <w:r/>
    </w:p>
    <w:p>
      <w:pPr>
        <w:pStyle w:val="927"/>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t xml:space="preserve">中小企业声明函（货物）</w:t>
      </w:r>
      <w:r>
        <w:rPr>
          <w:rFonts w:hint="eastAsia" w:ascii="宋体" w:hAnsi="宋体" w:cs="宋体"/>
          <w:b/>
          <w:sz w:val="36"/>
          <w:szCs w:val="28"/>
          <w:highlight w:val="none"/>
        </w:rPr>
      </w:r>
      <w:r/>
    </w:p>
    <w:p>
      <w:pPr>
        <w:pStyle w:val="92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pStyle w:val="927"/>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本公司（联合体）郑重声明，根据《政府采购促进中小企业发展管理办法》（财库﹝2020﹞46 号）的规定，本公司 （联合体）参加</w:t>
      </w:r>
      <w:r>
        <w:rPr>
          <w:rFonts w:hint="eastAsia" w:ascii="宋体" w:hAnsi="宋体" w:cs="宋体"/>
          <w:bCs/>
          <w:szCs w:val="21"/>
          <w:highlight w:val="none"/>
          <w:u w:val="single"/>
        </w:rPr>
        <w:t xml:space="preserve">（单位名称）</w:t>
      </w:r>
      <w:r>
        <w:rPr>
          <w:rFonts w:hint="eastAsia" w:ascii="宋体" w:hAnsi="宋体" w:cs="宋体"/>
          <w:bCs/>
          <w:szCs w:val="21"/>
          <w:highlight w:val="none"/>
        </w:rPr>
        <w:t xml:space="preserve">的</w:t>
      </w:r>
      <w:r>
        <w:rPr>
          <w:rFonts w:hint="eastAsia" w:ascii="宋体" w:hAnsi="宋体" w:cs="宋体"/>
          <w:bCs/>
          <w:szCs w:val="21"/>
          <w:highlight w:val="none"/>
          <w:u w:val="single"/>
        </w:rPr>
        <w:t xml:space="preserve">（项目名称）</w:t>
      </w:r>
      <w:r>
        <w:rPr>
          <w:rFonts w:hint="eastAsia" w:ascii="宋体" w:hAnsi="宋体" w:cs="宋体"/>
          <w:bCs/>
          <w:szCs w:val="21"/>
          <w:highlight w:val="none"/>
        </w:rPr>
        <w:t xml:space="preserve">采购活动，提供的货物全部由符合政策要求的中小企业制造。相关企业 （含联合体中的中小企业、签订分包意向协议的中小企业）的具体情况如下：</w:t>
      </w:r>
      <w:r>
        <w:rPr>
          <w:rFonts w:hint="eastAsia" w:ascii="宋体" w:hAnsi="宋体" w:cs="宋体"/>
          <w:bCs/>
          <w:szCs w:val="21"/>
          <w:highlight w:val="none"/>
        </w:rPr>
      </w:r>
      <w:r/>
    </w:p>
    <w:p>
      <w:pPr>
        <w:pStyle w:val="927"/>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 </w:t>
      </w:r>
      <w:r>
        <w:rPr>
          <w:rFonts w:hint="eastAsia" w:ascii="宋体" w:hAnsi="宋体" w:cs="宋体"/>
          <w:bCs/>
          <w:szCs w:val="21"/>
          <w:highlight w:val="none"/>
          <w:u w:val="single"/>
        </w:rPr>
        <w:t xml:space="preserve">（标的名称） </w:t>
      </w:r>
      <w:r>
        <w:rPr>
          <w:rFonts w:hint="eastAsia" w:ascii="宋体" w:hAnsi="宋体" w:cs="宋体"/>
          <w:bCs/>
          <w:szCs w:val="21"/>
          <w:highlight w:val="none"/>
        </w:rPr>
        <w:t xml:space="preserve">，属于</w:t>
      </w:r>
      <w:r>
        <w:rPr>
          <w:rFonts w:hint="eastAsia" w:ascii="宋体" w:hAnsi="宋体" w:cs="宋体"/>
          <w:bCs/>
          <w:szCs w:val="21"/>
          <w:highlight w:val="none"/>
          <w:u w:val="single"/>
        </w:rPr>
        <w:t xml:space="preserve">（采购文件中明确的所属行业） 行业</w:t>
      </w:r>
      <w:r>
        <w:rPr>
          <w:rFonts w:hint="eastAsia" w:ascii="宋体" w:hAnsi="宋体" w:cs="宋体"/>
          <w:bCs/>
          <w:szCs w:val="21"/>
          <w:highlight w:val="none"/>
        </w:rPr>
        <w:t xml:space="preserve">；制造商为</w:t>
      </w:r>
      <w:r>
        <w:rPr>
          <w:rFonts w:hint="eastAsia" w:ascii="宋体" w:hAnsi="宋体" w:cs="宋体"/>
          <w:bCs/>
          <w:szCs w:val="21"/>
          <w:highlight w:val="none"/>
          <w:u w:val="single"/>
        </w:rPr>
        <w:t xml:space="preserve">（企业名称）</w:t>
      </w:r>
      <w:r>
        <w:rPr>
          <w:rFonts w:hint="eastAsia" w:ascii="宋体" w:hAnsi="宋体" w:cs="宋体"/>
          <w:bCs/>
          <w:szCs w:val="21"/>
          <w:highlight w:val="none"/>
        </w:rPr>
        <w:t xml:space="preserve">，从业人员</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人，营业收入为</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万元，资产总额为</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万元，属于</w:t>
      </w:r>
      <w:r>
        <w:rPr>
          <w:rFonts w:hint="eastAsia" w:ascii="宋体" w:hAnsi="宋体" w:cs="宋体"/>
          <w:bCs/>
          <w:szCs w:val="21"/>
          <w:highlight w:val="none"/>
          <w:u w:val="single"/>
        </w:rPr>
        <w:t xml:space="preserve">（中型企业、小 型企业、微型企业）</w:t>
      </w:r>
      <w:r>
        <w:rPr>
          <w:rFonts w:hint="eastAsia" w:ascii="宋体" w:hAnsi="宋体" w:cs="宋体"/>
          <w:bCs/>
          <w:szCs w:val="21"/>
          <w:highlight w:val="none"/>
        </w:rPr>
        <w:t xml:space="preserve">；</w:t>
      </w:r>
      <w:r>
        <w:rPr>
          <w:rFonts w:hint="eastAsia" w:ascii="宋体" w:hAnsi="宋体" w:cs="宋体"/>
          <w:bCs/>
          <w:szCs w:val="21"/>
          <w:highlight w:val="none"/>
        </w:rPr>
      </w:r>
      <w:r/>
    </w:p>
    <w:p>
      <w:pPr>
        <w:pStyle w:val="927"/>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w:t>
      </w:r>
      <w:r>
        <w:rPr>
          <w:rFonts w:hint="eastAsia" w:ascii="宋体" w:hAnsi="宋体" w:cs="宋体"/>
          <w:bCs/>
          <w:szCs w:val="21"/>
          <w:highlight w:val="none"/>
          <w:u w:val="single"/>
        </w:rPr>
        <w:t xml:space="preserve"> （标的名称） </w:t>
      </w:r>
      <w:r>
        <w:rPr>
          <w:rFonts w:hint="eastAsia" w:ascii="宋体" w:hAnsi="宋体" w:cs="宋体"/>
          <w:bCs/>
          <w:szCs w:val="21"/>
          <w:highlight w:val="none"/>
        </w:rPr>
        <w:t xml:space="preserve">，属于</w:t>
      </w:r>
      <w:r>
        <w:rPr>
          <w:rFonts w:hint="eastAsia" w:ascii="宋体" w:hAnsi="宋体" w:cs="宋体"/>
          <w:bCs/>
          <w:szCs w:val="21"/>
          <w:highlight w:val="none"/>
          <w:u w:val="single"/>
        </w:rPr>
        <w:t xml:space="preserve">（采购文件中明确的所属行业） 行业</w:t>
      </w:r>
      <w:r>
        <w:rPr>
          <w:rFonts w:hint="eastAsia" w:ascii="宋体" w:hAnsi="宋体" w:cs="宋体"/>
          <w:bCs/>
          <w:szCs w:val="21"/>
          <w:highlight w:val="none"/>
        </w:rPr>
        <w:t xml:space="preserve">；制造商为</w:t>
      </w:r>
      <w:r>
        <w:rPr>
          <w:rFonts w:hint="eastAsia" w:ascii="宋体" w:hAnsi="宋体" w:cs="宋体"/>
          <w:bCs/>
          <w:szCs w:val="21"/>
          <w:highlight w:val="none"/>
          <w:u w:val="single"/>
        </w:rPr>
        <w:t xml:space="preserve">（企业名称）</w:t>
      </w:r>
      <w:r>
        <w:rPr>
          <w:rFonts w:hint="eastAsia" w:ascii="宋体" w:hAnsi="宋体" w:cs="宋体"/>
          <w:bCs/>
          <w:szCs w:val="21"/>
          <w:highlight w:val="none"/>
        </w:rPr>
        <w:t xml:space="preserve">，从业人员</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人，营业收入为</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万元，资产总额为</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万元，属于</w:t>
      </w:r>
      <w:r>
        <w:rPr>
          <w:rFonts w:hint="eastAsia" w:ascii="宋体" w:hAnsi="宋体" w:cs="宋体"/>
          <w:bCs/>
          <w:szCs w:val="21"/>
          <w:highlight w:val="none"/>
          <w:u w:val="single"/>
        </w:rPr>
        <w:t xml:space="preserve">（中型企业、小 型企业、微型企业）</w:t>
      </w:r>
      <w:r>
        <w:rPr>
          <w:rFonts w:hint="eastAsia" w:ascii="宋体" w:hAnsi="宋体" w:cs="宋体"/>
          <w:bCs/>
          <w:szCs w:val="21"/>
          <w:highlight w:val="none"/>
        </w:rPr>
        <w:t xml:space="preserve">；</w:t>
      </w:r>
      <w:r>
        <w:rPr>
          <w:rFonts w:hint="eastAsia" w:ascii="宋体" w:hAnsi="宋体" w:cs="宋体"/>
          <w:bCs/>
          <w:szCs w:val="21"/>
          <w:highlight w:val="none"/>
        </w:rPr>
      </w:r>
      <w:r/>
    </w:p>
    <w:p>
      <w:pPr>
        <w:pStyle w:val="927"/>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w:t>
      </w:r>
      <w:r>
        <w:rPr>
          <w:rFonts w:hint="eastAsia" w:ascii="宋体" w:hAnsi="宋体" w:cs="宋体"/>
          <w:bCs/>
          <w:szCs w:val="21"/>
          <w:highlight w:val="none"/>
        </w:rPr>
      </w:r>
      <w:r/>
    </w:p>
    <w:p>
      <w:pPr>
        <w:pStyle w:val="927"/>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hint="eastAsia" w:ascii="宋体" w:hAnsi="宋体" w:cs="宋体"/>
          <w:bCs/>
          <w:szCs w:val="21"/>
          <w:highlight w:val="none"/>
        </w:rPr>
      </w:r>
      <w:r/>
    </w:p>
    <w:p>
      <w:pPr>
        <w:pStyle w:val="927"/>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927"/>
        <w:ind w:firstLine="4200"/>
        <w:spacing w:line="360" w:lineRule="auto"/>
        <w:rPr>
          <w:rFonts w:hint="eastAsia" w:ascii="宋体" w:hAnsi="宋体" w:cs="宋体"/>
          <w:bCs/>
          <w:szCs w:val="21"/>
          <w:highlight w:val="none"/>
        </w:rPr>
      </w:pPr>
      <w:r>
        <w:rPr>
          <w:rFonts w:hint="eastAsia" w:ascii="宋体" w:hAnsi="宋体" w:cs="宋体"/>
          <w:bCs/>
          <w:szCs w:val="21"/>
          <w:highlight w:val="none"/>
        </w:rPr>
        <w:t xml:space="preserve">企业名称（盖章）：</w:t>
      </w:r>
      <w:r>
        <w:rPr>
          <w:rFonts w:hint="eastAsia" w:ascii="宋体" w:hAnsi="宋体" w:cs="宋体"/>
          <w:bCs/>
          <w:szCs w:val="21"/>
          <w:highlight w:val="none"/>
        </w:rPr>
      </w:r>
      <w:r/>
    </w:p>
    <w:p>
      <w:pPr>
        <w:pStyle w:val="927"/>
        <w:ind w:firstLine="4200"/>
        <w:spacing w:line="360" w:lineRule="auto"/>
        <w:rPr>
          <w:rFonts w:hint="eastAsia" w:ascii="宋体" w:hAnsi="宋体" w:cs="宋体"/>
          <w:bCs/>
          <w:szCs w:val="21"/>
          <w:highlight w:val="none"/>
        </w:rPr>
      </w:pPr>
      <w:r>
        <w:rPr>
          <w:rFonts w:hint="eastAsia" w:ascii="宋体" w:hAnsi="宋体" w:cs="宋体"/>
          <w:bCs/>
          <w:szCs w:val="21"/>
          <w:highlight w:val="none"/>
        </w:rPr>
        <w:t xml:space="preserve">日　　　　　　期：</w:t>
      </w:r>
      <w:r>
        <w:rPr>
          <w:rFonts w:hint="eastAsia" w:ascii="宋体" w:hAnsi="宋体" w:cs="宋体"/>
          <w:bCs/>
          <w:szCs w:val="21"/>
          <w:highlight w:val="none"/>
        </w:rPr>
      </w:r>
      <w:r/>
    </w:p>
    <w:p>
      <w:pPr>
        <w:pStyle w:val="927"/>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927"/>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927"/>
        <w:spacing w:line="360" w:lineRule="auto"/>
        <w:rPr>
          <w:rFonts w:hint="eastAsia" w:ascii="宋体" w:hAnsi="宋体" w:cs="宋体"/>
          <w:bCs/>
          <w:szCs w:val="21"/>
          <w:highlight w:val="none"/>
        </w:rPr>
      </w:pPr>
      <w:r>
        <w:rPr>
          <w:rFonts w:hint="eastAsia" w:ascii="宋体" w:hAnsi="宋体" w:cs="宋体"/>
          <w:bCs/>
          <w:szCs w:val="21"/>
          <w:highlight w:val="none"/>
        </w:rPr>
        <w:t xml:space="preserve">注：</w:t>
      </w:r>
      <w:r>
        <w:rPr>
          <w:rFonts w:hint="eastAsia" w:ascii="宋体" w:hAnsi="宋体" w:cs="宋体"/>
          <w:bCs/>
          <w:szCs w:val="21"/>
          <w:highlight w:val="none"/>
        </w:rPr>
      </w:r>
      <w:r/>
    </w:p>
    <w:p>
      <w:pPr>
        <w:pStyle w:val="927"/>
        <w:spacing w:line="360" w:lineRule="auto"/>
        <w:rPr>
          <w:rFonts w:hint="eastAsia" w:ascii="宋体" w:hAnsi="宋体" w:cs="宋体"/>
          <w:bCs/>
          <w:szCs w:val="21"/>
          <w:highlight w:val="none"/>
        </w:rPr>
      </w:pPr>
      <w:r>
        <w:rPr>
          <w:rFonts w:hint="eastAsia" w:ascii="宋体" w:hAnsi="宋体" w:cs="宋体"/>
          <w:bCs/>
          <w:szCs w:val="21"/>
          <w:highlight w:val="none"/>
        </w:rPr>
        <w:t xml:space="preserve">1.从业人员、营业收入、资产总额填报上一年度数据，无上一年度数据的新成立企业可不填报。</w:t>
      </w:r>
      <w:r>
        <w:rPr>
          <w:rFonts w:hint="eastAsia" w:ascii="宋体" w:hAnsi="宋体" w:cs="宋体"/>
          <w:bCs/>
          <w:szCs w:val="21"/>
          <w:highlight w:val="none"/>
        </w:rPr>
      </w:r>
      <w:r/>
    </w:p>
    <w:p>
      <w:pPr>
        <w:pStyle w:val="927"/>
        <w:spacing w:line="360" w:lineRule="auto"/>
        <w:rPr>
          <w:rFonts w:hint="eastAsia" w:ascii="宋体" w:hAnsi="宋体" w:cs="宋体"/>
          <w:bCs/>
          <w:szCs w:val="21"/>
          <w:highlight w:val="none"/>
        </w:rPr>
      </w:pPr>
      <w:r>
        <w:rPr>
          <w:rFonts w:hint="eastAsia" w:ascii="宋体" w:hAnsi="宋体" w:cs="宋体"/>
          <w:bCs/>
          <w:szCs w:val="21"/>
          <w:highlight w:val="none"/>
        </w:rPr>
        <w:t xml:space="preserve">2.在货物采购项目中，供应商提供的货物既有中小企业制造货物，也有大型企业制造或物的，不享受本办法规定的中小企业扶持政策。</w:t>
      </w:r>
      <w:r>
        <w:rPr>
          <w:rFonts w:hint="eastAsia" w:ascii="宋体" w:hAnsi="宋体" w:cs="宋体"/>
          <w:bCs/>
          <w:szCs w:val="21"/>
          <w:highlight w:val="none"/>
        </w:rPr>
      </w:r>
      <w:r/>
    </w:p>
    <w:p>
      <w:pPr>
        <w:pStyle w:val="927"/>
        <w:spacing w:line="360" w:lineRule="auto"/>
        <w:rPr>
          <w:rFonts w:hint="eastAsia" w:ascii="宋体" w:hAnsi="宋体" w:cs="宋体"/>
          <w:bCs/>
          <w:szCs w:val="21"/>
          <w:highlight w:val="none"/>
        </w:rPr>
      </w:pPr>
      <w:r>
        <w:rPr>
          <w:rFonts w:hint="eastAsia" w:ascii="宋体" w:hAnsi="宋体" w:cs="宋体"/>
          <w:bCs/>
          <w:szCs w:val="21"/>
          <w:highlight w:val="none"/>
        </w:rPr>
        <w:t xml:space="preserve">3. 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宋体" w:hAnsi="宋体" w:cs="宋体"/>
          <w:bCs/>
          <w:szCs w:val="21"/>
          <w:highlight w:val="none"/>
        </w:rPr>
      </w:r>
      <w:r/>
    </w:p>
    <w:p>
      <w:pPr>
        <w:pStyle w:val="927"/>
        <w:ind w:left="120"/>
        <w:spacing w:line="360" w:lineRule="auto"/>
        <w:rPr>
          <w:szCs w:val="21"/>
          <w:highlight w:val="none"/>
        </w:rPr>
      </w:pPr>
      <w:r>
        <w:rPr>
          <w:szCs w:val="21"/>
          <w:highlight w:val="none"/>
        </w:rPr>
        <w:br w:type="page" w:clear="all"/>
      </w:r>
      <w:r>
        <w:rPr>
          <w:rFonts w:hint="eastAsia" w:ascii="宋体" w:hAnsi="宋体" w:cs="宋体"/>
          <w:b/>
          <w:szCs w:val="21"/>
          <w:highlight w:val="none"/>
        </w:rPr>
        <w:t xml:space="preserve">（八）残疾人福利性单位声明函（格式）：</w:t>
      </w:r>
      <w:r>
        <w:rPr>
          <w:szCs w:val="21"/>
          <w:highlight w:val="none"/>
        </w:rPr>
      </w:r>
      <w:r/>
    </w:p>
    <w:p>
      <w:pPr>
        <w:pStyle w:val="927"/>
        <w:spacing w:line="588" w:lineRule="exact"/>
        <w:rPr>
          <w:rFonts w:hint="eastAsia" w:ascii="仿宋_GB2312" w:eastAsia="仿宋_GB2312"/>
          <w:b/>
          <w:spacing w:val="6"/>
          <w:sz w:val="30"/>
          <w:szCs w:val="30"/>
          <w:highlight w:val="none"/>
        </w:rPr>
      </w:pPr>
      <w:r>
        <w:rPr>
          <w:rFonts w:hint="eastAsia" w:ascii="仿宋_GB2312" w:eastAsia="仿宋_GB2312"/>
          <w:b/>
          <w:spacing w:val="6"/>
          <w:sz w:val="30"/>
          <w:szCs w:val="30"/>
          <w:highlight w:val="none"/>
        </w:rPr>
      </w:r>
      <w:r/>
    </w:p>
    <w:p>
      <w:pPr>
        <w:pStyle w:val="927"/>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t xml:space="preserve">残疾人福利性单位声明函</w:t>
      </w:r>
      <w:r>
        <w:rPr>
          <w:rFonts w:hint="eastAsia" w:ascii="宋体" w:hAnsi="宋体" w:cs="宋体"/>
          <w:b/>
          <w:sz w:val="36"/>
          <w:szCs w:val="28"/>
          <w:highlight w:val="none"/>
        </w:rPr>
      </w:r>
      <w:r/>
    </w:p>
    <w:p>
      <w:pPr>
        <w:pStyle w:val="927"/>
        <w:ind w:firstLine="480"/>
        <w:spacing w:line="580" w:lineRule="exact"/>
        <w:rPr>
          <w:rFonts w:hint="eastAsia" w:ascii="宋体" w:hAnsi="宋体"/>
          <w:bCs/>
          <w:sz w:val="24"/>
          <w:szCs w:val="24"/>
          <w:highlight w:val="none"/>
        </w:rPr>
      </w:pPr>
      <w:r>
        <w:rPr>
          <w:rFonts w:hint="eastAsia" w:ascii="宋体" w:hAnsi="宋体"/>
          <w:bCs/>
          <w:sz w:val="24"/>
          <w:szCs w:val="24"/>
          <w:highlight w:val="none"/>
        </w:rPr>
      </w:r>
      <w:r/>
    </w:p>
    <w:p>
      <w:pPr>
        <w:pStyle w:val="927"/>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cs="宋体"/>
          <w:bCs/>
          <w:szCs w:val="21"/>
          <w:highlight w:val="none"/>
          <w:u w:val="single"/>
        </w:rPr>
        <w:t xml:space="preserve">             项目</w:t>
      </w:r>
      <w:r>
        <w:rPr>
          <w:rFonts w:hint="eastAsia" w:ascii="宋体" w:hAnsi="宋体" w:cs="宋体"/>
          <w:bCs/>
          <w:szCs w:val="21"/>
          <w:highlight w:val="none"/>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cs="宋体"/>
          <w:bCs/>
          <w:szCs w:val="21"/>
          <w:highlight w:val="none"/>
        </w:rPr>
      </w:r>
      <w:r/>
    </w:p>
    <w:p>
      <w:pPr>
        <w:pStyle w:val="927"/>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本单位对上述声明的真实性负责。如有虚假，将依法承担相应责任。</w:t>
      </w:r>
      <w:r>
        <w:rPr>
          <w:rFonts w:hint="eastAsia" w:ascii="宋体" w:hAnsi="宋体" w:cs="宋体"/>
          <w:bCs/>
          <w:szCs w:val="21"/>
          <w:highlight w:val="none"/>
        </w:rPr>
      </w:r>
      <w:r/>
    </w:p>
    <w:p>
      <w:pPr>
        <w:pStyle w:val="927"/>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927"/>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927"/>
        <w:ind w:firstLine="3990"/>
        <w:spacing w:line="360" w:lineRule="auto"/>
        <w:rPr>
          <w:rFonts w:hint="eastAsia" w:ascii="宋体" w:hAnsi="宋体" w:cs="宋体"/>
          <w:bCs/>
          <w:szCs w:val="21"/>
          <w:highlight w:val="none"/>
        </w:rPr>
      </w:pPr>
      <w:r>
        <w:rPr>
          <w:rFonts w:hint="eastAsia" w:ascii="宋体" w:hAnsi="宋体" w:cs="宋体"/>
          <w:bCs/>
          <w:szCs w:val="21"/>
          <w:highlight w:val="none"/>
        </w:rPr>
        <w:t xml:space="preserve">单位名称（盖章）：</w:t>
      </w:r>
      <w:r>
        <w:rPr>
          <w:rFonts w:hint="eastAsia" w:ascii="宋体" w:hAnsi="宋体" w:cs="宋体"/>
          <w:bCs/>
          <w:szCs w:val="21"/>
          <w:highlight w:val="none"/>
        </w:rPr>
      </w:r>
      <w:r/>
    </w:p>
    <w:p>
      <w:pPr>
        <w:pStyle w:val="927"/>
        <w:ind w:firstLine="3990"/>
        <w:spacing w:line="360" w:lineRule="auto"/>
        <w:rPr>
          <w:rFonts w:hint="eastAsia" w:ascii="宋体" w:hAnsi="宋体" w:cs="宋体"/>
          <w:bCs/>
          <w:szCs w:val="21"/>
          <w:highlight w:val="none"/>
        </w:rPr>
      </w:pPr>
      <w:r>
        <w:rPr>
          <w:rFonts w:hint="eastAsia" w:ascii="宋体" w:hAnsi="宋体" w:cs="宋体"/>
          <w:bCs/>
          <w:szCs w:val="21"/>
          <w:highlight w:val="none"/>
        </w:rPr>
        <w:t xml:space="preserve">日  期：</w:t>
      </w:r>
      <w:r>
        <w:rPr>
          <w:rFonts w:hint="eastAsia" w:ascii="宋体" w:hAnsi="宋体" w:cs="宋体"/>
          <w:bCs/>
          <w:szCs w:val="21"/>
          <w:highlight w:val="none"/>
        </w:rPr>
      </w:r>
      <w:r/>
    </w:p>
    <w:p>
      <w:pPr>
        <w:pStyle w:val="927"/>
        <w:ind w:left="120"/>
        <w:jc w:val="left"/>
        <w:spacing w:line="360" w:lineRule="auto"/>
        <w:rPr>
          <w:rFonts w:hint="eastAsia"/>
          <w:b/>
          <w:bCs/>
          <w:color w:val="000000"/>
          <w:szCs w:val="21"/>
          <w:highlight w:val="none"/>
        </w:rPr>
        <w:outlineLvl w:val="9"/>
      </w:pPr>
      <w:r>
        <w:rPr>
          <w:rFonts w:hint="eastAsia" w:ascii="宋体" w:hAnsi="宋体" w:cs="宋体"/>
          <w:bCs/>
          <w:szCs w:val="21"/>
          <w:highlight w:val="none"/>
        </w:rPr>
        <w:br w:type="page" w:clear="all"/>
      </w:r>
      <w:r>
        <w:rPr>
          <w:rFonts w:hint="eastAsia" w:ascii="宋体" w:hAnsi="宋体" w:eastAsia="宋体" w:cs="宋体"/>
          <w:b/>
          <w:bCs w:val="0"/>
          <w:szCs w:val="21"/>
          <w:highlight w:val="none"/>
          <w:lang w:eastAsia="zh-CN"/>
        </w:rPr>
        <w:t xml:space="preserve">（</w:t>
      </w:r>
      <w:r>
        <w:rPr>
          <w:rFonts w:hint="eastAsia" w:ascii="宋体" w:hAnsi="宋体" w:eastAsia="宋体" w:cs="宋体"/>
          <w:b/>
          <w:bCs w:val="0"/>
          <w:szCs w:val="21"/>
          <w:highlight w:val="none"/>
          <w:lang w:val="en-US" w:eastAsia="zh-CN"/>
        </w:rPr>
        <w:t xml:space="preserve">九</w:t>
      </w:r>
      <w:r>
        <w:rPr>
          <w:rFonts w:hint="eastAsia" w:ascii="宋体" w:hAnsi="宋体" w:eastAsia="宋体" w:cs="宋体"/>
          <w:b/>
          <w:bCs w:val="0"/>
          <w:szCs w:val="21"/>
          <w:highlight w:val="none"/>
          <w:lang w:eastAsia="zh-CN"/>
        </w:rPr>
        <w:t xml:space="preserve">）</w:t>
      </w:r>
      <w:r>
        <w:rPr>
          <w:rFonts w:hint="eastAsia" w:ascii="宋体" w:hAnsi="宋体" w:eastAsia="宋体" w:cs="宋体"/>
          <w:b/>
          <w:bCs w:val="0"/>
          <w:color w:val="000000"/>
          <w:szCs w:val="21"/>
          <w:highlight w:val="none"/>
        </w:rPr>
        <w:t xml:space="preserve">采购本国产品的支持政策</w:t>
      </w:r>
      <w:r>
        <w:rPr>
          <w:rFonts w:hint="eastAsia"/>
          <w:b/>
          <w:bCs/>
          <w:color w:val="000000"/>
          <w:szCs w:val="21"/>
          <w:highlight w:val="none"/>
        </w:rPr>
      </w:r>
      <w:r/>
    </w:p>
    <w:p>
      <w:pPr>
        <w:pStyle w:val="927"/>
        <w:jc w:val="center"/>
        <w:keepLines/>
        <w:keepNext/>
        <w:spacing w:line="360" w:lineRule="auto"/>
        <w:rPr>
          <w:rFonts w:hint="eastAsia" w:ascii="宋体" w:hAnsi="宋体" w:cs="宋体"/>
          <w:b/>
          <w:color w:val="ff0000"/>
          <w:sz w:val="24"/>
          <w:highlight w:val="none"/>
        </w:rPr>
      </w:pPr>
      <w:r>
        <w:rPr>
          <w:rFonts w:hint="eastAsia" w:ascii="宋体" w:hAnsi="宋体" w:cs="宋体"/>
          <w:b/>
          <w:color w:val="ff0000"/>
          <w:sz w:val="24"/>
          <w:highlight w:val="none"/>
        </w:rPr>
      </w:r>
      <w:r/>
    </w:p>
    <w:p>
      <w:pPr>
        <w:pStyle w:val="927"/>
        <w:jc w:val="center"/>
        <w:keepLines/>
        <w:keepNext/>
        <w:spacing w:line="360" w:lineRule="auto"/>
        <w:rPr>
          <w:rFonts w:hint="eastAsia" w:ascii="宋体" w:hAnsi="宋体" w:cs="宋体"/>
          <w:b/>
          <w:sz w:val="24"/>
          <w:highlight w:val="none"/>
        </w:rPr>
      </w:pPr>
      <w:r/>
      <w:bookmarkStart w:id="118" w:name="_Toc3682"/>
      <w:r/>
      <w:bookmarkStart w:id="119" w:name="_Toc24678"/>
      <w:r/>
      <w:bookmarkStart w:id="120" w:name="_Toc14535"/>
      <w:r/>
      <w:bookmarkStart w:id="121" w:name="_Toc30239"/>
      <w:r>
        <w:rPr>
          <w:rFonts w:hint="eastAsia" w:ascii="宋体" w:hAnsi="宋体" w:cs="宋体"/>
          <w:b/>
          <w:sz w:val="24"/>
          <w:highlight w:val="none"/>
        </w:rPr>
        <w:t xml:space="preserve">关于符合本国产品标准的声明函</w:t>
      </w:r>
      <w:bookmarkEnd w:id="118"/>
      <w:r/>
      <w:bookmarkEnd w:id="119"/>
      <w:r>
        <w:rPr>
          <w:rFonts w:hint="eastAsia"/>
          <w:b/>
          <w:bCs/>
          <w:color w:val="ff0000"/>
          <w:sz w:val="22"/>
          <w:szCs w:val="22"/>
          <w:highlight w:val="none"/>
          <w:shd w:val="clear" w:color="auto" w:fill="ffffff"/>
        </w:rPr>
        <w:t xml:space="preserve">（依据所投分包情况选择）</w:t>
      </w:r>
      <w:bookmarkEnd w:id="120"/>
      <w:r/>
      <w:bookmarkEnd w:id="121"/>
      <w:r>
        <w:rPr>
          <w:rFonts w:hint="eastAsia" w:ascii="宋体" w:hAnsi="宋体" w:cs="宋体"/>
          <w:b/>
          <w:sz w:val="24"/>
          <w:highlight w:val="none"/>
        </w:rPr>
      </w:r>
      <w:r/>
    </w:p>
    <w:p>
      <w:pPr>
        <w:pStyle w:val="927"/>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szCs w:val="21"/>
          <w:highlight w:val="none"/>
        </w:rPr>
      </w:r>
      <w:r/>
    </w:p>
    <w:p>
      <w:pPr>
        <w:pStyle w:val="927"/>
        <w:ind w:firstLine="420"/>
        <w:jc w:val="left"/>
        <w:spacing w:before="30" w:after="30" w:line="360" w:lineRule="auto"/>
        <w:widowControl/>
        <w:rPr>
          <w:rFonts w:hint="eastAsia" w:ascii="宋体" w:hAnsi="宋体" w:cs="宋体"/>
          <w:szCs w:val="21"/>
          <w:highlight w:val="none"/>
        </w:rPr>
      </w:pPr>
      <w:r>
        <w:rPr>
          <w:rFonts w:hint="eastAsia" w:ascii="宋体" w:hAnsi="宋体" w:cs="宋体"/>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-66039</wp:posOffset>
                </wp:positionH>
                <wp:positionV relativeFrom="paragraph">
                  <wp:posOffset>596900</wp:posOffset>
                </wp:positionV>
                <wp:extent cx="424815" cy="11239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5;o:allowoverlap:true;o:allowincell:true;mso-position-horizontal-relative:text;margin-left:-5.2pt;mso-position-horizontal:absolute;mso-position-vertical-relative:text;margin-top:47.0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2877185</wp:posOffset>
                </wp:positionH>
                <wp:positionV relativeFrom="paragraph">
                  <wp:posOffset>359410</wp:posOffset>
                </wp:positionV>
                <wp:extent cx="603250" cy="1016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5;o:allowoverlap:true;o:allowincell:true;mso-position-horizontal-relative:text;margin-left:226.5pt;mso-position-horizontal:absolute;mso-position-vertical-relative:text;margin-top:28.3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1738630</wp:posOffset>
                </wp:positionH>
                <wp:positionV relativeFrom="paragraph">
                  <wp:posOffset>330200</wp:posOffset>
                </wp:positionV>
                <wp:extent cx="739140" cy="13462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2;o:allowoverlap:true;o:allowincell:true;mso-position-horizontal-relative:text;margin-left:136.9pt;mso-position-horizontal:absolute;mso-position-vertical-relative:text;margin-top:26.0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908685</wp:posOffset>
                </wp:positionH>
                <wp:positionV relativeFrom="paragraph">
                  <wp:posOffset>335915</wp:posOffset>
                </wp:positionV>
                <wp:extent cx="364490" cy="977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0" o:spid="_x0000_s10" style="position:absolute;z-index:251658251;o:allowoverlap:true;o:allowincell:true;mso-position-horizontal-relative:text;margin-left:71.5pt;mso-position-horizontal:absolute;mso-position-vertical-relative:text;margin-top:26.4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3877945</wp:posOffset>
                </wp:positionH>
                <wp:positionV relativeFrom="paragraph">
                  <wp:posOffset>31115</wp:posOffset>
                </wp:positionV>
                <wp:extent cx="577215" cy="9207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0;o:allowoverlap:true;o:allowincell:true;mso-position-horizontal-relative:text;margin-left:305.3pt;mso-position-horizontal:absolute;mso-position-vertical-relative:text;margin-top:2.4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4613275</wp:posOffset>
                </wp:positionH>
                <wp:positionV relativeFrom="paragraph">
                  <wp:posOffset>346710</wp:posOffset>
                </wp:positionV>
                <wp:extent cx="771525" cy="9715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6;o:allowoverlap:true;o:allowincell:true;mso-position-horizontal-relative:text;margin-left:363.2pt;mso-position-horizontal:absolute;mso-position-vertical-relative:text;margin-top:27.3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highlight w:val="none"/>
          <w:shd w:val="clear" w:color="auto" w:fill="ffffff"/>
        </w:rPr>
        <w:t xml:space="preserve">1.</w:t>
      </w:r>
      <w:r>
        <w:rPr>
          <w:rStyle w:val="986"/>
          <w:rFonts w:hint="eastAsia" w:ascii="宋体" w:hAnsi="宋体" w:cs="宋体"/>
          <w:i w:val="0"/>
          <w:szCs w:val="21"/>
          <w:highlight w:val="none"/>
          <w:u w:val="single"/>
          <w:shd w:val="clear" w:color="auto" w:fill="ffffff"/>
        </w:rPr>
        <w:t xml:space="preserve">（    ）</w:t>
      </w:r>
      <w:r>
        <w:rPr>
          <w:rStyle w:val="986"/>
          <w:rFonts w:hint="eastAsia" w:ascii="宋体" w:hAnsi="宋体" w:cs="宋体"/>
          <w:i w:val="0"/>
          <w:szCs w:val="21"/>
          <w:highlight w:val="none"/>
          <w:shd w:val="clear" w:color="auto" w:fill="ffffff"/>
          <w:vertAlign w:val="superscript"/>
        </w:rPr>
        <w:t xml:space="preserve">1</w:t>
      </w:r>
      <w:r>
        <w:rPr>
          <w:rFonts w:hint="eastAsia" w:ascii="宋体" w:hAnsi="宋体" w:cs="宋体"/>
          <w:szCs w:val="21"/>
          <w:highlight w:val="none"/>
          <w:shd w:val="clear" w:color="auto" w:fill="ffffff"/>
        </w:rPr>
        <w:t xml:space="preserve">，生产厂为</w:t>
      </w:r>
      <w:r>
        <w:rPr>
          <w:rStyle w:val="986"/>
          <w:rFonts w:hint="eastAsia" w:ascii="宋体" w:hAnsi="宋体" w:cs="宋体"/>
          <w:i w:val="0"/>
          <w:szCs w:val="21"/>
          <w:highlight w:val="none"/>
          <w:u w:val="single"/>
          <w:shd w:val="clear" w:color="auto" w:fill="ffffff"/>
        </w:rPr>
        <w:t xml:space="preserve">（厂名）</w:t>
      </w:r>
      <w:r>
        <w:rPr>
          <w:rStyle w:val="986"/>
          <w:rFonts w:hint="eastAsia" w:ascii="宋体" w:hAnsi="宋体" w:cs="宋体"/>
          <w:i w:val="0"/>
          <w:szCs w:val="21"/>
          <w:highlight w:val="none"/>
          <w:shd w:val="clear" w:color="auto" w:fill="ffffff"/>
          <w:vertAlign w:val="superscript"/>
        </w:rPr>
        <w:t xml:space="preserve">2</w:t>
      </w:r>
      <w:r>
        <w:rPr>
          <w:rFonts w:hint="eastAsia" w:ascii="宋体" w:hAnsi="宋体" w:cs="宋体"/>
          <w:szCs w:val="21"/>
          <w:highlight w:val="none"/>
          <w:shd w:val="clear" w:color="auto" w:fill="ffffff"/>
        </w:rPr>
        <w:t xml:space="preserve">，厂址为</w:t>
      </w:r>
      <w:r>
        <w:rPr>
          <w:rStyle w:val="986"/>
          <w:rFonts w:hint="eastAsia" w:ascii="宋体" w:hAnsi="宋体" w:cs="宋体"/>
          <w:i w:val="0"/>
          <w:szCs w:val="21"/>
          <w:highlight w:val="none"/>
          <w:u w:val="single"/>
          <w:shd w:val="clear" w:color="auto" w:fill="ffffff"/>
        </w:rPr>
        <w:t xml:space="preserve">（生产厂址）</w:t>
      </w:r>
      <w:r>
        <w:rPr>
          <w:rFonts w:hint="eastAsia" w:ascii="宋体" w:hAnsi="宋体" w:cs="宋体"/>
          <w:szCs w:val="21"/>
          <w:highlight w:val="none"/>
          <w:shd w:val="clear" w:color="auto" w:fill="ffffff"/>
        </w:rPr>
        <w:t xml:space="preserve">。</w:t>
      </w:r>
      <w:r>
        <w:rPr>
          <w:rFonts w:hint="eastAsia" w:ascii="宋体" w:hAnsi="宋体" w:cs="宋体"/>
          <w:szCs w:val="21"/>
          <w:highlight w:val="none"/>
          <w:u w:val="single"/>
          <w:shd w:val="clear" w:color="auto" w:fill="ffffff"/>
        </w:rPr>
        <w:t xml:space="preserve"> </w:t>
      </w:r>
      <w:r>
        <w:rPr>
          <w:rStyle w:val="986"/>
          <w:rFonts w:hint="eastAsia" w:ascii="宋体" w:hAnsi="宋体" w:cs="宋体"/>
          <w:i w:val="0"/>
          <w:szCs w:val="21"/>
          <w:highlight w:val="none"/>
          <w:u w:val="single"/>
          <w:shd w:val="clear" w:color="auto" w:fill="ffffff"/>
        </w:rPr>
        <w:t xml:space="preserve">（产品名称1） </w:t>
      </w:r>
      <w:r>
        <w:rPr>
          <w:rFonts w:hint="eastAsia" w:ascii="宋体" w:hAnsi="宋体" w:cs="宋体"/>
          <w:szCs w:val="21"/>
          <w:highlight w:val="none"/>
          <w:shd w:val="clear" w:color="auto" w:fill="ffffff"/>
        </w:rPr>
        <w:t xml:space="preserve">的中国境内生产的组件成本占比≥</w:t>
      </w:r>
      <w:r>
        <w:rPr>
          <w:rStyle w:val="986"/>
          <w:rFonts w:hint="eastAsia" w:ascii="宋体" w:hAnsi="宋体" w:cs="宋体"/>
          <w:i w:val="0"/>
          <w:szCs w:val="21"/>
          <w:highlight w:val="none"/>
          <w:u w:val="single"/>
          <w:shd w:val="clear" w:color="auto" w:fill="ffffff"/>
        </w:rPr>
        <w:t xml:space="preserve">（规定比例）</w:t>
      </w:r>
      <w:r>
        <w:rPr>
          <w:rStyle w:val="986"/>
          <w:rFonts w:hint="eastAsia" w:ascii="宋体" w:hAnsi="宋体" w:cs="宋体"/>
          <w:i w:val="0"/>
          <w:szCs w:val="21"/>
          <w:highlight w:val="none"/>
          <w:shd w:val="clear" w:color="auto" w:fill="ffffff"/>
          <w:vertAlign w:val="superscript"/>
        </w:rPr>
        <w:t xml:space="preserve">3</w:t>
      </w:r>
      <w:r>
        <w:rPr>
          <w:rFonts w:hint="eastAsia" w:ascii="宋体" w:hAnsi="宋体" w:cs="宋体"/>
          <w:szCs w:val="21"/>
          <w:highlight w:val="none"/>
          <w:shd w:val="clear" w:color="auto" w:fill="ffffff"/>
        </w:rPr>
        <w:t xml:space="preserve">。</w:t>
      </w:r>
      <w:r>
        <w:rPr>
          <w:rStyle w:val="986"/>
          <w:rFonts w:hint="eastAsia" w:ascii="宋体" w:hAnsi="宋体" w:cs="宋体"/>
          <w:i w:val="0"/>
          <w:szCs w:val="21"/>
          <w:highlight w:val="none"/>
          <w:u w:val="single"/>
          <w:shd w:val="clear" w:color="auto" w:fill="ffffff"/>
        </w:rPr>
        <w:t xml:space="preserve">（产品名称1）</w:t>
      </w:r>
      <w:r>
        <w:rPr>
          <w:rFonts w:hint="eastAsia" w:ascii="宋体" w:hAnsi="宋体" w:cs="宋体"/>
          <w:szCs w:val="21"/>
          <w:highlight w:val="none"/>
          <w:shd w:val="clear" w:color="auto" w:fill="ffffff"/>
        </w:rPr>
        <w:t xml:space="preserve">的</w:t>
      </w:r>
      <w:r>
        <w:rPr>
          <w:rStyle w:val="986"/>
          <w:rFonts w:hint="eastAsia" w:ascii="宋体" w:hAnsi="宋体" w:cs="宋体"/>
          <w:i w:val="0"/>
          <w:szCs w:val="21"/>
          <w:highlight w:val="none"/>
          <w:u w:val="single"/>
          <w:shd w:val="clear" w:color="auto" w:fill="ffffff"/>
        </w:rPr>
        <w:t xml:space="preserve">（关键组件）</w:t>
      </w:r>
      <w:r>
        <w:rPr>
          <w:rStyle w:val="986"/>
          <w:rFonts w:hint="eastAsia" w:ascii="宋体" w:hAnsi="宋体" w:cs="宋体"/>
          <w:i w:val="0"/>
          <w:szCs w:val="21"/>
          <w:highlight w:val="none"/>
          <w:shd w:val="clear" w:color="auto" w:fill="ffffff"/>
          <w:vertAlign w:val="superscript"/>
        </w:rPr>
        <w:t xml:space="preserve">4</w:t>
      </w:r>
      <w:r>
        <w:rPr>
          <w:rFonts w:hint="eastAsia" w:ascii="宋体" w:hAnsi="宋体" w:cs="宋体"/>
          <w:szCs w:val="21"/>
          <w:highlight w:val="none"/>
          <w:shd w:val="clear" w:color="auto" w:fill="ffffff"/>
        </w:rPr>
        <w:t xml:space="preserve">在中国境内生产。</w:t>
      </w:r>
      <w:r>
        <w:rPr>
          <w:rStyle w:val="986"/>
          <w:rFonts w:hint="eastAsia" w:ascii="宋体" w:hAnsi="宋体" w:cs="宋体"/>
          <w:i w:val="0"/>
          <w:szCs w:val="21"/>
          <w:highlight w:val="none"/>
          <w:u w:val="single"/>
          <w:shd w:val="clear" w:color="auto" w:fill="ffffff"/>
        </w:rPr>
        <w:t xml:space="preserve">（产品名称1）</w:t>
      </w:r>
      <w:r>
        <w:rPr>
          <w:rFonts w:hint="eastAsia" w:ascii="宋体" w:hAnsi="宋体" w:cs="宋体"/>
          <w:szCs w:val="21"/>
          <w:highlight w:val="none"/>
          <w:shd w:val="clear" w:color="auto" w:fill="ffffff"/>
        </w:rPr>
        <w:t xml:space="preserve">的</w:t>
      </w:r>
      <w:r>
        <w:rPr>
          <w:rStyle w:val="986"/>
          <w:rFonts w:hint="eastAsia" w:ascii="宋体" w:hAnsi="宋体" w:cs="宋体"/>
          <w:i w:val="0"/>
          <w:szCs w:val="21"/>
          <w:highlight w:val="none"/>
          <w:u w:val="single"/>
          <w:shd w:val="clear" w:color="auto" w:fill="ffffff"/>
        </w:rPr>
        <w:t xml:space="preserve">（关键工序）</w:t>
      </w:r>
      <w:r>
        <w:rPr>
          <w:rStyle w:val="986"/>
          <w:rFonts w:hint="eastAsia" w:ascii="宋体" w:hAnsi="宋体" w:cs="宋体"/>
          <w:i w:val="0"/>
          <w:szCs w:val="21"/>
          <w:highlight w:val="none"/>
          <w:shd w:val="clear" w:color="auto" w:fill="ffffff"/>
          <w:vertAlign w:val="superscript"/>
        </w:rPr>
        <w:t xml:space="preserve">5</w:t>
      </w:r>
      <w:r>
        <w:rPr>
          <w:rFonts w:hint="eastAsia" w:ascii="宋体" w:hAnsi="宋体" w:cs="宋体"/>
          <w:szCs w:val="21"/>
          <w:highlight w:val="none"/>
          <w:shd w:val="clear" w:color="auto" w:fill="ffffff"/>
        </w:rPr>
        <w:t xml:space="preserve">在中国境内完成。</w:t>
      </w:r>
      <w:r>
        <w:rPr>
          <w:rFonts w:hint="eastAsia" w:ascii="宋体" w:hAnsi="宋体" w:cs="宋体"/>
          <w:szCs w:val="21"/>
          <w:highlight w:val="none"/>
        </w:rPr>
      </w:r>
      <w:r/>
    </w:p>
    <w:p>
      <w:pPr>
        <w:pStyle w:val="927"/>
        <w:ind w:firstLine="420"/>
        <w:jc w:val="left"/>
        <w:spacing w:before="30" w:after="30" w:line="360" w:lineRule="auto"/>
        <w:widowControl/>
        <w:rPr>
          <w:rFonts w:hint="eastAsia" w:ascii="宋体" w:hAnsi="宋体" w:cs="宋体"/>
          <w:szCs w:val="21"/>
          <w:highlight w:val="none"/>
        </w:rPr>
      </w:pPr>
      <w:r>
        <w:rPr>
          <w:rFonts w:hint="eastAsia" w:ascii="宋体" w:hAnsi="宋体" w:cs="宋体"/>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5364480</wp:posOffset>
                </wp:positionH>
                <wp:positionV relativeFrom="paragraph">
                  <wp:posOffset>324485</wp:posOffset>
                </wp:positionV>
                <wp:extent cx="565785" cy="13081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3;o:allowoverlap:true;o:allowincell:true;mso-position-horizontal-relative:text;margin-left:422.4pt;mso-position-horizontal:absolute;mso-position-vertical-relative:text;margin-top:25.5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2705735</wp:posOffset>
                </wp:positionH>
                <wp:positionV relativeFrom="paragraph">
                  <wp:posOffset>302260</wp:posOffset>
                </wp:positionV>
                <wp:extent cx="506095" cy="8509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7;o:allowoverlap:true;o:allowincell:true;mso-position-horizontal-relative:text;margin-left:213.0pt;mso-position-horizontal:absolute;mso-position-vertical-relative:text;margin-top:23.8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3826510</wp:posOffset>
                </wp:positionH>
                <wp:positionV relativeFrom="paragraph">
                  <wp:posOffset>63500</wp:posOffset>
                </wp:positionV>
                <wp:extent cx="718185" cy="977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4;o:allowoverlap:true;o:allowincell:true;mso-position-horizontal-relative:text;margin-left:301.3pt;mso-position-horizontal:absolute;mso-position-vertical-relative:text;margin-top:5.0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1743075</wp:posOffset>
                </wp:positionH>
                <wp:positionV relativeFrom="paragraph">
                  <wp:posOffset>342900</wp:posOffset>
                </wp:positionV>
                <wp:extent cx="488950" cy="9652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9;o:allowoverlap:true;o:allowincell:true;mso-position-horizontal-relative:text;margin-left:137.2pt;mso-position-horizontal:absolute;mso-position-vertical-relative:text;margin-top:27.0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636905</wp:posOffset>
                </wp:positionH>
                <wp:positionV relativeFrom="paragraph">
                  <wp:posOffset>335280</wp:posOffset>
                </wp:positionV>
                <wp:extent cx="678180" cy="10541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8;o:allowoverlap:true;o:allowincell:true;mso-position-horizontal-relative:text;margin-left:50.1pt;mso-position-horizontal:absolute;mso-position-vertical-relative:text;margin-top:26.4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4653915</wp:posOffset>
                </wp:positionH>
                <wp:positionV relativeFrom="paragraph">
                  <wp:posOffset>299720</wp:posOffset>
                </wp:positionV>
                <wp:extent cx="418465" cy="11303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4;o:allowoverlap:true;o:allowincell:true;mso-position-horizontal-relative:text;margin-left:366.4pt;mso-position-horizontal:absolute;mso-position-vertical-relative:text;margin-top:23.6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highlight w:val="none"/>
          <w:shd w:val="clear" w:color="auto" w:fill="ffffff"/>
        </w:rPr>
        <w:t xml:space="preserve">2.</w:t>
      </w:r>
      <w:r>
        <w:rPr>
          <w:rStyle w:val="986"/>
          <w:rFonts w:hint="eastAsia" w:ascii="宋体" w:hAnsi="宋体" w:cs="宋体"/>
          <w:i w:val="0"/>
          <w:szCs w:val="21"/>
          <w:highlight w:val="none"/>
          <w:u w:val="single"/>
          <w:shd w:val="clear" w:color="auto" w:fill="ffffff"/>
        </w:rPr>
        <w:t xml:space="preserve">（    ）</w:t>
      </w:r>
      <w:r>
        <w:rPr>
          <w:rFonts w:hint="eastAsia" w:ascii="宋体" w:hAnsi="宋体" w:cs="宋体"/>
          <w:szCs w:val="21"/>
          <w:highlight w:val="none"/>
          <w:shd w:val="clear" w:color="auto" w:fill="ffffff"/>
        </w:rPr>
        <w:t xml:space="preserve">，生产厂为</w:t>
      </w:r>
      <w:r>
        <w:rPr>
          <w:rStyle w:val="986"/>
          <w:rFonts w:hint="eastAsia" w:ascii="宋体" w:hAnsi="宋体" w:cs="宋体"/>
          <w:i w:val="0"/>
          <w:szCs w:val="21"/>
          <w:highlight w:val="none"/>
          <w:u w:val="single"/>
          <w:shd w:val="clear" w:color="auto" w:fill="ffffff"/>
        </w:rPr>
        <w:t xml:space="preserve">（厂名）</w:t>
      </w:r>
      <w:r>
        <w:rPr>
          <w:rFonts w:hint="eastAsia" w:ascii="宋体" w:hAnsi="宋体" w:cs="宋体"/>
          <w:szCs w:val="21"/>
          <w:highlight w:val="none"/>
          <w:shd w:val="clear" w:color="auto" w:fill="ffffff"/>
        </w:rPr>
        <w:t xml:space="preserve">，厂址为</w:t>
      </w:r>
      <w:r>
        <w:rPr>
          <w:rStyle w:val="986"/>
          <w:rFonts w:hint="eastAsia" w:ascii="宋体" w:hAnsi="宋体" w:cs="宋体"/>
          <w:i w:val="0"/>
          <w:szCs w:val="21"/>
          <w:highlight w:val="none"/>
          <w:u w:val="single"/>
          <w:shd w:val="clear" w:color="auto" w:fill="ffffff"/>
        </w:rPr>
        <w:t xml:space="preserve">（生产厂址）</w:t>
      </w:r>
      <w:r>
        <w:rPr>
          <w:rFonts w:hint="eastAsia" w:ascii="宋体" w:hAnsi="宋体" w:cs="宋体"/>
          <w:szCs w:val="21"/>
          <w:highlight w:val="none"/>
          <w:shd w:val="clear" w:color="auto" w:fill="ffffff"/>
        </w:rPr>
        <w:t xml:space="preserve">。</w:t>
      </w:r>
      <w:r>
        <w:rPr>
          <w:rStyle w:val="986"/>
          <w:rFonts w:hint="eastAsia" w:ascii="宋体" w:hAnsi="宋体" w:cs="宋体"/>
          <w:i w:val="0"/>
          <w:szCs w:val="21"/>
          <w:highlight w:val="none"/>
          <w:u w:val="single"/>
          <w:shd w:val="clear" w:color="auto" w:fill="ffffff"/>
        </w:rPr>
        <w:t xml:space="preserve">（产品名称2）</w:t>
      </w:r>
      <w:r>
        <w:rPr>
          <w:rFonts w:hint="eastAsia" w:ascii="宋体" w:hAnsi="宋体" w:cs="宋体"/>
          <w:szCs w:val="21"/>
          <w:highlight w:val="none"/>
          <w:shd w:val="clear" w:color="auto" w:fill="ffffff"/>
        </w:rPr>
        <w:t xml:space="preserve">的中国境内生产的组件成本占比≥</w:t>
      </w:r>
      <w:r>
        <w:rPr>
          <w:rStyle w:val="986"/>
          <w:rFonts w:hint="eastAsia" w:ascii="宋体" w:hAnsi="宋体" w:cs="宋体"/>
          <w:i w:val="0"/>
          <w:szCs w:val="21"/>
          <w:highlight w:val="none"/>
          <w:u w:val="single"/>
          <w:shd w:val="clear" w:color="auto" w:fill="ffffff"/>
        </w:rPr>
        <w:t xml:space="preserve">（规定比例）</w:t>
      </w:r>
      <w:r>
        <w:rPr>
          <w:rFonts w:hint="eastAsia" w:ascii="宋体" w:hAnsi="宋体" w:cs="宋体"/>
          <w:szCs w:val="21"/>
          <w:highlight w:val="none"/>
          <w:shd w:val="clear" w:color="auto" w:fill="ffffff"/>
        </w:rPr>
        <w:t xml:space="preserve">。</w:t>
      </w:r>
      <w:r>
        <w:rPr>
          <w:rStyle w:val="986"/>
          <w:rFonts w:hint="eastAsia" w:ascii="宋体" w:hAnsi="宋体" w:cs="宋体"/>
          <w:i w:val="0"/>
          <w:szCs w:val="21"/>
          <w:highlight w:val="none"/>
          <w:u w:val="single"/>
          <w:shd w:val="clear" w:color="auto" w:fill="ffffff"/>
        </w:rPr>
        <w:t xml:space="preserve">（产品名称2）</w:t>
      </w:r>
      <w:r>
        <w:rPr>
          <w:rFonts w:hint="eastAsia" w:ascii="宋体" w:hAnsi="宋体" w:cs="宋体"/>
          <w:szCs w:val="21"/>
          <w:highlight w:val="none"/>
          <w:shd w:val="clear" w:color="auto" w:fill="ffffff"/>
        </w:rPr>
        <w:t xml:space="preserve">的</w:t>
      </w:r>
      <w:r>
        <w:rPr>
          <w:rStyle w:val="986"/>
          <w:rFonts w:hint="eastAsia" w:ascii="宋体" w:hAnsi="宋体" w:cs="宋体"/>
          <w:i w:val="0"/>
          <w:szCs w:val="21"/>
          <w:highlight w:val="none"/>
          <w:u w:val="single"/>
          <w:shd w:val="clear" w:color="auto" w:fill="ffffff"/>
        </w:rPr>
        <w:t xml:space="preserve">（关键组件）</w:t>
      </w:r>
      <w:r>
        <w:rPr>
          <w:rFonts w:hint="eastAsia" w:ascii="宋体" w:hAnsi="宋体" w:cs="宋体"/>
          <w:szCs w:val="21"/>
          <w:highlight w:val="none"/>
          <w:shd w:val="clear" w:color="auto" w:fill="ffffff"/>
        </w:rPr>
        <w:t xml:space="preserve">在中国境内生产。</w:t>
      </w:r>
      <w:r>
        <w:rPr>
          <w:rStyle w:val="986"/>
          <w:rFonts w:hint="eastAsia" w:ascii="宋体" w:hAnsi="宋体" w:cs="宋体"/>
          <w:i w:val="0"/>
          <w:szCs w:val="21"/>
          <w:highlight w:val="none"/>
          <w:u w:val="single"/>
          <w:shd w:val="clear" w:color="auto" w:fill="ffffff"/>
        </w:rPr>
        <w:t xml:space="preserve">（产品名称1）</w:t>
      </w:r>
      <w:r>
        <w:rPr>
          <w:rFonts w:hint="eastAsia" w:ascii="宋体" w:hAnsi="宋体" w:cs="宋体"/>
          <w:szCs w:val="21"/>
          <w:highlight w:val="none"/>
          <w:shd w:val="clear" w:color="auto" w:fill="ffffff"/>
        </w:rPr>
        <w:t xml:space="preserve">的</w:t>
      </w:r>
      <w:r>
        <w:rPr>
          <w:rStyle w:val="986"/>
          <w:rFonts w:hint="eastAsia" w:ascii="宋体" w:hAnsi="宋体" w:cs="宋体"/>
          <w:i w:val="0"/>
          <w:szCs w:val="21"/>
          <w:highlight w:val="none"/>
          <w:u w:val="single"/>
          <w:shd w:val="clear" w:color="auto" w:fill="ffffff"/>
        </w:rPr>
        <w:t xml:space="preserve">（关键工序）</w:t>
      </w:r>
      <w:r>
        <w:rPr>
          <w:rFonts w:hint="eastAsia" w:ascii="宋体" w:hAnsi="宋体" w:cs="宋体"/>
          <w:szCs w:val="21"/>
          <w:highlight w:val="none"/>
          <w:shd w:val="clear" w:color="auto" w:fill="ffffff"/>
        </w:rPr>
        <w:t xml:space="preserve">在中国境内完成。</w:t>
      </w:r>
      <w:r>
        <w:rPr>
          <w:rFonts w:hint="eastAsia" w:ascii="宋体" w:hAnsi="宋体" w:cs="宋体"/>
          <w:szCs w:val="21"/>
          <w:highlight w:val="none"/>
        </w:rPr>
      </w:r>
      <w:r/>
    </w:p>
    <w:p>
      <w:pPr>
        <w:pStyle w:val="927"/>
        <w:ind w:firstLine="420"/>
        <w:jc w:val="left"/>
        <w:spacing w:before="30" w:after="30" w:line="360" w:lineRule="auto"/>
        <w:widowControl/>
        <w:rPr>
          <w:rFonts w:hint="eastAsia" w:ascii="宋体" w:hAnsi="宋体" w:cs="宋体"/>
          <w:szCs w:val="21"/>
          <w:highlight w:val="none"/>
        </w:rPr>
      </w:pPr>
      <w:r>
        <w:rPr>
          <w:rFonts w:hint="eastAsia" w:ascii="宋体" w:hAnsi="宋体" w:cs="宋体"/>
          <w:szCs w:val="21"/>
          <w:highlight w:val="none"/>
          <w:shd w:val="clear" w:color="auto" w:fill="ffffff"/>
        </w:rPr>
        <w:t xml:space="preserve">……</w:t>
      </w:r>
      <w:r>
        <w:rPr>
          <w:rFonts w:hint="eastAsia" w:ascii="宋体" w:hAnsi="宋体" w:cs="宋体"/>
          <w:szCs w:val="21"/>
          <w:highlight w:val="none"/>
        </w:rPr>
      </w:r>
      <w:r/>
    </w:p>
    <w:p>
      <w:pPr>
        <w:pStyle w:val="927"/>
        <w:ind w:firstLine="420"/>
        <w:jc w:val="left"/>
        <w:spacing w:before="30" w:after="30" w:line="360" w:lineRule="auto"/>
        <w:widowControl/>
        <w:rPr>
          <w:rFonts w:hint="eastAsia" w:ascii="宋体" w:hAnsi="宋体" w:cs="宋体"/>
          <w:szCs w:val="21"/>
          <w:highlight w:val="none"/>
        </w:rPr>
      </w:pPr>
      <w:r>
        <w:rPr>
          <w:rFonts w:hint="eastAsia" w:ascii="宋体" w:hAnsi="宋体" w:cs="宋体"/>
          <w:szCs w:val="21"/>
          <w:highlight w:val="none"/>
          <w:shd w:val="clear" w:color="auto" w:fill="ffffff"/>
        </w:rPr>
        <w:t xml:space="preserve">本公司（单位）对上述声明内容的真实性负责。如有虚假，愿承担相应法律责任。</w:t>
      </w:r>
      <w:r>
        <w:rPr>
          <w:rFonts w:hint="eastAsia" w:ascii="宋体" w:hAnsi="宋体" w:cs="宋体"/>
          <w:szCs w:val="21"/>
          <w:highlight w:val="none"/>
        </w:rPr>
      </w:r>
      <w:r/>
    </w:p>
    <w:p>
      <w:pPr>
        <w:pStyle w:val="927"/>
        <w:jc w:val="left"/>
        <w:spacing w:before="30" w:after="30" w:line="360" w:lineRule="auto"/>
        <w:widowControl/>
        <w:rPr>
          <w:rFonts w:hint="eastAsia" w:ascii="宋体" w:hAnsi="宋体" w:cs="宋体"/>
          <w:szCs w:val="21"/>
          <w:highlight w:val="none"/>
        </w:rPr>
      </w:pPr>
      <w:r>
        <w:rPr>
          <w:rFonts w:hint="eastAsia" w:ascii="宋体" w:hAnsi="宋体" w:cs="宋体"/>
          <w:szCs w:val="21"/>
          <w:highlight w:val="none"/>
        </w:rPr>
      </w:r>
      <w:r/>
    </w:p>
    <w:p>
      <w:pPr>
        <w:pStyle w:val="927"/>
        <w:ind w:right="480" w:firstLine="3255"/>
        <w:jc w:val="left"/>
        <w:spacing w:before="30" w:after="30" w:line="360" w:lineRule="auto"/>
        <w:widowControl/>
        <w:rPr>
          <w:rFonts w:hint="eastAsia" w:ascii="宋体" w:hAnsi="宋体" w:cs="宋体"/>
          <w:szCs w:val="21"/>
          <w:highlight w:val="none"/>
        </w:rPr>
      </w:pPr>
      <w:r>
        <w:rPr>
          <w:rFonts w:hint="eastAsia" w:ascii="宋体" w:hAnsi="宋体" w:cs="宋体"/>
          <w:szCs w:val="21"/>
          <w:highlight w:val="none"/>
          <w:shd w:val="clear" w:color="auto" w:fill="ffffff"/>
        </w:rPr>
        <w:t xml:space="preserve">公司（单位）名称（盖章）：　        </w:t>
      </w:r>
      <w:r>
        <w:rPr>
          <w:rFonts w:hint="eastAsia" w:ascii="宋体" w:hAnsi="宋体" w:cs="宋体"/>
          <w:szCs w:val="21"/>
          <w:highlight w:val="none"/>
        </w:rPr>
      </w:r>
      <w:r/>
    </w:p>
    <w:p>
      <w:pPr>
        <w:pStyle w:val="927"/>
        <w:jc w:val="center"/>
        <w:spacing w:before="30" w:after="30" w:line="360" w:lineRule="auto"/>
        <w:widowControl/>
        <w:rPr>
          <w:rFonts w:hint="eastAsia" w:ascii="宋体" w:hAnsi="宋体" w:cs="宋体"/>
          <w:sz w:val="24"/>
          <w:szCs w:val="24"/>
          <w:highlight w:val="none"/>
        </w:rPr>
      </w:pPr>
      <w:r>
        <w:rPr>
          <w:rFonts w:hint="eastAsia" w:ascii="宋体" w:hAnsi="宋体" w:cs="宋体"/>
          <w:szCs w:val="21"/>
          <w:highlight w:val="none"/>
          <w:shd w:val="clear" w:color="auto" w:fill="ffffff"/>
        </w:rPr>
        <w:t xml:space="preserve">                                日期：　   年　  月　  日</w:t>
      </w:r>
      <w:r>
        <w:rPr>
          <w:rFonts w:hint="eastAsia" w:ascii="宋体" w:hAnsi="宋体" w:cs="宋体"/>
          <w:sz w:val="24"/>
          <w:szCs w:val="24"/>
          <w:highlight w:val="none"/>
          <w:shd w:val="clear" w:color="auto" w:fill="ffffff"/>
        </w:rPr>
        <w:t xml:space="preserve">         </w:t>
      </w:r>
      <w:r>
        <w:rPr>
          <w:rFonts w:hint="eastAsia" w:ascii="宋体" w:hAnsi="宋体" w:cs="宋体"/>
          <w:sz w:val="24"/>
          <w:szCs w:val="24"/>
          <w:highlight w:val="none"/>
        </w:rPr>
      </w:r>
      <w:r/>
    </w:p>
    <w:p>
      <w:pPr>
        <w:pStyle w:val="927"/>
        <w:jc w:val="left"/>
        <w:spacing w:before="30" w:after="30" w:line="360" w:lineRule="auto"/>
        <w:widowControl/>
        <w:rPr>
          <w:sz w:val="24"/>
          <w:szCs w:val="24"/>
          <w:highlight w:val="none"/>
        </w:rPr>
      </w:pPr>
      <w:r>
        <w:rPr>
          <w:sz w:val="24"/>
          <w:szCs w:val="24"/>
          <w:highlight w:val="none"/>
          <w:shd w:val="clear" w:color="auto" w:fill="ffffff"/>
        </w:rPr>
        <w:t xml:space="preserve">__________________</w:t>
      </w:r>
      <w:r>
        <w:rPr>
          <w:sz w:val="24"/>
          <w:szCs w:val="24"/>
          <w:highlight w:val="none"/>
        </w:rPr>
      </w:r>
      <w:r/>
    </w:p>
    <w:p>
      <w:pPr>
        <w:pStyle w:val="927"/>
        <w:jc w:val="left"/>
        <w:spacing w:line="360" w:lineRule="auto"/>
        <w:widowControl/>
        <w:rPr>
          <w:szCs w:val="21"/>
          <w:highlight w:val="none"/>
        </w:rPr>
      </w:pPr>
      <w:r>
        <w:rPr>
          <w:szCs w:val="21"/>
          <w:highlight w:val="none"/>
          <w:shd w:val="clear" w:color="auto" w:fill="ffffff"/>
        </w:rPr>
        <w:t xml:space="preserve">1.产品如有型号，请在“产品名称”栏一并填写。</w:t>
      </w:r>
      <w:r>
        <w:rPr>
          <w:szCs w:val="21"/>
          <w:highlight w:val="none"/>
        </w:rPr>
      </w:r>
      <w:r/>
    </w:p>
    <w:p>
      <w:pPr>
        <w:pStyle w:val="927"/>
        <w:jc w:val="left"/>
        <w:spacing w:line="360" w:lineRule="auto"/>
        <w:widowControl/>
        <w:rPr>
          <w:szCs w:val="21"/>
          <w:highlight w:val="none"/>
        </w:rPr>
      </w:pPr>
      <w:r>
        <w:rPr>
          <w:szCs w:val="21"/>
          <w:highlight w:val="none"/>
          <w:shd w:val="clear" w:color="auto" w:fill="ffffff"/>
        </w:rPr>
        <w:t xml:space="preserve">2.生产厂名与厂址应与生产厂营业执照载明的相关信息保持一致。</w:t>
      </w:r>
      <w:r>
        <w:rPr>
          <w:szCs w:val="21"/>
          <w:highlight w:val="none"/>
        </w:rPr>
      </w:r>
      <w:r/>
    </w:p>
    <w:p>
      <w:pPr>
        <w:pStyle w:val="927"/>
        <w:jc w:val="left"/>
        <w:spacing w:line="360" w:lineRule="auto"/>
        <w:widowControl/>
        <w:rPr>
          <w:szCs w:val="21"/>
          <w:highlight w:val="none"/>
        </w:rPr>
      </w:pPr>
      <w:r>
        <w:rPr>
          <w:szCs w:val="21"/>
          <w:highlight w:val="none"/>
          <w:shd w:val="clear" w:color="auto" w:fill="ffffff"/>
        </w:rPr>
        <w:t xml:space="preserve">3.该产品的中国境内生产的组件成本占比相关要求实施前，“规定比例”栏可不填，下同。</w:t>
      </w:r>
      <w:r>
        <w:rPr>
          <w:szCs w:val="21"/>
          <w:highlight w:val="none"/>
        </w:rPr>
      </w:r>
      <w:r/>
    </w:p>
    <w:p>
      <w:pPr>
        <w:pStyle w:val="927"/>
        <w:jc w:val="left"/>
        <w:spacing w:line="360" w:lineRule="auto"/>
        <w:widowControl/>
        <w:rPr>
          <w:szCs w:val="21"/>
          <w:highlight w:val="none"/>
        </w:rPr>
      </w:pPr>
      <w:r>
        <w:rPr>
          <w:szCs w:val="21"/>
          <w:highlight w:val="none"/>
          <w:shd w:val="clear" w:color="auto" w:fill="ffffff"/>
        </w:rPr>
        <w:t xml:space="preserve">4.该产品的关键组件要求实施前，“关键组件”栏可不填，下同。</w:t>
      </w:r>
      <w:r>
        <w:rPr>
          <w:szCs w:val="21"/>
          <w:highlight w:val="none"/>
        </w:rPr>
      </w:r>
      <w:r/>
    </w:p>
    <w:p>
      <w:pPr>
        <w:pStyle w:val="927"/>
        <w:jc w:val="left"/>
        <w:spacing w:line="360" w:lineRule="auto"/>
        <w:widowControl/>
        <w:rPr>
          <w:szCs w:val="21"/>
          <w:highlight w:val="none"/>
          <w:shd w:val="clear" w:color="auto" w:fill="ffffff"/>
        </w:rPr>
      </w:pPr>
      <w:r>
        <w:rPr>
          <w:szCs w:val="21"/>
          <w:highlight w:val="none"/>
          <w:shd w:val="clear" w:color="auto" w:fill="ffffff"/>
        </w:rPr>
        <w:t xml:space="preserve">5.该产品的关键工序要求实施前，“关键工序”栏可不填，下同。</w:t>
      </w:r>
      <w:r>
        <w:rPr>
          <w:szCs w:val="21"/>
          <w:highlight w:val="none"/>
          <w:shd w:val="clear" w:color="auto" w:fill="ffffff"/>
        </w:rPr>
      </w:r>
      <w:r/>
    </w:p>
    <w:p>
      <w:pPr>
        <w:pStyle w:val="927"/>
        <w:jc w:val="left"/>
        <w:spacing w:line="360" w:lineRule="auto"/>
        <w:widowControl/>
        <w:rPr>
          <w:szCs w:val="21"/>
          <w:highlight w:val="none"/>
          <w:shd w:val="clear" w:color="auto" w:fill="ffffff"/>
        </w:rPr>
      </w:pPr>
      <w:r>
        <w:rPr>
          <w:szCs w:val="21"/>
          <w:highlight w:val="none"/>
          <w:shd w:val="clear" w:color="auto" w:fill="ffffff"/>
        </w:rPr>
        <w:t xml:space="preserve">6.用斜线划除的地方无需填写。</w:t>
      </w:r>
      <w:r>
        <w:rPr>
          <w:szCs w:val="21"/>
          <w:highlight w:val="none"/>
          <w:shd w:val="clear" w:color="auto" w:fill="ffffff"/>
        </w:rPr>
      </w:r>
      <w:r/>
    </w:p>
    <w:p>
      <w:pPr>
        <w:pStyle w:val="927"/>
        <w:jc w:val="left"/>
        <w:spacing w:line="360" w:lineRule="auto"/>
        <w:widowControl/>
        <w:rPr>
          <w:b/>
          <w:bCs/>
          <w:color w:val="ff0000"/>
          <w:szCs w:val="21"/>
          <w:highlight w:val="none"/>
          <w:shd w:val="clear" w:color="auto" w:fill="ffffff"/>
        </w:rPr>
      </w:pPr>
      <w:r>
        <w:rPr>
          <w:b/>
          <w:bCs/>
          <w:color w:val="ff0000"/>
          <w:szCs w:val="21"/>
          <w:highlight w:val="none"/>
          <w:shd w:val="clear" w:color="auto" w:fill="ffffff"/>
        </w:rPr>
        <w:t xml:space="preserve">7.供应商提供虚假《声明函》、虚假证明文件谋取中标、成交的，依照《中华人民共和国政府采购法》等法律法规规定追究相应责任。</w:t>
      </w:r>
      <w:r>
        <w:rPr>
          <w:b/>
          <w:bCs/>
          <w:color w:val="ff0000"/>
          <w:szCs w:val="21"/>
          <w:highlight w:val="none"/>
          <w:shd w:val="clear" w:color="auto" w:fill="ffffff"/>
        </w:rPr>
      </w:r>
      <w:r/>
    </w:p>
    <w:p>
      <w:pPr>
        <w:pStyle w:val="927"/>
        <w:ind w:firstLine="0"/>
        <w:spacing w:line="360" w:lineRule="auto"/>
        <w:rPr>
          <w:rFonts w:hint="eastAsia" w:ascii="宋体" w:hAnsi="宋体" w:cs="宋体"/>
          <w:bCs/>
          <w:szCs w:val="21"/>
          <w:highlight w:val="none"/>
        </w:rPr>
      </w:pPr>
      <w:r>
        <w:rPr>
          <w:szCs w:val="21"/>
          <w:highlight w:val="none"/>
          <w:shd w:val="clear" w:color="auto" w:fill="ffffff"/>
        </w:rPr>
        <w:t xml:space="preserve">8.中标、成交供应商提供的《声明函》或有关证明文件将随中标、成交结果同时公告。</w:t>
      </w:r>
      <w:r>
        <w:rPr>
          <w:rFonts w:hint="eastAsia" w:ascii="宋体" w:hAnsi="宋体" w:cs="宋体"/>
          <w:bCs/>
          <w:szCs w:val="21"/>
          <w:highlight w:val="none"/>
        </w:rPr>
      </w:r>
      <w:r/>
    </w:p>
    <w:p>
      <w:pPr>
        <w:pStyle w:val="975"/>
        <w:jc w:val="center"/>
        <w:spacing w:before="30" w:after="30" w:line="0" w:lineRule="atLeast"/>
        <w:rPr>
          <w:rFonts w:ascii="宋体" w:hAnsi="宋体" w:eastAsia="宋体"/>
          <w:b/>
          <w:bCs/>
          <w:sz w:val="36"/>
          <w:szCs w:val="36"/>
          <w:highlight w:val="none"/>
          <w:shd w:val="clear" w:color="auto" w:fill="ffffff"/>
        </w:rPr>
      </w:pPr>
      <w:r>
        <w:rPr>
          <w:rFonts w:hint="eastAsia" w:ascii="宋体" w:hAnsi="宋体" w:eastAsia="宋体"/>
          <w:b/>
          <w:bCs/>
          <w:sz w:val="36"/>
          <w:szCs w:val="36"/>
          <w:highlight w:val="none"/>
          <w:shd w:val="clear" w:color="auto" w:fill="ffffff"/>
        </w:rPr>
        <w:t xml:space="preserve">成本比例声明函</w:t>
      </w:r>
      <w:r>
        <w:rPr>
          <w:rFonts w:ascii="宋体" w:hAnsi="宋体" w:eastAsia="宋体"/>
          <w:b/>
          <w:bCs/>
          <w:sz w:val="36"/>
          <w:szCs w:val="36"/>
          <w:highlight w:val="none"/>
          <w:shd w:val="clear" w:color="auto" w:fill="ffffff"/>
        </w:rPr>
      </w:r>
      <w:r/>
    </w:p>
    <w:p>
      <w:pPr>
        <w:pStyle w:val="975"/>
        <w:ind w:firstLine="480"/>
        <w:spacing w:before="30" w:after="30" w:line="360" w:lineRule="auto"/>
        <w:rPr>
          <w:rFonts w:ascii="宋体" w:hAnsi="宋体" w:eastAsia="宋体"/>
          <w:highlight w:val="none"/>
          <w:shd w:val="clear" w:color="auto" w:fill="ffffff"/>
        </w:rPr>
      </w:pPr>
      <w:r>
        <w:rPr>
          <w:rFonts w:hint="eastAsia" w:ascii="宋体" w:hAnsi="宋体" w:eastAsia="宋体"/>
          <w:highlight w:val="none"/>
          <w:shd w:val="clear" w:color="auto" w:fill="ffffff"/>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hint="eastAsia" w:ascii="宋体" w:hAnsi="宋体" w:eastAsia="宋体"/>
          <w:color w:val="ff0000"/>
          <w:highlight w:val="none"/>
          <w:shd w:val="clear" w:color="auto" w:fill="ffffff"/>
        </w:rPr>
        <w:t xml:space="preserve">(填写具体百分比)</w:t>
      </w:r>
      <w:r>
        <w:rPr>
          <w:rFonts w:ascii="宋体" w:hAnsi="宋体" w:eastAsia="宋体"/>
          <w:highlight w:val="none"/>
          <w:shd w:val="clear" w:color="auto" w:fill="ffffff"/>
        </w:rPr>
      </w:r>
      <w:r/>
    </w:p>
    <w:p>
      <w:pPr>
        <w:pStyle w:val="975"/>
        <w:ind w:firstLine="480"/>
        <w:spacing w:before="30" w:after="30" w:line="360" w:lineRule="auto"/>
        <w:rPr>
          <w:rFonts w:ascii="宋体" w:hAnsi="宋体" w:eastAsia="宋体"/>
          <w:highlight w:val="none"/>
          <w:shd w:val="clear" w:color="auto" w:fill="ffffff"/>
        </w:rPr>
      </w:pPr>
      <w:r>
        <w:rPr>
          <w:rFonts w:hint="eastAsia" w:ascii="宋体" w:hAnsi="宋体" w:eastAsia="宋体"/>
          <w:highlight w:val="none"/>
          <w:shd w:val="clear" w:color="auto" w:fill="ffffff"/>
        </w:rPr>
        <w:t xml:space="preserve">本公司(单位)对上述声明内容的真实性负责。如有虚假，愿承担相应法律责任。</w:t>
      </w:r>
      <w:r>
        <w:rPr>
          <w:rFonts w:ascii="宋体" w:hAnsi="宋体" w:eastAsia="宋体"/>
          <w:highlight w:val="none"/>
          <w:shd w:val="clear" w:color="auto" w:fill="ffffff"/>
        </w:rPr>
      </w:r>
      <w:r/>
    </w:p>
    <w:p>
      <w:pPr>
        <w:pStyle w:val="975"/>
        <w:jc w:val="right"/>
        <w:spacing w:before="30" w:after="30" w:line="360" w:lineRule="auto"/>
        <w:rPr>
          <w:rFonts w:ascii="宋体" w:hAnsi="宋体" w:eastAsia="宋体"/>
          <w:highlight w:val="none"/>
          <w:shd w:val="clear" w:color="auto" w:fill="ffffff"/>
        </w:rPr>
      </w:pPr>
      <w:r>
        <w:rPr>
          <w:rFonts w:hint="eastAsia" w:ascii="宋体" w:hAnsi="宋体" w:eastAsia="宋体"/>
          <w:highlight w:val="none"/>
          <w:shd w:val="clear" w:color="auto" w:fill="ffffff"/>
        </w:rPr>
        <w:t xml:space="preserve">公司(单位)名称(盖章):</w:t>
      </w:r>
      <w:r>
        <w:rPr>
          <w:rFonts w:ascii="宋体" w:hAnsi="宋体" w:eastAsia="宋体"/>
          <w:highlight w:val="none"/>
          <w:shd w:val="clear" w:color="auto" w:fill="ffffff"/>
        </w:rPr>
      </w:r>
      <w:r/>
    </w:p>
    <w:p>
      <w:pPr>
        <w:pStyle w:val="975"/>
        <w:jc w:val="right"/>
        <w:spacing w:before="30" w:after="30" w:line="360" w:lineRule="auto"/>
        <w:rPr>
          <w:rFonts w:ascii="宋体" w:hAnsi="宋体" w:eastAsia="宋体"/>
          <w:highlight w:val="none"/>
          <w:shd w:val="clear" w:color="auto" w:fill="ffffff"/>
        </w:rPr>
      </w:pPr>
      <w:r>
        <w:rPr>
          <w:rFonts w:hint="eastAsia" w:ascii="宋体" w:hAnsi="宋体" w:eastAsia="宋体"/>
          <w:highlight w:val="none"/>
          <w:shd w:val="clear" w:color="auto" w:fill="ffffff"/>
        </w:rPr>
        <w:t xml:space="preserve">日期:年月日</w:t>
      </w:r>
      <w:r>
        <w:rPr>
          <w:rFonts w:ascii="宋体" w:hAnsi="宋体" w:eastAsia="宋体"/>
          <w:highlight w:val="none"/>
          <w:shd w:val="clear" w:color="auto" w:fill="ffffff"/>
        </w:rPr>
      </w:r>
      <w:r/>
    </w:p>
    <w:p>
      <w:pPr>
        <w:pStyle w:val="975"/>
        <w:spacing w:before="30" w:after="30" w:line="360" w:lineRule="auto"/>
        <w:rPr>
          <w:rFonts w:ascii="宋体" w:hAnsi="宋体" w:eastAsia="宋体"/>
          <w:highlight w:val="none"/>
          <w:shd w:val="clear" w:color="auto" w:fill="ffffff"/>
        </w:rPr>
      </w:pPr>
      <w:r>
        <w:rPr>
          <w:rFonts w:ascii="宋体" w:hAnsi="宋体" w:eastAsia="宋体"/>
          <w:highlight w:val="none"/>
          <w:shd w:val="clear" w:color="auto" w:fill="ffffff"/>
        </w:rPr>
      </w:r>
      <w:r/>
    </w:p>
    <w:p>
      <w:pPr>
        <w:pStyle w:val="927"/>
        <w:spacing w:line="360" w:lineRule="auto"/>
        <w:tabs>
          <w:tab w:val="left" w:pos="4860" w:leader="none"/>
        </w:tabs>
        <w:rPr>
          <w:rFonts w:ascii="宋体" w:hAnsi="宋体" w:eastAsia="宋体"/>
          <w:highlight w:val="none"/>
          <w:shd w:val="clear" w:color="auto" w:fill="ffffff"/>
        </w:rPr>
      </w:pPr>
      <w:r>
        <w:rPr>
          <w:rFonts w:hint="eastAsia" w:ascii="宋体" w:hAnsi="宋体" w:eastAsia="宋体"/>
          <w:highlight w:val="none"/>
          <w:shd w:val="clear" w:color="auto" w:fill="ffffff"/>
        </w:rPr>
        <w:t xml:space="preserve">注:根据《国务院办公厅关于在政府采购中实施本国产品标准及相关政策的通知》(国办发〔2025]34号)的规定，当采购项目或者采购包中含有多种产品，供应商为该采购项目或者采购包提供的符合本国产品标准的产品成本之和占该供应商提供的全部产品成本之和的比例达到80%</w:t>
      </w:r>
      <w:r>
        <w:rPr>
          <w:rFonts w:hint="eastAsia"/>
          <w:highlight w:val="none"/>
          <w:shd w:val="clear" w:color="auto" w:fill="ffffff"/>
          <w:lang w:val="en-US"/>
        </w:rPr>
        <w:t xml:space="preserve">(含)</w:t>
      </w:r>
      <w:r>
        <w:rPr>
          <w:rFonts w:hint="eastAsia" w:ascii="宋体" w:hAnsi="宋体" w:eastAsia="宋体"/>
          <w:highlight w:val="none"/>
          <w:shd w:val="clear" w:color="auto" w:fill="ffffff"/>
        </w:rPr>
        <w:t xml:space="preserve">以上时，依法对该供应商提供的全部产品给予价格评审优惠即对该供应商提供的全部产品的总报价给予20%的价格扣除，用扣除后的价格参与评审。</w:t>
      </w:r>
      <w:r>
        <w:rPr>
          <w:rFonts w:ascii="宋体" w:hAnsi="宋体" w:eastAsia="宋体"/>
          <w:highlight w:val="none"/>
          <w:shd w:val="clear" w:color="auto" w:fill="ffffff"/>
        </w:rPr>
      </w:r>
      <w:r/>
    </w:p>
    <w:p>
      <w:pPr>
        <w:pStyle w:val="1136"/>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36"/>
        <w:rPr>
          <w:highlight w:val="none"/>
        </w:rPr>
      </w:pPr>
      <w:r>
        <w:rPr>
          <w:highlight w:val="none"/>
        </w:rPr>
      </w:r>
      <w:r/>
    </w:p>
    <w:p>
      <w:pPr>
        <w:pStyle w:val="1136"/>
        <w:rPr>
          <w:highlight w:val="none"/>
        </w:rPr>
      </w:pPr>
      <w:r>
        <w:rPr>
          <w:highlight w:val="none"/>
        </w:rPr>
      </w:r>
      <w:r/>
    </w:p>
    <w:p>
      <w:pPr>
        <w:pStyle w:val="1136"/>
        <w:rPr>
          <w:highlight w:val="none"/>
        </w:rPr>
      </w:pPr>
      <w:r>
        <w:rPr>
          <w:highlight w:val="none"/>
        </w:rPr>
      </w:r>
      <w:r/>
    </w:p>
    <w:p>
      <w:pPr>
        <w:pStyle w:val="1136"/>
        <w:rPr>
          <w:highlight w:val="none"/>
        </w:rPr>
      </w:pPr>
      <w:r>
        <w:rPr>
          <w:highlight w:val="none"/>
        </w:rPr>
      </w:r>
      <w:r/>
    </w:p>
    <w:p>
      <w:pPr>
        <w:pStyle w:val="1136"/>
        <w:rPr>
          <w:highlight w:val="none"/>
        </w:rPr>
      </w:pPr>
      <w:r>
        <w:rPr>
          <w:highlight w:val="none"/>
        </w:rPr>
      </w:r>
      <w:r/>
    </w:p>
    <w:p>
      <w:pPr>
        <w:pStyle w:val="975"/>
        <w:numPr>
          <w:ilvl w:val="0"/>
          <w:numId w:val="0"/>
        </w:numPr>
        <w:ind w:left="210"/>
        <w:jc w:val="both"/>
        <w:spacing w:before="100" w:after="100" w:line="500" w:lineRule="atLeast"/>
        <w:widowControl/>
        <w:rPr>
          <w:rFonts w:hint="eastAsia" w:ascii="宋体" w:hAnsi="宋体" w:cs="宋体"/>
          <w:b/>
          <w:szCs w:val="21"/>
          <w:highlight w:val="none"/>
        </w:rPr>
      </w:pPr>
      <w:r>
        <w:rPr>
          <w:rFonts w:hint="eastAsia" w:ascii="宋体" w:hAnsi="宋体" w:cs="宋体"/>
          <w:b/>
          <w:sz w:val="24"/>
          <w:szCs w:val="21"/>
          <w:highlight w:val="none"/>
          <w:lang w:val="en-US" w:eastAsia="zh-CN" w:bidi="ar-SA"/>
        </w:rPr>
        <w:br w:type="page" w:clear="all"/>
      </w:r>
      <w:r>
        <w:rPr>
          <w:rFonts w:hint="eastAsia" w:ascii="宋体" w:hAnsi="宋体" w:cs="宋体"/>
          <w:b/>
          <w:sz w:val="24"/>
          <w:szCs w:val="21"/>
          <w:highlight w:val="none"/>
          <w:lang w:val="en-US" w:eastAsia="zh-CN" w:bidi="ar-SA"/>
        </w:rPr>
        <w:t xml:space="preserve">（十）</w:t>
      </w:r>
      <w:r>
        <w:rPr>
          <w:rFonts w:hint="eastAsia" w:ascii="宋体" w:hAnsi="宋体" w:cs="宋体"/>
          <w:b/>
          <w:szCs w:val="21"/>
          <w:highlight w:val="none"/>
        </w:rPr>
        <w:t xml:space="preserve">南京市政府采购供应商信用记录表暨信用承诺书（格式）：</w:t>
      </w:r>
      <w:r>
        <w:rPr>
          <w:rFonts w:hint="eastAsia" w:ascii="宋体" w:hAnsi="宋体" w:cs="宋体"/>
          <w:b/>
          <w:szCs w:val="21"/>
          <w:highlight w:val="none"/>
        </w:rPr>
      </w:r>
      <w:r/>
    </w:p>
    <w:p>
      <w:pPr>
        <w:pStyle w:val="975"/>
        <w:ind w:right="-5"/>
        <w:spacing w:before="100" w:after="100"/>
        <w:widowControl/>
        <w:rPr>
          <w:rFonts w:ascii="Arial" w:hAnsi="Arial" w:cs="Arial"/>
          <w:sz w:val="18"/>
          <w:szCs w:val="18"/>
          <w:highlight w:val="none"/>
        </w:rPr>
      </w:pPr>
      <w:r>
        <w:rPr>
          <w:rFonts w:hint="eastAsia" w:ascii="宋体" w:hAnsi="宋体" w:cs="宋体"/>
          <w:bCs/>
          <w:sz w:val="18"/>
          <w:szCs w:val="18"/>
          <w:highlight w:val="none"/>
        </w:rPr>
        <w:t xml:space="preserve">点</w:t>
      </w:r>
      <w:r>
        <w:rPr>
          <w:rFonts w:hint="eastAsia" w:ascii="宋体" w:hAnsi="宋体" w:cs="宋体"/>
          <w:bCs/>
          <w:sz w:val="18"/>
          <w:szCs w:val="18"/>
          <w:highlight w:val="none"/>
        </w:rPr>
        <w:t xml:space="preserve">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w:t>
      </w:r>
      <w:r>
        <w:rPr>
          <w:rFonts w:hint="eastAsia" w:ascii="宋体" w:hAnsi="宋体" w:cs="宋体"/>
          <w:b/>
          <w:color w:val="0000ff"/>
          <w:sz w:val="18"/>
          <w:szCs w:val="18"/>
          <w:highlight w:val="none"/>
        </w:rPr>
        <w:t xml:space="preserve">由法人签字并盖单位公章</w:t>
      </w:r>
      <w:r>
        <w:rPr>
          <w:rFonts w:hint="eastAsia" w:ascii="宋体" w:hAnsi="宋体" w:cs="宋体"/>
          <w:bCs/>
          <w:sz w:val="18"/>
          <w:szCs w:val="18"/>
          <w:highlight w:val="none"/>
        </w:rPr>
        <w:t xml:space="preserve">。</w:t>
      </w:r>
      <w:r>
        <w:rPr>
          <w:rFonts w:ascii="Arial" w:hAnsi="Arial" w:cs="Arial"/>
          <w:sz w:val="18"/>
          <w:szCs w:val="18"/>
          <w:highlight w:val="none"/>
        </w:rPr>
      </w:r>
      <w:r/>
    </w:p>
    <w:p>
      <w:pPr>
        <w:pStyle w:val="975"/>
        <w:jc w:val="center"/>
        <w:spacing w:before="100" w:after="100" w:line="500" w:lineRule="atLeast"/>
        <w:widowControl/>
        <w:rPr>
          <w:rFonts w:hint="eastAsia" w:ascii="宋体" w:hAnsi="宋体" w:cs="宋体"/>
          <w:b/>
          <w:szCs w:val="21"/>
          <w:highlight w:val="none"/>
        </w:rPr>
      </w:pPr>
      <w:r>
        <w:rPr>
          <w:rFonts w:hint="eastAsia" w:ascii="宋体" w:hAnsi="宋体" w:cs="宋体"/>
          <w:b/>
          <w:szCs w:val="21"/>
          <w:highlight w:val="none"/>
        </w:rPr>
        <w:t xml:space="preserve">南京市政府采购供应商信用记录表暨信用承诺书</w:t>
      </w:r>
      <w:r>
        <w:rPr>
          <w:rFonts w:hint="eastAsia" w:ascii="宋体" w:hAnsi="宋体" w:cs="宋体"/>
          <w:b/>
          <w:szCs w:val="21"/>
          <w:highlight w:val="none"/>
        </w:rPr>
      </w:r>
      <w:r/>
    </w:p>
    <w:p>
      <w:pPr>
        <w:pStyle w:val="975"/>
        <w:jc w:val="center"/>
        <w:spacing w:beforeAutospacing="0" w:afterAutospacing="0"/>
        <w:widowControl/>
        <w:rPr>
          <w:rFonts w:hint="eastAsia" w:ascii="宋体" w:hAnsi="宋体" w:cs="宋体"/>
          <w:b/>
          <w:color w:val="0000ff"/>
          <w:szCs w:val="21"/>
          <w:highlight w:val="none"/>
        </w:rPr>
      </w:pPr>
      <w:r>
        <w:rPr>
          <w:rFonts w:hint="eastAsia" w:ascii="宋体" w:hAnsi="宋体" w:cs="宋体"/>
          <w:b/>
          <w:color w:val="0000ff"/>
          <w:szCs w:val="21"/>
          <w:highlight w:val="none"/>
        </w:rPr>
        <w:t xml:space="preserve">【须按上述要求下载，直接打印填写下表无效】</w:t>
      </w:r>
      <w:r>
        <w:rPr>
          <w:rFonts w:hint="eastAsia" w:ascii="宋体" w:hAnsi="宋体" w:cs="宋体"/>
          <w:b/>
          <w:color w:val="0000ff"/>
          <w:szCs w:val="21"/>
          <w:highlight w:val="none"/>
        </w:rPr>
      </w:r>
      <w:r/>
    </w:p>
    <w:p>
      <w:pPr>
        <w:pStyle w:val="975"/>
        <w:jc w:val="right"/>
        <w:spacing w:beforeAutospacing="0" w:afterAutospacing="0"/>
        <w:widowControl/>
        <w:rPr>
          <w:highlight w:val="none"/>
        </w:rPr>
      </w:pPr>
      <w:r>
        <w:rPr>
          <w:sz w:val="21"/>
          <w:szCs w:val="21"/>
          <w:highlight w:val="none"/>
        </w:rPr>
        <w:t xml:space="preserve">年月日</w:t>
      </w:r>
      <w:r>
        <w:rPr>
          <w:highlight w:val="none"/>
        </w:rPr>
        <w:t xml:space="preserve"> </w:t>
      </w:r>
      <w:r>
        <w:rPr>
          <w:highlight w:val="none"/>
        </w:rPr>
      </w:r>
      <w:r/>
    </w:p>
    <w:tbl>
      <w:tblPr>
        <w:tblW w:w="8991" w:type="dxa"/>
        <w:tblCellSpacing w:w="15" w:type="dxa"/>
        <w:tblInd w:w="-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665"/>
        <w:gridCol w:w="308"/>
        <w:gridCol w:w="7695"/>
        <w:gridCol w:w="323"/>
      </w:tblGrid>
      <w:tr>
        <w:trPr>
          <w:tblCellSpacing w:w="15" w:type="dxa"/>
          <w:trHeight w:val="20"/>
        </w:trPr>
        <w:tc>
          <w:tcPr>
            <w:tcW w:w="665" w:type="dxa"/>
            <w:vAlign w:val="center"/>
            <w:textDirection w:val="lrTb"/>
            <w:noWrap w:val="false"/>
          </w:tcPr>
          <w:p>
            <w:pPr>
              <w:pStyle w:val="975"/>
              <w:spacing w:before="100" w:after="100" w:line="22" w:lineRule="atLeast"/>
              <w:widowControl/>
              <w:rPr>
                <w:highlight w:val="none"/>
              </w:rPr>
            </w:pPr>
            <w:r>
              <w:rPr>
                <w:sz w:val="21"/>
                <w:szCs w:val="21"/>
                <w:highlight w:val="none"/>
              </w:rPr>
              <w:t xml:space="preserve">单位名称</w:t>
            </w:r>
            <w:r>
              <w:rPr>
                <w:highlight w:val="none"/>
              </w:rPr>
              <w:t xml:space="preserve"> </w:t>
            </w:r>
            <w:r>
              <w:rPr>
                <w:highlight w:val="none"/>
              </w:rPr>
            </w:r>
            <w:r/>
          </w:p>
        </w:tc>
        <w:tc>
          <w:tcPr>
            <w:tcW w:w="308" w:type="dxa"/>
            <w:vAlign w:val="center"/>
            <w:textDirection w:val="lrTb"/>
            <w:noWrap w:val="false"/>
          </w:tcPr>
          <w:p>
            <w:pPr>
              <w:pStyle w:val="975"/>
              <w:spacing w:before="100" w:after="100" w:line="22" w:lineRule="atLeast"/>
              <w:widowControl/>
              <w:rPr>
                <w:highlight w:val="none"/>
              </w:rPr>
            </w:pPr>
            <w:r>
              <w:rPr>
                <w:highlight w:val="none"/>
              </w:rPr>
            </w:r>
            <w:r/>
          </w:p>
        </w:tc>
        <w:tc>
          <w:tcPr>
            <w:tcW w:w="7695" w:type="dxa"/>
            <w:vAlign w:val="center"/>
            <w:textDirection w:val="lrTb"/>
            <w:noWrap w:val="false"/>
          </w:tcPr>
          <w:p>
            <w:pPr>
              <w:pStyle w:val="975"/>
              <w:spacing w:before="100" w:after="100" w:line="22" w:lineRule="atLeast"/>
              <w:widowControl/>
              <w:rPr>
                <w:highlight w:val="none"/>
              </w:rPr>
            </w:pPr>
            <w:r>
              <w:rPr>
                <w:sz w:val="21"/>
                <w:szCs w:val="21"/>
                <w:highlight w:val="none"/>
              </w:rPr>
              <w:t xml:space="preserve">统一社会信用代码</w:t>
            </w:r>
            <w:r>
              <w:rPr>
                <w:highlight w:val="none"/>
              </w:rPr>
              <w:t xml:space="preserve"> </w:t>
            </w:r>
            <w:r>
              <w:rPr>
                <w:highlight w:val="none"/>
              </w:rPr>
            </w:r>
            <w:r/>
          </w:p>
        </w:tc>
        <w:tc>
          <w:tcPr>
            <w:tcW w:w="323" w:type="dxa"/>
            <w:vAlign w:val="center"/>
            <w:textDirection w:val="lrTb"/>
            <w:noWrap w:val="false"/>
          </w:tcPr>
          <w:p>
            <w:pPr>
              <w:pStyle w:val="975"/>
              <w:spacing w:before="100" w:after="100" w:line="22" w:lineRule="atLeast"/>
              <w:widowControl/>
              <w:rPr>
                <w:highlight w:val="none"/>
              </w:rPr>
            </w:pPr>
            <w:r>
              <w:rPr>
                <w:highlight w:val="none"/>
              </w:rPr>
            </w:r>
            <w:r/>
          </w:p>
        </w:tc>
      </w:tr>
      <w:tr>
        <w:trPr>
          <w:tblCellSpacing w:w="15" w:type="dxa"/>
          <w:trHeight w:val="20"/>
        </w:trPr>
        <w:tc>
          <w:tcPr>
            <w:tcW w:w="665" w:type="dxa"/>
            <w:vAlign w:val="center"/>
            <w:textDirection w:val="lrTb"/>
            <w:noWrap w:val="false"/>
          </w:tcPr>
          <w:p>
            <w:pPr>
              <w:pStyle w:val="975"/>
              <w:spacing w:before="100" w:after="100" w:line="22" w:lineRule="atLeast"/>
              <w:widowControl/>
              <w:rPr>
                <w:highlight w:val="none"/>
              </w:rPr>
            </w:pPr>
            <w:r>
              <w:rPr>
                <w:sz w:val="21"/>
                <w:szCs w:val="21"/>
                <w:highlight w:val="none"/>
              </w:rPr>
              <w:t xml:space="preserve">法定代表人</w:t>
            </w:r>
            <w:r>
              <w:rPr>
                <w:highlight w:val="none"/>
              </w:rPr>
              <w:t xml:space="preserve"> </w:t>
            </w:r>
            <w:r>
              <w:rPr>
                <w:highlight w:val="none"/>
              </w:rPr>
            </w:r>
            <w:r/>
          </w:p>
        </w:tc>
        <w:tc>
          <w:tcPr>
            <w:tcW w:w="308" w:type="dxa"/>
            <w:vAlign w:val="center"/>
            <w:textDirection w:val="lrTb"/>
            <w:noWrap w:val="false"/>
          </w:tcPr>
          <w:p>
            <w:pPr>
              <w:pStyle w:val="975"/>
              <w:spacing w:before="100" w:after="100" w:line="22" w:lineRule="atLeast"/>
              <w:widowControl/>
              <w:rPr>
                <w:highlight w:val="none"/>
              </w:rPr>
            </w:pPr>
            <w:r>
              <w:rPr>
                <w:highlight w:val="none"/>
              </w:rPr>
            </w:r>
            <w:r/>
          </w:p>
        </w:tc>
        <w:tc>
          <w:tcPr>
            <w:tcW w:w="7695" w:type="dxa"/>
            <w:vAlign w:val="center"/>
            <w:textDirection w:val="lrTb"/>
            <w:noWrap w:val="false"/>
          </w:tcPr>
          <w:p>
            <w:pPr>
              <w:pStyle w:val="975"/>
              <w:spacing w:before="100" w:after="100" w:line="22" w:lineRule="atLeast"/>
              <w:widowControl/>
              <w:rPr>
                <w:highlight w:val="none"/>
              </w:rPr>
            </w:pPr>
            <w:r>
              <w:rPr>
                <w:sz w:val="21"/>
                <w:szCs w:val="21"/>
                <w:highlight w:val="none"/>
              </w:rPr>
              <w:t xml:space="preserve">联系人</w:t>
            </w:r>
            <w:r>
              <w:rPr>
                <w:highlight w:val="none"/>
              </w:rPr>
              <w:t xml:space="preserve"> </w:t>
            </w:r>
            <w:r>
              <w:rPr>
                <w:highlight w:val="none"/>
              </w:rPr>
            </w:r>
            <w:r/>
          </w:p>
        </w:tc>
        <w:tc>
          <w:tcPr>
            <w:tcW w:w="323" w:type="dxa"/>
            <w:vAlign w:val="center"/>
            <w:textDirection w:val="lrTb"/>
            <w:noWrap w:val="false"/>
          </w:tcPr>
          <w:p>
            <w:pPr>
              <w:pStyle w:val="975"/>
              <w:spacing w:before="100" w:after="100" w:line="22" w:lineRule="atLeast"/>
              <w:widowControl/>
              <w:rPr>
                <w:highlight w:val="none"/>
              </w:rPr>
            </w:pPr>
            <w:r>
              <w:rPr>
                <w:highlight w:val="none"/>
              </w:rPr>
            </w:r>
            <w:r/>
          </w:p>
        </w:tc>
      </w:tr>
      <w:tr>
        <w:trPr>
          <w:tblCellSpacing w:w="15" w:type="dxa"/>
          <w:trHeight w:val="20"/>
        </w:trPr>
        <w:tc>
          <w:tcPr>
            <w:tcW w:w="665" w:type="dxa"/>
            <w:vAlign w:val="center"/>
            <w:textDirection w:val="lrTb"/>
            <w:noWrap w:val="false"/>
          </w:tcPr>
          <w:p>
            <w:pPr>
              <w:pStyle w:val="975"/>
              <w:spacing w:before="100" w:after="100" w:line="22" w:lineRule="atLeast"/>
              <w:widowControl/>
              <w:rPr>
                <w:highlight w:val="none"/>
              </w:rPr>
            </w:pPr>
            <w:r>
              <w:rPr>
                <w:sz w:val="21"/>
                <w:szCs w:val="21"/>
                <w:highlight w:val="none"/>
              </w:rPr>
              <w:t xml:space="preserve">联系地址</w:t>
            </w:r>
            <w:r>
              <w:rPr>
                <w:highlight w:val="none"/>
              </w:rPr>
              <w:t xml:space="preserve"> </w:t>
            </w:r>
            <w:r>
              <w:rPr>
                <w:highlight w:val="none"/>
              </w:rPr>
            </w:r>
            <w:r/>
          </w:p>
        </w:tc>
        <w:tc>
          <w:tcPr>
            <w:tcW w:w="308" w:type="dxa"/>
            <w:vAlign w:val="center"/>
            <w:textDirection w:val="lrTb"/>
            <w:noWrap w:val="false"/>
          </w:tcPr>
          <w:p>
            <w:pPr>
              <w:pStyle w:val="975"/>
              <w:spacing w:before="100" w:after="100" w:line="22" w:lineRule="atLeast"/>
              <w:widowControl/>
              <w:rPr>
                <w:highlight w:val="none"/>
              </w:rPr>
            </w:pPr>
            <w:r>
              <w:rPr>
                <w:highlight w:val="none"/>
              </w:rPr>
            </w:r>
            <w:r/>
          </w:p>
        </w:tc>
        <w:tc>
          <w:tcPr>
            <w:tcW w:w="7695" w:type="dxa"/>
            <w:vAlign w:val="center"/>
            <w:textDirection w:val="lrTb"/>
            <w:noWrap w:val="false"/>
          </w:tcPr>
          <w:p>
            <w:pPr>
              <w:pStyle w:val="975"/>
              <w:spacing w:before="100" w:after="100" w:line="22" w:lineRule="atLeast"/>
              <w:widowControl/>
              <w:rPr>
                <w:highlight w:val="none"/>
              </w:rPr>
            </w:pPr>
            <w:r>
              <w:rPr>
                <w:sz w:val="21"/>
                <w:szCs w:val="21"/>
                <w:highlight w:val="none"/>
              </w:rPr>
              <w:t xml:space="preserve">联系电话</w:t>
            </w:r>
            <w:r>
              <w:rPr>
                <w:highlight w:val="none"/>
              </w:rPr>
              <w:t xml:space="preserve"> </w:t>
            </w:r>
            <w:r>
              <w:rPr>
                <w:highlight w:val="none"/>
              </w:rPr>
            </w:r>
            <w:r/>
          </w:p>
        </w:tc>
        <w:tc>
          <w:tcPr>
            <w:tcW w:w="323" w:type="dxa"/>
            <w:vAlign w:val="center"/>
            <w:textDirection w:val="lrTb"/>
            <w:noWrap w:val="false"/>
          </w:tcPr>
          <w:p>
            <w:pPr>
              <w:pStyle w:val="975"/>
              <w:spacing w:before="100" w:after="100" w:line="22" w:lineRule="atLeast"/>
              <w:widowControl/>
              <w:rPr>
                <w:highlight w:val="none"/>
              </w:rPr>
            </w:pPr>
            <w:r>
              <w:rPr>
                <w:highlight w:val="none"/>
              </w:rPr>
            </w:r>
            <w:r/>
          </w:p>
        </w:tc>
      </w:tr>
      <w:tr>
        <w:trPr>
          <w:tblCellSpacing w:w="15" w:type="dxa"/>
          <w:trHeight w:val="1024"/>
        </w:trPr>
        <w:tc>
          <w:tcPr>
            <w:tcW w:w="665" w:type="dxa"/>
            <w:vAlign w:val="center"/>
            <w:textDirection w:val="lrTb"/>
            <w:noWrap w:val="false"/>
          </w:tcPr>
          <w:p>
            <w:pPr>
              <w:pStyle w:val="975"/>
              <w:spacing w:before="100" w:after="100" w:line="22" w:lineRule="atLeast"/>
              <w:widowControl/>
              <w:rPr>
                <w:highlight w:val="none"/>
              </w:rPr>
            </w:pPr>
            <w:r>
              <w:rPr>
                <w:sz w:val="21"/>
                <w:szCs w:val="21"/>
                <w:highlight w:val="none"/>
              </w:rPr>
              <w:t xml:space="preserve">诚信档案记录情况</w:t>
            </w:r>
            <w:r>
              <w:rPr>
                <w:highlight w:val="none"/>
              </w:rPr>
              <w:t xml:space="preserve"> </w:t>
            </w:r>
            <w:r>
              <w:rPr>
                <w:highlight w:val="none"/>
              </w:rPr>
            </w:r>
            <w:r/>
          </w:p>
        </w:tc>
        <w:tc>
          <w:tcPr>
            <w:gridSpan w:val="3"/>
            <w:tcW w:w="8326" w:type="dxa"/>
            <w:vAlign w:val="center"/>
            <w:textDirection w:val="lrTb"/>
            <w:noWrap w:val="false"/>
          </w:tcPr>
          <w:p>
            <w:pPr>
              <w:pStyle w:val="975"/>
              <w:spacing w:before="100" w:after="100" w:line="22" w:lineRule="atLeast"/>
              <w:widowControl/>
              <w:rPr>
                <w:highlight w:val="none"/>
              </w:rPr>
            </w:pPr>
            <w:r>
              <w:rPr>
                <w:highlight w:val="none"/>
              </w:rPr>
            </w:r>
            <w:r/>
          </w:p>
        </w:tc>
      </w:tr>
      <w:tr>
        <w:trPr>
          <w:tblCellSpacing w:w="15" w:type="dxa"/>
          <w:trHeight w:val="5318"/>
        </w:trPr>
        <w:tc>
          <w:tcPr>
            <w:tcW w:w="665" w:type="dxa"/>
            <w:vAlign w:val="center"/>
            <w:textDirection w:val="lrTb"/>
            <w:noWrap w:val="false"/>
          </w:tcPr>
          <w:p>
            <w:pPr>
              <w:pStyle w:val="975"/>
              <w:spacing w:before="100" w:after="100" w:line="22" w:lineRule="atLeast"/>
              <w:widowControl/>
              <w:rPr>
                <w:highlight w:val="none"/>
              </w:rPr>
            </w:pPr>
            <w:r>
              <w:rPr>
                <w:sz w:val="21"/>
                <w:szCs w:val="21"/>
                <w:highlight w:val="none"/>
              </w:rPr>
              <w:t xml:space="preserve">信用承诺</w:t>
            </w:r>
            <w:r>
              <w:rPr>
                <w:highlight w:val="none"/>
              </w:rPr>
              <w:t xml:space="preserve"> </w:t>
            </w:r>
            <w:r>
              <w:rPr>
                <w:highlight w:val="none"/>
              </w:rPr>
            </w:r>
            <w:r/>
          </w:p>
        </w:tc>
        <w:tc>
          <w:tcPr>
            <w:gridSpan w:val="3"/>
            <w:tcW w:w="8326" w:type="dxa"/>
            <w:vAlign w:val="center"/>
            <w:textDirection w:val="lrTb"/>
            <w:noWrap w:val="false"/>
          </w:tcPr>
          <w:p>
            <w:pPr>
              <w:pStyle w:val="975"/>
              <w:ind w:firstLine="420"/>
              <w:spacing w:before="100" w:after="100" w:line="22" w:lineRule="atLeast"/>
              <w:widowControl/>
              <w:rPr>
                <w:highlight w:val="none"/>
              </w:rPr>
            </w:pPr>
            <w:r>
              <w:rPr>
                <w:sz w:val="21"/>
                <w:szCs w:val="21"/>
                <w:highlight w:val="none"/>
              </w:rPr>
              <w:t xml:space="preserve">我公司自愿参加</w:t>
            </w:r>
            <w:r>
              <w:rPr>
                <w:rFonts w:hint="eastAsia"/>
                <w:sz w:val="21"/>
                <w:szCs w:val="21"/>
                <w:highlight w:val="none"/>
              </w:rPr>
              <w:t xml:space="preserve">苏美达国际技术贸易有限公司</w:t>
            </w:r>
            <w:r>
              <w:rPr>
                <w:sz w:val="21"/>
                <w:szCs w:val="21"/>
                <w:highlight w:val="none"/>
              </w:rPr>
              <w:t xml:space="preserve">组织的本次采购活动，严格遵守《中华人民共和国政府采购法》及相关法律法规，坚守公开、公平、公证、诚实信用的原则，已发诚信经营，无条件遵守本次政府采购活动的各项规定。</w:t>
            </w:r>
            <w:r>
              <w:rPr>
                <w:highlight w:val="none"/>
              </w:rPr>
              <w:t xml:space="preserve"> </w:t>
            </w:r>
            <w:r>
              <w:rPr>
                <w:highlight w:val="none"/>
              </w:rPr>
            </w:r>
            <w:r/>
          </w:p>
          <w:p>
            <w:pPr>
              <w:pStyle w:val="975"/>
              <w:ind w:firstLine="420"/>
              <w:spacing w:before="100" w:after="100" w:line="22" w:lineRule="atLeast"/>
              <w:widowControl/>
              <w:rPr>
                <w:highlight w:val="none"/>
              </w:rPr>
            </w:pPr>
            <w:r>
              <w:rPr>
                <w:sz w:val="21"/>
                <w:szCs w:val="21"/>
                <w:highlight w:val="none"/>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案件当事人名单、政府采购严重违法失信行为记录名单；符合法律、行政法规和采购文件规定的其他条件。如有弄虚作假或其他违法违规行为，愿承担一切法律责任，接受各级政府采购监督部门和有权机关的的审查和处罚。</w:t>
            </w:r>
            <w:r>
              <w:rPr>
                <w:highlight w:val="none"/>
              </w:rPr>
              <w:t xml:space="preserve"> </w:t>
            </w:r>
            <w:r>
              <w:rPr>
                <w:highlight w:val="none"/>
              </w:rPr>
            </w:r>
            <w:r/>
          </w:p>
          <w:p>
            <w:pPr>
              <w:pStyle w:val="975"/>
              <w:jc w:val="right"/>
              <w:spacing w:before="100" w:after="100" w:line="22" w:lineRule="atLeast"/>
              <w:widowControl/>
              <w:rPr>
                <w:highlight w:val="none"/>
              </w:rPr>
            </w:pPr>
            <w:r>
              <w:rPr>
                <w:sz w:val="21"/>
                <w:szCs w:val="21"/>
                <w:highlight w:val="none"/>
              </w:rPr>
              <w:t xml:space="preserve">供应商名称（盖章）：</w:t>
            </w:r>
            <w:r>
              <w:rPr>
                <w:highlight w:val="none"/>
              </w:rPr>
              <w:t xml:space="preserve"> </w:t>
            </w:r>
            <w:r>
              <w:rPr>
                <w:highlight w:val="none"/>
              </w:rPr>
            </w:r>
            <w:r/>
          </w:p>
          <w:p>
            <w:pPr>
              <w:pStyle w:val="975"/>
              <w:jc w:val="right"/>
              <w:spacing w:before="100" w:after="100" w:line="22" w:lineRule="atLeast"/>
              <w:widowControl/>
              <w:rPr>
                <w:highlight w:val="none"/>
              </w:rPr>
            </w:pPr>
            <w:r>
              <w:rPr>
                <w:sz w:val="21"/>
                <w:szCs w:val="21"/>
                <w:highlight w:val="none"/>
              </w:rPr>
              <w:t xml:space="preserve">法定代表人（签字）：</w:t>
            </w:r>
            <w:r>
              <w:rPr>
                <w:highlight w:val="none"/>
              </w:rPr>
              <w:t xml:space="preserve"> </w:t>
            </w:r>
            <w:r>
              <w:rPr>
                <w:highlight w:val="none"/>
              </w:rPr>
            </w:r>
            <w:r/>
          </w:p>
          <w:p>
            <w:pPr>
              <w:pStyle w:val="975"/>
              <w:jc w:val="right"/>
              <w:spacing w:before="100" w:after="100" w:line="22" w:lineRule="atLeast"/>
              <w:widowControl/>
              <w:rPr>
                <w:highlight w:val="none"/>
              </w:rPr>
            </w:pPr>
            <w:r>
              <w:rPr>
                <w:sz w:val="21"/>
                <w:szCs w:val="21"/>
                <w:highlight w:val="none"/>
              </w:rPr>
              <w:t xml:space="preserve">年月日</w:t>
            </w:r>
            <w:r>
              <w:rPr>
                <w:highlight w:val="none"/>
              </w:rPr>
              <w:t xml:space="preserve"> </w:t>
            </w:r>
            <w:r>
              <w:rPr>
                <w:highlight w:val="none"/>
              </w:rPr>
            </w:r>
            <w:r/>
          </w:p>
        </w:tc>
      </w:tr>
    </w:tbl>
    <w:p>
      <w:pPr>
        <w:pStyle w:val="1133"/>
        <w:ind w:firstLine="240"/>
        <w:rPr>
          <w:rFonts w:ascii="Arial" w:hAnsi="Arial" w:cs="Arial"/>
          <w:sz w:val="24"/>
          <w:highlight w:val="none"/>
        </w:rPr>
      </w:pPr>
      <w:r>
        <w:rPr>
          <w:rFonts w:ascii="Arial" w:hAnsi="Arial" w:cs="Arial"/>
          <w:sz w:val="24"/>
          <w:highlight w:val="none"/>
        </w:rPr>
      </w:r>
      <w:r/>
    </w:p>
    <w:p>
      <w:pPr>
        <w:pStyle w:val="992"/>
        <w:rPr>
          <w:rFonts w:hint="eastAsia"/>
          <w:highlight w:val="none"/>
        </w:rPr>
      </w:pPr>
      <w:r>
        <w:rPr>
          <w:rFonts w:hint="eastAsia"/>
          <w:highlight w:val="none"/>
        </w:rPr>
      </w:r>
      <w:r/>
    </w:p>
    <w:sectPr>
      <w:headerReference w:type="default" r:id="rId12"/>
      <w:headerReference w:type="first" r:id="rId13"/>
      <w:footerReference w:type="default" r:id="rId18"/>
      <w:footerReference w:type="first" r:id="rId19"/>
      <w:footnotePr/>
      <w:endnotePr/>
      <w:type w:val="nextPage"/>
      <w:pgSz w:w="11906" w:h="16838" w:orient="portrait"/>
      <w:pgMar w:top="1134" w:right="1134" w:bottom="1134" w:left="113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楷体_GB2312">
    <w:panose1 w:val="02010609060101010101"/>
  </w:font>
  <w:font w:name="黑体">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Tahoma">
    <w:panose1 w:val="020B0604030504040204"/>
  </w:font>
  <w:font w:name="华文新魏">
    <w:panose1 w:val="02010800040101010101"/>
  </w:font>
  <w:font w:name="等线">
    <w:panose1 w:val="02010600030101010101"/>
  </w:font>
  <w:font w:name="仿宋">
    <w:panose1 w:val="02010609060101010101"/>
  </w:font>
  <w:font w:name="Courier New">
    <w:panose1 w:val="02070309020205020404"/>
  </w:font>
  <w:font w:name="华文中宋">
    <w:panose1 w:val="02010600040101010101"/>
  </w:font>
  <w:font w:name="仿宋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Arial Narrow">
    <w:panose1 w:val="020B0606020202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tabs>
        <w:tab w:val="center" w:pos="4153" w:leader="none"/>
        <w:tab w:val="right" w:pos="8306" w:leader="none"/>
      </w:tabs>
      <w:rPr>
        <w:rStyle w:val="991"/>
        <w:rFonts w:hint="eastAsia"/>
      </w:rPr>
    </w:pPr>
    <w:r>
      <w:rPr>
        <w:rStyle w:val="991"/>
        <w:rFonts w:hint="eastAsia"/>
      </w:rPr>
      <w:t xml:space="preserve">            </w:t>
    </w:r>
    <w:r>
      <w:rPr>
        <w:rStyle w:val="991"/>
        <w:rFonts w:hint="eastAsia"/>
      </w:rPr>
    </w:r>
    <w:r/>
  </w:p>
  <w:p>
    <w:pPr>
      <w:pStyle w:val="1139"/>
      <w:tabs>
        <w:tab w:val="center" w:pos="4153" w:leader="none"/>
        <w:tab w:val="right" w:pos="8306" w:leader="none"/>
      </w:tabs>
      <w:rPr>
        <w:rStyle w:val="991"/>
        <w:rFonts w:hint="eastAsia"/>
      </w:rPr>
      <w:framePr w:wrap="around" w:vAnchor="text" w:hAnchor="page" w:x="6104" w:y="52"/>
    </w:pPr>
    <w:r>
      <w:rPr>
        <w:rStyle w:val="991"/>
        <w:rFonts w:hint="eastAsia"/>
      </w:rPr>
      <w:t xml:space="preserve">                   </w:t>
    </w:r>
    <w:r>
      <w:rPr>
        <w:rStyle w:val="991"/>
        <w:rFonts w:hint="eastAsia"/>
      </w:rPr>
    </w:r>
    <w:r/>
  </w:p>
  <w:p>
    <w:pPr>
      <w:pStyle w:val="1139"/>
      <w:jc w:val="center"/>
      <w:tabs>
        <w:tab w:val="center" w:pos="4153" w:leader="none"/>
        <w:tab w:val="right" w:pos="8306" w:leader="none"/>
      </w:tabs>
      <w:rPr>
        <w:rFonts w:hint="eastAsia"/>
        <w:sz w:val="24"/>
        <w:szCs w:val="21"/>
      </w:rPr>
    </w:pPr>
    <w:r>
      <w:rPr>
        <w:rFonts w:hint="eastAsia"/>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w:t>
    </w:r>
    <w:r>
      <w:fldChar w:fldCharType="end"/>
    </w:r>
    <w:r/>
  </w:p>
  <w:p>
    <w:pPr>
      <w:pStyle w:val="1139"/>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6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92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6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927"/>
                    </w:pPr>
                    <w:r/>
                    <w:r/>
                  </w:p>
                </w:txbxContent>
              </v:textbox>
            </v:shape>
          </w:pict>
        </mc:Fallback>
      </mc:AlternateContent>
    </w:r>
    <w:r>
      <w:rPr>
        <w:lang w:val="zh-CN"/>
      </w:rPr>
      <w:t xml:space="preserve"> </w:t>
    </w:r>
    <w:r/>
  </w:p>
  <w:p>
    <w:pPr>
      <w:pStyle w:val="1139"/>
      <w:jc w:val="center"/>
      <w:tabs>
        <w:tab w:val="center" w:pos="4153" w:leader="none"/>
        <w:tab w:val="right" w:pos="8306" w:leader="none"/>
      </w:tabs>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jc w:val="center"/>
      <w:tabs>
        <w:tab w:val="center" w:pos="4153" w:leader="none"/>
        <w:tab w:val="right" w:pos="8306" w:leader="none"/>
      </w:tabs>
    </w:pPr>
    <w:r>
      <w:rPr>
        <w:rFonts w:hint="eastAsia"/>
      </w:rPr>
      <w:t xml:space="preserve">第</w:t>
    </w:r>
    <w:r>
      <w:fldChar w:fldCharType="begin"/>
    </w:r>
    <w:r>
      <w:rPr>
        <w:rStyle w:val="991"/>
      </w:rPr>
      <w:instrText xml:space="preserve"> PAGE </w:instrText>
    </w:r>
    <w:r>
      <w:fldChar w:fldCharType="separate"/>
    </w:r>
    <w:r>
      <w:rPr>
        <w:rStyle w:val="991"/>
      </w:rPr>
      <w:t xml:space="preserve">3</w:t>
    </w:r>
    <w:r>
      <w:fldChar w:fldCharType="end"/>
    </w:r>
    <w:r>
      <w:rPr>
        <w:rStyle w:val="991"/>
        <w:rFonts w:hint="eastAsia"/>
      </w:rPr>
      <w:t xml:space="preserve">页，共</w:t>
    </w:r>
    <w:r>
      <w:fldChar w:fldCharType="begin"/>
    </w:r>
    <w:r>
      <w:rPr>
        <w:rStyle w:val="991"/>
      </w:rPr>
      <w:instrText xml:space="preserve"> NUMPAGES </w:instrText>
    </w:r>
    <w:r>
      <w:fldChar w:fldCharType="separate"/>
    </w:r>
    <w:r>
      <w:rPr>
        <w:rStyle w:val="991"/>
      </w:rPr>
      <w:t xml:space="preserve">43</w:t>
    </w:r>
    <w:r>
      <w:fldChar w:fldCharType="end"/>
    </w:r>
    <w:r>
      <w:rPr>
        <w:rStyle w:val="991"/>
        <w:rFonts w:hint="eastAsia"/>
      </w:rPr>
      <w:t xml:space="preserve">页</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63"/>
                            <w:tabs>
                              <w:tab w:val="clear" w:pos="7143" w:leader="none"/>
                              <w:tab w:val="clear" w:pos="14287" w:leader="none"/>
                            </w:tabs>
                          </w:pPr>
                          <w:r>
                            <w:fldChar w:fldCharType="begin"/>
                          </w:r>
                          <w:r>
                            <w:instrText xml:space="preserve"> PAGE  \* MERGEFORMAT </w:instrText>
                          </w:r>
                          <w:r>
                            <w:fldChar w:fldCharType="separate"/>
                          </w:r>
                          <w:r>
                            <w:t xml:space="preserve">42</w:t>
                          </w:r>
                          <w:r>
                            <w:fldChar w:fldCharType="end"/>
                          </w:r>
                          <w:r/>
                        </w:p>
                        <w:p>
                          <w:pPr>
                            <w:pStyle w:val="92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63"/>
                      <w:tabs>
                        <w:tab w:val="clear" w:pos="7143" w:leader="none"/>
                        <w:tab w:val="clear" w:pos="14287" w:leader="none"/>
                      </w:tabs>
                    </w:pPr>
                    <w:r>
                      <w:fldChar w:fldCharType="begin"/>
                    </w:r>
                    <w:r>
                      <w:instrText xml:space="preserve"> PAGE  \* MERGEFORMAT </w:instrText>
                    </w:r>
                    <w:r>
                      <w:fldChar w:fldCharType="separate"/>
                    </w:r>
                    <w:r>
                      <w:t xml:space="preserve">42</w:t>
                    </w:r>
                    <w:r>
                      <w:fldChar w:fldCharType="end"/>
                    </w:r>
                    <w:r/>
                  </w:p>
                  <w:p>
                    <w:pPr>
                      <w:pStyle w:val="927"/>
                    </w:pPr>
                    <w:r/>
                    <w:r/>
                  </w:p>
                </w:txbxContent>
              </v:textbox>
            </v:shape>
          </w:pict>
        </mc:Fallback>
      </mc:AlternateConten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34</w:t>
    </w:r>
    <w:r>
      <w:fldChar w:fldCharType="end"/>
    </w:r>
    <w:r/>
  </w:p>
  <w:p>
    <w:pPr>
      <w:pStyle w:val="1139"/>
      <w:jc w:val="center"/>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jc w:val="left"/>
      <w:tabs>
        <w:tab w:val="center" w:pos="4153" w:leader="none"/>
        <w:tab w:val="right" w:pos="8306" w:leader="none"/>
      </w:tabs>
      <w:rPr>
        <w:rFonts w:hint="eastAsia"/>
        <w:sz w:val="21"/>
      </w:rPr>
    </w:pPr>
    <w:r>
      <w:rPr>
        <w:rFonts w:hint="eastAsia"/>
        <w:sz w:val="21"/>
      </w:rPr>
      <w:t xml:space="preserve">苏美达国际技术贸易有限公司                                           SUMEC       </w:t>
    </w:r>
    <w:r>
      <w:rPr>
        <w:rFonts w:hint="eastAsia"/>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jc w:val="left"/>
      <w:tabs>
        <w:tab w:val="center" w:pos="4153" w:leader="none"/>
        <w:tab w:val="right" w:pos="8306" w:leader="none"/>
      </w:tabs>
      <w:rPr>
        <w:rFonts w:hint="eastAsia"/>
        <w:sz w:val="21"/>
      </w:rPr>
    </w:pPr>
    <w:r>
      <w:rPr>
        <w:rFonts w:hint="eastAsia"/>
        <w:sz w:val="21"/>
      </w:rPr>
      <w:t xml:space="preserve">苏美达国际技术贸易有限公司                                           SUMEC       </w:t>
    </w:r>
    <w:r>
      <w:rPr>
        <w:rFonts w:hint="eastAsia"/>
        <w:sz w:val="21"/>
      </w:rPr>
    </w:r>
    <w:r/>
  </w:p>
  <w:p>
    <w:pPr>
      <w:pStyle w:val="964"/>
      <w:tabs>
        <w:tab w:val="center" w:pos="7143" w:leader="none"/>
        <w:tab w:val="right" w:pos="14287" w:leader="none"/>
      </w:tabs>
      <w:rPr>
        <w:b/>
        <w:bCs/>
      </w:rPr>
    </w:pPr>
    <w:r>
      <w:rPr>
        <w:b/>
        <w:bCs/>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jc w:val="left"/>
      <w:tabs>
        <w:tab w:val="center" w:pos="4153" w:leader="none"/>
        <w:tab w:val="right" w:pos="8306" w:leader="none"/>
      </w:tabs>
      <w:rPr>
        <w:rFonts w:hint="eastAsia"/>
        <w:sz w:val="21"/>
      </w:rPr>
    </w:pPr>
    <w:r>
      <w:rPr>
        <w:rFonts w:hint="eastAsia"/>
        <w:sz w:val="21"/>
      </w:rPr>
      <w:t xml:space="preserve">苏美达国际技术贸易有限公司                                           SUMEC       </w:t>
    </w:r>
    <w:r>
      <w:rPr>
        <w:rFonts w:hint="eastAsia"/>
        <w:sz w:val="21"/>
      </w:rPr>
    </w:r>
    <w:r/>
  </w:p>
  <w:p>
    <w:pPr>
      <w:pStyle w:val="1138"/>
      <w:jc w:val="right"/>
      <w:spacing w:line="40" w:lineRule="exact"/>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jc w:val="left"/>
      <w:tabs>
        <w:tab w:val="center" w:pos="4153" w:leader="none"/>
        <w:tab w:val="right" w:pos="8306" w:leader="none"/>
      </w:tabs>
      <w:rPr>
        <w:rFonts w:hint="eastAsia"/>
        <w:sz w:val="21"/>
      </w:rPr>
    </w:pPr>
    <w:r>
      <w:rPr>
        <w:rFonts w:hint="eastAsia"/>
        <w:sz w:val="21"/>
      </w:rPr>
      <w:t xml:space="preserve">苏美达国际技术贸易有限公司                                           SUMEC       </w:t>
    </w:r>
    <w:r>
      <w:rPr>
        <w:rFonts w:hint="eastAsia"/>
        <w:sz w:val="21"/>
      </w:rPr>
    </w:r>
    <w:r/>
  </w:p>
  <w:p>
    <w:pPr>
      <w:pStyle w:val="1138"/>
      <w:jc w:val="right"/>
      <w:spacing w:line="40" w:lineRule="exact"/>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jc w:val="left"/>
      <w:tabs>
        <w:tab w:val="center" w:pos="4153" w:leader="none"/>
        <w:tab w:val="right" w:pos="8306" w:leader="none"/>
      </w:tabs>
      <w:rPr>
        <w:rFonts w:hint="eastAsia"/>
        <w:sz w:val="21"/>
      </w:rPr>
    </w:pPr>
    <w:r>
      <w:rPr>
        <w:rFonts w:hint="eastAsia"/>
        <w:sz w:val="21"/>
      </w:rPr>
      <w:t xml:space="preserve">苏美达国际技术贸易有限公司                                           SUMEC       </w:t>
    </w:r>
    <w:r>
      <w:rPr>
        <w:rFonts w:hint="eastAsia"/>
        <w:sz w:val="21"/>
      </w:rPr>
    </w:r>
    <w:r/>
  </w:p>
  <w:p>
    <w:pPr>
      <w:pStyle w:val="964"/>
      <w:tabs>
        <w:tab w:val="center" w:pos="7143" w:leader="none"/>
        <w:tab w:val="right"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92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tab"/>
      <w:lvlText w:val="第%1章"/>
      <w:lvlJc w:val="left"/>
      <w:pPr>
        <w:pStyle w:val="927"/>
      </w:pPr>
    </w:lvl>
    <w:lvl w:ilvl="1">
      <w:start w:val="1"/>
      <w:numFmt w:val="bullet"/>
      <w:isLgl w:val="false"/>
      <w:suff w:val="space"/>
      <w:lvlText w:val="o"/>
      <w:lvlJc w:val="left"/>
      <w:pPr>
        <w:pStyle w:val="927"/>
        <w:ind w:left="1440" w:hanging="360"/>
      </w:pPr>
      <w:rPr>
        <w:rFonts w:ascii="Courier New" w:hAnsi="Courier New" w:eastAsia="Courier New" w:cs="Courier New"/>
      </w:rPr>
    </w:lvl>
    <w:lvl w:ilvl="2">
      <w:start w:val="1"/>
      <w:numFmt w:val="bullet"/>
      <w:isLgl w:val="false"/>
      <w:suff w:val="space"/>
      <w:lvlText w:val="§"/>
      <w:lvlJc w:val="left"/>
      <w:pPr>
        <w:pStyle w:val="927"/>
        <w:ind w:left="2160" w:hanging="360"/>
      </w:pPr>
      <w:rPr>
        <w:rFonts w:ascii="Wingdings" w:hAnsi="Wingdings" w:eastAsia="Wingdings" w:cs="Wingdings"/>
      </w:rPr>
    </w:lvl>
    <w:lvl w:ilvl="3">
      <w:start w:val="1"/>
      <w:numFmt w:val="bullet"/>
      <w:isLgl w:val="false"/>
      <w:suff w:val="space"/>
      <w:lvlText w:val="·"/>
      <w:lvlJc w:val="left"/>
      <w:pPr>
        <w:pStyle w:val="927"/>
        <w:ind w:left="2880" w:hanging="360"/>
      </w:pPr>
      <w:rPr>
        <w:rFonts w:ascii="Symbol" w:hAnsi="Symbol" w:eastAsia="Symbol" w:cs="Symbol"/>
      </w:rPr>
    </w:lvl>
    <w:lvl w:ilvl="4">
      <w:start w:val="1"/>
      <w:numFmt w:val="bullet"/>
      <w:isLgl w:val="false"/>
      <w:suff w:val="space"/>
      <w:lvlText w:val="o"/>
      <w:lvlJc w:val="left"/>
      <w:pPr>
        <w:pStyle w:val="927"/>
        <w:ind w:left="3600" w:hanging="360"/>
      </w:pPr>
      <w:rPr>
        <w:rFonts w:ascii="Courier New" w:hAnsi="Courier New" w:eastAsia="Courier New" w:cs="Courier New"/>
      </w:rPr>
    </w:lvl>
    <w:lvl w:ilvl="5">
      <w:start w:val="1"/>
      <w:numFmt w:val="bullet"/>
      <w:isLgl w:val="false"/>
      <w:suff w:val="space"/>
      <w:lvlText w:val="§"/>
      <w:lvlJc w:val="left"/>
      <w:pPr>
        <w:pStyle w:val="927"/>
        <w:ind w:left="4320" w:hanging="360"/>
      </w:pPr>
      <w:rPr>
        <w:rFonts w:ascii="Wingdings" w:hAnsi="Wingdings" w:eastAsia="Wingdings" w:cs="Wingdings"/>
      </w:rPr>
    </w:lvl>
    <w:lvl w:ilvl="6">
      <w:start w:val="1"/>
      <w:numFmt w:val="bullet"/>
      <w:isLgl w:val="false"/>
      <w:suff w:val="space"/>
      <w:lvlText w:val="·"/>
      <w:lvlJc w:val="left"/>
      <w:pPr>
        <w:pStyle w:val="927"/>
        <w:ind w:left="5040" w:hanging="360"/>
      </w:pPr>
      <w:rPr>
        <w:rFonts w:ascii="Symbol" w:hAnsi="Symbol" w:eastAsia="Symbol" w:cs="Symbol"/>
      </w:rPr>
    </w:lvl>
    <w:lvl w:ilvl="7">
      <w:start w:val="1"/>
      <w:numFmt w:val="bullet"/>
      <w:isLgl w:val="false"/>
      <w:suff w:val="space"/>
      <w:lvlText w:val="o"/>
      <w:lvlJc w:val="left"/>
      <w:pPr>
        <w:pStyle w:val="927"/>
        <w:ind w:left="5760" w:hanging="360"/>
      </w:pPr>
      <w:rPr>
        <w:rFonts w:ascii="Courier New" w:hAnsi="Courier New" w:eastAsia="Courier New" w:cs="Courier New"/>
      </w:rPr>
    </w:lvl>
    <w:lvl w:ilvl="8">
      <w:start w:val="1"/>
      <w:numFmt w:val="bullet"/>
      <w:isLgl w:val="false"/>
      <w:suff w:val="space"/>
      <w:lvlText w:val="§"/>
      <w:lvlJc w:val="left"/>
      <w:pPr>
        <w:pStyle w:val="927"/>
        <w:ind w:left="6480" w:hanging="360"/>
      </w:pPr>
      <w:rPr>
        <w:rFonts w:ascii="Wingdings" w:hAnsi="Wingdings" w:eastAsia="Wingdings" w:cs="Wingdings"/>
      </w:rPr>
    </w:lvl>
  </w:abstractNum>
  <w:abstractNum w:abstractNumId="2">
    <w:multiLevelType w:val="hybridMultilevel"/>
    <w:lvl w:ilvl="0">
      <w:start w:val="6"/>
      <w:numFmt w:val="chineseCounting"/>
      <w:isLgl w:val="false"/>
      <w:suff w:val="nothing"/>
      <w:lvlText w:val="%1、"/>
      <w:lvlJc w:val="left"/>
      <w:pPr>
        <w:pStyle w:val="927"/>
      </w:pPr>
    </w:lvl>
    <w:lvl w:ilvl="1">
      <w:start w:val="1"/>
      <w:numFmt w:val="bullet"/>
      <w:isLgl w:val="false"/>
      <w:suff w:val="space"/>
      <w:lvlText w:val="o"/>
      <w:lvlJc w:val="left"/>
      <w:pPr>
        <w:pStyle w:val="927"/>
        <w:ind w:left="1440" w:hanging="360"/>
      </w:pPr>
      <w:rPr>
        <w:rFonts w:ascii="Courier New" w:hAnsi="Courier New" w:eastAsia="Courier New" w:cs="Courier New"/>
      </w:rPr>
    </w:lvl>
    <w:lvl w:ilvl="2">
      <w:start w:val="1"/>
      <w:numFmt w:val="bullet"/>
      <w:isLgl w:val="false"/>
      <w:suff w:val="space"/>
      <w:lvlText w:val="§"/>
      <w:lvlJc w:val="left"/>
      <w:pPr>
        <w:pStyle w:val="927"/>
        <w:ind w:left="2160" w:hanging="360"/>
      </w:pPr>
      <w:rPr>
        <w:rFonts w:ascii="Wingdings" w:hAnsi="Wingdings" w:eastAsia="Wingdings" w:cs="Wingdings"/>
      </w:rPr>
    </w:lvl>
    <w:lvl w:ilvl="3">
      <w:start w:val="1"/>
      <w:numFmt w:val="bullet"/>
      <w:isLgl w:val="false"/>
      <w:suff w:val="space"/>
      <w:lvlText w:val="·"/>
      <w:lvlJc w:val="left"/>
      <w:pPr>
        <w:pStyle w:val="927"/>
        <w:ind w:left="2880" w:hanging="360"/>
      </w:pPr>
      <w:rPr>
        <w:rFonts w:ascii="Symbol" w:hAnsi="Symbol" w:eastAsia="Symbol" w:cs="Symbol"/>
      </w:rPr>
    </w:lvl>
    <w:lvl w:ilvl="4">
      <w:start w:val="1"/>
      <w:numFmt w:val="bullet"/>
      <w:isLgl w:val="false"/>
      <w:suff w:val="space"/>
      <w:lvlText w:val="o"/>
      <w:lvlJc w:val="left"/>
      <w:pPr>
        <w:pStyle w:val="927"/>
        <w:ind w:left="3600" w:hanging="360"/>
      </w:pPr>
      <w:rPr>
        <w:rFonts w:ascii="Courier New" w:hAnsi="Courier New" w:eastAsia="Courier New" w:cs="Courier New"/>
      </w:rPr>
    </w:lvl>
    <w:lvl w:ilvl="5">
      <w:start w:val="1"/>
      <w:numFmt w:val="bullet"/>
      <w:isLgl w:val="false"/>
      <w:suff w:val="space"/>
      <w:lvlText w:val="§"/>
      <w:lvlJc w:val="left"/>
      <w:pPr>
        <w:pStyle w:val="927"/>
        <w:ind w:left="4320" w:hanging="360"/>
      </w:pPr>
      <w:rPr>
        <w:rFonts w:ascii="Wingdings" w:hAnsi="Wingdings" w:eastAsia="Wingdings" w:cs="Wingdings"/>
      </w:rPr>
    </w:lvl>
    <w:lvl w:ilvl="6">
      <w:start w:val="1"/>
      <w:numFmt w:val="bullet"/>
      <w:isLgl w:val="false"/>
      <w:suff w:val="space"/>
      <w:lvlText w:val="·"/>
      <w:lvlJc w:val="left"/>
      <w:pPr>
        <w:pStyle w:val="927"/>
        <w:ind w:left="5040" w:hanging="360"/>
      </w:pPr>
      <w:rPr>
        <w:rFonts w:ascii="Symbol" w:hAnsi="Symbol" w:eastAsia="Symbol" w:cs="Symbol"/>
      </w:rPr>
    </w:lvl>
    <w:lvl w:ilvl="7">
      <w:start w:val="1"/>
      <w:numFmt w:val="bullet"/>
      <w:isLgl w:val="false"/>
      <w:suff w:val="space"/>
      <w:lvlText w:val="o"/>
      <w:lvlJc w:val="left"/>
      <w:pPr>
        <w:pStyle w:val="927"/>
        <w:ind w:left="5760" w:hanging="360"/>
      </w:pPr>
      <w:rPr>
        <w:rFonts w:ascii="Courier New" w:hAnsi="Courier New" w:eastAsia="Courier New" w:cs="Courier New"/>
      </w:rPr>
    </w:lvl>
    <w:lvl w:ilvl="8">
      <w:start w:val="1"/>
      <w:numFmt w:val="bullet"/>
      <w:isLgl w:val="false"/>
      <w:suff w:val="space"/>
      <w:lvlText w:val="§"/>
      <w:lvlJc w:val="left"/>
      <w:pPr>
        <w:pStyle w:val="927"/>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nothing"/>
      <w:lvlText w:val="%1、"/>
      <w:lvlJc w:val="left"/>
      <w:pPr>
        <w:pStyle w:val="927"/>
      </w:pPr>
    </w:lvl>
    <w:lvl w:ilvl="1">
      <w:start w:val="1"/>
      <w:numFmt w:val="bullet"/>
      <w:isLgl w:val="false"/>
      <w:suff w:val="space"/>
      <w:lvlText w:val="o"/>
      <w:lvlJc w:val="left"/>
      <w:pPr>
        <w:pStyle w:val="927"/>
        <w:ind w:left="1440" w:hanging="360"/>
      </w:pPr>
      <w:rPr>
        <w:rFonts w:ascii="Courier New" w:hAnsi="Courier New" w:eastAsia="Courier New" w:cs="Courier New"/>
      </w:rPr>
    </w:lvl>
    <w:lvl w:ilvl="2">
      <w:start w:val="1"/>
      <w:numFmt w:val="bullet"/>
      <w:isLgl w:val="false"/>
      <w:suff w:val="space"/>
      <w:lvlText w:val="§"/>
      <w:lvlJc w:val="left"/>
      <w:pPr>
        <w:pStyle w:val="927"/>
        <w:ind w:left="2160" w:hanging="360"/>
      </w:pPr>
      <w:rPr>
        <w:rFonts w:ascii="Wingdings" w:hAnsi="Wingdings" w:eastAsia="Wingdings" w:cs="Wingdings"/>
      </w:rPr>
    </w:lvl>
    <w:lvl w:ilvl="3">
      <w:start w:val="1"/>
      <w:numFmt w:val="bullet"/>
      <w:isLgl w:val="false"/>
      <w:suff w:val="space"/>
      <w:lvlText w:val="·"/>
      <w:lvlJc w:val="left"/>
      <w:pPr>
        <w:pStyle w:val="927"/>
        <w:ind w:left="2880" w:hanging="360"/>
      </w:pPr>
      <w:rPr>
        <w:rFonts w:ascii="Symbol" w:hAnsi="Symbol" w:eastAsia="Symbol" w:cs="Symbol"/>
      </w:rPr>
    </w:lvl>
    <w:lvl w:ilvl="4">
      <w:start w:val="1"/>
      <w:numFmt w:val="bullet"/>
      <w:isLgl w:val="false"/>
      <w:suff w:val="space"/>
      <w:lvlText w:val="o"/>
      <w:lvlJc w:val="left"/>
      <w:pPr>
        <w:pStyle w:val="927"/>
        <w:ind w:left="3600" w:hanging="360"/>
      </w:pPr>
      <w:rPr>
        <w:rFonts w:ascii="Courier New" w:hAnsi="Courier New" w:eastAsia="Courier New" w:cs="Courier New"/>
      </w:rPr>
    </w:lvl>
    <w:lvl w:ilvl="5">
      <w:start w:val="1"/>
      <w:numFmt w:val="bullet"/>
      <w:isLgl w:val="false"/>
      <w:suff w:val="space"/>
      <w:lvlText w:val="§"/>
      <w:lvlJc w:val="left"/>
      <w:pPr>
        <w:pStyle w:val="927"/>
        <w:ind w:left="4320" w:hanging="360"/>
      </w:pPr>
      <w:rPr>
        <w:rFonts w:ascii="Wingdings" w:hAnsi="Wingdings" w:eastAsia="Wingdings" w:cs="Wingdings"/>
      </w:rPr>
    </w:lvl>
    <w:lvl w:ilvl="6">
      <w:start w:val="1"/>
      <w:numFmt w:val="bullet"/>
      <w:isLgl w:val="false"/>
      <w:suff w:val="space"/>
      <w:lvlText w:val="·"/>
      <w:lvlJc w:val="left"/>
      <w:pPr>
        <w:pStyle w:val="927"/>
        <w:ind w:left="5040" w:hanging="360"/>
      </w:pPr>
      <w:rPr>
        <w:rFonts w:ascii="Symbol" w:hAnsi="Symbol" w:eastAsia="Symbol" w:cs="Symbol"/>
      </w:rPr>
    </w:lvl>
    <w:lvl w:ilvl="7">
      <w:start w:val="1"/>
      <w:numFmt w:val="bullet"/>
      <w:isLgl w:val="false"/>
      <w:suff w:val="space"/>
      <w:lvlText w:val="o"/>
      <w:lvlJc w:val="left"/>
      <w:pPr>
        <w:pStyle w:val="927"/>
        <w:ind w:left="5760" w:hanging="360"/>
      </w:pPr>
      <w:rPr>
        <w:rFonts w:ascii="Courier New" w:hAnsi="Courier New" w:eastAsia="Courier New" w:cs="Courier New"/>
      </w:rPr>
    </w:lvl>
    <w:lvl w:ilvl="8">
      <w:start w:val="1"/>
      <w:numFmt w:val="bullet"/>
      <w:isLgl w:val="false"/>
      <w:suff w:val="space"/>
      <w:lvlText w:val="§"/>
      <w:lvlJc w:val="left"/>
      <w:pPr>
        <w:pStyle w:val="927"/>
        <w:ind w:left="6480" w:hanging="360"/>
      </w:pPr>
      <w:rPr>
        <w:rFonts w:ascii="Wingdings" w:hAnsi="Wingdings" w:eastAsia="Wingdings" w:cs="Wingdings"/>
      </w:rPr>
    </w:lvl>
  </w:abstractNum>
  <w:abstractNum w:abstractNumId="5">
    <w:multiLevelType w:val="hybridMultilevel"/>
    <w:lvl w:ilvl="0">
      <w:start w:val="2"/>
      <w:numFmt w:val="decimal"/>
      <w:isLgl w:val="false"/>
      <w:suff w:val="nothing"/>
      <w:lvlText w:val="%1、"/>
      <w:lvlJc w:val="left"/>
      <w:pPr>
        <w:pStyle w:val="927"/>
      </w:pPr>
    </w:lvl>
    <w:lvl w:ilvl="1">
      <w:start w:val="1"/>
      <w:numFmt w:val="bullet"/>
      <w:isLgl w:val="false"/>
      <w:suff w:val="space"/>
      <w:lvlText w:val="o"/>
      <w:lvlJc w:val="left"/>
      <w:pPr>
        <w:pStyle w:val="927"/>
        <w:ind w:left="1440" w:hanging="360"/>
      </w:pPr>
      <w:rPr>
        <w:rFonts w:ascii="Courier New" w:hAnsi="Courier New" w:eastAsia="Courier New" w:cs="Courier New"/>
      </w:rPr>
    </w:lvl>
    <w:lvl w:ilvl="2">
      <w:start w:val="1"/>
      <w:numFmt w:val="bullet"/>
      <w:isLgl w:val="false"/>
      <w:suff w:val="space"/>
      <w:lvlText w:val="§"/>
      <w:lvlJc w:val="left"/>
      <w:pPr>
        <w:pStyle w:val="927"/>
        <w:ind w:left="2160" w:hanging="360"/>
      </w:pPr>
      <w:rPr>
        <w:rFonts w:ascii="Wingdings" w:hAnsi="Wingdings" w:eastAsia="Wingdings" w:cs="Wingdings"/>
      </w:rPr>
    </w:lvl>
    <w:lvl w:ilvl="3">
      <w:start w:val="1"/>
      <w:numFmt w:val="bullet"/>
      <w:isLgl w:val="false"/>
      <w:suff w:val="space"/>
      <w:lvlText w:val="·"/>
      <w:lvlJc w:val="left"/>
      <w:pPr>
        <w:pStyle w:val="927"/>
        <w:ind w:left="2880" w:hanging="360"/>
      </w:pPr>
      <w:rPr>
        <w:rFonts w:ascii="Symbol" w:hAnsi="Symbol" w:eastAsia="Symbol" w:cs="Symbol"/>
      </w:rPr>
    </w:lvl>
    <w:lvl w:ilvl="4">
      <w:start w:val="1"/>
      <w:numFmt w:val="bullet"/>
      <w:isLgl w:val="false"/>
      <w:suff w:val="space"/>
      <w:lvlText w:val="o"/>
      <w:lvlJc w:val="left"/>
      <w:pPr>
        <w:pStyle w:val="927"/>
        <w:ind w:left="3600" w:hanging="360"/>
      </w:pPr>
      <w:rPr>
        <w:rFonts w:ascii="Courier New" w:hAnsi="Courier New" w:eastAsia="Courier New" w:cs="Courier New"/>
      </w:rPr>
    </w:lvl>
    <w:lvl w:ilvl="5">
      <w:start w:val="1"/>
      <w:numFmt w:val="bullet"/>
      <w:isLgl w:val="false"/>
      <w:suff w:val="space"/>
      <w:lvlText w:val="§"/>
      <w:lvlJc w:val="left"/>
      <w:pPr>
        <w:pStyle w:val="927"/>
        <w:ind w:left="4320" w:hanging="360"/>
      </w:pPr>
      <w:rPr>
        <w:rFonts w:ascii="Wingdings" w:hAnsi="Wingdings" w:eastAsia="Wingdings" w:cs="Wingdings"/>
      </w:rPr>
    </w:lvl>
    <w:lvl w:ilvl="6">
      <w:start w:val="1"/>
      <w:numFmt w:val="bullet"/>
      <w:isLgl w:val="false"/>
      <w:suff w:val="space"/>
      <w:lvlText w:val="·"/>
      <w:lvlJc w:val="left"/>
      <w:pPr>
        <w:pStyle w:val="927"/>
        <w:ind w:left="5040" w:hanging="360"/>
      </w:pPr>
      <w:rPr>
        <w:rFonts w:ascii="Symbol" w:hAnsi="Symbol" w:eastAsia="Symbol" w:cs="Symbol"/>
      </w:rPr>
    </w:lvl>
    <w:lvl w:ilvl="7">
      <w:start w:val="1"/>
      <w:numFmt w:val="bullet"/>
      <w:isLgl w:val="false"/>
      <w:suff w:val="space"/>
      <w:lvlText w:val="o"/>
      <w:lvlJc w:val="left"/>
      <w:pPr>
        <w:pStyle w:val="927"/>
        <w:ind w:left="5760" w:hanging="360"/>
      </w:pPr>
      <w:rPr>
        <w:rFonts w:ascii="Courier New" w:hAnsi="Courier New" w:eastAsia="Courier New" w:cs="Courier New"/>
      </w:rPr>
    </w:lvl>
    <w:lvl w:ilvl="8">
      <w:start w:val="1"/>
      <w:numFmt w:val="bullet"/>
      <w:isLgl w:val="false"/>
      <w:suff w:val="space"/>
      <w:lvlText w:val="§"/>
      <w:lvlJc w:val="left"/>
      <w:pPr>
        <w:pStyle w:val="927"/>
        <w:ind w:left="6480" w:hanging="360"/>
      </w:pPr>
      <w:rPr>
        <w:rFonts w:ascii="Wingdings" w:hAnsi="Wingdings" w:eastAsia="Wingdings" w:cs="Wingdings"/>
      </w:rPr>
    </w:lvl>
  </w:abstractNum>
  <w:abstractNum w:abstractNumId="6">
    <w:multiLevelType w:val="hybridMultilevel"/>
    <w:lvl w:ilvl="0">
      <w:start w:val="1"/>
      <w:numFmt w:val="decimal"/>
      <w:pStyle w:val="1142"/>
      <w:isLgl w:val="false"/>
      <w:suff w:val="space"/>
      <w:lvlText w:val="%1."/>
      <w:lvlJc w:val="left"/>
      <w:pPr>
        <w:pStyle w:val="927"/>
        <w:ind w:left="1486" w:hanging="1486"/>
      </w:pPr>
      <w:rPr>
        <w:color w:val="000000"/>
        <w:sz w:val="24"/>
        <w:szCs w:val="24"/>
      </w:rPr>
    </w:lvl>
    <w:lvl w:ilvl="1">
      <w:start w:val="1"/>
      <w:numFmt w:val="decimal"/>
      <w:isLgl w:val="false"/>
      <w:suff w:val="space"/>
      <w:lvlText w:val="%1.%2."/>
      <w:lvlJc w:val="left"/>
      <w:pPr>
        <w:pStyle w:val="927"/>
        <w:ind w:left="1486" w:hanging="1486"/>
      </w:pPr>
      <w:rPr>
        <w:rFonts w:ascii="Arial Narrow" w:hAnsi="Arial Narrow" w:eastAsia="仿宋_GB2312"/>
        <w:b w:val="0"/>
        <w:i w:val="0"/>
        <w:color w:val="000000"/>
        <w:sz w:val="24"/>
      </w:rPr>
    </w:lvl>
    <w:lvl w:ilvl="2">
      <w:start w:val="1"/>
      <w:numFmt w:val="decimal"/>
      <w:isLgl w:val="false"/>
      <w:suff w:val="space"/>
      <w:lvlText w:val="%1.%2.%3."/>
      <w:lvlJc w:val="left"/>
      <w:pPr>
        <w:pStyle w:val="927"/>
        <w:ind w:left="1486" w:hanging="1486"/>
      </w:pPr>
      <w:rPr>
        <w:rFonts w:ascii="Arial Narrow" w:hAnsi="Arial Narrow" w:eastAsia="仿宋_GB2312"/>
        <w:b w:val="0"/>
        <w:i w:val="0"/>
        <w:color w:val="000000"/>
        <w:sz w:val="24"/>
      </w:rPr>
    </w:lvl>
    <w:lvl w:ilvl="3">
      <w:start w:val="1"/>
      <w:numFmt w:val="decimal"/>
      <w:isLgl w:val="false"/>
      <w:suff w:val="space"/>
      <w:lvlText w:val="%1.%2.%3.%4."/>
      <w:lvlJc w:val="left"/>
      <w:pPr>
        <w:pStyle w:val="927"/>
        <w:ind w:left="2337" w:hanging="1486"/>
      </w:pPr>
      <w:rPr>
        <w:rFonts w:ascii="Arial Narrow" w:hAnsi="Arial Narrow" w:eastAsia="仿宋_GB2312"/>
        <w:b w:val="0"/>
        <w:i w:val="0"/>
        <w:color w:val="000000"/>
        <w:sz w:val="24"/>
      </w:rPr>
    </w:lvl>
    <w:lvl w:ilvl="4">
      <w:start w:val="1"/>
      <w:numFmt w:val="decimal"/>
      <w:isLgl w:val="false"/>
      <w:suff w:val="space"/>
      <w:lvlText w:val="%1.%2.%3.%4.%5."/>
      <w:lvlJc w:val="left"/>
      <w:pPr>
        <w:pStyle w:val="927"/>
        <w:ind w:left="1486" w:hanging="1486"/>
      </w:pPr>
      <w:rPr>
        <w:rFonts w:ascii="Arial Narrow" w:hAnsi="Arial Narrow" w:eastAsia="仿宋_GB2312"/>
        <w:b w:val="0"/>
        <w:i w:val="0"/>
        <w:sz w:val="24"/>
      </w:rPr>
    </w:lvl>
    <w:lvl w:ilvl="5">
      <w:start w:val="1"/>
      <w:numFmt w:val="decimal"/>
      <w:isLgl w:val="false"/>
      <w:suff w:val="space"/>
      <w:lvlText w:val="%1.%2.%3.%4.%5.%6."/>
      <w:lvlJc w:val="left"/>
      <w:pPr>
        <w:pStyle w:val="927"/>
        <w:ind w:left="1486" w:hanging="1486"/>
      </w:pPr>
    </w:lvl>
    <w:lvl w:ilvl="6">
      <w:start w:val="1"/>
      <w:numFmt w:val="decimal"/>
      <w:isLgl w:val="false"/>
      <w:suff w:val="space"/>
      <w:lvlText w:val="%1.%2.%3.%4.%5.%6.%7."/>
      <w:lvlJc w:val="left"/>
      <w:pPr>
        <w:pStyle w:val="927"/>
        <w:ind w:left="1486" w:hanging="1486"/>
      </w:pPr>
    </w:lvl>
    <w:lvl w:ilvl="7">
      <w:start w:val="1"/>
      <w:numFmt w:val="decimal"/>
      <w:isLgl w:val="false"/>
      <w:suff w:val="space"/>
      <w:lvlText w:val="%1.%2.%3.%4.%5.%6.%7.%8."/>
      <w:lvlJc w:val="left"/>
      <w:pPr>
        <w:pStyle w:val="927"/>
        <w:ind w:left="1486" w:hanging="1486"/>
      </w:pPr>
    </w:lvl>
    <w:lvl w:ilvl="8">
      <w:start w:val="1"/>
      <w:numFmt w:val="decimal"/>
      <w:isLgl w:val="false"/>
      <w:suff w:val="space"/>
      <w:lvlText w:val="%1.%2.%3.%4.%5.%6.%7.%8.%9."/>
      <w:lvlJc w:val="left"/>
      <w:pPr>
        <w:pStyle w:val="927"/>
        <w:ind w:left="1486" w:hanging="1486"/>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4"/>
  </w:num>
  <w:num w:numId="5">
    <w:abstractNumId w:val="1"/>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9">
    <w:name w:val="Heading 1"/>
    <w:basedOn w:val="927"/>
    <w:next w:val="927"/>
    <w:link w:val="880"/>
    <w:uiPriority w:val="9"/>
    <w:qFormat/>
    <w:pPr>
      <w:keepLines/>
      <w:keepNext/>
      <w:spacing w:before="480" w:after="200"/>
      <w:outlineLvl w:val="0"/>
    </w:pPr>
    <w:rPr>
      <w:rFonts w:ascii="Arial" w:hAnsi="Arial" w:eastAsia="Arial" w:cs="Arial"/>
      <w:sz w:val="40"/>
      <w:szCs w:val="40"/>
    </w:rPr>
  </w:style>
  <w:style w:type="character" w:styleId="880">
    <w:name w:val="Heading 1 Char"/>
    <w:link w:val="879"/>
    <w:uiPriority w:val="9"/>
    <w:rPr>
      <w:rFonts w:ascii="Arial" w:hAnsi="Arial" w:eastAsia="Arial" w:cs="Arial"/>
      <w:sz w:val="40"/>
      <w:szCs w:val="40"/>
    </w:rPr>
  </w:style>
  <w:style w:type="paragraph" w:styleId="881">
    <w:name w:val="Heading 2"/>
    <w:basedOn w:val="927"/>
    <w:next w:val="927"/>
    <w:link w:val="882"/>
    <w:uiPriority w:val="9"/>
    <w:unhideWhenUsed/>
    <w:qFormat/>
    <w:pPr>
      <w:keepLines/>
      <w:keepNext/>
      <w:spacing w:before="360" w:after="200"/>
      <w:outlineLvl w:val="1"/>
    </w:pPr>
    <w:rPr>
      <w:rFonts w:ascii="Arial" w:hAnsi="Arial" w:eastAsia="Arial" w:cs="Arial"/>
      <w:sz w:val="34"/>
    </w:rPr>
  </w:style>
  <w:style w:type="character" w:styleId="882">
    <w:name w:val="Heading 2 Char"/>
    <w:link w:val="881"/>
    <w:uiPriority w:val="9"/>
    <w:rPr>
      <w:rFonts w:ascii="Arial" w:hAnsi="Arial" w:eastAsia="Arial" w:cs="Arial"/>
      <w:sz w:val="34"/>
    </w:rPr>
  </w:style>
  <w:style w:type="paragraph" w:styleId="883">
    <w:name w:val="Heading 3"/>
    <w:basedOn w:val="927"/>
    <w:next w:val="927"/>
    <w:link w:val="993"/>
    <w:uiPriority w:val="9"/>
    <w:unhideWhenUsed/>
    <w:qFormat/>
    <w:pPr>
      <w:keepLines/>
      <w:keepNext/>
      <w:spacing w:before="320" w:after="200"/>
      <w:outlineLvl w:val="2"/>
    </w:pPr>
    <w:rPr>
      <w:rFonts w:ascii="Arial" w:hAnsi="Arial" w:eastAsia="Arial" w:cs="Arial"/>
      <w:sz w:val="30"/>
      <w:szCs w:val="30"/>
    </w:rPr>
  </w:style>
  <w:style w:type="paragraph" w:styleId="884">
    <w:name w:val="Heading 4"/>
    <w:basedOn w:val="927"/>
    <w:next w:val="927"/>
    <w:link w:val="885"/>
    <w:uiPriority w:val="9"/>
    <w:unhideWhenUsed/>
    <w:qFormat/>
    <w:pPr>
      <w:keepLines/>
      <w:keepNext/>
      <w:spacing w:before="320" w:after="200"/>
      <w:outlineLvl w:val="3"/>
    </w:pPr>
    <w:rPr>
      <w:rFonts w:ascii="Arial" w:hAnsi="Arial" w:eastAsia="Arial" w:cs="Arial"/>
      <w:b/>
      <w:bCs/>
      <w:sz w:val="26"/>
      <w:szCs w:val="26"/>
    </w:rPr>
  </w:style>
  <w:style w:type="character" w:styleId="885">
    <w:name w:val="Heading 4 Char"/>
    <w:link w:val="884"/>
    <w:uiPriority w:val="9"/>
    <w:rPr>
      <w:rFonts w:ascii="Arial" w:hAnsi="Arial" w:eastAsia="Arial" w:cs="Arial"/>
      <w:b/>
      <w:bCs/>
      <w:sz w:val="26"/>
      <w:szCs w:val="26"/>
    </w:rPr>
  </w:style>
  <w:style w:type="paragraph" w:styleId="886">
    <w:name w:val="Heading 5"/>
    <w:basedOn w:val="927"/>
    <w:next w:val="927"/>
    <w:link w:val="887"/>
    <w:uiPriority w:val="9"/>
    <w:unhideWhenUsed/>
    <w:qFormat/>
    <w:pPr>
      <w:keepLines/>
      <w:keepNext/>
      <w:spacing w:before="320" w:after="200"/>
      <w:outlineLvl w:val="4"/>
    </w:pPr>
    <w:rPr>
      <w:rFonts w:ascii="Arial" w:hAnsi="Arial" w:eastAsia="Arial" w:cs="Arial"/>
      <w:b/>
      <w:bCs/>
      <w:sz w:val="24"/>
      <w:szCs w:val="24"/>
    </w:rPr>
  </w:style>
  <w:style w:type="character" w:styleId="887">
    <w:name w:val="Heading 5 Char"/>
    <w:link w:val="886"/>
    <w:uiPriority w:val="9"/>
    <w:rPr>
      <w:rFonts w:ascii="Arial" w:hAnsi="Arial" w:eastAsia="Arial" w:cs="Arial"/>
      <w:b/>
      <w:bCs/>
      <w:sz w:val="24"/>
      <w:szCs w:val="24"/>
    </w:rPr>
  </w:style>
  <w:style w:type="paragraph" w:styleId="888">
    <w:name w:val="Heading 6"/>
    <w:basedOn w:val="927"/>
    <w:next w:val="927"/>
    <w:link w:val="889"/>
    <w:uiPriority w:val="9"/>
    <w:unhideWhenUsed/>
    <w:qFormat/>
    <w:pPr>
      <w:keepLines/>
      <w:keepNext/>
      <w:spacing w:before="320" w:after="200"/>
      <w:outlineLvl w:val="5"/>
    </w:pPr>
    <w:rPr>
      <w:rFonts w:ascii="Arial" w:hAnsi="Arial" w:eastAsia="Arial" w:cs="Arial"/>
      <w:b/>
      <w:bCs/>
      <w:sz w:val="22"/>
      <w:szCs w:val="22"/>
    </w:rPr>
  </w:style>
  <w:style w:type="character" w:styleId="889">
    <w:name w:val="Heading 6 Char"/>
    <w:link w:val="888"/>
    <w:uiPriority w:val="9"/>
    <w:rPr>
      <w:rFonts w:ascii="Arial" w:hAnsi="Arial" w:eastAsia="Arial" w:cs="Arial"/>
      <w:b/>
      <w:bCs/>
      <w:sz w:val="22"/>
      <w:szCs w:val="22"/>
    </w:rPr>
  </w:style>
  <w:style w:type="paragraph" w:styleId="890">
    <w:name w:val="Heading 7"/>
    <w:basedOn w:val="927"/>
    <w:next w:val="927"/>
    <w:link w:val="891"/>
    <w:uiPriority w:val="9"/>
    <w:unhideWhenUsed/>
    <w:qFormat/>
    <w:pPr>
      <w:keepLines/>
      <w:keepNext/>
      <w:spacing w:before="320" w:after="200"/>
      <w:outlineLvl w:val="6"/>
    </w:pPr>
    <w:rPr>
      <w:rFonts w:ascii="Arial" w:hAnsi="Arial" w:eastAsia="Arial" w:cs="Arial"/>
      <w:b/>
      <w:bCs/>
      <w:i/>
      <w:iCs/>
      <w:sz w:val="22"/>
      <w:szCs w:val="22"/>
    </w:rPr>
  </w:style>
  <w:style w:type="character" w:styleId="891">
    <w:name w:val="Heading 7 Char"/>
    <w:link w:val="890"/>
    <w:uiPriority w:val="9"/>
    <w:rPr>
      <w:rFonts w:ascii="Arial" w:hAnsi="Arial" w:eastAsia="Arial" w:cs="Arial"/>
      <w:b/>
      <w:bCs/>
      <w:i/>
      <w:iCs/>
      <w:sz w:val="22"/>
      <w:szCs w:val="22"/>
    </w:rPr>
  </w:style>
  <w:style w:type="paragraph" w:styleId="892">
    <w:name w:val="Heading 8"/>
    <w:basedOn w:val="927"/>
    <w:next w:val="927"/>
    <w:link w:val="893"/>
    <w:uiPriority w:val="9"/>
    <w:unhideWhenUsed/>
    <w:qFormat/>
    <w:pPr>
      <w:keepLines/>
      <w:keepNext/>
      <w:spacing w:before="320" w:after="200"/>
      <w:outlineLvl w:val="7"/>
    </w:pPr>
    <w:rPr>
      <w:rFonts w:ascii="Arial" w:hAnsi="Arial" w:eastAsia="Arial" w:cs="Arial"/>
      <w:i/>
      <w:iCs/>
      <w:sz w:val="22"/>
      <w:szCs w:val="22"/>
    </w:rPr>
  </w:style>
  <w:style w:type="character" w:styleId="893">
    <w:name w:val="Heading 8 Char"/>
    <w:link w:val="892"/>
    <w:uiPriority w:val="9"/>
    <w:rPr>
      <w:rFonts w:ascii="Arial" w:hAnsi="Arial" w:eastAsia="Arial" w:cs="Arial"/>
      <w:i/>
      <w:iCs/>
      <w:sz w:val="22"/>
      <w:szCs w:val="22"/>
    </w:rPr>
  </w:style>
  <w:style w:type="paragraph" w:styleId="894">
    <w:name w:val="Heading 9"/>
    <w:basedOn w:val="927"/>
    <w:next w:val="927"/>
    <w:link w:val="895"/>
    <w:uiPriority w:val="9"/>
    <w:unhideWhenUsed/>
    <w:qFormat/>
    <w:pPr>
      <w:keepLines/>
      <w:keepNext/>
      <w:spacing w:before="320" w:after="200"/>
      <w:outlineLvl w:val="8"/>
    </w:pPr>
    <w:rPr>
      <w:rFonts w:ascii="Arial" w:hAnsi="Arial" w:eastAsia="Arial" w:cs="Arial"/>
      <w:i/>
      <w:iCs/>
      <w:sz w:val="21"/>
      <w:szCs w:val="21"/>
    </w:rPr>
  </w:style>
  <w:style w:type="character" w:styleId="895">
    <w:name w:val="Heading 9 Char"/>
    <w:link w:val="894"/>
    <w:uiPriority w:val="9"/>
    <w:rPr>
      <w:rFonts w:ascii="Arial" w:hAnsi="Arial" w:eastAsia="Arial" w:cs="Arial"/>
      <w:i/>
      <w:iCs/>
      <w:sz w:val="21"/>
      <w:szCs w:val="21"/>
    </w:rPr>
  </w:style>
  <w:style w:type="paragraph" w:styleId="896">
    <w:name w:val="List Paragraph"/>
    <w:basedOn w:val="927"/>
    <w:uiPriority w:val="34"/>
    <w:qFormat/>
    <w:pPr>
      <w:contextualSpacing/>
      <w:ind w:left="720"/>
    </w:pPr>
  </w:style>
  <w:style w:type="paragraph" w:styleId="897">
    <w:name w:val="No Spacing"/>
    <w:uiPriority w:val="1"/>
    <w:qFormat/>
    <w:pPr>
      <w:spacing w:before="0" w:after="0" w:line="240" w:lineRule="auto"/>
    </w:pPr>
  </w:style>
  <w:style w:type="paragraph" w:styleId="898">
    <w:name w:val="Title"/>
    <w:basedOn w:val="927"/>
    <w:next w:val="927"/>
    <w:link w:val="899"/>
    <w:uiPriority w:val="10"/>
    <w:qFormat/>
    <w:pPr>
      <w:contextualSpacing/>
      <w:spacing w:before="300" w:after="200"/>
    </w:pPr>
    <w:rPr>
      <w:sz w:val="48"/>
      <w:szCs w:val="48"/>
    </w:rPr>
  </w:style>
  <w:style w:type="character" w:styleId="899">
    <w:name w:val="Title Char"/>
    <w:link w:val="898"/>
    <w:uiPriority w:val="10"/>
    <w:rPr>
      <w:sz w:val="48"/>
      <w:szCs w:val="48"/>
    </w:rPr>
  </w:style>
  <w:style w:type="paragraph" w:styleId="900">
    <w:name w:val="Subtitle"/>
    <w:basedOn w:val="927"/>
    <w:next w:val="927"/>
    <w:link w:val="901"/>
    <w:uiPriority w:val="11"/>
    <w:qFormat/>
    <w:pPr>
      <w:spacing w:before="200" w:after="200"/>
    </w:pPr>
    <w:rPr>
      <w:sz w:val="24"/>
      <w:szCs w:val="24"/>
    </w:rPr>
  </w:style>
  <w:style w:type="character" w:styleId="901">
    <w:name w:val="Subtitle Char"/>
    <w:link w:val="900"/>
    <w:uiPriority w:val="11"/>
    <w:rPr>
      <w:sz w:val="24"/>
      <w:szCs w:val="24"/>
    </w:rPr>
  </w:style>
  <w:style w:type="paragraph" w:styleId="902">
    <w:name w:val="Quote"/>
    <w:basedOn w:val="927"/>
    <w:next w:val="927"/>
    <w:link w:val="903"/>
    <w:uiPriority w:val="29"/>
    <w:qFormat/>
    <w:pPr>
      <w:ind w:left="720" w:right="720"/>
    </w:pPr>
    <w:rPr>
      <w:i/>
    </w:rPr>
  </w:style>
  <w:style w:type="character" w:styleId="903">
    <w:name w:val="Quote Char"/>
    <w:link w:val="902"/>
    <w:uiPriority w:val="29"/>
    <w:rPr>
      <w:i/>
    </w:rPr>
  </w:style>
  <w:style w:type="paragraph" w:styleId="904">
    <w:name w:val="Intense Quote"/>
    <w:basedOn w:val="927"/>
    <w:next w:val="927"/>
    <w:link w:val="9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5">
    <w:name w:val="Intense Quote Char"/>
    <w:link w:val="904"/>
    <w:uiPriority w:val="30"/>
    <w:rPr>
      <w:i/>
    </w:rPr>
  </w:style>
  <w:style w:type="paragraph" w:styleId="906">
    <w:name w:val="Header"/>
    <w:basedOn w:val="927"/>
    <w:link w:val="999"/>
    <w:uiPriority w:val="99"/>
    <w:unhideWhenUsed/>
    <w:pPr>
      <w:spacing w:after="0" w:line="240" w:lineRule="auto"/>
      <w:tabs>
        <w:tab w:val="center" w:pos="7143" w:leader="none"/>
        <w:tab w:val="right" w:pos="14287" w:leader="none"/>
      </w:tabs>
    </w:pPr>
  </w:style>
  <w:style w:type="paragraph" w:styleId="907">
    <w:name w:val="Footer"/>
    <w:basedOn w:val="927"/>
    <w:link w:val="1001"/>
    <w:uiPriority w:val="99"/>
    <w:unhideWhenUsed/>
    <w:pPr>
      <w:spacing w:after="0" w:line="240" w:lineRule="auto"/>
      <w:tabs>
        <w:tab w:val="center" w:pos="7143" w:leader="none"/>
        <w:tab w:val="right" w:pos="14287" w:leader="none"/>
      </w:tabs>
    </w:pPr>
  </w:style>
  <w:style w:type="paragraph" w:styleId="908">
    <w:name w:val="Caption"/>
    <w:basedOn w:val="927"/>
    <w:next w:val="927"/>
    <w:uiPriority w:val="35"/>
    <w:semiHidden/>
    <w:unhideWhenUsed/>
    <w:qFormat/>
    <w:pPr>
      <w:spacing w:line="276" w:lineRule="auto"/>
    </w:pPr>
    <w:rPr>
      <w:b/>
      <w:bCs/>
      <w:color w:val="4f81bd" w:themeColor="accent1"/>
      <w:sz w:val="18"/>
      <w:szCs w:val="18"/>
    </w:rPr>
  </w:style>
  <w:style w:type="table" w:styleId="90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0">
    <w:name w:val="Hyperlink"/>
    <w:uiPriority w:val="99"/>
    <w:unhideWhenUsed/>
    <w:rPr>
      <w:color w:val="0000ff" w:themeColor="hyperlink"/>
      <w:u w:val="single"/>
    </w:rPr>
  </w:style>
  <w:style w:type="paragraph" w:styleId="911">
    <w:name w:val="footnote text"/>
    <w:basedOn w:val="927"/>
    <w:link w:val="912"/>
    <w:uiPriority w:val="99"/>
    <w:semiHidden/>
    <w:unhideWhenUsed/>
    <w:pPr>
      <w:spacing w:after="40" w:line="240" w:lineRule="auto"/>
    </w:pPr>
    <w:rPr>
      <w:sz w:val="18"/>
    </w:rPr>
  </w:style>
  <w:style w:type="character" w:styleId="912">
    <w:name w:val="Footnote Text Char"/>
    <w:link w:val="911"/>
    <w:uiPriority w:val="99"/>
    <w:rPr>
      <w:sz w:val="18"/>
    </w:rPr>
  </w:style>
  <w:style w:type="character" w:styleId="913">
    <w:name w:val="footnote reference"/>
    <w:uiPriority w:val="99"/>
    <w:unhideWhenUsed/>
    <w:rPr>
      <w:vertAlign w:val="superscript"/>
    </w:rPr>
  </w:style>
  <w:style w:type="paragraph" w:styleId="914">
    <w:name w:val="endnote text"/>
    <w:basedOn w:val="927"/>
    <w:link w:val="915"/>
    <w:uiPriority w:val="99"/>
    <w:semiHidden/>
    <w:unhideWhenUsed/>
    <w:pPr>
      <w:spacing w:after="0" w:line="240" w:lineRule="auto"/>
    </w:pPr>
    <w:rPr>
      <w:sz w:val="20"/>
    </w:rPr>
  </w:style>
  <w:style w:type="character" w:styleId="915">
    <w:name w:val="Endnote Text Char"/>
    <w:link w:val="914"/>
    <w:uiPriority w:val="99"/>
    <w:rPr>
      <w:sz w:val="20"/>
    </w:rPr>
  </w:style>
  <w:style w:type="character" w:styleId="916">
    <w:name w:val="endnote reference"/>
    <w:uiPriority w:val="99"/>
    <w:semiHidden/>
    <w:unhideWhenUsed/>
    <w:rPr>
      <w:vertAlign w:val="superscript"/>
    </w:rPr>
  </w:style>
  <w:style w:type="paragraph" w:styleId="917">
    <w:name w:val="toc 1"/>
    <w:basedOn w:val="927"/>
    <w:next w:val="927"/>
    <w:uiPriority w:val="39"/>
    <w:unhideWhenUsed/>
    <w:pPr>
      <w:ind w:left="0" w:right="0" w:firstLine="0"/>
      <w:spacing w:after="57"/>
    </w:pPr>
  </w:style>
  <w:style w:type="paragraph" w:styleId="918">
    <w:name w:val="toc 2"/>
    <w:basedOn w:val="927"/>
    <w:next w:val="927"/>
    <w:uiPriority w:val="39"/>
    <w:unhideWhenUsed/>
    <w:pPr>
      <w:ind w:left="283" w:right="0" w:firstLine="0"/>
      <w:spacing w:after="57"/>
    </w:pPr>
  </w:style>
  <w:style w:type="paragraph" w:styleId="919">
    <w:name w:val="toc 3"/>
    <w:basedOn w:val="927"/>
    <w:next w:val="927"/>
    <w:uiPriority w:val="39"/>
    <w:unhideWhenUsed/>
    <w:pPr>
      <w:ind w:left="567" w:right="0" w:firstLine="0"/>
      <w:spacing w:after="57"/>
    </w:pPr>
  </w:style>
  <w:style w:type="paragraph" w:styleId="920">
    <w:name w:val="toc 4"/>
    <w:basedOn w:val="927"/>
    <w:next w:val="927"/>
    <w:uiPriority w:val="39"/>
    <w:unhideWhenUsed/>
    <w:pPr>
      <w:ind w:left="850" w:right="0" w:firstLine="0"/>
      <w:spacing w:after="57"/>
    </w:pPr>
  </w:style>
  <w:style w:type="paragraph" w:styleId="921">
    <w:name w:val="toc 5"/>
    <w:basedOn w:val="927"/>
    <w:next w:val="927"/>
    <w:uiPriority w:val="39"/>
    <w:unhideWhenUsed/>
    <w:pPr>
      <w:ind w:left="1134" w:right="0" w:firstLine="0"/>
      <w:spacing w:after="57"/>
    </w:pPr>
  </w:style>
  <w:style w:type="paragraph" w:styleId="922">
    <w:name w:val="toc 6"/>
    <w:basedOn w:val="927"/>
    <w:next w:val="927"/>
    <w:uiPriority w:val="39"/>
    <w:unhideWhenUsed/>
    <w:pPr>
      <w:ind w:left="1417" w:right="0" w:firstLine="0"/>
      <w:spacing w:after="57"/>
    </w:pPr>
  </w:style>
  <w:style w:type="paragraph" w:styleId="923">
    <w:name w:val="toc 7"/>
    <w:basedOn w:val="927"/>
    <w:next w:val="927"/>
    <w:uiPriority w:val="39"/>
    <w:unhideWhenUsed/>
    <w:pPr>
      <w:ind w:left="1701" w:right="0" w:firstLine="0"/>
      <w:spacing w:after="57"/>
    </w:pPr>
  </w:style>
  <w:style w:type="paragraph" w:styleId="924">
    <w:name w:val="toc 8"/>
    <w:basedOn w:val="927"/>
    <w:next w:val="927"/>
    <w:uiPriority w:val="39"/>
    <w:unhideWhenUsed/>
    <w:pPr>
      <w:ind w:left="1984" w:right="0" w:firstLine="0"/>
      <w:spacing w:after="57"/>
    </w:pPr>
  </w:style>
  <w:style w:type="paragraph" w:styleId="925">
    <w:name w:val="toc 9"/>
    <w:basedOn w:val="927"/>
    <w:next w:val="927"/>
    <w:uiPriority w:val="39"/>
    <w:unhideWhenUsed/>
    <w:pPr>
      <w:ind w:left="2268" w:right="0" w:firstLine="0"/>
      <w:spacing w:after="57"/>
    </w:pPr>
  </w:style>
  <w:style w:type="paragraph" w:styleId="926">
    <w:name w:val="table of figures"/>
    <w:basedOn w:val="927"/>
    <w:next w:val="927"/>
    <w:uiPriority w:val="99"/>
    <w:unhideWhenUsed/>
    <w:pPr>
      <w:spacing w:after="0" w:afterAutospacing="0"/>
    </w:pPr>
  </w:style>
  <w:style w:type="paragraph" w:styleId="927" w:default="1">
    <w:name w:val="Normal"/>
    <w:next w:val="927"/>
    <w:link w:val="927"/>
    <w:qFormat/>
    <w:pPr>
      <w:jc w:val="both"/>
      <w:widowControl w:val="off"/>
    </w:pPr>
    <w:rPr>
      <w:sz w:val="21"/>
      <w:lang w:val="en-US" w:eastAsia="zh-CN" w:bidi="ar-SA"/>
    </w:rPr>
  </w:style>
  <w:style w:type="paragraph" w:styleId="928">
    <w:name w:val="标题 1"/>
    <w:basedOn w:val="927"/>
    <w:next w:val="927"/>
    <w:link w:val="939"/>
    <w:uiPriority w:val="9"/>
    <w:qFormat/>
    <w:pPr>
      <w:keepLines/>
      <w:keepNext/>
      <w:spacing w:before="480" w:after="200"/>
      <w:outlineLvl w:val="0"/>
    </w:pPr>
    <w:rPr>
      <w:rFonts w:ascii="Arial" w:hAnsi="Arial" w:eastAsia="Arial"/>
      <w:sz w:val="40"/>
      <w:szCs w:val="40"/>
    </w:rPr>
  </w:style>
  <w:style w:type="paragraph" w:styleId="929">
    <w:name w:val="标题 2"/>
    <w:basedOn w:val="927"/>
    <w:next w:val="927"/>
    <w:link w:val="940"/>
    <w:uiPriority w:val="9"/>
    <w:qFormat/>
    <w:pPr>
      <w:keepLines/>
      <w:keepNext/>
      <w:spacing w:before="360" w:after="200"/>
      <w:outlineLvl w:val="1"/>
    </w:pPr>
    <w:rPr>
      <w:rFonts w:ascii="Arial" w:hAnsi="Arial" w:eastAsia="Arial"/>
      <w:sz w:val="34"/>
    </w:rPr>
  </w:style>
  <w:style w:type="paragraph" w:styleId="930">
    <w:name w:val="标题 3"/>
    <w:basedOn w:val="927"/>
    <w:next w:val="927"/>
    <w:link w:val="927"/>
    <w:uiPriority w:val="9"/>
    <w:qFormat/>
    <w:pPr>
      <w:keepLines/>
      <w:keepNext/>
      <w:spacing w:before="320" w:after="200"/>
      <w:outlineLvl w:val="2"/>
    </w:pPr>
    <w:rPr>
      <w:rFonts w:ascii="Arial" w:hAnsi="Arial" w:eastAsia="Arial" w:cs="Arial"/>
      <w:sz w:val="30"/>
      <w:szCs w:val="30"/>
    </w:rPr>
  </w:style>
  <w:style w:type="paragraph" w:styleId="931">
    <w:name w:val="标题 4"/>
    <w:basedOn w:val="927"/>
    <w:next w:val="927"/>
    <w:link w:val="941"/>
    <w:uiPriority w:val="9"/>
    <w:qFormat/>
    <w:pPr>
      <w:keepLines/>
      <w:keepNext/>
      <w:spacing w:before="320" w:after="200"/>
      <w:outlineLvl w:val="3"/>
    </w:pPr>
    <w:rPr>
      <w:rFonts w:ascii="Arial" w:hAnsi="Arial" w:eastAsia="Arial"/>
      <w:b/>
      <w:bCs/>
      <w:sz w:val="26"/>
      <w:szCs w:val="26"/>
    </w:rPr>
  </w:style>
  <w:style w:type="paragraph" w:styleId="932">
    <w:name w:val="标题 5"/>
    <w:basedOn w:val="927"/>
    <w:next w:val="927"/>
    <w:link w:val="942"/>
    <w:uiPriority w:val="9"/>
    <w:qFormat/>
    <w:pPr>
      <w:keepLines/>
      <w:keepNext/>
      <w:spacing w:before="320" w:after="200"/>
      <w:outlineLvl w:val="4"/>
    </w:pPr>
    <w:rPr>
      <w:rFonts w:ascii="Arial" w:hAnsi="Arial" w:eastAsia="Arial"/>
      <w:b/>
      <w:bCs/>
      <w:sz w:val="24"/>
      <w:szCs w:val="24"/>
    </w:rPr>
  </w:style>
  <w:style w:type="paragraph" w:styleId="933">
    <w:name w:val="标题 6"/>
    <w:basedOn w:val="927"/>
    <w:next w:val="927"/>
    <w:link w:val="943"/>
    <w:uiPriority w:val="9"/>
    <w:qFormat/>
    <w:pPr>
      <w:keepLines/>
      <w:keepNext/>
      <w:spacing w:before="320" w:after="200"/>
      <w:outlineLvl w:val="5"/>
    </w:pPr>
    <w:rPr>
      <w:rFonts w:ascii="Arial" w:hAnsi="Arial" w:eastAsia="Arial"/>
      <w:b/>
      <w:bCs/>
      <w:sz w:val="22"/>
      <w:szCs w:val="22"/>
    </w:rPr>
  </w:style>
  <w:style w:type="paragraph" w:styleId="934">
    <w:name w:val="标题 7"/>
    <w:basedOn w:val="927"/>
    <w:next w:val="927"/>
    <w:link w:val="944"/>
    <w:uiPriority w:val="9"/>
    <w:qFormat/>
    <w:pPr>
      <w:keepLines/>
      <w:keepNext/>
      <w:spacing w:before="320" w:after="200"/>
      <w:outlineLvl w:val="6"/>
    </w:pPr>
    <w:rPr>
      <w:rFonts w:ascii="Arial" w:hAnsi="Arial" w:eastAsia="Arial"/>
      <w:b/>
      <w:bCs/>
      <w:i/>
      <w:iCs/>
      <w:sz w:val="22"/>
      <w:szCs w:val="22"/>
    </w:rPr>
  </w:style>
  <w:style w:type="paragraph" w:styleId="935">
    <w:name w:val="标题 8"/>
    <w:basedOn w:val="927"/>
    <w:next w:val="927"/>
    <w:link w:val="945"/>
    <w:uiPriority w:val="9"/>
    <w:qFormat/>
    <w:pPr>
      <w:keepLines/>
      <w:keepNext/>
      <w:spacing w:before="320" w:after="200"/>
      <w:outlineLvl w:val="7"/>
    </w:pPr>
    <w:rPr>
      <w:rFonts w:ascii="Arial" w:hAnsi="Arial" w:eastAsia="Arial"/>
      <w:i/>
      <w:iCs/>
      <w:sz w:val="22"/>
      <w:szCs w:val="22"/>
    </w:rPr>
  </w:style>
  <w:style w:type="paragraph" w:styleId="936">
    <w:name w:val="标题 9"/>
    <w:basedOn w:val="927"/>
    <w:next w:val="927"/>
    <w:link w:val="946"/>
    <w:uiPriority w:val="9"/>
    <w:qFormat/>
    <w:pPr>
      <w:keepLines/>
      <w:keepNext/>
      <w:spacing w:before="320" w:after="200"/>
      <w:outlineLvl w:val="8"/>
    </w:pPr>
    <w:rPr>
      <w:rFonts w:ascii="Arial" w:hAnsi="Arial" w:eastAsia="Arial"/>
      <w:i/>
      <w:iCs/>
      <w:szCs w:val="21"/>
    </w:rPr>
  </w:style>
  <w:style w:type="character" w:styleId="937">
    <w:name w:val="默认段落字体"/>
    <w:next w:val="937"/>
    <w:link w:val="927"/>
    <w:semiHidden/>
    <w:qFormat/>
  </w:style>
  <w:style w:type="table" w:styleId="938">
    <w:name w:val="普通表格"/>
    <w:next w:val="938"/>
    <w:link w:val="927"/>
    <w:semiHidden/>
    <w:qFormat/>
    <w:tblPr/>
  </w:style>
  <w:style w:type="character" w:styleId="939">
    <w:name w:val="标题 1 Char"/>
    <w:next w:val="939"/>
    <w:link w:val="928"/>
    <w:uiPriority w:val="9"/>
    <w:rPr>
      <w:rFonts w:ascii="Arial" w:hAnsi="Arial" w:eastAsia="Arial" w:cs="Arial"/>
      <w:sz w:val="40"/>
      <w:szCs w:val="40"/>
    </w:rPr>
  </w:style>
  <w:style w:type="character" w:styleId="940">
    <w:name w:val="标题 2 Char"/>
    <w:next w:val="940"/>
    <w:link w:val="929"/>
    <w:uiPriority w:val="9"/>
    <w:rPr>
      <w:rFonts w:ascii="Arial" w:hAnsi="Arial" w:eastAsia="Arial" w:cs="Arial"/>
      <w:sz w:val="34"/>
    </w:rPr>
  </w:style>
  <w:style w:type="character" w:styleId="941">
    <w:name w:val="标题 4 Char"/>
    <w:next w:val="941"/>
    <w:link w:val="931"/>
    <w:uiPriority w:val="9"/>
    <w:rPr>
      <w:rFonts w:ascii="Arial" w:hAnsi="Arial" w:eastAsia="Arial" w:cs="Arial"/>
      <w:b/>
      <w:bCs/>
      <w:sz w:val="26"/>
      <w:szCs w:val="26"/>
    </w:rPr>
  </w:style>
  <w:style w:type="character" w:styleId="942">
    <w:name w:val="标题 5 Char"/>
    <w:next w:val="942"/>
    <w:link w:val="932"/>
    <w:uiPriority w:val="9"/>
    <w:rPr>
      <w:rFonts w:ascii="Arial" w:hAnsi="Arial" w:eastAsia="Arial" w:cs="Arial"/>
      <w:b/>
      <w:bCs/>
      <w:sz w:val="24"/>
      <w:szCs w:val="24"/>
    </w:rPr>
  </w:style>
  <w:style w:type="character" w:styleId="943">
    <w:name w:val="标题 6 Char"/>
    <w:next w:val="943"/>
    <w:link w:val="933"/>
    <w:uiPriority w:val="9"/>
    <w:rPr>
      <w:rFonts w:ascii="Arial" w:hAnsi="Arial" w:eastAsia="Arial" w:cs="Arial"/>
      <w:b/>
      <w:bCs/>
      <w:sz w:val="22"/>
      <w:szCs w:val="22"/>
    </w:rPr>
  </w:style>
  <w:style w:type="character" w:styleId="944">
    <w:name w:val="标题 7 Char"/>
    <w:next w:val="944"/>
    <w:link w:val="934"/>
    <w:uiPriority w:val="9"/>
    <w:rPr>
      <w:rFonts w:ascii="Arial" w:hAnsi="Arial" w:eastAsia="Arial" w:cs="Arial"/>
      <w:b/>
      <w:bCs/>
      <w:i/>
      <w:iCs/>
      <w:sz w:val="22"/>
      <w:szCs w:val="22"/>
    </w:rPr>
  </w:style>
  <w:style w:type="character" w:styleId="945">
    <w:name w:val="标题 8 Char"/>
    <w:next w:val="945"/>
    <w:link w:val="935"/>
    <w:uiPriority w:val="9"/>
    <w:rPr>
      <w:rFonts w:ascii="Arial" w:hAnsi="Arial" w:eastAsia="Arial" w:cs="Arial"/>
      <w:i/>
      <w:iCs/>
      <w:sz w:val="22"/>
      <w:szCs w:val="22"/>
    </w:rPr>
  </w:style>
  <w:style w:type="character" w:styleId="946">
    <w:name w:val="标题 9 Char"/>
    <w:next w:val="946"/>
    <w:link w:val="936"/>
    <w:uiPriority w:val="9"/>
    <w:rPr>
      <w:rFonts w:ascii="Arial" w:hAnsi="Arial" w:eastAsia="Arial" w:cs="Arial"/>
      <w:i/>
      <w:iCs/>
      <w:sz w:val="21"/>
      <w:szCs w:val="21"/>
    </w:rPr>
  </w:style>
  <w:style w:type="paragraph" w:styleId="947">
    <w:name w:val="目录 7"/>
    <w:basedOn w:val="927"/>
    <w:next w:val="927"/>
    <w:link w:val="927"/>
    <w:uiPriority w:val="39"/>
    <w:unhideWhenUsed/>
    <w:pPr>
      <w:ind w:left="1701" w:right="0" w:firstLine="0"/>
      <w:spacing w:after="57"/>
    </w:pPr>
  </w:style>
  <w:style w:type="paragraph" w:styleId="948">
    <w:name w:val="正文缩进"/>
    <w:basedOn w:val="927"/>
    <w:next w:val="948"/>
    <w:link w:val="927"/>
    <w:qFormat/>
    <w:pPr>
      <w:ind w:firstLine="420"/>
    </w:pPr>
  </w:style>
  <w:style w:type="paragraph" w:styleId="949">
    <w:name w:val="题注"/>
    <w:basedOn w:val="927"/>
    <w:next w:val="927"/>
    <w:link w:val="927"/>
    <w:uiPriority w:val="35"/>
    <w:qFormat/>
    <w:pPr>
      <w:spacing w:line="276" w:lineRule="auto"/>
    </w:pPr>
    <w:rPr>
      <w:b/>
      <w:bCs/>
      <w:color w:val="4874cb"/>
      <w:sz w:val="18"/>
      <w:szCs w:val="18"/>
    </w:rPr>
  </w:style>
  <w:style w:type="paragraph" w:styleId="950">
    <w:name w:val="批注文字"/>
    <w:basedOn w:val="927"/>
    <w:next w:val="950"/>
    <w:link w:val="951"/>
    <w:uiPriority w:val="99"/>
    <w:unhideWhenUsed/>
    <w:pPr>
      <w:jc w:val="left"/>
    </w:pPr>
  </w:style>
  <w:style w:type="character" w:styleId="951">
    <w:name w:val="批注文字 Char"/>
    <w:basedOn w:val="937"/>
    <w:next w:val="951"/>
    <w:link w:val="950"/>
    <w:uiPriority w:val="99"/>
    <w:rPr>
      <w:sz w:val="21"/>
    </w:rPr>
  </w:style>
  <w:style w:type="paragraph" w:styleId="952">
    <w:name w:val="正文文本"/>
    <w:basedOn w:val="927"/>
    <w:next w:val="952"/>
    <w:link w:val="927"/>
    <w:uiPriority w:val="99"/>
    <w:qFormat/>
    <w:rPr>
      <w:rFonts w:ascii="华文中宋" w:eastAsia="华文中宋"/>
      <w:bCs/>
      <w:sz w:val="28"/>
    </w:rPr>
  </w:style>
  <w:style w:type="paragraph" w:styleId="953">
    <w:name w:val="正文文本缩进"/>
    <w:basedOn w:val="927"/>
    <w:next w:val="953"/>
    <w:link w:val="927"/>
    <w:qFormat/>
    <w:pPr>
      <w:ind w:firstLine="560"/>
    </w:pPr>
    <w:rPr>
      <w:rFonts w:ascii="仿宋_GB2312" w:eastAsia="仿宋_GB2312"/>
      <w:sz w:val="28"/>
    </w:rPr>
  </w:style>
  <w:style w:type="paragraph" w:styleId="954">
    <w:name w:val="索引 4"/>
    <w:basedOn w:val="927"/>
    <w:next w:val="927"/>
    <w:link w:val="927"/>
    <w:uiPriority w:val="99"/>
    <w:qFormat/>
    <w:pPr>
      <w:ind w:left="600"/>
    </w:pPr>
    <w:rPr>
      <w:szCs w:val="24"/>
    </w:rPr>
  </w:style>
  <w:style w:type="paragraph" w:styleId="955">
    <w:name w:val="目录 5"/>
    <w:basedOn w:val="927"/>
    <w:next w:val="927"/>
    <w:link w:val="927"/>
    <w:uiPriority w:val="39"/>
    <w:unhideWhenUsed/>
    <w:pPr>
      <w:ind w:left="1134" w:right="0" w:firstLine="0"/>
      <w:spacing w:after="57"/>
    </w:pPr>
  </w:style>
  <w:style w:type="paragraph" w:styleId="956">
    <w:name w:val="目录 3"/>
    <w:basedOn w:val="927"/>
    <w:next w:val="927"/>
    <w:link w:val="927"/>
    <w:uiPriority w:val="39"/>
    <w:unhideWhenUsed/>
    <w:pPr>
      <w:ind w:left="567" w:right="0" w:firstLine="0"/>
      <w:spacing w:after="57"/>
    </w:pPr>
  </w:style>
  <w:style w:type="paragraph" w:styleId="957">
    <w:name w:val="纯文本"/>
    <w:basedOn w:val="927"/>
    <w:next w:val="957"/>
    <w:link w:val="927"/>
    <w:qFormat/>
    <w:pPr>
      <w:jc w:val="left"/>
      <w:widowControl/>
    </w:pPr>
    <w:rPr>
      <w:rFonts w:ascii="宋体" w:hAnsi="Courier New"/>
    </w:rPr>
  </w:style>
  <w:style w:type="paragraph" w:styleId="958">
    <w:name w:val="目录 8"/>
    <w:basedOn w:val="927"/>
    <w:next w:val="927"/>
    <w:link w:val="927"/>
    <w:uiPriority w:val="39"/>
    <w:unhideWhenUsed/>
    <w:pPr>
      <w:ind w:left="1984" w:right="0" w:firstLine="0"/>
      <w:spacing w:after="57"/>
    </w:pPr>
  </w:style>
  <w:style w:type="paragraph" w:styleId="959">
    <w:name w:val="尾注文本"/>
    <w:basedOn w:val="927"/>
    <w:next w:val="959"/>
    <w:link w:val="960"/>
    <w:uiPriority w:val="99"/>
    <w:unhideWhenUsed/>
    <w:qFormat/>
    <w:pPr>
      <w:spacing w:after="0" w:line="240" w:lineRule="auto"/>
    </w:pPr>
    <w:rPr>
      <w:sz w:val="20"/>
    </w:rPr>
  </w:style>
  <w:style w:type="character" w:styleId="960">
    <w:name w:val="尾注文本 Char"/>
    <w:next w:val="960"/>
    <w:link w:val="959"/>
    <w:uiPriority w:val="99"/>
    <w:rPr>
      <w:sz w:val="20"/>
    </w:rPr>
  </w:style>
  <w:style w:type="paragraph" w:styleId="961">
    <w:name w:val="批注框文本"/>
    <w:basedOn w:val="927"/>
    <w:next w:val="961"/>
    <w:link w:val="962"/>
    <w:uiPriority w:val="99"/>
    <w:unhideWhenUsed/>
    <w:rPr>
      <w:sz w:val="18"/>
      <w:szCs w:val="18"/>
    </w:rPr>
  </w:style>
  <w:style w:type="character" w:styleId="962">
    <w:name w:val="批注框文本 Char"/>
    <w:basedOn w:val="937"/>
    <w:next w:val="962"/>
    <w:link w:val="961"/>
    <w:uiPriority w:val="99"/>
    <w:semiHidden/>
    <w:rPr>
      <w:sz w:val="18"/>
      <w:szCs w:val="18"/>
    </w:rPr>
  </w:style>
  <w:style w:type="paragraph" w:styleId="963">
    <w:name w:val="页脚"/>
    <w:basedOn w:val="927"/>
    <w:next w:val="963"/>
    <w:link w:val="927"/>
    <w:uiPriority w:val="99"/>
    <w:unhideWhenUsed/>
    <w:qFormat/>
    <w:pPr>
      <w:spacing w:after="0" w:line="240" w:lineRule="auto"/>
      <w:tabs>
        <w:tab w:val="center" w:pos="7143" w:leader="none"/>
        <w:tab w:val="right" w:pos="14287" w:leader="none"/>
      </w:tabs>
    </w:pPr>
  </w:style>
  <w:style w:type="paragraph" w:styleId="964">
    <w:name w:val="页眉"/>
    <w:basedOn w:val="927"/>
    <w:next w:val="964"/>
    <w:link w:val="927"/>
    <w:uiPriority w:val="99"/>
    <w:unhideWhenUsed/>
    <w:qFormat/>
    <w:pPr>
      <w:spacing w:after="0" w:line="240" w:lineRule="auto"/>
      <w:tabs>
        <w:tab w:val="center" w:pos="7143" w:leader="none"/>
        <w:tab w:val="right" w:pos="14287" w:leader="none"/>
      </w:tabs>
    </w:pPr>
  </w:style>
  <w:style w:type="paragraph" w:styleId="965">
    <w:name w:val="目录 1"/>
    <w:basedOn w:val="927"/>
    <w:next w:val="927"/>
    <w:link w:val="927"/>
    <w:uiPriority w:val="39"/>
    <w:unhideWhenUsed/>
    <w:pPr>
      <w:ind w:left="0" w:right="0" w:firstLine="0"/>
      <w:spacing w:after="57"/>
    </w:pPr>
  </w:style>
  <w:style w:type="paragraph" w:styleId="966">
    <w:name w:val="目录 4"/>
    <w:basedOn w:val="927"/>
    <w:next w:val="927"/>
    <w:link w:val="927"/>
    <w:uiPriority w:val="39"/>
    <w:unhideWhenUsed/>
    <w:pPr>
      <w:ind w:left="850" w:right="0" w:firstLine="0"/>
      <w:spacing w:after="57"/>
    </w:pPr>
  </w:style>
  <w:style w:type="paragraph" w:styleId="967">
    <w:name w:val="副标题"/>
    <w:basedOn w:val="927"/>
    <w:next w:val="927"/>
    <w:link w:val="968"/>
    <w:uiPriority w:val="11"/>
    <w:qFormat/>
    <w:pPr>
      <w:spacing w:before="200" w:after="200"/>
    </w:pPr>
    <w:rPr>
      <w:sz w:val="24"/>
      <w:szCs w:val="24"/>
    </w:rPr>
  </w:style>
  <w:style w:type="character" w:styleId="968">
    <w:name w:val="副标题 Char"/>
    <w:next w:val="968"/>
    <w:link w:val="967"/>
    <w:uiPriority w:val="11"/>
    <w:rPr>
      <w:sz w:val="24"/>
      <w:szCs w:val="24"/>
    </w:rPr>
  </w:style>
  <w:style w:type="paragraph" w:styleId="969">
    <w:name w:val="脚注文本"/>
    <w:basedOn w:val="927"/>
    <w:next w:val="969"/>
    <w:link w:val="970"/>
    <w:uiPriority w:val="99"/>
    <w:unhideWhenUsed/>
    <w:qFormat/>
    <w:pPr>
      <w:spacing w:after="40" w:line="240" w:lineRule="auto"/>
    </w:pPr>
    <w:rPr>
      <w:sz w:val="18"/>
    </w:rPr>
  </w:style>
  <w:style w:type="character" w:styleId="970">
    <w:name w:val="脚注文本 Char"/>
    <w:next w:val="970"/>
    <w:link w:val="969"/>
    <w:uiPriority w:val="99"/>
    <w:rPr>
      <w:sz w:val="18"/>
    </w:rPr>
  </w:style>
  <w:style w:type="paragraph" w:styleId="971">
    <w:name w:val="目录 6"/>
    <w:basedOn w:val="927"/>
    <w:next w:val="927"/>
    <w:link w:val="927"/>
    <w:uiPriority w:val="39"/>
    <w:unhideWhenUsed/>
    <w:pPr>
      <w:ind w:left="1417" w:right="0" w:firstLine="0"/>
      <w:spacing w:after="57"/>
    </w:pPr>
  </w:style>
  <w:style w:type="paragraph" w:styleId="972">
    <w:name w:val="图表目录"/>
    <w:basedOn w:val="927"/>
    <w:next w:val="927"/>
    <w:link w:val="927"/>
    <w:uiPriority w:val="99"/>
    <w:unhideWhenUsed/>
    <w:pPr>
      <w:spacing w:after="0" w:afterAutospacing="0"/>
    </w:pPr>
  </w:style>
  <w:style w:type="paragraph" w:styleId="973">
    <w:name w:val="目录 2"/>
    <w:basedOn w:val="927"/>
    <w:next w:val="927"/>
    <w:link w:val="927"/>
    <w:uiPriority w:val="39"/>
    <w:unhideWhenUsed/>
    <w:pPr>
      <w:ind w:left="283" w:right="0" w:firstLine="0"/>
      <w:spacing w:after="57"/>
    </w:pPr>
  </w:style>
  <w:style w:type="paragraph" w:styleId="974">
    <w:name w:val="目录 9"/>
    <w:basedOn w:val="927"/>
    <w:next w:val="927"/>
    <w:link w:val="927"/>
    <w:uiPriority w:val="39"/>
    <w:unhideWhenUsed/>
    <w:qFormat/>
    <w:pPr>
      <w:ind w:left="2268" w:right="0" w:firstLine="0"/>
      <w:spacing w:after="57"/>
    </w:pPr>
  </w:style>
  <w:style w:type="paragraph" w:styleId="975">
    <w:name w:val="普通(网站)"/>
    <w:basedOn w:val="927"/>
    <w:next w:val="975"/>
    <w:link w:val="927"/>
    <w:qFormat/>
    <w:pPr>
      <w:jc w:val="left"/>
      <w:spacing w:beforeAutospacing="1" w:afterAutospacing="1"/>
    </w:pPr>
    <w:rPr>
      <w:rFonts w:cs="Times New Roman"/>
      <w:sz w:val="24"/>
    </w:rPr>
  </w:style>
  <w:style w:type="paragraph" w:styleId="976">
    <w:name w:val="标题"/>
    <w:basedOn w:val="927"/>
    <w:next w:val="927"/>
    <w:link w:val="977"/>
    <w:uiPriority w:val="10"/>
    <w:qFormat/>
    <w:pPr>
      <w:contextualSpacing/>
      <w:spacing w:before="300" w:after="200"/>
    </w:pPr>
    <w:rPr>
      <w:sz w:val="48"/>
      <w:szCs w:val="48"/>
    </w:rPr>
  </w:style>
  <w:style w:type="character" w:styleId="977">
    <w:name w:val="标题 Char"/>
    <w:next w:val="977"/>
    <w:link w:val="976"/>
    <w:uiPriority w:val="10"/>
    <w:rPr>
      <w:sz w:val="48"/>
      <w:szCs w:val="48"/>
    </w:rPr>
  </w:style>
  <w:style w:type="paragraph" w:styleId="978">
    <w:name w:val="批注主题"/>
    <w:basedOn w:val="950"/>
    <w:next w:val="950"/>
    <w:link w:val="979"/>
    <w:uiPriority w:val="99"/>
    <w:unhideWhenUsed/>
    <w:rPr>
      <w:b/>
      <w:bCs/>
    </w:rPr>
  </w:style>
  <w:style w:type="character" w:styleId="979">
    <w:name w:val="批注主题 Char"/>
    <w:basedOn w:val="951"/>
    <w:next w:val="979"/>
    <w:link w:val="978"/>
  </w:style>
  <w:style w:type="paragraph" w:styleId="980">
    <w:name w:val="正文首行缩进"/>
    <w:basedOn w:val="952"/>
    <w:next w:val="927"/>
    <w:link w:val="927"/>
    <w:qFormat/>
    <w:pPr>
      <w:ind w:firstLine="420"/>
    </w:pPr>
  </w:style>
  <w:style w:type="paragraph" w:styleId="981">
    <w:name w:val="正文首行缩进 2"/>
    <w:basedOn w:val="953"/>
    <w:next w:val="981"/>
    <w:link w:val="927"/>
    <w:qFormat/>
    <w:pPr>
      <w:ind w:firstLine="420"/>
    </w:pPr>
  </w:style>
  <w:style w:type="table" w:styleId="982">
    <w:name w:val="网格型"/>
    <w:next w:val="982"/>
    <w:link w:val="927"/>
    <w:uiPriority w:val="59"/>
    <w:qFormat/>
    <w:rPr>
      <w:lang w:val="en-US" w:eastAsia="zh-CN" w:bidi="ar-SA"/>
    </w:rPr>
    <w:tblPr/>
  </w:style>
  <w:style w:type="character" w:styleId="983">
    <w:name w:val="要点"/>
    <w:basedOn w:val="937"/>
    <w:next w:val="983"/>
    <w:link w:val="927"/>
    <w:uiPriority w:val="22"/>
    <w:qFormat/>
    <w:rPr>
      <w:b/>
    </w:rPr>
  </w:style>
  <w:style w:type="character" w:styleId="984">
    <w:name w:val="尾注引用"/>
    <w:next w:val="984"/>
    <w:link w:val="927"/>
    <w:uiPriority w:val="99"/>
    <w:unhideWhenUsed/>
    <w:rPr>
      <w:vertAlign w:val="superscript"/>
    </w:rPr>
  </w:style>
  <w:style w:type="character" w:styleId="985">
    <w:name w:val="页码"/>
    <w:next w:val="985"/>
    <w:link w:val="927"/>
    <w:qFormat/>
  </w:style>
  <w:style w:type="character" w:styleId="986">
    <w:name w:val="强调"/>
    <w:next w:val="986"/>
    <w:link w:val="927"/>
    <w:uiPriority w:val="20"/>
    <w:qFormat/>
    <w:rPr>
      <w:i/>
    </w:rPr>
  </w:style>
  <w:style w:type="character" w:styleId="987">
    <w:name w:val="超链接"/>
    <w:next w:val="987"/>
    <w:link w:val="927"/>
    <w:uiPriority w:val="99"/>
    <w:unhideWhenUsed/>
    <w:rPr>
      <w:color w:val="0026e5"/>
      <w:u w:val="single"/>
    </w:rPr>
  </w:style>
  <w:style w:type="character" w:styleId="988">
    <w:name w:val="批注引用"/>
    <w:basedOn w:val="937"/>
    <w:next w:val="988"/>
    <w:link w:val="927"/>
    <w:uiPriority w:val="99"/>
    <w:unhideWhenUsed/>
    <w:rPr>
      <w:sz w:val="21"/>
      <w:szCs w:val="21"/>
    </w:rPr>
  </w:style>
  <w:style w:type="character" w:styleId="989">
    <w:name w:val="脚注引用"/>
    <w:next w:val="989"/>
    <w:link w:val="927"/>
    <w:uiPriority w:val="99"/>
    <w:unhideWhenUsed/>
    <w:qFormat/>
    <w:rPr>
      <w:vertAlign w:val="superscript"/>
    </w:rPr>
  </w:style>
  <w:style w:type="character" w:styleId="990">
    <w:name w:val="要点1"/>
    <w:next w:val="990"/>
    <w:link w:val="927"/>
    <w:qFormat/>
    <w:rPr>
      <w:rFonts w:ascii="Times New Roman" w:hAnsi="Times New Roman" w:eastAsia="宋体" w:cs="Times New Roman"/>
      <w:sz w:val="21"/>
      <w:lang w:val="en-US" w:eastAsia="zh-CN" w:bidi="ar-SA"/>
    </w:rPr>
  </w:style>
  <w:style w:type="character" w:styleId="991">
    <w:name w:val="页码1"/>
    <w:next w:val="991"/>
    <w:link w:val="927"/>
    <w:uiPriority w:val="99"/>
    <w:qFormat/>
  </w:style>
  <w:style w:type="paragraph" w:styleId="992">
    <w:name w:val="正文文本1"/>
    <w:basedOn w:val="927"/>
    <w:next w:val="992"/>
    <w:link w:val="927"/>
    <w:qFormat/>
    <w:rPr>
      <w:rFonts w:ascii="宋体"/>
      <w:sz w:val="28"/>
    </w:rPr>
  </w:style>
  <w:style w:type="character" w:styleId="993">
    <w:name w:val="Heading 3 Char"/>
    <w:next w:val="993"/>
    <w:link w:val="927"/>
    <w:uiPriority w:val="9"/>
    <w:rPr>
      <w:rFonts w:ascii="Arial" w:hAnsi="Arial" w:eastAsia="Arial" w:cs="Arial"/>
      <w:sz w:val="30"/>
      <w:szCs w:val="30"/>
    </w:rPr>
  </w:style>
  <w:style w:type="paragraph" w:styleId="994">
    <w:name w:val="无间隔"/>
    <w:next w:val="994"/>
    <w:link w:val="927"/>
    <w:uiPriority w:val="1"/>
    <w:qFormat/>
    <w:rPr>
      <w:rFonts w:ascii="等线" w:hAnsi="等线" w:eastAsia="等线"/>
      <w:lang w:val="en-US" w:eastAsia="zh-CN" w:bidi="ar-SA"/>
    </w:rPr>
  </w:style>
  <w:style w:type="paragraph" w:styleId="995">
    <w:name w:val="引用"/>
    <w:basedOn w:val="927"/>
    <w:next w:val="927"/>
    <w:link w:val="996"/>
    <w:uiPriority w:val="29"/>
    <w:qFormat/>
    <w:pPr>
      <w:ind w:left="720" w:right="720"/>
    </w:pPr>
    <w:rPr>
      <w:i/>
      <w:sz w:val="20"/>
    </w:rPr>
  </w:style>
  <w:style w:type="character" w:styleId="996">
    <w:name w:val="引用 Char"/>
    <w:next w:val="996"/>
    <w:link w:val="995"/>
    <w:uiPriority w:val="29"/>
    <w:rPr>
      <w:i/>
    </w:rPr>
  </w:style>
  <w:style w:type="paragraph" w:styleId="997">
    <w:name w:val="明显引用"/>
    <w:basedOn w:val="927"/>
    <w:next w:val="927"/>
    <w:link w:val="9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rPr>
  </w:style>
  <w:style w:type="character" w:styleId="998">
    <w:name w:val="明显引用 Char"/>
    <w:next w:val="998"/>
    <w:link w:val="997"/>
    <w:uiPriority w:val="30"/>
    <w:rPr>
      <w:i/>
    </w:rPr>
  </w:style>
  <w:style w:type="character" w:styleId="999">
    <w:name w:val="Header Char"/>
    <w:next w:val="999"/>
    <w:link w:val="927"/>
    <w:uiPriority w:val="99"/>
  </w:style>
  <w:style w:type="character" w:styleId="1000">
    <w:name w:val="Footer Char"/>
    <w:next w:val="1000"/>
    <w:link w:val="927"/>
    <w:uiPriority w:val="99"/>
  </w:style>
  <w:style w:type="character" w:styleId="1001">
    <w:name w:val="Caption Char"/>
    <w:next w:val="1001"/>
    <w:link w:val="927"/>
    <w:uiPriority w:val="99"/>
  </w:style>
  <w:style w:type="table" w:styleId="1002">
    <w:name w:val="Table Grid Light"/>
    <w:basedOn w:val="938"/>
    <w:next w:val="1002"/>
    <w:link w:val="927"/>
    <w:uiPriority w:val="59"/>
    <w:pPr>
      <w:spacing w:after="0" w:line="240" w:lineRule="auto"/>
    </w:pPr>
    <w:tblPr/>
  </w:style>
  <w:style w:type="table" w:styleId="1003">
    <w:name w:val="Plain Table 1"/>
    <w:basedOn w:val="938"/>
    <w:next w:val="1003"/>
    <w:link w:val="927"/>
    <w:uiPriority w:val="59"/>
    <w:pPr>
      <w:spacing w:after="0" w:line="240" w:lineRule="auto"/>
    </w:pPr>
    <w:tblPr/>
  </w:style>
  <w:style w:type="table" w:styleId="1004">
    <w:name w:val="Plain Table 2"/>
    <w:basedOn w:val="938"/>
    <w:next w:val="1004"/>
    <w:link w:val="927"/>
    <w:uiPriority w:val="59"/>
    <w:pPr>
      <w:spacing w:after="0" w:line="240" w:lineRule="auto"/>
    </w:pPr>
    <w:tblPr/>
  </w:style>
  <w:style w:type="table" w:styleId="1005">
    <w:name w:val="Plain Table 3"/>
    <w:basedOn w:val="938"/>
    <w:next w:val="1005"/>
    <w:link w:val="927"/>
    <w:uiPriority w:val="99"/>
    <w:pPr>
      <w:spacing w:after="0" w:line="240" w:lineRule="auto"/>
    </w:pPr>
    <w:tblPr/>
  </w:style>
  <w:style w:type="table" w:styleId="1006">
    <w:name w:val="Plain Table 4"/>
    <w:basedOn w:val="938"/>
    <w:next w:val="1006"/>
    <w:link w:val="927"/>
    <w:uiPriority w:val="99"/>
    <w:pPr>
      <w:spacing w:after="0" w:line="240" w:lineRule="auto"/>
    </w:pPr>
    <w:tblPr/>
  </w:style>
  <w:style w:type="table" w:styleId="1007">
    <w:name w:val="Plain Table 5"/>
    <w:basedOn w:val="938"/>
    <w:next w:val="1007"/>
    <w:link w:val="927"/>
    <w:uiPriority w:val="99"/>
    <w:pPr>
      <w:spacing w:after="0" w:line="240" w:lineRule="auto"/>
    </w:pPr>
    <w:tblPr/>
  </w:style>
  <w:style w:type="table" w:styleId="1008">
    <w:name w:val="Grid Table 1 Light"/>
    <w:basedOn w:val="938"/>
    <w:next w:val="1008"/>
    <w:link w:val="927"/>
    <w:uiPriority w:val="99"/>
    <w:pPr>
      <w:spacing w:after="0" w:line="240" w:lineRule="auto"/>
    </w:pPr>
    <w:tblPr/>
  </w:style>
  <w:style w:type="table" w:styleId="1009">
    <w:name w:val="Grid Table 1 Light - Accent 1"/>
    <w:basedOn w:val="938"/>
    <w:next w:val="1009"/>
    <w:link w:val="927"/>
    <w:uiPriority w:val="99"/>
    <w:pPr>
      <w:spacing w:after="0" w:line="240" w:lineRule="auto"/>
    </w:pPr>
    <w:tblPr/>
  </w:style>
  <w:style w:type="table" w:styleId="1010">
    <w:name w:val="Grid Table 1 Light - Accent 2"/>
    <w:basedOn w:val="938"/>
    <w:next w:val="1010"/>
    <w:link w:val="927"/>
    <w:uiPriority w:val="99"/>
    <w:pPr>
      <w:spacing w:after="0" w:line="240" w:lineRule="auto"/>
    </w:pPr>
    <w:tblPr/>
  </w:style>
  <w:style w:type="table" w:styleId="1011">
    <w:name w:val="Grid Table 1 Light - Accent 3"/>
    <w:basedOn w:val="938"/>
    <w:next w:val="1011"/>
    <w:link w:val="927"/>
    <w:uiPriority w:val="99"/>
    <w:pPr>
      <w:spacing w:after="0" w:line="240" w:lineRule="auto"/>
    </w:pPr>
    <w:tblPr/>
  </w:style>
  <w:style w:type="table" w:styleId="1012">
    <w:name w:val="Grid Table 1 Light - Accent 4"/>
    <w:basedOn w:val="938"/>
    <w:next w:val="1012"/>
    <w:link w:val="927"/>
    <w:uiPriority w:val="99"/>
    <w:pPr>
      <w:spacing w:after="0" w:line="240" w:lineRule="auto"/>
    </w:pPr>
    <w:tblPr/>
  </w:style>
  <w:style w:type="table" w:styleId="1013">
    <w:name w:val="Grid Table 1 Light - Accent 5"/>
    <w:basedOn w:val="938"/>
    <w:next w:val="1013"/>
    <w:link w:val="927"/>
    <w:uiPriority w:val="99"/>
    <w:pPr>
      <w:spacing w:after="0" w:line="240" w:lineRule="auto"/>
    </w:pPr>
    <w:tblPr/>
  </w:style>
  <w:style w:type="table" w:styleId="1014">
    <w:name w:val="Grid Table 1 Light - Accent 6"/>
    <w:basedOn w:val="938"/>
    <w:next w:val="1014"/>
    <w:link w:val="927"/>
    <w:uiPriority w:val="99"/>
    <w:pPr>
      <w:spacing w:after="0" w:line="240" w:lineRule="auto"/>
    </w:pPr>
    <w:tblPr/>
  </w:style>
  <w:style w:type="table" w:styleId="1015">
    <w:name w:val="Grid Table 2"/>
    <w:basedOn w:val="938"/>
    <w:next w:val="1015"/>
    <w:link w:val="927"/>
    <w:uiPriority w:val="99"/>
    <w:pPr>
      <w:spacing w:after="0" w:line="240" w:lineRule="auto"/>
    </w:pPr>
    <w:tblPr/>
  </w:style>
  <w:style w:type="table" w:styleId="1016">
    <w:name w:val="Grid Table 2 - Accent 1"/>
    <w:basedOn w:val="938"/>
    <w:next w:val="1016"/>
    <w:link w:val="927"/>
    <w:uiPriority w:val="99"/>
    <w:pPr>
      <w:spacing w:after="0" w:line="240" w:lineRule="auto"/>
    </w:pPr>
    <w:tblPr/>
  </w:style>
  <w:style w:type="table" w:styleId="1017">
    <w:name w:val="Grid Table 2 - Accent 2"/>
    <w:basedOn w:val="938"/>
    <w:next w:val="1017"/>
    <w:link w:val="927"/>
    <w:uiPriority w:val="99"/>
    <w:pPr>
      <w:spacing w:after="0" w:line="240" w:lineRule="auto"/>
    </w:pPr>
    <w:tblPr/>
  </w:style>
  <w:style w:type="table" w:styleId="1018">
    <w:name w:val="Grid Table 2 - Accent 3"/>
    <w:basedOn w:val="938"/>
    <w:next w:val="1018"/>
    <w:link w:val="927"/>
    <w:uiPriority w:val="99"/>
    <w:pPr>
      <w:spacing w:after="0" w:line="240" w:lineRule="auto"/>
    </w:pPr>
    <w:tblPr/>
  </w:style>
  <w:style w:type="table" w:styleId="1019">
    <w:name w:val="Grid Table 2 - Accent 4"/>
    <w:basedOn w:val="938"/>
    <w:next w:val="1019"/>
    <w:link w:val="927"/>
    <w:uiPriority w:val="99"/>
    <w:pPr>
      <w:spacing w:after="0" w:line="240" w:lineRule="auto"/>
    </w:pPr>
    <w:tblPr/>
  </w:style>
  <w:style w:type="table" w:styleId="1020">
    <w:name w:val="Grid Table 2 - Accent 5"/>
    <w:basedOn w:val="938"/>
    <w:next w:val="1020"/>
    <w:link w:val="927"/>
    <w:uiPriority w:val="99"/>
    <w:pPr>
      <w:spacing w:after="0" w:line="240" w:lineRule="auto"/>
    </w:pPr>
    <w:tblPr/>
  </w:style>
  <w:style w:type="table" w:styleId="1021">
    <w:name w:val="Grid Table 2 - Accent 6"/>
    <w:basedOn w:val="938"/>
    <w:next w:val="1021"/>
    <w:link w:val="927"/>
    <w:uiPriority w:val="99"/>
    <w:pPr>
      <w:spacing w:after="0" w:line="240" w:lineRule="auto"/>
    </w:pPr>
    <w:tblPr/>
  </w:style>
  <w:style w:type="table" w:styleId="1022">
    <w:name w:val="Grid Table 3"/>
    <w:basedOn w:val="938"/>
    <w:next w:val="1022"/>
    <w:link w:val="927"/>
    <w:uiPriority w:val="99"/>
    <w:pPr>
      <w:spacing w:after="0" w:line="240" w:lineRule="auto"/>
    </w:pPr>
    <w:tblPr/>
  </w:style>
  <w:style w:type="table" w:styleId="1023">
    <w:name w:val="Grid Table 3 - Accent 1"/>
    <w:basedOn w:val="938"/>
    <w:next w:val="1023"/>
    <w:link w:val="927"/>
    <w:uiPriority w:val="99"/>
    <w:pPr>
      <w:spacing w:after="0" w:line="240" w:lineRule="auto"/>
    </w:pPr>
    <w:tblPr/>
  </w:style>
  <w:style w:type="table" w:styleId="1024">
    <w:name w:val="Grid Table 3 - Accent 2"/>
    <w:basedOn w:val="938"/>
    <w:next w:val="1024"/>
    <w:link w:val="927"/>
    <w:uiPriority w:val="99"/>
    <w:pPr>
      <w:spacing w:after="0" w:line="240" w:lineRule="auto"/>
    </w:pPr>
    <w:tblPr/>
  </w:style>
  <w:style w:type="table" w:styleId="1025">
    <w:name w:val="Grid Table 3 - Accent 3"/>
    <w:basedOn w:val="938"/>
    <w:next w:val="1025"/>
    <w:link w:val="927"/>
    <w:uiPriority w:val="99"/>
    <w:pPr>
      <w:spacing w:after="0" w:line="240" w:lineRule="auto"/>
    </w:pPr>
    <w:tblPr/>
  </w:style>
  <w:style w:type="table" w:styleId="1026">
    <w:name w:val="Grid Table 3 - Accent 4"/>
    <w:basedOn w:val="938"/>
    <w:next w:val="1026"/>
    <w:link w:val="927"/>
    <w:uiPriority w:val="99"/>
    <w:pPr>
      <w:spacing w:after="0" w:line="240" w:lineRule="auto"/>
    </w:pPr>
    <w:tblPr/>
  </w:style>
  <w:style w:type="table" w:styleId="1027">
    <w:name w:val="Grid Table 3 - Accent 5"/>
    <w:basedOn w:val="938"/>
    <w:next w:val="1027"/>
    <w:link w:val="927"/>
    <w:uiPriority w:val="99"/>
    <w:pPr>
      <w:spacing w:after="0" w:line="240" w:lineRule="auto"/>
    </w:pPr>
    <w:tblPr/>
  </w:style>
  <w:style w:type="table" w:styleId="1028">
    <w:name w:val="Grid Table 3 - Accent 6"/>
    <w:basedOn w:val="938"/>
    <w:next w:val="1028"/>
    <w:link w:val="927"/>
    <w:uiPriority w:val="99"/>
    <w:pPr>
      <w:spacing w:after="0" w:line="240" w:lineRule="auto"/>
    </w:pPr>
    <w:tblPr/>
  </w:style>
  <w:style w:type="table" w:styleId="1029">
    <w:name w:val="Grid Table 4"/>
    <w:basedOn w:val="938"/>
    <w:next w:val="1029"/>
    <w:link w:val="927"/>
    <w:uiPriority w:val="59"/>
    <w:pPr>
      <w:spacing w:after="0" w:line="240" w:lineRule="auto"/>
    </w:pPr>
    <w:tblPr/>
  </w:style>
  <w:style w:type="table" w:styleId="1030">
    <w:name w:val="Grid Table 4 - Accent 1"/>
    <w:basedOn w:val="938"/>
    <w:next w:val="1030"/>
    <w:link w:val="927"/>
    <w:uiPriority w:val="59"/>
    <w:pPr>
      <w:spacing w:after="0" w:line="240" w:lineRule="auto"/>
    </w:pPr>
    <w:tblPr/>
  </w:style>
  <w:style w:type="table" w:styleId="1031">
    <w:name w:val="Grid Table 4 - Accent 2"/>
    <w:basedOn w:val="938"/>
    <w:next w:val="1031"/>
    <w:link w:val="927"/>
    <w:uiPriority w:val="59"/>
    <w:pPr>
      <w:spacing w:after="0" w:line="240" w:lineRule="auto"/>
    </w:pPr>
    <w:tblPr/>
  </w:style>
  <w:style w:type="table" w:styleId="1032">
    <w:name w:val="Grid Table 4 - Accent 3"/>
    <w:basedOn w:val="938"/>
    <w:next w:val="1032"/>
    <w:link w:val="927"/>
    <w:uiPriority w:val="59"/>
    <w:pPr>
      <w:spacing w:after="0" w:line="240" w:lineRule="auto"/>
    </w:pPr>
    <w:tblPr/>
  </w:style>
  <w:style w:type="table" w:styleId="1033">
    <w:name w:val="Grid Table 4 - Accent 4"/>
    <w:basedOn w:val="938"/>
    <w:next w:val="1033"/>
    <w:link w:val="927"/>
    <w:uiPriority w:val="59"/>
    <w:pPr>
      <w:spacing w:after="0" w:line="240" w:lineRule="auto"/>
    </w:pPr>
    <w:tblPr/>
  </w:style>
  <w:style w:type="table" w:styleId="1034">
    <w:name w:val="Grid Table 4 - Accent 5"/>
    <w:basedOn w:val="938"/>
    <w:next w:val="1034"/>
    <w:link w:val="927"/>
    <w:uiPriority w:val="59"/>
    <w:pPr>
      <w:spacing w:after="0" w:line="240" w:lineRule="auto"/>
    </w:pPr>
    <w:tblPr/>
  </w:style>
  <w:style w:type="table" w:styleId="1035">
    <w:name w:val="Grid Table 4 - Accent 6"/>
    <w:basedOn w:val="938"/>
    <w:next w:val="1035"/>
    <w:link w:val="927"/>
    <w:uiPriority w:val="59"/>
    <w:pPr>
      <w:spacing w:after="0" w:line="240" w:lineRule="auto"/>
    </w:pPr>
    <w:tblPr/>
  </w:style>
  <w:style w:type="table" w:styleId="1036">
    <w:name w:val="Grid Table 5 Dark"/>
    <w:basedOn w:val="938"/>
    <w:next w:val="1036"/>
    <w:link w:val="927"/>
    <w:uiPriority w:val="99"/>
    <w:pPr>
      <w:spacing w:after="0" w:line="240" w:lineRule="auto"/>
    </w:pPr>
    <w:tblPr/>
  </w:style>
  <w:style w:type="table" w:styleId="1037">
    <w:name w:val="Grid Table 5 Dark- Accent 1"/>
    <w:basedOn w:val="938"/>
    <w:next w:val="1037"/>
    <w:link w:val="927"/>
    <w:uiPriority w:val="99"/>
    <w:pPr>
      <w:spacing w:after="0" w:line="240" w:lineRule="auto"/>
    </w:pPr>
    <w:tblPr/>
  </w:style>
  <w:style w:type="table" w:styleId="1038">
    <w:name w:val="Grid Table 5 Dark - Accent 2"/>
    <w:basedOn w:val="938"/>
    <w:next w:val="1038"/>
    <w:link w:val="927"/>
    <w:uiPriority w:val="99"/>
    <w:pPr>
      <w:spacing w:after="0" w:line="240" w:lineRule="auto"/>
    </w:pPr>
    <w:tblPr/>
  </w:style>
  <w:style w:type="table" w:styleId="1039">
    <w:name w:val="Grid Table 5 Dark - Accent 3"/>
    <w:basedOn w:val="938"/>
    <w:next w:val="1039"/>
    <w:link w:val="927"/>
    <w:uiPriority w:val="99"/>
    <w:pPr>
      <w:spacing w:after="0" w:line="240" w:lineRule="auto"/>
    </w:pPr>
    <w:tblPr/>
  </w:style>
  <w:style w:type="table" w:styleId="1040">
    <w:name w:val="Grid Table 5 Dark- Accent 4"/>
    <w:basedOn w:val="938"/>
    <w:next w:val="1040"/>
    <w:link w:val="927"/>
    <w:uiPriority w:val="99"/>
    <w:pPr>
      <w:spacing w:after="0" w:line="240" w:lineRule="auto"/>
    </w:pPr>
    <w:tblPr/>
  </w:style>
  <w:style w:type="table" w:styleId="1041">
    <w:name w:val="Grid Table 5 Dark - Accent 5"/>
    <w:basedOn w:val="938"/>
    <w:next w:val="1041"/>
    <w:link w:val="927"/>
    <w:uiPriority w:val="99"/>
    <w:pPr>
      <w:spacing w:after="0" w:line="240" w:lineRule="auto"/>
    </w:pPr>
    <w:tblPr/>
  </w:style>
  <w:style w:type="table" w:styleId="1042">
    <w:name w:val="Grid Table 5 Dark - Accent 6"/>
    <w:basedOn w:val="938"/>
    <w:next w:val="1042"/>
    <w:link w:val="927"/>
    <w:uiPriority w:val="99"/>
    <w:pPr>
      <w:spacing w:after="0" w:line="240" w:lineRule="auto"/>
    </w:pPr>
    <w:tblPr/>
  </w:style>
  <w:style w:type="table" w:styleId="1043">
    <w:name w:val="Grid Table 6 Colorful"/>
    <w:basedOn w:val="938"/>
    <w:next w:val="1043"/>
    <w:link w:val="927"/>
    <w:uiPriority w:val="99"/>
    <w:pPr>
      <w:spacing w:after="0" w:line="240" w:lineRule="auto"/>
    </w:pPr>
    <w:tblPr/>
  </w:style>
  <w:style w:type="table" w:styleId="1044">
    <w:name w:val="Grid Table 6 Colorful - Accent 1"/>
    <w:basedOn w:val="938"/>
    <w:next w:val="1044"/>
    <w:link w:val="927"/>
    <w:uiPriority w:val="99"/>
    <w:pPr>
      <w:spacing w:after="0" w:line="240" w:lineRule="auto"/>
    </w:pPr>
    <w:tblPr/>
  </w:style>
  <w:style w:type="table" w:styleId="1045">
    <w:name w:val="Grid Table 6 Colorful - Accent 2"/>
    <w:basedOn w:val="938"/>
    <w:next w:val="1045"/>
    <w:link w:val="927"/>
    <w:uiPriority w:val="99"/>
    <w:pPr>
      <w:spacing w:after="0" w:line="240" w:lineRule="auto"/>
    </w:pPr>
    <w:tblPr/>
  </w:style>
  <w:style w:type="table" w:styleId="1046">
    <w:name w:val="Grid Table 6 Colorful - Accent 3"/>
    <w:basedOn w:val="938"/>
    <w:next w:val="1046"/>
    <w:link w:val="927"/>
    <w:uiPriority w:val="99"/>
    <w:pPr>
      <w:spacing w:after="0" w:line="240" w:lineRule="auto"/>
    </w:pPr>
    <w:tblPr/>
  </w:style>
  <w:style w:type="table" w:styleId="1047">
    <w:name w:val="Grid Table 6 Colorful - Accent 4"/>
    <w:basedOn w:val="938"/>
    <w:next w:val="1047"/>
    <w:link w:val="927"/>
    <w:uiPriority w:val="99"/>
    <w:pPr>
      <w:spacing w:after="0" w:line="240" w:lineRule="auto"/>
    </w:pPr>
    <w:tblPr/>
  </w:style>
  <w:style w:type="table" w:styleId="1048">
    <w:name w:val="Grid Table 6 Colorful - Accent 5"/>
    <w:basedOn w:val="938"/>
    <w:next w:val="1048"/>
    <w:link w:val="927"/>
    <w:uiPriority w:val="99"/>
    <w:pPr>
      <w:spacing w:after="0" w:line="240" w:lineRule="auto"/>
    </w:pPr>
    <w:tblPr/>
  </w:style>
  <w:style w:type="table" w:styleId="1049">
    <w:name w:val="Grid Table 6 Colorful - Accent 6"/>
    <w:basedOn w:val="938"/>
    <w:next w:val="1049"/>
    <w:link w:val="927"/>
    <w:uiPriority w:val="99"/>
    <w:pPr>
      <w:spacing w:after="0" w:line="240" w:lineRule="auto"/>
    </w:pPr>
    <w:tblPr/>
  </w:style>
  <w:style w:type="table" w:styleId="1050">
    <w:name w:val="Grid Table 7 Colorful"/>
    <w:basedOn w:val="938"/>
    <w:next w:val="1050"/>
    <w:link w:val="927"/>
    <w:uiPriority w:val="99"/>
    <w:pPr>
      <w:spacing w:after="0" w:line="240" w:lineRule="auto"/>
    </w:pPr>
    <w:tblPr/>
  </w:style>
  <w:style w:type="table" w:styleId="1051">
    <w:name w:val="Grid Table 7 Colorful - Accent 1"/>
    <w:basedOn w:val="938"/>
    <w:next w:val="1051"/>
    <w:link w:val="927"/>
    <w:uiPriority w:val="99"/>
    <w:pPr>
      <w:spacing w:after="0" w:line="240" w:lineRule="auto"/>
    </w:pPr>
    <w:tblPr/>
  </w:style>
  <w:style w:type="table" w:styleId="1052">
    <w:name w:val="Grid Table 7 Colorful - Accent 2"/>
    <w:basedOn w:val="938"/>
    <w:next w:val="1052"/>
    <w:link w:val="927"/>
    <w:uiPriority w:val="99"/>
    <w:pPr>
      <w:spacing w:after="0" w:line="240" w:lineRule="auto"/>
    </w:pPr>
    <w:tblPr/>
  </w:style>
  <w:style w:type="table" w:styleId="1053">
    <w:name w:val="Grid Table 7 Colorful - Accent 3"/>
    <w:basedOn w:val="938"/>
    <w:next w:val="1053"/>
    <w:link w:val="927"/>
    <w:uiPriority w:val="99"/>
    <w:pPr>
      <w:spacing w:after="0" w:line="240" w:lineRule="auto"/>
    </w:pPr>
    <w:tblPr/>
  </w:style>
  <w:style w:type="table" w:styleId="1054">
    <w:name w:val="Grid Table 7 Colorful - Accent 4"/>
    <w:basedOn w:val="938"/>
    <w:next w:val="1054"/>
    <w:link w:val="927"/>
    <w:uiPriority w:val="99"/>
    <w:pPr>
      <w:spacing w:after="0" w:line="240" w:lineRule="auto"/>
    </w:pPr>
    <w:tblPr/>
  </w:style>
  <w:style w:type="table" w:styleId="1055">
    <w:name w:val="Grid Table 7 Colorful - Accent 5"/>
    <w:basedOn w:val="938"/>
    <w:next w:val="1055"/>
    <w:link w:val="927"/>
    <w:uiPriority w:val="99"/>
    <w:pPr>
      <w:spacing w:after="0" w:line="240" w:lineRule="auto"/>
    </w:pPr>
    <w:tblPr/>
  </w:style>
  <w:style w:type="table" w:styleId="1056">
    <w:name w:val="Grid Table 7 Colorful - Accent 6"/>
    <w:basedOn w:val="938"/>
    <w:next w:val="1056"/>
    <w:link w:val="927"/>
    <w:uiPriority w:val="99"/>
    <w:pPr>
      <w:spacing w:after="0" w:line="240" w:lineRule="auto"/>
    </w:pPr>
    <w:tblPr/>
  </w:style>
  <w:style w:type="table" w:styleId="1057">
    <w:name w:val="List Table 1 Light"/>
    <w:basedOn w:val="938"/>
    <w:next w:val="1057"/>
    <w:link w:val="927"/>
    <w:uiPriority w:val="99"/>
    <w:pPr>
      <w:spacing w:after="0" w:line="240" w:lineRule="auto"/>
    </w:pPr>
    <w:tblPr/>
  </w:style>
  <w:style w:type="table" w:styleId="1058">
    <w:name w:val="List Table 1 Light - Accent 1"/>
    <w:basedOn w:val="938"/>
    <w:next w:val="1058"/>
    <w:link w:val="927"/>
    <w:uiPriority w:val="99"/>
    <w:pPr>
      <w:spacing w:after="0" w:line="240" w:lineRule="auto"/>
    </w:pPr>
    <w:tblPr/>
  </w:style>
  <w:style w:type="table" w:styleId="1059">
    <w:name w:val="List Table 1 Light - Accent 2"/>
    <w:basedOn w:val="938"/>
    <w:next w:val="1059"/>
    <w:link w:val="927"/>
    <w:uiPriority w:val="99"/>
    <w:pPr>
      <w:spacing w:after="0" w:line="240" w:lineRule="auto"/>
    </w:pPr>
    <w:tblPr/>
  </w:style>
  <w:style w:type="table" w:styleId="1060">
    <w:name w:val="List Table 1 Light - Accent 3"/>
    <w:basedOn w:val="938"/>
    <w:next w:val="1060"/>
    <w:link w:val="927"/>
    <w:uiPriority w:val="99"/>
    <w:pPr>
      <w:spacing w:after="0" w:line="240" w:lineRule="auto"/>
    </w:pPr>
    <w:tblPr/>
  </w:style>
  <w:style w:type="table" w:styleId="1061">
    <w:name w:val="List Table 1 Light - Accent 4"/>
    <w:basedOn w:val="938"/>
    <w:next w:val="1061"/>
    <w:link w:val="927"/>
    <w:uiPriority w:val="99"/>
    <w:pPr>
      <w:spacing w:after="0" w:line="240" w:lineRule="auto"/>
    </w:pPr>
    <w:tblPr/>
  </w:style>
  <w:style w:type="table" w:styleId="1062">
    <w:name w:val="List Table 1 Light - Accent 5"/>
    <w:basedOn w:val="938"/>
    <w:next w:val="1062"/>
    <w:link w:val="927"/>
    <w:uiPriority w:val="99"/>
    <w:pPr>
      <w:spacing w:after="0" w:line="240" w:lineRule="auto"/>
    </w:pPr>
    <w:tblPr/>
  </w:style>
  <w:style w:type="table" w:styleId="1063">
    <w:name w:val="List Table 1 Light - Accent 6"/>
    <w:basedOn w:val="938"/>
    <w:next w:val="1063"/>
    <w:link w:val="927"/>
    <w:uiPriority w:val="99"/>
    <w:pPr>
      <w:spacing w:after="0" w:line="240" w:lineRule="auto"/>
    </w:pPr>
    <w:tblPr/>
  </w:style>
  <w:style w:type="table" w:styleId="1064">
    <w:name w:val="List Table 2"/>
    <w:basedOn w:val="938"/>
    <w:next w:val="1064"/>
    <w:link w:val="927"/>
    <w:uiPriority w:val="99"/>
    <w:pPr>
      <w:spacing w:after="0" w:line="240" w:lineRule="auto"/>
    </w:pPr>
    <w:tblPr/>
  </w:style>
  <w:style w:type="table" w:styleId="1065">
    <w:name w:val="List Table 2 - Accent 1"/>
    <w:basedOn w:val="938"/>
    <w:next w:val="1065"/>
    <w:link w:val="927"/>
    <w:uiPriority w:val="99"/>
    <w:pPr>
      <w:spacing w:after="0" w:line="240" w:lineRule="auto"/>
    </w:pPr>
    <w:tblPr/>
  </w:style>
  <w:style w:type="table" w:styleId="1066">
    <w:name w:val="List Table 2 - Accent 2"/>
    <w:basedOn w:val="938"/>
    <w:next w:val="1066"/>
    <w:link w:val="927"/>
    <w:uiPriority w:val="99"/>
    <w:pPr>
      <w:spacing w:after="0" w:line="240" w:lineRule="auto"/>
    </w:pPr>
    <w:tblPr/>
  </w:style>
  <w:style w:type="table" w:styleId="1067">
    <w:name w:val="List Table 2 - Accent 3"/>
    <w:basedOn w:val="938"/>
    <w:next w:val="1067"/>
    <w:link w:val="927"/>
    <w:uiPriority w:val="99"/>
    <w:pPr>
      <w:spacing w:after="0" w:line="240" w:lineRule="auto"/>
    </w:pPr>
    <w:tblPr/>
  </w:style>
  <w:style w:type="table" w:styleId="1068">
    <w:name w:val="List Table 2 - Accent 4"/>
    <w:basedOn w:val="938"/>
    <w:next w:val="1068"/>
    <w:link w:val="927"/>
    <w:uiPriority w:val="99"/>
    <w:pPr>
      <w:spacing w:after="0" w:line="240" w:lineRule="auto"/>
    </w:pPr>
    <w:tblPr/>
  </w:style>
  <w:style w:type="table" w:styleId="1069">
    <w:name w:val="List Table 2 - Accent 5"/>
    <w:basedOn w:val="938"/>
    <w:next w:val="1069"/>
    <w:link w:val="927"/>
    <w:uiPriority w:val="99"/>
    <w:pPr>
      <w:spacing w:after="0" w:line="240" w:lineRule="auto"/>
    </w:pPr>
    <w:tblPr/>
  </w:style>
  <w:style w:type="table" w:styleId="1070">
    <w:name w:val="List Table 2 - Accent 6"/>
    <w:basedOn w:val="938"/>
    <w:next w:val="1070"/>
    <w:link w:val="927"/>
    <w:uiPriority w:val="99"/>
    <w:pPr>
      <w:spacing w:after="0" w:line="240" w:lineRule="auto"/>
    </w:pPr>
    <w:tblPr/>
  </w:style>
  <w:style w:type="table" w:styleId="1071">
    <w:name w:val="List Table 3"/>
    <w:basedOn w:val="938"/>
    <w:next w:val="1071"/>
    <w:link w:val="927"/>
    <w:uiPriority w:val="99"/>
    <w:pPr>
      <w:spacing w:after="0" w:line="240" w:lineRule="auto"/>
    </w:pPr>
    <w:tblPr/>
  </w:style>
  <w:style w:type="table" w:styleId="1072">
    <w:name w:val="List Table 3 - Accent 1"/>
    <w:basedOn w:val="938"/>
    <w:next w:val="1072"/>
    <w:link w:val="927"/>
    <w:uiPriority w:val="99"/>
    <w:pPr>
      <w:spacing w:after="0" w:line="240" w:lineRule="auto"/>
    </w:pPr>
    <w:tblPr/>
  </w:style>
  <w:style w:type="table" w:styleId="1073">
    <w:name w:val="List Table 3 - Accent 2"/>
    <w:basedOn w:val="938"/>
    <w:next w:val="1073"/>
    <w:link w:val="927"/>
    <w:uiPriority w:val="99"/>
    <w:pPr>
      <w:spacing w:after="0" w:line="240" w:lineRule="auto"/>
    </w:pPr>
    <w:tblPr/>
  </w:style>
  <w:style w:type="table" w:styleId="1074">
    <w:name w:val="List Table 3 - Accent 3"/>
    <w:basedOn w:val="938"/>
    <w:next w:val="1074"/>
    <w:link w:val="927"/>
    <w:uiPriority w:val="99"/>
    <w:pPr>
      <w:spacing w:after="0" w:line="240" w:lineRule="auto"/>
    </w:pPr>
    <w:tblPr/>
  </w:style>
  <w:style w:type="table" w:styleId="1075">
    <w:name w:val="List Table 3 - Accent 4"/>
    <w:basedOn w:val="938"/>
    <w:next w:val="1075"/>
    <w:link w:val="927"/>
    <w:uiPriority w:val="99"/>
    <w:pPr>
      <w:spacing w:after="0" w:line="240" w:lineRule="auto"/>
    </w:pPr>
    <w:tblPr/>
  </w:style>
  <w:style w:type="table" w:styleId="1076">
    <w:name w:val="List Table 3 - Accent 5"/>
    <w:basedOn w:val="938"/>
    <w:next w:val="1076"/>
    <w:link w:val="927"/>
    <w:uiPriority w:val="99"/>
    <w:pPr>
      <w:spacing w:after="0" w:line="240" w:lineRule="auto"/>
    </w:pPr>
    <w:tblPr/>
  </w:style>
  <w:style w:type="table" w:styleId="1077">
    <w:name w:val="List Table 3 - Accent 6"/>
    <w:basedOn w:val="938"/>
    <w:next w:val="1077"/>
    <w:link w:val="927"/>
    <w:uiPriority w:val="99"/>
    <w:pPr>
      <w:spacing w:after="0" w:line="240" w:lineRule="auto"/>
    </w:pPr>
    <w:tblPr/>
  </w:style>
  <w:style w:type="table" w:styleId="1078">
    <w:name w:val="List Table 4"/>
    <w:basedOn w:val="938"/>
    <w:next w:val="1078"/>
    <w:link w:val="927"/>
    <w:uiPriority w:val="99"/>
    <w:pPr>
      <w:spacing w:after="0" w:line="240" w:lineRule="auto"/>
    </w:pPr>
    <w:tblPr/>
  </w:style>
  <w:style w:type="table" w:styleId="1079">
    <w:name w:val="List Table 4 - Accent 1"/>
    <w:basedOn w:val="938"/>
    <w:next w:val="1079"/>
    <w:link w:val="927"/>
    <w:uiPriority w:val="99"/>
    <w:pPr>
      <w:spacing w:after="0" w:line="240" w:lineRule="auto"/>
    </w:pPr>
    <w:tblPr/>
  </w:style>
  <w:style w:type="table" w:styleId="1080">
    <w:name w:val="List Table 4 - Accent 2"/>
    <w:basedOn w:val="938"/>
    <w:next w:val="1080"/>
    <w:link w:val="927"/>
    <w:uiPriority w:val="99"/>
    <w:pPr>
      <w:spacing w:after="0" w:line="240" w:lineRule="auto"/>
    </w:pPr>
    <w:tblPr/>
  </w:style>
  <w:style w:type="table" w:styleId="1081">
    <w:name w:val="List Table 4 - Accent 3"/>
    <w:basedOn w:val="938"/>
    <w:next w:val="1081"/>
    <w:link w:val="927"/>
    <w:uiPriority w:val="99"/>
    <w:pPr>
      <w:spacing w:after="0" w:line="240" w:lineRule="auto"/>
    </w:pPr>
    <w:tblPr/>
  </w:style>
  <w:style w:type="table" w:styleId="1082">
    <w:name w:val="List Table 4 - Accent 4"/>
    <w:basedOn w:val="938"/>
    <w:next w:val="1082"/>
    <w:link w:val="927"/>
    <w:uiPriority w:val="99"/>
    <w:pPr>
      <w:spacing w:after="0" w:line="240" w:lineRule="auto"/>
    </w:pPr>
    <w:tblPr/>
  </w:style>
  <w:style w:type="table" w:styleId="1083">
    <w:name w:val="List Table 4 - Accent 5"/>
    <w:basedOn w:val="938"/>
    <w:next w:val="1083"/>
    <w:link w:val="927"/>
    <w:uiPriority w:val="99"/>
    <w:pPr>
      <w:spacing w:after="0" w:line="240" w:lineRule="auto"/>
    </w:pPr>
    <w:tblPr/>
  </w:style>
  <w:style w:type="table" w:styleId="1084">
    <w:name w:val="List Table 4 - Accent 6"/>
    <w:basedOn w:val="938"/>
    <w:next w:val="1084"/>
    <w:link w:val="927"/>
    <w:uiPriority w:val="99"/>
    <w:pPr>
      <w:spacing w:after="0" w:line="240" w:lineRule="auto"/>
    </w:pPr>
    <w:tblPr/>
  </w:style>
  <w:style w:type="table" w:styleId="1085">
    <w:name w:val="List Table 5 Dark"/>
    <w:basedOn w:val="938"/>
    <w:next w:val="1085"/>
    <w:link w:val="927"/>
    <w:uiPriority w:val="99"/>
    <w:pPr>
      <w:spacing w:after="0" w:line="240" w:lineRule="auto"/>
    </w:pPr>
    <w:tblPr/>
  </w:style>
  <w:style w:type="table" w:styleId="1086">
    <w:name w:val="List Table 5 Dark - Accent 1"/>
    <w:basedOn w:val="938"/>
    <w:next w:val="1086"/>
    <w:link w:val="927"/>
    <w:uiPriority w:val="99"/>
    <w:pPr>
      <w:spacing w:after="0" w:line="240" w:lineRule="auto"/>
    </w:pPr>
    <w:tblPr/>
  </w:style>
  <w:style w:type="table" w:styleId="1087">
    <w:name w:val="List Table 5 Dark - Accent 2"/>
    <w:basedOn w:val="938"/>
    <w:next w:val="1087"/>
    <w:link w:val="927"/>
    <w:uiPriority w:val="99"/>
    <w:pPr>
      <w:spacing w:after="0" w:line="240" w:lineRule="auto"/>
    </w:pPr>
    <w:tblPr/>
  </w:style>
  <w:style w:type="table" w:styleId="1088">
    <w:name w:val="List Table 5 Dark - Accent 3"/>
    <w:basedOn w:val="938"/>
    <w:next w:val="1088"/>
    <w:link w:val="927"/>
    <w:uiPriority w:val="99"/>
    <w:pPr>
      <w:spacing w:after="0" w:line="240" w:lineRule="auto"/>
    </w:pPr>
    <w:tblPr/>
  </w:style>
  <w:style w:type="table" w:styleId="1089">
    <w:name w:val="List Table 5 Dark - Accent 4"/>
    <w:basedOn w:val="938"/>
    <w:next w:val="1089"/>
    <w:link w:val="927"/>
    <w:uiPriority w:val="99"/>
    <w:pPr>
      <w:spacing w:after="0" w:line="240" w:lineRule="auto"/>
    </w:pPr>
    <w:tblPr/>
  </w:style>
  <w:style w:type="table" w:styleId="1090">
    <w:name w:val="List Table 5 Dark - Accent 5"/>
    <w:basedOn w:val="938"/>
    <w:next w:val="1090"/>
    <w:link w:val="927"/>
    <w:uiPriority w:val="99"/>
    <w:pPr>
      <w:spacing w:after="0" w:line="240" w:lineRule="auto"/>
    </w:pPr>
    <w:tblPr/>
  </w:style>
  <w:style w:type="table" w:styleId="1091">
    <w:name w:val="List Table 5 Dark - Accent 6"/>
    <w:basedOn w:val="938"/>
    <w:next w:val="1091"/>
    <w:link w:val="927"/>
    <w:uiPriority w:val="99"/>
    <w:pPr>
      <w:spacing w:after="0" w:line="240" w:lineRule="auto"/>
    </w:pPr>
    <w:tblPr/>
  </w:style>
  <w:style w:type="table" w:styleId="1092">
    <w:name w:val="List Table 6 Colorful"/>
    <w:basedOn w:val="938"/>
    <w:next w:val="1092"/>
    <w:link w:val="927"/>
    <w:uiPriority w:val="99"/>
    <w:pPr>
      <w:spacing w:after="0" w:line="240" w:lineRule="auto"/>
    </w:pPr>
    <w:tblPr/>
  </w:style>
  <w:style w:type="table" w:styleId="1093">
    <w:name w:val="List Table 6 Colorful - Accent 1"/>
    <w:basedOn w:val="938"/>
    <w:next w:val="1093"/>
    <w:link w:val="927"/>
    <w:uiPriority w:val="99"/>
    <w:pPr>
      <w:spacing w:after="0" w:line="240" w:lineRule="auto"/>
    </w:pPr>
    <w:tblPr/>
  </w:style>
  <w:style w:type="table" w:styleId="1094">
    <w:name w:val="List Table 6 Colorful - Accent 2"/>
    <w:basedOn w:val="938"/>
    <w:next w:val="1094"/>
    <w:link w:val="927"/>
    <w:uiPriority w:val="99"/>
    <w:pPr>
      <w:spacing w:after="0" w:line="240" w:lineRule="auto"/>
    </w:pPr>
    <w:tblPr/>
  </w:style>
  <w:style w:type="table" w:styleId="1095">
    <w:name w:val="List Table 6 Colorful - Accent 3"/>
    <w:basedOn w:val="938"/>
    <w:next w:val="1095"/>
    <w:link w:val="927"/>
    <w:uiPriority w:val="99"/>
    <w:pPr>
      <w:spacing w:after="0" w:line="240" w:lineRule="auto"/>
    </w:pPr>
    <w:tblPr/>
  </w:style>
  <w:style w:type="table" w:styleId="1096">
    <w:name w:val="List Table 6 Colorful - Accent 4"/>
    <w:basedOn w:val="938"/>
    <w:next w:val="1096"/>
    <w:link w:val="927"/>
    <w:uiPriority w:val="99"/>
    <w:pPr>
      <w:spacing w:after="0" w:line="240" w:lineRule="auto"/>
    </w:pPr>
    <w:tblPr/>
  </w:style>
  <w:style w:type="table" w:styleId="1097">
    <w:name w:val="List Table 6 Colorful - Accent 5"/>
    <w:basedOn w:val="938"/>
    <w:next w:val="1097"/>
    <w:link w:val="927"/>
    <w:uiPriority w:val="99"/>
    <w:pPr>
      <w:spacing w:after="0" w:line="240" w:lineRule="auto"/>
    </w:pPr>
    <w:tblPr/>
  </w:style>
  <w:style w:type="table" w:styleId="1098">
    <w:name w:val="List Table 6 Colorful - Accent 6"/>
    <w:basedOn w:val="938"/>
    <w:next w:val="1098"/>
    <w:link w:val="927"/>
    <w:uiPriority w:val="99"/>
    <w:pPr>
      <w:spacing w:after="0" w:line="240" w:lineRule="auto"/>
    </w:pPr>
    <w:tblPr/>
  </w:style>
  <w:style w:type="table" w:styleId="1099">
    <w:name w:val="List Table 7 Colorful"/>
    <w:basedOn w:val="938"/>
    <w:next w:val="1099"/>
    <w:link w:val="927"/>
    <w:uiPriority w:val="99"/>
    <w:pPr>
      <w:spacing w:after="0" w:line="240" w:lineRule="auto"/>
    </w:pPr>
    <w:tblPr/>
  </w:style>
  <w:style w:type="table" w:styleId="1100">
    <w:name w:val="List Table 7 Colorful - Accent 1"/>
    <w:basedOn w:val="938"/>
    <w:next w:val="1100"/>
    <w:link w:val="927"/>
    <w:uiPriority w:val="99"/>
    <w:pPr>
      <w:spacing w:after="0" w:line="240" w:lineRule="auto"/>
    </w:pPr>
    <w:tblPr/>
  </w:style>
  <w:style w:type="table" w:styleId="1101">
    <w:name w:val="List Table 7 Colorful - Accent 2"/>
    <w:basedOn w:val="938"/>
    <w:next w:val="1101"/>
    <w:link w:val="927"/>
    <w:uiPriority w:val="99"/>
    <w:pPr>
      <w:spacing w:after="0" w:line="240" w:lineRule="auto"/>
    </w:pPr>
    <w:tblPr/>
  </w:style>
  <w:style w:type="table" w:styleId="1102">
    <w:name w:val="List Table 7 Colorful - Accent 3"/>
    <w:basedOn w:val="938"/>
    <w:next w:val="1102"/>
    <w:link w:val="927"/>
    <w:uiPriority w:val="99"/>
    <w:pPr>
      <w:spacing w:after="0" w:line="240" w:lineRule="auto"/>
    </w:pPr>
    <w:tblPr/>
  </w:style>
  <w:style w:type="table" w:styleId="1103">
    <w:name w:val="List Table 7 Colorful - Accent 4"/>
    <w:basedOn w:val="938"/>
    <w:next w:val="1103"/>
    <w:link w:val="927"/>
    <w:uiPriority w:val="99"/>
    <w:pPr>
      <w:spacing w:after="0" w:line="240" w:lineRule="auto"/>
    </w:pPr>
    <w:tblPr/>
  </w:style>
  <w:style w:type="table" w:styleId="1104">
    <w:name w:val="List Table 7 Colorful - Accent 5"/>
    <w:basedOn w:val="938"/>
    <w:next w:val="1104"/>
    <w:link w:val="927"/>
    <w:uiPriority w:val="99"/>
    <w:pPr>
      <w:spacing w:after="0" w:line="240" w:lineRule="auto"/>
    </w:pPr>
    <w:tblPr/>
  </w:style>
  <w:style w:type="table" w:styleId="1105">
    <w:name w:val="List Table 7 Colorful - Accent 6"/>
    <w:basedOn w:val="938"/>
    <w:next w:val="1105"/>
    <w:link w:val="927"/>
    <w:uiPriority w:val="99"/>
    <w:pPr>
      <w:spacing w:after="0" w:line="240" w:lineRule="auto"/>
    </w:pPr>
    <w:tblPr/>
  </w:style>
  <w:style w:type="table" w:styleId="1106">
    <w:name w:val="Lined - Accent"/>
    <w:basedOn w:val="938"/>
    <w:next w:val="1106"/>
    <w:link w:val="927"/>
    <w:uiPriority w:val="99"/>
    <w:pPr>
      <w:spacing w:after="0" w:line="240" w:lineRule="auto"/>
    </w:pPr>
    <w:rPr>
      <w:color w:val="404040"/>
    </w:rPr>
    <w:tblPr/>
  </w:style>
  <w:style w:type="table" w:styleId="1107">
    <w:name w:val="Lined - Accent 1"/>
    <w:basedOn w:val="938"/>
    <w:next w:val="1107"/>
    <w:link w:val="927"/>
    <w:uiPriority w:val="99"/>
    <w:pPr>
      <w:spacing w:after="0" w:line="240" w:lineRule="auto"/>
    </w:pPr>
    <w:rPr>
      <w:color w:val="404040"/>
    </w:rPr>
    <w:tblPr/>
  </w:style>
  <w:style w:type="table" w:styleId="1108">
    <w:name w:val="Lined - Accent 2"/>
    <w:basedOn w:val="938"/>
    <w:next w:val="1108"/>
    <w:link w:val="927"/>
    <w:uiPriority w:val="99"/>
    <w:pPr>
      <w:spacing w:after="0" w:line="240" w:lineRule="auto"/>
    </w:pPr>
    <w:rPr>
      <w:color w:val="404040"/>
    </w:rPr>
    <w:tblPr/>
  </w:style>
  <w:style w:type="table" w:styleId="1109">
    <w:name w:val="Lined - Accent 3"/>
    <w:basedOn w:val="938"/>
    <w:next w:val="1109"/>
    <w:link w:val="927"/>
    <w:uiPriority w:val="99"/>
    <w:pPr>
      <w:spacing w:after="0" w:line="240" w:lineRule="auto"/>
    </w:pPr>
    <w:rPr>
      <w:color w:val="404040"/>
    </w:rPr>
    <w:tblPr/>
  </w:style>
  <w:style w:type="table" w:styleId="1110">
    <w:name w:val="Lined - Accent 4"/>
    <w:basedOn w:val="938"/>
    <w:next w:val="1110"/>
    <w:link w:val="927"/>
    <w:uiPriority w:val="99"/>
    <w:pPr>
      <w:spacing w:after="0" w:line="240" w:lineRule="auto"/>
    </w:pPr>
    <w:rPr>
      <w:color w:val="404040"/>
    </w:rPr>
    <w:tblPr/>
  </w:style>
  <w:style w:type="table" w:styleId="1111">
    <w:name w:val="Lined - Accent 5"/>
    <w:basedOn w:val="938"/>
    <w:next w:val="1111"/>
    <w:link w:val="927"/>
    <w:uiPriority w:val="99"/>
    <w:pPr>
      <w:spacing w:after="0" w:line="240" w:lineRule="auto"/>
    </w:pPr>
    <w:rPr>
      <w:color w:val="404040"/>
    </w:rPr>
    <w:tblPr/>
  </w:style>
  <w:style w:type="table" w:styleId="1112">
    <w:name w:val="Lined - Accent 6"/>
    <w:basedOn w:val="938"/>
    <w:next w:val="1112"/>
    <w:link w:val="927"/>
    <w:uiPriority w:val="99"/>
    <w:pPr>
      <w:spacing w:after="0" w:line="240" w:lineRule="auto"/>
    </w:pPr>
    <w:rPr>
      <w:color w:val="404040"/>
    </w:rPr>
    <w:tblPr/>
  </w:style>
  <w:style w:type="table" w:styleId="1113">
    <w:name w:val="Bordered &amp; Lined - Accent"/>
    <w:basedOn w:val="938"/>
    <w:next w:val="1113"/>
    <w:link w:val="927"/>
    <w:uiPriority w:val="99"/>
    <w:pPr>
      <w:spacing w:after="0" w:line="240" w:lineRule="auto"/>
    </w:pPr>
    <w:rPr>
      <w:color w:val="404040"/>
    </w:rPr>
    <w:tblPr/>
  </w:style>
  <w:style w:type="table" w:styleId="1114">
    <w:name w:val="Bordered &amp; Lined - Accent 1"/>
    <w:basedOn w:val="938"/>
    <w:next w:val="1114"/>
    <w:link w:val="927"/>
    <w:uiPriority w:val="99"/>
    <w:pPr>
      <w:spacing w:after="0" w:line="240" w:lineRule="auto"/>
    </w:pPr>
    <w:rPr>
      <w:color w:val="404040"/>
    </w:rPr>
    <w:tblPr/>
  </w:style>
  <w:style w:type="table" w:styleId="1115">
    <w:name w:val="Bordered &amp; Lined - Accent 2"/>
    <w:basedOn w:val="938"/>
    <w:next w:val="1115"/>
    <w:link w:val="927"/>
    <w:uiPriority w:val="99"/>
    <w:pPr>
      <w:spacing w:after="0" w:line="240" w:lineRule="auto"/>
    </w:pPr>
    <w:rPr>
      <w:color w:val="404040"/>
    </w:rPr>
    <w:tblPr/>
  </w:style>
  <w:style w:type="table" w:styleId="1116">
    <w:name w:val="Bordered &amp; Lined - Accent 3"/>
    <w:basedOn w:val="938"/>
    <w:next w:val="1116"/>
    <w:link w:val="927"/>
    <w:uiPriority w:val="99"/>
    <w:pPr>
      <w:spacing w:after="0" w:line="240" w:lineRule="auto"/>
    </w:pPr>
    <w:rPr>
      <w:color w:val="404040"/>
    </w:rPr>
    <w:tblPr/>
  </w:style>
  <w:style w:type="table" w:styleId="1117">
    <w:name w:val="Bordered &amp; Lined - Accent 4"/>
    <w:basedOn w:val="938"/>
    <w:next w:val="1117"/>
    <w:link w:val="927"/>
    <w:uiPriority w:val="99"/>
    <w:pPr>
      <w:spacing w:after="0" w:line="240" w:lineRule="auto"/>
    </w:pPr>
    <w:rPr>
      <w:color w:val="404040"/>
    </w:rPr>
    <w:tblPr/>
  </w:style>
  <w:style w:type="table" w:styleId="1118">
    <w:name w:val="Bordered &amp; Lined - Accent 5"/>
    <w:basedOn w:val="938"/>
    <w:next w:val="1118"/>
    <w:link w:val="927"/>
    <w:uiPriority w:val="99"/>
    <w:pPr>
      <w:spacing w:after="0" w:line="240" w:lineRule="auto"/>
    </w:pPr>
    <w:rPr>
      <w:color w:val="404040"/>
    </w:rPr>
    <w:tblPr/>
  </w:style>
  <w:style w:type="table" w:styleId="1119">
    <w:name w:val="Bordered &amp; Lined - Accent 6"/>
    <w:basedOn w:val="938"/>
    <w:next w:val="1119"/>
    <w:link w:val="927"/>
    <w:uiPriority w:val="99"/>
    <w:pPr>
      <w:spacing w:after="0" w:line="240" w:lineRule="auto"/>
    </w:pPr>
    <w:rPr>
      <w:color w:val="404040"/>
    </w:rPr>
    <w:tblPr/>
  </w:style>
  <w:style w:type="table" w:styleId="1120">
    <w:name w:val="Bordered"/>
    <w:basedOn w:val="938"/>
    <w:next w:val="1120"/>
    <w:link w:val="927"/>
    <w:uiPriority w:val="99"/>
    <w:pPr>
      <w:spacing w:after="0" w:line="240" w:lineRule="auto"/>
    </w:pPr>
    <w:tblPr/>
  </w:style>
  <w:style w:type="table" w:styleId="1121">
    <w:name w:val="Bordered - Accent 1"/>
    <w:basedOn w:val="938"/>
    <w:next w:val="1121"/>
    <w:link w:val="927"/>
    <w:uiPriority w:val="99"/>
    <w:pPr>
      <w:spacing w:after="0" w:line="240" w:lineRule="auto"/>
    </w:pPr>
    <w:tblPr/>
  </w:style>
  <w:style w:type="table" w:styleId="1122">
    <w:name w:val="Bordered - Accent 2"/>
    <w:basedOn w:val="938"/>
    <w:next w:val="1122"/>
    <w:link w:val="927"/>
    <w:uiPriority w:val="99"/>
    <w:pPr>
      <w:spacing w:after="0" w:line="240" w:lineRule="auto"/>
    </w:pPr>
    <w:tblPr/>
  </w:style>
  <w:style w:type="table" w:styleId="1123">
    <w:name w:val="Bordered - Accent 3"/>
    <w:basedOn w:val="938"/>
    <w:next w:val="1123"/>
    <w:link w:val="927"/>
    <w:uiPriority w:val="99"/>
    <w:pPr>
      <w:spacing w:after="0" w:line="240" w:lineRule="auto"/>
    </w:pPr>
    <w:tblPr/>
  </w:style>
  <w:style w:type="table" w:styleId="1124">
    <w:name w:val="Bordered - Accent 4"/>
    <w:basedOn w:val="938"/>
    <w:next w:val="1124"/>
    <w:link w:val="927"/>
    <w:uiPriority w:val="99"/>
    <w:qFormat/>
    <w:pPr>
      <w:spacing w:after="0" w:line="240" w:lineRule="auto"/>
    </w:pPr>
    <w:tblPr/>
  </w:style>
  <w:style w:type="table" w:styleId="1125">
    <w:name w:val="Bordered - Accent 5"/>
    <w:basedOn w:val="938"/>
    <w:next w:val="1125"/>
    <w:link w:val="927"/>
    <w:uiPriority w:val="99"/>
    <w:qFormat/>
    <w:pPr>
      <w:spacing w:after="0" w:line="240" w:lineRule="auto"/>
    </w:pPr>
    <w:tblPr/>
  </w:style>
  <w:style w:type="table" w:styleId="1126">
    <w:name w:val="Bordered - Accent 6"/>
    <w:basedOn w:val="938"/>
    <w:next w:val="1126"/>
    <w:link w:val="927"/>
    <w:uiPriority w:val="99"/>
    <w:pPr>
      <w:spacing w:after="0" w:line="240" w:lineRule="auto"/>
    </w:pPr>
    <w:tblPr/>
  </w:style>
  <w:style w:type="paragraph" w:styleId="1127">
    <w:name w:val="TOC Heading"/>
    <w:next w:val="1127"/>
    <w:link w:val="927"/>
    <w:uiPriority w:val="39"/>
    <w:unhideWhenUsed/>
    <w:qFormat/>
    <w:rPr>
      <w:rFonts w:ascii="等线" w:hAnsi="等线" w:eastAsia="等线"/>
      <w:lang w:val="en-US" w:eastAsia="zh-CN" w:bidi="ar-SA"/>
    </w:rPr>
  </w:style>
  <w:style w:type="paragraph" w:styleId="1128">
    <w:name w:val="正文缩进1"/>
    <w:basedOn w:val="927"/>
    <w:next w:val="1128"/>
    <w:link w:val="927"/>
    <w:uiPriority w:val="99"/>
    <w:qFormat/>
    <w:pPr>
      <w:ind w:firstLine="420"/>
    </w:pPr>
    <w:rPr>
      <w:b/>
      <w:sz w:val="24"/>
    </w:rPr>
  </w:style>
  <w:style w:type="paragraph" w:styleId="1129">
    <w:name w:val="目录 11"/>
    <w:basedOn w:val="927"/>
    <w:next w:val="927"/>
    <w:link w:val="927"/>
    <w:uiPriority w:val="39"/>
    <w:qFormat/>
  </w:style>
  <w:style w:type="paragraph" w:styleId="1130">
    <w:name w:val="目录 31"/>
    <w:basedOn w:val="927"/>
    <w:next w:val="927"/>
    <w:link w:val="927"/>
    <w:uiPriority w:val="39"/>
    <w:qFormat/>
    <w:pPr>
      <w:ind w:left="840"/>
    </w:pPr>
  </w:style>
  <w:style w:type="paragraph" w:styleId="1131">
    <w:name w:val="正文文本缩进 31"/>
    <w:basedOn w:val="927"/>
    <w:next w:val="1131"/>
    <w:link w:val="927"/>
    <w:qFormat/>
    <w:pPr>
      <w:ind w:firstLine="841"/>
    </w:pPr>
    <w:rPr>
      <w:rFonts w:eastAsia="华文新魏"/>
      <w:b/>
      <w:bCs/>
      <w:sz w:val="84"/>
    </w:rPr>
  </w:style>
  <w:style w:type="paragraph" w:styleId="1132">
    <w:name w:val="普通(网站)1"/>
    <w:basedOn w:val="927"/>
    <w:next w:val="1132"/>
    <w:link w:val="927"/>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133">
    <w:name w:val="正文首行缩进1"/>
    <w:basedOn w:val="992"/>
    <w:next w:val="1133"/>
    <w:link w:val="927"/>
    <w:qFormat/>
    <w:pPr>
      <w:ind w:firstLine="420"/>
      <w:spacing w:line="360" w:lineRule="auto"/>
    </w:pPr>
    <w:rPr>
      <w:rFonts w:ascii="Times New Roman" w:hAnsi="Times New Roman" w:cs="Times New Roman"/>
      <w:szCs w:val="21"/>
    </w:rPr>
  </w:style>
  <w:style w:type="character" w:styleId="1134">
    <w:name w:val="超链接1"/>
    <w:next w:val="1134"/>
    <w:link w:val="927"/>
    <w:uiPriority w:val="99"/>
    <w:qFormat/>
    <w:rPr>
      <w:rFonts w:ascii="Times New Roman" w:hAnsi="Times New Roman" w:eastAsia="宋体" w:cs="Times New Roman"/>
      <w:sz w:val="21"/>
      <w:lang w:val="en-US" w:eastAsia="zh-CN" w:bidi="ar-SA"/>
    </w:rPr>
  </w:style>
  <w:style w:type="paragraph" w:styleId="1135">
    <w:name w:val="标题 31"/>
    <w:basedOn w:val="927"/>
    <w:next w:val="1128"/>
    <w:link w:val="927"/>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1136">
    <w:name w:val="列出段落"/>
    <w:basedOn w:val="927"/>
    <w:next w:val="1136"/>
    <w:link w:val="927"/>
    <w:qFormat/>
    <w:pPr>
      <w:ind w:firstLine="420"/>
      <w:jc w:val="left"/>
      <w:spacing w:after="200"/>
      <w:widowControl/>
    </w:pPr>
    <w:rPr>
      <w:rFonts w:ascii="Tahoma" w:hAnsi="Tahoma" w:eastAsia="微软雅黑"/>
      <w:sz w:val="22"/>
      <w:szCs w:val="22"/>
    </w:rPr>
  </w:style>
  <w:style w:type="paragraph" w:styleId="1137">
    <w:name w:val="_Style 6"/>
    <w:basedOn w:val="927"/>
    <w:next w:val="1137"/>
    <w:link w:val="927"/>
    <w:uiPriority w:val="34"/>
    <w:qFormat/>
    <w:pPr>
      <w:ind w:firstLine="420"/>
    </w:pPr>
    <w:rPr>
      <w:szCs w:val="24"/>
    </w:rPr>
  </w:style>
  <w:style w:type="paragraph" w:styleId="1138">
    <w:name w:val="页眉1"/>
    <w:basedOn w:val="927"/>
    <w:next w:val="1138"/>
    <w:link w:val="927"/>
    <w:uiPriority w:val="99"/>
    <w:qFormat/>
    <w:pPr>
      <w:jc w:val="center"/>
      <w:tabs>
        <w:tab w:val="center" w:pos="4153" w:leader="none"/>
        <w:tab w:val="right" w:pos="8306" w:leader="none"/>
      </w:tabs>
      <w:pBdr>
        <w:bottom w:val="single" w:color="000000" w:sz="6" w:space="1"/>
      </w:pBdr>
    </w:pPr>
    <w:rPr>
      <w:sz w:val="18"/>
    </w:rPr>
  </w:style>
  <w:style w:type="paragraph" w:styleId="1139">
    <w:name w:val="页脚1"/>
    <w:basedOn w:val="927"/>
    <w:next w:val="1139"/>
    <w:link w:val="927"/>
    <w:uiPriority w:val="99"/>
    <w:qFormat/>
    <w:pPr>
      <w:jc w:val="left"/>
      <w:tabs>
        <w:tab w:val="center" w:pos="4153" w:leader="none"/>
        <w:tab w:val="right" w:pos="8306" w:leader="none"/>
      </w:tabs>
    </w:pPr>
    <w:rPr>
      <w:sz w:val="18"/>
    </w:rPr>
  </w:style>
  <w:style w:type="paragraph" w:styleId="1140">
    <w:name w:val="A3"/>
    <w:basedOn w:val="1141"/>
    <w:next w:val="1140"/>
    <w:link w:val="927"/>
    <w:qFormat/>
    <w:pPr>
      <w:numPr>
        <w:ilvl w:val="2"/>
      </w:numPr>
      <w:ind w:firstLine="0"/>
      <w:spacing w:before="120"/>
      <w:tabs>
        <w:tab w:val="left" w:pos="1418" w:leader="none"/>
      </w:tabs>
    </w:pPr>
    <w:rPr>
      <w:lang w:val="zh-CN"/>
    </w:rPr>
  </w:style>
  <w:style w:type="paragraph" w:styleId="1141">
    <w:name w:val="A2"/>
    <w:basedOn w:val="1142"/>
    <w:next w:val="1141"/>
    <w:link w:val="927"/>
    <w:qFormat/>
    <w:pPr>
      <w:numPr>
        <w:ilvl w:val="1"/>
      </w:numPr>
      <w:ind w:firstLine="0"/>
      <w:tabs>
        <w:tab w:val="left" w:pos="1418" w:leader="none"/>
      </w:tabs>
    </w:pPr>
    <w:rPr>
      <w:rFonts w:hAnsi="宋体"/>
      <w:b w:val="0"/>
      <w:szCs w:val="21"/>
    </w:rPr>
  </w:style>
  <w:style w:type="paragraph" w:styleId="1142">
    <w:name w:val="A1"/>
    <w:next w:val="1142"/>
    <w:link w:val="927"/>
    <w:qFormat/>
    <w:pPr>
      <w:numPr>
        <w:ilvl w:val="0"/>
        <w:numId w:val="1"/>
      </w:numPr>
      <w:ind w:left="4390" w:hanging="1418"/>
      <w:spacing w:before="240"/>
      <w:tabs>
        <w:tab w:val="left" w:pos="1418" w:leader="none"/>
      </w:tabs>
      <w:outlineLvl w:val="0"/>
    </w:pPr>
    <w:rPr>
      <w:rFonts w:ascii="Arial Narrow" w:hAnsi="Arial Narrow" w:eastAsia="仿宋"/>
      <w:b/>
      <w:sz w:val="24"/>
      <w:szCs w:val="24"/>
      <w:lang w:val="en-US" w:eastAsia="zh-CN" w:bidi="ar-SA"/>
    </w:rPr>
  </w:style>
  <w:style w:type="table" w:styleId="1143">
    <w:name w:val="无格式表格 21"/>
    <w:next w:val="1143"/>
    <w:link w:val="927"/>
    <w:uiPriority w:val="42"/>
    <w:qFormat/>
    <w:rPr>
      <w:lang w:val="en-US" w:eastAsia="zh-CN" w:bidi="ar-SA"/>
    </w:rPr>
    <w:tblPr/>
  </w:style>
  <w:style w:type="character" w:styleId="1144">
    <w:name w:val="font11"/>
    <w:basedOn w:val="937"/>
    <w:next w:val="1144"/>
    <w:link w:val="927"/>
    <w:rPr>
      <w:rFonts w:hint="eastAsia" w:ascii="微软雅黑" w:hAnsi="微软雅黑" w:eastAsia="微软雅黑" w:cs="微软雅黑"/>
      <w:i w:val="0"/>
      <w:iCs w:val="0"/>
      <w:color w:val="000000"/>
      <w:sz w:val="24"/>
      <w:szCs w:val="24"/>
      <w:u w:val="none"/>
    </w:rPr>
  </w:style>
  <w:style w:type="character" w:styleId="1145">
    <w:name w:val="font21"/>
    <w:basedOn w:val="937"/>
    <w:next w:val="1145"/>
    <w:link w:val="927"/>
    <w:rPr>
      <w:rFonts w:hint="eastAsia" w:ascii="微软雅黑" w:hAnsi="微软雅黑" w:eastAsia="微软雅黑" w:cs="微软雅黑"/>
      <w:b/>
      <w:bCs/>
      <w:i w:val="0"/>
      <w:iCs w:val="0"/>
      <w:color w:val="000000"/>
      <w:sz w:val="24"/>
      <w:szCs w:val="24"/>
      <w:u w:val="none"/>
    </w:rPr>
  </w:style>
  <w:style w:type="character" w:styleId="1146">
    <w:name w:val="font41"/>
    <w:basedOn w:val="937"/>
    <w:next w:val="1146"/>
    <w:link w:val="927"/>
    <w:rPr>
      <w:rFonts w:hint="eastAsia" w:ascii="微软雅黑" w:hAnsi="微软雅黑" w:eastAsia="微软雅黑" w:cs="微软雅黑"/>
      <w:i w:val="0"/>
      <w:iCs w:val="0"/>
      <w:color w:val="000000"/>
      <w:sz w:val="24"/>
      <w:szCs w:val="24"/>
      <w:u w:val="none"/>
      <w:vertAlign w:val="superscript"/>
    </w:rPr>
  </w:style>
  <w:style w:type="paragraph" w:styleId="1147">
    <w:name w:val="索引 41"/>
    <w:basedOn w:val="927"/>
    <w:next w:val="927"/>
    <w:link w:val="927"/>
    <w:semiHidden/>
    <w:qFormat/>
    <w:pPr>
      <w:ind w:left="1260"/>
    </w:pPr>
    <w:rPr>
      <w:rFonts w:ascii="Calibri" w:hAnsi="Calibri" w:eastAsia="Calibri" w:cs="宋体"/>
      <w:sz w:val="20"/>
      <w:lang w:val="zh-CN"/>
    </w:rPr>
  </w:style>
  <w:style w:type="table" w:styleId="1148">
    <w:name w:val="Table Normal"/>
    <w:next w:val="1148"/>
    <w:link w:val="927"/>
    <w:qFormat/>
    <w:tblPr/>
  </w:style>
  <w:style w:type="paragraph" w:styleId="1149">
    <w:name w:val="纯文本1"/>
    <w:basedOn w:val="927"/>
    <w:next w:val="1149"/>
    <w:link w:val="927"/>
    <w:qFormat/>
    <w:rPr>
      <w:rFonts w:ascii="宋体" w:hAnsi="Courier New" w:eastAsia="宋体" w:cs="Courier New"/>
      <w:szCs w:val="21"/>
    </w:rPr>
  </w:style>
  <w:style w:type="character" w:styleId="1150" w:default="1">
    <w:name w:val="Default Paragraph Font"/>
    <w:uiPriority w:val="1"/>
    <w:semiHidden/>
    <w:unhideWhenUsed/>
  </w:style>
  <w:style w:type="numbering" w:styleId="1151" w:default="1">
    <w:name w:val="No List"/>
    <w:uiPriority w:val="99"/>
    <w:semiHidden/>
    <w:unhideWhenUsed/>
  </w:style>
  <w:style w:type="table" w:styleId="115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image" Target="media/image1.png"/><Relationship Id="rId21"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南京鼓楼医院招标</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朱志</dc:creator>
  <cp:lastModifiedBy>邓梦诗</cp:lastModifiedBy>
  <cp:revision>5</cp:revision>
  <dcterms:created xsi:type="dcterms:W3CDTF">2024-12-21T12:30:00Z</dcterms:created>
  <dcterms:modified xsi:type="dcterms:W3CDTF">2026-06-02T03:15:32Z</dcterms:modified>
</cp:coreProperties>
</file>