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68500">
      <w:pPr>
        <w:jc w:val="center"/>
        <w:rPr>
          <w:rFonts w:ascii="黑体" w:hAnsi="Times New Roman" w:eastAsia="黑体" w:cs="Times New Roman"/>
          <w:b/>
          <w:color w:val="auto"/>
          <w:kern w:val="0"/>
          <w:sz w:val="52"/>
          <w:szCs w:val="52"/>
          <w:highlight w:val="none"/>
        </w:rPr>
      </w:pPr>
    </w:p>
    <w:p w14:paraId="21392E96">
      <w:pPr>
        <w:jc w:val="center"/>
        <w:rPr>
          <w:rFonts w:ascii="Times New Roman" w:hAnsi="Times New Roman" w:eastAsia="彩虹小标宋" w:cs="Times New Roman"/>
          <w:b/>
          <w:color w:val="auto"/>
          <w:spacing w:val="67"/>
          <w:kern w:val="0"/>
          <w:sz w:val="40"/>
          <w:szCs w:val="48"/>
          <w:highlight w:val="none"/>
        </w:rPr>
      </w:pPr>
      <w:r>
        <w:rPr>
          <w:rFonts w:hint="eastAsia" w:ascii="黑体" w:hAnsi="Times New Roman" w:eastAsia="黑体" w:cs="Times New Roman"/>
          <w:b/>
          <w:color w:val="auto"/>
          <w:kern w:val="0"/>
          <w:sz w:val="52"/>
          <w:szCs w:val="52"/>
          <w:highlight w:val="none"/>
          <w:lang w:eastAsia="zh-CN"/>
        </w:rPr>
        <w:t>灌南县</w:t>
      </w:r>
      <w:r>
        <w:rPr>
          <w:rFonts w:hint="eastAsia" w:ascii="黑体" w:hAnsi="Times New Roman" w:eastAsia="黑体" w:cs="Times New Roman"/>
          <w:b/>
          <w:color w:val="auto"/>
          <w:kern w:val="0"/>
          <w:sz w:val="52"/>
          <w:szCs w:val="52"/>
          <w:highlight w:val="none"/>
        </w:rPr>
        <w:t>政府采购招标文件</w:t>
      </w:r>
      <w:bookmarkStart w:id="0" w:name="OLE_LINK6"/>
    </w:p>
    <w:bookmarkEnd w:id="0"/>
    <w:p w14:paraId="29BD0550">
      <w:pPr>
        <w:widowControl/>
        <w:spacing w:line="360" w:lineRule="auto"/>
        <w:rPr>
          <w:rFonts w:ascii="Times New Roman" w:hAnsi="Times New Roman" w:eastAsia="彩虹小标宋" w:cs="Times New Roman"/>
          <w:b/>
          <w:color w:val="auto"/>
          <w:spacing w:val="67"/>
          <w:kern w:val="0"/>
          <w:sz w:val="40"/>
          <w:szCs w:val="48"/>
          <w:highlight w:val="none"/>
        </w:rPr>
      </w:pPr>
    </w:p>
    <w:p w14:paraId="53819937">
      <w:pPr>
        <w:widowControl/>
        <w:spacing w:line="360" w:lineRule="auto"/>
        <w:jc w:val="center"/>
        <w:rPr>
          <w:rFonts w:ascii="Times New Roman" w:hAnsi="Times New Roman" w:eastAsia="彩虹小标宋" w:cs="Times New Roman"/>
          <w:b/>
          <w:color w:val="auto"/>
          <w:spacing w:val="67"/>
          <w:kern w:val="0"/>
          <w:sz w:val="40"/>
          <w:szCs w:val="48"/>
          <w:highlight w:val="none"/>
        </w:rPr>
      </w:pPr>
    </w:p>
    <w:p w14:paraId="2DDFB3F0">
      <w:pPr>
        <w:jc w:val="center"/>
        <w:rPr>
          <w:rFonts w:ascii="黑体" w:hAnsi="Times New Roman" w:eastAsia="黑体" w:cs="Times New Roman"/>
          <w:b/>
          <w:color w:val="auto"/>
          <w:kern w:val="0"/>
          <w:sz w:val="32"/>
          <w:szCs w:val="32"/>
          <w:highlight w:val="none"/>
        </w:rPr>
      </w:pPr>
    </w:p>
    <w:p w14:paraId="7A06D9AC">
      <w:pPr>
        <w:jc w:val="center"/>
        <w:rPr>
          <w:rFonts w:hint="eastAsia" w:ascii="黑体" w:hAnsi="Times New Roman" w:eastAsia="黑体" w:cs="Times New Roman"/>
          <w:bCs/>
          <w:color w:val="auto"/>
          <w:kern w:val="0"/>
          <w:sz w:val="32"/>
          <w:szCs w:val="32"/>
          <w:highlight w:val="none"/>
          <w:lang w:eastAsia="zh-CN"/>
        </w:rPr>
      </w:pPr>
      <w:r>
        <w:rPr>
          <w:rFonts w:hint="eastAsia" w:ascii="黑体" w:hAnsi="Times New Roman" w:eastAsia="黑体" w:cs="Times New Roman"/>
          <w:b/>
          <w:color w:val="auto"/>
          <w:kern w:val="0"/>
          <w:sz w:val="32"/>
          <w:szCs w:val="32"/>
          <w:highlight w:val="none"/>
          <w:lang w:eastAsia="zh-CN"/>
        </w:rPr>
        <w:t>江苏连云港化工产业园区智慧园区平台运维及升级项目</w:t>
      </w:r>
    </w:p>
    <w:p w14:paraId="73D9935E">
      <w:pPr>
        <w:rPr>
          <w:rFonts w:ascii="黑体" w:hAnsi="Times New Roman" w:eastAsia="黑体" w:cs="Times New Roman"/>
          <w:bCs/>
          <w:color w:val="auto"/>
          <w:sz w:val="32"/>
          <w:szCs w:val="32"/>
          <w:highlight w:val="none"/>
        </w:rPr>
      </w:pPr>
    </w:p>
    <w:p w14:paraId="7CF76EF6">
      <w:pPr>
        <w:rPr>
          <w:rFonts w:ascii="黑体" w:hAnsi="Times New Roman" w:eastAsia="黑体" w:cs="Times New Roman"/>
          <w:bCs/>
          <w:color w:val="auto"/>
          <w:sz w:val="32"/>
          <w:szCs w:val="32"/>
          <w:highlight w:val="none"/>
        </w:rPr>
      </w:pPr>
    </w:p>
    <w:p w14:paraId="3B68D046">
      <w:pPr>
        <w:widowControl/>
        <w:ind w:firstLine="1807"/>
        <w:rPr>
          <w:rFonts w:hint="eastAsia" w:ascii="宋体" w:hAnsi="宋体" w:eastAsia="宋体" w:cs="宋体"/>
          <w:b/>
          <w:color w:val="auto"/>
          <w:kern w:val="0"/>
          <w:sz w:val="30"/>
          <w:szCs w:val="30"/>
          <w:highlight w:val="none"/>
          <w:lang w:eastAsia="zh-CN"/>
        </w:rPr>
      </w:pPr>
      <w:r>
        <w:rPr>
          <w:rFonts w:hint="eastAsia" w:ascii="宋体" w:hAnsi="宋体" w:eastAsia="宋体" w:cs="宋体"/>
          <w:b/>
          <w:color w:val="auto"/>
          <w:kern w:val="0"/>
          <w:sz w:val="30"/>
          <w:szCs w:val="30"/>
          <w:highlight w:val="none"/>
        </w:rPr>
        <w:t>编号：</w:t>
      </w:r>
      <w:r>
        <w:rPr>
          <w:rFonts w:hint="eastAsia" w:ascii="宋体" w:hAnsi="宋体" w:eastAsia="宋体" w:cs="宋体"/>
          <w:b/>
          <w:color w:val="auto"/>
          <w:kern w:val="0"/>
          <w:sz w:val="30"/>
          <w:szCs w:val="30"/>
          <w:highlight w:val="none"/>
        </w:rPr>
        <w:tab/>
      </w:r>
      <w:r>
        <w:rPr>
          <w:rFonts w:hint="eastAsia" w:ascii="宋体" w:hAnsi="宋体" w:eastAsia="宋体" w:cs="宋体"/>
          <w:b/>
          <w:color w:val="auto"/>
          <w:kern w:val="0"/>
          <w:sz w:val="30"/>
          <w:szCs w:val="30"/>
          <w:highlight w:val="none"/>
          <w:lang w:eastAsia="zh-CN"/>
        </w:rPr>
        <w:t>JSZC-320724-XHGS-G2026-0002</w:t>
      </w:r>
    </w:p>
    <w:p w14:paraId="3F0ADF7A">
      <w:pPr>
        <w:spacing w:line="360" w:lineRule="auto"/>
        <w:jc w:val="left"/>
        <w:rPr>
          <w:rFonts w:ascii="宋体" w:hAnsi="宋体" w:eastAsia="宋体" w:cs="Times New Roman"/>
          <w:color w:val="auto"/>
          <w:kern w:val="0"/>
          <w:szCs w:val="21"/>
          <w:highlight w:val="none"/>
        </w:rPr>
      </w:pPr>
    </w:p>
    <w:p w14:paraId="1F2C2131">
      <w:pPr>
        <w:spacing w:line="360" w:lineRule="auto"/>
        <w:ind w:firstLine="420"/>
        <w:rPr>
          <w:rFonts w:ascii="宋体" w:hAnsi="宋体" w:eastAsia="宋体" w:cs="Times New Roman"/>
          <w:color w:val="auto"/>
          <w:kern w:val="0"/>
          <w:szCs w:val="21"/>
          <w:highlight w:val="none"/>
        </w:rPr>
      </w:pPr>
    </w:p>
    <w:p w14:paraId="7B020E6B">
      <w:pPr>
        <w:spacing w:line="360" w:lineRule="auto"/>
        <w:rPr>
          <w:rFonts w:ascii="宋体" w:hAnsi="宋体" w:eastAsia="宋体" w:cs="Times New Roman"/>
          <w:color w:val="auto"/>
          <w:kern w:val="0"/>
          <w:szCs w:val="21"/>
          <w:highlight w:val="none"/>
        </w:rPr>
      </w:pPr>
    </w:p>
    <w:p w14:paraId="18F012DD">
      <w:pPr>
        <w:spacing w:line="360" w:lineRule="auto"/>
        <w:rPr>
          <w:rFonts w:ascii="宋体" w:hAnsi="宋体" w:eastAsia="宋体" w:cs="Times New Roman"/>
          <w:color w:val="auto"/>
          <w:kern w:val="0"/>
          <w:szCs w:val="21"/>
          <w:highlight w:val="none"/>
        </w:rPr>
      </w:pPr>
    </w:p>
    <w:p w14:paraId="4D1062A7">
      <w:pPr>
        <w:spacing w:line="360" w:lineRule="auto"/>
        <w:ind w:firstLine="480"/>
        <w:rPr>
          <w:rFonts w:ascii="Times New Roman" w:hAnsi="Times New Roman" w:eastAsia="仿宋_GB2312" w:cs="Times New Roman"/>
          <w:color w:val="auto"/>
          <w:sz w:val="24"/>
          <w:szCs w:val="20"/>
          <w:highlight w:val="none"/>
        </w:rPr>
      </w:pPr>
    </w:p>
    <w:p w14:paraId="08A58D9E">
      <w:pPr>
        <w:spacing w:line="660" w:lineRule="auto"/>
        <w:ind w:firstLine="1763"/>
        <w:jc w:val="left"/>
        <w:rPr>
          <w:rFonts w:ascii="宋体" w:hAnsi="宋体" w:eastAsia="宋体" w:cs="宋体"/>
          <w:bCs/>
          <w:color w:val="auto"/>
          <w:kern w:val="0"/>
          <w:sz w:val="30"/>
          <w:szCs w:val="30"/>
          <w:highlight w:val="none"/>
        </w:rPr>
      </w:pPr>
    </w:p>
    <w:p w14:paraId="52369DEB">
      <w:pPr>
        <w:spacing w:line="660" w:lineRule="auto"/>
        <w:ind w:firstLine="1763"/>
        <w:jc w:val="left"/>
        <w:rPr>
          <w:rFonts w:hint="eastAsia" w:ascii="宋体" w:hAnsi="宋体" w:eastAsia="宋体" w:cs="宋体"/>
          <w:bCs/>
          <w:color w:val="auto"/>
          <w:kern w:val="0"/>
          <w:sz w:val="30"/>
          <w:szCs w:val="30"/>
          <w:highlight w:val="none"/>
          <w:lang w:eastAsia="zh-CN"/>
        </w:rPr>
      </w:pPr>
      <w:r>
        <w:rPr>
          <w:rFonts w:hint="eastAsia" w:ascii="宋体" w:hAnsi="宋体" w:eastAsia="宋体" w:cs="宋体"/>
          <w:bCs/>
          <w:color w:val="auto"/>
          <w:kern w:val="0"/>
          <w:sz w:val="30"/>
          <w:szCs w:val="30"/>
          <w:highlight w:val="none"/>
        </w:rPr>
        <w:t>采  购  人：</w:t>
      </w:r>
      <w:bookmarkStart w:id="1" w:name="OLE_LINK10"/>
      <w:r>
        <w:rPr>
          <w:rFonts w:hint="eastAsia" w:ascii="宋体" w:hAnsi="宋体" w:eastAsia="宋体" w:cs="宋体"/>
          <w:bCs/>
          <w:color w:val="auto"/>
          <w:kern w:val="0"/>
          <w:sz w:val="30"/>
          <w:szCs w:val="30"/>
          <w:highlight w:val="none"/>
          <w:lang w:eastAsia="zh-CN"/>
        </w:rPr>
        <w:t>江苏连云港化工产业园区管理委员会</w:t>
      </w:r>
    </w:p>
    <w:bookmarkEnd w:id="1"/>
    <w:p w14:paraId="14553111">
      <w:pPr>
        <w:spacing w:line="660" w:lineRule="auto"/>
        <w:ind w:firstLine="1763"/>
        <w:jc w:val="left"/>
        <w:rPr>
          <w:rFonts w:ascii="宋体" w:hAnsi="宋体" w:eastAsia="宋体" w:cs="宋体"/>
          <w:bCs/>
          <w:color w:val="auto"/>
          <w:kern w:val="0"/>
          <w:sz w:val="30"/>
          <w:szCs w:val="30"/>
          <w:highlight w:val="none"/>
        </w:rPr>
      </w:pPr>
      <w:r>
        <w:rPr>
          <w:rFonts w:hint="eastAsia" w:ascii="宋体" w:hAnsi="宋体" w:eastAsia="宋体" w:cs="宋体"/>
          <w:bCs/>
          <w:color w:val="auto"/>
          <w:kern w:val="0"/>
          <w:sz w:val="30"/>
          <w:szCs w:val="30"/>
          <w:highlight w:val="none"/>
        </w:rPr>
        <w:t>采购代理机构：连云港新宏项目管理有限公司</w:t>
      </w:r>
    </w:p>
    <w:p w14:paraId="234813D9">
      <w:pPr>
        <w:spacing w:line="660" w:lineRule="auto"/>
        <w:ind w:firstLine="1763"/>
        <w:jc w:val="left"/>
        <w:rPr>
          <w:rFonts w:ascii="宋体" w:hAnsi="宋体" w:eastAsia="宋体" w:cs="宋体"/>
          <w:bCs/>
          <w:color w:val="auto"/>
          <w:kern w:val="0"/>
          <w:sz w:val="30"/>
          <w:szCs w:val="30"/>
          <w:highlight w:val="none"/>
        </w:rPr>
      </w:pPr>
      <w:r>
        <w:rPr>
          <w:rFonts w:hint="eastAsia" w:ascii="宋体" w:hAnsi="宋体" w:eastAsia="宋体" w:cs="宋体"/>
          <w:bCs/>
          <w:color w:val="auto"/>
          <w:kern w:val="0"/>
          <w:sz w:val="30"/>
          <w:szCs w:val="30"/>
          <w:highlight w:val="none"/>
        </w:rPr>
        <w:t>日</w:t>
      </w:r>
      <w:r>
        <w:rPr>
          <w:rFonts w:ascii="宋体" w:hAnsi="宋体" w:eastAsia="宋体" w:cs="宋体"/>
          <w:bCs/>
          <w:color w:val="auto"/>
          <w:kern w:val="0"/>
          <w:sz w:val="30"/>
          <w:szCs w:val="30"/>
          <w:highlight w:val="none"/>
        </w:rPr>
        <w:t xml:space="preserve">   </w:t>
      </w:r>
      <w:r>
        <w:rPr>
          <w:rFonts w:hint="eastAsia" w:ascii="宋体" w:hAnsi="宋体" w:eastAsia="宋体" w:cs="宋体"/>
          <w:bCs/>
          <w:color w:val="auto"/>
          <w:kern w:val="0"/>
          <w:sz w:val="30"/>
          <w:szCs w:val="30"/>
          <w:highlight w:val="none"/>
        </w:rPr>
        <w:t xml:space="preserve">    </w:t>
      </w:r>
      <w:r>
        <w:rPr>
          <w:rFonts w:ascii="宋体" w:hAnsi="宋体" w:eastAsia="宋体" w:cs="宋体"/>
          <w:bCs/>
          <w:color w:val="auto"/>
          <w:kern w:val="0"/>
          <w:sz w:val="30"/>
          <w:szCs w:val="30"/>
          <w:highlight w:val="none"/>
        </w:rPr>
        <w:t xml:space="preserve"> </w:t>
      </w:r>
      <w:r>
        <w:rPr>
          <w:rFonts w:hint="eastAsia" w:ascii="宋体" w:hAnsi="宋体" w:eastAsia="宋体" w:cs="宋体"/>
          <w:bCs/>
          <w:color w:val="auto"/>
          <w:kern w:val="0"/>
          <w:sz w:val="30"/>
          <w:szCs w:val="30"/>
          <w:highlight w:val="none"/>
        </w:rPr>
        <w:t xml:space="preserve">期： </w:t>
      </w:r>
      <w:r>
        <w:rPr>
          <w:rFonts w:hint="eastAsia" w:ascii="宋体" w:hAnsi="宋体" w:eastAsia="宋体" w:cs="宋体"/>
          <w:bCs/>
          <w:color w:val="auto"/>
          <w:kern w:val="0"/>
          <w:sz w:val="30"/>
          <w:szCs w:val="30"/>
          <w:highlight w:val="none"/>
          <w:lang w:val="en-US" w:eastAsia="zh-CN"/>
        </w:rPr>
        <w:t>2026</w:t>
      </w:r>
      <w:r>
        <w:rPr>
          <w:rFonts w:hint="eastAsia" w:ascii="宋体" w:hAnsi="宋体" w:eastAsia="宋体" w:cs="宋体"/>
          <w:bCs/>
          <w:color w:val="auto"/>
          <w:kern w:val="0"/>
          <w:sz w:val="30"/>
          <w:szCs w:val="30"/>
          <w:highlight w:val="none"/>
        </w:rPr>
        <w:t>年</w:t>
      </w:r>
      <w:r>
        <w:rPr>
          <w:rFonts w:hint="eastAsia" w:ascii="宋体" w:hAnsi="宋体" w:eastAsia="宋体" w:cs="宋体"/>
          <w:bCs/>
          <w:color w:val="auto"/>
          <w:kern w:val="0"/>
          <w:sz w:val="30"/>
          <w:szCs w:val="30"/>
          <w:highlight w:val="none"/>
          <w:lang w:val="en-US" w:eastAsia="zh-CN"/>
        </w:rPr>
        <w:t>5</w:t>
      </w:r>
      <w:r>
        <w:rPr>
          <w:rFonts w:hint="eastAsia" w:ascii="宋体" w:hAnsi="宋体" w:eastAsia="宋体" w:cs="宋体"/>
          <w:bCs/>
          <w:color w:val="auto"/>
          <w:kern w:val="0"/>
          <w:sz w:val="30"/>
          <w:szCs w:val="30"/>
          <w:highlight w:val="none"/>
        </w:rPr>
        <w:t>月</w:t>
      </w:r>
    </w:p>
    <w:p w14:paraId="1F2E27ED">
      <w:pPr>
        <w:spacing w:line="660" w:lineRule="auto"/>
        <w:ind w:firstLine="1763"/>
        <w:jc w:val="left"/>
        <w:rPr>
          <w:rFonts w:ascii="宋体" w:hAnsi="宋体" w:cs="宋体"/>
          <w:bCs/>
          <w:color w:val="auto"/>
          <w:sz w:val="24"/>
          <w:highlight w:val="none"/>
        </w:rPr>
        <w:sectPr>
          <w:pgSz w:w="11906" w:h="16838"/>
          <w:pgMar w:top="1418" w:right="1134" w:bottom="1418" w:left="1134" w:header="851" w:footer="992" w:gutter="0"/>
          <w:pgNumType w:start="1"/>
          <w:cols w:space="1701" w:num="1"/>
          <w:docGrid w:linePitch="360" w:charSpace="0"/>
        </w:sectPr>
      </w:pPr>
    </w:p>
    <w:p w14:paraId="48BE7C80">
      <w:pPr>
        <w:spacing w:before="120" w:after="120" w:line="360" w:lineRule="auto"/>
        <w:jc w:val="left"/>
        <w:rPr>
          <w:rFonts w:ascii="黑体" w:hAnsi="Arial" w:eastAsia="黑体" w:cs="Times New Roman"/>
          <w:b/>
          <w:color w:val="auto"/>
          <w:sz w:val="44"/>
          <w:highlight w:val="none"/>
        </w:rPr>
      </w:pPr>
      <w:r>
        <w:rPr>
          <w:rFonts w:hint="eastAsia" w:ascii="Arial" w:hAnsi="Arial" w:eastAsia="宋体" w:cs="Times New Roman"/>
          <w:color w:val="auto"/>
          <w:sz w:val="24"/>
          <w:highlight w:val="none"/>
        </w:rPr>
        <w:t xml:space="preserve">               </w:t>
      </w:r>
      <w:bookmarkStart w:id="2" w:name="_Toc120614210"/>
      <w:bookmarkStart w:id="3" w:name="_Toc20823272"/>
      <w:bookmarkStart w:id="4" w:name="_Toc523127445"/>
      <w:bookmarkStart w:id="5" w:name="_Toc479757206"/>
      <w:bookmarkStart w:id="6" w:name="_Toc16938516"/>
      <w:bookmarkStart w:id="7" w:name="_Toc513029200"/>
      <w:r>
        <w:rPr>
          <w:rFonts w:hint="eastAsia" w:ascii="黑体" w:hAnsi="Arial" w:eastAsia="黑体" w:cs="Times New Roman"/>
          <w:b/>
          <w:color w:val="auto"/>
          <w:sz w:val="44"/>
          <w:highlight w:val="none"/>
        </w:rPr>
        <w:t xml:space="preserve">  目  录</w:t>
      </w:r>
    </w:p>
    <w:p w14:paraId="4EBB0654">
      <w:pPr>
        <w:spacing w:line="480" w:lineRule="auto"/>
        <w:rPr>
          <w:rFonts w:ascii="仿宋_GB2312" w:hAnsi="Arial" w:eastAsia="仿宋_GB2312" w:cs="Times New Roman"/>
          <w:b/>
          <w:color w:val="auto"/>
          <w:kern w:val="0"/>
          <w:sz w:val="28"/>
          <w:szCs w:val="21"/>
          <w:highlight w:val="none"/>
        </w:rPr>
      </w:pPr>
    </w:p>
    <w:p w14:paraId="77EE9775">
      <w:pPr>
        <w:numPr>
          <w:ilvl w:val="0"/>
          <w:numId w:val="3"/>
        </w:numPr>
        <w:spacing w:line="480" w:lineRule="auto"/>
        <w:outlineLvl w:val="0"/>
        <w:rPr>
          <w:rFonts w:ascii="黑体" w:hAnsi="宋体" w:eastAsia="宋体" w:cs="Times New Roman"/>
          <w:color w:val="auto"/>
          <w:kern w:val="0"/>
          <w:sz w:val="36"/>
          <w:szCs w:val="21"/>
          <w:highlight w:val="none"/>
        </w:rPr>
      </w:pPr>
      <w:r>
        <w:rPr>
          <w:rFonts w:hint="eastAsia" w:ascii="黑体" w:hAnsi="宋体" w:eastAsia="宋体" w:cs="Times New Roman"/>
          <w:color w:val="auto"/>
          <w:kern w:val="0"/>
          <w:sz w:val="36"/>
          <w:szCs w:val="21"/>
          <w:highlight w:val="none"/>
        </w:rPr>
        <w:t xml:space="preserve">投标邀请…………………………………… </w:t>
      </w:r>
    </w:p>
    <w:p w14:paraId="173566A2">
      <w:pPr>
        <w:numPr>
          <w:ilvl w:val="0"/>
          <w:numId w:val="3"/>
        </w:numPr>
        <w:spacing w:line="480" w:lineRule="auto"/>
        <w:outlineLvl w:val="0"/>
        <w:rPr>
          <w:rFonts w:ascii="黑体" w:hAnsi="Showcard Gothic" w:eastAsia="宋体" w:cs="Times New Roman"/>
          <w:color w:val="auto"/>
          <w:kern w:val="0"/>
          <w:sz w:val="36"/>
          <w:szCs w:val="21"/>
          <w:highlight w:val="none"/>
        </w:rPr>
      </w:pPr>
      <w:r>
        <w:rPr>
          <w:rFonts w:hint="eastAsia" w:ascii="黑体" w:hAnsi="宋体" w:eastAsia="宋体" w:cs="Times New Roman"/>
          <w:bCs/>
          <w:color w:val="auto"/>
          <w:kern w:val="0"/>
          <w:sz w:val="36"/>
          <w:szCs w:val="36"/>
          <w:highlight w:val="none"/>
        </w:rPr>
        <w:t>投标人须知</w:t>
      </w:r>
      <w:r>
        <w:rPr>
          <w:rFonts w:hint="eastAsia" w:ascii="黑体" w:hAnsi="Showcard Gothic" w:eastAsia="宋体" w:cs="Times New Roman"/>
          <w:color w:val="auto"/>
          <w:kern w:val="0"/>
          <w:sz w:val="36"/>
          <w:szCs w:val="36"/>
          <w:highlight w:val="none"/>
        </w:rPr>
        <w:t>…</w:t>
      </w:r>
      <w:r>
        <w:rPr>
          <w:rFonts w:hint="eastAsia" w:ascii="黑体" w:hAnsi="Showcard Gothic" w:eastAsia="宋体" w:cs="Times New Roman"/>
          <w:color w:val="auto"/>
          <w:kern w:val="0"/>
          <w:sz w:val="36"/>
          <w:szCs w:val="21"/>
          <w:highlight w:val="none"/>
        </w:rPr>
        <w:t xml:space="preserve">………………………………  </w:t>
      </w:r>
    </w:p>
    <w:p w14:paraId="76AF0387">
      <w:pPr>
        <w:numPr>
          <w:ilvl w:val="0"/>
          <w:numId w:val="3"/>
        </w:numPr>
        <w:spacing w:line="480" w:lineRule="auto"/>
        <w:outlineLvl w:val="0"/>
        <w:rPr>
          <w:rFonts w:ascii="黑体" w:hAnsi="Showcard Gothic" w:eastAsia="宋体" w:cs="Times New Roman"/>
          <w:color w:val="auto"/>
          <w:kern w:val="0"/>
          <w:sz w:val="36"/>
          <w:szCs w:val="21"/>
          <w:highlight w:val="none"/>
        </w:rPr>
      </w:pPr>
      <w:r>
        <w:rPr>
          <w:rFonts w:hint="eastAsia" w:ascii="黑体" w:hAnsi="宋体" w:eastAsia="宋体" w:cs="Times New Roman"/>
          <w:color w:val="auto"/>
          <w:kern w:val="0"/>
          <w:sz w:val="36"/>
          <w:szCs w:val="21"/>
          <w:highlight w:val="none"/>
        </w:rPr>
        <w:t>合同文本</w:t>
      </w:r>
      <w:r>
        <w:rPr>
          <w:rFonts w:hint="eastAsia" w:ascii="黑体" w:hAnsi="Showcard Gothic" w:eastAsia="宋体" w:cs="Times New Roman"/>
          <w:color w:val="auto"/>
          <w:kern w:val="0"/>
          <w:sz w:val="36"/>
          <w:szCs w:val="21"/>
          <w:highlight w:val="none"/>
        </w:rPr>
        <w:t>……………………………………</w:t>
      </w:r>
    </w:p>
    <w:p w14:paraId="33275877">
      <w:pPr>
        <w:numPr>
          <w:ilvl w:val="0"/>
          <w:numId w:val="3"/>
        </w:numPr>
        <w:spacing w:line="480" w:lineRule="auto"/>
        <w:outlineLvl w:val="0"/>
        <w:rPr>
          <w:rFonts w:ascii="黑体" w:hAnsi="Showcard Gothic" w:eastAsia="宋体" w:cs="Times New Roman"/>
          <w:color w:val="auto"/>
          <w:kern w:val="0"/>
          <w:sz w:val="36"/>
          <w:szCs w:val="21"/>
          <w:highlight w:val="none"/>
        </w:rPr>
      </w:pPr>
      <w:r>
        <w:rPr>
          <w:rFonts w:hint="eastAsia" w:ascii="黑体" w:hAnsi="宋体" w:eastAsia="宋体" w:cs="Times New Roman"/>
          <w:color w:val="auto"/>
          <w:kern w:val="0"/>
          <w:sz w:val="36"/>
          <w:szCs w:val="21"/>
          <w:highlight w:val="none"/>
        </w:rPr>
        <w:t>采购需求</w:t>
      </w:r>
      <w:r>
        <w:rPr>
          <w:rFonts w:hint="eastAsia" w:ascii="黑体" w:hAnsi="Showcard Gothic" w:eastAsia="宋体" w:cs="Times New Roman"/>
          <w:color w:val="auto"/>
          <w:kern w:val="0"/>
          <w:sz w:val="36"/>
          <w:szCs w:val="21"/>
          <w:highlight w:val="none"/>
        </w:rPr>
        <w:t>……………………………………</w:t>
      </w:r>
    </w:p>
    <w:p w14:paraId="0779A1FA">
      <w:pPr>
        <w:numPr>
          <w:ilvl w:val="0"/>
          <w:numId w:val="3"/>
        </w:numPr>
        <w:spacing w:line="480" w:lineRule="auto"/>
        <w:outlineLvl w:val="0"/>
        <w:rPr>
          <w:rFonts w:ascii="黑体" w:hAnsi="Showcard Gothic" w:eastAsia="宋体" w:cs="Times New Roman"/>
          <w:color w:val="auto"/>
          <w:kern w:val="0"/>
          <w:sz w:val="36"/>
          <w:szCs w:val="21"/>
          <w:highlight w:val="none"/>
        </w:rPr>
      </w:pPr>
      <w:r>
        <w:rPr>
          <w:rFonts w:hint="eastAsia" w:ascii="黑体" w:hAnsi="宋体" w:eastAsia="宋体" w:cs="Times New Roman"/>
          <w:bCs/>
          <w:color w:val="auto"/>
          <w:kern w:val="0"/>
          <w:sz w:val="36"/>
          <w:szCs w:val="36"/>
          <w:highlight w:val="none"/>
        </w:rPr>
        <w:t>评标方法与评标标准</w:t>
      </w:r>
      <w:r>
        <w:rPr>
          <w:rFonts w:hint="eastAsia" w:ascii="黑体" w:hAnsi="Showcard Gothic" w:eastAsia="宋体" w:cs="Times New Roman"/>
          <w:color w:val="auto"/>
          <w:kern w:val="0"/>
          <w:sz w:val="36"/>
          <w:szCs w:val="21"/>
          <w:highlight w:val="none"/>
        </w:rPr>
        <w:t>………………………</w:t>
      </w:r>
    </w:p>
    <w:p w14:paraId="6047B801">
      <w:pPr>
        <w:numPr>
          <w:ilvl w:val="0"/>
          <w:numId w:val="3"/>
        </w:numPr>
        <w:spacing w:line="480" w:lineRule="auto"/>
        <w:outlineLvl w:val="0"/>
        <w:rPr>
          <w:rFonts w:ascii="黑体" w:hAnsi="Showcard Gothic" w:eastAsia="黑体" w:cs="Times New Roman"/>
          <w:color w:val="auto"/>
          <w:kern w:val="0"/>
          <w:sz w:val="36"/>
          <w:szCs w:val="21"/>
          <w:highlight w:val="none"/>
        </w:rPr>
      </w:pPr>
      <w:r>
        <w:rPr>
          <w:rFonts w:hint="eastAsia" w:ascii="黑体" w:hAnsi="宋体" w:eastAsia="宋体" w:cs="Times New Roman"/>
          <w:color w:val="auto"/>
          <w:kern w:val="0"/>
          <w:sz w:val="36"/>
          <w:szCs w:val="21"/>
          <w:highlight w:val="none"/>
        </w:rPr>
        <w:t>投标文件格式</w:t>
      </w:r>
      <w:r>
        <w:rPr>
          <w:rFonts w:hint="eastAsia" w:ascii="黑体" w:hAnsi="Showcard Gothic" w:eastAsia="宋体" w:cs="Times New Roman"/>
          <w:color w:val="auto"/>
          <w:kern w:val="0"/>
          <w:sz w:val="36"/>
          <w:szCs w:val="21"/>
          <w:highlight w:val="none"/>
        </w:rPr>
        <w:t>…………………</w:t>
      </w:r>
      <w:r>
        <w:rPr>
          <w:rFonts w:hint="eastAsia" w:ascii="黑体" w:hAnsi="Showcard Gothic" w:eastAsia="黑体" w:cs="Times New Roman"/>
          <w:color w:val="auto"/>
          <w:kern w:val="0"/>
          <w:sz w:val="36"/>
          <w:szCs w:val="21"/>
          <w:highlight w:val="none"/>
        </w:rPr>
        <w:t>……………</w:t>
      </w:r>
    </w:p>
    <w:p w14:paraId="3A6AE371">
      <w:pPr>
        <w:rPr>
          <w:rFonts w:ascii="Times New Roman" w:hAnsi="Times New Roman" w:eastAsia="宋体" w:cs="Times New Roman"/>
          <w:color w:val="auto"/>
          <w:kern w:val="0"/>
          <w:szCs w:val="21"/>
          <w:highlight w:val="none"/>
        </w:rPr>
      </w:pPr>
    </w:p>
    <w:p w14:paraId="31A4412A">
      <w:pPr>
        <w:rPr>
          <w:rFonts w:ascii="Times New Roman" w:hAnsi="Times New Roman" w:eastAsia="宋体" w:cs="Times New Roman"/>
          <w:color w:val="auto"/>
          <w:kern w:val="0"/>
          <w:szCs w:val="21"/>
          <w:highlight w:val="none"/>
        </w:rPr>
      </w:pPr>
    </w:p>
    <w:p w14:paraId="0564BD4E">
      <w:pPr>
        <w:rPr>
          <w:rFonts w:ascii="Times New Roman" w:hAnsi="Times New Roman" w:eastAsia="宋体" w:cs="Times New Roman"/>
          <w:color w:val="auto"/>
          <w:kern w:val="0"/>
          <w:szCs w:val="21"/>
          <w:highlight w:val="none"/>
        </w:rPr>
      </w:pPr>
    </w:p>
    <w:p w14:paraId="04BF1309">
      <w:pPr>
        <w:rPr>
          <w:rFonts w:ascii="Times New Roman" w:hAnsi="Times New Roman" w:eastAsia="宋体" w:cs="Times New Roman"/>
          <w:color w:val="auto"/>
          <w:kern w:val="0"/>
          <w:szCs w:val="21"/>
          <w:highlight w:val="none"/>
        </w:rPr>
      </w:pPr>
    </w:p>
    <w:p w14:paraId="3149EE80">
      <w:pPr>
        <w:rPr>
          <w:rFonts w:ascii="Times New Roman" w:hAnsi="Times New Roman" w:eastAsia="宋体" w:cs="Times New Roman"/>
          <w:color w:val="auto"/>
          <w:kern w:val="0"/>
          <w:szCs w:val="21"/>
          <w:highlight w:val="none"/>
        </w:rPr>
      </w:pPr>
    </w:p>
    <w:p w14:paraId="7C4F811C">
      <w:pPr>
        <w:rPr>
          <w:rFonts w:ascii="Times New Roman" w:hAnsi="Times New Roman" w:eastAsia="宋体" w:cs="Times New Roman"/>
          <w:color w:val="auto"/>
          <w:kern w:val="0"/>
          <w:szCs w:val="21"/>
          <w:highlight w:val="none"/>
        </w:rPr>
      </w:pPr>
    </w:p>
    <w:p w14:paraId="1118FC7F">
      <w:pPr>
        <w:rPr>
          <w:rFonts w:ascii="Times New Roman" w:hAnsi="Times New Roman" w:eastAsia="宋体" w:cs="Times New Roman"/>
          <w:color w:val="auto"/>
          <w:kern w:val="0"/>
          <w:szCs w:val="21"/>
          <w:highlight w:val="none"/>
        </w:rPr>
      </w:pPr>
    </w:p>
    <w:p w14:paraId="069B4837">
      <w:pPr>
        <w:rPr>
          <w:rFonts w:ascii="Times New Roman" w:hAnsi="Times New Roman" w:eastAsia="宋体" w:cs="Times New Roman"/>
          <w:color w:val="auto"/>
          <w:kern w:val="0"/>
          <w:szCs w:val="21"/>
          <w:highlight w:val="none"/>
        </w:rPr>
      </w:pPr>
    </w:p>
    <w:p w14:paraId="0E2E22AD">
      <w:pPr>
        <w:rPr>
          <w:rFonts w:ascii="Times New Roman" w:hAnsi="Times New Roman" w:eastAsia="宋体" w:cs="Times New Roman"/>
          <w:color w:val="auto"/>
          <w:kern w:val="0"/>
          <w:szCs w:val="21"/>
          <w:highlight w:val="none"/>
        </w:rPr>
      </w:pPr>
    </w:p>
    <w:p w14:paraId="1AF4FF45">
      <w:pPr>
        <w:rPr>
          <w:rFonts w:ascii="Times New Roman" w:hAnsi="Times New Roman" w:eastAsia="宋体" w:cs="Times New Roman"/>
          <w:color w:val="auto"/>
          <w:kern w:val="0"/>
          <w:szCs w:val="21"/>
          <w:highlight w:val="none"/>
        </w:rPr>
      </w:pPr>
    </w:p>
    <w:p w14:paraId="43F1CB4A">
      <w:pPr>
        <w:rPr>
          <w:rFonts w:ascii="Times New Roman" w:hAnsi="Times New Roman" w:eastAsia="宋体" w:cs="Times New Roman"/>
          <w:color w:val="auto"/>
          <w:kern w:val="0"/>
          <w:szCs w:val="21"/>
          <w:highlight w:val="none"/>
        </w:rPr>
      </w:pPr>
    </w:p>
    <w:p w14:paraId="2E10ABD4">
      <w:pPr>
        <w:rPr>
          <w:rFonts w:ascii="Times New Roman" w:hAnsi="Times New Roman" w:eastAsia="宋体" w:cs="Times New Roman"/>
          <w:color w:val="auto"/>
          <w:kern w:val="0"/>
          <w:szCs w:val="21"/>
          <w:highlight w:val="none"/>
        </w:rPr>
      </w:pPr>
    </w:p>
    <w:p w14:paraId="509CA49A">
      <w:pPr>
        <w:rPr>
          <w:rFonts w:ascii="Times New Roman" w:hAnsi="Times New Roman" w:eastAsia="宋体" w:cs="Times New Roman"/>
          <w:color w:val="auto"/>
          <w:kern w:val="0"/>
          <w:szCs w:val="21"/>
          <w:highlight w:val="none"/>
        </w:rPr>
      </w:pPr>
    </w:p>
    <w:p w14:paraId="246397D1">
      <w:pPr>
        <w:rPr>
          <w:rFonts w:ascii="Times New Roman" w:hAnsi="Times New Roman" w:eastAsia="宋体" w:cs="Times New Roman"/>
          <w:color w:val="auto"/>
          <w:kern w:val="0"/>
          <w:szCs w:val="21"/>
          <w:highlight w:val="none"/>
        </w:rPr>
      </w:pPr>
    </w:p>
    <w:p w14:paraId="1BC3E7AC">
      <w:pPr>
        <w:rPr>
          <w:rFonts w:ascii="Times New Roman" w:hAnsi="Times New Roman" w:eastAsia="宋体" w:cs="Times New Roman"/>
          <w:color w:val="auto"/>
          <w:kern w:val="0"/>
          <w:szCs w:val="21"/>
          <w:highlight w:val="none"/>
        </w:rPr>
      </w:pPr>
    </w:p>
    <w:p w14:paraId="459B748C">
      <w:pPr>
        <w:rPr>
          <w:rFonts w:ascii="Times New Roman" w:hAnsi="Times New Roman" w:eastAsia="宋体" w:cs="Times New Roman"/>
          <w:color w:val="auto"/>
          <w:kern w:val="0"/>
          <w:szCs w:val="21"/>
          <w:highlight w:val="none"/>
        </w:rPr>
      </w:pPr>
    </w:p>
    <w:p w14:paraId="77D2E823">
      <w:pPr>
        <w:rPr>
          <w:rFonts w:ascii="Times New Roman" w:hAnsi="Times New Roman" w:eastAsia="宋体" w:cs="Times New Roman"/>
          <w:color w:val="auto"/>
          <w:kern w:val="0"/>
          <w:szCs w:val="21"/>
          <w:highlight w:val="none"/>
        </w:rPr>
      </w:pPr>
    </w:p>
    <w:p w14:paraId="71207947">
      <w:pPr>
        <w:rPr>
          <w:rFonts w:ascii="Times New Roman" w:hAnsi="Times New Roman" w:eastAsia="宋体" w:cs="Times New Roman"/>
          <w:color w:val="auto"/>
          <w:kern w:val="0"/>
          <w:szCs w:val="21"/>
          <w:highlight w:val="none"/>
        </w:rPr>
      </w:pPr>
    </w:p>
    <w:p w14:paraId="05D98EA9">
      <w:pPr>
        <w:rPr>
          <w:rFonts w:ascii="Times New Roman" w:hAnsi="Times New Roman" w:eastAsia="宋体" w:cs="Times New Roman"/>
          <w:color w:val="auto"/>
          <w:kern w:val="0"/>
          <w:szCs w:val="21"/>
          <w:highlight w:val="none"/>
        </w:rPr>
      </w:pPr>
    </w:p>
    <w:p w14:paraId="0642923C">
      <w:pPr>
        <w:rPr>
          <w:rFonts w:ascii="Times New Roman" w:hAnsi="Times New Roman" w:eastAsia="宋体" w:cs="Times New Roman"/>
          <w:color w:val="auto"/>
          <w:kern w:val="0"/>
          <w:szCs w:val="21"/>
          <w:highlight w:val="none"/>
        </w:rPr>
      </w:pPr>
    </w:p>
    <w:p w14:paraId="42F0BB0C">
      <w:pPr>
        <w:rPr>
          <w:rFonts w:ascii="Times New Roman" w:hAnsi="Times New Roman" w:eastAsia="宋体" w:cs="Times New Roman"/>
          <w:color w:val="auto"/>
          <w:kern w:val="0"/>
          <w:szCs w:val="21"/>
          <w:highlight w:val="none"/>
        </w:rPr>
      </w:pPr>
    </w:p>
    <w:p w14:paraId="28449E7E">
      <w:pPr>
        <w:rPr>
          <w:rFonts w:ascii="Times New Roman" w:hAnsi="Times New Roman" w:eastAsia="宋体" w:cs="Times New Roman"/>
          <w:color w:val="auto"/>
          <w:kern w:val="0"/>
          <w:szCs w:val="21"/>
          <w:highlight w:val="none"/>
        </w:rPr>
      </w:pPr>
    </w:p>
    <w:p w14:paraId="6B810729">
      <w:pPr>
        <w:rPr>
          <w:rFonts w:ascii="Times New Roman" w:hAnsi="Times New Roman" w:eastAsia="宋体" w:cs="Times New Roman"/>
          <w:color w:val="auto"/>
          <w:kern w:val="0"/>
          <w:szCs w:val="21"/>
          <w:highlight w:val="none"/>
        </w:rPr>
      </w:pPr>
    </w:p>
    <w:p w14:paraId="4FFCA35C">
      <w:pPr>
        <w:rPr>
          <w:rFonts w:ascii="Times New Roman" w:hAnsi="Times New Roman" w:eastAsia="宋体" w:cs="Times New Roman"/>
          <w:color w:val="auto"/>
          <w:kern w:val="0"/>
          <w:szCs w:val="21"/>
          <w:highlight w:val="none"/>
        </w:rPr>
      </w:pPr>
    </w:p>
    <w:p w14:paraId="2A13D6D1">
      <w:pPr>
        <w:rPr>
          <w:rFonts w:ascii="Times New Roman" w:hAnsi="Times New Roman" w:eastAsia="宋体" w:cs="Times New Roman"/>
          <w:color w:val="auto"/>
          <w:kern w:val="0"/>
          <w:szCs w:val="21"/>
          <w:highlight w:val="none"/>
        </w:rPr>
      </w:pPr>
    </w:p>
    <w:p w14:paraId="5624D3F6">
      <w:pPr>
        <w:rPr>
          <w:rFonts w:ascii="Times New Roman" w:hAnsi="Times New Roman" w:eastAsia="宋体" w:cs="Times New Roman"/>
          <w:color w:val="auto"/>
          <w:kern w:val="0"/>
          <w:szCs w:val="21"/>
          <w:highlight w:val="none"/>
        </w:rPr>
      </w:pPr>
    </w:p>
    <w:p w14:paraId="5DE45B82">
      <w:pPr>
        <w:rPr>
          <w:rFonts w:ascii="黑体" w:eastAsia="黑体"/>
          <w:color w:val="auto"/>
          <w:sz w:val="44"/>
          <w:szCs w:val="44"/>
          <w:highlight w:val="none"/>
        </w:rPr>
        <w:sectPr>
          <w:headerReference r:id="rId3" w:type="default"/>
          <w:footerReference r:id="rId4" w:type="default"/>
          <w:pgSz w:w="11906" w:h="16838"/>
          <w:pgMar w:top="1418" w:right="1588" w:bottom="1418" w:left="1365" w:header="851" w:footer="907" w:gutter="0"/>
          <w:cols w:space="1701" w:num="1"/>
          <w:titlePg/>
          <w:docGrid w:linePitch="360" w:charSpace="0"/>
        </w:sectPr>
      </w:pPr>
    </w:p>
    <w:p w14:paraId="1C976D95">
      <w:pPr>
        <w:keepNext/>
        <w:jc w:val="center"/>
        <w:outlineLvl w:val="0"/>
        <w:rPr>
          <w:rFonts w:ascii="黑体" w:hAnsi="Times New Roman" w:eastAsia="黑体" w:cs="Times New Roman"/>
          <w:bCs/>
          <w:color w:val="auto"/>
          <w:sz w:val="44"/>
          <w:szCs w:val="44"/>
          <w:highlight w:val="none"/>
        </w:rPr>
      </w:pPr>
      <w:r>
        <w:rPr>
          <w:rFonts w:hint="eastAsia" w:ascii="黑体" w:hAnsi="Times New Roman" w:eastAsia="黑体" w:cs="Times New Roman"/>
          <w:color w:val="auto"/>
          <w:sz w:val="44"/>
          <w:szCs w:val="44"/>
          <w:highlight w:val="none"/>
        </w:rPr>
        <w:t xml:space="preserve">第一章  </w:t>
      </w:r>
      <w:bookmarkEnd w:id="2"/>
      <w:r>
        <w:rPr>
          <w:rFonts w:hint="eastAsia" w:ascii="黑体" w:hAnsi="Times New Roman" w:eastAsia="黑体" w:cs="Times New Roman"/>
          <w:color w:val="auto"/>
          <w:sz w:val="44"/>
          <w:szCs w:val="44"/>
          <w:highlight w:val="none"/>
        </w:rPr>
        <w:t>投标邀请</w:t>
      </w:r>
    </w:p>
    <w:p w14:paraId="7853C16C">
      <w:pPr>
        <w:spacing w:line="360" w:lineRule="auto"/>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受</w:t>
      </w:r>
      <w:r>
        <w:rPr>
          <w:rFonts w:hint="eastAsia" w:ascii="宋体" w:hAnsi="宋体" w:eastAsia="宋体" w:cs="Times New Roman"/>
          <w:color w:val="auto"/>
          <w:kern w:val="0"/>
          <w:sz w:val="24"/>
          <w:highlight w:val="none"/>
          <w:u w:val="single"/>
          <w:lang w:eastAsia="zh-CN"/>
        </w:rPr>
        <w:t>江苏连云港化工产业园区管理委员会</w:t>
      </w:r>
      <w:r>
        <w:rPr>
          <w:rFonts w:hint="eastAsia" w:ascii="宋体" w:hAnsi="宋体" w:eastAsia="宋体" w:cs="Times New Roman"/>
          <w:color w:val="auto"/>
          <w:kern w:val="0"/>
          <w:sz w:val="24"/>
          <w:highlight w:val="none"/>
        </w:rPr>
        <w:t>的委托，</w:t>
      </w:r>
      <w:r>
        <w:rPr>
          <w:rFonts w:hint="eastAsia" w:ascii="宋体" w:hAnsi="宋体" w:eastAsia="宋体" w:cs="Times New Roman"/>
          <w:color w:val="auto"/>
          <w:kern w:val="0"/>
          <w:sz w:val="24"/>
          <w:highlight w:val="none"/>
          <w:u w:val="single"/>
        </w:rPr>
        <w:t>连云港新宏项目管理有限公司</w:t>
      </w:r>
      <w:r>
        <w:rPr>
          <w:rFonts w:hint="eastAsia" w:ascii="宋体" w:hAnsi="宋体" w:eastAsia="宋体" w:cs="Times New Roman"/>
          <w:color w:val="auto"/>
          <w:kern w:val="0"/>
          <w:sz w:val="24"/>
          <w:highlight w:val="none"/>
        </w:rPr>
        <w:t>就</w:t>
      </w:r>
      <w:r>
        <w:rPr>
          <w:rFonts w:hint="eastAsia" w:ascii="宋体" w:hAnsi="宋体" w:eastAsia="宋体" w:cs="Times New Roman"/>
          <w:color w:val="auto"/>
          <w:kern w:val="0"/>
          <w:sz w:val="24"/>
          <w:highlight w:val="none"/>
          <w:u w:val="single"/>
          <w:lang w:eastAsia="zh-CN"/>
        </w:rPr>
        <w:t>江苏连云港化工产业园区智慧园区平台运维及升级项目</w:t>
      </w:r>
      <w:r>
        <w:rPr>
          <w:rFonts w:hint="eastAsia" w:ascii="宋体" w:hAnsi="宋体" w:eastAsia="宋体" w:cs="Times New Roman"/>
          <w:color w:val="auto"/>
          <w:kern w:val="0"/>
          <w:sz w:val="24"/>
          <w:highlight w:val="none"/>
        </w:rPr>
        <w:t>项目进行公开招标采购，欢迎符合条件的供应商投标。</w:t>
      </w:r>
    </w:p>
    <w:p w14:paraId="4030335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项目概况</w:t>
      </w:r>
    </w:p>
    <w:p w14:paraId="142E41B0">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u w:val="single"/>
          <w:lang w:eastAsia="zh-CN"/>
        </w:rPr>
        <w:t>江苏连云港化工产业园区智慧园区平台运维及升级项目</w:t>
      </w:r>
      <w:r>
        <w:rPr>
          <w:rFonts w:hint="eastAsia" w:ascii="宋体" w:hAnsi="宋体" w:eastAsia="宋体" w:cs="Times New Roman"/>
          <w:color w:val="auto"/>
          <w:kern w:val="0"/>
          <w:sz w:val="24"/>
          <w:highlight w:val="none"/>
        </w:rPr>
        <w:t>招标项目的潜在投标人可在</w:t>
      </w:r>
      <w:r>
        <w:rPr>
          <w:rFonts w:hint="eastAsia" w:ascii="宋体" w:hAnsi="宋体" w:eastAsia="宋体" w:cs="Times New Roman"/>
          <w:color w:val="auto"/>
          <w:kern w:val="0"/>
          <w:sz w:val="24"/>
          <w:highlight w:val="none"/>
          <w:u w:val="single"/>
        </w:rPr>
        <w:t>“江苏政府采购网”自行免费下载</w:t>
      </w:r>
      <w:r>
        <w:rPr>
          <w:rFonts w:hint="eastAsia" w:ascii="宋体" w:hAnsi="宋体" w:eastAsia="宋体" w:cs="Times New Roman"/>
          <w:color w:val="auto"/>
          <w:kern w:val="0"/>
          <w:sz w:val="24"/>
          <w:highlight w:val="none"/>
        </w:rPr>
        <w:t>招标文件，并于</w:t>
      </w:r>
      <w:r>
        <w:rPr>
          <w:rFonts w:hint="eastAsia" w:ascii="宋体" w:hAnsi="宋体" w:eastAsia="宋体" w:cs="Times New Roman"/>
          <w:b/>
          <w:bCs/>
          <w:color w:val="auto"/>
          <w:kern w:val="0"/>
          <w:sz w:val="24"/>
          <w:highlight w:val="none"/>
          <w:u w:val="single"/>
        </w:rPr>
        <w:t>202</w:t>
      </w:r>
      <w:r>
        <w:rPr>
          <w:rFonts w:hint="eastAsia" w:ascii="宋体" w:hAnsi="宋体" w:eastAsia="宋体" w:cs="Times New Roman"/>
          <w:b/>
          <w:bCs/>
          <w:color w:val="auto"/>
          <w:kern w:val="0"/>
          <w:sz w:val="24"/>
          <w:highlight w:val="none"/>
          <w:u w:val="single"/>
          <w:lang w:val="en-US" w:eastAsia="zh-CN"/>
        </w:rPr>
        <w:t>6</w:t>
      </w:r>
      <w:r>
        <w:rPr>
          <w:rFonts w:hint="eastAsia" w:ascii="宋体" w:hAnsi="宋体" w:eastAsia="宋体" w:cs="Times New Roman"/>
          <w:b/>
          <w:bCs/>
          <w:color w:val="auto"/>
          <w:kern w:val="0"/>
          <w:sz w:val="24"/>
          <w:highlight w:val="none"/>
          <w:u w:val="single"/>
        </w:rPr>
        <w:t>年</w:t>
      </w:r>
      <w:r>
        <w:rPr>
          <w:rFonts w:hint="eastAsia" w:ascii="宋体" w:hAnsi="宋体" w:eastAsia="宋体" w:cs="Times New Roman"/>
          <w:b/>
          <w:bCs/>
          <w:color w:val="auto"/>
          <w:kern w:val="0"/>
          <w:sz w:val="24"/>
          <w:highlight w:val="none"/>
          <w:u w:val="single"/>
          <w:lang w:val="en-US" w:eastAsia="zh-CN"/>
        </w:rPr>
        <w:t>6</w:t>
      </w:r>
      <w:r>
        <w:rPr>
          <w:rFonts w:hint="eastAsia" w:ascii="宋体" w:hAnsi="宋体" w:eastAsia="宋体" w:cs="Times New Roman"/>
          <w:b/>
          <w:bCs/>
          <w:color w:val="auto"/>
          <w:kern w:val="0"/>
          <w:sz w:val="24"/>
          <w:highlight w:val="none"/>
          <w:u w:val="single"/>
        </w:rPr>
        <w:t xml:space="preserve"> 月</w:t>
      </w:r>
      <w:r>
        <w:rPr>
          <w:rFonts w:hint="eastAsia" w:ascii="宋体" w:hAnsi="宋体" w:eastAsia="宋体" w:cs="Times New Roman"/>
          <w:b/>
          <w:bCs/>
          <w:color w:val="auto"/>
          <w:kern w:val="0"/>
          <w:sz w:val="24"/>
          <w:highlight w:val="none"/>
          <w:u w:val="single"/>
          <w:lang w:val="en-US" w:eastAsia="zh-CN"/>
        </w:rPr>
        <w:t>11</w:t>
      </w:r>
      <w:r>
        <w:rPr>
          <w:rFonts w:hint="eastAsia" w:ascii="宋体" w:hAnsi="宋体" w:eastAsia="宋体" w:cs="Times New Roman"/>
          <w:b/>
          <w:bCs/>
          <w:color w:val="auto"/>
          <w:kern w:val="0"/>
          <w:sz w:val="24"/>
          <w:highlight w:val="none"/>
          <w:u w:val="single"/>
        </w:rPr>
        <w:t>日10点00分</w:t>
      </w:r>
      <w:r>
        <w:rPr>
          <w:rFonts w:hint="eastAsia" w:ascii="宋体" w:hAnsi="宋体" w:eastAsia="宋体" w:cs="Times New Roman"/>
          <w:bCs/>
          <w:color w:val="auto"/>
          <w:kern w:val="0"/>
          <w:sz w:val="24"/>
          <w:highlight w:val="none"/>
          <w:u w:val="single"/>
        </w:rPr>
        <w:t>（</w:t>
      </w:r>
      <w:r>
        <w:rPr>
          <w:rFonts w:hint="eastAsia" w:ascii="宋体" w:hAnsi="宋体" w:eastAsia="宋体" w:cs="Times New Roman"/>
          <w:bCs/>
          <w:color w:val="auto"/>
          <w:kern w:val="0"/>
          <w:sz w:val="24"/>
          <w:highlight w:val="none"/>
        </w:rPr>
        <w:t>北京时间）前递交投标</w:t>
      </w:r>
      <w:r>
        <w:rPr>
          <w:rFonts w:ascii="宋体" w:hAnsi="宋体" w:eastAsia="宋体" w:cs="Times New Roman"/>
          <w:bCs/>
          <w:color w:val="auto"/>
          <w:kern w:val="0"/>
          <w:sz w:val="24"/>
          <w:highlight w:val="none"/>
        </w:rPr>
        <w:t>文件</w:t>
      </w:r>
      <w:r>
        <w:rPr>
          <w:rFonts w:hint="eastAsia" w:ascii="宋体" w:hAnsi="宋体" w:eastAsia="宋体" w:cs="Times New Roman"/>
          <w:color w:val="auto"/>
          <w:kern w:val="0"/>
          <w:sz w:val="24"/>
          <w:highlight w:val="none"/>
        </w:rPr>
        <w:t>。</w:t>
      </w:r>
    </w:p>
    <w:p w14:paraId="4D9AAF70">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bookmarkStart w:id="8" w:name="_Toc38985263"/>
      <w:bookmarkStart w:id="9" w:name="_Toc35393790"/>
      <w:bookmarkStart w:id="10" w:name="_Toc35393621"/>
      <w:bookmarkStart w:id="11" w:name="_Toc28359079"/>
      <w:bookmarkStart w:id="12" w:name="_Toc28359002"/>
      <w:bookmarkStart w:id="13" w:name="_Hlk24379207"/>
      <w:r>
        <w:rPr>
          <w:rFonts w:hint="eastAsia" w:ascii="Times New Roman" w:hAnsi="Times New Roman" w:eastAsia="宋体" w:cs="Times New Roman"/>
          <w:b/>
          <w:bCs/>
          <w:color w:val="auto"/>
          <w:sz w:val="32"/>
          <w:szCs w:val="32"/>
          <w:highlight w:val="none"/>
        </w:rPr>
        <w:t>一、项目基本情况</w:t>
      </w:r>
      <w:bookmarkEnd w:id="8"/>
      <w:bookmarkEnd w:id="9"/>
      <w:bookmarkEnd w:id="10"/>
      <w:bookmarkEnd w:id="11"/>
      <w:bookmarkEnd w:id="12"/>
    </w:p>
    <w:p w14:paraId="424945DC">
      <w:pPr>
        <w:spacing w:line="360" w:lineRule="auto"/>
        <w:ind w:firstLine="480"/>
        <w:jc w:val="left"/>
        <w:rPr>
          <w:rFonts w:hint="eastAsia" w:ascii="宋体" w:hAnsi="宋体" w:eastAsia="宋体" w:cs="Times New Roman"/>
          <w:color w:val="auto"/>
          <w:kern w:val="0"/>
          <w:sz w:val="24"/>
          <w:highlight w:val="none"/>
          <w:lang w:eastAsia="zh-CN"/>
        </w:rPr>
      </w:pPr>
      <w:r>
        <w:rPr>
          <w:rFonts w:hint="eastAsia" w:ascii="宋体" w:hAnsi="宋体" w:eastAsia="宋体" w:cs="Times New Roman"/>
          <w:color w:val="auto"/>
          <w:kern w:val="0"/>
          <w:sz w:val="24"/>
          <w:highlight w:val="none"/>
        </w:rPr>
        <w:t>1.项目编号：</w:t>
      </w:r>
      <w:r>
        <w:rPr>
          <w:rFonts w:hint="eastAsia" w:ascii="宋体" w:hAnsi="宋体" w:eastAsia="宋体" w:cs="Times New Roman"/>
          <w:color w:val="auto"/>
          <w:kern w:val="0"/>
          <w:sz w:val="24"/>
          <w:highlight w:val="none"/>
          <w:lang w:eastAsia="zh-CN"/>
        </w:rPr>
        <w:t>JSZC-320724-XHGS-G2026-0002</w:t>
      </w:r>
    </w:p>
    <w:p w14:paraId="1009F186">
      <w:pPr>
        <w:spacing w:line="360" w:lineRule="auto"/>
        <w:ind w:firstLine="480"/>
        <w:jc w:val="left"/>
        <w:rPr>
          <w:rFonts w:hint="eastAsia" w:ascii="宋体" w:hAnsi="宋体" w:eastAsia="宋体" w:cs="Times New Roman"/>
          <w:color w:val="auto"/>
          <w:kern w:val="0"/>
          <w:sz w:val="24"/>
          <w:highlight w:val="none"/>
          <w:lang w:eastAsia="zh-CN"/>
        </w:rPr>
      </w:pPr>
      <w:r>
        <w:rPr>
          <w:rFonts w:hint="eastAsia" w:ascii="宋体" w:hAnsi="宋体" w:eastAsia="宋体" w:cs="Times New Roman"/>
          <w:color w:val="auto"/>
          <w:kern w:val="0"/>
          <w:sz w:val="24"/>
          <w:highlight w:val="none"/>
        </w:rPr>
        <w:t>2.项目名称：</w:t>
      </w:r>
      <w:r>
        <w:rPr>
          <w:rFonts w:hint="eastAsia" w:ascii="宋体" w:hAnsi="宋体" w:eastAsia="宋体" w:cs="Times New Roman"/>
          <w:color w:val="auto"/>
          <w:kern w:val="0"/>
          <w:sz w:val="24"/>
          <w:highlight w:val="none"/>
          <w:lang w:eastAsia="zh-CN"/>
        </w:rPr>
        <w:t>江苏连云港化工产业园区智慧园区平台运维及升级项目</w:t>
      </w:r>
    </w:p>
    <w:bookmarkEnd w:id="13"/>
    <w:p w14:paraId="68836B08">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3.预算金额：</w:t>
      </w:r>
      <w:r>
        <w:rPr>
          <w:rFonts w:hint="eastAsia" w:ascii="宋体" w:hAnsi="宋体" w:eastAsia="宋体" w:cs="Times New Roman"/>
          <w:color w:val="auto"/>
          <w:kern w:val="0"/>
          <w:sz w:val="24"/>
          <w:highlight w:val="none"/>
          <w:lang w:val="en-US" w:eastAsia="zh-CN"/>
        </w:rPr>
        <w:t>240</w:t>
      </w:r>
      <w:r>
        <w:rPr>
          <w:rFonts w:hint="eastAsia" w:ascii="宋体" w:hAnsi="宋体" w:eastAsia="宋体" w:cs="Times New Roman"/>
          <w:color w:val="auto"/>
          <w:kern w:val="0"/>
          <w:sz w:val="24"/>
          <w:highlight w:val="none"/>
        </w:rPr>
        <w:t>万元</w:t>
      </w:r>
    </w:p>
    <w:p w14:paraId="14AE0B71">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4.本项目设定（设定/不设定）最高限价，最高限价为</w:t>
      </w:r>
      <w:r>
        <w:rPr>
          <w:rFonts w:hint="eastAsia" w:ascii="宋体" w:hAnsi="宋体" w:eastAsia="宋体" w:cs="Times New Roman"/>
          <w:color w:val="auto"/>
          <w:kern w:val="0"/>
          <w:sz w:val="24"/>
          <w:highlight w:val="none"/>
          <w:lang w:val="en-US" w:eastAsia="zh-CN"/>
        </w:rPr>
        <w:t>240</w:t>
      </w:r>
      <w:r>
        <w:rPr>
          <w:rFonts w:hint="eastAsia" w:ascii="宋体" w:hAnsi="宋体" w:eastAsia="宋体" w:cs="Times New Roman"/>
          <w:color w:val="auto"/>
          <w:kern w:val="0"/>
          <w:sz w:val="24"/>
          <w:highlight w:val="none"/>
        </w:rPr>
        <w:t>万元，投标人所报的投标报价超过最高限价的投标无效。</w:t>
      </w:r>
    </w:p>
    <w:p w14:paraId="73F9B95A">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采购需求：为全面对标《江苏省化工园区认定工作标准（2025版）》（苏工信规〔2025〕6号）、《关于切实做好已认定化工园区复核有关工作的通知》（苏工信原材〔2026〕71号）、《化工园区安全风险智能化管控平台建设指南（试行）》、《化工园区封闭管理系统技术要求》（GB/T 45227-2025）、《工业园区生态环境管理信息系统建设指南》（DB32/T 4709-2024）等政策文件及标准规范要求，本次建设升级重点围绕工业互联网支撑平台、封闭化管理、应急管理、环境管理、综合管理等模块进行系统化补强与提升，确保园区顺利通过2026年省级化工园区认定复核。具体详见第四章“采购需求”。</w:t>
      </w:r>
    </w:p>
    <w:p w14:paraId="4E48A097">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w:t>
      </w:r>
      <w:r>
        <w:rPr>
          <w:rFonts w:hint="eastAsia" w:ascii="宋体" w:hAnsi="宋体" w:eastAsia="宋体" w:cs="Times New Roman"/>
          <w:color w:val="auto"/>
          <w:kern w:val="0"/>
          <w:sz w:val="24"/>
          <w:highlight w:val="none"/>
          <w:u w:val="none"/>
        </w:rPr>
        <w:t>服务期限：</w:t>
      </w:r>
      <w:r>
        <w:rPr>
          <w:rFonts w:hint="eastAsia" w:ascii="宋体" w:hAnsi="宋体" w:eastAsia="宋体" w:cs="Times New Roman"/>
          <w:color w:val="auto"/>
          <w:kern w:val="0"/>
          <w:sz w:val="24"/>
          <w:highlight w:val="none"/>
          <w:u w:val="none"/>
          <w:lang w:val="en-US" w:eastAsia="zh-CN"/>
        </w:rPr>
        <w:t>系统平台升级1个月，系统平台验收合格后运维12个月</w:t>
      </w:r>
      <w:r>
        <w:rPr>
          <w:rFonts w:hint="eastAsia" w:ascii="宋体" w:hAnsi="宋体" w:eastAsia="宋体" w:cs="Times New Roman"/>
          <w:color w:val="auto"/>
          <w:kern w:val="0"/>
          <w:sz w:val="24"/>
          <w:highlight w:val="none"/>
          <w:u w:val="none"/>
        </w:rPr>
        <w:t>。</w:t>
      </w:r>
    </w:p>
    <w:p w14:paraId="5345941A">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7.本项目不接受联合体投标。</w:t>
      </w:r>
    </w:p>
    <w:p w14:paraId="2F4F7BB8">
      <w:pPr>
        <w:spacing w:line="360" w:lineRule="auto"/>
        <w:ind w:firstLine="480"/>
        <w:jc w:val="left"/>
        <w:rPr>
          <w:rFonts w:ascii="宋体" w:hAnsi="宋体" w:eastAsia="宋体" w:cs="Times New Roman"/>
          <w:color w:val="auto"/>
          <w:kern w:val="0"/>
          <w:sz w:val="24"/>
          <w:highlight w:val="none"/>
        </w:rPr>
      </w:pPr>
      <w:bookmarkStart w:id="14" w:name="_Toc38985264"/>
      <w:bookmarkStart w:id="15" w:name="_Toc28359003"/>
      <w:bookmarkStart w:id="16" w:name="_Toc35393622"/>
      <w:bookmarkStart w:id="17" w:name="_Toc28359080"/>
      <w:bookmarkStart w:id="18" w:name="_Toc35393791"/>
      <w:r>
        <w:rPr>
          <w:rFonts w:hint="eastAsia" w:ascii="宋体" w:hAnsi="宋体" w:eastAsia="宋体" w:cs="Times New Roman"/>
          <w:color w:val="auto"/>
          <w:kern w:val="0"/>
          <w:sz w:val="24"/>
          <w:highlight w:val="none"/>
        </w:rPr>
        <w:t>二、申请人的资格要求：</w:t>
      </w:r>
      <w:bookmarkEnd w:id="14"/>
      <w:bookmarkEnd w:id="15"/>
      <w:bookmarkEnd w:id="16"/>
      <w:bookmarkEnd w:id="17"/>
      <w:bookmarkEnd w:id="18"/>
    </w:p>
    <w:p w14:paraId="174A0642">
      <w:pPr>
        <w:ind w:firstLine="480"/>
        <w:rPr>
          <w:rFonts w:ascii="宋体" w:hAnsi="宋体" w:eastAsia="宋体" w:cs="Times New Roman"/>
          <w:color w:val="auto"/>
          <w:kern w:val="0"/>
          <w:sz w:val="24"/>
          <w:highlight w:val="none"/>
        </w:rPr>
      </w:pPr>
      <w:bookmarkStart w:id="19" w:name="_Toc35393623"/>
      <w:bookmarkStart w:id="20" w:name="_Toc28359004"/>
      <w:bookmarkStart w:id="21" w:name="_Toc35393792"/>
      <w:bookmarkStart w:id="22" w:name="_Toc28359081"/>
      <w:bookmarkStart w:id="23" w:name="_Toc38985265"/>
      <w:r>
        <w:rPr>
          <w:rFonts w:hint="eastAsia" w:ascii="宋体" w:hAnsi="宋体" w:eastAsia="宋体" w:cs="Times New Roman"/>
          <w:color w:val="auto"/>
          <w:kern w:val="0"/>
          <w:sz w:val="24"/>
          <w:highlight w:val="none"/>
        </w:rPr>
        <w:t>（一</w:t>
      </w:r>
      <w:r>
        <w:rPr>
          <w:rFonts w:ascii="宋体" w:hAnsi="宋体" w:eastAsia="宋体" w:cs="Times New Roman"/>
          <w:color w:val="auto"/>
          <w:kern w:val="0"/>
          <w:sz w:val="24"/>
          <w:highlight w:val="none"/>
        </w:rPr>
        <w:t>）</w:t>
      </w:r>
      <w:r>
        <w:rPr>
          <w:rFonts w:hint="eastAsia" w:ascii="宋体" w:hAnsi="宋体" w:eastAsia="宋体" w:cs="Times New Roman"/>
          <w:color w:val="auto"/>
          <w:kern w:val="0"/>
          <w:sz w:val="24"/>
          <w:highlight w:val="none"/>
        </w:rPr>
        <w:t>通用</w:t>
      </w:r>
      <w:r>
        <w:rPr>
          <w:rFonts w:ascii="宋体" w:hAnsi="宋体" w:eastAsia="宋体" w:cs="Times New Roman"/>
          <w:color w:val="auto"/>
          <w:kern w:val="0"/>
          <w:sz w:val="24"/>
          <w:highlight w:val="none"/>
        </w:rPr>
        <w:t>资格要求</w:t>
      </w:r>
    </w:p>
    <w:p w14:paraId="0DDEBF3D">
      <w:pPr>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1.满足《中华人民共和国政府采购法》第二十二条规定，并提供下列材料：</w:t>
      </w:r>
    </w:p>
    <w:p w14:paraId="0FD9D9C0">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(1)法人或者其他组织的营业执照等证明文件，自然人的身份证明（提供法人或者其他组织的营业执照等证明文件）；</w:t>
      </w:r>
    </w:p>
    <w:p w14:paraId="0F1FCF93">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(2)具有良好的商业信誉和健全的财务会计制度；</w:t>
      </w:r>
    </w:p>
    <w:p w14:paraId="7B1EA4C6">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(3)具备履行合同所必需的设备和专业技术能力的声明；</w:t>
      </w:r>
    </w:p>
    <w:p w14:paraId="576F013D">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(4)依法缴纳税收和社会保障资金的良好记录；</w:t>
      </w:r>
    </w:p>
    <w:p w14:paraId="77ED3E15">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(5)参加政府采购活动前三年内在经营活动中没有重大违法记录的声明；</w:t>
      </w:r>
    </w:p>
    <w:p w14:paraId="3BD90DF8">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(6)法律、行政法规规定的其他条件。</w:t>
      </w:r>
    </w:p>
    <w:p w14:paraId="004034F9">
      <w:pPr>
        <w:spacing w:line="360" w:lineRule="auto"/>
        <w:ind w:firstLine="48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注：根据连财购〔2023〕4号文件精神，第（2）、（4）项可以提供《财务状况报告及税收、社会保障资金缴纳情况承诺函》，详见招标文件投标文件格式。</w:t>
      </w:r>
    </w:p>
    <w:p w14:paraId="558C7846">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7）投标文件递交截止前被“信用中国”网站、中国政府采购网网站列入失信执行人、重大税收违法案件当事人名单、政府采购严重违法失信行为记录名单的投标人，拒绝其参与政府采购活动（采购人将通过信用中国网站（www.creditchina.gov.cn）、中国政府采购网（www.ccgp.gov.cn），对投标人信用记录情况进行查询）。</w:t>
      </w:r>
    </w:p>
    <w:p w14:paraId="68FA10E6">
      <w:pPr>
        <w:spacing w:line="360" w:lineRule="auto"/>
        <w:ind w:firstLine="480"/>
        <w:jc w:val="left"/>
        <w:rPr>
          <w:rFonts w:hint="eastAsia" w:ascii="宋体" w:hAnsi="宋体" w:eastAsia="宋体" w:cs="宋体"/>
          <w:color w:val="auto"/>
          <w:kern w:val="0"/>
          <w:sz w:val="24"/>
          <w:highlight w:val="none"/>
          <w:lang w:eastAsia="zh-CN"/>
        </w:rPr>
      </w:pPr>
      <w:r>
        <w:rPr>
          <w:rFonts w:hint="eastAsia" w:ascii="宋体" w:hAnsi="宋体" w:eastAsia="宋体" w:cs="Times New Roman"/>
          <w:color w:val="auto"/>
          <w:kern w:val="0"/>
          <w:sz w:val="24"/>
          <w:highlight w:val="none"/>
        </w:rPr>
        <w:t>2.</w:t>
      </w:r>
      <w:r>
        <w:rPr>
          <w:rFonts w:hint="eastAsia" w:ascii="宋体" w:hAnsi="宋体" w:eastAsia="宋体" w:cs="宋体"/>
          <w:color w:val="auto"/>
          <w:kern w:val="0"/>
          <w:sz w:val="24"/>
          <w:highlight w:val="none"/>
        </w:rPr>
        <w:t>落实政府采购政策需满足的资格要求：</w:t>
      </w:r>
      <w:r>
        <w:rPr>
          <w:rFonts w:hint="eastAsia" w:ascii="宋体" w:hAnsi="宋体" w:eastAsia="宋体" w:cs="宋体"/>
          <w:color w:val="auto"/>
          <w:kern w:val="0"/>
          <w:sz w:val="24"/>
          <w:highlight w:val="none"/>
          <w:lang w:val="en-US" w:eastAsia="zh-CN"/>
        </w:rPr>
        <w:t>无</w:t>
      </w:r>
    </w:p>
    <w:p w14:paraId="5C6726A3">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3.本项目的特定资格要求：无</w:t>
      </w:r>
    </w:p>
    <w:p w14:paraId="7C42284F">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4.本项目的其他资格要求：</w:t>
      </w:r>
    </w:p>
    <w:p w14:paraId="3613F8DB">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本项目不接受进口产品（进口产品是指通过中国海关报关验放进入中国境内且产自关境外的产品）投标，中标后不允许分包或转包。</w:t>
      </w:r>
    </w:p>
    <w:p w14:paraId="373EC0DA">
      <w:pPr>
        <w:spacing w:line="360" w:lineRule="auto"/>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5.法律法规规定的其他条件。</w:t>
      </w:r>
    </w:p>
    <w:p w14:paraId="7D79361F">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三、获取招标文件</w:t>
      </w:r>
      <w:bookmarkEnd w:id="19"/>
      <w:bookmarkEnd w:id="20"/>
      <w:bookmarkEnd w:id="21"/>
      <w:bookmarkEnd w:id="22"/>
      <w:bookmarkEnd w:id="23"/>
    </w:p>
    <w:p w14:paraId="2E1E35AE">
      <w:pPr>
        <w:spacing w:line="360" w:lineRule="auto"/>
        <w:ind w:firstLine="540"/>
        <w:rPr>
          <w:rFonts w:ascii="宋体" w:hAnsi="宋体" w:eastAsia="宋体" w:cs="宋体"/>
          <w:b/>
          <w:bCs/>
          <w:color w:val="auto"/>
          <w:kern w:val="0"/>
          <w:sz w:val="24"/>
          <w:highlight w:val="none"/>
        </w:rPr>
      </w:pPr>
      <w:bookmarkStart w:id="24" w:name="_Toc28359005"/>
      <w:bookmarkStart w:id="25" w:name="_Toc28359082"/>
      <w:bookmarkStart w:id="26" w:name="_Toc35393793"/>
      <w:bookmarkStart w:id="27" w:name="_Toc38985266"/>
      <w:bookmarkStart w:id="28" w:name="_Toc35393624"/>
      <w:r>
        <w:rPr>
          <w:rFonts w:hint="eastAsia" w:ascii="宋体" w:hAnsi="宋体" w:eastAsia="宋体" w:cs="宋体"/>
          <w:color w:val="auto"/>
          <w:kern w:val="0"/>
          <w:sz w:val="24"/>
          <w:szCs w:val="21"/>
          <w:highlight w:val="none"/>
        </w:rPr>
        <w:t>获取时间：</w:t>
      </w:r>
      <w:r>
        <w:rPr>
          <w:rFonts w:ascii="宋体" w:hAnsi="宋体" w:eastAsia="宋体" w:cs="宋体"/>
          <w:b/>
          <w:bCs/>
          <w:color w:val="auto"/>
          <w:kern w:val="0"/>
          <w:sz w:val="24"/>
          <w:szCs w:val="21"/>
          <w:highlight w:val="none"/>
        </w:rPr>
        <w:t>202</w:t>
      </w:r>
      <w:r>
        <w:rPr>
          <w:rFonts w:hint="eastAsia" w:ascii="宋体" w:hAnsi="宋体" w:eastAsia="宋体" w:cs="宋体"/>
          <w:b/>
          <w:bCs/>
          <w:color w:val="auto"/>
          <w:kern w:val="0"/>
          <w:sz w:val="24"/>
          <w:szCs w:val="21"/>
          <w:highlight w:val="none"/>
          <w:lang w:val="en-US" w:eastAsia="zh-CN"/>
        </w:rPr>
        <w:t>6</w:t>
      </w:r>
      <w:r>
        <w:rPr>
          <w:rFonts w:ascii="宋体" w:hAnsi="宋体" w:eastAsia="宋体" w:cs="宋体"/>
          <w:b/>
          <w:bCs/>
          <w:color w:val="auto"/>
          <w:kern w:val="0"/>
          <w:sz w:val="24"/>
          <w:szCs w:val="21"/>
          <w:highlight w:val="none"/>
        </w:rPr>
        <w:t>年</w:t>
      </w:r>
      <w:r>
        <w:rPr>
          <w:rFonts w:hint="eastAsia" w:ascii="宋体" w:hAnsi="宋体" w:eastAsia="宋体" w:cs="宋体"/>
          <w:b/>
          <w:bCs/>
          <w:color w:val="auto"/>
          <w:kern w:val="0"/>
          <w:sz w:val="24"/>
          <w:szCs w:val="21"/>
          <w:highlight w:val="none"/>
          <w:lang w:val="en-US" w:eastAsia="zh-CN"/>
        </w:rPr>
        <w:t>5</w:t>
      </w:r>
      <w:r>
        <w:rPr>
          <w:rFonts w:ascii="宋体" w:hAnsi="宋体" w:eastAsia="宋体" w:cs="宋体"/>
          <w:b/>
          <w:bCs/>
          <w:color w:val="auto"/>
          <w:kern w:val="0"/>
          <w:sz w:val="24"/>
          <w:szCs w:val="21"/>
          <w:highlight w:val="none"/>
        </w:rPr>
        <w:t>月</w:t>
      </w:r>
      <w:r>
        <w:rPr>
          <w:rFonts w:hint="eastAsia" w:ascii="宋体" w:hAnsi="宋体" w:eastAsia="宋体" w:cs="宋体"/>
          <w:b/>
          <w:bCs/>
          <w:color w:val="auto"/>
          <w:kern w:val="0"/>
          <w:sz w:val="24"/>
          <w:szCs w:val="21"/>
          <w:highlight w:val="none"/>
          <w:lang w:val="en-US" w:eastAsia="zh-CN"/>
        </w:rPr>
        <w:t>22</w:t>
      </w:r>
      <w:r>
        <w:rPr>
          <w:rFonts w:ascii="宋体" w:hAnsi="宋体" w:eastAsia="宋体" w:cs="宋体"/>
          <w:b/>
          <w:bCs/>
          <w:color w:val="auto"/>
          <w:kern w:val="0"/>
          <w:sz w:val="24"/>
          <w:szCs w:val="21"/>
          <w:highlight w:val="none"/>
        </w:rPr>
        <w:t>日至202</w:t>
      </w:r>
      <w:r>
        <w:rPr>
          <w:rFonts w:hint="eastAsia" w:ascii="宋体" w:hAnsi="宋体" w:eastAsia="宋体" w:cs="宋体"/>
          <w:b/>
          <w:bCs/>
          <w:color w:val="auto"/>
          <w:kern w:val="0"/>
          <w:sz w:val="24"/>
          <w:szCs w:val="21"/>
          <w:highlight w:val="none"/>
          <w:lang w:val="en-US" w:eastAsia="zh-CN"/>
        </w:rPr>
        <w:t>6</w:t>
      </w:r>
      <w:r>
        <w:rPr>
          <w:rFonts w:ascii="宋体" w:hAnsi="宋体" w:eastAsia="宋体" w:cs="宋体"/>
          <w:b/>
          <w:bCs/>
          <w:color w:val="auto"/>
          <w:kern w:val="0"/>
          <w:sz w:val="24"/>
          <w:szCs w:val="21"/>
          <w:highlight w:val="none"/>
        </w:rPr>
        <w:t>年</w:t>
      </w:r>
      <w:r>
        <w:rPr>
          <w:rFonts w:hint="eastAsia" w:ascii="宋体" w:hAnsi="宋体" w:eastAsia="宋体" w:cs="宋体"/>
          <w:b/>
          <w:bCs/>
          <w:color w:val="auto"/>
          <w:kern w:val="0"/>
          <w:sz w:val="24"/>
          <w:szCs w:val="21"/>
          <w:highlight w:val="none"/>
          <w:lang w:val="en-US" w:eastAsia="zh-CN"/>
        </w:rPr>
        <w:t>5</w:t>
      </w:r>
      <w:r>
        <w:rPr>
          <w:rFonts w:ascii="宋体" w:hAnsi="宋体" w:eastAsia="宋体" w:cs="宋体"/>
          <w:b/>
          <w:bCs/>
          <w:color w:val="auto"/>
          <w:kern w:val="0"/>
          <w:sz w:val="24"/>
          <w:szCs w:val="21"/>
          <w:highlight w:val="none"/>
        </w:rPr>
        <w:t>月</w:t>
      </w:r>
      <w:r>
        <w:rPr>
          <w:rFonts w:hint="eastAsia" w:ascii="宋体" w:hAnsi="宋体" w:eastAsia="宋体" w:cs="宋体"/>
          <w:b/>
          <w:bCs/>
          <w:color w:val="auto"/>
          <w:kern w:val="0"/>
          <w:sz w:val="24"/>
          <w:szCs w:val="21"/>
          <w:highlight w:val="none"/>
          <w:lang w:val="en-US" w:eastAsia="zh-CN"/>
        </w:rPr>
        <w:t>29</w:t>
      </w:r>
      <w:r>
        <w:rPr>
          <w:rFonts w:ascii="宋体" w:hAnsi="宋体" w:eastAsia="宋体" w:cs="宋体"/>
          <w:b/>
          <w:bCs/>
          <w:color w:val="auto"/>
          <w:kern w:val="0"/>
          <w:sz w:val="24"/>
          <w:szCs w:val="21"/>
          <w:highlight w:val="none"/>
        </w:rPr>
        <w:t>日</w:t>
      </w:r>
      <w:r>
        <w:rPr>
          <w:rFonts w:hint="eastAsia" w:ascii="宋体" w:hAnsi="宋体" w:eastAsia="宋体" w:cs="宋体"/>
          <w:b/>
          <w:bCs/>
          <w:color w:val="auto"/>
          <w:kern w:val="0"/>
          <w:sz w:val="24"/>
          <w:szCs w:val="21"/>
          <w:highlight w:val="none"/>
        </w:rPr>
        <w:t>00</w:t>
      </w:r>
      <w:r>
        <w:rPr>
          <w:rFonts w:ascii="宋体" w:hAnsi="宋体" w:eastAsia="宋体" w:cs="宋体"/>
          <w:b/>
          <w:bCs/>
          <w:color w:val="auto"/>
          <w:kern w:val="0"/>
          <w:sz w:val="24"/>
          <w:szCs w:val="21"/>
          <w:highlight w:val="none"/>
        </w:rPr>
        <w:t>时</w:t>
      </w:r>
      <w:r>
        <w:rPr>
          <w:rFonts w:hint="eastAsia" w:ascii="宋体" w:hAnsi="宋体" w:eastAsia="宋体" w:cs="宋体"/>
          <w:b/>
          <w:bCs/>
          <w:color w:val="auto"/>
          <w:kern w:val="0"/>
          <w:sz w:val="24"/>
          <w:szCs w:val="21"/>
          <w:highlight w:val="none"/>
        </w:rPr>
        <w:t>00</w:t>
      </w:r>
      <w:r>
        <w:rPr>
          <w:rFonts w:ascii="宋体" w:hAnsi="宋体" w:eastAsia="宋体" w:cs="宋体"/>
          <w:b/>
          <w:bCs/>
          <w:color w:val="auto"/>
          <w:kern w:val="0"/>
          <w:sz w:val="24"/>
          <w:szCs w:val="21"/>
          <w:highlight w:val="none"/>
        </w:rPr>
        <w:t>分</w:t>
      </w:r>
    </w:p>
    <w:p w14:paraId="57FE15C6">
      <w:pPr>
        <w:numPr>
          <w:ilvl w:val="0"/>
          <w:numId w:val="4"/>
        </w:numPr>
        <w:spacing w:line="360" w:lineRule="auto"/>
        <w:ind w:firstLine="54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方式：在“江苏政府采购网”自行免费下载招标文件。</w:t>
      </w:r>
    </w:p>
    <w:p w14:paraId="4996244C">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    （1）潜在供应商访问电子招标投标交易平台的网络地址和方法：</w:t>
      </w:r>
    </w:p>
    <w:p w14:paraId="1FFB4982">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①登录http://jszfcg.jsczt.cn/ ，或进入江苏政府采购网，点击“苏采云”进入系统。</w:t>
      </w:r>
    </w:p>
    <w:p w14:paraId="063FC829">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p>
    <w:p w14:paraId="57EE8EC1">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③潜在供应商访问“苏采云”系统的网络地址和方法:“苏采云”系统的网址:http://jszfcg.jsczt.cn/。</w:t>
      </w:r>
    </w:p>
    <w:p w14:paraId="75E7755A">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p>
    <w:p w14:paraId="4B8DE578">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⑤采购文件(后缀名为“.kedt”)、供应商操作手册及政府采购客户端工具可通过“苏采云”系统--已报名项目--报名详情页面内相应链接进行下载。</w:t>
      </w:r>
    </w:p>
    <w:p w14:paraId="1DA91C77">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⑥招标代理机构(采购代理机构)将数据电文形式的采购文件加载至“苏采云”系统，供潜在供应商下载或者查阅。</w:t>
      </w:r>
    </w:p>
    <w:p w14:paraId="7BB5BBF9">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⑦请潜在投标单位提前安装相应的控件(详见《江苏省政府采购管理交易系统(苏采云)供应商操作手册&gt;)并使用谷歌浏览器登录“苏采云”系统参与不见面开评标。</w:t>
      </w:r>
    </w:p>
    <w:p w14:paraId="05F928E3">
      <w:pPr>
        <w:spacing w:line="360" w:lineRule="auto"/>
        <w:ind w:firstLine="540"/>
        <w:rPr>
          <w:rFonts w:ascii="宋体" w:hAnsi="宋体" w:eastAsia="宋体" w:cs="宋体"/>
          <w:color w:val="auto"/>
          <w:kern w:val="0"/>
          <w:sz w:val="24"/>
          <w:highlight w:val="none"/>
        </w:rPr>
      </w:pPr>
      <w:r>
        <w:rPr>
          <w:rFonts w:hint="eastAsia" w:ascii="宋体" w:hAnsi="宋体" w:eastAsia="宋体" w:cs="宋体"/>
          <w:b/>
          <w:bCs/>
          <w:color w:val="auto"/>
          <w:kern w:val="0"/>
          <w:sz w:val="24"/>
          <w:highlight w:val="none"/>
        </w:rPr>
        <w:t>注:如潜在投标人未按上述要求操作，将自行承担所产生的风险。</w:t>
      </w:r>
    </w:p>
    <w:p w14:paraId="42A22F75">
      <w:pPr>
        <w:keepNext/>
        <w:keepLines/>
        <w:spacing w:before="145" w:after="145" w:line="360" w:lineRule="auto"/>
        <w:ind w:firstLine="321"/>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四、提交投标文件</w:t>
      </w:r>
      <w:bookmarkEnd w:id="24"/>
      <w:bookmarkEnd w:id="25"/>
      <w:r>
        <w:rPr>
          <w:rFonts w:hint="eastAsia" w:ascii="Times New Roman" w:hAnsi="Times New Roman" w:eastAsia="宋体" w:cs="Times New Roman"/>
          <w:b/>
          <w:bCs/>
          <w:color w:val="auto"/>
          <w:sz w:val="32"/>
          <w:szCs w:val="32"/>
          <w:highlight w:val="none"/>
        </w:rPr>
        <w:t>截止时间、开标时间和地点</w:t>
      </w:r>
      <w:bookmarkEnd w:id="26"/>
      <w:bookmarkEnd w:id="27"/>
      <w:bookmarkEnd w:id="28"/>
    </w:p>
    <w:p w14:paraId="63036EAC">
      <w:pPr>
        <w:ind w:firstLine="480"/>
        <w:rPr>
          <w:rFonts w:ascii="宋体" w:hAnsi="宋体" w:eastAsia="宋体" w:cs="Times New Roman"/>
          <w:bCs/>
          <w:color w:val="auto"/>
          <w:kern w:val="0"/>
          <w:sz w:val="24"/>
          <w:highlight w:val="none"/>
          <w:u w:val="single"/>
        </w:rPr>
      </w:pPr>
      <w:r>
        <w:rPr>
          <w:rFonts w:hint="eastAsia" w:ascii="宋体" w:hAnsi="宋体" w:eastAsia="宋体" w:cs="Times New Roman"/>
          <w:bCs/>
          <w:color w:val="auto"/>
          <w:kern w:val="0"/>
          <w:sz w:val="24"/>
          <w:highlight w:val="none"/>
          <w:u w:val="single"/>
        </w:rPr>
        <w:t>1.投标文件接收截止时间：</w:t>
      </w:r>
      <w:r>
        <w:rPr>
          <w:rFonts w:hint="eastAsia" w:ascii="宋体" w:hAnsi="宋体" w:eastAsia="宋体" w:cs="Times New Roman"/>
          <w:b/>
          <w:color w:val="auto"/>
          <w:kern w:val="0"/>
          <w:sz w:val="24"/>
          <w:highlight w:val="none"/>
          <w:u w:val="single"/>
        </w:rPr>
        <w:t>202</w:t>
      </w:r>
      <w:r>
        <w:rPr>
          <w:rFonts w:hint="eastAsia" w:ascii="宋体" w:hAnsi="宋体" w:eastAsia="宋体" w:cs="Times New Roman"/>
          <w:b/>
          <w:color w:val="auto"/>
          <w:kern w:val="0"/>
          <w:sz w:val="24"/>
          <w:highlight w:val="none"/>
          <w:u w:val="single"/>
          <w:lang w:val="en-US" w:eastAsia="zh-CN"/>
        </w:rPr>
        <w:t>6</w:t>
      </w:r>
      <w:r>
        <w:rPr>
          <w:rFonts w:hint="eastAsia" w:ascii="宋体" w:hAnsi="宋体" w:eastAsia="宋体" w:cs="Times New Roman"/>
          <w:b/>
          <w:color w:val="auto"/>
          <w:kern w:val="0"/>
          <w:sz w:val="24"/>
          <w:highlight w:val="none"/>
          <w:u w:val="single"/>
        </w:rPr>
        <w:t>年</w:t>
      </w:r>
      <w:r>
        <w:rPr>
          <w:rFonts w:hint="eastAsia" w:ascii="宋体" w:hAnsi="宋体" w:eastAsia="宋体" w:cs="Times New Roman"/>
          <w:b/>
          <w:color w:val="auto"/>
          <w:kern w:val="0"/>
          <w:sz w:val="24"/>
          <w:highlight w:val="none"/>
          <w:u w:val="single"/>
          <w:lang w:val="en-US" w:eastAsia="zh-CN"/>
        </w:rPr>
        <w:t xml:space="preserve"> 6 </w:t>
      </w:r>
      <w:r>
        <w:rPr>
          <w:rFonts w:hint="eastAsia" w:ascii="宋体" w:hAnsi="宋体" w:eastAsia="宋体" w:cs="Times New Roman"/>
          <w:b/>
          <w:color w:val="auto"/>
          <w:kern w:val="0"/>
          <w:sz w:val="24"/>
          <w:highlight w:val="none"/>
          <w:u w:val="single"/>
        </w:rPr>
        <w:t>月</w:t>
      </w:r>
      <w:r>
        <w:rPr>
          <w:rFonts w:hint="eastAsia" w:ascii="宋体" w:hAnsi="宋体" w:eastAsia="宋体" w:cs="Times New Roman"/>
          <w:b/>
          <w:color w:val="auto"/>
          <w:kern w:val="0"/>
          <w:sz w:val="24"/>
          <w:highlight w:val="none"/>
          <w:u w:val="single"/>
          <w:lang w:val="en-US" w:eastAsia="zh-CN"/>
        </w:rPr>
        <w:t>11</w:t>
      </w:r>
      <w:bookmarkStart w:id="164" w:name="_GoBack"/>
      <w:bookmarkEnd w:id="164"/>
      <w:r>
        <w:rPr>
          <w:rFonts w:hint="eastAsia" w:ascii="宋体" w:hAnsi="宋体" w:eastAsia="宋体" w:cs="Times New Roman"/>
          <w:b/>
          <w:color w:val="auto"/>
          <w:kern w:val="0"/>
          <w:sz w:val="24"/>
          <w:highlight w:val="none"/>
          <w:u w:val="single"/>
        </w:rPr>
        <w:t>日10点00分</w:t>
      </w:r>
      <w:r>
        <w:rPr>
          <w:rFonts w:hint="eastAsia" w:ascii="宋体" w:hAnsi="宋体" w:eastAsia="宋体" w:cs="Times New Roman"/>
          <w:bCs/>
          <w:color w:val="auto"/>
          <w:kern w:val="0"/>
          <w:sz w:val="24"/>
          <w:highlight w:val="none"/>
        </w:rPr>
        <w:t>（北京时间）</w:t>
      </w:r>
    </w:p>
    <w:p w14:paraId="15B9AE27">
      <w:pPr>
        <w:ind w:firstLine="480"/>
        <w:rPr>
          <w:rFonts w:ascii="宋体" w:hAnsi="宋体" w:eastAsia="宋体" w:cs="Times New Roman"/>
          <w:bCs/>
          <w:color w:val="auto"/>
          <w:kern w:val="0"/>
          <w:sz w:val="24"/>
          <w:highlight w:val="none"/>
          <w:u w:val="single"/>
        </w:rPr>
      </w:pPr>
      <w:r>
        <w:rPr>
          <w:rFonts w:hint="eastAsia" w:ascii="宋体" w:hAnsi="宋体" w:eastAsia="宋体" w:cs="Times New Roman"/>
          <w:color w:val="auto"/>
          <w:kern w:val="0"/>
          <w:sz w:val="24"/>
          <w:highlight w:val="none"/>
        </w:rPr>
        <w:t>2.地点：“苏采云”政府采购交易系统网上开标大厅。</w:t>
      </w:r>
    </w:p>
    <w:p w14:paraId="0F5AD6B4">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bookmarkStart w:id="29" w:name="_Toc38985267"/>
      <w:bookmarkStart w:id="30" w:name="_Toc28359007"/>
      <w:bookmarkStart w:id="31" w:name="_Toc35393794"/>
      <w:bookmarkStart w:id="32" w:name="_Toc35393625"/>
      <w:bookmarkStart w:id="33" w:name="_Toc28359084"/>
      <w:r>
        <w:rPr>
          <w:rFonts w:hint="eastAsia" w:ascii="Times New Roman" w:hAnsi="Times New Roman" w:eastAsia="宋体" w:cs="Times New Roman"/>
          <w:b/>
          <w:bCs/>
          <w:color w:val="auto"/>
          <w:sz w:val="32"/>
          <w:szCs w:val="32"/>
          <w:highlight w:val="none"/>
        </w:rPr>
        <w:t>五、公告期限</w:t>
      </w:r>
      <w:bookmarkEnd w:id="29"/>
      <w:bookmarkEnd w:id="30"/>
      <w:bookmarkEnd w:id="31"/>
      <w:bookmarkEnd w:id="32"/>
      <w:bookmarkEnd w:id="33"/>
    </w:p>
    <w:p w14:paraId="2AEB6446">
      <w:pPr>
        <w:ind w:firstLine="480"/>
        <w:rPr>
          <w:rFonts w:ascii="宋体" w:hAnsi="宋体" w:eastAsia="宋体" w:cs="宋体"/>
          <w:color w:val="auto"/>
          <w:kern w:val="0"/>
          <w:sz w:val="24"/>
          <w:highlight w:val="none"/>
        </w:rPr>
      </w:pPr>
      <w:bookmarkStart w:id="34" w:name="_Toc35393626"/>
      <w:bookmarkStart w:id="35" w:name="_Toc35393795"/>
      <w:bookmarkStart w:id="36" w:name="_Toc38985268"/>
      <w:r>
        <w:rPr>
          <w:rFonts w:hint="eastAsia" w:ascii="宋体" w:hAnsi="宋体" w:eastAsia="宋体" w:cs="宋体"/>
          <w:color w:val="auto"/>
          <w:kern w:val="0"/>
          <w:sz w:val="24"/>
          <w:highlight w:val="none"/>
        </w:rPr>
        <w:t>自本公告发布之日起5个工作日。</w:t>
      </w:r>
    </w:p>
    <w:p w14:paraId="2372A3B4">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六、其他补充事宜</w:t>
      </w:r>
      <w:bookmarkEnd w:id="34"/>
      <w:bookmarkEnd w:id="35"/>
      <w:bookmarkEnd w:id="36"/>
    </w:p>
    <w:p w14:paraId="5716D0E8">
      <w:pPr>
        <w:spacing w:line="360" w:lineRule="auto"/>
        <w:ind w:firstLine="480"/>
        <w:jc w:val="left"/>
        <w:rPr>
          <w:rFonts w:hint="eastAsia" w:ascii="宋体" w:hAnsi="宋体" w:eastAsia="宋体" w:cs="Times New Roman"/>
          <w:color w:val="auto"/>
          <w:kern w:val="0"/>
          <w:sz w:val="24"/>
          <w:highlight w:val="none"/>
        </w:rPr>
      </w:pPr>
      <w:bookmarkStart w:id="37" w:name="_Toc38985269"/>
      <w:bookmarkStart w:id="38" w:name="_Toc28359008"/>
      <w:bookmarkStart w:id="39" w:name="_Toc35393627"/>
      <w:bookmarkStart w:id="40" w:name="_Toc35393796"/>
      <w:bookmarkStart w:id="41" w:name="_Toc28359085"/>
      <w:r>
        <w:rPr>
          <w:rFonts w:hint="eastAsia" w:ascii="宋体" w:hAnsi="宋体" w:eastAsia="宋体" w:cs="Times New Roman"/>
          <w:color w:val="auto"/>
          <w:kern w:val="0"/>
          <w:sz w:val="24"/>
          <w:highlight w:val="none"/>
        </w:rPr>
        <w:t>1、本招标文件中标注★的款项为实质性响应要求和条件，如不满足将按无效投标处理。</w:t>
      </w:r>
    </w:p>
    <w:p w14:paraId="21E9E146">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p>
    <w:p w14:paraId="5056B063">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3、投标人制作投标文件时如遇投标工具中投标格式与招标文件不一致，请投标人按照招标文件中投标格式要求编制一份投标文件资料添加在投标工具其他材料中。</w:t>
      </w:r>
    </w:p>
    <w:p w14:paraId="26F47705">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4、根据苏财购[2020]52号规定，本项目不收取投标保证金。</w:t>
      </w:r>
    </w:p>
    <w:p w14:paraId="2A41F0DE">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5、投标文件相关要求：</w:t>
      </w:r>
    </w:p>
    <w:p w14:paraId="4AA5F63E">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①本项目采用不见面远程模式，投标人在各自地点通过不见面交易系统参加开标会；</w:t>
      </w:r>
    </w:p>
    <w:p w14:paraId="233159DB">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②请各投标人充分考虑项目周期，谨慎参与交易，中标后不得以任何理由放弃中标资格或不按规定履约；</w:t>
      </w:r>
    </w:p>
    <w:p w14:paraId="3B27B036">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③逾期上传投标文件的，采购人不予受理；</w:t>
      </w:r>
    </w:p>
    <w:p w14:paraId="4B496B0D">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④中标后中标人按以下要求提供书面投标文件：</w:t>
      </w:r>
    </w:p>
    <w:p w14:paraId="16B44C20">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中标人提供的书面投标文件必须与网络上传投标文件（加密文件）一致，纸质与电子标书内容不一致的，以电子标书为准；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投标文件正本一份，副本</w:t>
      </w:r>
      <w:r>
        <w:rPr>
          <w:rFonts w:hint="eastAsia" w:ascii="宋体" w:hAnsi="宋体" w:eastAsia="宋体" w:cs="Times New Roman"/>
          <w:color w:val="auto"/>
          <w:kern w:val="0"/>
          <w:sz w:val="24"/>
          <w:highlight w:val="none"/>
          <w:lang w:val="en-US" w:eastAsia="zh-CN"/>
        </w:rPr>
        <w:t>三</w:t>
      </w:r>
      <w:r>
        <w:rPr>
          <w:rFonts w:hint="eastAsia" w:ascii="宋体" w:hAnsi="宋体" w:eastAsia="宋体" w:cs="Times New Roman"/>
          <w:color w:val="auto"/>
          <w:kern w:val="0"/>
          <w:sz w:val="24"/>
          <w:highlight w:val="none"/>
        </w:rPr>
        <w:t>份，电子标书一份（U盘形式、不加密无毒），中标后提供。正本和副本的封面上应清楚地标记“正本”或“副本”的字样（带页码）。</w:t>
      </w:r>
    </w:p>
    <w:p w14:paraId="3C55F83E">
      <w:pPr>
        <w:spacing w:line="360" w:lineRule="auto"/>
        <w:ind w:firstLine="480"/>
        <w:jc w:val="left"/>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为保证交互效果，建议投标人选择封闭安静的地点参与远程交互。因投标人自身软硬件配备不齐全或发生故障等问题而导致在交互过程中出现不稳定或中断等情况的，由投标人自身承担一切后果。</w:t>
      </w:r>
    </w:p>
    <w:p w14:paraId="5C2EBD0D">
      <w:pPr>
        <w:keepNext/>
        <w:keepLines/>
        <w:spacing w:before="145" w:after="145" w:line="360" w:lineRule="auto"/>
        <w:ind w:firstLine="498"/>
        <w:outlineLvl w:val="2"/>
        <w:rPr>
          <w:rFonts w:hint="eastAsia" w:ascii="Times New Roman" w:hAnsi="Times New Roman" w:eastAsia="宋体" w:cs="Times New Roman"/>
          <w:b/>
          <w:bCs/>
          <w:color w:val="auto"/>
          <w:sz w:val="32"/>
          <w:szCs w:val="32"/>
          <w:highlight w:val="none"/>
        </w:rPr>
      </w:pPr>
      <w:r>
        <w:rPr>
          <w:rFonts w:hint="eastAsia" w:ascii="宋体" w:hAnsi="宋体" w:eastAsia="宋体" w:cs="Times New Roman"/>
          <w:color w:val="auto"/>
          <w:kern w:val="0"/>
          <w:sz w:val="24"/>
          <w:highlight w:val="none"/>
        </w:rPr>
        <w:t>注：投标人在签到时，需填写单位名称、项目负责人姓名，手机号码（手机号码务必能打通，否则答疑联系不上产生的所有后果由投标人自行承担）。</w:t>
      </w:r>
    </w:p>
    <w:p w14:paraId="1985ECD7">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七、本次招标联系方式</w:t>
      </w:r>
      <w:bookmarkEnd w:id="37"/>
      <w:bookmarkEnd w:id="38"/>
      <w:bookmarkEnd w:id="39"/>
      <w:bookmarkEnd w:id="40"/>
      <w:bookmarkEnd w:id="41"/>
    </w:p>
    <w:p w14:paraId="41DBAA34">
      <w:pPr>
        <w:widowControl/>
        <w:jc w:val="left"/>
        <w:rPr>
          <w:rFonts w:ascii="宋体" w:hAnsi="宋体" w:eastAsia="宋体" w:cs="宋体"/>
          <w:color w:val="auto"/>
          <w:kern w:val="0"/>
          <w:sz w:val="24"/>
          <w:highlight w:val="none"/>
        </w:rPr>
      </w:pPr>
      <w:r>
        <w:rPr>
          <w:rFonts w:hint="eastAsia" w:ascii="仿宋" w:hAnsi="仿宋" w:eastAsia="仿宋" w:cs="宋体"/>
          <w:color w:val="auto"/>
          <w:kern w:val="0"/>
          <w:sz w:val="28"/>
          <w:szCs w:val="28"/>
          <w:highlight w:val="none"/>
        </w:rPr>
        <w:t>　　　</w:t>
      </w:r>
      <w:r>
        <w:rPr>
          <w:rFonts w:hint="eastAsia" w:ascii="宋体" w:hAnsi="宋体" w:eastAsia="宋体" w:cs="宋体"/>
          <w:color w:val="auto"/>
          <w:kern w:val="0"/>
          <w:sz w:val="24"/>
          <w:highlight w:val="none"/>
        </w:rPr>
        <w:t>1.采购人信息</w:t>
      </w:r>
    </w:p>
    <w:p w14:paraId="231D6C47">
      <w:pPr>
        <w:widowControl/>
        <w:jc w:val="left"/>
        <w:rPr>
          <w:rFonts w:ascii="宋体" w:hAnsi="宋体" w:eastAsia="宋体" w:cs="宋体"/>
          <w:color w:val="auto"/>
          <w:kern w:val="0"/>
          <w:sz w:val="24"/>
          <w:highlight w:val="none"/>
        </w:rPr>
      </w:pPr>
    </w:p>
    <w:p w14:paraId="3ACF9C09">
      <w:pPr>
        <w:spacing w:line="360" w:lineRule="auto"/>
        <w:ind w:firstLine="72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名 称：</w:t>
      </w:r>
      <w:r>
        <w:rPr>
          <w:rFonts w:hint="eastAsia" w:ascii="宋体" w:hAnsi="宋体" w:eastAsia="宋体" w:cs="Times New Roman"/>
          <w:color w:val="auto"/>
          <w:kern w:val="0"/>
          <w:sz w:val="24"/>
          <w:highlight w:val="none"/>
          <w:lang w:eastAsia="zh-CN"/>
        </w:rPr>
        <w:t>江苏连云港化工产业园区管理委员会</w:t>
      </w:r>
      <w:r>
        <w:rPr>
          <w:rFonts w:hint="eastAsia" w:ascii="宋体" w:hAnsi="宋体" w:eastAsia="宋体" w:cs="Times New Roman"/>
          <w:color w:val="auto"/>
          <w:kern w:val="0"/>
          <w:sz w:val="24"/>
          <w:highlight w:val="none"/>
        </w:rPr>
        <w:t>　　</w:t>
      </w:r>
    </w:p>
    <w:p w14:paraId="49A1E09B">
      <w:pPr>
        <w:spacing w:line="360" w:lineRule="auto"/>
        <w:ind w:firstLine="72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地址：</w:t>
      </w:r>
      <w:r>
        <w:rPr>
          <w:rFonts w:hint="eastAsia" w:ascii="宋体" w:hAnsi="宋体" w:eastAsia="宋体" w:cs="Times New Roman"/>
          <w:color w:val="auto"/>
          <w:kern w:val="0"/>
          <w:sz w:val="24"/>
          <w:highlight w:val="none"/>
          <w:lang w:eastAsia="zh-CN"/>
        </w:rPr>
        <w:t>连云港市灌南县</w:t>
      </w:r>
      <w:r>
        <w:rPr>
          <w:rFonts w:hint="eastAsia" w:ascii="宋体" w:hAnsi="宋体" w:eastAsia="宋体" w:cs="Times New Roman"/>
          <w:color w:val="auto"/>
          <w:kern w:val="0"/>
          <w:sz w:val="24"/>
          <w:highlight w:val="none"/>
        </w:rPr>
        <w:t>　　</w:t>
      </w:r>
    </w:p>
    <w:p w14:paraId="62328441">
      <w:pPr>
        <w:spacing w:line="360" w:lineRule="auto"/>
        <w:ind w:firstLine="72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联系人：</w:t>
      </w:r>
      <w:r>
        <w:rPr>
          <w:rFonts w:hint="eastAsia" w:ascii="宋体" w:hAnsi="宋体" w:eastAsia="宋体" w:cs="Times New Roman"/>
          <w:color w:val="auto"/>
          <w:kern w:val="0"/>
          <w:sz w:val="24"/>
          <w:highlight w:val="none"/>
          <w:lang w:val="en-US" w:eastAsia="zh-CN"/>
        </w:rPr>
        <w:t>许主任</w:t>
      </w:r>
      <w:r>
        <w:rPr>
          <w:rFonts w:hint="eastAsia" w:ascii="宋体" w:hAnsi="宋体" w:eastAsia="宋体" w:cs="Times New Roman"/>
          <w:color w:val="auto"/>
          <w:kern w:val="0"/>
          <w:sz w:val="24"/>
          <w:highlight w:val="none"/>
        </w:rPr>
        <w:t xml:space="preserve">   </w:t>
      </w:r>
    </w:p>
    <w:p w14:paraId="4708ABAC">
      <w:pPr>
        <w:spacing w:line="360" w:lineRule="auto"/>
        <w:ind w:firstLine="720"/>
        <w:jc w:val="left"/>
        <w:rPr>
          <w:rFonts w:hint="default" w:ascii="宋体" w:hAnsi="宋体" w:eastAsia="宋体" w:cs="Times New Roman"/>
          <w:color w:val="auto"/>
          <w:kern w:val="0"/>
          <w:sz w:val="24"/>
          <w:highlight w:val="none"/>
          <w:lang w:val="en-US" w:eastAsia="zh-CN"/>
        </w:rPr>
      </w:pPr>
      <w:r>
        <w:rPr>
          <w:rFonts w:hint="eastAsia" w:ascii="宋体" w:hAnsi="宋体" w:eastAsia="宋体" w:cs="Times New Roman"/>
          <w:color w:val="auto"/>
          <w:kern w:val="0"/>
          <w:sz w:val="24"/>
          <w:highlight w:val="none"/>
        </w:rPr>
        <w:t>联系方式：</w:t>
      </w:r>
      <w:bookmarkStart w:id="42" w:name="_Toc28359009"/>
      <w:bookmarkStart w:id="43" w:name="_Toc28359086"/>
      <w:r>
        <w:rPr>
          <w:rFonts w:hint="eastAsia" w:ascii="宋体" w:hAnsi="宋体" w:eastAsia="宋体" w:cs="Times New Roman"/>
          <w:color w:val="auto"/>
          <w:kern w:val="0"/>
          <w:sz w:val="24"/>
          <w:highlight w:val="none"/>
          <w:lang w:val="en-US" w:eastAsia="zh-CN"/>
        </w:rPr>
        <w:t>15151208937</w:t>
      </w:r>
    </w:p>
    <w:bookmarkEnd w:id="42"/>
    <w:bookmarkEnd w:id="43"/>
    <w:p w14:paraId="32AEBB34">
      <w:pPr>
        <w:spacing w:line="360" w:lineRule="auto"/>
        <w:ind w:firstLine="72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2.采购代理机构信息</w:t>
      </w:r>
    </w:p>
    <w:p w14:paraId="74508BEF">
      <w:pPr>
        <w:spacing w:line="360" w:lineRule="auto"/>
        <w:ind w:firstLine="72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名称：连云港新宏项目管理有限公司</w:t>
      </w:r>
    </w:p>
    <w:p w14:paraId="51154C0E">
      <w:pPr>
        <w:spacing w:line="360" w:lineRule="auto"/>
        <w:ind w:firstLine="72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地址：连云港市海州区朝阳东路东盛阳光大厦B座3505号  </w:t>
      </w:r>
    </w:p>
    <w:p w14:paraId="39139538">
      <w:pPr>
        <w:spacing w:line="360" w:lineRule="auto"/>
        <w:ind w:firstLine="72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联系方式：谢工   联系电话：0518-81162007</w:t>
      </w:r>
    </w:p>
    <w:p w14:paraId="3F5060E8">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八、其他</w:t>
      </w:r>
    </w:p>
    <w:p w14:paraId="09A27CC6">
      <w:pPr>
        <w:tabs>
          <w:tab w:val="left" w:pos="900"/>
        </w:tabs>
        <w:spacing w:line="560" w:lineRule="exact"/>
        <w:ind w:firstLine="480"/>
        <w:rPr>
          <w:rFonts w:ascii="宋体" w:hAnsi="宋体" w:eastAsia="宋体" w:cs="Times New Roman"/>
          <w:bCs/>
          <w:color w:val="auto"/>
          <w:kern w:val="0"/>
          <w:sz w:val="24"/>
          <w:highlight w:val="none"/>
        </w:rPr>
      </w:pPr>
      <w:r>
        <w:rPr>
          <w:rFonts w:ascii="宋体" w:hAnsi="宋体" w:eastAsia="宋体" w:cs="Times New Roman"/>
          <w:color w:val="auto"/>
          <w:kern w:val="0"/>
          <w:sz w:val="24"/>
          <w:szCs w:val="21"/>
          <w:highlight w:val="none"/>
        </w:rPr>
        <w:t>1</w:t>
      </w:r>
      <w:r>
        <w:rPr>
          <w:rFonts w:hint="eastAsia" w:ascii="宋体" w:hAnsi="宋体" w:eastAsia="宋体" w:cs="Times New Roman"/>
          <w:color w:val="auto"/>
          <w:kern w:val="0"/>
          <w:sz w:val="24"/>
          <w:szCs w:val="21"/>
          <w:highlight w:val="none"/>
        </w:rPr>
        <w:t>.</w:t>
      </w:r>
      <w:r>
        <w:rPr>
          <w:rFonts w:hint="eastAsia" w:ascii="宋体" w:hAnsi="宋体" w:eastAsia="宋体" w:cs="Times New Roman"/>
          <w:bCs/>
          <w:color w:val="auto"/>
          <w:kern w:val="0"/>
          <w:sz w:val="24"/>
          <w:highlight w:val="none"/>
        </w:rPr>
        <w:t xml:space="preserve"> 根据省财政厅《关于更换全省政府采购交易系统C A数字证书和电子签章的通知》（苏财购〔2023〕101号），</w:t>
      </w:r>
      <w:r>
        <w:rPr>
          <w:rFonts w:hint="eastAsia" w:ascii="宋体" w:hAnsi="宋体" w:eastAsia="宋体" w:cs="Times New Roman"/>
          <w:color w:val="auto"/>
          <w:kern w:val="0"/>
          <w:sz w:val="24"/>
          <w:highlight w:val="none"/>
        </w:rPr>
        <w:t>“苏采云”政府采购交易系统（以下简称苏采云系统）</w:t>
      </w:r>
      <w:r>
        <w:rPr>
          <w:rFonts w:hint="eastAsia" w:ascii="宋体" w:hAnsi="宋体" w:eastAsia="宋体" w:cs="Times New Roman"/>
          <w:bCs/>
          <w:color w:val="auto"/>
          <w:kern w:val="0"/>
          <w:sz w:val="24"/>
          <w:highlight w:val="none"/>
        </w:rPr>
        <w:t>的CA数字证书、电子签章已更换为江苏省电子政务证书认证中心C A和方正国际软件（北京）有限公司电子签章。如果投标人通过</w:t>
      </w:r>
      <w:r>
        <w:rPr>
          <w:rFonts w:hint="eastAsia" w:ascii="宋体" w:hAnsi="宋体" w:eastAsia="宋体" w:cs="Times New Roman"/>
          <w:color w:val="auto"/>
          <w:kern w:val="0"/>
          <w:sz w:val="24"/>
          <w:highlight w:val="none"/>
        </w:rPr>
        <w:t>苏采云系统</w:t>
      </w:r>
      <w:r>
        <w:rPr>
          <w:rFonts w:hint="eastAsia" w:ascii="宋体" w:hAnsi="宋体" w:eastAsia="宋体" w:cs="Times New Roman"/>
          <w:bCs/>
          <w:color w:val="auto"/>
          <w:kern w:val="0"/>
          <w:sz w:val="24"/>
          <w:highlight w:val="none"/>
        </w:rPr>
        <w:t>参与政府采购项目，需要更换CA数字证书和电子签章。具体办理指南和操作手册见链接：http://www.ccgp-jiangsu.gov.cn/jiangsu/zlxz/ee/ee3a4bc5a3454aa2b0d9312230633ce9.html。</w:t>
      </w:r>
    </w:p>
    <w:p w14:paraId="39997F43">
      <w:pPr>
        <w:tabs>
          <w:tab w:val="left" w:pos="900"/>
        </w:tabs>
        <w:spacing w:line="560" w:lineRule="exact"/>
        <w:ind w:firstLine="482"/>
        <w:rPr>
          <w:rFonts w:ascii="宋体" w:hAnsi="宋体" w:eastAsia="宋体" w:cs="Times New Roman"/>
          <w:color w:val="auto"/>
          <w:kern w:val="0"/>
          <w:sz w:val="24"/>
          <w:highlight w:val="none"/>
        </w:rPr>
      </w:pPr>
      <w:r>
        <w:rPr>
          <w:rFonts w:hint="eastAsia" w:ascii="宋体" w:hAnsi="宋体" w:eastAsia="宋体" w:cs="Times New Roman"/>
          <w:b/>
          <w:color w:val="auto"/>
          <w:kern w:val="0"/>
          <w:sz w:val="24"/>
          <w:highlight w:val="none"/>
        </w:rPr>
        <w:t>连云港市CA证书与电子签章办理地址：办理方式包括现场办理和线上辅助办理两种，具体渠道和办理事项请联系江苏意源连云港地区负责人。姓名：计玉芳；电话：15995237629.</w:t>
      </w:r>
      <w:r>
        <w:rPr>
          <w:rFonts w:hint="eastAsia" w:ascii="宋体" w:hAnsi="宋体" w:eastAsia="宋体" w:cs="Times New Roman"/>
          <w:bCs/>
          <w:color w:val="auto"/>
          <w:kern w:val="0"/>
          <w:sz w:val="24"/>
          <w:highlight w:val="none"/>
        </w:rPr>
        <w:t>具体联系方式见《苏采云系统供应商操作手册》（以下简称《操作手册》））、进行注册并按《操作手册》要求制作、上传电子投标文件。</w:t>
      </w:r>
    </w:p>
    <w:p w14:paraId="50B4042E">
      <w:pPr>
        <w:tabs>
          <w:tab w:val="left" w:pos="900"/>
        </w:tabs>
        <w:spacing w:line="560" w:lineRule="exact"/>
        <w:ind w:firstLine="480"/>
        <w:rPr>
          <w:rFonts w:ascii="宋体" w:hAnsi="宋体" w:eastAsia="宋体" w:cs="Times New Roman"/>
          <w:bCs/>
          <w:color w:val="auto"/>
          <w:kern w:val="0"/>
          <w:sz w:val="24"/>
          <w:highlight w:val="none"/>
        </w:rPr>
      </w:pPr>
      <w:r>
        <w:rPr>
          <w:rFonts w:hint="eastAsia" w:ascii="宋体" w:hAnsi="宋体" w:eastAsia="宋体" w:cs="Times New Roman"/>
          <w:bCs/>
          <w:color w:val="auto"/>
          <w:kern w:val="0"/>
          <w:sz w:val="24"/>
          <w:highlight w:val="none"/>
        </w:rPr>
        <w:t>2. 有关本次招标的事项若存在变动或修改，敬请及时关注连云港新宏项目管理有限公司在“江苏政府采购网”发布的更正公告。</w:t>
      </w:r>
    </w:p>
    <w:p w14:paraId="2511468F">
      <w:pPr>
        <w:spacing w:line="560" w:lineRule="exact"/>
        <w:ind w:firstLine="480"/>
        <w:rPr>
          <w:rFonts w:ascii="宋体" w:hAnsi="宋体" w:eastAsia="宋体" w:cs="Times New Roman"/>
          <w:color w:val="auto"/>
          <w:kern w:val="0"/>
          <w:sz w:val="24"/>
          <w:szCs w:val="21"/>
          <w:highlight w:val="none"/>
        </w:rPr>
      </w:pPr>
    </w:p>
    <w:p w14:paraId="22CC9A5E">
      <w:pPr>
        <w:ind w:right="840"/>
        <w:rPr>
          <w:rFonts w:ascii="黑体" w:hAnsi="Times New Roman" w:eastAsia="黑体" w:cs="Times New Roman"/>
          <w:b/>
          <w:bCs/>
          <w:color w:val="auto"/>
          <w:kern w:val="0"/>
          <w:sz w:val="44"/>
          <w:szCs w:val="44"/>
          <w:highlight w:val="none"/>
        </w:rPr>
      </w:pPr>
      <w:r>
        <w:rPr>
          <w:rFonts w:hint="eastAsia" w:ascii="宋体" w:hAnsi="宋体" w:eastAsia="宋体" w:cs="Times New Roman"/>
          <w:color w:val="auto"/>
          <w:kern w:val="0"/>
          <w:sz w:val="24"/>
          <w:highlight w:val="none"/>
        </w:rPr>
        <w:br w:type="page" w:clear="all"/>
      </w:r>
      <w:bookmarkStart w:id="44" w:name="_Toc120614211"/>
      <w:r>
        <w:rPr>
          <w:rFonts w:hint="eastAsia" w:ascii="宋体" w:hAnsi="宋体" w:eastAsia="宋体" w:cs="Times New Roman"/>
          <w:color w:val="auto"/>
          <w:kern w:val="0"/>
          <w:sz w:val="24"/>
          <w:highlight w:val="none"/>
        </w:rPr>
        <w:t xml:space="preserve">                       </w:t>
      </w:r>
      <w:r>
        <w:rPr>
          <w:rFonts w:hint="eastAsia" w:ascii="黑体" w:hAnsi="Times New Roman" w:eastAsia="黑体" w:cs="Times New Roman"/>
          <w:color w:val="auto"/>
          <w:kern w:val="0"/>
          <w:sz w:val="44"/>
          <w:szCs w:val="44"/>
          <w:highlight w:val="none"/>
        </w:rPr>
        <w:t xml:space="preserve">第二章  </w:t>
      </w:r>
      <w:bookmarkEnd w:id="3"/>
      <w:bookmarkEnd w:id="4"/>
      <w:bookmarkEnd w:id="5"/>
      <w:bookmarkEnd w:id="6"/>
      <w:bookmarkEnd w:id="7"/>
      <w:bookmarkEnd w:id="44"/>
      <w:bookmarkStart w:id="45" w:name="_Toc16938518"/>
      <w:bookmarkStart w:id="46" w:name="_Toc20823274"/>
      <w:bookmarkStart w:id="47" w:name="_Toc513029202"/>
      <w:bookmarkStart w:id="48" w:name="_Toc120614213"/>
      <w:r>
        <w:rPr>
          <w:rFonts w:hint="eastAsia" w:ascii="黑体" w:hAnsi="Times New Roman" w:eastAsia="黑体" w:cs="Times New Roman"/>
          <w:color w:val="auto"/>
          <w:kern w:val="0"/>
          <w:sz w:val="44"/>
          <w:szCs w:val="44"/>
          <w:highlight w:val="none"/>
        </w:rPr>
        <w:t>投标人须知</w:t>
      </w:r>
      <w:bookmarkEnd w:id="45"/>
      <w:bookmarkEnd w:id="46"/>
      <w:bookmarkEnd w:id="47"/>
      <w:bookmarkEnd w:id="48"/>
    </w:p>
    <w:p w14:paraId="1E4AC764">
      <w:pPr>
        <w:keepNext/>
        <w:keepLines/>
        <w:spacing w:before="145" w:after="145" w:line="360" w:lineRule="auto"/>
        <w:ind w:firstLine="498"/>
        <w:outlineLvl w:val="2"/>
        <w:rPr>
          <w:rFonts w:ascii="Times New Roman" w:hAnsi="Times New Roman" w:eastAsia="宋体" w:cs="Times New Roman"/>
          <w:b/>
          <w:bCs/>
          <w:color w:val="auto"/>
          <w:sz w:val="32"/>
          <w:szCs w:val="32"/>
          <w:highlight w:val="none"/>
        </w:rPr>
      </w:pPr>
      <w:bookmarkStart w:id="49" w:name="_Toc16938519"/>
      <w:bookmarkStart w:id="50" w:name="_Toc20823275"/>
      <w:bookmarkStart w:id="51" w:name="_Toc120614214"/>
      <w:bookmarkStart w:id="52" w:name="_Toc513029203"/>
      <w:r>
        <w:rPr>
          <w:rFonts w:hint="eastAsia" w:ascii="Times New Roman" w:hAnsi="Times New Roman" w:eastAsia="宋体" w:cs="Times New Roman"/>
          <w:b/>
          <w:bCs/>
          <w:color w:val="auto"/>
          <w:sz w:val="32"/>
          <w:szCs w:val="32"/>
          <w:highlight w:val="none"/>
        </w:rPr>
        <w:t>一、总则</w:t>
      </w:r>
      <w:bookmarkEnd w:id="49"/>
      <w:bookmarkEnd w:id="50"/>
      <w:bookmarkEnd w:id="51"/>
      <w:bookmarkEnd w:id="52"/>
    </w:p>
    <w:p w14:paraId="35D0067E">
      <w:pPr>
        <w:keepNext/>
        <w:keepLines/>
        <w:ind w:firstLine="420"/>
        <w:outlineLvl w:val="3"/>
        <w:rPr>
          <w:rFonts w:ascii="Arial" w:hAnsi="Arial" w:eastAsia="黑体" w:cs="Arial"/>
          <w:color w:val="auto"/>
          <w:sz w:val="28"/>
          <w:szCs w:val="28"/>
          <w:highlight w:val="none"/>
        </w:rPr>
      </w:pPr>
      <w:bookmarkStart w:id="53" w:name="_Hlt16619475"/>
      <w:bookmarkEnd w:id="53"/>
      <w:bookmarkStart w:id="54" w:name="_Toc458694821"/>
      <w:bookmarkStart w:id="55" w:name="_Toc513029204"/>
      <w:bookmarkStart w:id="56" w:name="_Toc20823276"/>
      <w:bookmarkStart w:id="57" w:name="_Toc16938520"/>
      <w:r>
        <w:rPr>
          <w:rFonts w:hint="eastAsia" w:ascii="Arial" w:hAnsi="Arial" w:eastAsia="黑体" w:cs="Arial"/>
          <w:color w:val="auto"/>
          <w:sz w:val="28"/>
          <w:szCs w:val="28"/>
          <w:highlight w:val="none"/>
        </w:rPr>
        <w:t>1</w:t>
      </w:r>
      <w:bookmarkEnd w:id="54"/>
      <w:r>
        <w:rPr>
          <w:rFonts w:hint="eastAsia" w:ascii="Arial" w:hAnsi="Arial" w:eastAsia="黑体" w:cs="Arial"/>
          <w:color w:val="auto"/>
          <w:sz w:val="28"/>
          <w:szCs w:val="28"/>
          <w:highlight w:val="none"/>
        </w:rPr>
        <w:t>、招标方式</w:t>
      </w:r>
      <w:bookmarkEnd w:id="55"/>
      <w:bookmarkEnd w:id="56"/>
      <w:bookmarkEnd w:id="57"/>
    </w:p>
    <w:p w14:paraId="0895EE56">
      <w:pPr>
        <w:spacing w:line="500" w:lineRule="exact"/>
        <w:ind w:firstLine="480"/>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1.1 本次招标采取公开招标方式，本招标文件仅适用于招标公告中所述项目。</w:t>
      </w:r>
    </w:p>
    <w:p w14:paraId="7AE5158E">
      <w:pPr>
        <w:keepNext/>
        <w:keepLines/>
        <w:ind w:firstLine="420"/>
        <w:outlineLvl w:val="3"/>
        <w:rPr>
          <w:rFonts w:ascii="Arial" w:hAnsi="Arial" w:eastAsia="黑体" w:cs="Arial"/>
          <w:color w:val="auto"/>
          <w:sz w:val="28"/>
          <w:szCs w:val="28"/>
          <w:highlight w:val="none"/>
        </w:rPr>
      </w:pPr>
      <w:bookmarkStart w:id="58" w:name="_Toc20823277"/>
      <w:bookmarkStart w:id="59" w:name="_Toc513029205"/>
      <w:bookmarkStart w:id="60" w:name="_Toc16938521"/>
      <w:r>
        <w:rPr>
          <w:rFonts w:hint="eastAsia" w:ascii="Arial" w:hAnsi="Arial" w:eastAsia="黑体" w:cs="Arial"/>
          <w:color w:val="auto"/>
          <w:sz w:val="28"/>
          <w:szCs w:val="28"/>
          <w:highlight w:val="none"/>
        </w:rPr>
        <w:t>2、合格的投标人</w:t>
      </w:r>
      <w:bookmarkEnd w:id="58"/>
      <w:bookmarkEnd w:id="59"/>
      <w:bookmarkEnd w:id="60"/>
    </w:p>
    <w:p w14:paraId="23A0B41F">
      <w:pPr>
        <w:spacing w:line="500" w:lineRule="exact"/>
        <w:ind w:firstLine="480"/>
        <w:jc w:val="left"/>
        <w:rPr>
          <w:rFonts w:hint="eastAsia" w:ascii="Calibri" w:hAnsi="Calibri" w:eastAsia="宋体" w:cs="Times New Roman"/>
          <w:color w:val="auto"/>
          <w:kern w:val="0"/>
          <w:sz w:val="24"/>
          <w:highlight w:val="none"/>
        </w:rPr>
      </w:pPr>
      <w:r>
        <w:rPr>
          <w:rFonts w:hint="eastAsia" w:ascii="Calibri" w:hAnsi="Calibri" w:eastAsia="宋体" w:cs="Times New Roman"/>
          <w:color w:val="auto"/>
          <w:kern w:val="0"/>
          <w:sz w:val="24"/>
          <w:highlight w:val="none"/>
        </w:rPr>
        <w:t>2.1满足招标公告中申请人的资格要求的规定。</w:t>
      </w:r>
    </w:p>
    <w:p w14:paraId="3019E16B">
      <w:pPr>
        <w:spacing w:line="500" w:lineRule="exact"/>
        <w:ind w:firstLine="480"/>
        <w:jc w:val="left"/>
        <w:rPr>
          <w:rFonts w:hint="eastAsia" w:ascii="Calibri" w:hAnsi="Calibri" w:eastAsia="宋体" w:cs="Times New Roman"/>
          <w:color w:val="auto"/>
          <w:kern w:val="0"/>
          <w:sz w:val="24"/>
          <w:highlight w:val="none"/>
        </w:rPr>
      </w:pPr>
      <w:r>
        <w:rPr>
          <w:rFonts w:hint="eastAsia" w:ascii="Calibri" w:hAnsi="Calibri" w:eastAsia="宋体" w:cs="Times New Roman"/>
          <w:color w:val="auto"/>
          <w:kern w:val="0"/>
          <w:sz w:val="24"/>
          <w:highlight w:val="none"/>
        </w:rPr>
        <w:t>2.2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7918CC9D">
      <w:pPr>
        <w:spacing w:line="500" w:lineRule="exact"/>
        <w:ind w:firstLine="480"/>
        <w:jc w:val="left"/>
        <w:rPr>
          <w:rFonts w:hint="eastAsia" w:ascii="Calibri" w:hAnsi="Calibri" w:eastAsia="宋体" w:cs="Times New Roman"/>
          <w:color w:val="auto"/>
          <w:kern w:val="0"/>
          <w:sz w:val="24"/>
          <w:highlight w:val="none"/>
        </w:rPr>
      </w:pPr>
      <w:r>
        <w:rPr>
          <w:rFonts w:hint="eastAsia" w:ascii="Calibri" w:hAnsi="Calibri" w:eastAsia="宋体" w:cs="Times New Roman"/>
          <w:color w:val="auto"/>
          <w:kern w:val="0"/>
          <w:sz w:val="24"/>
          <w:highlight w:val="none"/>
        </w:rPr>
        <w:t>2.3满足本招标文件全部实质性要求和条件的规定。</w:t>
      </w:r>
    </w:p>
    <w:p w14:paraId="2D61CD1F">
      <w:pPr>
        <w:keepNext w:val="0"/>
        <w:keepLines w:val="0"/>
        <w:spacing w:line="500" w:lineRule="exact"/>
        <w:ind w:firstLine="480"/>
        <w:jc w:val="left"/>
        <w:outlineLvl w:val="9"/>
        <w:rPr>
          <w:rFonts w:hint="eastAsia" w:ascii="Calibri" w:hAnsi="Calibri" w:eastAsia="宋体" w:cs="Times New Roman"/>
          <w:color w:val="auto"/>
          <w:kern w:val="0"/>
          <w:sz w:val="24"/>
          <w:highlight w:val="none"/>
        </w:rPr>
      </w:pPr>
      <w:r>
        <w:rPr>
          <w:rFonts w:hint="eastAsia" w:ascii="Calibri" w:hAnsi="Calibri" w:eastAsia="宋体" w:cs="Times New Roman"/>
          <w:color w:val="auto"/>
          <w:kern w:val="0"/>
          <w:sz w:val="24"/>
          <w:highlight w:val="none"/>
        </w:rPr>
        <w:t>2.4符合上述条件的投标人应承担投标及履约过程应承担的全部责任与义务。</w:t>
      </w:r>
      <w:bookmarkStart w:id="61" w:name="_Toc513029206"/>
      <w:bookmarkStart w:id="62" w:name="_Toc20823278"/>
      <w:bookmarkStart w:id="63" w:name="_Toc16938522"/>
    </w:p>
    <w:p w14:paraId="4F6B331F">
      <w:pPr>
        <w:keepNext/>
        <w:keepLines/>
        <w:ind w:firstLine="420"/>
        <w:outlineLvl w:val="3"/>
        <w:rPr>
          <w:rFonts w:ascii="Arial" w:hAnsi="Arial" w:eastAsia="黑体" w:cs="Arial"/>
          <w:color w:val="auto"/>
          <w:sz w:val="28"/>
          <w:szCs w:val="28"/>
          <w:highlight w:val="none"/>
        </w:rPr>
      </w:pPr>
      <w:r>
        <w:rPr>
          <w:rFonts w:hint="eastAsia" w:ascii="Arial" w:hAnsi="Arial" w:eastAsia="黑体" w:cs="Arial"/>
          <w:color w:val="auto"/>
          <w:sz w:val="28"/>
          <w:szCs w:val="28"/>
          <w:highlight w:val="none"/>
        </w:rPr>
        <w:t>3、适用法律</w:t>
      </w:r>
      <w:bookmarkEnd w:id="61"/>
      <w:bookmarkEnd w:id="62"/>
      <w:bookmarkEnd w:id="63"/>
    </w:p>
    <w:p w14:paraId="5E94FE75">
      <w:pPr>
        <w:spacing w:line="400" w:lineRule="exact"/>
        <w:ind w:firstLine="420"/>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3.1 本次招标及由此产生的合同受中华人民共和国有关的法律法规制约和保护。</w:t>
      </w:r>
    </w:p>
    <w:p w14:paraId="14F2B250">
      <w:pPr>
        <w:keepNext/>
        <w:keepLines/>
        <w:ind w:firstLine="420"/>
        <w:outlineLvl w:val="3"/>
        <w:rPr>
          <w:rFonts w:ascii="Arial" w:hAnsi="Arial" w:eastAsia="黑体" w:cs="Arial"/>
          <w:color w:val="auto"/>
          <w:sz w:val="28"/>
          <w:szCs w:val="28"/>
          <w:highlight w:val="none"/>
        </w:rPr>
      </w:pPr>
      <w:bookmarkStart w:id="64" w:name="_Toc16938523"/>
      <w:bookmarkStart w:id="65" w:name="_Toc462564067"/>
      <w:bookmarkStart w:id="66" w:name="_Toc20823279"/>
      <w:bookmarkStart w:id="67" w:name="_Toc513029207"/>
      <w:r>
        <w:rPr>
          <w:rFonts w:hint="eastAsia" w:ascii="Arial" w:hAnsi="Arial" w:eastAsia="黑体" w:cs="Arial"/>
          <w:color w:val="auto"/>
          <w:sz w:val="28"/>
          <w:szCs w:val="28"/>
          <w:highlight w:val="none"/>
        </w:rPr>
        <w:t>4、投标费用</w:t>
      </w:r>
      <w:bookmarkEnd w:id="64"/>
      <w:bookmarkEnd w:id="65"/>
      <w:bookmarkEnd w:id="66"/>
      <w:bookmarkEnd w:id="67"/>
    </w:p>
    <w:p w14:paraId="3DAF5871">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bCs/>
          <w:color w:val="auto"/>
          <w:kern w:val="0"/>
          <w:sz w:val="24"/>
          <w:szCs w:val="21"/>
          <w:highlight w:val="none"/>
        </w:rPr>
        <w:t>4.1</w:t>
      </w:r>
      <w:r>
        <w:rPr>
          <w:rFonts w:hint="eastAsia" w:ascii="宋体" w:hAnsi="宋体" w:eastAsia="宋体" w:cs="Times New Roman"/>
          <w:color w:val="auto"/>
          <w:kern w:val="0"/>
          <w:sz w:val="24"/>
          <w:szCs w:val="21"/>
          <w:highlight w:val="none"/>
        </w:rPr>
        <w:t xml:space="preserve"> 投标人应自行承担所有与参加投标有关的费用，无论投标过程中的做法和结果如何，连云港新宏项目管理有限公司在任何情况下均无义务和责任承担这些费用。</w:t>
      </w:r>
    </w:p>
    <w:p w14:paraId="0AE0B56E">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4.2本次招标不收取标书工本费。</w:t>
      </w:r>
    </w:p>
    <w:p w14:paraId="699CF049">
      <w:pPr>
        <w:keepNext/>
        <w:keepLines/>
        <w:spacing w:line="480" w:lineRule="exact"/>
        <w:ind w:firstLine="480"/>
        <w:outlineLvl w:val="3"/>
        <w:rPr>
          <w:rFonts w:hint="eastAsia" w:ascii="宋体" w:hAnsi="宋体" w:eastAsia="宋体" w:cs="Times New Roman"/>
          <w:color w:val="auto"/>
          <w:sz w:val="24"/>
          <w:szCs w:val="21"/>
          <w:highlight w:val="none"/>
        </w:rPr>
      </w:pPr>
      <w:r>
        <w:rPr>
          <w:rFonts w:hint="eastAsia" w:ascii="宋体" w:hAnsi="宋体" w:eastAsia="黑体" w:cs="Arial"/>
          <w:color w:val="auto"/>
          <w:sz w:val="24"/>
          <w:szCs w:val="28"/>
          <w:highlight w:val="none"/>
        </w:rPr>
        <w:t>4.3</w:t>
      </w:r>
      <w:r>
        <w:rPr>
          <w:rFonts w:hint="eastAsia" w:ascii="宋体" w:hAnsi="宋体" w:eastAsia="宋体" w:cs="Times New Roman"/>
          <w:color w:val="auto"/>
          <w:sz w:val="24"/>
          <w:szCs w:val="21"/>
          <w:highlight w:val="none"/>
        </w:rPr>
        <w:t>本项目的招标代理费具体计算方法：招标代理费用按“</w:t>
      </w:r>
      <w:r>
        <w:rPr>
          <w:rFonts w:hint="eastAsia" w:ascii="宋体" w:hAnsi="宋体" w:cs="宋体"/>
          <w:b w:val="0"/>
          <w:bCs w:val="0"/>
          <w:color w:val="auto"/>
          <w:sz w:val="24"/>
          <w:highlight w:val="none"/>
        </w:rPr>
        <w:t>计价格【2002】1980号规定的收费标准的</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val="en-US" w:eastAsia="zh-CN"/>
        </w:rPr>
        <w:t>45%</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计取</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lang w:val="en-US" w:eastAsia="zh-CN"/>
        </w:rPr>
        <w:t>相关</w:t>
      </w:r>
      <w:r>
        <w:rPr>
          <w:rFonts w:hint="eastAsia" w:ascii="宋体" w:hAnsi="宋体" w:eastAsia="宋体" w:cs="Times New Roman"/>
          <w:color w:val="auto"/>
          <w:sz w:val="24"/>
          <w:szCs w:val="21"/>
          <w:highlight w:val="none"/>
        </w:rPr>
        <w:t>标准收费计取；由中标人在领取中标通知书时一次性支付；投标单位须将此部分费用综合考虑在投标报价中，不得单列。</w:t>
      </w:r>
    </w:p>
    <w:p w14:paraId="44BB0A9E">
      <w:pPr>
        <w:keepNext/>
        <w:keepLines/>
        <w:spacing w:line="480" w:lineRule="exact"/>
        <w:ind w:firstLine="602"/>
        <w:outlineLvl w:val="3"/>
        <w:rPr>
          <w:rFonts w:ascii="黑体" w:hAnsi="宋体" w:eastAsia="黑体" w:cs="Arial"/>
          <w:color w:val="auto"/>
          <w:sz w:val="28"/>
          <w:szCs w:val="28"/>
          <w:highlight w:val="none"/>
        </w:rPr>
      </w:pPr>
      <w:r>
        <w:rPr>
          <w:rFonts w:hint="eastAsia" w:ascii="宋体" w:hAnsi="宋体" w:eastAsia="黑体" w:cs="Arial"/>
          <w:b/>
          <w:bCs/>
          <w:color w:val="auto"/>
          <w:sz w:val="30"/>
          <w:szCs w:val="28"/>
          <w:highlight w:val="none"/>
        </w:rPr>
        <w:t>5、</w:t>
      </w:r>
      <w:r>
        <w:rPr>
          <w:rFonts w:hint="eastAsia" w:ascii="黑体" w:hAnsi="宋体" w:eastAsia="黑体" w:cs="Arial"/>
          <w:color w:val="auto"/>
          <w:sz w:val="28"/>
          <w:szCs w:val="28"/>
          <w:highlight w:val="none"/>
        </w:rPr>
        <w:t>招标文件的约束力</w:t>
      </w:r>
    </w:p>
    <w:p w14:paraId="56933107">
      <w:pPr>
        <w:spacing w:line="480" w:lineRule="exact"/>
        <w:ind w:firstLine="480"/>
        <w:rPr>
          <w:rFonts w:hint="eastAsia" w:ascii="宋体" w:hAnsi="宋体" w:eastAsia="宋体" w:cs="Times New Roman"/>
          <w:color w:val="auto"/>
          <w:kern w:val="0"/>
          <w:sz w:val="24"/>
          <w:highlight w:val="none"/>
        </w:rPr>
      </w:pPr>
      <w:r>
        <w:rPr>
          <w:rFonts w:hint="eastAsia" w:ascii="宋体" w:hAnsi="宋体" w:eastAsia="宋体" w:cs="Times New Roman"/>
          <w:bCs/>
          <w:color w:val="auto"/>
          <w:kern w:val="0"/>
          <w:sz w:val="24"/>
          <w:highlight w:val="none"/>
        </w:rPr>
        <w:t>5.1</w:t>
      </w:r>
      <w:r>
        <w:rPr>
          <w:rFonts w:hint="eastAsia" w:ascii="宋体" w:hAnsi="宋体" w:eastAsia="宋体" w:cs="Times New Roman"/>
          <w:color w:val="auto"/>
          <w:kern w:val="0"/>
          <w:sz w:val="24"/>
          <w:highlight w:val="none"/>
        </w:rPr>
        <w:t xml:space="preserve"> 投标人一旦参加本项目采购活动，即被认为接受了本招标文件的规定和约束。</w:t>
      </w:r>
    </w:p>
    <w:p w14:paraId="67CCCD61">
      <w:pPr>
        <w:keepNext/>
        <w:keepLines/>
        <w:spacing w:before="145" w:after="145" w:line="360" w:lineRule="auto"/>
        <w:ind w:firstLine="321"/>
        <w:outlineLvl w:val="2"/>
        <w:rPr>
          <w:rFonts w:ascii="Times New Roman" w:hAnsi="Times New Roman" w:eastAsia="宋体" w:cs="Times New Roman"/>
          <w:b/>
          <w:bCs/>
          <w:color w:val="auto"/>
          <w:sz w:val="32"/>
          <w:szCs w:val="32"/>
          <w:highlight w:val="none"/>
        </w:rPr>
      </w:pPr>
      <w:bookmarkStart w:id="68" w:name="_Toc513029209"/>
      <w:bookmarkStart w:id="69" w:name="_Toc120614215"/>
      <w:bookmarkStart w:id="70" w:name="_Toc20823281"/>
      <w:bookmarkStart w:id="71" w:name="_Toc16938525"/>
      <w:r>
        <w:rPr>
          <w:rFonts w:hint="eastAsia" w:ascii="Times New Roman" w:hAnsi="Times New Roman" w:eastAsia="宋体" w:cs="Times New Roman"/>
          <w:b/>
          <w:bCs/>
          <w:color w:val="auto"/>
          <w:sz w:val="32"/>
          <w:szCs w:val="32"/>
          <w:highlight w:val="none"/>
        </w:rPr>
        <w:t>二、招标文件</w:t>
      </w:r>
      <w:bookmarkEnd w:id="68"/>
      <w:bookmarkEnd w:id="69"/>
      <w:bookmarkEnd w:id="70"/>
      <w:bookmarkEnd w:id="71"/>
    </w:p>
    <w:p w14:paraId="36EFFB66">
      <w:pPr>
        <w:keepNext/>
        <w:keepLines/>
        <w:ind w:firstLine="420"/>
        <w:outlineLvl w:val="3"/>
        <w:rPr>
          <w:rFonts w:ascii="Arial" w:hAnsi="Arial" w:eastAsia="黑体" w:cs="Arial"/>
          <w:color w:val="auto"/>
          <w:sz w:val="28"/>
          <w:szCs w:val="28"/>
          <w:highlight w:val="none"/>
        </w:rPr>
      </w:pPr>
      <w:bookmarkStart w:id="72" w:name="_Toc16938526"/>
      <w:bookmarkStart w:id="73" w:name="_Toc20823282"/>
      <w:bookmarkStart w:id="74" w:name="_Toc513029210"/>
      <w:r>
        <w:rPr>
          <w:rFonts w:hint="eastAsia" w:ascii="Arial" w:hAnsi="Arial" w:eastAsia="黑体" w:cs="Arial"/>
          <w:color w:val="auto"/>
          <w:sz w:val="28"/>
          <w:szCs w:val="28"/>
          <w:highlight w:val="none"/>
        </w:rPr>
        <w:t>6、招标文件构成</w:t>
      </w:r>
      <w:bookmarkEnd w:id="72"/>
      <w:bookmarkEnd w:id="73"/>
      <w:bookmarkEnd w:id="74"/>
    </w:p>
    <w:p w14:paraId="2F8C46E1">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bCs/>
          <w:color w:val="auto"/>
          <w:kern w:val="0"/>
          <w:sz w:val="24"/>
          <w:szCs w:val="21"/>
          <w:highlight w:val="none"/>
        </w:rPr>
        <w:t>6.1</w:t>
      </w:r>
      <w:r>
        <w:rPr>
          <w:rFonts w:hint="eastAsia" w:ascii="宋体" w:hAnsi="宋体" w:eastAsia="宋体" w:cs="Times New Roman"/>
          <w:color w:val="auto"/>
          <w:kern w:val="0"/>
          <w:sz w:val="24"/>
          <w:szCs w:val="21"/>
          <w:highlight w:val="none"/>
        </w:rPr>
        <w:t xml:space="preserve"> 招标文件由以下部分组成：</w:t>
      </w:r>
    </w:p>
    <w:p w14:paraId="338802E0">
      <w:pPr>
        <w:spacing w:line="400" w:lineRule="exact"/>
        <w:ind w:firstLine="36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（1）投标邀请</w:t>
      </w:r>
    </w:p>
    <w:p w14:paraId="03E31CC0">
      <w:pPr>
        <w:spacing w:line="400" w:lineRule="exact"/>
        <w:ind w:firstLine="36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（2）投标人须知</w:t>
      </w:r>
    </w:p>
    <w:p w14:paraId="3AD2AF44">
      <w:pPr>
        <w:spacing w:line="400" w:lineRule="exact"/>
        <w:ind w:firstLine="36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（3）合同文本</w:t>
      </w:r>
    </w:p>
    <w:p w14:paraId="3F9AA26A">
      <w:pPr>
        <w:spacing w:line="400" w:lineRule="exact"/>
        <w:ind w:firstLine="36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（4）采购需求</w:t>
      </w:r>
    </w:p>
    <w:p w14:paraId="2A5586C3">
      <w:pPr>
        <w:ind w:firstLine="360"/>
        <w:rPr>
          <w:rFonts w:hint="eastAsia"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（5）</w:t>
      </w:r>
      <w:r>
        <w:rPr>
          <w:rFonts w:hint="eastAsia" w:ascii="Times New Roman" w:hAnsi="宋体" w:eastAsia="宋体" w:cs="Times New Roman"/>
          <w:color w:val="auto"/>
          <w:kern w:val="0"/>
          <w:sz w:val="24"/>
          <w:highlight w:val="none"/>
        </w:rPr>
        <w:t>评标方法与评标标准</w:t>
      </w:r>
    </w:p>
    <w:p w14:paraId="2E1FC0E8">
      <w:pPr>
        <w:spacing w:line="400" w:lineRule="exact"/>
        <w:ind w:firstLine="360"/>
        <w:rPr>
          <w:rFonts w:hint="eastAsia"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（6）投标文件格式</w:t>
      </w:r>
    </w:p>
    <w:p w14:paraId="1338447F">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请仔细检查招标文件是否齐全，如有缺漏请立即与代理公司联系解决。</w:t>
      </w:r>
    </w:p>
    <w:p w14:paraId="70A88929">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bCs/>
          <w:color w:val="auto"/>
          <w:kern w:val="0"/>
          <w:sz w:val="24"/>
          <w:szCs w:val="21"/>
          <w:highlight w:val="none"/>
        </w:rPr>
        <w:t>6.2</w:t>
      </w:r>
      <w:r>
        <w:rPr>
          <w:rFonts w:hint="eastAsia" w:ascii="宋体" w:hAnsi="宋体" w:eastAsia="宋体" w:cs="Times New Roman"/>
          <w:color w:val="auto"/>
          <w:kern w:val="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A2DF9C">
      <w:pPr>
        <w:keepNext/>
        <w:keepLines/>
        <w:ind w:firstLine="560"/>
        <w:outlineLvl w:val="3"/>
        <w:rPr>
          <w:rFonts w:ascii="Arial" w:hAnsi="Arial" w:eastAsia="黑体" w:cs="Arial"/>
          <w:color w:val="auto"/>
          <w:sz w:val="28"/>
          <w:szCs w:val="28"/>
          <w:highlight w:val="none"/>
        </w:rPr>
      </w:pPr>
      <w:bookmarkStart w:id="75" w:name="_Toc20823283"/>
      <w:bookmarkStart w:id="76" w:name="_Toc16938527"/>
      <w:bookmarkStart w:id="77" w:name="_Toc462564070"/>
      <w:bookmarkStart w:id="78" w:name="_Toc513029211"/>
      <w:r>
        <w:rPr>
          <w:rFonts w:hint="eastAsia" w:ascii="Arial" w:hAnsi="Arial" w:eastAsia="黑体" w:cs="Arial"/>
          <w:color w:val="auto"/>
          <w:sz w:val="28"/>
          <w:szCs w:val="28"/>
          <w:highlight w:val="none"/>
        </w:rPr>
        <w:t>7、招标文件的澄清</w:t>
      </w:r>
      <w:bookmarkEnd w:id="75"/>
      <w:bookmarkEnd w:id="76"/>
      <w:bookmarkEnd w:id="77"/>
      <w:bookmarkEnd w:id="78"/>
    </w:p>
    <w:p w14:paraId="5F6924EF">
      <w:pPr>
        <w:spacing w:line="480" w:lineRule="exact"/>
        <w:ind w:firstLine="480"/>
        <w:rPr>
          <w:rFonts w:hint="eastAsia" w:ascii="宋体" w:hAnsi="宋体" w:eastAsia="宋体" w:cs="Times New Roman"/>
          <w:color w:val="auto"/>
          <w:kern w:val="0"/>
          <w:sz w:val="24"/>
          <w:highlight w:val="none"/>
        </w:rPr>
      </w:pPr>
      <w:r>
        <w:rPr>
          <w:rFonts w:hint="eastAsia" w:ascii="宋体" w:hAnsi="宋体" w:eastAsia="宋体" w:cs="Times New Roman"/>
          <w:bCs/>
          <w:color w:val="auto"/>
          <w:kern w:val="0"/>
          <w:sz w:val="24"/>
          <w:szCs w:val="21"/>
          <w:highlight w:val="none"/>
        </w:rPr>
        <w:t>7.1</w:t>
      </w:r>
      <w:r>
        <w:rPr>
          <w:rFonts w:hint="eastAsia" w:ascii="宋体" w:hAnsi="宋体" w:eastAsia="宋体" w:cs="Times New Roman"/>
          <w:color w:val="auto"/>
          <w:kern w:val="0"/>
          <w:sz w:val="24"/>
          <w:szCs w:val="21"/>
          <w:highlight w:val="none"/>
        </w:rPr>
        <w:t xml:space="preserve"> 任何要求对招标文件进行澄清的投标人，应在投标截止期</w:t>
      </w:r>
      <w:r>
        <w:rPr>
          <w:rFonts w:hint="eastAsia" w:ascii="仿宋_GB2312" w:hAnsi="仿宋_GB2312" w:eastAsia="宋体" w:cs="Times New Roman"/>
          <w:b/>
          <w:color w:val="auto"/>
          <w:kern w:val="0"/>
          <w:sz w:val="24"/>
          <w:highlight w:val="none"/>
        </w:rPr>
        <w:t>十日</w:t>
      </w:r>
      <w:r>
        <w:rPr>
          <w:rFonts w:hint="eastAsia" w:ascii="仿宋_GB2312" w:hAnsi="仿宋_GB2312" w:eastAsia="宋体" w:cs="Times New Roman"/>
          <w:color w:val="auto"/>
          <w:kern w:val="0"/>
          <w:sz w:val="24"/>
          <w:highlight w:val="none"/>
        </w:rPr>
        <w:t>前</w:t>
      </w:r>
      <w:r>
        <w:rPr>
          <w:rFonts w:hint="eastAsia" w:ascii="宋体" w:hAnsi="宋体" w:eastAsia="宋体" w:cs="Times New Roman"/>
          <w:color w:val="auto"/>
          <w:kern w:val="0"/>
          <w:sz w:val="24"/>
          <w:szCs w:val="21"/>
          <w:highlight w:val="none"/>
        </w:rPr>
        <w:t>按招标公告中的通讯地址，以书面形式通知代理公司。</w:t>
      </w:r>
    </w:p>
    <w:p w14:paraId="5FBAC6AE">
      <w:pPr>
        <w:keepNext/>
        <w:keepLines/>
        <w:ind w:firstLine="560"/>
        <w:outlineLvl w:val="3"/>
        <w:rPr>
          <w:rFonts w:ascii="Arial" w:hAnsi="Arial" w:eastAsia="黑体" w:cs="Arial"/>
          <w:color w:val="auto"/>
          <w:sz w:val="28"/>
          <w:szCs w:val="28"/>
          <w:highlight w:val="none"/>
        </w:rPr>
      </w:pPr>
      <w:bookmarkStart w:id="79" w:name="_Toc462564071"/>
      <w:bookmarkStart w:id="80" w:name="_Toc20823284"/>
      <w:bookmarkStart w:id="81" w:name="_Toc16938528"/>
      <w:bookmarkStart w:id="82" w:name="_Toc513029212"/>
      <w:r>
        <w:rPr>
          <w:rFonts w:hint="eastAsia" w:ascii="Arial" w:hAnsi="Arial" w:eastAsia="黑体" w:cs="Arial"/>
          <w:color w:val="auto"/>
          <w:sz w:val="28"/>
          <w:szCs w:val="28"/>
          <w:highlight w:val="none"/>
        </w:rPr>
        <w:t>8、招标文件的修改</w:t>
      </w:r>
      <w:bookmarkEnd w:id="79"/>
      <w:bookmarkEnd w:id="80"/>
      <w:bookmarkEnd w:id="81"/>
      <w:bookmarkEnd w:id="82"/>
    </w:p>
    <w:p w14:paraId="1B64E398">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bCs/>
          <w:color w:val="auto"/>
          <w:kern w:val="0"/>
          <w:sz w:val="24"/>
          <w:szCs w:val="21"/>
          <w:highlight w:val="none"/>
        </w:rPr>
        <w:t>8.1</w:t>
      </w:r>
      <w:r>
        <w:rPr>
          <w:rFonts w:hint="eastAsia" w:ascii="宋体" w:hAnsi="宋体" w:eastAsia="宋体" w:cs="Times New Roman"/>
          <w:color w:val="auto"/>
          <w:kern w:val="0"/>
          <w:sz w:val="24"/>
          <w:szCs w:val="21"/>
          <w:highlight w:val="none"/>
        </w:rPr>
        <w:t xml:space="preserve"> 在投标截止时间</w:t>
      </w:r>
      <w:r>
        <w:rPr>
          <w:rFonts w:hint="eastAsia" w:ascii="仿宋_GB2312" w:hAnsi="仿宋_GB2312" w:eastAsia="宋体" w:cs="Times New Roman"/>
          <w:color w:val="auto"/>
          <w:kern w:val="0"/>
          <w:sz w:val="24"/>
          <w:szCs w:val="21"/>
          <w:highlight w:val="none"/>
        </w:rPr>
        <w:t>前</w:t>
      </w:r>
      <w:r>
        <w:rPr>
          <w:rFonts w:hint="eastAsia" w:ascii="宋体" w:hAnsi="宋体" w:eastAsia="宋体" w:cs="Times New Roman"/>
          <w:color w:val="auto"/>
          <w:kern w:val="0"/>
          <w:sz w:val="24"/>
          <w:szCs w:val="21"/>
          <w:highlight w:val="none"/>
        </w:rPr>
        <w:t>，采购人（代理公司）可以对招标文件进行修改。</w:t>
      </w:r>
    </w:p>
    <w:p w14:paraId="087C04A8">
      <w:pPr>
        <w:spacing w:line="500" w:lineRule="exact"/>
        <w:ind w:firstLine="480"/>
        <w:rPr>
          <w:rFonts w:hint="eastAsia" w:ascii="宋体" w:hAnsi="Arial" w:eastAsia="宋体" w:cs="Times New Roman"/>
          <w:color w:val="auto"/>
          <w:kern w:val="0"/>
          <w:sz w:val="28"/>
          <w:szCs w:val="21"/>
          <w:highlight w:val="none"/>
        </w:rPr>
      </w:pPr>
      <w:r>
        <w:rPr>
          <w:rFonts w:hint="eastAsia" w:ascii="宋体" w:hAnsi="宋体" w:eastAsia="宋体" w:cs="Times New Roman"/>
          <w:bCs/>
          <w:color w:val="auto"/>
          <w:kern w:val="0"/>
          <w:sz w:val="24"/>
          <w:szCs w:val="21"/>
          <w:highlight w:val="none"/>
        </w:rPr>
        <w:t xml:space="preserve">8.2 </w:t>
      </w:r>
      <w:r>
        <w:rPr>
          <w:rFonts w:hint="eastAsia" w:ascii="宋体" w:hAnsi="宋体" w:eastAsia="宋体" w:cs="Times New Roman"/>
          <w:color w:val="auto"/>
          <w:kern w:val="0"/>
          <w:sz w:val="24"/>
          <w:szCs w:val="21"/>
          <w:highlight w:val="none"/>
        </w:rPr>
        <w:t>采购人（代理公司）</w:t>
      </w:r>
      <w:r>
        <w:rPr>
          <w:rFonts w:hint="eastAsia" w:ascii="宋体" w:hAnsi="宋体" w:eastAsia="宋体" w:cs="Times New Roman"/>
          <w:color w:val="auto"/>
          <w:kern w:val="0"/>
          <w:sz w:val="24"/>
          <w:highlight w:val="none"/>
        </w:rPr>
        <w:t>有权按照法定的要求</w:t>
      </w:r>
      <w:r>
        <w:rPr>
          <w:rFonts w:hint="eastAsia" w:ascii="宋体" w:hAnsi="宋体" w:eastAsia="宋体" w:cs="Times New Roman"/>
          <w:color w:val="auto"/>
          <w:kern w:val="0"/>
          <w:sz w:val="24"/>
          <w:szCs w:val="21"/>
          <w:highlight w:val="none"/>
        </w:rPr>
        <w:t>推迟投标截止日期和开标日期。</w:t>
      </w:r>
    </w:p>
    <w:p w14:paraId="18CB4A9F">
      <w:pPr>
        <w:spacing w:line="500" w:lineRule="exact"/>
        <w:ind w:firstLine="480"/>
        <w:rPr>
          <w:rFonts w:hint="eastAsia" w:ascii="宋体" w:hAnsi="宋体" w:eastAsia="宋体" w:cs="Times New Roman"/>
          <w:color w:val="auto"/>
          <w:kern w:val="0"/>
          <w:sz w:val="24"/>
          <w:szCs w:val="21"/>
          <w:highlight w:val="none"/>
        </w:rPr>
      </w:pPr>
      <w:r>
        <w:rPr>
          <w:rFonts w:hint="eastAsia" w:ascii="宋体" w:hAnsi="宋体" w:eastAsia="宋体" w:cs="Times New Roman"/>
          <w:bCs/>
          <w:color w:val="auto"/>
          <w:kern w:val="0"/>
          <w:sz w:val="24"/>
          <w:szCs w:val="21"/>
          <w:highlight w:val="none"/>
        </w:rPr>
        <w:t xml:space="preserve">8.3 </w:t>
      </w:r>
      <w:r>
        <w:rPr>
          <w:rFonts w:hint="eastAsia" w:ascii="宋体" w:hAnsi="宋体" w:eastAsia="宋体" w:cs="Times New Roman"/>
          <w:color w:val="auto"/>
          <w:kern w:val="0"/>
          <w:sz w:val="24"/>
          <w:szCs w:val="21"/>
          <w:highlight w:val="none"/>
        </w:rPr>
        <w:t>招标文件的修改将在江苏政府采购网公布，</w:t>
      </w:r>
      <w:r>
        <w:rPr>
          <w:rFonts w:hint="eastAsia" w:ascii="宋体" w:hAnsi="宋体" w:eastAsia="宋体" w:cs="Times New Roman"/>
          <w:color w:val="auto"/>
          <w:kern w:val="0"/>
          <w:sz w:val="24"/>
          <w:highlight w:val="none"/>
        </w:rPr>
        <w:t>补充文件将作为招标文件的组成部分，</w:t>
      </w:r>
      <w:r>
        <w:rPr>
          <w:rFonts w:hint="eastAsia" w:ascii="宋体" w:hAnsi="宋体" w:eastAsia="宋体" w:cs="Times New Roman"/>
          <w:color w:val="auto"/>
          <w:kern w:val="0"/>
          <w:sz w:val="24"/>
          <w:szCs w:val="21"/>
          <w:highlight w:val="none"/>
        </w:rPr>
        <w:t>并对投标人具有约束力。</w:t>
      </w:r>
    </w:p>
    <w:p w14:paraId="49FA61F8">
      <w:pPr>
        <w:keepNext/>
        <w:keepLines/>
        <w:spacing w:before="145" w:after="145" w:line="360" w:lineRule="auto"/>
        <w:ind w:firstLine="482"/>
        <w:outlineLvl w:val="2"/>
        <w:rPr>
          <w:rFonts w:ascii="Times New Roman" w:hAnsi="Times New Roman" w:eastAsia="宋体" w:cs="Times New Roman"/>
          <w:b/>
          <w:bCs/>
          <w:color w:val="auto"/>
          <w:sz w:val="32"/>
          <w:szCs w:val="32"/>
          <w:highlight w:val="none"/>
        </w:rPr>
      </w:pPr>
      <w:bookmarkStart w:id="83" w:name="_Toc16938529"/>
      <w:bookmarkStart w:id="84" w:name="_Toc462564072"/>
      <w:bookmarkStart w:id="85" w:name="_Toc20823285"/>
      <w:bookmarkStart w:id="86" w:name="_Toc513029213"/>
      <w:bookmarkStart w:id="87" w:name="_Toc120614216"/>
      <w:r>
        <w:rPr>
          <w:rFonts w:hint="eastAsia" w:ascii="Times New Roman" w:hAnsi="Times New Roman" w:eastAsia="宋体" w:cs="Times New Roman"/>
          <w:b/>
          <w:bCs/>
          <w:color w:val="auto"/>
          <w:sz w:val="32"/>
          <w:szCs w:val="32"/>
          <w:highlight w:val="none"/>
        </w:rPr>
        <w:t>三、投标文件的编制</w:t>
      </w:r>
      <w:bookmarkEnd w:id="83"/>
      <w:bookmarkEnd w:id="84"/>
      <w:bookmarkEnd w:id="85"/>
      <w:bookmarkEnd w:id="86"/>
      <w:bookmarkEnd w:id="87"/>
    </w:p>
    <w:p w14:paraId="54008CB2">
      <w:pPr>
        <w:keepNext/>
        <w:keepLines/>
        <w:ind w:firstLine="560"/>
        <w:outlineLvl w:val="3"/>
        <w:rPr>
          <w:rFonts w:hint="eastAsia" w:ascii="Arial" w:hAnsi="Arial" w:eastAsia="黑体" w:cs="Arial"/>
          <w:color w:val="auto"/>
          <w:sz w:val="28"/>
          <w:szCs w:val="28"/>
          <w:highlight w:val="none"/>
        </w:rPr>
      </w:pPr>
      <w:bookmarkStart w:id="88" w:name="_Toc462564073"/>
      <w:bookmarkStart w:id="89" w:name="_Toc16938530"/>
      <w:bookmarkStart w:id="90" w:name="_Toc20823286"/>
      <w:bookmarkStart w:id="91" w:name="_Toc513029214"/>
      <w:r>
        <w:rPr>
          <w:rFonts w:hint="eastAsia" w:ascii="Arial" w:hAnsi="Arial" w:eastAsia="黑体" w:cs="Arial"/>
          <w:color w:val="auto"/>
          <w:sz w:val="28"/>
          <w:szCs w:val="28"/>
          <w:highlight w:val="none"/>
        </w:rPr>
        <w:t>9、投标文件编写注意事项</w:t>
      </w:r>
    </w:p>
    <w:p w14:paraId="44ADDF1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投标处理。</w:t>
      </w:r>
    </w:p>
    <w:p w14:paraId="68F24F5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9.2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bookmarkEnd w:id="88"/>
    <w:bookmarkEnd w:id="89"/>
    <w:bookmarkEnd w:id="90"/>
    <w:bookmarkEnd w:id="91"/>
    <w:p w14:paraId="366E6249">
      <w:pPr>
        <w:keepNext/>
        <w:keepLines/>
        <w:ind w:firstLine="420"/>
        <w:outlineLvl w:val="3"/>
        <w:rPr>
          <w:rFonts w:hint="eastAsia" w:ascii="Arial" w:hAnsi="Arial" w:eastAsia="黑体" w:cs="Arial"/>
          <w:color w:val="auto"/>
          <w:sz w:val="28"/>
          <w:szCs w:val="28"/>
          <w:highlight w:val="none"/>
        </w:rPr>
      </w:pPr>
      <w:bookmarkStart w:id="92" w:name="_Toc462564074"/>
      <w:bookmarkStart w:id="93" w:name="_Toc16938531"/>
      <w:bookmarkStart w:id="94" w:name="_Toc513029215"/>
      <w:bookmarkStart w:id="95" w:name="_Toc20823287"/>
      <w:r>
        <w:rPr>
          <w:rFonts w:hint="eastAsia" w:ascii="Arial" w:hAnsi="Arial" w:eastAsia="黑体" w:cs="Arial"/>
          <w:color w:val="auto"/>
          <w:sz w:val="28"/>
          <w:szCs w:val="28"/>
          <w:highlight w:val="none"/>
        </w:rPr>
        <w:t>10、投标文件的语言及度量衡单位</w:t>
      </w:r>
    </w:p>
    <w:p w14:paraId="65D2315A">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10.1除专用术语外，投标人提交的投标文件以及投标人与采购人和采购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5A2D2FF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10.2除技术性能另有规定外，投标文件所使用的度量衡单位，均须采用国家法定计量单位。</w:t>
      </w:r>
    </w:p>
    <w:p w14:paraId="00AEB90C">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11、投标文件的构成</w:t>
      </w:r>
    </w:p>
    <w:p w14:paraId="584AFFE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11.1投标人编写的投标文件应包括资格证明文件、符合性证明文件、投标分项报价表、技术要求响应及偏离表、商务要求响应及偏离表、其他证明文件、投标函、开标一览表等部分。</w:t>
      </w:r>
    </w:p>
    <w:p w14:paraId="783EFB1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11.2如投标文件制作工具中格式和内容与江苏政府采购网发布的招标文件不一致，请以江苏政府采购网发布的招标文件为准。</w:t>
      </w:r>
    </w:p>
    <w:p w14:paraId="192284DB">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11.3特别提醒投标人，混乱的编排导致投标文件被误读或评标委员会（以下简称评委会）查找不到有效文件是投标人的风险。</w:t>
      </w:r>
    </w:p>
    <w:p w14:paraId="3FD2CAE7">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12、证明投标人及投标标的符合招标文件规定的文件</w:t>
      </w:r>
    </w:p>
    <w:p w14:paraId="49850CB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12.1投标人应按照招标文件要求提交证明文件，证明其及投标标的符合招标文件规定。</w:t>
      </w:r>
    </w:p>
    <w:p w14:paraId="0FABFC9C">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12.2招标文件对证明文件无明确形式要求的，证明文件可以以文字资料、图纸和数据等形式提交。</w:t>
      </w:r>
    </w:p>
    <w:p w14:paraId="394084A3">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12.3投标人委托代理时应当提交授权委托书，请按招标文件第六章给定格式及要求填写并附法定代表人（单位负责人）与委托代理人身份证明。</w:t>
      </w:r>
    </w:p>
    <w:p w14:paraId="188EA8BD">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13、投标分项报价表</w:t>
      </w:r>
    </w:p>
    <w:p w14:paraId="6DB42E1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13.1投标报价指货物（标的）的报价和标准附件、备品备件、专用工具、运输、装卸、验收合格所需的各种费用及必要的保险费用和各项税金等所有费用的总和。投标报价为现场交货价，投标报价必须含以下部分：</w:t>
      </w:r>
    </w:p>
    <w:p w14:paraId="211C9285">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（1）投标的货物总价；</w:t>
      </w:r>
    </w:p>
    <w:p w14:paraId="7E337E9A">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（2）货物的标准附件、备品备件、专用工具、运输、装卸等各种费用；</w:t>
      </w:r>
    </w:p>
    <w:p w14:paraId="6BD7C59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（3）必要的保险费用和各项税金；</w:t>
      </w:r>
    </w:p>
    <w:p w14:paraId="12A6250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（4）投标总价要求包含安装维保费用。</w:t>
      </w:r>
    </w:p>
    <w:p w14:paraId="4A37A85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13.2投标人应根据投标报价要求在投标分项报价表中列明各项投标单价、总价等，未全部列示的作无效投标处理。</w:t>
      </w:r>
    </w:p>
    <w:p w14:paraId="26D4310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13.3投标文件中的单价和总价无特殊规定的采用人民币报价，以元为单位标注。招标文件中另有规定的按规定执行。</w:t>
      </w:r>
    </w:p>
    <w:p w14:paraId="52E6CA80">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14、技术要求响应及偏离表、商务要求响应及偏离表</w:t>
      </w:r>
    </w:p>
    <w:p w14:paraId="2F7D611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69064CD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14.2投标人可在投标文件中提供认为需要的其他技术文件或说明。</w:t>
      </w:r>
    </w:p>
    <w:p w14:paraId="3FA17C9F">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15、服务承诺、培训计划、人员安排及其他</w:t>
      </w:r>
    </w:p>
    <w:p w14:paraId="052A0E29">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15.1投标人应根据招标文件要求提供有关售后服务的管理制度，售后服务机构的分布情况，售后服务人员的数量、素质、技术水平及售后服务的反应能力等。</w:t>
      </w:r>
    </w:p>
    <w:p w14:paraId="0DBB189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15.2投标人应根据招标文件要求提供培训计划、人员安排等。</w:t>
      </w:r>
    </w:p>
    <w:p w14:paraId="44CF84D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15.3投标人应根据招标文件要求提供所投标的的主要组成部分、功能设计、实现思路及关键技术等。</w:t>
      </w:r>
    </w:p>
    <w:p w14:paraId="655EA7B4">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16、投标函和开标一览表</w:t>
      </w:r>
    </w:p>
    <w:p w14:paraId="2A92708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16.1投标人应按照招标文件提供的格式完整、正确填写投标函、开标一览表。</w:t>
      </w:r>
    </w:p>
    <w:p w14:paraId="60B2BDC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16.2对于采用货币报价的项目，开标一览表中的投标总报价应与投标分项报价表中的投标总报价一致，如不一致，不作无效投标处理，但评标时以开标一览表中价格为准。</w:t>
      </w:r>
    </w:p>
    <w:p w14:paraId="700E02D8">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17、投标有效期</w:t>
      </w:r>
    </w:p>
    <w:p w14:paraId="661BFCA4">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17.1投标有效期为招标文件规定的开标之日后六十（60）天。投标有效期比规定短的将被视为未实质性响应招标文件而予以拒绝。</w:t>
      </w:r>
    </w:p>
    <w:p w14:paraId="3514CC58">
      <w:pPr>
        <w:keepNext w:val="0"/>
        <w:keepLines w:val="0"/>
        <w:spacing w:before="0" w:after="0" w:line="500" w:lineRule="exact"/>
        <w:ind w:firstLine="480"/>
        <w:outlineLvl w:val="9"/>
        <w:rPr>
          <w:rFonts w:hint="eastAsia" w:ascii="宋体" w:hAnsi="宋体" w:eastAsia="宋体" w:cs="Times New Roman"/>
          <w:b w:val="0"/>
          <w:bCs/>
          <w:color w:val="auto"/>
          <w:kern w:val="0"/>
          <w:sz w:val="24"/>
          <w:szCs w:val="21"/>
          <w:highlight w:val="none"/>
        </w:rPr>
      </w:pPr>
      <w:r>
        <w:rPr>
          <w:rFonts w:hint="eastAsia" w:ascii="宋体" w:hAnsi="宋体" w:eastAsia="宋体" w:cs="Times New Roman"/>
          <w:bCs/>
          <w:color w:val="auto"/>
          <w:kern w:val="0"/>
          <w:sz w:val="24"/>
          <w:szCs w:val="21"/>
          <w:highlight w:val="none"/>
        </w:rPr>
        <w:t>17.2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bookmarkEnd w:id="92"/>
      <w:bookmarkEnd w:id="93"/>
      <w:bookmarkEnd w:id="94"/>
      <w:bookmarkEnd w:id="95"/>
      <w:bookmarkStart w:id="96" w:name="_Hlt26954739"/>
      <w:bookmarkEnd w:id="96"/>
      <w:bookmarkStart w:id="97" w:name="_Hlt26954852"/>
      <w:bookmarkEnd w:id="97"/>
      <w:bookmarkStart w:id="98" w:name="_Toc20823296"/>
      <w:bookmarkStart w:id="99" w:name="_Toc16938540"/>
      <w:bookmarkStart w:id="100" w:name="_Toc513029224"/>
      <w:bookmarkStart w:id="101" w:name="_Toc120614217"/>
    </w:p>
    <w:p w14:paraId="50FB45D7">
      <w:pPr>
        <w:keepNext/>
        <w:keepLines/>
        <w:spacing w:before="145" w:after="145" w:line="360" w:lineRule="auto"/>
        <w:ind w:firstLine="482"/>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四、投标文件的递交</w:t>
      </w:r>
      <w:bookmarkEnd w:id="98"/>
      <w:bookmarkEnd w:id="99"/>
      <w:bookmarkEnd w:id="100"/>
      <w:bookmarkEnd w:id="101"/>
    </w:p>
    <w:p w14:paraId="63D27EE6">
      <w:pPr>
        <w:keepNext/>
        <w:keepLines/>
        <w:ind w:firstLine="560"/>
        <w:outlineLvl w:val="3"/>
        <w:rPr>
          <w:rFonts w:hint="eastAsia" w:ascii="Arial" w:hAnsi="Arial" w:eastAsia="黑体" w:cs="Arial"/>
          <w:color w:val="auto"/>
          <w:sz w:val="28"/>
          <w:szCs w:val="28"/>
          <w:highlight w:val="none"/>
        </w:rPr>
      </w:pPr>
      <w:bookmarkStart w:id="102" w:name="_Toc20823297"/>
      <w:bookmarkStart w:id="103" w:name="_Toc16938541"/>
      <w:bookmarkStart w:id="104" w:name="_Toc513029225"/>
      <w:bookmarkStart w:id="105" w:name="_Toc462564084"/>
      <w:r>
        <w:rPr>
          <w:rFonts w:hint="eastAsia" w:ascii="Arial" w:hAnsi="Arial" w:eastAsia="黑体" w:cs="Arial"/>
          <w:color w:val="auto"/>
          <w:sz w:val="28"/>
          <w:szCs w:val="28"/>
          <w:highlight w:val="none"/>
        </w:rPr>
        <w:t>18、电子投标文件的递交</w:t>
      </w:r>
    </w:p>
    <w:p w14:paraId="2F0BFB3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18.1投标人应当按照《操作手册》规定，在投标截止时间前制作并上传电子投标文件。</w:t>
      </w:r>
    </w:p>
    <w:p w14:paraId="409F40C2">
      <w:pPr>
        <w:keepNext/>
        <w:keepLines/>
        <w:ind w:firstLine="56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19、投标截止日期</w:t>
      </w:r>
    </w:p>
    <w:p w14:paraId="3BEDAD1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19.1投标人上传电子投标文件的时间不得迟于招标公告中规定的投标截止时间。</w:t>
      </w:r>
    </w:p>
    <w:p w14:paraId="733C90C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投标人应充分考虑到网络环境、网络带宽等风险因素，如因投标人自身原因造成的电子投标文件上传不成功的按照本招标文件第二章第27.1.2条规定做无效投标处理。</w:t>
      </w:r>
    </w:p>
    <w:p w14:paraId="2C02D56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19.2采购中心可以按照规定，通过修改招标文件酌情延长投标截止日期，在此情况下，投标人的所有权利和义务以及投标人受制的截止日期均应以延长后新的截止日期为准。</w:t>
      </w:r>
    </w:p>
    <w:p w14:paraId="7FB271D2">
      <w:pPr>
        <w:keepNext/>
        <w:keepLines/>
        <w:ind w:firstLine="56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20、投标文件的拒收</w:t>
      </w:r>
    </w:p>
    <w:p w14:paraId="15056D1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20.1</w:t>
      </w:r>
      <w:r>
        <w:rPr>
          <w:rFonts w:hint="eastAsia" w:ascii="宋体" w:hAnsi="宋体" w:eastAsia="宋体" w:cs="Times New Roman"/>
          <w:bCs/>
          <w:color w:val="auto"/>
          <w:kern w:val="0"/>
          <w:sz w:val="24"/>
          <w:szCs w:val="21"/>
          <w:highlight w:val="none"/>
          <w:lang w:val="en-US" w:eastAsia="zh-CN"/>
        </w:rPr>
        <w:t>招标人</w:t>
      </w:r>
      <w:r>
        <w:rPr>
          <w:rFonts w:hint="eastAsia" w:ascii="宋体" w:hAnsi="宋体" w:eastAsia="宋体" w:cs="Times New Roman"/>
          <w:bCs/>
          <w:color w:val="auto"/>
          <w:kern w:val="0"/>
          <w:sz w:val="24"/>
          <w:szCs w:val="21"/>
          <w:highlight w:val="none"/>
        </w:rPr>
        <w:t>拒绝接收在其规定的投标截止时间后上传的任何投标文件。</w:t>
      </w:r>
    </w:p>
    <w:p w14:paraId="47300813">
      <w:pPr>
        <w:keepNext/>
        <w:keepLines/>
        <w:ind w:firstLine="56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21、投标文件的撤回和修改</w:t>
      </w:r>
    </w:p>
    <w:p w14:paraId="33CA8C0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21.1投标文件的撤回</w:t>
      </w:r>
    </w:p>
    <w:p w14:paraId="78497699">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21.1.1电子投标文件的撤回</w:t>
      </w:r>
    </w:p>
    <w:p w14:paraId="4D4036D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投标人可在投标截止时间前，撤回其电子投标文件，具体操作方法见《操作手册》。</w:t>
      </w:r>
    </w:p>
    <w:p w14:paraId="227254C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21.1.2投标人撤回电子投标文件，则认为其不再参与本项目投标活动。</w:t>
      </w:r>
    </w:p>
    <w:p w14:paraId="0D4791C2">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21.2投标文件的修改</w:t>
      </w:r>
    </w:p>
    <w:p w14:paraId="5E40A59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21.2.1投标人可在投标截止时间前，对其电子投标文件进行修改，具体操作方法见《操作手册》。</w:t>
      </w:r>
    </w:p>
    <w:p w14:paraId="4BFA160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21.2.2在投标截止时间之后，投标人不得对其电子投标文件作任何修改。</w:t>
      </w:r>
    </w:p>
    <w:p w14:paraId="6CBA6187">
      <w:pPr>
        <w:keepNext w:val="0"/>
        <w:keepLines w:val="0"/>
        <w:spacing w:before="0" w:after="0" w:line="500" w:lineRule="exact"/>
        <w:ind w:firstLine="480"/>
        <w:outlineLvl w:val="9"/>
        <w:rPr>
          <w:rFonts w:hint="eastAsia" w:ascii="宋体" w:hAnsi="宋体" w:eastAsia="宋体" w:cs="Times New Roman"/>
          <w:b w:val="0"/>
          <w:bCs/>
          <w:color w:val="auto"/>
          <w:kern w:val="0"/>
          <w:sz w:val="24"/>
          <w:szCs w:val="21"/>
          <w:highlight w:val="none"/>
        </w:rPr>
      </w:pPr>
      <w:r>
        <w:rPr>
          <w:rFonts w:hint="eastAsia" w:ascii="宋体" w:hAnsi="宋体" w:eastAsia="宋体" w:cs="Times New Roman"/>
          <w:bCs/>
          <w:color w:val="auto"/>
          <w:kern w:val="0"/>
          <w:sz w:val="24"/>
          <w:szCs w:val="21"/>
          <w:highlight w:val="none"/>
        </w:rPr>
        <w:t>21.3在投标截止时间至招标文件中规定的投标有效期满之间的这段时间内，投标人不得撤回其投标。</w:t>
      </w:r>
      <w:bookmarkEnd w:id="102"/>
      <w:bookmarkEnd w:id="103"/>
      <w:bookmarkEnd w:id="104"/>
      <w:bookmarkEnd w:id="105"/>
      <w:bookmarkStart w:id="106" w:name="_Toc513029229"/>
      <w:bookmarkStart w:id="107" w:name="_Toc120614218"/>
      <w:bookmarkStart w:id="108" w:name="_Toc20823301"/>
      <w:bookmarkStart w:id="109" w:name="_Toc16938545"/>
    </w:p>
    <w:p w14:paraId="7B6F6A4D">
      <w:pPr>
        <w:keepNext/>
        <w:keepLines/>
        <w:spacing w:before="145" w:after="145" w:line="360" w:lineRule="auto"/>
        <w:ind w:firstLine="482"/>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五、开标与评标</w:t>
      </w:r>
      <w:bookmarkEnd w:id="106"/>
      <w:bookmarkEnd w:id="107"/>
      <w:bookmarkEnd w:id="108"/>
      <w:bookmarkEnd w:id="109"/>
    </w:p>
    <w:p w14:paraId="4B019C0C">
      <w:pPr>
        <w:keepNext/>
        <w:keepLines/>
        <w:ind w:firstLine="420"/>
        <w:outlineLvl w:val="3"/>
        <w:rPr>
          <w:rFonts w:hint="eastAsia" w:ascii="Arial" w:hAnsi="Arial" w:eastAsia="黑体" w:cs="Arial"/>
          <w:color w:val="auto"/>
          <w:sz w:val="28"/>
          <w:szCs w:val="28"/>
          <w:highlight w:val="none"/>
        </w:rPr>
      </w:pPr>
      <w:bookmarkStart w:id="110" w:name="_Toc513029230"/>
      <w:bookmarkStart w:id="111" w:name="_Toc20823302"/>
      <w:bookmarkStart w:id="112" w:name="_Toc16938546"/>
      <w:r>
        <w:rPr>
          <w:rFonts w:hint="eastAsia" w:ascii="Arial" w:hAnsi="Arial" w:eastAsia="黑体" w:cs="Arial"/>
          <w:color w:val="auto"/>
          <w:sz w:val="28"/>
          <w:szCs w:val="28"/>
          <w:highlight w:val="none"/>
        </w:rPr>
        <w:t>22、开标</w:t>
      </w:r>
    </w:p>
    <w:p w14:paraId="199B5DB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22.1</w:t>
      </w:r>
      <w:r>
        <w:rPr>
          <w:rFonts w:hint="eastAsia" w:ascii="宋体" w:hAnsi="宋体" w:eastAsia="宋体" w:cs="Times New Roman"/>
          <w:bCs/>
          <w:color w:val="auto"/>
          <w:kern w:val="0"/>
          <w:sz w:val="24"/>
          <w:szCs w:val="21"/>
          <w:highlight w:val="none"/>
          <w:lang w:val="en-US" w:eastAsia="zh-CN"/>
        </w:rPr>
        <w:t>招标人</w:t>
      </w:r>
      <w:r>
        <w:rPr>
          <w:rFonts w:hint="eastAsia" w:ascii="宋体" w:hAnsi="宋体" w:eastAsia="宋体" w:cs="Times New Roman"/>
          <w:bCs/>
          <w:color w:val="auto"/>
          <w:kern w:val="0"/>
          <w:sz w:val="24"/>
          <w:szCs w:val="21"/>
          <w:highlight w:val="none"/>
        </w:rPr>
        <w:t>将在招标公告中规定的时间和地点组织公开开标。投标人应当按照《操作手册》规定，参加开标活动和在苏采云系统规定的时间内对投标文件进行解密。</w:t>
      </w:r>
    </w:p>
    <w:p w14:paraId="4A433A5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22.2开标仪式由采购中心组织。苏采云系统将自动对项目进行开标，并宣布各投标人名称和投标价格。</w:t>
      </w:r>
    </w:p>
    <w:p w14:paraId="23746683">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22.3投标人在开标过程中涉及到的投标文件解密、开标结果确认等工作，应按照《操作手册》规定执行。</w:t>
      </w:r>
    </w:p>
    <w:p w14:paraId="7EF9B90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22.4投标人如果对开标过程和开标记录有疑义，应当根据《操作手册》规定提出，如苏采云系统中《开标记录表》宣布后5分钟内未提出的，视同认可开标结果。</w:t>
      </w:r>
    </w:p>
    <w:p w14:paraId="34D7E342">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23、评标委员会</w:t>
      </w:r>
    </w:p>
    <w:p w14:paraId="32B20599">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23.1开标后，采购中心将立即组织评标委员会（以下简称评委会）进行评标。</w:t>
      </w:r>
    </w:p>
    <w:p w14:paraId="658F25C0">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23.2评委会由采购人代表和有关技术、经济等方面的专家组成，且人员构成符合政府采购有关规定。</w:t>
      </w:r>
    </w:p>
    <w:p w14:paraId="64E52CFC">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23.3评委会独立工作，负责评审所有投标文件并确定中标侯选人。</w:t>
      </w:r>
    </w:p>
    <w:p w14:paraId="4D67CE68">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24．评标过程的保密与公正</w:t>
      </w:r>
    </w:p>
    <w:p w14:paraId="5A9FA2E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24.1凡是与审查、澄清、评价和比较投标的有关资料以及授标建议等，采购人、评委、采购中心均不得向投标人或与评标无关的其他人员透露。</w:t>
      </w:r>
    </w:p>
    <w:p w14:paraId="00E8D998">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24.2在评标过程中，投标人不得以任何行为影响评标过程，否则其投标文件将被作为无效投标文件。</w:t>
      </w:r>
    </w:p>
    <w:p w14:paraId="503AA251">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24.3采购中心和评标委员会不向未中标的投标人解释未中标原因，也不公布评标过程中的相关细节。</w:t>
      </w:r>
    </w:p>
    <w:p w14:paraId="6CEDC1FA">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24.4采用综合评分法的项目，未中标的投标人可于中标结果公告期限届满之日起通过苏采云系统查看自己的评审得分及排序情况。</w:t>
      </w:r>
    </w:p>
    <w:p w14:paraId="50530216">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25．投标文件的澄清</w:t>
      </w:r>
    </w:p>
    <w:p w14:paraId="5D2A4AB8">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p>
    <w:p w14:paraId="47E049E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25.2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p>
    <w:p w14:paraId="7DE8994E">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25.3接到评委会澄清、说明和补正要求的投标人如未按规定做出澄清、说明和补正，其风险由投标人自行承担。</w:t>
      </w:r>
    </w:p>
    <w:p w14:paraId="7549D6AF">
      <w:pPr>
        <w:keepNext/>
        <w:keepLines/>
        <w:ind w:firstLine="420"/>
        <w:outlineLvl w:val="3"/>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26、对投标文件的初审</w:t>
      </w:r>
    </w:p>
    <w:p w14:paraId="49B65BD8">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26.1投标文件初审分为资格审查和符合性审查。</w:t>
      </w:r>
    </w:p>
    <w:p w14:paraId="72A2BC8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26.1.1资格审查：依据法律法规和招标文件的规定，由采购人对投标文件中的资格证明文件进行审查。资格审查的结论，采购人以书面形式向评委会进行反馈。</w:t>
      </w:r>
    </w:p>
    <w:p w14:paraId="10D4392A">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采购人在进行资格审查的同时，将在信用中国网站（www.creditchina.gov.cn）、中国政府采购网（www.ccgp.gov.cn）查询投标人的信用记录，以确定投标人是否具备投标资格。</w:t>
      </w:r>
    </w:p>
    <w:p w14:paraId="59F3B492">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26.1.2符合性审查：依据招标文件的规定，由评委会从投标文件的有效性、完整性和对招标文件的响应程度进行审查，以确定是否对招标文件的实质性要求作出响应。</w:t>
      </w:r>
    </w:p>
    <w:p w14:paraId="10DE0029">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26.1.3未通过资格审查或符合性审查的投标人，采购中心将在苏采云系统中告知未通过资格审查或符合性审查的原因，评审结束后，采购中心将不再告知未通过资格审查或符合性审查的原因。</w:t>
      </w:r>
    </w:p>
    <w:p w14:paraId="4FC58704">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66F9FE63">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511A4B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26.3如果投标文件实质上没有响应招标文件的要求，评委会将予以拒绝，投标人不得通过修改或撤销不合要求的偏离或保留而使其投标成为实质性响应的投标。</w:t>
      </w:r>
    </w:p>
    <w:p w14:paraId="757DD842">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26.4评委会将对确定为实质性响应的投标进行进一步审核，看其是否有计算上或累加上的算术错误，修正错误的原则如下：</w:t>
      </w:r>
    </w:p>
    <w:p w14:paraId="0BD11059">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（1）投标文件中开标一览表内容与投标文件中相应内容不一致的，以开标一览表为准。</w:t>
      </w:r>
    </w:p>
    <w:p w14:paraId="22EA52CF">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（2）大写金额和小写金额不一致的，以大写金额为准。</w:t>
      </w:r>
    </w:p>
    <w:p w14:paraId="1DD52807">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（3） 单价金额小数点或者百分比有明显错位的，以开标一览表的总价为准，并修改单价。</w:t>
      </w:r>
    </w:p>
    <w:p w14:paraId="0CE16AA1">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（4）总价金额与按单价汇总金额不一致的，以单价金额计算结果为准。</w:t>
      </w:r>
    </w:p>
    <w:p w14:paraId="0EEB70B6">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同时出现两种以上错误的，按照前款规定的顺序修正。</w:t>
      </w:r>
    </w:p>
    <w:p w14:paraId="4C6DD0F5">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26.5评委会将按上述修正错误的方法调整投标文件中的投标报价，并通过苏采云系统告知投标人，调整后的价格应对投标人具有约束力。如果投标人不接受修正后的价格，则其投标将被拒绝。</w:t>
      </w:r>
    </w:p>
    <w:p w14:paraId="22512C9C">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8B8C88D">
      <w:pPr>
        <w:keepNext w:val="0"/>
        <w:keepLines w:val="0"/>
        <w:spacing w:line="500" w:lineRule="exact"/>
        <w:ind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非单一产品采购项目，招标文件中将载明其中的核心产品。多家投标人提供的核心产品品牌相同的，按前两款规定处理。</w:t>
      </w:r>
    </w:p>
    <w:p w14:paraId="2BF07049">
      <w:pPr>
        <w:keepNext w:val="0"/>
        <w:keepLines w:val="0"/>
        <w:spacing w:line="500" w:lineRule="exact"/>
        <w:ind w:left="0" w:firstLine="480"/>
        <w:outlineLvl w:val="9"/>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26.7投标人在开、评标全过程中应保持通讯畅通，及时登录苏采云系统查阅、答复相关信息，并安排专人与采购中心及评标委员会联系。</w:t>
      </w:r>
      <w:bookmarkEnd w:id="110"/>
      <w:bookmarkEnd w:id="111"/>
      <w:bookmarkEnd w:id="112"/>
      <w:bookmarkStart w:id="113" w:name="_Toc16938550"/>
      <w:bookmarkStart w:id="114" w:name="_Toc20823306"/>
      <w:bookmarkStart w:id="115" w:name="_Toc513029234"/>
    </w:p>
    <w:p w14:paraId="6D297EE5">
      <w:pPr>
        <w:keepNext/>
        <w:keepLines/>
        <w:spacing w:line="240" w:lineRule="auto"/>
        <w:ind w:left="0" w:firstLine="420"/>
        <w:outlineLvl w:val="3"/>
        <w:rPr>
          <w:rFonts w:hint="eastAsia" w:ascii="Arial" w:hAnsi="Arial" w:eastAsia="黑体" w:cs="Arial"/>
          <w:bCs w:val="0"/>
          <w:color w:val="auto"/>
          <w:kern w:val="2"/>
          <w:sz w:val="28"/>
          <w:szCs w:val="28"/>
          <w:highlight w:val="none"/>
        </w:rPr>
      </w:pPr>
      <w:r>
        <w:rPr>
          <w:rFonts w:hint="eastAsia" w:ascii="Arial" w:hAnsi="Arial" w:eastAsia="黑体" w:cs="Arial"/>
          <w:bCs w:val="0"/>
          <w:color w:val="auto"/>
          <w:kern w:val="2"/>
          <w:sz w:val="28"/>
          <w:szCs w:val="28"/>
          <w:highlight w:val="none"/>
        </w:rPr>
        <w:t>2</w:t>
      </w:r>
      <w:r>
        <w:rPr>
          <w:rFonts w:hint="eastAsia" w:ascii="Arial" w:hAnsi="Arial" w:eastAsia="黑体" w:cs="Arial"/>
          <w:bCs w:val="0"/>
          <w:color w:val="auto"/>
          <w:kern w:val="2"/>
          <w:sz w:val="28"/>
          <w:szCs w:val="28"/>
          <w:highlight w:val="none"/>
          <w:lang w:val="en-US" w:eastAsia="zh-CN"/>
        </w:rPr>
        <w:t>7</w:t>
      </w:r>
      <w:r>
        <w:rPr>
          <w:rFonts w:hint="eastAsia" w:ascii="Arial" w:hAnsi="Arial" w:eastAsia="黑体" w:cs="Arial"/>
          <w:bCs w:val="0"/>
          <w:color w:val="auto"/>
          <w:kern w:val="2"/>
          <w:sz w:val="28"/>
          <w:szCs w:val="28"/>
          <w:highlight w:val="none"/>
        </w:rPr>
        <w:t>、</w:t>
      </w:r>
      <w:bookmarkEnd w:id="113"/>
      <w:bookmarkEnd w:id="114"/>
      <w:bookmarkEnd w:id="115"/>
      <w:r>
        <w:rPr>
          <w:rFonts w:hint="eastAsia" w:ascii="Arial" w:hAnsi="Arial" w:eastAsia="黑体" w:cs="Arial"/>
          <w:bCs w:val="0"/>
          <w:color w:val="auto"/>
          <w:kern w:val="2"/>
          <w:sz w:val="28"/>
          <w:szCs w:val="28"/>
          <w:highlight w:val="none"/>
        </w:rPr>
        <w:t>无效投标条款和废标条款</w:t>
      </w:r>
      <w:bookmarkStart w:id="116" w:name="_Toc513029235"/>
      <w:bookmarkStart w:id="117" w:name="_Toc20823307"/>
      <w:bookmarkStart w:id="118" w:name="_Toc16938551"/>
    </w:p>
    <w:p w14:paraId="3999CCBF">
      <w:pPr>
        <w:keepNext/>
        <w:keepLines/>
        <w:pageBreakBefore w:val="0"/>
        <w:spacing w:line="240" w:lineRule="auto"/>
        <w:ind w:left="0" w:firstLine="420"/>
        <w:outlineLvl w:val="3"/>
        <w:rPr>
          <w:rFonts w:hint="eastAsia" w:ascii="宋体" w:hAnsi="宋体" w:eastAsia="宋体" w:cs="Times New Roman"/>
          <w:bCs/>
          <w:color w:val="auto"/>
          <w:kern w:val="0"/>
          <w:sz w:val="24"/>
          <w:szCs w:val="21"/>
          <w:highlight w:val="none"/>
        </w:rPr>
      </w:pPr>
      <w:bookmarkStart w:id="119" w:name="_Toc120614219"/>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.1无效投标条款</w:t>
      </w:r>
    </w:p>
    <w:p w14:paraId="4F7399C2">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.1.1</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在</w:t>
      </w:r>
      <w:r>
        <w:rPr>
          <w:rFonts w:hint="eastAsia" w:ascii="宋体" w:hAnsi="宋体" w:eastAsia="宋体" w:cs="Times New Roman"/>
          <w:color w:val="auto"/>
          <w:kern w:val="0"/>
          <w:sz w:val="24"/>
          <w:szCs w:val="24"/>
          <w:highlight w:val="none"/>
        </w:rPr>
        <w:t>苏采云系统</w:t>
      </w:r>
      <w:r>
        <w:rPr>
          <w:rFonts w:hint="eastAsia" w:ascii="宋体" w:hAnsi="宋体" w:eastAsia="宋体" w:cs="Times New Roman"/>
          <w:bCs/>
          <w:color w:val="auto"/>
          <w:kern w:val="0"/>
          <w:sz w:val="24"/>
          <w:szCs w:val="21"/>
          <w:highlight w:val="none"/>
        </w:rPr>
        <w:t>规定的时间内未成功解密电子投标文件的。</w:t>
      </w:r>
    </w:p>
    <w:p w14:paraId="7693A449">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2</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未按照</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要求上传电子投标文件的。</w:t>
      </w:r>
    </w:p>
    <w:p w14:paraId="0D1BD128">
      <w:pPr>
        <w:pageBreakBefore w:val="0"/>
        <w:spacing w:line="500" w:lineRule="exact"/>
        <w:ind w:left="478"/>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3</w:t>
      </w:r>
      <w:r>
        <w:rPr>
          <w:rFonts w:hint="eastAsia" w:ascii="宋体" w:hAnsi="宋体" w:eastAsia="宋体" w:cs="Times New Roman"/>
          <w:bCs/>
          <w:color w:val="auto"/>
          <w:kern w:val="0"/>
          <w:sz w:val="24"/>
          <w:szCs w:val="21"/>
          <w:highlight w:val="none"/>
        </w:rPr>
        <w:t>同一</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提交两个</w:t>
      </w:r>
      <w:r>
        <w:rPr>
          <w:rFonts w:hint="default" w:ascii="宋体" w:hAnsi="宋体" w:eastAsia="宋体" w:cs="Times New Roman"/>
          <w:bCs/>
          <w:color w:val="auto"/>
          <w:kern w:val="0"/>
          <w:sz w:val="24"/>
          <w:szCs w:val="21"/>
          <w:highlight w:val="none"/>
        </w:rPr>
        <w:t>（</w:t>
      </w:r>
      <w:r>
        <w:rPr>
          <w:rFonts w:hint="eastAsia" w:ascii="宋体" w:hAnsi="宋体" w:eastAsia="宋体" w:cs="Times New Roman"/>
          <w:bCs/>
          <w:color w:val="auto"/>
          <w:kern w:val="0"/>
          <w:sz w:val="24"/>
          <w:szCs w:val="21"/>
          <w:highlight w:val="none"/>
        </w:rPr>
        <w:t>含</w:t>
      </w:r>
      <w:r>
        <w:rPr>
          <w:rFonts w:hint="default" w:ascii="宋体" w:hAnsi="宋体" w:eastAsia="宋体" w:cs="Times New Roman"/>
          <w:bCs/>
          <w:color w:val="auto"/>
          <w:kern w:val="0"/>
          <w:sz w:val="24"/>
          <w:szCs w:val="21"/>
          <w:highlight w:val="none"/>
        </w:rPr>
        <w:t>两个）</w:t>
      </w:r>
      <w:r>
        <w:rPr>
          <w:rFonts w:hint="eastAsia" w:ascii="宋体" w:hAnsi="宋体" w:eastAsia="宋体" w:cs="Times New Roman"/>
          <w:bCs/>
          <w:color w:val="auto"/>
          <w:kern w:val="0"/>
          <w:sz w:val="24"/>
          <w:szCs w:val="21"/>
          <w:highlight w:val="none"/>
        </w:rPr>
        <w:t>以上不同的</w:t>
      </w:r>
      <w:r>
        <w:rPr>
          <w:rFonts w:hint="default" w:ascii="宋体" w:hAnsi="宋体" w:eastAsia="宋体" w:cs="Times New Roman"/>
          <w:bCs/>
          <w:color w:val="auto"/>
          <w:kern w:val="0"/>
          <w:sz w:val="24"/>
          <w:szCs w:val="21"/>
          <w:highlight w:val="none"/>
        </w:rPr>
        <w:t>投标报价的。</w:t>
      </w:r>
    </w:p>
    <w:p w14:paraId="29B2FFD5">
      <w:pPr>
        <w:pageBreakBefore w:val="0"/>
        <w:spacing w:line="500" w:lineRule="exact"/>
        <w:ind w:left="478"/>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4</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不具备</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中规定资格要求的。</w:t>
      </w:r>
    </w:p>
    <w:p w14:paraId="020CBE29">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5</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的报价超过了采购预算或最高限价的。</w:t>
      </w:r>
    </w:p>
    <w:p w14:paraId="5157B0E0">
      <w:pPr>
        <w:pageBreakBefore w:val="0"/>
        <w:spacing w:line="500" w:lineRule="exact"/>
        <w:ind w:firstLine="480"/>
        <w:rPr>
          <w:rFonts w:hint="eastAsia" w:ascii="宋体" w:hAnsi="宋体" w:eastAsia="宋体" w:cs="Times New Roman"/>
          <w:bCs/>
          <w:i/>
          <w:color w:val="auto"/>
          <w:kern w:val="0"/>
          <w:sz w:val="24"/>
          <w:szCs w:val="21"/>
          <w:highlight w:val="none"/>
          <w:u w:val="singl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6</w:t>
      </w:r>
      <w:r>
        <w:rPr>
          <w:rFonts w:hint="eastAsia" w:ascii="宋体" w:hAnsi="宋体" w:eastAsia="宋体" w:cs="Times New Roman"/>
          <w:bCs/>
          <w:color w:val="auto"/>
          <w:kern w:val="0"/>
          <w:sz w:val="24"/>
          <w:szCs w:val="21"/>
          <w:highlight w:val="none"/>
        </w:rPr>
        <w:t>未通过符合性审查的。</w:t>
      </w:r>
    </w:p>
    <w:p w14:paraId="7429F683">
      <w:pPr>
        <w:pageBreakBefore w:val="0"/>
        <w:spacing w:line="500" w:lineRule="exact"/>
        <w:ind w:firstLine="480"/>
        <w:rPr>
          <w:rFonts w:hint="eastAsia" w:ascii="宋体" w:hAnsi="宋体" w:eastAsia="宋体" w:cs="Times New Roman"/>
          <w:bCs/>
          <w:i/>
          <w:color w:val="auto"/>
          <w:kern w:val="0"/>
          <w:sz w:val="24"/>
          <w:szCs w:val="21"/>
          <w:highlight w:val="none"/>
          <w:u w:val="singl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不符合</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中规定的实质性要求和条件的（</w:t>
      </w:r>
      <w:r>
        <w:rPr>
          <w:rFonts w:hint="eastAsia" w:ascii="宋体" w:hAnsi="宋体" w:eastAsia="宋体" w:cs="Times New Roman"/>
          <w:b/>
          <w:bCs w:val="0"/>
          <w:color w:val="auto"/>
          <w:kern w:val="0"/>
          <w:sz w:val="24"/>
          <w:szCs w:val="21"/>
          <w:highlight w:val="none"/>
          <w:u w:val="single"/>
        </w:rPr>
        <w:t>本</w:t>
      </w:r>
      <w:r>
        <w:rPr>
          <w:rFonts w:hint="eastAsia" w:ascii="宋体" w:hAnsi="宋体" w:eastAsia="宋体" w:cs="Times New Roman"/>
          <w:b/>
          <w:bCs w:val="0"/>
          <w:color w:val="auto"/>
          <w:kern w:val="0"/>
          <w:sz w:val="24"/>
          <w:szCs w:val="21"/>
          <w:highlight w:val="none"/>
          <w:u w:val="single"/>
          <w:lang w:eastAsia="zh-CN"/>
        </w:rPr>
        <w:t>招标文件</w:t>
      </w:r>
      <w:r>
        <w:rPr>
          <w:rFonts w:hint="eastAsia" w:ascii="宋体" w:hAnsi="宋体" w:eastAsia="宋体" w:cs="Times New Roman"/>
          <w:b/>
          <w:bCs w:val="0"/>
          <w:color w:val="auto"/>
          <w:kern w:val="0"/>
          <w:sz w:val="24"/>
          <w:szCs w:val="21"/>
          <w:highlight w:val="none"/>
          <w:u w:val="single"/>
        </w:rPr>
        <w:t>中</w:t>
      </w:r>
      <w:r>
        <w:rPr>
          <w:rFonts w:hint="eastAsia" w:ascii="宋体" w:hAnsi="宋体" w:eastAsia="宋体" w:cs="Times New Roman"/>
          <w:b/>
          <w:bCs w:val="0"/>
          <w:color w:val="auto"/>
          <w:kern w:val="0"/>
          <w:sz w:val="24"/>
          <w:szCs w:val="21"/>
          <w:highlight w:val="none"/>
          <w:u w:val="single"/>
          <w:lang w:eastAsia="zh-CN"/>
        </w:rPr>
        <w:t>标★</w:t>
      </w:r>
      <w:r>
        <w:rPr>
          <w:rFonts w:hint="eastAsia" w:ascii="宋体" w:hAnsi="宋体" w:eastAsia="宋体" w:cs="Times New Roman"/>
          <w:b/>
          <w:bCs w:val="0"/>
          <w:color w:val="auto"/>
          <w:kern w:val="0"/>
          <w:sz w:val="24"/>
          <w:szCs w:val="21"/>
          <w:highlight w:val="none"/>
          <w:u w:val="single"/>
        </w:rPr>
        <w:t>为实质性要求和条件</w:t>
      </w:r>
      <w:r>
        <w:rPr>
          <w:rFonts w:hint="eastAsia" w:ascii="宋体" w:hAnsi="宋体" w:eastAsia="宋体" w:cs="Times New Roman"/>
          <w:bCs/>
          <w:color w:val="auto"/>
          <w:kern w:val="0"/>
          <w:sz w:val="24"/>
          <w:szCs w:val="21"/>
          <w:highlight w:val="none"/>
        </w:rPr>
        <w:t>）。</w:t>
      </w:r>
    </w:p>
    <w:p w14:paraId="4D81F4F2">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8</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被</w:t>
      </w:r>
      <w:r>
        <w:rPr>
          <w:rFonts w:hint="eastAsia" w:ascii="宋体" w:hAnsi="宋体" w:eastAsia="宋体" w:cs="Times New Roman"/>
          <w:color w:val="auto"/>
          <w:kern w:val="0"/>
          <w:sz w:val="24"/>
          <w:szCs w:val="24"/>
          <w:highlight w:val="none"/>
        </w:rPr>
        <w:t>信用中国网站（www.creditchina.gov.cn）、中国政府采购网（www.ccgp.gov.cn）</w:t>
      </w:r>
      <w:r>
        <w:rPr>
          <w:rFonts w:hint="eastAsia" w:ascii="宋体" w:hAnsi="宋体" w:eastAsia="宋体" w:cs="Times New Roman"/>
          <w:bCs/>
          <w:color w:val="auto"/>
          <w:kern w:val="0"/>
          <w:sz w:val="24"/>
          <w:szCs w:val="21"/>
          <w:highlight w:val="none"/>
        </w:rPr>
        <w:t>列入失信被执行人或重大税收违法案件当事人名单或政府采购严重失信行为记录名单。或查询信用中国</w:t>
      </w:r>
      <w:r>
        <w:rPr>
          <w:rFonts w:hint="eastAsia" w:ascii="宋体" w:hAnsi="宋体" w:eastAsia="宋体" w:cs="Times New Roman"/>
          <w:bCs/>
          <w:color w:val="auto"/>
          <w:kern w:val="0"/>
          <w:sz w:val="24"/>
          <w:szCs w:val="21"/>
          <w:highlight w:val="none"/>
          <w:lang w:eastAsia="zh-CN"/>
        </w:rPr>
        <w:t>、</w:t>
      </w:r>
      <w:r>
        <w:rPr>
          <w:rFonts w:hint="eastAsia" w:ascii="宋体" w:hAnsi="宋体" w:eastAsia="宋体" w:cs="Times New Roman"/>
          <w:color w:val="auto"/>
          <w:kern w:val="0"/>
          <w:sz w:val="24"/>
          <w:szCs w:val="24"/>
          <w:highlight w:val="none"/>
        </w:rPr>
        <w:t>中国政府采购网</w:t>
      </w:r>
      <w:r>
        <w:rPr>
          <w:rFonts w:hint="eastAsia" w:ascii="宋体" w:hAnsi="宋体" w:eastAsia="宋体" w:cs="Times New Roman"/>
          <w:bCs/>
          <w:color w:val="auto"/>
          <w:kern w:val="0"/>
          <w:sz w:val="24"/>
          <w:szCs w:val="21"/>
          <w:highlight w:val="none"/>
        </w:rPr>
        <w:t>网站后发现</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存在其他不符合《中华人民共和国政府采购法》第二十二条规定条件的信用记录。</w:t>
      </w:r>
    </w:p>
    <w:p w14:paraId="503F1833">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9</w:t>
      </w:r>
      <w:r>
        <w:rPr>
          <w:rFonts w:hint="eastAsia" w:ascii="宋体" w:hAnsi="宋体" w:eastAsia="宋体" w:cs="Times New Roman"/>
          <w:bCs/>
          <w:color w:val="auto"/>
          <w:kern w:val="0"/>
          <w:sz w:val="24"/>
          <w:szCs w:val="21"/>
          <w:highlight w:val="none"/>
        </w:rPr>
        <w:t>投标文件含有采购人不能接受的附加条件的。</w:t>
      </w:r>
    </w:p>
    <w:p w14:paraId="72D0F0E3">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w:t>
      </w:r>
      <w:r>
        <w:rPr>
          <w:rFonts w:hint="default" w:ascii="宋体" w:hAnsi="宋体" w:eastAsia="宋体" w:cs="Times New Roman"/>
          <w:bCs/>
          <w:color w:val="auto"/>
          <w:kern w:val="0"/>
          <w:sz w:val="24"/>
          <w:szCs w:val="21"/>
          <w:highlight w:val="none"/>
        </w:rPr>
        <w:t>10</w:t>
      </w:r>
      <w:r>
        <w:rPr>
          <w:rFonts w:hint="eastAsia" w:ascii="宋体" w:hAnsi="宋体" w:eastAsia="宋体" w:cs="Times New Roman"/>
          <w:bCs/>
          <w:color w:val="auto"/>
          <w:kern w:val="0"/>
          <w:sz w:val="24"/>
          <w:szCs w:val="21"/>
          <w:highlight w:val="none"/>
        </w:rPr>
        <w:t>评标委员会认为</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的报价明显低于其他通过符合性审查</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的报价，有可能影响产品质量或者不能诚信履约的，将通过</w:t>
      </w:r>
      <w:r>
        <w:rPr>
          <w:rFonts w:hint="eastAsia" w:ascii="宋体" w:hAnsi="宋体" w:eastAsia="宋体" w:cs="Times New Roman"/>
          <w:color w:val="auto"/>
          <w:kern w:val="0"/>
          <w:sz w:val="24"/>
          <w:szCs w:val="24"/>
          <w:highlight w:val="none"/>
        </w:rPr>
        <w:t>苏采云系统</w:t>
      </w:r>
      <w:r>
        <w:rPr>
          <w:rFonts w:hint="eastAsia" w:ascii="宋体" w:hAnsi="宋体" w:eastAsia="宋体" w:cs="Times New Roman"/>
          <w:bCs/>
          <w:color w:val="auto"/>
          <w:kern w:val="0"/>
          <w:sz w:val="24"/>
          <w:szCs w:val="21"/>
          <w:highlight w:val="none"/>
        </w:rPr>
        <w:t>要求其在</w:t>
      </w:r>
      <w:r>
        <w:rPr>
          <w:rFonts w:hint="eastAsia" w:ascii="宋体" w:hAnsi="宋体" w:eastAsia="宋体" w:cs="Times New Roman"/>
          <w:bCs/>
          <w:color w:val="auto"/>
          <w:kern w:val="0"/>
          <w:sz w:val="24"/>
          <w:szCs w:val="21"/>
          <w:highlight w:val="none"/>
          <w:lang w:val="en-US" w:eastAsia="zh-CN"/>
        </w:rPr>
        <w:t>20分钟</w:t>
      </w:r>
      <w:r>
        <w:rPr>
          <w:rFonts w:hint="eastAsia" w:ascii="宋体" w:hAnsi="宋体" w:eastAsia="宋体" w:cs="Times New Roman"/>
          <w:bCs/>
          <w:color w:val="auto"/>
          <w:kern w:val="0"/>
          <w:sz w:val="24"/>
          <w:szCs w:val="21"/>
          <w:highlight w:val="none"/>
        </w:rPr>
        <w:t>内提供说明，</w:t>
      </w:r>
      <w:r>
        <w:rPr>
          <w:rFonts w:hint="eastAsia" w:ascii="宋体" w:hAnsi="宋体" w:eastAsia="宋体" w:cs="Times New Roman"/>
          <w:bCs/>
          <w:color w:val="auto"/>
          <w:kern w:val="0"/>
          <w:sz w:val="24"/>
          <w:szCs w:val="21"/>
          <w:highlight w:val="none"/>
          <w:lang w:eastAsia="zh-CN"/>
        </w:rPr>
        <w:t>且</w:t>
      </w:r>
      <w:r>
        <w:rPr>
          <w:rFonts w:hint="eastAsia" w:ascii="宋体" w:hAnsi="宋体" w:eastAsia="宋体" w:cs="Times New Roman"/>
          <w:bCs/>
          <w:color w:val="auto"/>
          <w:kern w:val="0"/>
          <w:sz w:val="24"/>
          <w:szCs w:val="21"/>
          <w:highlight w:val="none"/>
        </w:rPr>
        <w:t>提交相关证明材料；</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不能证明其报价合理性的，评标委员会应当将其作为无效投标处理。</w:t>
      </w:r>
    </w:p>
    <w:p w14:paraId="0DDFB5C6">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.1.1</w:t>
      </w:r>
      <w:r>
        <w:rPr>
          <w:rFonts w:hint="default" w:ascii="宋体" w:hAnsi="宋体" w:eastAsia="宋体" w:cs="Times New Roman"/>
          <w:bCs/>
          <w:color w:val="auto"/>
          <w:kern w:val="0"/>
          <w:sz w:val="24"/>
          <w:szCs w:val="21"/>
          <w:highlight w:val="none"/>
        </w:rPr>
        <w:t>1</w:t>
      </w:r>
      <w:r>
        <w:rPr>
          <w:rFonts w:hint="eastAsia" w:ascii="宋体" w:hAnsi="宋体" w:eastAsia="宋体" w:cs="Times New Roman"/>
          <w:bCs/>
          <w:color w:val="auto"/>
          <w:kern w:val="0"/>
          <w:sz w:val="24"/>
          <w:szCs w:val="21"/>
          <w:highlight w:val="none"/>
        </w:rPr>
        <w:t>本项目采购产品被财政部、国家发改委、生态环境部等列入“节能产品品目清单”、“环境标志产品品目清单”强制采购范围，而</w:t>
      </w:r>
      <w:r>
        <w:rPr>
          <w:rFonts w:hint="eastAsia" w:ascii="宋体" w:hAnsi="宋体" w:eastAsia="宋体" w:cs="Times New Roman"/>
          <w:bCs/>
          <w:color w:val="auto"/>
          <w:kern w:val="0"/>
          <w:sz w:val="24"/>
          <w:szCs w:val="21"/>
          <w:highlight w:val="none"/>
          <w:lang w:eastAsia="zh-CN"/>
        </w:rPr>
        <w:t>投标人</w:t>
      </w:r>
      <w:r>
        <w:rPr>
          <w:rFonts w:hint="eastAsia" w:ascii="宋体" w:hAnsi="宋体" w:eastAsia="宋体" w:cs="Times New Roman"/>
          <w:bCs/>
          <w:color w:val="auto"/>
          <w:kern w:val="0"/>
          <w:sz w:val="24"/>
          <w:szCs w:val="21"/>
          <w:highlight w:val="none"/>
        </w:rPr>
        <w:t>所投标产品不在强制采购范围内的。（投标产品如属于政府强制采购节能产品品目清单范围内，投标文件中必须提供国家确定的认证机构出具的、处于有效期之内的节能产品认证证书）</w:t>
      </w:r>
    </w:p>
    <w:p w14:paraId="1557DC58">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.1.1</w:t>
      </w:r>
      <w:r>
        <w:rPr>
          <w:rFonts w:hint="default" w:ascii="宋体" w:hAnsi="宋体" w:eastAsia="宋体" w:cs="Times New Roman"/>
          <w:bCs/>
          <w:color w:val="auto"/>
          <w:kern w:val="0"/>
          <w:sz w:val="24"/>
          <w:szCs w:val="21"/>
          <w:highlight w:val="none"/>
        </w:rPr>
        <w:t>2</w:t>
      </w:r>
      <w:r>
        <w:rPr>
          <w:rFonts w:hint="eastAsia" w:ascii="宋体" w:hAnsi="宋体" w:eastAsia="宋体" w:cs="Times New Roman"/>
          <w:bCs/>
          <w:color w:val="auto"/>
          <w:kern w:val="0"/>
          <w:sz w:val="24"/>
          <w:szCs w:val="21"/>
          <w:highlight w:val="none"/>
        </w:rPr>
        <w:t>投标文件未按照</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要求加盖CA电子公章的。</w:t>
      </w:r>
    </w:p>
    <w:p w14:paraId="70A67C55">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7</w:t>
      </w:r>
      <w:r>
        <w:rPr>
          <w:rFonts w:hint="eastAsia" w:ascii="宋体" w:hAnsi="宋体" w:eastAsia="宋体" w:cs="Times New Roman"/>
          <w:bCs/>
          <w:color w:val="auto"/>
          <w:kern w:val="0"/>
          <w:sz w:val="24"/>
          <w:szCs w:val="21"/>
          <w:highlight w:val="none"/>
        </w:rPr>
        <w:t>.1.1</w:t>
      </w:r>
      <w:r>
        <w:rPr>
          <w:rFonts w:hint="default" w:ascii="宋体" w:hAnsi="宋体" w:eastAsia="宋体" w:cs="Times New Roman"/>
          <w:bCs/>
          <w:color w:val="auto"/>
          <w:kern w:val="0"/>
          <w:sz w:val="24"/>
          <w:szCs w:val="21"/>
          <w:highlight w:val="none"/>
        </w:rPr>
        <w:t>3</w:t>
      </w:r>
      <w:r>
        <w:rPr>
          <w:rFonts w:hint="eastAsia" w:ascii="宋体" w:hAnsi="宋体" w:eastAsia="宋体" w:cs="Times New Roman"/>
          <w:bCs/>
          <w:color w:val="auto"/>
          <w:kern w:val="0"/>
          <w:sz w:val="24"/>
          <w:szCs w:val="21"/>
          <w:highlight w:val="none"/>
        </w:rPr>
        <w:t>其他法律、法规及本</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规定的属无效投标的情形。</w:t>
      </w:r>
    </w:p>
    <w:p w14:paraId="6EC2DB35">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27.2有下列情形之一的，视为投标人串通投标，投标无效：</w:t>
      </w:r>
    </w:p>
    <w:p w14:paraId="74B1D61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（1）不同投标人的投标文件由同一单位或者个人编制。</w:t>
      </w:r>
    </w:p>
    <w:p w14:paraId="45CF756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（2）不同投标人委托同一单位或者个人办理投标事宜。</w:t>
      </w:r>
    </w:p>
    <w:p w14:paraId="0A6BD76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（3）不同投标人的投标文件载明的项目管理成员或者联系人员为同一人。</w:t>
      </w:r>
    </w:p>
    <w:p w14:paraId="5B462CC0">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（4）不同投标人的投标文件异常一致或者投标报价呈规律性差异。</w:t>
      </w:r>
    </w:p>
    <w:p w14:paraId="3E029538">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（5）不同投标人的投标文件相互混装。</w:t>
      </w:r>
    </w:p>
    <w:p w14:paraId="401A9E55">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27.3废标条款：</w:t>
      </w:r>
    </w:p>
    <w:p w14:paraId="2E35901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（1）因“苏采云”系统故障原因造成开标不成功的。</w:t>
      </w:r>
    </w:p>
    <w:p w14:paraId="52B66F71">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（2）评委会认定招标文件存在歧义、重大缺陷导致评标工作无法进行，或者招标文件内容违反国家有关强制性规定的。</w:t>
      </w:r>
    </w:p>
    <w:p w14:paraId="5DC2E55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（3）符合专业条件的供应商或者对招标文件作实质响应的供应商不足三家的。</w:t>
      </w:r>
    </w:p>
    <w:p w14:paraId="3D51617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（4）出现影响采购公正的违法、违规行为的。</w:t>
      </w:r>
    </w:p>
    <w:p w14:paraId="576D4B51">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（5）因重大变故，采购任务取消的。</w:t>
      </w:r>
    </w:p>
    <w:p w14:paraId="276DF74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27.4出现投标截止时间结束后参加投标的供应商或者在评标期间对招标文件做出实质响应的供应商不足三家情况的，按照政府采购有关规定执行。</w:t>
      </w:r>
    </w:p>
    <w:p w14:paraId="26061CD0">
      <w:pPr>
        <w:keepNext/>
        <w:keepLines/>
        <w:spacing w:before="145" w:after="145" w:line="360" w:lineRule="auto"/>
        <w:ind w:firstLine="482"/>
        <w:outlineLvl w:val="2"/>
        <w:rPr>
          <w:rFonts w:hint="eastAsia" w:ascii="Times New Roman" w:hAnsi="Times New Roman" w:eastAsia="宋体" w:cs="Times New Roman"/>
          <w:b/>
          <w:bCs/>
          <w:color w:val="auto"/>
          <w:sz w:val="32"/>
          <w:szCs w:val="32"/>
          <w:highlight w:val="none"/>
        </w:rPr>
      </w:pPr>
    </w:p>
    <w:p w14:paraId="36521AE0">
      <w:pPr>
        <w:keepNext/>
        <w:keepLines/>
        <w:spacing w:before="145" w:after="145" w:line="360" w:lineRule="auto"/>
        <w:ind w:firstLine="482"/>
        <w:outlineLvl w:val="2"/>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六、</w:t>
      </w:r>
      <w:bookmarkEnd w:id="116"/>
      <w:bookmarkEnd w:id="117"/>
      <w:bookmarkEnd w:id="118"/>
      <w:r>
        <w:rPr>
          <w:rFonts w:hint="eastAsia" w:ascii="Times New Roman" w:hAnsi="Times New Roman" w:eastAsia="宋体" w:cs="Times New Roman"/>
          <w:b/>
          <w:bCs/>
          <w:color w:val="auto"/>
          <w:sz w:val="32"/>
          <w:szCs w:val="32"/>
          <w:highlight w:val="none"/>
        </w:rPr>
        <w:t>定标</w:t>
      </w:r>
      <w:bookmarkEnd w:id="119"/>
    </w:p>
    <w:p w14:paraId="3DCA3026">
      <w:pPr>
        <w:keepNext/>
        <w:keepLines/>
        <w:pageBreakBefore w:val="0"/>
        <w:spacing w:line="500" w:lineRule="exact"/>
        <w:ind w:firstLine="600"/>
        <w:outlineLvl w:val="3"/>
        <w:rPr>
          <w:rFonts w:hint="eastAsia" w:ascii="黑体" w:hAnsi="宋体" w:eastAsia="黑体" w:cs="Times New Roman"/>
          <w:bCs/>
          <w:color w:val="auto"/>
          <w:kern w:val="0"/>
          <w:sz w:val="30"/>
          <w:szCs w:val="30"/>
          <w:highlight w:val="none"/>
        </w:rPr>
      </w:pPr>
      <w:bookmarkStart w:id="120" w:name="_Toc20823310"/>
      <w:bookmarkStart w:id="121" w:name="_Toc16938554"/>
      <w:bookmarkStart w:id="122" w:name="_Toc513029238"/>
      <w:r>
        <w:rPr>
          <w:rFonts w:hint="eastAsia" w:ascii="黑体" w:hAnsi="宋体" w:eastAsia="黑体" w:cs="Times New Roman"/>
          <w:bCs/>
          <w:color w:val="auto"/>
          <w:kern w:val="0"/>
          <w:sz w:val="30"/>
          <w:szCs w:val="30"/>
          <w:highlight w:val="none"/>
        </w:rPr>
        <w:t>2</w:t>
      </w:r>
      <w:r>
        <w:rPr>
          <w:rFonts w:hint="default" w:ascii="黑体" w:hAnsi="宋体" w:eastAsia="黑体" w:cs="Times New Roman"/>
          <w:bCs/>
          <w:color w:val="auto"/>
          <w:kern w:val="0"/>
          <w:sz w:val="30"/>
          <w:szCs w:val="30"/>
          <w:highlight w:val="none"/>
        </w:rPr>
        <w:t>8</w:t>
      </w:r>
      <w:r>
        <w:rPr>
          <w:rFonts w:hint="eastAsia" w:ascii="黑体" w:hAnsi="宋体" w:eastAsia="黑体" w:cs="Times New Roman"/>
          <w:bCs/>
          <w:color w:val="auto"/>
          <w:kern w:val="0"/>
          <w:sz w:val="30"/>
          <w:szCs w:val="30"/>
          <w:highlight w:val="none"/>
        </w:rPr>
        <w:t>、确定中标单位</w:t>
      </w:r>
    </w:p>
    <w:p w14:paraId="7D90A3EB">
      <w:pPr>
        <w:pageBreakBefore w:val="0"/>
        <w:spacing w:line="500" w:lineRule="exact"/>
        <w:ind w:firstLine="480"/>
        <w:rPr>
          <w:rFonts w:hint="eastAsia" w:ascii="宋体" w:hAnsi="宋体" w:eastAsia="宋体" w:cs="Times New Roman"/>
          <w:bCs/>
          <w:color w:val="auto"/>
          <w:kern w:val="0"/>
          <w:sz w:val="24"/>
          <w:szCs w:val="21"/>
          <w:highlight w:val="none"/>
          <w:lang w:eastAsia="zh-CN"/>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8</w:t>
      </w:r>
      <w:r>
        <w:rPr>
          <w:rFonts w:hint="eastAsia" w:ascii="宋体" w:hAnsi="宋体" w:eastAsia="宋体" w:cs="Times New Roman"/>
          <w:bCs/>
          <w:color w:val="auto"/>
          <w:kern w:val="0"/>
          <w:sz w:val="24"/>
          <w:szCs w:val="21"/>
          <w:highlight w:val="none"/>
        </w:rPr>
        <w:t>.1中标候选人的选取原则和数量见</w:t>
      </w:r>
      <w:r>
        <w:rPr>
          <w:rFonts w:hint="eastAsia" w:ascii="宋体" w:hAnsi="宋体" w:eastAsia="宋体" w:cs="Times New Roman"/>
          <w:bCs/>
          <w:color w:val="auto"/>
          <w:kern w:val="0"/>
          <w:sz w:val="24"/>
          <w:szCs w:val="21"/>
          <w:highlight w:val="none"/>
          <w:lang w:eastAsia="zh-CN"/>
        </w:rPr>
        <w:t>招标文件</w:t>
      </w:r>
      <w:r>
        <w:rPr>
          <w:rFonts w:hint="eastAsia" w:ascii="宋体" w:hAnsi="宋体" w:eastAsia="宋体" w:cs="Times New Roman"/>
          <w:bCs/>
          <w:color w:val="auto"/>
          <w:kern w:val="0"/>
          <w:sz w:val="24"/>
          <w:szCs w:val="21"/>
          <w:highlight w:val="none"/>
        </w:rPr>
        <w:t>第五章规定。</w:t>
      </w:r>
    </w:p>
    <w:p w14:paraId="003535FE">
      <w:pPr>
        <w:pageBreakBefore w:val="0"/>
        <w:spacing w:line="500" w:lineRule="exact"/>
        <w:ind w:firstLine="480"/>
        <w:rPr>
          <w:rFonts w:hint="eastAsia"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2</w:t>
      </w:r>
      <w:r>
        <w:rPr>
          <w:rFonts w:hint="default" w:ascii="宋体" w:hAnsi="宋体" w:eastAsia="宋体" w:cs="Times New Roman"/>
          <w:bCs/>
          <w:color w:val="auto"/>
          <w:kern w:val="0"/>
          <w:sz w:val="24"/>
          <w:szCs w:val="21"/>
          <w:highlight w:val="none"/>
        </w:rPr>
        <w:t>8</w:t>
      </w:r>
      <w:r>
        <w:rPr>
          <w:rFonts w:hint="eastAsia" w:ascii="宋体" w:hAnsi="宋体" w:eastAsia="宋体" w:cs="Times New Roman"/>
          <w:bCs/>
          <w:color w:val="auto"/>
          <w:kern w:val="0"/>
          <w:sz w:val="24"/>
          <w:szCs w:val="21"/>
          <w:highlight w:val="none"/>
        </w:rPr>
        <w:t>.2采购人应根据评委会推荐的中标候选人确定中标人。</w:t>
      </w:r>
    </w:p>
    <w:p w14:paraId="725F22A0">
      <w:pPr>
        <w:pageBreakBefore w:val="0"/>
        <w:spacing w:line="500" w:lineRule="exact"/>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bCs/>
          <w:color w:val="auto"/>
          <w:kern w:val="0"/>
          <w:sz w:val="24"/>
          <w:szCs w:val="24"/>
          <w:highlight w:val="none"/>
        </w:rPr>
        <w:t>2</w:t>
      </w:r>
      <w:r>
        <w:rPr>
          <w:rFonts w:hint="default" w:ascii="宋体" w:hAnsi="宋体" w:eastAsia="宋体" w:cs="Times New Roman"/>
          <w:bCs/>
          <w:color w:val="auto"/>
          <w:kern w:val="0"/>
          <w:sz w:val="24"/>
          <w:szCs w:val="24"/>
          <w:highlight w:val="none"/>
        </w:rPr>
        <w:t>8</w:t>
      </w:r>
      <w:r>
        <w:rPr>
          <w:rFonts w:hint="eastAsia" w:ascii="宋体" w:hAnsi="宋体" w:eastAsia="宋体" w:cs="Times New Roman"/>
          <w:bCs/>
          <w:color w:val="auto"/>
          <w:kern w:val="0"/>
          <w:sz w:val="24"/>
          <w:szCs w:val="24"/>
          <w:highlight w:val="none"/>
        </w:rPr>
        <w:t>.3</w:t>
      </w:r>
      <w:r>
        <w:rPr>
          <w:rFonts w:hint="eastAsia" w:ascii="宋体" w:hAnsi="宋体" w:eastAsia="宋体" w:cs="Times New Roman"/>
          <w:color w:val="auto"/>
          <w:kern w:val="0"/>
          <w:sz w:val="24"/>
          <w:szCs w:val="24"/>
          <w:highlight w:val="none"/>
        </w:rPr>
        <w:t>采购中心将在“江苏政府采购网”发布中标公告，公告期限为1个工作日。</w:t>
      </w:r>
    </w:p>
    <w:p w14:paraId="23168B20">
      <w:pPr>
        <w:pageBreakBefore w:val="0"/>
        <w:spacing w:line="500" w:lineRule="exact"/>
        <w:ind w:firstLine="480"/>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hint="default" w:ascii="宋体" w:hAnsi="宋体" w:eastAsia="宋体" w:cs="Times New Roman"/>
          <w:color w:val="auto"/>
          <w:kern w:val="0"/>
          <w:sz w:val="24"/>
          <w:szCs w:val="24"/>
          <w:highlight w:val="none"/>
        </w:rPr>
        <w:t>8</w:t>
      </w:r>
      <w:r>
        <w:rPr>
          <w:rFonts w:hint="eastAsia" w:ascii="宋体" w:hAnsi="宋体" w:eastAsia="宋体" w:cs="Times New Roman"/>
          <w:color w:val="auto"/>
          <w:kern w:val="0"/>
          <w:sz w:val="24"/>
          <w:szCs w:val="24"/>
          <w:highlight w:val="none"/>
        </w:rPr>
        <w:t>.4若有充分证据证明，中标人出现下列情况之一的，一经查实，将被取消中标资格：</w:t>
      </w:r>
    </w:p>
    <w:p w14:paraId="569E55BF">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（1）提供虚假材料谋取中标、</w:t>
      </w:r>
      <w:r>
        <w:rPr>
          <w:rFonts w:hint="eastAsia" w:ascii="Calibri" w:hAnsi="Calibri" w:eastAsia="宋体" w:cs="Times New Roman"/>
          <w:color w:val="auto"/>
          <w:kern w:val="0"/>
          <w:sz w:val="24"/>
          <w:szCs w:val="24"/>
          <w:highlight w:val="none"/>
          <w:lang w:eastAsia="zh-CN"/>
        </w:rPr>
        <w:t>中标</w:t>
      </w:r>
      <w:r>
        <w:rPr>
          <w:rFonts w:hint="eastAsia" w:ascii="Calibri" w:hAnsi="Calibri" w:eastAsia="宋体" w:cs="Times New Roman"/>
          <w:color w:val="auto"/>
          <w:kern w:val="0"/>
          <w:sz w:val="24"/>
          <w:szCs w:val="24"/>
          <w:highlight w:val="none"/>
        </w:rPr>
        <w:t>的。</w:t>
      </w:r>
    </w:p>
    <w:p w14:paraId="6A4C892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（2）采取不正当手段诋毁、排挤其他供应商的。</w:t>
      </w:r>
    </w:p>
    <w:p w14:paraId="7A1D4BA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（3）与采购人、其他供应商或者</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恶意串通的。</w:t>
      </w:r>
    </w:p>
    <w:p w14:paraId="59BA752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（4）向采购人、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行贿或者提供其他不正当利益的。</w:t>
      </w:r>
    </w:p>
    <w:p w14:paraId="232DD08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（5）在招标采购过程中与采购人进行协商谈判的。</w:t>
      </w:r>
    </w:p>
    <w:p w14:paraId="29399E68">
      <w:pPr>
        <w:spacing w:line="500" w:lineRule="exact"/>
        <w:ind w:firstLine="480"/>
        <w:jc w:val="left"/>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（6）属于本招标文件规定的无效情形，但在评标过程中又未被评委会发现的。</w:t>
      </w:r>
    </w:p>
    <w:p w14:paraId="67119CFD">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29、中标通知书</w:t>
      </w:r>
    </w:p>
    <w:p w14:paraId="4A5C7051">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29.1中标结果确定后，</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7F6AACC5">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29.2中标通知书将作为政府采购合同的一个组成部分。对采购人和中标人均具有法律效力。中标通知书发出后，采购人改变中标结果的，或者中标人放弃中标项目的，应当依法承担法律责任。</w:t>
      </w:r>
    </w:p>
    <w:p w14:paraId="3201481D">
      <w:pPr>
        <w:pageBreakBefore w:val="0"/>
        <w:widowControl w:val="0"/>
        <w:pBdr>
          <w:top w:val="none" w:color="000000" w:sz="0" w:space="0"/>
          <w:left w:val="none" w:color="000000" w:sz="0" w:space="0"/>
          <w:bottom w:val="none" w:color="000000" w:sz="0" w:space="0"/>
          <w:right w:val="none" w:color="000000" w:sz="0" w:space="0"/>
        </w:pBdr>
        <w:spacing w:line="500" w:lineRule="exact"/>
        <w:ind w:firstLine="480"/>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29.3中标人应在中标后七个工作日内，向</w:t>
      </w:r>
      <w:r>
        <w:rPr>
          <w:rFonts w:hint="eastAsia" w:ascii="Calibri" w:hAnsi="Calibri" w:eastAsia="宋体" w:cs="Times New Roman"/>
          <w:color w:val="auto"/>
          <w:kern w:val="0"/>
          <w:sz w:val="24"/>
          <w:szCs w:val="24"/>
          <w:highlight w:val="none"/>
          <w:lang w:val="en-US" w:eastAsia="zh-CN"/>
        </w:rPr>
        <w:t>代理公司</w:t>
      </w:r>
      <w:r>
        <w:rPr>
          <w:rFonts w:hint="eastAsia" w:ascii="Calibri" w:hAnsi="Calibri" w:eastAsia="宋体" w:cs="Times New Roman"/>
          <w:color w:val="auto"/>
          <w:kern w:val="0"/>
          <w:sz w:val="24"/>
          <w:szCs w:val="24"/>
          <w:highlight w:val="none"/>
        </w:rPr>
        <w:t>提供</w:t>
      </w:r>
      <w:r>
        <w:rPr>
          <w:rFonts w:hint="eastAsia" w:ascii="宋体" w:hAnsi="宋体" w:eastAsia="宋体" w:cs="宋体"/>
          <w:color w:val="auto"/>
          <w:kern w:val="0"/>
          <w:sz w:val="24"/>
          <w:szCs w:val="24"/>
          <w:highlight w:val="none"/>
        </w:rPr>
        <w:t>投标文件</w:t>
      </w:r>
      <w:r>
        <w:rPr>
          <w:rFonts w:hint="default" w:ascii="宋体" w:hAnsi="宋体" w:eastAsia="宋体" w:cs="宋体"/>
          <w:color w:val="auto"/>
          <w:kern w:val="0"/>
          <w:sz w:val="24"/>
          <w:szCs w:val="24"/>
          <w:highlight w:val="none"/>
        </w:rPr>
        <w:t>正本一份，副本</w:t>
      </w:r>
      <w:r>
        <w:rPr>
          <w:rFonts w:hint="eastAsia" w:ascii="宋体" w:hAnsi="宋体" w:eastAsia="宋体" w:cs="宋体"/>
          <w:color w:val="auto"/>
          <w:kern w:val="0"/>
          <w:sz w:val="24"/>
          <w:szCs w:val="24"/>
          <w:highlight w:val="none"/>
          <w:lang w:val="en-US" w:eastAsia="zh-CN"/>
        </w:rPr>
        <w:t>叁</w:t>
      </w:r>
      <w:r>
        <w:rPr>
          <w:rFonts w:hint="default" w:ascii="宋体" w:hAnsi="宋体" w:eastAsia="宋体" w:cs="宋体"/>
          <w:color w:val="auto"/>
          <w:kern w:val="0"/>
          <w:sz w:val="24"/>
          <w:szCs w:val="24"/>
          <w:highlight w:val="none"/>
        </w:rPr>
        <w:t>份，</w:t>
      </w:r>
      <w:r>
        <w:rPr>
          <w:rFonts w:hint="eastAsia" w:ascii="宋体" w:hAnsi="宋体" w:eastAsia="宋体" w:cs="宋体"/>
          <w:color w:val="auto"/>
          <w:kern w:val="0"/>
          <w:sz w:val="24"/>
          <w:szCs w:val="24"/>
          <w:highlight w:val="none"/>
        </w:rPr>
        <w:t>电子标书一份（U盘形式、不加密无毒）</w:t>
      </w:r>
      <w:r>
        <w:rPr>
          <w:rFonts w:hint="default" w:ascii="宋体" w:hAnsi="宋体" w:eastAsia="宋体" w:cs="宋体"/>
          <w:color w:val="auto"/>
          <w:kern w:val="0"/>
          <w:sz w:val="24"/>
          <w:szCs w:val="24"/>
          <w:highlight w:val="none"/>
        </w:rPr>
        <w:t>。正本和副本的封面上应清楚地标记“正本”或“副本”的字样</w:t>
      </w:r>
      <w:r>
        <w:rPr>
          <w:rFonts w:hint="eastAsia" w:ascii="宋体" w:hAnsi="宋体" w:eastAsia="宋体" w:cs="宋体"/>
          <w:color w:val="auto"/>
          <w:kern w:val="0"/>
          <w:sz w:val="24"/>
          <w:szCs w:val="24"/>
          <w:highlight w:val="none"/>
          <w:lang w:eastAsia="zh-CN"/>
        </w:rPr>
        <w:t>（带页码）</w:t>
      </w:r>
      <w:r>
        <w:rPr>
          <w:rFonts w:hint="eastAsia" w:ascii="Calibri" w:hAnsi="Calibri" w:eastAsia="宋体" w:cs="Times New Roman"/>
          <w:color w:val="auto"/>
          <w:kern w:val="0"/>
          <w:sz w:val="24"/>
          <w:szCs w:val="24"/>
          <w:highlight w:val="none"/>
        </w:rPr>
        <w:t>，封面、骑缝需加盖公章。</w:t>
      </w:r>
    </w:p>
    <w:p w14:paraId="0B9BEDBB">
      <w:pPr>
        <w:keepNext/>
        <w:keepLines/>
        <w:widowControl w:val="0"/>
        <w:spacing w:before="0" w:after="0" w:line="360" w:lineRule="auto"/>
        <w:jc w:val="both"/>
        <w:outlineLvl w:val="1"/>
        <w:rPr>
          <w:rFonts w:hint="default" w:ascii="黑体" w:hAnsi="黑体" w:eastAsia="黑体" w:cs="Times New Roman"/>
          <w:b w:val="0"/>
          <w:bCs/>
          <w:color w:val="auto"/>
          <w:kern w:val="0"/>
          <w:sz w:val="32"/>
          <w:szCs w:val="32"/>
          <w:highlight w:val="none"/>
          <w:lang w:val="en-US" w:eastAsia="zh-CN" w:bidi="ar-SA"/>
        </w:rPr>
      </w:pPr>
      <w:r>
        <w:rPr>
          <w:rFonts w:hint="eastAsia" w:ascii="黑体" w:hAnsi="黑体" w:eastAsia="黑体" w:cs="Times New Roman"/>
          <w:b w:val="0"/>
          <w:bCs/>
          <w:color w:val="auto"/>
          <w:kern w:val="0"/>
          <w:sz w:val="32"/>
          <w:szCs w:val="32"/>
          <w:highlight w:val="none"/>
          <w:lang w:val="en-US" w:eastAsia="zh-CN" w:bidi="ar-SA"/>
        </w:rPr>
        <w:t>七、授予合同</w:t>
      </w:r>
    </w:p>
    <w:p w14:paraId="45547903">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30、履约保证金</w:t>
      </w:r>
    </w:p>
    <w:p w14:paraId="537AC71D">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EA306C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30.2中标人违约的，采购人将按照合同约定扣除其全部或部分履约保证金。如中标人违约给采购人造成的损失超过履约保证金的，应当依法赔偿超过部分的损失。</w:t>
      </w:r>
    </w:p>
    <w:p w14:paraId="0D16F39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30.3履约保证金自合同生效之日起至合同约定的中标人主要义务履行完毕止，采购人应当按合同约定及时退还履约保证金。</w:t>
      </w:r>
    </w:p>
    <w:p w14:paraId="01B44B14">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30.4逾期退还履约保证金的采购人承担违约责任，按照中国人民银行同期贷款基准利率向中标人支付超期资金占用费。</w:t>
      </w:r>
    </w:p>
    <w:p w14:paraId="29FC802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30.5本项目</w:t>
      </w:r>
      <w:r>
        <w:rPr>
          <w:rFonts w:hint="eastAsia" w:ascii="Calibri" w:hAnsi="Calibri" w:eastAsia="宋体" w:cs="Times New Roman"/>
          <w:color w:val="auto"/>
          <w:kern w:val="0"/>
          <w:sz w:val="24"/>
          <w:szCs w:val="24"/>
          <w:highlight w:val="none"/>
          <w:lang w:val="en-US" w:eastAsia="zh-CN"/>
        </w:rPr>
        <w:t>不收取</w:t>
      </w:r>
      <w:r>
        <w:rPr>
          <w:rFonts w:hint="eastAsia" w:ascii="Calibri" w:hAnsi="Calibri" w:eastAsia="宋体" w:cs="Times New Roman"/>
          <w:color w:val="auto"/>
          <w:kern w:val="0"/>
          <w:sz w:val="24"/>
          <w:szCs w:val="24"/>
          <w:highlight w:val="none"/>
        </w:rPr>
        <w:t>履约保证金</w:t>
      </w:r>
      <w:r>
        <w:rPr>
          <w:rFonts w:hint="eastAsia" w:ascii="Calibri" w:hAnsi="Calibri" w:eastAsia="宋体" w:cs="Times New Roman"/>
          <w:color w:val="auto"/>
          <w:kern w:val="0"/>
          <w:sz w:val="24"/>
          <w:szCs w:val="24"/>
          <w:highlight w:val="none"/>
          <w:lang w:val="en-US" w:eastAsia="zh-CN"/>
        </w:rPr>
        <w:t xml:space="preserve"> </w:t>
      </w:r>
      <w:r>
        <w:rPr>
          <w:rFonts w:hint="eastAsia" w:ascii="Calibri" w:hAnsi="Calibri" w:eastAsia="宋体" w:cs="Times New Roman"/>
          <w:color w:val="auto"/>
          <w:kern w:val="0"/>
          <w:sz w:val="24"/>
          <w:szCs w:val="24"/>
          <w:highlight w:val="none"/>
        </w:rPr>
        <w:t>。</w:t>
      </w:r>
    </w:p>
    <w:p w14:paraId="0C992346">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31、签订合同</w:t>
      </w:r>
    </w:p>
    <w:p w14:paraId="47555F2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31.1中标人应当在中标通知书发出之日起三十日内，按照招标文件和中标人投标文件的规定，与采购人签订政府采购合同。</w:t>
      </w:r>
    </w:p>
    <w:p w14:paraId="35E7552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31.2招标文件、中标人的投标文件及招标过程中有关澄清、承诺等文件均应作为合同附件。</w:t>
      </w:r>
    </w:p>
    <w:p w14:paraId="042F1C21">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31.3签订合同后，中标人不得将合同标的转包。未经采购人同意，中标人也不得采用分包的形式履行合同，否则采购人有权终止合同。转包或分包造成采购人损失的，中标人应承担相应赔偿责任。</w:t>
      </w:r>
    </w:p>
    <w:p w14:paraId="7F390654">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32、合同标的的追加</w:t>
      </w:r>
    </w:p>
    <w:p w14:paraId="6CFAEE1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5AC6CC38">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33、政府采购履约资金扶持政策</w:t>
      </w:r>
    </w:p>
    <w:p w14:paraId="76FFD378">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33.1中标人可凭政府采购合同办理融资贷款，详情请见江苏政府采购网“政采贷”专栏。</w:t>
      </w:r>
    </w:p>
    <w:p w14:paraId="0EEE99FB">
      <w:pPr>
        <w:spacing w:line="500" w:lineRule="exact"/>
        <w:ind w:firstLine="480"/>
        <w:jc w:val="left"/>
        <w:rPr>
          <w:rFonts w:hint="default" w:ascii="Calibri" w:hAnsi="Calibri" w:eastAsia="宋体" w:cs="Times New Roman"/>
          <w:color w:val="auto"/>
          <w:kern w:val="0"/>
          <w:sz w:val="24"/>
          <w:szCs w:val="24"/>
          <w:highlight w:val="none"/>
        </w:rPr>
      </w:pPr>
    </w:p>
    <w:bookmarkEnd w:id="120"/>
    <w:bookmarkEnd w:id="121"/>
    <w:bookmarkEnd w:id="122"/>
    <w:p w14:paraId="4F0CE846">
      <w:pPr>
        <w:keepNext/>
        <w:keepLines/>
        <w:widowControl w:val="0"/>
        <w:spacing w:before="0" w:after="0" w:line="360" w:lineRule="auto"/>
        <w:jc w:val="both"/>
        <w:outlineLvl w:val="1"/>
        <w:rPr>
          <w:rFonts w:hint="default" w:ascii="黑体" w:hAnsi="黑体" w:eastAsia="黑体" w:cs="Times New Roman"/>
          <w:b w:val="0"/>
          <w:bCs/>
          <w:color w:val="auto"/>
          <w:kern w:val="0"/>
          <w:sz w:val="32"/>
          <w:szCs w:val="32"/>
          <w:highlight w:val="none"/>
          <w:lang w:val="en-US" w:eastAsia="zh-CN" w:bidi="ar-SA"/>
        </w:rPr>
      </w:pPr>
      <w:bookmarkStart w:id="123" w:name="_Toc200451960"/>
      <w:r>
        <w:rPr>
          <w:rFonts w:hint="eastAsia" w:ascii="黑体" w:hAnsi="黑体" w:eastAsia="黑体" w:cs="Times New Roman"/>
          <w:b w:val="0"/>
          <w:bCs/>
          <w:color w:val="auto"/>
          <w:kern w:val="0"/>
          <w:sz w:val="32"/>
          <w:szCs w:val="32"/>
          <w:highlight w:val="none"/>
          <w:lang w:val="en-US" w:eastAsia="zh-CN" w:bidi="ar-SA"/>
        </w:rPr>
        <w:t>八、询问与质疑</w:t>
      </w:r>
    </w:p>
    <w:bookmarkEnd w:id="123"/>
    <w:p w14:paraId="6FDDA1DB">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34、询问</w:t>
      </w:r>
    </w:p>
    <w:p w14:paraId="31C0FBE0">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34.1供应商对政府采购活动事项有疑问的，可以提出询问，采购人或者</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应当在3个工作日内对投标人依法提出的询问作出答复，但答复的内容不得涉及商业秘密。供应商提出的询问超出采购人对</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委托授权范围的，</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应当告知其向采购人提出。</w:t>
      </w:r>
    </w:p>
    <w:p w14:paraId="2FD662F9">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35、质疑提出</w:t>
      </w:r>
    </w:p>
    <w:p w14:paraId="6AA5CF4B">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35.1提出质疑的供应商应当是参与所质疑项目采购活动的供应商。</w:t>
      </w:r>
    </w:p>
    <w:p w14:paraId="4FE36A1F">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提出质疑。</w:t>
      </w:r>
    </w:p>
    <w:p w14:paraId="350ED23E">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供应商应当在法定质疑期内一次性提出针对同一采购程序环节的质疑，供应商如在法定期限内对同一采购程序环节提出多次质疑的，采购人、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将只对供应商第一次质疑作出答复。</w:t>
      </w:r>
    </w:p>
    <w:p w14:paraId="147064B5">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未按照采购公告要求获取采购文件的供应商，视为未参与该项目采购活动，不具备对该采购文件提出质疑的法定权利。</w:t>
      </w:r>
    </w:p>
    <w:p w14:paraId="549E5EC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不具有法定调查、认定权限。</w:t>
      </w:r>
    </w:p>
    <w:p w14:paraId="01A88268">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35.4质疑函的接收方式为供应商书面原件提交。联系部门、联系电话和通讯地址详见招标文件第一章。质疑实行实名制，不得进行虚假、恶意质疑。</w:t>
      </w:r>
    </w:p>
    <w:p w14:paraId="70628BB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35.5质疑函应当使用范本，详见招标文件第六章。供应商提出质疑应当提交质疑函和必要的证明材料，应当包括下列内容：</w:t>
      </w:r>
    </w:p>
    <w:p w14:paraId="26370729">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（1）供应商的姓名或者名称、地址、邮编、联系人及联系电话；</w:t>
      </w:r>
    </w:p>
    <w:p w14:paraId="2EA6A76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（2）质疑项目的名称、编号；</w:t>
      </w:r>
    </w:p>
    <w:p w14:paraId="40C749D4">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（3）具体、明确的质疑事项和与质疑事项相关的请求；</w:t>
      </w:r>
    </w:p>
    <w:p w14:paraId="58F64AB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（4）事实依据；</w:t>
      </w:r>
    </w:p>
    <w:p w14:paraId="043CFBF0">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（5）必要的法律依据；</w:t>
      </w:r>
    </w:p>
    <w:p w14:paraId="1FFC1A37">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（6）提出质疑的日期；</w:t>
      </w:r>
    </w:p>
    <w:p w14:paraId="7CC8ABB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（7）必要的证明材料；</w:t>
      </w:r>
    </w:p>
    <w:p w14:paraId="4BFF4B0F">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（8）营业执照复印件及授权委托书原件、法定代表人（单位负责人）身份证复印件、委托代理人身份证复印件。</w:t>
      </w:r>
    </w:p>
    <w:p w14:paraId="3EA568B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供应商为自然人的，应当由本人签字；供应商为法人或者其他组织的，应当由法定代表人、主要负责人，或者其委托代理人签字或者盖章，并加盖单位公章。</w:t>
      </w:r>
    </w:p>
    <w:p w14:paraId="44C46504">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4"/>
          <w:szCs w:val="24"/>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36、质疑函的受理和答复</w:t>
      </w:r>
    </w:p>
    <w:p w14:paraId="43BD917B">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不负责搜集必要的证明材料等工作。</w:t>
      </w:r>
    </w:p>
    <w:p w14:paraId="1D1CE9E8">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36.2对符合法定要求的质疑，采购人、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lang w:val="en-US" w:eastAsia="zh-CN"/>
        </w:rPr>
        <w:t>将</w:t>
      </w:r>
      <w:r>
        <w:rPr>
          <w:rFonts w:hint="eastAsia" w:ascii="Calibri" w:hAnsi="Calibri" w:eastAsia="宋体" w:cs="Times New Roman"/>
          <w:color w:val="auto"/>
          <w:kern w:val="0"/>
          <w:sz w:val="24"/>
          <w:szCs w:val="24"/>
          <w:highlight w:val="none"/>
        </w:rPr>
        <w:t>接收。在处理过程中，发现需要质疑供应商进一步补充必要的证明材料的，质疑供应商应在法定的时间内提供，质疑答复时间相应顺延。质疑供应商不能按时提供必要的证明材料的，视同放弃质疑。</w:t>
      </w:r>
    </w:p>
    <w:p w14:paraId="76836D4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36.3对不符合质疑要求的，采购人、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有权要求其补充必要的证明材料，质疑供应商未在法定时间内补充必要的证明材料的，视同放弃质疑。</w:t>
      </w:r>
    </w:p>
    <w:p w14:paraId="71E52CC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36.4以下情形的质疑依法不予受理：</w:t>
      </w:r>
    </w:p>
    <w:p w14:paraId="31BDD68F">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（1）内容不符合《政府采购质疑和投诉办法》第十二条规定的质疑。</w:t>
      </w:r>
    </w:p>
    <w:p w14:paraId="12BC563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（2）超出政府采购法定期限的质疑。</w:t>
      </w:r>
    </w:p>
    <w:p w14:paraId="0410D2C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（3）以传真、电子邮件等方式递交的非原件形式的质疑。</w:t>
      </w:r>
    </w:p>
    <w:p w14:paraId="37BE0A2F">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（4）未参与采购活动或在采购活动中自身权益未受到损害的供应商提出的质疑。</w:t>
      </w:r>
    </w:p>
    <w:p w14:paraId="721A4273">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（5）供应商组成联合体，联合体中任何一方或多方未按要求签字（盖章）、加盖公章的质疑。</w:t>
      </w:r>
    </w:p>
    <w:p w14:paraId="31220A57">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36.5采购人、</w:t>
      </w:r>
      <w:r>
        <w:rPr>
          <w:rFonts w:hint="eastAsia" w:ascii="Calibri" w:hAnsi="Calibri" w:eastAsia="宋体" w:cs="Times New Roman"/>
          <w:color w:val="auto"/>
          <w:kern w:val="0"/>
          <w:sz w:val="24"/>
          <w:szCs w:val="24"/>
          <w:highlight w:val="none"/>
          <w:lang w:eastAsia="zh-CN"/>
        </w:rPr>
        <w:t>采购中心</w:t>
      </w:r>
      <w:r>
        <w:rPr>
          <w:rFonts w:hint="eastAsia" w:ascii="Calibri" w:hAnsi="Calibri" w:eastAsia="宋体" w:cs="Times New Roman"/>
          <w:color w:val="auto"/>
          <w:kern w:val="0"/>
          <w:sz w:val="24"/>
          <w:szCs w:val="24"/>
          <w:highlight w:val="none"/>
        </w:rPr>
        <w:t>依法受理的质疑，将按照政府采购有关规定，在法定期限内作出答复。</w:t>
      </w:r>
    </w:p>
    <w:p w14:paraId="1CFAA7AA">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37、质疑处理</w:t>
      </w:r>
    </w:p>
    <w:p w14:paraId="671E5B0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37.1质疑供应商未按照法定程序进行质疑投诉的，视为一般失信行为。</w:t>
      </w:r>
    </w:p>
    <w:p w14:paraId="3BAC05C8">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37.2质疑供应商不配合或者采取不正当手段干扰政府采购质疑、投诉处理工作的，视为一般失信行为。</w:t>
      </w:r>
    </w:p>
    <w:p w14:paraId="266285C0">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37.3质疑供应商投诉受理期间，就同一事项多头举报，干扰财政部门投诉处理的，视为一般失信行为。</w:t>
      </w:r>
    </w:p>
    <w:p w14:paraId="686B11F9">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37.4质疑供应商在全国范围12个月内三次以上质疑查无实据的，视为一般失信行为。</w:t>
      </w:r>
    </w:p>
    <w:p w14:paraId="2411A4D9">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A6FE8A7">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37.6质疑供应商在全国范围12个月内三次以上投诉查无实据的，视为严重失信行为。</w:t>
      </w:r>
    </w:p>
    <w:p w14:paraId="43C95BB4">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37.7未尽事宜，依照有关法律、法规执行。</w:t>
      </w:r>
    </w:p>
    <w:p w14:paraId="071D87F2">
      <w:pPr>
        <w:ind w:firstLine="420"/>
        <w:rPr>
          <w:rFonts w:ascii="Times New Roman" w:hAnsi="Times New Roman" w:eastAsia="宋体" w:cs="Times New Roman"/>
          <w:color w:val="auto"/>
          <w:szCs w:val="21"/>
          <w:highlight w:val="none"/>
        </w:rPr>
      </w:pPr>
      <w:bookmarkStart w:id="124" w:name="_Toc16938558"/>
      <w:bookmarkStart w:id="125" w:name="_Toc120614221"/>
      <w:bookmarkStart w:id="126" w:name="_Toc479757207"/>
      <w:bookmarkStart w:id="127" w:name="_Toc20823314"/>
      <w:bookmarkStart w:id="128" w:name="_Toc513029242"/>
    </w:p>
    <w:p w14:paraId="12F50F6E">
      <w:pPr>
        <w:keepNext/>
        <w:keepLines/>
        <w:spacing w:line="360" w:lineRule="auto"/>
        <w:ind w:firstLine="321"/>
        <w:jc w:val="left"/>
        <w:outlineLvl w:val="2"/>
        <w:rPr>
          <w:rFonts w:ascii="宋体" w:hAnsi="宋体" w:eastAsia="宋体" w:cs="宋体"/>
          <w:color w:val="auto"/>
          <w:kern w:val="0"/>
          <w:sz w:val="36"/>
          <w:szCs w:val="20"/>
          <w:highlight w:val="none"/>
        </w:rPr>
      </w:pPr>
      <w:r>
        <w:rPr>
          <w:rFonts w:hint="eastAsia" w:ascii="宋体" w:hAnsi="宋体" w:eastAsia="宋体" w:cs="宋体"/>
          <w:b/>
          <w:bCs/>
          <w:color w:val="auto"/>
          <w:kern w:val="0"/>
          <w:sz w:val="32"/>
          <w:szCs w:val="32"/>
          <w:highlight w:val="none"/>
        </w:rPr>
        <w:t>八、其他事项</w:t>
      </w:r>
    </w:p>
    <w:p w14:paraId="5E5DB17F">
      <w:pPr>
        <w:spacing w:line="360" w:lineRule="auto"/>
        <w:ind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w:t>
      </w:r>
      <w:r>
        <w:rPr>
          <w:rFonts w:hint="eastAsia" w:ascii="宋体" w:hAnsi="宋体" w:eastAsia="宋体" w:cs="宋体"/>
          <w:b/>
          <w:bCs/>
          <w:color w:val="auto"/>
          <w:kern w:val="0"/>
          <w:sz w:val="24"/>
          <w:highlight w:val="none"/>
          <w:lang w:val="en-US" w:eastAsia="zh-CN"/>
        </w:rPr>
        <w:t>8</w:t>
      </w:r>
      <w:r>
        <w:rPr>
          <w:rFonts w:hint="eastAsia" w:ascii="宋体" w:hAnsi="宋体" w:eastAsia="宋体" w:cs="宋体"/>
          <w:b/>
          <w:bCs/>
          <w:color w:val="auto"/>
          <w:kern w:val="0"/>
          <w:sz w:val="24"/>
          <w:highlight w:val="none"/>
        </w:rPr>
        <w:t>、支持中小企业发展</w:t>
      </w:r>
    </w:p>
    <w:p w14:paraId="76B45EC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6A0D76A6">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38.2投标人提供的货物全部由小型企业、微型企业、残疾人福利性单位、监狱企业制造的，对其报价给予10%的扣除，用扣除后的价格参与评审。提供的货物既有小微型企业制造，也有大中型企业制造的，不享受该扶持政策。</w:t>
      </w:r>
    </w:p>
    <w:p w14:paraId="16F4D9ED">
      <w:pPr>
        <w:spacing w:line="500" w:lineRule="exact"/>
        <w:ind w:firstLine="480"/>
        <w:jc w:val="left"/>
        <w:rPr>
          <w:rFonts w:hint="eastAsia" w:ascii="Calibri" w:hAnsi="Calibri" w:eastAsia="宋体" w:cs="Times New Roman"/>
          <w:color w:val="auto"/>
          <w:kern w:val="0"/>
          <w:sz w:val="24"/>
          <w:szCs w:val="24"/>
          <w:highlight w:val="none"/>
          <w:lang w:eastAsia="zh-CN"/>
        </w:rPr>
      </w:pPr>
      <w:r>
        <w:rPr>
          <w:rFonts w:hint="eastAsia" w:ascii="Calibri" w:hAnsi="Calibri" w:eastAsia="宋体" w:cs="Times New Roman"/>
          <w:color w:val="auto"/>
          <w:kern w:val="0"/>
          <w:sz w:val="24"/>
          <w:szCs w:val="24"/>
          <w:highlight w:val="none"/>
        </w:rPr>
        <w:t>38.3参加本项目政府采购活动的供应商享受价格评审优惠的应当提供的材料：</w:t>
      </w:r>
    </w:p>
    <w:p w14:paraId="5879F227">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（1）投标人提供的货物全部由小型企业、微型企业制造的，提供《中小企业声明函》（第六章投标文件格式）。</w:t>
      </w:r>
    </w:p>
    <w:p w14:paraId="59693E09">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（2）符合《关于促进残疾人就业政府采购政策的通知》（财库〔2017〕141号）规定的条件并提供《残疾人福利性单位声明函》（第六章投标文件格式）的残疾人福利性单位视同小型、微型企业。</w:t>
      </w:r>
    </w:p>
    <w:p w14:paraId="13026AC2">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8FB5770">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38.4残疾人福利单位、监狱企业属于小型、微型企业的，不重复享受政策。</w:t>
      </w:r>
    </w:p>
    <w:p w14:paraId="285B778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38.5享受扶持政策获得政府采购合同的，小微型企业不得将合同分包给大中型企业，中型企业不得将合同分包给大型企业。</w:t>
      </w:r>
    </w:p>
    <w:p w14:paraId="116A154E">
      <w:pPr>
        <w:spacing w:line="360" w:lineRule="auto"/>
        <w:ind w:firstLine="482"/>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w:t>
      </w:r>
      <w:r>
        <w:rPr>
          <w:rFonts w:hint="eastAsia" w:ascii="宋体" w:hAnsi="宋体" w:eastAsia="宋体" w:cs="宋体"/>
          <w:b/>
          <w:bCs/>
          <w:color w:val="auto"/>
          <w:kern w:val="0"/>
          <w:sz w:val="24"/>
          <w:highlight w:val="none"/>
          <w:lang w:val="en-US" w:eastAsia="zh-CN"/>
        </w:rPr>
        <w:t>9</w:t>
      </w:r>
      <w:r>
        <w:rPr>
          <w:rFonts w:hint="eastAsia" w:ascii="宋体" w:hAnsi="宋体" w:eastAsia="宋体" w:cs="宋体"/>
          <w:b/>
          <w:bCs/>
          <w:color w:val="auto"/>
          <w:kern w:val="0"/>
          <w:sz w:val="24"/>
          <w:highlight w:val="none"/>
        </w:rPr>
        <w:t>、支持绿色发展</w:t>
      </w:r>
    </w:p>
    <w:p w14:paraId="2C3A6EFC">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9F0E86A">
      <w:pPr>
        <w:spacing w:line="500" w:lineRule="exact"/>
        <w:ind w:firstLine="480"/>
        <w:jc w:val="left"/>
        <w:rPr>
          <w:rFonts w:hint="default"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40ACB0EC">
      <w:pPr>
        <w:spacing w:line="360" w:lineRule="auto"/>
        <w:ind w:firstLine="720"/>
        <w:jc w:val="left"/>
        <w:rPr>
          <w:rFonts w:ascii="Times New Roman" w:hAnsi="宋体" w:eastAsia="黑体" w:cs="Times New Roman"/>
          <w:color w:val="auto"/>
          <w:kern w:val="0"/>
          <w:sz w:val="36"/>
          <w:szCs w:val="20"/>
          <w:highlight w:val="none"/>
        </w:rPr>
      </w:pPr>
    </w:p>
    <w:p w14:paraId="64D34267">
      <w:pPr>
        <w:keepNext/>
        <w:keepLines/>
        <w:widowControl w:val="0"/>
        <w:spacing w:before="0" w:after="0" w:line="360" w:lineRule="auto"/>
        <w:ind w:firstLine="560"/>
        <w:jc w:val="left"/>
        <w:outlineLvl w:val="2"/>
        <w:rPr>
          <w:rFonts w:hint="default" w:ascii="Calibri" w:hAnsi="Calibri" w:eastAsia="宋体" w:cs="Times New Roman"/>
          <w:b/>
          <w:bCs/>
          <w:color w:val="auto"/>
          <w:kern w:val="0"/>
          <w:sz w:val="28"/>
          <w:szCs w:val="28"/>
          <w:highlight w:val="none"/>
          <w:lang w:val="en-US" w:eastAsia="zh-CN" w:bidi="ar-SA"/>
        </w:rPr>
      </w:pPr>
      <w:r>
        <w:rPr>
          <w:rFonts w:hint="eastAsia" w:ascii="Calibri" w:hAnsi="Calibri" w:eastAsia="宋体" w:cs="Times New Roman"/>
          <w:b/>
          <w:bCs/>
          <w:color w:val="auto"/>
          <w:kern w:val="0"/>
          <w:sz w:val="28"/>
          <w:szCs w:val="28"/>
          <w:highlight w:val="none"/>
          <w:lang w:val="en-US" w:eastAsia="zh-CN" w:bidi="ar-SA"/>
        </w:rPr>
        <w:t>40、政府采购需求标准</w:t>
      </w:r>
    </w:p>
    <w:p w14:paraId="0B51C6A9">
      <w:pPr>
        <w:spacing w:line="500" w:lineRule="exact"/>
        <w:ind w:firstLine="480"/>
        <w:jc w:val="left"/>
        <w:rPr>
          <w:rFonts w:hint="eastAsia" w:ascii="Calibri" w:hAnsi="Calibri" w:eastAsia="宋体" w:cs="Times New Roman"/>
          <w:color w:val="auto"/>
          <w:kern w:val="0"/>
          <w:sz w:val="24"/>
          <w:szCs w:val="24"/>
          <w:highlight w:val="none"/>
        </w:rPr>
      </w:pPr>
      <w:r>
        <w:rPr>
          <w:rFonts w:hint="eastAsia" w:ascii="Calibri" w:hAnsi="Calibri" w:eastAsia="宋体" w:cs="Times New Roman"/>
          <w:color w:val="auto"/>
          <w:kern w:val="0"/>
          <w:sz w:val="24"/>
          <w:szCs w:val="24"/>
          <w:highlight w:val="none"/>
        </w:rPr>
        <w:t>40.1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271CE5A">
      <w:pPr>
        <w:keepNext/>
        <w:keepLines/>
        <w:pageBreakBefore w:val="0"/>
        <w:widowControl w:val="0"/>
        <w:spacing w:line="360" w:lineRule="auto"/>
        <w:ind w:right="0" w:firstLine="560"/>
        <w:jc w:val="left"/>
        <w:outlineLvl w:val="2"/>
        <w:rPr>
          <w:rFonts w:hint="eastAsia" w:ascii="Calibri" w:hAnsi="Calibri" w:eastAsia="宋体" w:cs="Times New Roman"/>
          <w:b/>
          <w:bCs/>
          <w:color w:val="auto"/>
          <w:kern w:val="0"/>
          <w:sz w:val="28"/>
          <w:szCs w:val="28"/>
          <w:highlight w:val="none"/>
          <w:lang w:val="en-US" w:eastAsia="zh-CN"/>
        </w:rPr>
      </w:pPr>
      <w:r>
        <w:rPr>
          <w:rFonts w:hint="eastAsia" w:ascii="Calibri" w:hAnsi="Calibri" w:eastAsia="宋体" w:cs="Times New Roman"/>
          <w:b/>
          <w:bCs/>
          <w:color w:val="auto"/>
          <w:kern w:val="0"/>
          <w:sz w:val="28"/>
          <w:szCs w:val="28"/>
          <w:highlight w:val="none"/>
          <w:lang w:val="en-US" w:eastAsia="zh-CN"/>
        </w:rPr>
        <w:t>41、实施本国产品标准及相关政策</w:t>
      </w:r>
    </w:p>
    <w:p w14:paraId="5734728D">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执行国办发[2025]43号《国务院办公厅关于在政府采购中实施本国产品标准及相关政策的通知》，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并上传至电子响应文件中，详见响应文件格式。</w:t>
      </w:r>
    </w:p>
    <w:p w14:paraId="4D82F88B">
      <w:pPr>
        <w:pStyle w:val="15"/>
        <w:rPr>
          <w:rFonts w:hint="default" w:eastAsia="宋体"/>
          <w:color w:val="auto"/>
          <w:highlight w:val="none"/>
          <w:lang w:val="en-US" w:eastAsia="zh-CN"/>
        </w:rPr>
      </w:pPr>
    </w:p>
    <w:p w14:paraId="4DB07EA9">
      <w:pPr>
        <w:keepNext/>
        <w:keepLines/>
        <w:widowControl w:val="0"/>
        <w:spacing w:before="0" w:after="0" w:line="360" w:lineRule="auto"/>
        <w:ind w:firstLine="562"/>
        <w:jc w:val="left"/>
        <w:outlineLvl w:val="2"/>
        <w:rPr>
          <w:rFonts w:hint="default" w:ascii="Calibri" w:hAnsi="Calibri" w:eastAsia="Arial" w:cs="Times New Roman"/>
          <w:b/>
          <w:bCs/>
          <w:color w:val="auto"/>
          <w:kern w:val="0"/>
          <w:sz w:val="28"/>
          <w:szCs w:val="28"/>
          <w:highlight w:val="none"/>
          <w:lang w:val="en-US" w:eastAsia="zh-CN" w:bidi="ar-SA"/>
        </w:rPr>
      </w:pPr>
      <w:r>
        <w:rPr>
          <w:rFonts w:hint="eastAsia" w:ascii="Calibri" w:hAnsi="Calibri" w:eastAsia="Arial" w:cs="Times New Roman"/>
          <w:b/>
          <w:bCs/>
          <w:color w:val="auto"/>
          <w:kern w:val="0"/>
          <w:sz w:val="28"/>
          <w:szCs w:val="28"/>
          <w:highlight w:val="none"/>
          <w:lang w:val="en-US" w:eastAsia="zh-CN" w:bidi="ar-SA"/>
        </w:rPr>
        <w:t>解释权</w:t>
      </w:r>
    </w:p>
    <w:p w14:paraId="6CC21468">
      <w:pPr>
        <w:spacing w:line="500" w:lineRule="exact"/>
        <w:ind w:firstLine="480"/>
        <w:jc w:val="left"/>
        <w:rPr>
          <w:rFonts w:hint="default" w:ascii="Calibri" w:hAnsi="Calibri" w:eastAsia="Arial" w:cs="Times New Roman"/>
          <w:color w:val="auto"/>
          <w:kern w:val="0"/>
          <w:sz w:val="24"/>
          <w:szCs w:val="24"/>
          <w:highlight w:val="none"/>
        </w:rPr>
      </w:pPr>
      <w:r>
        <w:rPr>
          <w:rFonts w:hint="eastAsia" w:ascii="Calibri" w:hAnsi="Calibri" w:eastAsia="Arial" w:cs="Times New Roman"/>
          <w:color w:val="auto"/>
          <w:kern w:val="0"/>
          <w:sz w:val="24"/>
          <w:szCs w:val="24"/>
          <w:highlight w:val="none"/>
        </w:rPr>
        <w:t>本</w:t>
      </w:r>
      <w:r>
        <w:rPr>
          <w:rFonts w:hint="eastAsia" w:ascii="Calibri" w:hAnsi="Calibri" w:eastAsia="宋体" w:cs="Times New Roman"/>
          <w:color w:val="auto"/>
          <w:kern w:val="0"/>
          <w:sz w:val="24"/>
          <w:szCs w:val="24"/>
          <w:highlight w:val="none"/>
          <w:lang w:eastAsia="zh-CN"/>
        </w:rPr>
        <w:t>招标</w:t>
      </w:r>
      <w:r>
        <w:rPr>
          <w:rFonts w:hint="eastAsia" w:ascii="Calibri" w:hAnsi="Calibri" w:eastAsia="Arial" w:cs="Times New Roman"/>
          <w:color w:val="auto"/>
          <w:kern w:val="0"/>
          <w:sz w:val="24"/>
          <w:szCs w:val="24"/>
          <w:highlight w:val="none"/>
        </w:rPr>
        <w:t>文件是参照《中华人民共和国政府采购法》、《中华人民共和国政府采购法实施条例》、《</w:t>
      </w:r>
      <w:r>
        <w:rPr>
          <w:rFonts w:hint="eastAsia" w:ascii="宋体" w:hAnsi="宋体" w:eastAsia="宋体" w:cs="宋体"/>
          <w:i w:val="0"/>
          <w:iCs w:val="0"/>
          <w:caps w:val="0"/>
          <w:color w:val="auto"/>
          <w:spacing w:val="0"/>
          <w:kern w:val="0"/>
          <w:sz w:val="24"/>
          <w:szCs w:val="24"/>
          <w:highlight w:val="none"/>
          <w:shd w:val="clear" w:color="auto" w:fill="FFFFFF"/>
        </w:rPr>
        <w:t>政府采购货物和服务招标投标管理办法</w:t>
      </w:r>
      <w:r>
        <w:rPr>
          <w:rFonts w:hint="eastAsia" w:ascii="Calibri" w:hAnsi="Calibri" w:eastAsia="Arial" w:cs="Times New Roman"/>
          <w:color w:val="auto"/>
          <w:kern w:val="0"/>
          <w:sz w:val="24"/>
          <w:szCs w:val="24"/>
          <w:highlight w:val="none"/>
        </w:rPr>
        <w:t>》及相关法律法规编制，解释权属采购人。</w:t>
      </w:r>
    </w:p>
    <w:p w14:paraId="0AD4DFC9">
      <w:pPr>
        <w:spacing w:line="500" w:lineRule="exact"/>
        <w:ind w:firstLine="480"/>
        <w:jc w:val="left"/>
        <w:rPr>
          <w:rFonts w:hint="eastAsia" w:ascii="Calibri" w:hAnsi="Calibri" w:eastAsia="Arial" w:cs="Times New Roman"/>
          <w:color w:val="auto"/>
          <w:kern w:val="0"/>
          <w:sz w:val="24"/>
          <w:szCs w:val="24"/>
          <w:highlight w:val="none"/>
        </w:rPr>
      </w:pPr>
      <w:r>
        <w:rPr>
          <w:rFonts w:hint="eastAsia" w:ascii="Calibri" w:hAnsi="Calibri" w:eastAsia="Arial" w:cs="Times New Roman"/>
          <w:color w:val="auto"/>
          <w:kern w:val="0"/>
          <w:sz w:val="24"/>
          <w:szCs w:val="24"/>
          <w:highlight w:val="none"/>
        </w:rPr>
        <w:t>构成本</w:t>
      </w:r>
      <w:r>
        <w:rPr>
          <w:rFonts w:hint="eastAsia" w:ascii="Calibri" w:hAnsi="Calibri" w:eastAsia="宋体" w:cs="Times New Roman"/>
          <w:color w:val="auto"/>
          <w:kern w:val="0"/>
          <w:sz w:val="24"/>
          <w:szCs w:val="24"/>
          <w:highlight w:val="none"/>
          <w:lang w:eastAsia="zh-CN"/>
        </w:rPr>
        <w:t>招标文件</w:t>
      </w:r>
      <w:r>
        <w:rPr>
          <w:rFonts w:hint="eastAsia" w:ascii="Calibri" w:hAnsi="Calibri" w:eastAsia="Arial" w:cs="Times New Roman"/>
          <w:color w:val="auto"/>
          <w:kern w:val="0"/>
          <w:sz w:val="24"/>
          <w:szCs w:val="24"/>
          <w:highlight w:val="none"/>
        </w:rPr>
        <w:t>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color w:val="auto"/>
          <w:kern w:val="0"/>
          <w:sz w:val="24"/>
          <w:szCs w:val="24"/>
          <w:highlight w:val="none"/>
          <w:lang w:eastAsia="zh-CN"/>
        </w:rPr>
        <w:t>招标文件</w:t>
      </w:r>
      <w:r>
        <w:rPr>
          <w:rFonts w:hint="eastAsia" w:ascii="Calibri" w:hAnsi="Calibri" w:eastAsia="Arial" w:cs="Times New Roman"/>
          <w:color w:val="auto"/>
          <w:kern w:val="0"/>
          <w:sz w:val="24"/>
          <w:szCs w:val="24"/>
          <w:highlight w:val="none"/>
        </w:rPr>
        <w:t>中有特别规定外，仅适用于政府采购阶段的规定，按</w:t>
      </w:r>
      <w:r>
        <w:rPr>
          <w:rFonts w:hint="eastAsia" w:ascii="Calibri" w:hAnsi="Calibri" w:eastAsia="宋体" w:cs="Times New Roman"/>
          <w:color w:val="auto"/>
          <w:kern w:val="0"/>
          <w:sz w:val="24"/>
          <w:szCs w:val="24"/>
          <w:highlight w:val="none"/>
          <w:lang w:eastAsia="zh-CN"/>
        </w:rPr>
        <w:t>招标</w:t>
      </w:r>
      <w:r>
        <w:rPr>
          <w:rFonts w:hint="eastAsia" w:ascii="Calibri" w:hAnsi="Calibri" w:eastAsia="Arial" w:cs="Times New Roman"/>
          <w:color w:val="auto"/>
          <w:kern w:val="0"/>
          <w:sz w:val="24"/>
          <w:szCs w:val="24"/>
          <w:highlight w:val="none"/>
        </w:rPr>
        <w:t>公告（投标邀请书）、</w:t>
      </w:r>
      <w:r>
        <w:rPr>
          <w:rFonts w:hint="eastAsia" w:ascii="Calibri" w:hAnsi="Calibri" w:eastAsia="宋体" w:cs="Times New Roman"/>
          <w:color w:val="auto"/>
          <w:kern w:val="0"/>
          <w:sz w:val="24"/>
          <w:szCs w:val="24"/>
          <w:highlight w:val="none"/>
          <w:lang w:eastAsia="zh-CN"/>
        </w:rPr>
        <w:t>投标人</w:t>
      </w:r>
      <w:r>
        <w:rPr>
          <w:rFonts w:hint="eastAsia" w:ascii="Calibri" w:hAnsi="Calibri" w:eastAsia="Arial" w:cs="Times New Roman"/>
          <w:color w:val="auto"/>
          <w:kern w:val="0"/>
          <w:sz w:val="24"/>
          <w:szCs w:val="24"/>
          <w:highlight w:val="none"/>
        </w:rPr>
        <w:t>须知、评标办法、</w:t>
      </w:r>
      <w:r>
        <w:rPr>
          <w:rFonts w:hint="eastAsia" w:ascii="Calibri" w:hAnsi="Calibri" w:eastAsia="宋体" w:cs="Times New Roman"/>
          <w:color w:val="auto"/>
          <w:kern w:val="0"/>
          <w:sz w:val="24"/>
          <w:szCs w:val="24"/>
          <w:highlight w:val="none"/>
          <w:lang w:eastAsia="zh-CN"/>
        </w:rPr>
        <w:t>投标</w:t>
      </w:r>
      <w:r>
        <w:rPr>
          <w:rFonts w:hint="eastAsia" w:ascii="Calibri" w:hAnsi="Calibri" w:eastAsia="Arial" w:cs="Times New Roman"/>
          <w:color w:val="auto"/>
          <w:kern w:val="0"/>
          <w:sz w:val="24"/>
          <w:szCs w:val="24"/>
          <w:highlight w:val="none"/>
        </w:rPr>
        <w:t>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3440CF2A">
      <w:pPr>
        <w:spacing w:line="500" w:lineRule="exact"/>
        <w:ind w:firstLine="480"/>
        <w:jc w:val="left"/>
        <w:rPr>
          <w:rFonts w:hint="eastAsia" w:ascii="Calibri" w:hAnsi="Calibri" w:eastAsia="宋体" w:cs="Times New Roman"/>
          <w:b/>
          <w:bCs/>
          <w:color w:val="auto"/>
          <w:kern w:val="0"/>
          <w:sz w:val="24"/>
          <w:szCs w:val="24"/>
          <w:highlight w:val="none"/>
          <w:lang w:val="en-US" w:eastAsia="zh-CN"/>
        </w:rPr>
      </w:pPr>
      <w:r>
        <w:rPr>
          <w:rFonts w:hint="eastAsia" w:ascii="Calibri" w:hAnsi="Calibri" w:eastAsia="宋体" w:cs="Times New Roman"/>
          <w:b/>
          <w:bCs/>
          <w:color w:val="auto"/>
          <w:kern w:val="0"/>
          <w:sz w:val="24"/>
          <w:szCs w:val="24"/>
          <w:highlight w:val="none"/>
          <w:lang w:val="en-US" w:eastAsia="zh-CN"/>
        </w:rPr>
        <w:t>特别提醒：</w:t>
      </w:r>
    </w:p>
    <w:p w14:paraId="28EE58E3">
      <w:pPr>
        <w:spacing w:line="360" w:lineRule="auto"/>
        <w:ind w:firstLine="480"/>
        <w:jc w:val="left"/>
        <w:rPr>
          <w:rFonts w:hint="eastAsia" w:ascii="Times New Roman" w:hAnsi="Times New Roman" w:eastAsia="新宋体" w:cs="Times New Roman"/>
          <w:color w:val="auto"/>
          <w:kern w:val="0"/>
          <w:sz w:val="24"/>
          <w:szCs w:val="24"/>
          <w:highlight w:val="none"/>
          <w:lang w:val="en-US" w:eastAsia="zh-CN"/>
        </w:rPr>
      </w:pPr>
      <w:r>
        <w:rPr>
          <w:rFonts w:hint="eastAsia" w:ascii="宋体" w:hAnsi="宋体" w:eastAsia="宋体" w:cs="宋体"/>
          <w:b w:val="0"/>
          <w:bCs w:val="0"/>
          <w:color w:val="auto"/>
          <w:kern w:val="0"/>
          <w:sz w:val="24"/>
          <w:highlight w:val="none"/>
          <w:lang w:val="en-US" w:eastAsia="zh-CN"/>
        </w:rPr>
        <w:t>本项目执行</w:t>
      </w:r>
      <w:r>
        <w:rPr>
          <w:rFonts w:hint="eastAsia" w:ascii="Times New Roman" w:hAnsi="Times New Roman" w:eastAsia="新宋体" w:cs="Times New Roman"/>
          <w:b w:val="0"/>
          <w:bCs w:val="0"/>
          <w:color w:val="auto"/>
          <w:kern w:val="0"/>
          <w:sz w:val="24"/>
          <w:szCs w:val="24"/>
          <w:highlight w:val="none"/>
          <w:lang w:val="en-US" w:eastAsia="zh-CN"/>
        </w:rPr>
        <w:t>《</w:t>
      </w:r>
      <w:r>
        <w:rPr>
          <w:rFonts w:hint="eastAsia" w:ascii="Times New Roman" w:hAnsi="Times New Roman" w:eastAsia="新宋体" w:cs="Times New Roman"/>
          <w:color w:val="auto"/>
          <w:kern w:val="0"/>
          <w:sz w:val="24"/>
          <w:szCs w:val="24"/>
          <w:highlight w:val="none"/>
          <w:lang w:val="en-US" w:eastAsia="zh-CN"/>
        </w:rPr>
        <w:t>关于推动解决政府采购异常低价问题的通知》（财库〔2026〕2号）规定，政府采购评审过程中出现下列情形之一的，评审委员会应当启动异常低价响应审查程序:</w:t>
      </w:r>
    </w:p>
    <w:p w14:paraId="4F3D3EEA">
      <w:pPr>
        <w:spacing w:line="360" w:lineRule="auto"/>
        <w:ind w:firstLine="480"/>
        <w:jc w:val="left"/>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1.评审价低于全部通过符合性审查供应商评审价平均值50%的，即评审得价&lt;全部通过符合性审查供应商评审价平均值×50%；</w:t>
      </w:r>
    </w:p>
    <w:p w14:paraId="5E32F172">
      <w:pPr>
        <w:spacing w:line="360" w:lineRule="auto"/>
        <w:ind w:firstLine="480"/>
        <w:jc w:val="left"/>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2.评审价低于通过符合性审查的次低评审价供应商评审价50%的，即评审价&lt;通过符合性审查的次低评审价供应商评审价×50%；</w:t>
      </w:r>
    </w:p>
    <w:p w14:paraId="0361BE74">
      <w:pPr>
        <w:spacing w:line="360" w:lineRule="auto"/>
        <w:ind w:firstLine="480"/>
        <w:jc w:val="left"/>
        <w:rPr>
          <w:rFonts w:hint="eastAsia" w:ascii="宋体" w:hAnsi="宋体" w:eastAsia="宋体" w:cs="宋体"/>
          <w:b w:val="0"/>
          <w:bCs w:val="0"/>
          <w:color w:val="auto"/>
          <w:kern w:val="0"/>
          <w:sz w:val="24"/>
          <w:highlight w:val="none"/>
          <w:lang w:val="en-US" w:eastAsia="zh-CN"/>
        </w:rPr>
      </w:pPr>
      <w:r>
        <w:rPr>
          <w:rFonts w:hint="eastAsia" w:ascii="宋体" w:hAnsi="宋体" w:eastAsia="宋体" w:cs="宋体"/>
          <w:b w:val="0"/>
          <w:bCs w:val="0"/>
          <w:color w:val="auto"/>
          <w:kern w:val="0"/>
          <w:sz w:val="24"/>
          <w:highlight w:val="none"/>
          <w:lang w:val="en-US" w:eastAsia="zh-CN"/>
        </w:rPr>
        <w:t>3.投标(响应)报价低于采购项目最高限价45%的，即投标(响应)报价〈采购项目最高限价×45%；</w:t>
      </w:r>
    </w:p>
    <w:p w14:paraId="40A8B2B9">
      <w:pPr>
        <w:spacing w:line="360" w:lineRule="auto"/>
        <w:ind w:firstLine="480"/>
        <w:jc w:val="left"/>
        <w:rPr>
          <w:rFonts w:hint="eastAsia" w:ascii="Times New Roman" w:hAnsi="Times New Roman" w:eastAsia="新宋体" w:cs="Times New Roman"/>
          <w:color w:val="auto"/>
          <w:kern w:val="0"/>
          <w:sz w:val="24"/>
          <w:szCs w:val="24"/>
          <w:highlight w:val="none"/>
          <w:lang w:val="en-US" w:eastAsia="zh-CN"/>
        </w:rPr>
      </w:pPr>
      <w:r>
        <w:rPr>
          <w:rFonts w:hint="eastAsia" w:ascii="宋体" w:hAnsi="宋体" w:eastAsia="宋体" w:cs="宋体"/>
          <w:b w:val="0"/>
          <w:bCs w:val="0"/>
          <w:color w:val="auto"/>
          <w:kern w:val="0"/>
          <w:sz w:val="24"/>
          <w:highlight w:val="none"/>
          <w:lang w:val="en-US" w:eastAsia="zh-CN"/>
        </w:rPr>
        <w:t>4.评审委员会基于专业判断</w:t>
      </w:r>
      <w:r>
        <w:rPr>
          <w:rFonts w:hint="eastAsia" w:ascii="Times New Roman" w:hAnsi="Times New Roman" w:eastAsia="新宋体" w:cs="Times New Roman"/>
          <w:color w:val="auto"/>
          <w:kern w:val="0"/>
          <w:sz w:val="24"/>
          <w:szCs w:val="24"/>
          <w:highlight w:val="none"/>
          <w:lang w:val="en-US" w:eastAsia="zh-CN"/>
        </w:rPr>
        <w:t>，认为供应商报价过低，有可能影响产品质量或者不能诚信履约的其他情形。</w:t>
      </w:r>
    </w:p>
    <w:p w14:paraId="1DB0E26E">
      <w:pPr>
        <w:spacing w:line="360" w:lineRule="auto"/>
        <w:ind w:firstLine="480"/>
        <w:jc w:val="left"/>
        <w:rPr>
          <w:rFonts w:hint="default" w:ascii="Times New Roman" w:hAnsi="Times New Roman" w:eastAsia="新宋体" w:cs="Times New Roman"/>
          <w:color w:val="auto"/>
          <w:kern w:val="0"/>
          <w:sz w:val="24"/>
          <w:szCs w:val="24"/>
          <w:highlight w:val="none"/>
        </w:rPr>
      </w:pPr>
      <w:r>
        <w:rPr>
          <w:rFonts w:hint="eastAsia" w:ascii="Times New Roman" w:hAnsi="Times New Roman" w:eastAsia="新宋体" w:cs="Times New Roman"/>
          <w:color w:val="auto"/>
          <w:kern w:val="0"/>
          <w:sz w:val="24"/>
          <w:szCs w:val="24"/>
          <w:highlight w:val="none"/>
          <w:lang w:val="en-US" w:eastAsia="zh-CN"/>
        </w:rPr>
        <w:t>相关法律法规对供应商报价有规定的，从其规定。</w:t>
      </w:r>
    </w:p>
    <w:p w14:paraId="293BB567">
      <w:pPr>
        <w:spacing w:line="360" w:lineRule="auto"/>
        <w:ind w:firstLine="480"/>
        <w:jc w:val="left"/>
        <w:rPr>
          <w:rFonts w:hint="default" w:ascii="Times New Roman" w:hAnsi="Times New Roman" w:eastAsia="新宋体" w:cs="Times New Roman"/>
          <w:color w:val="auto"/>
          <w:kern w:val="0"/>
          <w:sz w:val="24"/>
          <w:szCs w:val="24"/>
          <w:highlight w:val="none"/>
        </w:rPr>
      </w:pPr>
      <w:r>
        <w:rPr>
          <w:rFonts w:hint="eastAsia" w:ascii="Times New Roman" w:hAnsi="Times New Roman" w:eastAsia="新宋体" w:cs="Times New Roman"/>
          <w:color w:val="auto"/>
          <w:kern w:val="0"/>
          <w:sz w:val="24"/>
          <w:szCs w:val="24"/>
          <w:highlight w:val="none"/>
          <w:lang w:val="en-US" w:eastAsia="zh-CN"/>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p>
    <w:p w14:paraId="664FC36F">
      <w:pPr>
        <w:spacing w:line="360" w:lineRule="auto"/>
        <w:ind w:firstLine="480"/>
        <w:jc w:val="left"/>
        <w:rPr>
          <w:rFonts w:hint="default" w:ascii="Times New Roman" w:hAnsi="Times New Roman" w:eastAsia="新宋体" w:cs="Times New Roman"/>
          <w:color w:val="auto"/>
          <w:kern w:val="0"/>
          <w:sz w:val="24"/>
          <w:szCs w:val="24"/>
          <w:highlight w:val="none"/>
        </w:rPr>
      </w:pPr>
      <w:r>
        <w:rPr>
          <w:rFonts w:hint="eastAsia" w:ascii="Times New Roman" w:hAnsi="Times New Roman" w:eastAsia="新宋体" w:cs="Times New Roman"/>
          <w:color w:val="auto"/>
          <w:kern w:val="0"/>
          <w:sz w:val="24"/>
          <w:szCs w:val="24"/>
          <w:highlight w:val="none"/>
          <w:lang w:val="en-US" w:eastAsia="zh-CN"/>
        </w:rPr>
        <w:t>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p>
    <w:p w14:paraId="0CD21175">
      <w:pPr>
        <w:spacing w:line="360" w:lineRule="auto"/>
        <w:ind w:firstLine="480"/>
        <w:jc w:val="left"/>
        <w:rPr>
          <w:rFonts w:hint="default" w:ascii="Times New Roman" w:hAnsi="Times New Roman" w:eastAsia="新宋体" w:cs="Times New Roman"/>
          <w:color w:val="auto"/>
          <w:kern w:val="0"/>
          <w:sz w:val="24"/>
          <w:szCs w:val="24"/>
          <w:highlight w:val="none"/>
        </w:rPr>
      </w:pPr>
      <w:r>
        <w:rPr>
          <w:rFonts w:hint="eastAsia" w:ascii="Times New Roman" w:hAnsi="Times New Roman" w:eastAsia="新宋体" w:cs="Times New Roman"/>
          <w:color w:val="auto"/>
          <w:kern w:val="0"/>
          <w:sz w:val="24"/>
          <w:szCs w:val="24"/>
          <w:highlight w:val="none"/>
          <w:lang w:val="en-US" w:eastAsia="zh-CN"/>
        </w:rPr>
        <w:t>征集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DF23001">
      <w:pPr>
        <w:spacing w:line="360" w:lineRule="auto"/>
        <w:ind w:firstLine="480"/>
        <w:jc w:val="left"/>
        <w:rPr>
          <w:rFonts w:hint="default" w:ascii="宋体" w:hAnsi="宋体" w:eastAsia="宋体" w:cs="宋体"/>
          <w:b/>
          <w:bCs/>
          <w:color w:val="auto"/>
          <w:kern w:val="0"/>
          <w:sz w:val="24"/>
          <w:highlight w:val="none"/>
          <w:lang w:val="en-US" w:eastAsia="zh-CN"/>
        </w:rPr>
      </w:pPr>
      <w:r>
        <w:rPr>
          <w:rFonts w:hint="eastAsia" w:ascii="Times New Roman" w:hAnsi="Times New Roman" w:eastAsia="新宋体" w:cs="Times New Roman"/>
          <w:color w:val="auto"/>
          <w:kern w:val="0"/>
          <w:sz w:val="24"/>
          <w:szCs w:val="24"/>
          <w:highlight w:val="none"/>
          <w:lang w:val="en-US" w:eastAsia="zh-CN"/>
        </w:rPr>
        <w:t>异常低价响应审查的启动原因、审查意见和审查结果应当在评审报告中记录，并随供应商提供的相关书面说明及证明材料，以及评审委员会有关互联网浏览、查询历史一并归档。</w:t>
      </w:r>
    </w:p>
    <w:p w14:paraId="30F784B3">
      <w:pPr>
        <w:pageBreakBefore w:val="0"/>
        <w:spacing w:line="500" w:lineRule="exact"/>
        <w:ind w:firstLine="600"/>
        <w:rPr>
          <w:rFonts w:hint="eastAsia" w:ascii="宋体" w:hAnsi="宋体" w:eastAsia="宋体" w:cs="Times New Roman"/>
          <w:color w:val="auto"/>
          <w:kern w:val="0"/>
          <w:sz w:val="24"/>
          <w:szCs w:val="24"/>
          <w:highlight w:val="none"/>
          <w:lang w:val="en-US" w:eastAsia="zh-CN"/>
        </w:rPr>
      </w:pPr>
    </w:p>
    <w:p w14:paraId="5087C2EE">
      <w:pPr>
        <w:spacing w:line="360" w:lineRule="auto"/>
        <w:rPr>
          <w:rFonts w:ascii="黑体" w:eastAsia="黑体"/>
          <w:bCs/>
          <w:color w:val="auto"/>
          <w:sz w:val="44"/>
          <w:highlight w:val="none"/>
        </w:rPr>
        <w:sectPr>
          <w:footerReference r:id="rId6" w:type="first"/>
          <w:footerReference r:id="rId5" w:type="default"/>
          <w:pgSz w:w="11906" w:h="16838"/>
          <w:pgMar w:top="1418" w:right="1588" w:bottom="1418" w:left="1365" w:header="851" w:footer="907" w:gutter="0"/>
          <w:pgNumType w:start="1"/>
          <w:cols w:space="1701" w:num="1"/>
          <w:titlePg/>
          <w:docGrid w:linePitch="360" w:charSpace="0"/>
        </w:sectPr>
      </w:pPr>
    </w:p>
    <w:p w14:paraId="37C4962E">
      <w:pPr>
        <w:keepNext/>
        <w:spacing w:line="360" w:lineRule="auto"/>
        <w:jc w:val="center"/>
        <w:outlineLvl w:val="0"/>
        <w:rPr>
          <w:rFonts w:ascii="宋体" w:hAnsi="宋体" w:eastAsia="宋体" w:cs="Times New Roman"/>
          <w:b/>
          <w:bCs/>
          <w:color w:val="auto"/>
          <w:sz w:val="28"/>
          <w:szCs w:val="28"/>
          <w:highlight w:val="none"/>
        </w:rPr>
      </w:pPr>
      <w:r>
        <w:rPr>
          <w:rFonts w:hint="eastAsia" w:ascii="黑体" w:hAnsi="Times New Roman" w:eastAsia="黑体" w:cs="Times New Roman"/>
          <w:bCs/>
          <w:color w:val="auto"/>
          <w:sz w:val="44"/>
          <w:szCs w:val="28"/>
          <w:highlight w:val="none"/>
        </w:rPr>
        <w:t xml:space="preserve">第三章  </w:t>
      </w:r>
      <w:bookmarkEnd w:id="124"/>
      <w:bookmarkEnd w:id="125"/>
      <w:bookmarkEnd w:id="126"/>
      <w:bookmarkEnd w:id="127"/>
      <w:bookmarkEnd w:id="128"/>
      <w:bookmarkStart w:id="129" w:name="_Hlt16619350"/>
      <w:bookmarkStart w:id="130" w:name="_Toc20823346"/>
      <w:bookmarkStart w:id="131" w:name="_Toc120614244"/>
      <w:bookmarkStart w:id="132" w:name="_Toc16938590"/>
      <w:bookmarkStart w:id="133" w:name="_Toc479757211"/>
      <w:bookmarkStart w:id="134" w:name="_Toc462564139"/>
      <w:r>
        <w:rPr>
          <w:rFonts w:hint="eastAsia" w:ascii="宋体" w:hAnsi="宋体" w:eastAsia="宋体" w:cs="Times New Roman"/>
          <w:b/>
          <w:bCs/>
          <w:color w:val="auto"/>
          <w:sz w:val="44"/>
          <w:szCs w:val="44"/>
          <w:highlight w:val="none"/>
        </w:rPr>
        <w:t xml:space="preserve"> 政府采购合同格式</w:t>
      </w:r>
    </w:p>
    <w:p w14:paraId="0BC23D9A">
      <w:pPr>
        <w:spacing w:line="360" w:lineRule="auto"/>
        <w:jc w:val="center"/>
        <w:rPr>
          <w:rFonts w:ascii="宋体" w:hAnsi="宋体" w:eastAsia="宋体" w:cs="宋体"/>
          <w:b/>
          <w:color w:val="auto"/>
          <w:kern w:val="0"/>
          <w:sz w:val="32"/>
          <w:szCs w:val="20"/>
          <w:highlight w:val="none"/>
        </w:rPr>
      </w:pPr>
    </w:p>
    <w:p w14:paraId="35C1FD16">
      <w:pPr>
        <w:spacing w:line="360" w:lineRule="auto"/>
        <w:jc w:val="center"/>
        <w:rPr>
          <w:rFonts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rPr>
        <w:t xml:space="preserve"> </w:t>
      </w:r>
      <w:r>
        <w:rPr>
          <w:rFonts w:hint="eastAsia" w:ascii="宋体" w:hAnsi="宋体" w:eastAsia="宋体" w:cs="Times New Roman"/>
          <w:b/>
          <w:bCs/>
          <w:color w:val="auto"/>
          <w:kern w:val="0"/>
          <w:sz w:val="32"/>
          <w:szCs w:val="32"/>
          <w:highlight w:val="none"/>
          <w:u w:val="single"/>
        </w:rPr>
        <w:t xml:space="preserve">                    </w:t>
      </w:r>
      <w:r>
        <w:rPr>
          <w:rFonts w:hint="eastAsia" w:ascii="宋体" w:hAnsi="宋体" w:eastAsia="宋体" w:cs="Times New Roman"/>
          <w:b/>
          <w:bCs/>
          <w:color w:val="auto"/>
          <w:kern w:val="0"/>
          <w:sz w:val="32"/>
          <w:szCs w:val="32"/>
          <w:highlight w:val="none"/>
        </w:rPr>
        <w:t>项目</w:t>
      </w:r>
    </w:p>
    <w:p w14:paraId="6E16FB0C">
      <w:pPr>
        <w:spacing w:line="360" w:lineRule="auto"/>
        <w:ind w:firstLine="420"/>
        <w:rPr>
          <w:rFonts w:ascii="宋体" w:hAnsi="宋体" w:eastAsia="宋体" w:cs="Times New Roman"/>
          <w:color w:val="auto"/>
          <w:kern w:val="0"/>
          <w:highlight w:val="none"/>
        </w:rPr>
      </w:pPr>
    </w:p>
    <w:p w14:paraId="02A9F532">
      <w:pPr>
        <w:spacing w:line="360" w:lineRule="auto"/>
        <w:ind w:firstLine="3507"/>
        <w:rPr>
          <w:rFonts w:ascii="宋体" w:hAnsi="宋体" w:eastAsia="宋体" w:cs="Times New Roman"/>
          <w:b/>
          <w:bCs/>
          <w:color w:val="auto"/>
          <w:kern w:val="0"/>
          <w:sz w:val="44"/>
          <w:highlight w:val="none"/>
        </w:rPr>
      </w:pPr>
    </w:p>
    <w:p w14:paraId="4D304020">
      <w:pPr>
        <w:spacing w:line="360" w:lineRule="auto"/>
        <w:ind w:firstLine="3507"/>
        <w:rPr>
          <w:rFonts w:ascii="宋体" w:hAnsi="宋体" w:eastAsia="宋体" w:cs="Times New Roman"/>
          <w:b/>
          <w:bCs/>
          <w:color w:val="auto"/>
          <w:kern w:val="0"/>
          <w:sz w:val="44"/>
          <w:highlight w:val="none"/>
        </w:rPr>
      </w:pPr>
    </w:p>
    <w:p w14:paraId="4F18F7F9">
      <w:pPr>
        <w:spacing w:line="360" w:lineRule="auto"/>
        <w:ind w:firstLine="2551"/>
        <w:rPr>
          <w:rFonts w:ascii="宋体" w:hAnsi="宋体" w:eastAsia="宋体" w:cs="Times New Roman"/>
          <w:b/>
          <w:bCs/>
          <w:color w:val="auto"/>
          <w:kern w:val="0"/>
          <w:sz w:val="32"/>
          <w:szCs w:val="32"/>
          <w:highlight w:val="none"/>
        </w:rPr>
      </w:pPr>
    </w:p>
    <w:p w14:paraId="0BEDEEF7">
      <w:pPr>
        <w:spacing w:line="360" w:lineRule="auto"/>
        <w:ind w:firstLine="1311"/>
        <w:rPr>
          <w:rFonts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rPr>
        <w:t>合同编号：</w:t>
      </w:r>
    </w:p>
    <w:p w14:paraId="41F53599">
      <w:pPr>
        <w:spacing w:line="360" w:lineRule="auto"/>
        <w:jc w:val="center"/>
        <w:rPr>
          <w:rFonts w:ascii="宋体" w:hAnsi="宋体" w:eastAsia="宋体" w:cs="宋体"/>
          <w:b/>
          <w:color w:val="auto"/>
          <w:kern w:val="0"/>
          <w:sz w:val="32"/>
          <w:szCs w:val="20"/>
          <w:highlight w:val="none"/>
        </w:rPr>
      </w:pPr>
    </w:p>
    <w:p w14:paraId="77160D70">
      <w:pPr>
        <w:spacing w:line="360" w:lineRule="auto"/>
        <w:jc w:val="center"/>
        <w:rPr>
          <w:rFonts w:ascii="宋体" w:hAnsi="宋体" w:eastAsia="宋体" w:cs="宋体"/>
          <w:b/>
          <w:color w:val="auto"/>
          <w:kern w:val="0"/>
          <w:sz w:val="32"/>
          <w:szCs w:val="20"/>
          <w:highlight w:val="none"/>
        </w:rPr>
      </w:pPr>
    </w:p>
    <w:p w14:paraId="240E803E">
      <w:pPr>
        <w:spacing w:line="360" w:lineRule="auto"/>
        <w:jc w:val="center"/>
        <w:rPr>
          <w:rFonts w:ascii="宋体" w:hAnsi="宋体" w:eastAsia="宋体" w:cs="宋体"/>
          <w:b/>
          <w:color w:val="auto"/>
          <w:kern w:val="0"/>
          <w:sz w:val="32"/>
          <w:szCs w:val="20"/>
          <w:highlight w:val="none"/>
        </w:rPr>
      </w:pPr>
    </w:p>
    <w:p w14:paraId="5B5A9C6B">
      <w:pPr>
        <w:spacing w:line="360" w:lineRule="auto"/>
        <w:jc w:val="center"/>
        <w:rPr>
          <w:rFonts w:ascii="宋体" w:hAnsi="宋体" w:eastAsia="宋体" w:cs="宋体"/>
          <w:b/>
          <w:color w:val="auto"/>
          <w:kern w:val="0"/>
          <w:sz w:val="32"/>
          <w:szCs w:val="20"/>
          <w:highlight w:val="none"/>
        </w:rPr>
      </w:pPr>
    </w:p>
    <w:p w14:paraId="3E2FA32A">
      <w:pPr>
        <w:spacing w:line="360" w:lineRule="auto"/>
        <w:jc w:val="center"/>
        <w:rPr>
          <w:rFonts w:ascii="宋体" w:hAnsi="宋体" w:eastAsia="宋体" w:cs="宋体"/>
          <w:b/>
          <w:color w:val="auto"/>
          <w:kern w:val="0"/>
          <w:sz w:val="32"/>
          <w:szCs w:val="20"/>
          <w:highlight w:val="none"/>
        </w:rPr>
      </w:pPr>
    </w:p>
    <w:p w14:paraId="44936A7C">
      <w:pPr>
        <w:spacing w:after="120"/>
        <w:ind w:left="1440" w:right="1440"/>
        <w:rPr>
          <w:rFonts w:ascii="宋体" w:hAnsi="宋体" w:eastAsia="宋体" w:cs="宋体"/>
          <w:b/>
          <w:color w:val="auto"/>
          <w:sz w:val="32"/>
          <w:szCs w:val="20"/>
          <w:highlight w:val="none"/>
        </w:rPr>
      </w:pPr>
    </w:p>
    <w:p w14:paraId="6668E3EC">
      <w:pPr>
        <w:spacing w:after="120"/>
        <w:ind w:left="1440" w:right="1440"/>
        <w:rPr>
          <w:rFonts w:ascii="宋体" w:hAnsi="宋体" w:eastAsia="宋体" w:cs="宋体"/>
          <w:b/>
          <w:color w:val="auto"/>
          <w:sz w:val="32"/>
          <w:szCs w:val="20"/>
          <w:highlight w:val="none"/>
        </w:rPr>
      </w:pPr>
    </w:p>
    <w:p w14:paraId="60FCBC82">
      <w:pPr>
        <w:spacing w:after="120"/>
        <w:ind w:left="1440" w:right="1440"/>
        <w:rPr>
          <w:rFonts w:ascii="宋体" w:hAnsi="宋体" w:eastAsia="宋体" w:cs="宋体"/>
          <w:b/>
          <w:color w:val="auto"/>
          <w:sz w:val="32"/>
          <w:szCs w:val="20"/>
          <w:highlight w:val="none"/>
        </w:rPr>
      </w:pPr>
    </w:p>
    <w:p w14:paraId="5AD8B705">
      <w:pPr>
        <w:spacing w:line="360" w:lineRule="auto"/>
        <w:ind w:firstLine="1279"/>
        <w:rPr>
          <w:rFonts w:hint="eastAsia" w:ascii="宋体" w:hAnsi="宋体" w:eastAsia="宋体" w:cs="Times New Roman"/>
          <w:b/>
          <w:bCs/>
          <w:color w:val="auto"/>
          <w:kern w:val="0"/>
          <w:sz w:val="32"/>
          <w:szCs w:val="32"/>
          <w:highlight w:val="none"/>
          <w:lang w:eastAsia="zh-CN"/>
        </w:rPr>
      </w:pPr>
      <w:r>
        <w:rPr>
          <w:rFonts w:hint="eastAsia" w:ascii="宋体" w:hAnsi="宋体" w:eastAsia="宋体" w:cs="Times New Roman"/>
          <w:b/>
          <w:bCs/>
          <w:color w:val="auto"/>
          <w:kern w:val="0"/>
          <w:sz w:val="32"/>
          <w:szCs w:val="32"/>
          <w:highlight w:val="none"/>
        </w:rPr>
        <w:t xml:space="preserve">采购人： </w:t>
      </w:r>
      <w:r>
        <w:rPr>
          <w:rFonts w:hint="eastAsia" w:ascii="宋体" w:hAnsi="宋体" w:eastAsia="宋体" w:cs="Times New Roman"/>
          <w:b/>
          <w:bCs/>
          <w:color w:val="auto"/>
          <w:kern w:val="0"/>
          <w:sz w:val="32"/>
          <w:szCs w:val="32"/>
          <w:highlight w:val="none"/>
          <w:lang w:eastAsia="zh-CN"/>
        </w:rPr>
        <w:t>江苏连云港化工产业园区管理委员会</w:t>
      </w:r>
    </w:p>
    <w:p w14:paraId="46F214F4">
      <w:pPr>
        <w:spacing w:line="360" w:lineRule="auto"/>
        <w:ind w:firstLine="1279"/>
        <w:rPr>
          <w:rFonts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rPr>
        <w:t>中标人：</w:t>
      </w:r>
    </w:p>
    <w:p w14:paraId="501AC22F">
      <w:pPr>
        <w:keepNext/>
        <w:jc w:val="center"/>
        <w:outlineLvl w:val="0"/>
        <w:rPr>
          <w:rFonts w:ascii="黑体" w:hAnsi="Times New Roman" w:eastAsia="黑体" w:cs="Times New Roman"/>
          <w:bCs/>
          <w:color w:val="auto"/>
          <w:sz w:val="44"/>
          <w:szCs w:val="28"/>
          <w:highlight w:val="none"/>
        </w:rPr>
      </w:pPr>
      <w:r>
        <w:rPr>
          <w:rFonts w:ascii="宋体" w:hAnsi="宋体" w:eastAsia="楷体_GB2312" w:cs="宋体"/>
          <w:color w:val="auto"/>
          <w:sz w:val="32"/>
          <w:szCs w:val="20"/>
          <w:highlight w:val="none"/>
        </w:rPr>
        <w:br w:type="page" w:clear="all"/>
      </w:r>
    </w:p>
    <w:p w14:paraId="2D987458">
      <w:pPr>
        <w:spacing w:line="500" w:lineRule="exact"/>
        <w:ind w:firstLine="480"/>
        <w:rPr>
          <w:rFonts w:ascii="宋体" w:hAnsi="宋体" w:eastAsia="宋体" w:cs="Times New Roman"/>
          <w:bCs/>
          <w:color w:val="auto"/>
          <w:kern w:val="0"/>
          <w:sz w:val="24"/>
          <w:szCs w:val="21"/>
          <w:highlight w:val="none"/>
        </w:rPr>
      </w:pPr>
      <w:bookmarkStart w:id="135" w:name="_Toc20823315"/>
      <w:bookmarkStart w:id="136" w:name="_Toc16938559"/>
      <w:bookmarkStart w:id="137" w:name="_Toc513029243"/>
      <w:r>
        <w:rPr>
          <w:rFonts w:hint="eastAsia" w:ascii="宋体" w:hAnsi="宋体" w:eastAsia="宋体" w:cs="Times New Roman"/>
          <w:bCs/>
          <w:color w:val="auto"/>
          <w:kern w:val="0"/>
          <w:sz w:val="24"/>
          <w:szCs w:val="21"/>
          <w:highlight w:val="none"/>
        </w:rPr>
        <w:t>以下为中标后签定本项目合同的通用条款，中标人不得提出实质性的修改。</w:t>
      </w:r>
    </w:p>
    <w:p w14:paraId="4CB423B1">
      <w:pPr>
        <w:keepNext/>
        <w:spacing w:line="360" w:lineRule="auto"/>
        <w:jc w:val="center"/>
        <w:outlineLvl w:val="0"/>
        <w:rPr>
          <w:rFonts w:ascii="宋体" w:hAnsi="Times New Roman" w:eastAsia="楷体_GB2312" w:cs="Times New Roman"/>
          <w:color w:val="auto"/>
          <w:sz w:val="36"/>
          <w:szCs w:val="36"/>
          <w:highlight w:val="none"/>
        </w:rPr>
      </w:pPr>
      <w:r>
        <w:rPr>
          <w:rFonts w:hint="eastAsia" w:ascii="宋体" w:hAnsi="宋体" w:eastAsia="楷体_GB2312" w:cs="宋体"/>
          <w:color w:val="auto"/>
          <w:sz w:val="36"/>
          <w:szCs w:val="36"/>
          <w:highlight w:val="none"/>
        </w:rPr>
        <w:t>合同条款及格式</w:t>
      </w:r>
    </w:p>
    <w:p w14:paraId="35CA2155">
      <w:pPr>
        <w:tabs>
          <w:tab w:val="left" w:pos="180"/>
        </w:tabs>
        <w:spacing w:line="400" w:lineRule="exact"/>
        <w:rPr>
          <w:rFonts w:ascii="宋体" w:hAnsi="Times New Roman" w:eastAsia="宋体" w:cs="Times New Roman"/>
          <w:b/>
          <w:bCs/>
          <w:color w:val="auto"/>
          <w:kern w:val="0"/>
          <w:sz w:val="24"/>
          <w:highlight w:val="none"/>
        </w:rPr>
      </w:pPr>
      <w:r>
        <w:rPr>
          <w:rFonts w:hint="eastAsia" w:ascii="宋体" w:hAnsi="宋体" w:eastAsia="宋体" w:cs="宋体"/>
          <w:b/>
          <w:bCs/>
          <w:color w:val="auto"/>
          <w:kern w:val="0"/>
          <w:sz w:val="24"/>
          <w:highlight w:val="none"/>
        </w:rPr>
        <w:t>注</w:t>
      </w:r>
      <w:r>
        <w:rPr>
          <w:rFonts w:ascii="宋体" w:hAnsi="宋体" w:eastAsia="宋体" w:cs="宋体"/>
          <w:b/>
          <w:bCs/>
          <w:color w:val="auto"/>
          <w:kern w:val="0"/>
          <w:sz w:val="24"/>
          <w:highlight w:val="none"/>
        </w:rPr>
        <w:t>:</w:t>
      </w:r>
      <w:r>
        <w:rPr>
          <w:rFonts w:hint="eastAsia" w:ascii="宋体" w:hAnsi="宋体" w:eastAsia="宋体" w:cs="宋体"/>
          <w:b/>
          <w:bCs/>
          <w:color w:val="auto"/>
          <w:kern w:val="0"/>
          <w:sz w:val="24"/>
          <w:highlight w:val="none"/>
        </w:rPr>
        <w:t>以下为采购人提出中标后签订本项目合同的主要条款及通用条款，投标人必须实质性响应，中标供应商不得提出实质性的修改，关于专用条款将由采购人与中标供应商结合本项目具体情况协商后签订。</w:t>
      </w:r>
    </w:p>
    <w:bookmarkEnd w:id="135"/>
    <w:bookmarkEnd w:id="136"/>
    <w:bookmarkEnd w:id="137"/>
    <w:p w14:paraId="266D802A">
      <w:pPr>
        <w:spacing w:before="145" w:after="145" w:line="360" w:lineRule="auto"/>
        <w:jc w:val="center"/>
        <w:rPr>
          <w:rFonts w:ascii="宋体" w:hAnsi="宋体" w:eastAsia="宋体" w:cs="宋体"/>
          <w:color w:val="auto"/>
          <w:sz w:val="24"/>
          <w:highlight w:val="none"/>
        </w:rPr>
      </w:pPr>
      <w:r>
        <w:rPr>
          <w:rFonts w:hint="eastAsia" w:ascii="宋体" w:hAnsi="宋体" w:eastAsia="宋体" w:cs="宋体"/>
          <w:b/>
          <w:bCs/>
          <w:color w:val="auto"/>
          <w:sz w:val="30"/>
          <w:szCs w:val="30"/>
          <w:highlight w:val="none"/>
        </w:rPr>
        <w:t>江苏省政府采购合同（合同编号）</w:t>
      </w:r>
    </w:p>
    <w:p w14:paraId="51DA8D45">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p w14:paraId="486A6AE1">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项目编号：</w:t>
      </w:r>
    </w:p>
    <w:p w14:paraId="35931946">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甲方：（买方）_________</w:t>
      </w:r>
    </w:p>
    <w:p w14:paraId="673D5C9B">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乙方：（卖方）_________</w:t>
      </w:r>
    </w:p>
    <w:p w14:paraId="38169FC5">
      <w:pPr>
        <w:numPr>
          <w:ilvl w:val="0"/>
          <w:numId w:val="5"/>
        </w:numPr>
        <w:spacing w:before="120" w:after="120" w:line="400" w:lineRule="exact"/>
        <w:ind w:firstLine="482" w:firstLineChars="200"/>
        <w:rPr>
          <w:rFonts w:ascii="宋体" w:hAnsi="宋体" w:eastAsia="宋体" w:cs="宋体"/>
          <w:b/>
          <w:bCs/>
          <w:color w:val="auto"/>
          <w:sz w:val="24"/>
          <w:highlight w:val="none"/>
        </w:rPr>
      </w:pPr>
      <w:r>
        <w:rPr>
          <w:rFonts w:hint="eastAsia" w:ascii="宋体" w:hAnsi="宋体" w:eastAsia="宋体" w:cs="宋体"/>
          <w:b/>
          <w:bCs/>
          <w:color w:val="auto"/>
          <w:sz w:val="24"/>
          <w:highlight w:val="none"/>
        </w:rPr>
        <w:t>乙双方根据       年    月   日【标段名称】项目（标段编号：【标段编号】） 招标的结果，签订本合同。</w:t>
      </w:r>
    </w:p>
    <w:p w14:paraId="56FC0CE6">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一、合同内容</w:t>
      </w:r>
    </w:p>
    <w:p w14:paraId="1E87C692">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1.1  服务内容：      。</w:t>
      </w:r>
    </w:p>
    <w:p w14:paraId="59D9A1E9">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1.2  服务期限：      。</w:t>
      </w:r>
    </w:p>
    <w:p w14:paraId="0D253D71">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1.3  补充条款：     。</w:t>
      </w:r>
    </w:p>
    <w:p w14:paraId="68B2CAB3">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二、合同金额</w:t>
      </w:r>
    </w:p>
    <w:p w14:paraId="2E172D24">
      <w:pPr>
        <w:spacing w:before="120" w:after="120" w:line="400" w:lineRule="exact"/>
        <w:ind w:left="410" w:hanging="410"/>
        <w:rPr>
          <w:rFonts w:ascii="宋体" w:hAnsi="宋体" w:eastAsia="宋体" w:cs="宋体"/>
          <w:color w:val="auto"/>
          <w:sz w:val="24"/>
          <w:highlight w:val="none"/>
        </w:rPr>
      </w:pPr>
      <w:r>
        <w:rPr>
          <w:rFonts w:hint="eastAsia" w:ascii="宋体" w:hAnsi="宋体" w:eastAsia="宋体" w:cs="宋体"/>
          <w:color w:val="auto"/>
          <w:sz w:val="24"/>
          <w:highlight w:val="none"/>
        </w:rPr>
        <w:t>2.1 本合同金额为（大写）：____________（__________元）人民币。</w:t>
      </w:r>
    </w:p>
    <w:p w14:paraId="4A2B7813">
      <w:pPr>
        <w:spacing w:line="400" w:lineRule="exact"/>
        <w:jc w:val="left"/>
        <w:rPr>
          <w:rFonts w:ascii="宋体" w:hAnsi="宋体" w:eastAsia="宋体" w:cs="宋体"/>
          <w:color w:val="auto"/>
          <w:kern w:val="0"/>
          <w:sz w:val="24"/>
          <w:highlight w:val="none"/>
        </w:rPr>
      </w:pPr>
      <w:r>
        <w:rPr>
          <w:rFonts w:hint="eastAsia" w:ascii="宋体" w:hAnsi="宋体" w:eastAsia="宋体" w:cs="Times New Roman"/>
          <w:color w:val="auto"/>
          <w:kern w:val="0"/>
          <w:sz w:val="24"/>
          <w:highlight w:val="none"/>
        </w:rPr>
        <w:t xml:space="preserve">2.2 </w:t>
      </w:r>
      <w:r>
        <w:rPr>
          <w:rFonts w:ascii="宋体" w:hAnsi="宋体" w:eastAsia="宋体" w:cs="Times New Roman"/>
          <w:color w:val="auto"/>
          <w:kern w:val="0"/>
          <w:sz w:val="24"/>
          <w:highlight w:val="none"/>
        </w:rPr>
        <w:t>本合同价款包含所有乙方提供合同约定产品和服务的报酬及乙方提供合同中产品和服务所支出的必要费用，甲方在上述合同价款之外不再向乙方支付其他任何费用。</w:t>
      </w:r>
    </w:p>
    <w:p w14:paraId="00AA3B03">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三、技术资料</w:t>
      </w:r>
    </w:p>
    <w:p w14:paraId="1DA687DB">
      <w:pPr>
        <w:spacing w:before="120" w:after="120" w:line="400" w:lineRule="exact"/>
        <w:ind w:left="410" w:hanging="410"/>
        <w:rPr>
          <w:rFonts w:ascii="宋体" w:hAnsi="宋体" w:eastAsia="宋体" w:cs="宋体"/>
          <w:color w:val="auto"/>
          <w:sz w:val="24"/>
          <w:szCs w:val="21"/>
          <w:highlight w:val="none"/>
        </w:rPr>
      </w:pPr>
      <w:r>
        <w:rPr>
          <w:rFonts w:hint="eastAsia" w:ascii="宋体" w:hAnsi="宋体" w:eastAsia="宋体" w:cs="宋体"/>
          <w:color w:val="auto"/>
          <w:sz w:val="24"/>
          <w:highlight w:val="none"/>
        </w:rPr>
        <w:t>3.1乙方应按招标文件规定的时间向甲方提供与合同标的有关的技术资料。</w:t>
      </w:r>
    </w:p>
    <w:p w14:paraId="18B6A505">
      <w:pPr>
        <w:spacing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1E5623C">
      <w:pPr>
        <w:spacing w:before="120" w:after="120" w:line="400" w:lineRule="exact"/>
        <w:ind w:left="412" w:hanging="412"/>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四、知识产权</w:t>
      </w:r>
    </w:p>
    <w:p w14:paraId="47F65679">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4.1乙方应保证甲方在使用、接受本合同标的或其任何一部分时不受第三方提出侵犯其专利权、版权、商标权和工业设计权等知识产权的起诉。一旦出现侵权，由乙方负全部责任。</w:t>
      </w:r>
    </w:p>
    <w:p w14:paraId="50604AC4">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五、产权担保</w:t>
      </w:r>
    </w:p>
    <w:p w14:paraId="19212B74">
      <w:pPr>
        <w:spacing w:before="120" w:after="120" w:line="400" w:lineRule="exact"/>
        <w:ind w:left="408" w:hanging="408"/>
        <w:rPr>
          <w:rFonts w:ascii="宋体" w:hAnsi="宋体" w:eastAsia="宋体" w:cs="宋体"/>
          <w:color w:val="auto"/>
          <w:sz w:val="24"/>
          <w:szCs w:val="21"/>
          <w:highlight w:val="none"/>
        </w:rPr>
      </w:pPr>
      <w:r>
        <w:rPr>
          <w:rFonts w:hint="eastAsia" w:ascii="宋体" w:hAnsi="宋体" w:eastAsia="宋体" w:cs="宋体"/>
          <w:color w:val="auto"/>
          <w:sz w:val="24"/>
          <w:highlight w:val="none"/>
        </w:rPr>
        <w:t>5.1 乙方保证所交付的合同标的的所有权完全属于乙方且无任何抵押、查封等产权瑕疵。</w:t>
      </w:r>
    </w:p>
    <w:p w14:paraId="288CCA59">
      <w:pPr>
        <w:spacing w:before="120" w:after="120" w:line="400" w:lineRule="exact"/>
        <w:ind w:left="410" w:hanging="410"/>
        <w:rPr>
          <w:rFonts w:ascii="宋体" w:hAnsi="宋体" w:eastAsia="宋体" w:cs="宋体"/>
          <w:b/>
          <w:bCs/>
          <w:color w:val="auto"/>
          <w:sz w:val="24"/>
          <w:highlight w:val="none"/>
        </w:rPr>
      </w:pPr>
      <w:r>
        <w:rPr>
          <w:rFonts w:hint="eastAsia" w:ascii="宋体" w:hAnsi="宋体" w:eastAsia="宋体" w:cs="宋体"/>
          <w:b/>
          <w:bCs/>
          <w:color w:val="auto"/>
          <w:sz w:val="24"/>
          <w:highlight w:val="none"/>
        </w:rPr>
        <w:t>六、履约保证金：</w:t>
      </w:r>
      <w:r>
        <w:rPr>
          <w:rFonts w:hint="eastAsia" w:ascii="宋体" w:hAnsi="宋体" w:eastAsia="宋体" w:cs="宋体"/>
          <w:b/>
          <w:bCs/>
          <w:color w:val="auto"/>
          <w:sz w:val="24"/>
          <w:highlight w:val="none"/>
          <w:lang w:val="en-US" w:eastAsia="zh-CN"/>
        </w:rPr>
        <w:t>无</w:t>
      </w:r>
      <w:r>
        <w:rPr>
          <w:rFonts w:hint="eastAsia" w:ascii="宋体" w:hAnsi="宋体" w:eastAsia="宋体" w:cs="宋体"/>
          <w:b/>
          <w:bCs/>
          <w:color w:val="auto"/>
          <w:sz w:val="24"/>
          <w:highlight w:val="none"/>
        </w:rPr>
        <w:t>。</w:t>
      </w:r>
    </w:p>
    <w:p w14:paraId="3C3B7D91">
      <w:pPr>
        <w:spacing w:before="145" w:after="145"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七、合同转包或分包</w:t>
      </w:r>
    </w:p>
    <w:p w14:paraId="514CF738">
      <w:pPr>
        <w:spacing w:before="145" w:after="145"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7.1乙方不得将合同标的转包给他人履行。</w:t>
      </w:r>
    </w:p>
    <w:p w14:paraId="10B50D7E">
      <w:pPr>
        <w:spacing w:before="145" w:after="145"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7.2乙方不得将合同标的分包给他人履行。</w:t>
      </w:r>
    </w:p>
    <w:p w14:paraId="0CD34EB4">
      <w:pPr>
        <w:spacing w:before="145" w:after="145"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7.3乙方如有转包或未经甲方同意的分包行为，甲方有权解除合同。</w:t>
      </w:r>
    </w:p>
    <w:p w14:paraId="217EFE26">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八、合同款项支付</w:t>
      </w:r>
    </w:p>
    <w:p w14:paraId="735C1619">
      <w:pPr>
        <w:spacing w:before="145" w:after="145" w:line="400" w:lineRule="exact"/>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8.1合同款项的支付方式及进度安排：</w:t>
      </w:r>
    </w:p>
    <w:p w14:paraId="4C914210">
      <w:pPr>
        <w:spacing w:before="145" w:after="145" w:line="400" w:lineRule="exact"/>
        <w:ind w:firstLine="482" w:firstLineChars="200"/>
        <w:rPr>
          <w:rFonts w:hint="default"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rPr>
        <w:t>合同签订后付合同总价的30%，</w:t>
      </w:r>
      <w:r>
        <w:rPr>
          <w:rFonts w:hint="eastAsia" w:ascii="宋体" w:hAnsi="宋体" w:eastAsia="宋体" w:cs="宋体"/>
          <w:b/>
          <w:bCs/>
          <w:color w:val="auto"/>
          <w:sz w:val="24"/>
          <w:highlight w:val="none"/>
          <w:u w:val="none"/>
          <w:lang w:val="en-US" w:eastAsia="zh-CN"/>
        </w:rPr>
        <w:t>平台升级与运维服务</w:t>
      </w:r>
      <w:r>
        <w:rPr>
          <w:rFonts w:hint="eastAsia" w:ascii="宋体" w:hAnsi="宋体" w:eastAsia="宋体" w:cs="宋体"/>
          <w:b/>
          <w:bCs/>
          <w:color w:val="auto"/>
          <w:sz w:val="24"/>
          <w:highlight w:val="none"/>
          <w:u w:val="none"/>
        </w:rPr>
        <w:t>验收合格后付至合同总价的70%，</w:t>
      </w:r>
      <w:r>
        <w:rPr>
          <w:rFonts w:hint="eastAsia" w:ascii="宋体" w:hAnsi="宋体" w:eastAsia="宋体" w:cs="宋体"/>
          <w:b/>
          <w:bCs/>
          <w:color w:val="auto"/>
          <w:sz w:val="24"/>
          <w:highlight w:val="none"/>
          <w:u w:val="none"/>
          <w:lang w:val="en-US" w:eastAsia="zh-CN"/>
        </w:rPr>
        <w:t>项目经相关</w:t>
      </w:r>
      <w:r>
        <w:rPr>
          <w:rFonts w:hint="eastAsia" w:ascii="宋体" w:hAnsi="宋体" w:eastAsia="宋体" w:cs="宋体"/>
          <w:b/>
          <w:bCs/>
          <w:color w:val="auto"/>
          <w:sz w:val="24"/>
          <w:highlight w:val="none"/>
          <w:u w:val="none"/>
        </w:rPr>
        <w:t>审计后付至审计价格的100%</w:t>
      </w:r>
      <w:r>
        <w:rPr>
          <w:rFonts w:hint="eastAsia" w:ascii="宋体" w:hAnsi="宋体" w:eastAsia="宋体" w:cs="宋体"/>
          <w:b/>
          <w:bCs/>
          <w:color w:val="auto"/>
          <w:sz w:val="24"/>
          <w:highlight w:val="none"/>
          <w:u w:val="none"/>
          <w:lang w:val="en-US" w:eastAsia="zh-CN"/>
        </w:rPr>
        <w:t>。</w:t>
      </w:r>
    </w:p>
    <w:p w14:paraId="1FE8B878">
      <w:pPr>
        <w:spacing w:before="145" w:after="145" w:line="400" w:lineRule="exact"/>
        <w:ind w:firstLine="482" w:firstLineChars="200"/>
        <w:rPr>
          <w:rFonts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val="en-US" w:eastAsia="zh-CN"/>
        </w:rPr>
        <w:t>注：</w:t>
      </w:r>
      <w:r>
        <w:rPr>
          <w:rFonts w:hint="eastAsia" w:ascii="宋体" w:hAnsi="宋体" w:eastAsia="宋体" w:cs="宋体"/>
          <w:b/>
          <w:bCs/>
          <w:color w:val="auto"/>
          <w:sz w:val="24"/>
          <w:highlight w:val="none"/>
          <w:u w:val="none"/>
        </w:rPr>
        <w:t>每次付款前需出具等额增值税发票。</w:t>
      </w:r>
    </w:p>
    <w:p w14:paraId="3DF9A411">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8.2 当采购数量与实际使用数量不一致时，乙方根据实际使用量提供产品和服务，合同的最终结算金额按实际使用量乘以成交单价进行计算。</w:t>
      </w:r>
    </w:p>
    <w:p w14:paraId="2D17FD2A">
      <w:pPr>
        <w:spacing w:before="145" w:after="145"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九、税费</w:t>
      </w:r>
    </w:p>
    <w:p w14:paraId="0C57F7B2">
      <w:pPr>
        <w:spacing w:before="145" w:after="145"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9.1本合同执行中相关的一切税费均由乙方负担。</w:t>
      </w:r>
    </w:p>
    <w:p w14:paraId="25C62D6D">
      <w:pPr>
        <w:numPr>
          <w:ilvl w:val="0"/>
          <w:numId w:val="6"/>
        </w:numPr>
        <w:spacing w:before="120" w:after="12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项目验收</w:t>
      </w:r>
    </w:p>
    <w:p w14:paraId="3EC96632">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1、政府采购合同履约验收条件达到时，甲方应当在5个工作日内启动履约验收工作，并向乙方发出《政府采购履约验收通知单》。</w:t>
      </w:r>
    </w:p>
    <w:p w14:paraId="4F625D76">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2、甲方负责履约验收具体工作并应当成立验收小组。验收小组由甲方指定的本单位3名(含)以上单数工作人员组成，并确定一名负责人。参与本项目评审的甲方代表不能作为负责人，分期(分段)验收的负责人原则上应当保持一致，负责人不得无故更换。根据采购项目特点和实际需要，可以邀请相关领域专业技术人员等作为验收小组成员参与验收。前期参与本采购项目相关</w:t>
      </w:r>
      <w:r>
        <w:rPr>
          <w:rFonts w:hint="eastAsia" w:ascii="宋体" w:hAnsi="宋体" w:eastAsia="宋体" w:cs="宋体"/>
          <w:color w:val="auto"/>
          <w:sz w:val="24"/>
          <w:highlight w:val="none"/>
          <w:lang w:val="en-US" w:eastAsia="zh-CN"/>
        </w:rPr>
        <w:t>采</w:t>
      </w:r>
      <w:r>
        <w:rPr>
          <w:rFonts w:hint="eastAsia" w:ascii="宋体" w:hAnsi="宋体" w:eastAsia="宋体" w:cs="宋体"/>
          <w:color w:val="auto"/>
          <w:sz w:val="24"/>
          <w:highlight w:val="none"/>
        </w:rPr>
        <w:t>购活动的采购代理机构工作人员、评审专家以及与乙方有利害关系的人员，不得作为验收小组成员参与履约验收。财政部门政府采购监管人员不得作为验收小组成员参与履约验收。技术复杂或专业性强的政府采购项目，可以邀请有资质的第三方专业机构参加验收并出具专业意见。</w:t>
      </w:r>
    </w:p>
    <w:p w14:paraId="0BA854C8">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3、对于甲方和使用人分离的采购项目，甲方应当邀请实际使用人参与验收。</w:t>
      </w:r>
    </w:p>
    <w:p w14:paraId="53C9391F">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4、验收小组应当制定验收工作实施方案，按照方案开展验收，出具验收意见。验收意见应当客观真实反映政府采购合同履行情况。履约验收范围应当完整，与政府采购合同一致，不得省略、遗漏和缺失，也不得擅自扩大范围。</w:t>
      </w:r>
    </w:p>
    <w:p w14:paraId="69A14A81">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5、履约验收标准应当符合政府采购合同约定、法律法规以及国家强制性标准等，对服务类采购项目，可以参照行业标准、专业标准等。验收小组应当按照验收工作实施方案开展验收，对乙方提供服务按照采购文件、投标(响应)文件、封存样品、检测报告、政府采购合同等进行逐一核对、验收，并做好验收记录。</w:t>
      </w:r>
    </w:p>
    <w:p w14:paraId="6BB41472">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6、甲方、乙方应当对验收小组出具的验收意见进行确认，并形成政府采购履约验收书。对验收意见存在异议的，甲方与乙方双方可以协商解决，或通过法律途径解决。项目履约验收合格的，甲方应当根据政府采购合同约定及时向乙方支付采购资金、退还履约保证金，不得拖延、拖欠或非法扣留。项目验收不合格的，甲方应当停止支付采购资金，并按照政府采购合同约定追究乙方违约责任。</w:t>
      </w:r>
    </w:p>
    <w:p w14:paraId="76815498">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7、对履约验收发生的检测(检验)费等费用支出、验收小组成员中的专业技术人员费用支出由乙方承担，执行标准可参照江苏省政府采购专家评审费，</w:t>
      </w:r>
    </w:p>
    <w:p w14:paraId="5A973CBC">
      <w:pPr>
        <w:spacing w:before="145" w:after="145"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8、履约验收过程中的政府采购合同履行、违约责任和争议解决等事项，按照《中华人民共和国民法典》等法律法规和政府采购合同约定执行。</w:t>
      </w:r>
    </w:p>
    <w:p w14:paraId="7701D953">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十一、违约责任</w:t>
      </w:r>
    </w:p>
    <w:p w14:paraId="1CFB4DF9">
      <w:pPr>
        <w:spacing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11.1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highlight w:val="none"/>
          <w:u w:val="single"/>
        </w:rPr>
        <w:t>百分之五</w:t>
      </w:r>
      <w:r>
        <w:rPr>
          <w:rFonts w:hint="eastAsia" w:ascii="宋体" w:hAnsi="宋体" w:eastAsia="宋体" w:cs="宋体"/>
          <w:color w:val="auto"/>
          <w:sz w:val="24"/>
          <w:highlight w:val="none"/>
        </w:rPr>
        <w:t xml:space="preserve">的违约金，如造成甲方损失超过违约金的，超出部分由乙方继续承担赔偿责任。 </w:t>
      </w:r>
    </w:p>
    <w:p w14:paraId="6FEB1701">
      <w:pPr>
        <w:spacing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11.2 乙方交付合同标的的标准不符合合同规定及招标文件规定标准的，甲方有权拒绝接受合同标的，并可单方面解除合同。</w:t>
      </w:r>
    </w:p>
    <w:p w14:paraId="28DE817E">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十二、不可抗力事件处理</w:t>
      </w:r>
    </w:p>
    <w:p w14:paraId="7B1A89A0">
      <w:pPr>
        <w:spacing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12.1 在合同有效期内，任何一方因不可抗力事件导致不能履行合同，则合同履行期可延长，其延长期与不可抗力影响期相同。</w:t>
      </w:r>
    </w:p>
    <w:p w14:paraId="441EAA92">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12.2 不可抗力事件发生后，应立即通知对方，并寄送有关权威机构出具的证明。</w:t>
      </w:r>
    </w:p>
    <w:p w14:paraId="67828F29">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12.3 不可抗力事件延续120天以上，双方应通过友好协商，确定是否继续履行合同。</w:t>
      </w:r>
    </w:p>
    <w:p w14:paraId="16BAF5DC">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十三、解决争议的方法</w:t>
      </w:r>
    </w:p>
    <w:p w14:paraId="1D76A3DC">
      <w:pPr>
        <w:spacing w:line="400" w:lineRule="exact"/>
        <w:jc w:val="left"/>
        <w:rPr>
          <w:rFonts w:ascii="宋体" w:hAnsi="宋体" w:eastAsia="宋体" w:cs="Times New Roman"/>
          <w:color w:val="auto"/>
          <w:kern w:val="0"/>
          <w:sz w:val="24"/>
          <w:highlight w:val="none"/>
        </w:rPr>
      </w:pPr>
      <w:r>
        <w:rPr>
          <w:rFonts w:hint="eastAsia" w:ascii="宋体" w:hAnsi="宋体" w:eastAsia="宋体" w:cs="宋体"/>
          <w:color w:val="auto"/>
          <w:kern w:val="0"/>
          <w:sz w:val="24"/>
          <w:highlight w:val="none"/>
        </w:rPr>
        <w:t>13.1</w:t>
      </w:r>
      <w:r>
        <w:rPr>
          <w:rFonts w:ascii="宋体" w:hAnsi="宋体" w:eastAsia="宋体" w:cs="Times New Roman"/>
          <w:color w:val="auto"/>
          <w:kern w:val="0"/>
          <w:sz w:val="24"/>
          <w:highlight w:val="none"/>
        </w:rPr>
        <w:t>甲、乙</w:t>
      </w:r>
      <w:r>
        <w:rPr>
          <w:rFonts w:hint="eastAsia" w:ascii="宋体" w:hAnsi="宋体" w:eastAsia="宋体" w:cs="Times New Roman"/>
          <w:color w:val="auto"/>
          <w:kern w:val="0"/>
          <w:sz w:val="24"/>
          <w:highlight w:val="none"/>
        </w:rPr>
        <w:t>双方在执行合同中所发生的一切争议，</w:t>
      </w:r>
      <w:r>
        <w:rPr>
          <w:rFonts w:hint="eastAsia" w:ascii="宋体" w:hAnsi="宋体" w:eastAsia="宋体" w:cs="宋体"/>
          <w:color w:val="auto"/>
          <w:kern w:val="0"/>
          <w:sz w:val="24"/>
          <w:highlight w:val="none"/>
        </w:rPr>
        <w:t>应通过友好协商解决</w:t>
      </w:r>
      <w:r>
        <w:rPr>
          <w:rFonts w:hint="eastAsia" w:ascii="宋体" w:hAnsi="宋体" w:eastAsia="宋体" w:cs="Times New Roman"/>
          <w:color w:val="auto"/>
          <w:kern w:val="0"/>
          <w:sz w:val="24"/>
          <w:highlight w:val="none"/>
        </w:rPr>
        <w:t>。如协商不成，按下列第</w:t>
      </w:r>
      <w:r>
        <w:rPr>
          <w:rFonts w:hint="eastAsia" w:ascii="宋体" w:hAnsi="宋体" w:eastAsia="宋体" w:cs="Times New Roman"/>
          <w:color w:val="auto"/>
          <w:kern w:val="0"/>
          <w:sz w:val="24"/>
          <w:highlight w:val="none"/>
          <w:u w:val="single"/>
        </w:rPr>
        <w:t xml:space="preserve"> （2） </w:t>
      </w:r>
      <w:r>
        <w:rPr>
          <w:rFonts w:hint="eastAsia" w:ascii="宋体" w:hAnsi="宋体" w:eastAsia="宋体" w:cs="Times New Roman"/>
          <w:color w:val="auto"/>
          <w:kern w:val="0"/>
          <w:sz w:val="24"/>
          <w:highlight w:val="none"/>
        </w:rPr>
        <w:t>种方式解决：</w:t>
      </w:r>
    </w:p>
    <w:p w14:paraId="6B78E578">
      <w:pPr>
        <w:spacing w:line="400" w:lineRule="exact"/>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（1）向连云港仲裁委员会申请仲裁。</w:t>
      </w:r>
    </w:p>
    <w:p w14:paraId="18080F6D">
      <w:pPr>
        <w:spacing w:line="400" w:lineRule="exact"/>
        <w:jc w:val="left"/>
        <w:rPr>
          <w:rFonts w:ascii="Times New Roman" w:hAnsi="Times New Roman" w:eastAsia="宋体" w:cs="Times New Roman"/>
          <w:color w:val="auto"/>
          <w:kern w:val="0"/>
          <w:szCs w:val="21"/>
          <w:highlight w:val="none"/>
        </w:rPr>
      </w:pPr>
      <w:r>
        <w:rPr>
          <w:rFonts w:hint="eastAsia" w:ascii="宋体" w:hAnsi="宋体" w:eastAsia="宋体" w:cs="Times New Roman"/>
          <w:color w:val="auto"/>
          <w:kern w:val="0"/>
          <w:sz w:val="24"/>
          <w:highlight w:val="none"/>
        </w:rPr>
        <w:t>（2）向合同签订地法院起诉，合同签订地在此约定为</w:t>
      </w:r>
      <w:r>
        <w:rPr>
          <w:rFonts w:hint="eastAsia" w:ascii="宋体" w:hAnsi="宋体" w:eastAsia="宋体" w:cs="Times New Roman"/>
          <w:color w:val="auto"/>
          <w:kern w:val="0"/>
          <w:sz w:val="24"/>
          <w:highlight w:val="none"/>
          <w:lang w:eastAsia="zh-CN"/>
        </w:rPr>
        <w:t>连云港市灌南县</w:t>
      </w:r>
      <w:r>
        <w:rPr>
          <w:rFonts w:hint="eastAsia" w:ascii="宋体" w:hAnsi="宋体" w:eastAsia="宋体" w:cs="Times New Roman"/>
          <w:color w:val="auto"/>
          <w:kern w:val="0"/>
          <w:sz w:val="24"/>
          <w:highlight w:val="none"/>
        </w:rPr>
        <w:t>。</w:t>
      </w:r>
    </w:p>
    <w:p w14:paraId="0844928E">
      <w:pPr>
        <w:spacing w:before="120" w:after="120" w:line="400" w:lineRule="exact"/>
        <w:rPr>
          <w:rFonts w:ascii="宋体" w:hAnsi="宋体" w:eastAsia="宋体" w:cs="宋体"/>
          <w:color w:val="auto"/>
          <w:sz w:val="24"/>
          <w:szCs w:val="21"/>
          <w:highlight w:val="none"/>
        </w:rPr>
      </w:pPr>
      <w:r>
        <w:rPr>
          <w:rFonts w:hint="eastAsia" w:ascii="宋体" w:hAnsi="宋体" w:eastAsia="宋体" w:cs="宋体"/>
          <w:b/>
          <w:bCs/>
          <w:color w:val="auto"/>
          <w:sz w:val="24"/>
          <w:highlight w:val="none"/>
        </w:rPr>
        <w:t>十四、合同生效及其它</w:t>
      </w:r>
    </w:p>
    <w:p w14:paraId="49B70FC7">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14.1 合同经双方法定代表人或授权委托代表人</w:t>
      </w:r>
      <w:r>
        <w:rPr>
          <w:rFonts w:hint="eastAsia" w:ascii="宋体" w:hAnsi="宋体" w:eastAsia="宋体" w:cs="宋体"/>
          <w:b/>
          <w:bCs/>
          <w:color w:val="auto"/>
          <w:sz w:val="24"/>
          <w:highlight w:val="none"/>
          <w:u w:val="single"/>
        </w:rPr>
        <w:t>签字或盖章并加盖单位公章后</w:t>
      </w:r>
      <w:r>
        <w:rPr>
          <w:rFonts w:hint="eastAsia" w:ascii="宋体" w:hAnsi="宋体" w:eastAsia="宋体" w:cs="宋体"/>
          <w:color w:val="auto"/>
          <w:sz w:val="24"/>
          <w:highlight w:val="none"/>
        </w:rPr>
        <w:t>生效。</w:t>
      </w:r>
    </w:p>
    <w:p w14:paraId="0EE515FE">
      <w:pPr>
        <w:spacing w:before="120" w:after="120" w:line="4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14.2本合同未尽事宜，遵照《民法典》、《政府采购法》有关条文执行。</w:t>
      </w:r>
    </w:p>
    <w:p w14:paraId="05897CCE">
      <w:pPr>
        <w:spacing w:before="120" w:after="120" w:line="400" w:lineRule="exact"/>
        <w:ind w:left="480" w:hanging="480"/>
        <w:rPr>
          <w:rFonts w:ascii="宋体" w:hAnsi="宋体" w:eastAsia="宋体" w:cs="宋体"/>
          <w:color w:val="auto"/>
          <w:sz w:val="24"/>
          <w:szCs w:val="21"/>
          <w:highlight w:val="none"/>
        </w:rPr>
      </w:pPr>
      <w:r>
        <w:rPr>
          <w:rFonts w:hint="eastAsia" w:ascii="宋体" w:hAnsi="宋体" w:eastAsia="宋体" w:cs="宋体"/>
          <w:color w:val="auto"/>
          <w:sz w:val="24"/>
          <w:highlight w:val="none"/>
        </w:rPr>
        <w:t>14.3 本合同正本一式陆份，具有同等法律效力，甲方、乙方及财政监管部门各执二份。</w:t>
      </w:r>
    </w:p>
    <w:p w14:paraId="0685A1E9">
      <w:pPr>
        <w:spacing w:before="120" w:after="120" w:line="400" w:lineRule="exact"/>
        <w:ind w:left="480" w:hanging="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FA12E87">
      <w:pPr>
        <w:spacing w:before="120" w:after="120" w:line="400" w:lineRule="exact"/>
        <w:ind w:left="480" w:hanging="480"/>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甲方（公章）：                乙方（公章）： </w:t>
      </w:r>
    </w:p>
    <w:p w14:paraId="7582C46F">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地址： </w:t>
      </w:r>
    </w:p>
    <w:p w14:paraId="34B6DCE5">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法定代表人或授权代表                法定代表人或授权代表：</w:t>
      </w:r>
    </w:p>
    <w:p w14:paraId="66451FB8">
      <w:pPr>
        <w:spacing w:before="120" w:after="12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（签字或盖章）：                           （签字或盖章）： </w:t>
      </w:r>
    </w:p>
    <w:p w14:paraId="04DED095">
      <w:pPr>
        <w:spacing w:line="40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                         联系电话：             </w:t>
      </w:r>
    </w:p>
    <w:p w14:paraId="72F48578">
      <w:pPr>
        <w:spacing w:line="400" w:lineRule="exact"/>
        <w:jc w:val="left"/>
        <w:rPr>
          <w:rFonts w:ascii="宋体" w:hAnsi="宋体" w:eastAsia="宋体" w:cs="宋体"/>
          <w:color w:val="auto"/>
          <w:sz w:val="24"/>
          <w:highlight w:val="none"/>
        </w:rPr>
      </w:pPr>
      <w:r>
        <w:rPr>
          <w:rFonts w:hint="eastAsia" w:ascii="宋体" w:hAnsi="宋体" w:eastAsia="宋体" w:cs="宋体"/>
          <w:color w:val="auto"/>
          <w:sz w:val="24"/>
          <w:highlight w:val="none"/>
        </w:rPr>
        <w:t>签订日期：2025 年  月  日                 签订日期：  年   月  日</w:t>
      </w:r>
    </w:p>
    <w:p w14:paraId="29B14647">
      <w:pPr>
        <w:rPr>
          <w:rFonts w:ascii="黑体" w:hAnsi="Times New Roman" w:eastAsia="黑体" w:cs="Times New Roman"/>
          <w:bCs/>
          <w:color w:val="auto"/>
          <w:kern w:val="0"/>
          <w:sz w:val="44"/>
          <w:szCs w:val="21"/>
          <w:highlight w:val="none"/>
        </w:rPr>
      </w:pPr>
      <w:r>
        <w:rPr>
          <w:rFonts w:hint="eastAsia" w:ascii="黑体" w:hAnsi="Times New Roman" w:eastAsia="黑体" w:cs="Times New Roman"/>
          <w:bCs/>
          <w:color w:val="auto"/>
          <w:kern w:val="0"/>
          <w:sz w:val="44"/>
          <w:szCs w:val="21"/>
          <w:highlight w:val="none"/>
        </w:rPr>
        <w:br w:type="page"/>
      </w:r>
    </w:p>
    <w:p w14:paraId="10E1EB09">
      <w:pPr>
        <w:keepNext/>
        <w:jc w:val="center"/>
        <w:outlineLvl w:val="0"/>
        <w:rPr>
          <w:rFonts w:ascii="黑体" w:hAnsi="Times New Roman" w:eastAsia="黑体" w:cs="Times New Roman"/>
          <w:bCs/>
          <w:color w:val="auto"/>
          <w:sz w:val="44"/>
          <w:szCs w:val="28"/>
          <w:highlight w:val="none"/>
        </w:rPr>
      </w:pPr>
      <w:r>
        <w:rPr>
          <w:rFonts w:hint="eastAsia" w:ascii="黑体" w:hAnsi="Times New Roman" w:eastAsia="黑体" w:cs="Times New Roman"/>
          <w:bCs/>
          <w:color w:val="auto"/>
          <w:sz w:val="44"/>
          <w:szCs w:val="28"/>
          <w:highlight w:val="none"/>
        </w:rPr>
        <w:t>第</w:t>
      </w:r>
      <w:bookmarkEnd w:id="129"/>
      <w:r>
        <w:rPr>
          <w:rFonts w:hint="eastAsia" w:ascii="黑体" w:hAnsi="Times New Roman" w:eastAsia="黑体" w:cs="Times New Roman"/>
          <w:bCs/>
          <w:color w:val="auto"/>
          <w:sz w:val="44"/>
          <w:szCs w:val="28"/>
          <w:highlight w:val="none"/>
        </w:rPr>
        <w:t>四章 采购需求</w:t>
      </w:r>
      <w:bookmarkEnd w:id="130"/>
      <w:bookmarkEnd w:id="131"/>
      <w:bookmarkEnd w:id="132"/>
    </w:p>
    <w:p w14:paraId="4602788F">
      <w:pPr>
        <w:rPr>
          <w:rFonts w:ascii="宋体" w:hAnsi="宋体" w:eastAsia="宋体" w:cs="宋体"/>
          <w:b/>
          <w:color w:val="auto"/>
          <w:sz w:val="24"/>
          <w:highlight w:val="none"/>
        </w:rPr>
      </w:pPr>
      <w:bookmarkStart w:id="138" w:name="_Toc26554093"/>
      <w:bookmarkStart w:id="139" w:name="_Toc49090575"/>
      <w:r>
        <w:rPr>
          <w:rFonts w:hint="eastAsia" w:ascii="宋体" w:hAnsi="宋体" w:eastAsia="宋体" w:cs="宋体"/>
          <w:b/>
          <w:color w:val="auto"/>
          <w:sz w:val="24"/>
          <w:highlight w:val="none"/>
        </w:rPr>
        <w:t xml:space="preserve">一、项目说明 </w:t>
      </w:r>
    </w:p>
    <w:p w14:paraId="67D7D9F1">
      <w:pPr>
        <w:spacing w:line="360" w:lineRule="auto"/>
        <w:ind w:firstLine="480"/>
        <w:jc w:val="left"/>
        <w:rPr>
          <w:rFonts w:ascii="宋体" w:hAnsi="宋体" w:eastAsia="宋体" w:cs="宋体"/>
          <w:b/>
          <w:color w:val="auto"/>
          <w:kern w:val="0"/>
          <w:sz w:val="24"/>
          <w:highlight w:val="none"/>
        </w:rPr>
      </w:pPr>
      <w:r>
        <w:rPr>
          <w:rFonts w:hint="eastAsia" w:ascii="Times New Roman" w:hAnsi="Times New Roman" w:eastAsia="宋体" w:cs="Times New Roman"/>
          <w:b/>
          <w:color w:val="auto"/>
          <w:kern w:val="0"/>
          <w:sz w:val="24"/>
          <w:highlight w:val="none"/>
        </w:rPr>
        <w:t>一、说明：本项目属性为</w:t>
      </w:r>
      <w:r>
        <w:rPr>
          <w:rFonts w:hint="eastAsia" w:ascii="Times New Roman" w:hAnsi="Times New Roman" w:eastAsia="宋体" w:cs="Times New Roman"/>
          <w:b/>
          <w:color w:val="auto"/>
          <w:kern w:val="0"/>
          <w:sz w:val="24"/>
          <w:highlight w:val="none"/>
          <w:u w:val="single"/>
        </w:rPr>
        <w:t>服务</w:t>
      </w:r>
      <w:r>
        <w:rPr>
          <w:rFonts w:hint="eastAsia" w:ascii="Times New Roman" w:hAnsi="Times New Roman" w:eastAsia="宋体" w:cs="Times New Roman"/>
          <w:b/>
          <w:color w:val="auto"/>
          <w:kern w:val="0"/>
          <w:sz w:val="24"/>
          <w:highlight w:val="none"/>
        </w:rPr>
        <w:t>，</w:t>
      </w:r>
      <w:r>
        <w:rPr>
          <w:rFonts w:hint="eastAsia" w:ascii="宋体" w:hAnsi="宋体" w:eastAsia="宋体" w:cs="宋体"/>
          <w:b/>
          <w:color w:val="auto"/>
          <w:kern w:val="0"/>
          <w:sz w:val="24"/>
          <w:highlight w:val="none"/>
        </w:rPr>
        <w:t>采购方式为公开招标，采购标的对应的中小企业划分标准所属行业为其</w:t>
      </w:r>
      <w:r>
        <w:rPr>
          <w:rFonts w:hint="eastAsia" w:ascii="宋体" w:hAnsi="宋体" w:eastAsia="宋体" w:cs="宋体"/>
          <w:b/>
          <w:color w:val="auto"/>
          <w:kern w:val="0"/>
          <w:sz w:val="24"/>
          <w:highlight w:val="none"/>
          <w:u w:val="single"/>
        </w:rPr>
        <w:t>他未列明行业 。</w:t>
      </w:r>
    </w:p>
    <w:p w14:paraId="5ED0E424">
      <w:pPr>
        <w:spacing w:line="360" w:lineRule="auto"/>
        <w:ind w:firstLine="480"/>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u w:val="single"/>
        </w:rPr>
        <w:t>其他未列明</w:t>
      </w:r>
      <w:r>
        <w:rPr>
          <w:rFonts w:hint="eastAsia" w:ascii="宋体" w:hAnsi="宋体" w:eastAsia="宋体" w:cs="宋体"/>
          <w:color w:val="auto"/>
          <w:kern w:val="0"/>
          <w:sz w:val="24"/>
          <w:highlight w:val="none"/>
        </w:rPr>
        <w:t>行业划型标准：从业人员300人以下的为中小微型企业。其中，从业人员100人及以上的为中型企业；从业人员10人及以上的为小型企业；从业人员10人以下的为微型企业。</w:t>
      </w:r>
    </w:p>
    <w:p w14:paraId="0ECD2102">
      <w:pPr>
        <w:spacing w:line="460" w:lineRule="exact"/>
        <w:rPr>
          <w:rFonts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1.根据《政府采购需求管理办法》等有关规定，采购人确定采购需求。</w:t>
      </w:r>
    </w:p>
    <w:p w14:paraId="6E77FABA">
      <w:pPr>
        <w:spacing w:line="460" w:lineRule="exact"/>
        <w:rPr>
          <w:rFonts w:ascii="宋体" w:hAnsi="宋体" w:eastAsia="宋体" w:cs="Times New Roman"/>
          <w:b/>
          <w:bCs/>
          <w:color w:val="auto"/>
          <w:kern w:val="0"/>
          <w:sz w:val="24"/>
          <w:highlight w:val="none"/>
        </w:rPr>
      </w:pPr>
      <w:r>
        <w:rPr>
          <w:rFonts w:hint="eastAsia" w:ascii="宋体" w:hAnsi="宋体" w:eastAsia="宋体" w:cs="Times New Roman"/>
          <w:b/>
          <w:bCs/>
          <w:color w:val="auto"/>
          <w:kern w:val="0"/>
          <w:sz w:val="24"/>
          <w:highlight w:val="none"/>
        </w:rPr>
        <w:t>2.项目采购方式为：公开招标；</w:t>
      </w:r>
    </w:p>
    <w:p w14:paraId="0BDAA9D5">
      <w:pPr>
        <w:spacing w:line="360" w:lineRule="auto"/>
        <w:jc w:val="left"/>
        <w:rPr>
          <w:rFonts w:ascii="宋体" w:hAnsi="宋体" w:eastAsia="宋体" w:cs="Times New Roman"/>
          <w:b/>
          <w:bCs/>
          <w:color w:val="auto"/>
          <w:kern w:val="0"/>
          <w:sz w:val="24"/>
          <w:highlight w:val="none"/>
        </w:rPr>
      </w:pPr>
      <w:r>
        <w:rPr>
          <w:rFonts w:hint="eastAsia" w:ascii="宋体" w:hAnsi="宋体" w:eastAsia="宋体" w:cs="Times New Roman"/>
          <w:b/>
          <w:color w:val="auto"/>
          <w:kern w:val="0"/>
          <w:sz w:val="24"/>
          <w:highlight w:val="none"/>
        </w:rPr>
        <w:t>3.</w:t>
      </w:r>
      <w:r>
        <w:rPr>
          <w:rFonts w:hint="eastAsia" w:ascii="宋体" w:hAnsi="宋体" w:eastAsia="宋体" w:cs="Times New Roman"/>
          <w:b/>
          <w:bCs/>
          <w:color w:val="auto"/>
          <w:kern w:val="0"/>
          <w:sz w:val="24"/>
          <w:highlight w:val="none"/>
        </w:rPr>
        <w:t>本项目需求中标注★号的部分为实质性要求和条件（由采购人根据实际情况设置），投标人必须作出满足或者优于原要求和条件的响应，否则投标无效。</w:t>
      </w:r>
    </w:p>
    <w:p w14:paraId="5EB21862">
      <w:pPr>
        <w:spacing w:line="360" w:lineRule="auto"/>
        <w:ind w:firstLine="0" w:firstLineChars="0"/>
        <w:rPr>
          <w:rFonts w:ascii="Times New Roman" w:hAnsi="Times New Roman" w:eastAsia="宋体" w:cs="Times New Roman"/>
          <w:b/>
          <w:bCs/>
          <w:color w:val="auto"/>
          <w:kern w:val="0"/>
          <w:sz w:val="24"/>
          <w:szCs w:val="21"/>
          <w:highlight w:val="none"/>
        </w:rPr>
      </w:pPr>
      <w:bookmarkStart w:id="140" w:name="_Toc120614281"/>
      <w:r>
        <w:rPr>
          <w:rFonts w:ascii="Times New Roman" w:hAnsi="Times New Roman" w:eastAsia="宋体" w:cs="Times New Roman"/>
          <w:b/>
          <w:bCs/>
          <w:color w:val="auto"/>
          <w:kern w:val="0"/>
          <w:sz w:val="24"/>
          <w:szCs w:val="21"/>
          <w:highlight w:val="none"/>
        </w:rPr>
        <w:t>一、项目背景</w:t>
      </w:r>
    </w:p>
    <w:p w14:paraId="6D6B858B">
      <w:pPr>
        <w:pStyle w:val="2"/>
        <w:numPr>
          <w:ilvl w:val="0"/>
          <w:numId w:val="0"/>
        </w:numPr>
        <w:bidi w:val="0"/>
        <w:spacing w:line="240" w:lineRule="auto"/>
        <w:rPr>
          <w:rFonts w:hint="default"/>
          <w:color w:val="auto"/>
          <w:highlight w:val="none"/>
          <w:lang w:val="en-US" w:eastAsia="zh-CN"/>
        </w:rPr>
      </w:pPr>
      <w:r>
        <w:rPr>
          <w:rFonts w:hint="default" w:asciiTheme="minorAscii" w:hAnsiTheme="minorAscii" w:eastAsiaTheme="minorEastAsia" w:cstheme="minorBidi"/>
          <w:b/>
          <w:color w:val="auto"/>
          <w:kern w:val="44"/>
          <w:sz w:val="30"/>
          <w:szCs w:val="24"/>
          <w:highlight w:val="none"/>
          <w:lang w:val="en-US" w:eastAsia="zh-CN" w:bidi="ar-SA"/>
        </w:rPr>
        <w:t>1.</w:t>
      </w:r>
      <w:r>
        <w:rPr>
          <w:rFonts w:hint="eastAsia"/>
          <w:color w:val="auto"/>
          <w:highlight w:val="none"/>
          <w:lang w:val="en-US" w:eastAsia="zh-CN"/>
        </w:rPr>
        <w:t>项目背景</w:t>
      </w:r>
    </w:p>
    <w:p w14:paraId="09349A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江苏连云港化工产业园区是江苏省重点化工产业园区，是区域化工产业安全绿色发展、工业经济提质增效的核心载体，承担着危险化学品管控、生态环境保护、安全生产监管、应急联动处置等关键职能。近年来，国家与省级层面持续收紧化工园区监管标准，对园区智慧化建设、安全风险智能化管控、生态环境全流程监测、危化品道路运输闭环管理、系统长效稳定运行提出了更高的刚性要求。</w:t>
      </w:r>
    </w:p>
    <w:p w14:paraId="1D88AF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当前园区已具备基础信息化管理能力，但现有系统存在数据分散、业务协同能力</w:t>
      </w:r>
      <w:r>
        <w:rPr>
          <w:rFonts w:hint="eastAsia" w:asciiTheme="minorHAnsi" w:eastAsiaTheme="minorEastAsia"/>
          <w:color w:val="auto"/>
          <w:sz w:val="24"/>
          <w:szCs w:val="24"/>
          <w:highlight w:val="none"/>
          <w:lang w:val="en-US" w:eastAsia="zh-CN"/>
        </w:rPr>
        <w:t>不足</w:t>
      </w:r>
      <w:r>
        <w:rPr>
          <w:rFonts w:hint="default"/>
          <w:color w:val="auto"/>
          <w:sz w:val="24"/>
          <w:szCs w:val="24"/>
          <w:highlight w:val="none"/>
          <w:lang w:val="en-US" w:eastAsia="zh-CN"/>
        </w:rPr>
        <w:t>、环保与应急模块功能不完善、危货运输监管对接不充分</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长效运维体系缺失等突出问题</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为全面补齐园区智慧化建设短板，本次项目以工业互联网支撑平台为底座、数据治理为核心、业务应用为抓手、硬件补点为支撑、运维服务为保障，统筹推进大数据平台、信息集成平台、物联网平台建设，完成省危货监管平台对接、应急管理系统优化、环境管理系统升级、综合管理体系搭建、公共管廊视频监控部署</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全周期软硬件维保等工作，构建 “数据统一汇聚、业务全域协同、监管智能高效、应急快速响应、设备稳定运行、安全合规达标” 的智慧园区管控体系。</w:t>
      </w:r>
    </w:p>
    <w:p w14:paraId="62C414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通过本项目实施，可全面提升园区安全、环保、应急、运输等全场景管控能力，完善标准化运营运维机制，保障智慧</w:t>
      </w:r>
      <w:r>
        <w:rPr>
          <w:rFonts w:hint="eastAsia" w:asciiTheme="minorHAnsi" w:eastAsiaTheme="minorEastAsia"/>
          <w:color w:val="auto"/>
          <w:sz w:val="24"/>
          <w:szCs w:val="24"/>
          <w:highlight w:val="none"/>
          <w:lang w:val="en-US" w:eastAsia="zh-CN"/>
        </w:rPr>
        <w:t>管理</w:t>
      </w:r>
      <w:r>
        <w:rPr>
          <w:rFonts w:hint="default"/>
          <w:color w:val="auto"/>
          <w:sz w:val="24"/>
          <w:szCs w:val="24"/>
          <w:highlight w:val="none"/>
          <w:lang w:val="en-US" w:eastAsia="zh-CN"/>
        </w:rPr>
        <w:t>平台与各类智能化设备长期稳定运行，顺利通过园区认定复核、安全风险等级评估等各项检查，为江苏连云港化工产业园区安全、绿色、可持续发展筑牢数字化、智能化支撑底座。</w:t>
      </w:r>
    </w:p>
    <w:p w14:paraId="488E36A6">
      <w:pPr>
        <w:pStyle w:val="2"/>
        <w:numPr>
          <w:ilvl w:val="0"/>
          <w:numId w:val="0"/>
        </w:numPr>
        <w:bidi w:val="0"/>
        <w:spacing w:line="240" w:lineRule="auto"/>
        <w:rPr>
          <w:rFonts w:hint="default"/>
          <w:color w:val="auto"/>
          <w:highlight w:val="none"/>
          <w:lang w:val="en-US" w:eastAsia="zh-CN"/>
        </w:rPr>
      </w:pPr>
      <w:r>
        <w:rPr>
          <w:rFonts w:hint="default" w:asciiTheme="minorAscii" w:hAnsiTheme="minorAscii" w:eastAsiaTheme="minorEastAsia" w:cstheme="minorBidi"/>
          <w:b/>
          <w:color w:val="auto"/>
          <w:kern w:val="44"/>
          <w:sz w:val="30"/>
          <w:szCs w:val="24"/>
          <w:highlight w:val="none"/>
          <w:lang w:val="en-US" w:eastAsia="zh-CN" w:bidi="ar-SA"/>
        </w:rPr>
        <w:t>2.</w:t>
      </w:r>
      <w:r>
        <w:rPr>
          <w:rFonts w:hint="eastAsia"/>
          <w:color w:val="auto"/>
          <w:highlight w:val="none"/>
          <w:lang w:val="en-US" w:eastAsia="zh-CN"/>
        </w:rPr>
        <w:t>智慧园区平台建设升级内容</w:t>
      </w:r>
    </w:p>
    <w:p w14:paraId="5FEBB5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为全面对标《江苏省化工园区认定工作标准（2025版）》（苏工信规〔2025〕6号）、《关于切实做好已认定化工园区复核有关工作的通知》（苏工信原材〔2026〕71号）、《化工园区安全风险智能化管控平台建设指南（试行）》、《化工园区封闭管理系统技术要求》（GB/T 45227-2025）、《工业园区生态环境管理信息系统建设指南》（DB32/T 4709-2024）等政策文件及标准规范要求，本次建设升级重点围绕工业互联网支撑平台、封闭化管理、应急管理、环境管理、综合管理等</w:t>
      </w:r>
      <w:r>
        <w:rPr>
          <w:rFonts w:hint="eastAsia" w:asciiTheme="minorHAnsi" w:eastAsiaTheme="minorEastAsia"/>
          <w:color w:val="auto"/>
          <w:sz w:val="24"/>
          <w:szCs w:val="24"/>
          <w:highlight w:val="none"/>
          <w:lang w:val="en-US" w:eastAsia="zh-CN"/>
        </w:rPr>
        <w:t>模块</w:t>
      </w:r>
      <w:r>
        <w:rPr>
          <w:rFonts w:hint="default"/>
          <w:color w:val="auto"/>
          <w:sz w:val="24"/>
          <w:szCs w:val="24"/>
          <w:highlight w:val="none"/>
          <w:lang w:val="en-US" w:eastAsia="zh-CN"/>
        </w:rPr>
        <w:t>进行系统化补强与提升，确保园区顺利通过2026年省级化工园区认定复核。</w:t>
      </w:r>
    </w:p>
    <w:p w14:paraId="683EC4D4">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2.1.工业互联网支撑平台升级</w:t>
      </w:r>
    </w:p>
    <w:p w14:paraId="2FA4F6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建设统一的大数据平台、信息集成平台和物联网平台，夯实园区数据底座，解决数据孤岛问题，实现数据统一汇聚、治理与共享，为各业务系统提供高质量数据支撑。大数据平台建设数据主题库、数据专题库，开展数据标准制定、元数据管理、数据清洗、数据质量稽核、数据资产管理与数据共享服务；信息集成平台实现接口统一管理、服务集成与联动，支持跨系统业务协同；物联网平台实现设备接入管理、设备状态监控、数据采集、规则引擎及告警管理。</w:t>
      </w:r>
    </w:p>
    <w:p w14:paraId="25D3C4CF">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2.2.封闭化管理系统升级</w:t>
      </w:r>
    </w:p>
    <w:p w14:paraId="74CB86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依据《化工园区封闭管理系统技术要求》（GB/T 45227-2025），对现有封闭化管理系统进行架构与业务模块升级，并完成与省危货监管平台的全面对接。系统架构升级整合方面，整合卡口管理、调度管理、道路管控及危化品道路运输管理等模块，构建统一封闭化管理系统；人员分布管理方面，接入企业人员分布信息，实现人员动态分布展示与历史轨迹回溯；辅助决策分析方面，汇聚多维数据，定期生成封闭管理运行成效评估报告。省危货监管平台对接方面，实现园区基础信息上报（电子围栏、卡口点位、视频监控）、电子运单及车辆安全码数据同步、园区卡口通行核验（依据运单及安全码）、卡口通行数据实时上报。</w:t>
      </w:r>
    </w:p>
    <w:p w14:paraId="6E44B051">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2.3.应急管理系统升级</w:t>
      </w:r>
    </w:p>
    <w:p w14:paraId="68E694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新增环境应急管理与重污染天气应急管理功能，强化园区环境风险防范与应急响应能力。环境应急管理包括环境敏感目标管理、环境应急演练、环境应急案例、环境隐患排查等功能；重污染天气应急管理包括应急企业名录管理、应急事件启动、企业落实反馈、企业催办跟踪、应急事件关闭及应急响应过程记录等功能。</w:t>
      </w:r>
    </w:p>
    <w:p w14:paraId="7570D54C">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2.4.环境管理系统升级</w:t>
      </w:r>
    </w:p>
    <w:p w14:paraId="5BCD1E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升级生态环境管理驾驶舱、企业档案管理，新增手工监测管理、水文数据集成、污染源总量管理及工况监控等功能，构建全面精细的生态环境监管体系。生态环境管理驾驶舱包括园区环境概况与统计、环境一张图升级（水系、生态管控区、环境敏感点、污水处理厂等）及风险源专题；企业档案管理包括档案统计与综合看板；手工监测管理包括监测概况、数据管理与查询分析、超标报警及监测设置；水文监测数据集成包括水文数据集成、实时数据展示、数据查询与统计分析；总量管理包括废水、废气总量核算、报表、排放进度及超标管理，并支持一张图展示；工况监控包括数据集成与存储、实时工况与运行状态展示、工况报警与推送。</w:t>
      </w:r>
    </w:p>
    <w:p w14:paraId="26AAE4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同时，按照《江苏省化工园区认定工作标准（2025版）》及《工业园区生态环境管理信息系统建设指南》（DB32/T 4709-2024）要求，园区生态环境“一园一档”系统，实现与省生态环境智慧监管平台的数据实时共享，确保上传数据完整率不低于95%，上报数据范围包括污染源企业一企一档、大气环境监测数据、地表水环境监测数据、地下水环境监测数据、土壤环境监测数据、声环境监测数据、水气污染源监测数据、LDAR监测数据、固体废物管理数据等</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具体以省厅下发的数据上报接口文档为准。</w:t>
      </w:r>
    </w:p>
    <w:p w14:paraId="496CAC0C">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2.5.综合管理系统建设</w:t>
      </w:r>
    </w:p>
    <w:p w14:paraId="4E40479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建立园区运营运维管理体系，实现运营与运维工作的规范化、可追溯与高效协同。运营管理包括运营机制、运营方案与计划、运营内容（值班记录、接待记录、运营报告等）；运维管理包括运维机制、运维内容（备品备件、运维记录、运维报告等）、运维考核，保障平台持续稳定运行与服务质量提升。</w:t>
      </w:r>
    </w:p>
    <w:p w14:paraId="1ED41BDB">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2.6.</w:t>
      </w:r>
      <w:r>
        <w:rPr>
          <w:rFonts w:hint="eastAsia" w:ascii="Arial" w:hAnsi="Arial" w:eastAsia="黑体" w:cstheme="minorBidi"/>
          <w:b/>
          <w:color w:val="auto"/>
          <w:kern w:val="2"/>
          <w:sz w:val="30"/>
          <w:szCs w:val="24"/>
          <w:highlight w:val="none"/>
          <w:lang w:val="en-US" w:eastAsia="zh-CN" w:bidi="ar-SA"/>
        </w:rPr>
        <w:t>公共管廊监控</w:t>
      </w:r>
    </w:p>
    <w:p w14:paraId="4DB1AFD9">
      <w:pPr>
        <w:spacing w:line="360" w:lineRule="auto"/>
        <w:ind w:firstLine="480" w:firstLineChars="200"/>
        <w:rPr>
          <w:rFonts w:hint="default"/>
          <w:color w:val="auto"/>
          <w:sz w:val="24"/>
          <w:highlight w:val="none"/>
          <w:lang w:val="en-US" w:eastAsia="zh-CN"/>
        </w:rPr>
      </w:pPr>
      <w:r>
        <w:rPr>
          <w:rFonts w:asciiTheme="minorHAnsi" w:hAnsiTheme="minorHAnsi" w:eastAsiaTheme="minorEastAsia" w:cstheme="minorBidi"/>
          <w:color w:val="auto"/>
          <w:sz w:val="24"/>
          <w:szCs w:val="24"/>
          <w:highlight w:val="none"/>
        </w:rPr>
        <w:t>构建园区公共管廊可视化智能监控体系，实现管廊区域全天候视频监测、智能安防预警、画面集中管控与数据联动共享。监控系统对接与应用管理（视频接入平台、智能侦测、全景拼接、云台控制、告警联动、历史回放），保障公共管廊运行安全可视、隐患实时发现、应急处置高效支撑。</w:t>
      </w:r>
    </w:p>
    <w:p w14:paraId="21FE6AD6">
      <w:pPr>
        <w:pStyle w:val="2"/>
        <w:numPr>
          <w:ilvl w:val="0"/>
          <w:numId w:val="0"/>
        </w:numPr>
        <w:bidi w:val="0"/>
        <w:spacing w:line="240" w:lineRule="auto"/>
        <w:rPr>
          <w:rFonts w:hint="default"/>
          <w:color w:val="auto"/>
          <w:highlight w:val="none"/>
          <w:lang w:val="en-US" w:eastAsia="zh-CN"/>
        </w:rPr>
      </w:pPr>
      <w:r>
        <w:rPr>
          <w:rFonts w:hint="default" w:asciiTheme="minorAscii" w:hAnsiTheme="minorAscii" w:eastAsiaTheme="minorEastAsia" w:cstheme="minorBidi"/>
          <w:b/>
          <w:color w:val="auto"/>
          <w:kern w:val="44"/>
          <w:sz w:val="30"/>
          <w:szCs w:val="24"/>
          <w:highlight w:val="none"/>
          <w:lang w:val="en-US" w:eastAsia="zh-CN" w:bidi="ar-SA"/>
        </w:rPr>
        <w:t>3.</w:t>
      </w:r>
      <w:r>
        <w:rPr>
          <w:rFonts w:hint="eastAsia"/>
          <w:color w:val="auto"/>
          <w:highlight w:val="none"/>
          <w:lang w:val="en-US" w:eastAsia="zh-CN"/>
        </w:rPr>
        <w:t>智慧园区平台及配套设备设施运维服务</w:t>
      </w:r>
    </w:p>
    <w:p w14:paraId="50735BFD">
      <w:pPr>
        <w:keepNext/>
        <w:keepLines/>
        <w:widowControl w:val="0"/>
        <w:numPr>
          <w:ilvl w:val="1"/>
          <w:numId w:val="0"/>
        </w:numPr>
        <w:bidi w:val="0"/>
        <w:spacing w:before="260" w:beforeLines="0" w:beforeAutospacing="0" w:after="260" w:afterLines="0" w:afterAutospacing="0" w:line="240" w:lineRule="auto"/>
        <w:ind w:left="432" w:leftChars="0" w:hanging="432" w:firstLineChars="0"/>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3.1.</w:t>
      </w:r>
      <w:r>
        <w:rPr>
          <w:rFonts w:hint="eastAsia" w:ascii="Arial" w:hAnsi="Arial" w:eastAsia="黑体" w:cstheme="minorBidi"/>
          <w:b/>
          <w:color w:val="auto"/>
          <w:kern w:val="2"/>
          <w:sz w:val="30"/>
          <w:szCs w:val="24"/>
          <w:highlight w:val="none"/>
          <w:lang w:val="en-US" w:eastAsia="zh-CN" w:bidi="ar-SA"/>
        </w:rPr>
        <w:t>服务内容</w:t>
      </w:r>
    </w:p>
    <w:p w14:paraId="4AAD30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本项目围绕江苏连云港化工产业园区智慧园区平台核心模块（智慧安全管理、智慧环保管理</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智慧应急管理、封闭化管理</w:t>
      </w:r>
      <w:r>
        <w:rPr>
          <w:rFonts w:hint="eastAsia" w:asciiTheme="minorHAnsi" w:eastAsiaTheme="minorEastAsia"/>
          <w:color w:val="auto"/>
          <w:sz w:val="24"/>
          <w:szCs w:val="24"/>
          <w:highlight w:val="none"/>
          <w:lang w:val="en-US" w:eastAsia="zh-CN"/>
        </w:rPr>
        <w:t>、</w:t>
      </w:r>
      <w:r>
        <w:rPr>
          <w:rFonts w:hint="default"/>
          <w:color w:val="auto"/>
          <w:sz w:val="24"/>
          <w:szCs w:val="24"/>
          <w:highlight w:val="none"/>
          <w:lang w:val="en-US" w:eastAsia="zh-CN"/>
        </w:rPr>
        <w:t>智慧</w:t>
      </w:r>
      <w:r>
        <w:rPr>
          <w:rFonts w:hint="eastAsia" w:asciiTheme="minorHAnsi" w:eastAsiaTheme="minorEastAsia"/>
          <w:color w:val="auto"/>
          <w:sz w:val="24"/>
          <w:szCs w:val="24"/>
          <w:highlight w:val="none"/>
          <w:lang w:val="en-US" w:eastAsia="zh-CN"/>
        </w:rPr>
        <w:t>能源管理等</w:t>
      </w:r>
      <w:r>
        <w:rPr>
          <w:rFonts w:hint="default"/>
          <w:color w:val="auto"/>
          <w:sz w:val="24"/>
          <w:szCs w:val="24"/>
          <w:highlight w:val="none"/>
          <w:lang w:val="en-US" w:eastAsia="zh-CN"/>
        </w:rPr>
        <w:t>）及配套设备设施，构建全周期、专业化、精细化的维保服务体系，具体分为智慧园区平台核心模块维保服务与配套设备设施维保服务两大板块，全面保障平台及设备的稳定运行、功能迭代与高效管控。</w:t>
      </w:r>
    </w:p>
    <w:p w14:paraId="0498B2E5">
      <w:pPr>
        <w:keepNext/>
        <w:keepLines/>
        <w:widowControl w:val="0"/>
        <w:numPr>
          <w:ilvl w:val="2"/>
          <w:numId w:val="0"/>
        </w:numPr>
        <w:bidi w:val="0"/>
        <w:spacing w:before="260" w:beforeLines="0" w:beforeAutospacing="0" w:after="260" w:afterLines="0" w:afterAutospacing="0" w:line="240" w:lineRule="auto"/>
        <w:ind w:left="720" w:leftChars="0" w:hanging="720" w:firstLineChars="0"/>
        <w:jc w:val="both"/>
        <w:outlineLvl w:val="2"/>
        <w:rPr>
          <w:rFonts w:hint="default" w:asciiTheme="minorAscii" w:hAnsiTheme="minorAscii" w:eastAsiaTheme="minorEastAsia" w:cstheme="minorBidi"/>
          <w:b/>
          <w:color w:val="auto"/>
          <w:kern w:val="2"/>
          <w:sz w:val="28"/>
          <w:szCs w:val="24"/>
          <w:highlight w:val="none"/>
          <w:lang w:val="en-US" w:eastAsia="zh-CN" w:bidi="ar-SA"/>
        </w:rPr>
      </w:pPr>
      <w:r>
        <w:rPr>
          <w:rFonts w:hint="default" w:asciiTheme="minorAscii" w:hAnsiTheme="minorAscii" w:eastAsiaTheme="minorEastAsia" w:cstheme="minorBidi"/>
          <w:b/>
          <w:color w:val="auto"/>
          <w:kern w:val="2"/>
          <w:sz w:val="28"/>
          <w:szCs w:val="24"/>
          <w:highlight w:val="none"/>
          <w:lang w:val="en-US" w:eastAsia="zh-CN" w:bidi="ar-SA"/>
        </w:rPr>
        <w:t>3.1.1.</w:t>
      </w:r>
      <w:r>
        <w:rPr>
          <w:rFonts w:hint="eastAsia" w:asciiTheme="minorAscii" w:hAnsiTheme="minorAscii" w:eastAsiaTheme="minorEastAsia" w:cstheme="minorBidi"/>
          <w:b/>
          <w:color w:val="auto"/>
          <w:kern w:val="2"/>
          <w:sz w:val="28"/>
          <w:szCs w:val="24"/>
          <w:highlight w:val="none"/>
          <w:lang w:val="en-US" w:eastAsia="zh-CN" w:bidi="ar-SA"/>
        </w:rPr>
        <w:t>智慧园区平台软件</w:t>
      </w:r>
    </w:p>
    <w:p w14:paraId="59C804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default"/>
          <w:color w:val="auto"/>
          <w:sz w:val="24"/>
          <w:szCs w:val="24"/>
          <w:highlight w:val="none"/>
          <w:lang w:val="en-US" w:eastAsia="zh-CN"/>
        </w:rPr>
        <w:t>本次</w:t>
      </w:r>
      <w:r>
        <w:rPr>
          <w:rFonts w:hint="eastAsia" w:asciiTheme="minorHAnsi" w:eastAsiaTheme="minorEastAsia"/>
          <w:color w:val="auto"/>
          <w:sz w:val="24"/>
          <w:szCs w:val="24"/>
          <w:highlight w:val="none"/>
          <w:lang w:val="en-US" w:eastAsia="zh-CN"/>
        </w:rPr>
        <w:t>智慧园区</w:t>
      </w:r>
      <w:r>
        <w:rPr>
          <w:rFonts w:hint="default"/>
          <w:color w:val="auto"/>
          <w:sz w:val="24"/>
          <w:szCs w:val="24"/>
          <w:highlight w:val="none"/>
          <w:lang w:val="en-US" w:eastAsia="zh-CN"/>
        </w:rPr>
        <w:t>平台系统维保</w:t>
      </w:r>
      <w:r>
        <w:rPr>
          <w:rFonts w:hint="eastAsia" w:asciiTheme="minorHAnsi" w:eastAsiaTheme="minorEastAsia"/>
          <w:color w:val="auto"/>
          <w:sz w:val="24"/>
          <w:szCs w:val="24"/>
          <w:highlight w:val="none"/>
          <w:lang w:val="en-US" w:eastAsia="zh-CN"/>
        </w:rPr>
        <w:t>主要</w:t>
      </w:r>
      <w:r>
        <w:rPr>
          <w:rFonts w:hint="default"/>
          <w:color w:val="auto"/>
          <w:sz w:val="24"/>
          <w:szCs w:val="24"/>
          <w:highlight w:val="none"/>
          <w:lang w:val="en-US" w:eastAsia="zh-CN"/>
        </w:rPr>
        <w:t>围绕日常咨询答疑、常态化运维保障、专项巡检优化、信息安全防护维度，打造专业化、全天候、闭环式系统运维服务体系，全力保障</w:t>
      </w:r>
      <w:r>
        <w:rPr>
          <w:rFonts w:hint="eastAsia" w:asciiTheme="minorHAnsi" w:eastAsiaTheme="minorEastAsia"/>
          <w:color w:val="auto"/>
          <w:sz w:val="24"/>
          <w:szCs w:val="24"/>
          <w:highlight w:val="none"/>
          <w:lang w:val="en-US" w:eastAsia="zh-CN"/>
        </w:rPr>
        <w:t>智慧园区平台稳定</w:t>
      </w:r>
      <w:r>
        <w:rPr>
          <w:rFonts w:hint="default"/>
          <w:color w:val="auto"/>
          <w:sz w:val="24"/>
          <w:szCs w:val="24"/>
          <w:highlight w:val="none"/>
          <w:lang w:val="en-US" w:eastAsia="zh-CN"/>
        </w:rPr>
        <w:t>运行，确保系统无卡顿、数据无异常、功能无缺失、安全无漏洞，持续适配园区管控及上级监管要求</w:t>
      </w:r>
      <w:r>
        <w:rPr>
          <w:rFonts w:hint="eastAsia" w:asciiTheme="minorHAnsi" w:eastAsiaTheme="minorEastAsia"/>
          <w:color w:val="auto"/>
          <w:sz w:val="24"/>
          <w:szCs w:val="24"/>
          <w:highlight w:val="none"/>
          <w:lang w:val="en-US" w:eastAsia="zh-CN"/>
        </w:rPr>
        <w:t>。</w:t>
      </w:r>
    </w:p>
    <w:p w14:paraId="7E3D02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1.咨询服务</w:t>
      </w:r>
      <w:r>
        <w:rPr>
          <w:rFonts w:hint="eastAsia" w:ascii="宋体" w:hAnsi="宋体" w:eastAsia="宋体" w:cs="宋体"/>
          <w:color w:val="auto"/>
          <w:sz w:val="24"/>
          <w:szCs w:val="24"/>
          <w:highlight w:val="none"/>
          <w:lang w:val="en-US" w:eastAsia="zh-CN"/>
        </w:rPr>
        <w:t>：运维服务商指定专人，提供7*24小时服务，全天候接收园区管理人员、平台使用人员、入驻企业相关操作人员的各类咨询诉求。。</w:t>
      </w:r>
    </w:p>
    <w:p w14:paraId="75187B1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2.运维服务：</w:t>
      </w:r>
      <w:r>
        <w:rPr>
          <w:rFonts w:hint="eastAsia" w:ascii="宋体" w:hAnsi="宋体" w:eastAsia="宋体" w:cs="宋体"/>
          <w:b w:val="0"/>
          <w:bCs w:val="0"/>
          <w:color w:val="auto"/>
          <w:sz w:val="24"/>
          <w:szCs w:val="24"/>
          <w:highlight w:val="none"/>
          <w:lang w:val="en-US" w:eastAsia="zh-CN"/>
        </w:rPr>
        <w:t>紧扣平台系统运行核心需求，聚焦故障处置、定期巡检、性能优化、安全防护四大关键环节，严格按照</w:t>
      </w:r>
      <w:r>
        <w:rPr>
          <w:rFonts w:hint="eastAsia" w:ascii="宋体" w:hAnsi="宋体" w:eastAsia="宋体" w:cs="宋体"/>
          <w:b/>
          <w:bCs/>
          <w:color w:val="auto"/>
          <w:sz w:val="24"/>
          <w:szCs w:val="24"/>
          <w:highlight w:val="none"/>
          <w:lang w:val="en-US" w:eastAsia="zh-CN"/>
        </w:rPr>
        <w:t>附件1《智慧园区平台系统定期巡检表》既定功能模块</w:t>
      </w:r>
      <w:r>
        <w:rPr>
          <w:rFonts w:hint="eastAsia" w:ascii="宋体" w:hAnsi="宋体" w:eastAsia="宋体" w:cs="宋体"/>
          <w:b w:val="0"/>
          <w:bCs w:val="0"/>
          <w:color w:val="auto"/>
          <w:sz w:val="24"/>
          <w:szCs w:val="24"/>
          <w:highlight w:val="none"/>
          <w:lang w:val="en-US" w:eastAsia="zh-CN"/>
        </w:rPr>
        <w:t>开展运维工作。</w:t>
      </w:r>
    </w:p>
    <w:p w14:paraId="3DD98E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3.培训服务：</w:t>
      </w:r>
      <w:r>
        <w:rPr>
          <w:rFonts w:hint="eastAsia" w:ascii="宋体" w:hAnsi="宋体" w:eastAsia="宋体" w:cs="宋体"/>
          <w:color w:val="auto"/>
          <w:sz w:val="24"/>
          <w:szCs w:val="24"/>
          <w:highlight w:val="none"/>
          <w:lang w:val="en-US" w:eastAsia="zh-CN"/>
        </w:rPr>
        <w:t>现场提供时长不低于2小时的系统管理员操作培训（以现场照片及视频为准），6次/年。</w:t>
      </w:r>
    </w:p>
    <w:p w14:paraId="7C0C70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4.系统BUG修复</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运维服务商有义务免费修复系统存在的BUG。</w:t>
      </w:r>
    </w:p>
    <w:p w14:paraId="6762C910">
      <w:pPr>
        <w:keepNext/>
        <w:keepLines/>
        <w:widowControl w:val="0"/>
        <w:numPr>
          <w:ilvl w:val="2"/>
          <w:numId w:val="0"/>
        </w:numPr>
        <w:bidi w:val="0"/>
        <w:spacing w:before="260" w:beforeLines="0" w:beforeAutospacing="0" w:after="260" w:afterLines="0" w:afterAutospacing="0" w:line="240" w:lineRule="auto"/>
        <w:ind w:left="720" w:hanging="720"/>
        <w:jc w:val="both"/>
        <w:outlineLvl w:val="2"/>
        <w:rPr>
          <w:rFonts w:hint="default" w:asciiTheme="minorAscii" w:hAnsiTheme="minorAscii" w:eastAsiaTheme="minorEastAsia" w:cstheme="minorBidi"/>
          <w:b/>
          <w:color w:val="auto"/>
          <w:kern w:val="2"/>
          <w:sz w:val="28"/>
          <w:szCs w:val="24"/>
          <w:highlight w:val="none"/>
          <w:lang w:val="en-US" w:eastAsia="zh-CN" w:bidi="ar-SA"/>
        </w:rPr>
      </w:pPr>
      <w:r>
        <w:rPr>
          <w:rFonts w:hint="default" w:asciiTheme="minorAscii" w:hAnsiTheme="minorAscii" w:eastAsiaTheme="minorEastAsia" w:cstheme="minorBidi"/>
          <w:b/>
          <w:color w:val="auto"/>
          <w:kern w:val="2"/>
          <w:sz w:val="28"/>
          <w:szCs w:val="24"/>
          <w:highlight w:val="none"/>
          <w:lang w:val="en-US" w:eastAsia="zh-CN" w:bidi="ar-SA"/>
        </w:rPr>
        <w:t>3.1.2.</w:t>
      </w:r>
      <w:r>
        <w:rPr>
          <w:rFonts w:hint="eastAsia" w:asciiTheme="minorAscii" w:hAnsiTheme="minorAscii" w:eastAsiaTheme="minorEastAsia" w:cstheme="minorBidi"/>
          <w:b/>
          <w:color w:val="auto"/>
          <w:kern w:val="2"/>
          <w:sz w:val="28"/>
          <w:szCs w:val="24"/>
          <w:highlight w:val="none"/>
          <w:lang w:val="en-US" w:eastAsia="zh-CN" w:bidi="ar-SA"/>
        </w:rPr>
        <w:t>智慧园区平台配套设备设施</w:t>
      </w:r>
    </w:p>
    <w:p w14:paraId="6300D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针对智慧园区平台配套的设备设施，开展常态化巡检、定期检修、故障更换与性能优化，保障设备设施的稳定运行与数据采集精准度，解决设备老化、性能下降等问题。</w:t>
      </w:r>
    </w:p>
    <w:p w14:paraId="3D8BB5B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运维单位需严格对照</w:t>
      </w:r>
      <w:r>
        <w:rPr>
          <w:rFonts w:hint="eastAsia" w:ascii="宋体" w:hAnsi="宋体" w:eastAsia="宋体" w:cs="宋体"/>
          <w:b/>
          <w:bCs/>
          <w:color w:val="auto"/>
          <w:sz w:val="24"/>
          <w:szCs w:val="24"/>
          <w:highlight w:val="none"/>
          <w:lang w:val="en-US" w:eastAsia="zh-CN"/>
        </w:rPr>
        <w:t>附件2</w:t>
      </w:r>
      <w:r>
        <w:rPr>
          <w:rFonts w:hint="eastAsia" w:ascii="宋体" w:hAnsi="宋体" w:eastAsia="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智慧园区配套设备设施定期巡检表</w:t>
      </w:r>
      <w:r>
        <w:rPr>
          <w:rFonts w:hint="eastAsia" w:ascii="宋体" w:hAnsi="宋体" w:eastAsia="宋体" w:cs="宋体"/>
          <w:color w:val="auto"/>
          <w:sz w:val="24"/>
          <w:szCs w:val="24"/>
          <w:highlight w:val="none"/>
          <w:lang w:val="en-US" w:eastAsia="zh-CN"/>
        </w:rPr>
        <w:t>》，定制精细化专属巡检计划，明确巡检频次、核心点位、核查标准及责任人员，实现全设备、全点位、无死角覆盖。</w:t>
      </w:r>
    </w:p>
    <w:p w14:paraId="337A1474">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维保范围严格覆盖</w:t>
      </w:r>
      <w:r>
        <w:rPr>
          <w:rFonts w:hint="eastAsia" w:ascii="宋体" w:hAnsi="宋体" w:eastAsia="宋体" w:cs="宋体"/>
          <w:b/>
          <w:bCs/>
          <w:color w:val="auto"/>
          <w:sz w:val="24"/>
          <w:szCs w:val="24"/>
          <w:highlight w:val="none"/>
          <w:lang w:val="en-US" w:eastAsia="zh-CN"/>
        </w:rPr>
        <w:t>附件3《智慧园区配套设备设施维保清单表》</w:t>
      </w:r>
      <w:r>
        <w:rPr>
          <w:rFonts w:hint="eastAsia" w:ascii="宋体" w:hAnsi="宋体" w:eastAsia="宋体" w:cs="宋体"/>
          <w:color w:val="auto"/>
          <w:sz w:val="24"/>
          <w:szCs w:val="24"/>
          <w:highlight w:val="none"/>
          <w:lang w:val="en-US" w:eastAsia="zh-CN"/>
        </w:rPr>
        <w:t>内全部设施设备，涵盖日常保养、故障维修、部件更换、性能调试、老旧设备升级等全维度工作，全面响应园区提出的设备检查、养护、维修、调试等各项需求。</w:t>
      </w:r>
    </w:p>
    <w:p w14:paraId="6DCE5AB3">
      <w:pPr>
        <w:keepNext/>
        <w:keepLines/>
        <w:widowControl w:val="0"/>
        <w:numPr>
          <w:ilvl w:val="1"/>
          <w:numId w:val="0"/>
        </w:numPr>
        <w:bidi w:val="0"/>
        <w:spacing w:before="260" w:beforeLines="0" w:beforeAutospacing="0" w:after="260" w:afterLines="0" w:afterAutospacing="0" w:line="240" w:lineRule="auto"/>
        <w:ind w:left="575" w:hanging="575"/>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3.2.</w:t>
      </w:r>
      <w:r>
        <w:rPr>
          <w:rFonts w:hint="eastAsia" w:ascii="Arial" w:hAnsi="Arial" w:eastAsia="黑体" w:cstheme="minorBidi"/>
          <w:b/>
          <w:color w:val="auto"/>
          <w:kern w:val="2"/>
          <w:sz w:val="30"/>
          <w:szCs w:val="24"/>
          <w:highlight w:val="none"/>
          <w:lang w:val="en-US" w:eastAsia="zh-CN" w:bidi="ar-SA"/>
        </w:rPr>
        <w:t>服务要求</w:t>
      </w:r>
    </w:p>
    <w:p w14:paraId="5BDA1C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Theme="minorHAnsi" w:eastAsiaTheme="minorEastAsia"/>
          <w:color w:val="auto"/>
          <w:sz w:val="24"/>
          <w:szCs w:val="24"/>
          <w:highlight w:val="none"/>
          <w:lang w:val="en-US" w:eastAsia="zh-CN"/>
        </w:rPr>
        <w:t>一、</w:t>
      </w:r>
      <w:r>
        <w:rPr>
          <w:rFonts w:hint="default"/>
          <w:color w:val="auto"/>
          <w:sz w:val="24"/>
          <w:szCs w:val="24"/>
          <w:highlight w:val="none"/>
          <w:lang w:val="en-US" w:eastAsia="zh-CN"/>
        </w:rPr>
        <w:t>对运维服务商管理要求</w:t>
      </w:r>
    </w:p>
    <w:p w14:paraId="45192E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 xml:space="preserve">（1）运维服务商免费提供过程管理文件，按照技术协议和实施方案规定，管理运维服务的交付过程，过程管理文件包括日常运行维护管理、记录、测量、监督和评估等。 </w:t>
      </w:r>
    </w:p>
    <w:p w14:paraId="21D550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2）运维服务商及其人员在从事合同约定的技术服务时，应当遵守执业准则和恪守职业道德，本合同以及甲方提供的文件资料以及其它与执行合同有关的信息、资料，运维服务商在面对第三方时均应保密。在未征得甲方同意前，不得以任何理由、任何方式向第三方扩散、转让、泄露或在刊物上发表。</w:t>
      </w:r>
    </w:p>
    <w:p w14:paraId="121B6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sz w:val="24"/>
          <w:szCs w:val="24"/>
          <w:highlight w:val="none"/>
          <w:lang w:val="en-US" w:eastAsia="zh-CN"/>
        </w:rPr>
      </w:pPr>
      <w:r>
        <w:rPr>
          <w:rFonts w:hint="eastAsia" w:asciiTheme="minorHAnsi" w:eastAsiaTheme="minorEastAsia"/>
          <w:color w:val="auto"/>
          <w:sz w:val="24"/>
          <w:szCs w:val="24"/>
          <w:highlight w:val="none"/>
          <w:lang w:val="en-US" w:eastAsia="zh-CN"/>
        </w:rPr>
        <w:t>（3）对维保过程中的每一项工作都应进行详细记录，包括检查内容、发现的问题、处理措施及结果等，以便日后查阅和跟踪。</w:t>
      </w:r>
    </w:p>
    <w:p w14:paraId="1878F09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Theme="minorHAnsi" w:eastAsiaTheme="minorEastAsia"/>
          <w:color w:val="auto"/>
          <w:sz w:val="24"/>
          <w:szCs w:val="24"/>
          <w:highlight w:val="none"/>
          <w:lang w:val="en-US" w:eastAsia="zh-CN"/>
        </w:rPr>
        <w:t>（4）运维单位在使用登高车作业时必须遵守登高车操作规范，提高设备完好性，防止高空作业时出现事故。运维单位进行与电有关的操作时，需严格遵守电工操作规程。</w:t>
      </w:r>
    </w:p>
    <w:p w14:paraId="397A2C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default"/>
          <w:color w:val="auto"/>
          <w:sz w:val="24"/>
          <w:szCs w:val="24"/>
          <w:highlight w:val="none"/>
          <w:lang w:val="en-US" w:eastAsia="zh-CN"/>
        </w:rPr>
        <w:t>2. 运维服务商人员要求</w:t>
      </w:r>
    </w:p>
    <w:p w14:paraId="0FA77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b/>
          <w:bCs/>
          <w:color w:val="auto"/>
          <w:sz w:val="24"/>
          <w:szCs w:val="24"/>
          <w:highlight w:val="none"/>
          <w:lang w:val="en-US" w:eastAsia="zh-CN"/>
        </w:rPr>
      </w:pPr>
      <w:r>
        <w:rPr>
          <w:rFonts w:hint="eastAsia" w:asciiTheme="minorHAnsi" w:eastAsiaTheme="minorEastAsia"/>
          <w:b/>
          <w:bCs/>
          <w:color w:val="auto"/>
          <w:sz w:val="24"/>
          <w:szCs w:val="24"/>
          <w:highlight w:val="none"/>
          <w:lang w:val="en-US" w:eastAsia="zh-CN"/>
        </w:rPr>
        <w:t>驻场负责人</w:t>
      </w:r>
    </w:p>
    <w:p w14:paraId="40717876">
      <w:pPr>
        <w:numPr>
          <w:ilvl w:val="0"/>
          <w:numId w:val="8"/>
        </w:numPr>
        <w:spacing w:line="360" w:lineRule="auto"/>
        <w:ind w:firstLine="482" w:firstLineChars="200"/>
        <w:rPr>
          <w:rFonts w:hint="eastAsia" w:ascii="宋体" w:hAnsi="宋体" w:cs="宋体"/>
          <w:color w:val="auto"/>
          <w:sz w:val="24"/>
          <w:highlight w:val="none"/>
        </w:rPr>
      </w:pPr>
      <w:r>
        <w:rPr>
          <w:rFonts w:hint="eastAsia" w:ascii="宋体" w:hAnsi="宋体" w:cs="宋体"/>
          <w:b/>
          <w:bCs/>
          <w:color w:val="auto"/>
          <w:sz w:val="24"/>
          <w:highlight w:val="none"/>
        </w:rPr>
        <w:t>驻场</w:t>
      </w:r>
      <w:r>
        <w:rPr>
          <w:rFonts w:hint="eastAsia" w:ascii="宋体" w:hAnsi="宋体" w:cs="宋体"/>
          <w:b/>
          <w:bCs/>
          <w:color w:val="auto"/>
          <w:sz w:val="24"/>
          <w:highlight w:val="none"/>
          <w:lang w:val="en-US" w:eastAsia="zh-CN"/>
        </w:rPr>
        <w:t>软件实施工程师</w:t>
      </w:r>
      <w:r>
        <w:rPr>
          <w:rFonts w:hint="eastAsia" w:ascii="宋体" w:hAnsi="宋体" w:cs="宋体"/>
          <w:b/>
          <w:bCs/>
          <w:color w:val="auto"/>
          <w:sz w:val="24"/>
          <w:highlight w:val="none"/>
        </w:rPr>
        <w:t>1人</w:t>
      </w:r>
      <w:r>
        <w:rPr>
          <w:rFonts w:hint="eastAsia" w:ascii="宋体" w:hAnsi="宋体" w:cs="宋体"/>
          <w:color w:val="auto"/>
          <w:sz w:val="24"/>
          <w:highlight w:val="none"/>
        </w:rPr>
        <w:t>，负责整个负责</w:t>
      </w:r>
      <w:r>
        <w:rPr>
          <w:rFonts w:hint="eastAsia" w:ascii="宋体" w:hAnsi="宋体" w:cs="宋体"/>
          <w:color w:val="auto"/>
          <w:sz w:val="24"/>
          <w:highlight w:val="none"/>
          <w:lang w:val="en-US" w:eastAsia="zh-CN"/>
        </w:rPr>
        <w:t>智慧园区平台运维</w:t>
      </w:r>
      <w:r>
        <w:rPr>
          <w:rFonts w:hint="eastAsia" w:ascii="宋体" w:hAnsi="宋体" w:cs="宋体"/>
          <w:color w:val="auto"/>
          <w:sz w:val="24"/>
          <w:highlight w:val="none"/>
        </w:rPr>
        <w:t>服务的</w:t>
      </w:r>
      <w:r>
        <w:rPr>
          <w:rFonts w:hint="eastAsia" w:ascii="宋体" w:hAnsi="宋体" w:cs="宋体"/>
          <w:color w:val="auto"/>
          <w:sz w:val="24"/>
          <w:highlight w:val="none"/>
          <w:lang w:val="en-US" w:eastAsia="zh-CN"/>
        </w:rPr>
        <w:t>问题现场处理及</w:t>
      </w:r>
      <w:r>
        <w:rPr>
          <w:rFonts w:hint="eastAsia" w:ascii="宋体" w:hAnsi="宋体" w:cs="宋体"/>
          <w:color w:val="auto"/>
          <w:sz w:val="24"/>
          <w:highlight w:val="none"/>
        </w:rPr>
        <w:t>组织协调</w:t>
      </w:r>
      <w:r>
        <w:rPr>
          <w:rFonts w:hint="eastAsia" w:ascii="宋体" w:hAnsi="宋体" w:cs="宋体"/>
          <w:color w:val="auto"/>
          <w:sz w:val="24"/>
          <w:highlight w:val="none"/>
          <w:lang w:val="en-US" w:eastAsia="zh-CN"/>
        </w:rPr>
        <w:t>等</w:t>
      </w:r>
      <w:r>
        <w:rPr>
          <w:rFonts w:hint="eastAsia" w:ascii="宋体" w:hAnsi="宋体" w:cs="宋体"/>
          <w:color w:val="auto"/>
          <w:sz w:val="24"/>
          <w:highlight w:val="none"/>
        </w:rPr>
        <w:t>工作，定期向园区领导汇报平台及系统运行状况</w:t>
      </w:r>
    </w:p>
    <w:p w14:paraId="1423F4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其他服务人员</w:t>
      </w:r>
    </w:p>
    <w:p w14:paraId="3A51FC6F">
      <w:pPr>
        <w:keepNext w:val="0"/>
        <w:keepLines w:val="0"/>
        <w:pageBreakBefore w:val="0"/>
        <w:widowControl w:val="0"/>
        <w:numPr>
          <w:ilvl w:val="0"/>
          <w:numId w:val="9"/>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rPr>
      </w:pPr>
      <w:r>
        <w:rPr>
          <w:rFonts w:hint="eastAsia" w:ascii="宋体" w:hAnsi="宋体" w:cs="宋体"/>
          <w:color w:val="auto"/>
          <w:sz w:val="24"/>
          <w:highlight w:val="none"/>
        </w:rPr>
        <w:t>软件</w:t>
      </w:r>
      <w:r>
        <w:rPr>
          <w:rFonts w:hint="eastAsia" w:ascii="宋体" w:hAnsi="宋体" w:cs="宋体"/>
          <w:color w:val="auto"/>
          <w:sz w:val="24"/>
          <w:highlight w:val="none"/>
          <w:lang w:val="en-US" w:eastAsia="zh-CN"/>
        </w:rPr>
        <w:t>需求</w:t>
      </w:r>
      <w:r>
        <w:rPr>
          <w:rFonts w:hint="eastAsia" w:ascii="宋体" w:hAnsi="宋体" w:cs="宋体"/>
          <w:color w:val="auto"/>
          <w:sz w:val="24"/>
          <w:highlight w:val="none"/>
        </w:rPr>
        <w:t>工程师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人，负责平台运行数据的深度挖掘与分析，为系统优化提供数据依据；兼需求分析以及设计工作，负责</w:t>
      </w:r>
      <w:r>
        <w:rPr>
          <w:rFonts w:hint="eastAsia" w:ascii="宋体" w:hAnsi="宋体" w:cs="宋体"/>
          <w:color w:val="auto"/>
          <w:sz w:val="24"/>
          <w:highlight w:val="none"/>
          <w:lang w:val="en-US" w:eastAsia="zh-CN"/>
        </w:rPr>
        <w:t>梳理</w:t>
      </w:r>
      <w:r>
        <w:rPr>
          <w:rFonts w:hint="eastAsia" w:ascii="宋体" w:hAnsi="宋体" w:cs="宋体"/>
          <w:color w:val="auto"/>
          <w:sz w:val="24"/>
          <w:highlight w:val="none"/>
        </w:rPr>
        <w:t>日常系统提升优化需求并形成书面需求分析协调并安排工程师等团队资源，保障现场工作顺利开展。</w:t>
      </w:r>
    </w:p>
    <w:p w14:paraId="7492C43B">
      <w:pPr>
        <w:numPr>
          <w:ilvl w:val="0"/>
          <w:numId w:val="9"/>
        </w:numPr>
        <w:spacing w:line="360" w:lineRule="auto"/>
        <w:ind w:left="0" w:leftChars="0" w:firstLine="480" w:firstLineChars="200"/>
        <w:rPr>
          <w:rFonts w:hint="eastAsia" w:ascii="宋体" w:hAnsi="宋体" w:cs="宋体"/>
          <w:color w:val="auto"/>
          <w:sz w:val="24"/>
          <w:highlight w:val="none"/>
        </w:rPr>
      </w:pPr>
      <w:r>
        <w:rPr>
          <w:rFonts w:hint="eastAsia" w:ascii="宋体" w:hAnsi="宋体" w:cs="宋体"/>
          <w:color w:val="auto"/>
          <w:sz w:val="24"/>
          <w:highlight w:val="none"/>
        </w:rPr>
        <w:t>软件开发工程师1人，负责</w:t>
      </w:r>
      <w:r>
        <w:rPr>
          <w:rFonts w:hint="eastAsia" w:ascii="宋体" w:hAnsi="宋体" w:cs="宋体"/>
          <w:color w:val="auto"/>
          <w:sz w:val="24"/>
          <w:highlight w:val="none"/>
          <w:lang w:val="en-US" w:eastAsia="zh-CN"/>
        </w:rPr>
        <w:t>前、后端应用开发，</w:t>
      </w:r>
      <w:r>
        <w:rPr>
          <w:rFonts w:hint="eastAsia" w:ascii="宋体" w:hAnsi="宋体" w:cs="宋体"/>
          <w:color w:val="auto"/>
          <w:sz w:val="24"/>
          <w:highlight w:val="none"/>
        </w:rPr>
        <w:t>提供完整的技术支持</w:t>
      </w:r>
      <w:r>
        <w:rPr>
          <w:rFonts w:hint="eastAsia" w:ascii="宋体" w:hAnsi="宋体" w:cs="宋体"/>
          <w:color w:val="auto"/>
          <w:sz w:val="24"/>
          <w:highlight w:val="none"/>
          <w:lang w:eastAsia="zh-CN"/>
        </w:rPr>
        <w:t>，</w:t>
      </w:r>
      <w:r>
        <w:rPr>
          <w:rFonts w:hint="eastAsia" w:ascii="宋体" w:hAnsi="宋体" w:cs="宋体"/>
          <w:color w:val="auto"/>
          <w:sz w:val="24"/>
          <w:highlight w:val="none"/>
        </w:rPr>
        <w:t>负责工程中主要功能的代码实现。</w:t>
      </w:r>
    </w:p>
    <w:p w14:paraId="02834BDE">
      <w:pPr>
        <w:numPr>
          <w:ilvl w:val="0"/>
          <w:numId w:val="9"/>
        </w:numPr>
        <w:spacing w:line="360" w:lineRule="auto"/>
        <w:ind w:left="0" w:leftChars="0"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软件实施工程师1人，</w:t>
      </w:r>
      <w:r>
        <w:rPr>
          <w:rFonts w:hint="eastAsia" w:ascii="宋体" w:hAnsi="宋体" w:cs="宋体"/>
          <w:color w:val="auto"/>
          <w:sz w:val="24"/>
          <w:highlight w:val="none"/>
        </w:rPr>
        <w:t>负责测试软件是否具有稳定性、安全性、易操作性等性能，写出相应的测试规范和测试用例。</w:t>
      </w:r>
    </w:p>
    <w:p w14:paraId="591E2AAF">
      <w:pPr>
        <w:numPr>
          <w:ilvl w:val="0"/>
          <w:numId w:val="9"/>
        </w:numPr>
        <w:spacing w:line="360" w:lineRule="auto"/>
        <w:ind w:left="0" w:leftChars="0" w:firstLine="480" w:firstLineChars="200"/>
        <w:rPr>
          <w:rFonts w:hint="default" w:ascii="宋体" w:hAnsi="宋体" w:cs="宋体"/>
          <w:color w:val="auto"/>
          <w:sz w:val="24"/>
          <w:highlight w:val="none"/>
          <w:lang w:val="en-US" w:eastAsia="zh-CN"/>
        </w:rPr>
      </w:pPr>
      <w:r>
        <w:rPr>
          <w:rFonts w:hint="eastAsia" w:ascii="宋体" w:hAnsi="宋体" w:cs="宋体"/>
          <w:color w:val="auto"/>
          <w:sz w:val="24"/>
          <w:highlight w:val="none"/>
        </w:rPr>
        <w:t>设备集成工程师1人，负责网络硬件和服务器硬件维护，对平台软件系统涉及需集成设备进行集成开发。</w:t>
      </w:r>
    </w:p>
    <w:p w14:paraId="03A07C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color w:val="auto"/>
          <w:sz w:val="24"/>
          <w:szCs w:val="24"/>
          <w:highlight w:val="none"/>
          <w:lang w:val="en-US" w:eastAsia="zh-CN"/>
        </w:rPr>
      </w:pPr>
      <w:r>
        <w:rPr>
          <w:rFonts w:hint="eastAsia" w:asciiTheme="minorHAnsi" w:eastAsiaTheme="minorEastAsia"/>
          <w:color w:val="auto"/>
          <w:sz w:val="24"/>
          <w:szCs w:val="24"/>
          <w:highlight w:val="none"/>
          <w:lang w:val="en-US" w:eastAsia="zh-CN"/>
        </w:rPr>
        <w:t>二、履约要求：</w:t>
      </w:r>
    </w:p>
    <w:p w14:paraId="5A623E8B">
      <w:pPr>
        <w:spacing w:line="360" w:lineRule="auto"/>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1.中标运维服务单位须严格落实月度运维报告报送制度，按月按期提交规范完整的正式运维月报，该月报将作为本项目阶段性验收、进度款支付的核心凭证。</w:t>
      </w:r>
    </w:p>
    <w:p w14:paraId="7B3770FC">
      <w:pPr>
        <w:spacing w:line="360" w:lineRule="auto"/>
        <w:ind w:firstLine="480"/>
        <w:rPr>
          <w:rFonts w:hint="default"/>
          <w:color w:val="auto"/>
          <w:sz w:val="24"/>
          <w:szCs w:val="24"/>
          <w:highlight w:val="none"/>
          <w:lang w:val="en-US" w:eastAsia="zh-CN"/>
        </w:rPr>
      </w:pPr>
      <w:r>
        <w:rPr>
          <w:rFonts w:hint="eastAsia" w:ascii="宋体" w:hAnsi="宋体" w:cs="宋体"/>
          <w:color w:val="auto"/>
          <w:sz w:val="24"/>
          <w:highlight w:val="none"/>
          <w:lang w:val="en-US" w:eastAsia="zh-CN"/>
        </w:rPr>
        <w:t>2.月报内容需涵盖两大板块：一是平台系统专项运维报告，详细说明当月智慧园区平台各核心模块运行状态、系统调试优化情况、数据稳定性监测结果、故障隐患排查及闭环处置情况；二是设备设施运维纪实资料，清晰列明当月巡检排查出的故障设备设施明细、故障成因分析、全流程维修处置方案与实施过程、整改修复最终成果，同步配套故障现场、维修过程、完成修复等关键环节的高清实拍照片及相关佐证材料，确保所有维保工作全程留痕、有据可查，完全满足项目验收、归档及款项支付的合规性要求。</w:t>
      </w:r>
    </w:p>
    <w:p w14:paraId="5B29563B">
      <w:pPr>
        <w:keepNext/>
        <w:keepLines/>
        <w:widowControl w:val="0"/>
        <w:numPr>
          <w:ilvl w:val="1"/>
          <w:numId w:val="0"/>
        </w:numPr>
        <w:bidi w:val="0"/>
        <w:spacing w:before="260" w:beforeLines="0" w:beforeAutospacing="0" w:after="260" w:afterLines="0" w:afterAutospacing="0" w:line="240" w:lineRule="auto"/>
        <w:ind w:left="575" w:hanging="575"/>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3.3.</w:t>
      </w:r>
      <w:r>
        <w:rPr>
          <w:rFonts w:hint="eastAsia" w:ascii="Arial" w:hAnsi="Arial" w:eastAsia="黑体" w:cstheme="minorBidi"/>
          <w:b/>
          <w:color w:val="auto"/>
          <w:kern w:val="2"/>
          <w:sz w:val="30"/>
          <w:szCs w:val="24"/>
          <w:highlight w:val="none"/>
          <w:lang w:val="en-US" w:eastAsia="zh-CN" w:bidi="ar-SA"/>
        </w:rPr>
        <w:t>服务标准</w:t>
      </w:r>
    </w:p>
    <w:p w14:paraId="018A1C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highlight w:val="none"/>
          <w:lang w:val="en-US" w:eastAsia="zh-CN"/>
        </w:rPr>
        <w:t>一、</w:t>
      </w:r>
      <w:r>
        <w:rPr>
          <w:rFonts w:hint="eastAsia" w:ascii="宋体" w:hAnsi="宋体" w:eastAsia="宋体" w:cs="宋体"/>
          <w:b w:val="0"/>
          <w:bCs w:val="0"/>
          <w:color w:val="auto"/>
          <w:sz w:val="24"/>
          <w:szCs w:val="24"/>
          <w:highlight w:val="none"/>
          <w:lang w:val="en-US" w:eastAsia="zh-CN"/>
        </w:rPr>
        <w:t>核心标准</w:t>
      </w:r>
    </w:p>
    <w:p w14:paraId="51B4F3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般故障（软件小故障、操作问题）：2小时内响应，8小时内远程解决。重要故障（核心模块瘫痪、数据传输中断）：1小时内响应，4小时内恢复正常运行。重大故障（平台整体瘫痪、数据丢失风险）：30分钟内响应，立即启动应急处置，2小时内恢复核心功能。</w:t>
      </w:r>
    </w:p>
    <w:p w14:paraId="6306AB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二、服务标准</w:t>
      </w:r>
    </w:p>
    <w:p w14:paraId="2710AB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（1）运维人员须具备熟练的操作技能和维修能力，并持有与工作相关证件（包括但不限于电工、钳工、高空作业等），三年以上工作经验，能够快速准确地判断和处理故障。</w:t>
      </w:r>
    </w:p>
    <w:p w14:paraId="02DAE2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（2）维护人员须能够处理区域内各系统故障等相关问题，并对损坏设备进行维修更换，对涉及到的软硬件设备等进行检查维修保养。</w:t>
      </w:r>
    </w:p>
    <w:p w14:paraId="04FADB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三、第三方故障维修要求</w:t>
      </w:r>
    </w:p>
    <w:p w14:paraId="7A70A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以下内容为第三方故障：</w:t>
      </w:r>
    </w:p>
    <w:p w14:paraId="13C85F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（1）由于不可抗力的原因，如台风、地震、战争等造成系统设备损坏的；</w:t>
      </w:r>
    </w:p>
    <w:p w14:paraId="265BF4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（2）由于道路改造、市政工程施工、人为破坏、电力异常、系统设备被盗的、交通事故、房屋拆迁造成系统损坏的；</w:t>
      </w:r>
    </w:p>
    <w:p w14:paraId="59C126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（3）由于必要的需求，由采购人提出对设备进行迁移、新建、改建的；</w:t>
      </w:r>
    </w:p>
    <w:p w14:paraId="6157D79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（4）其他应当属于第三方的故障。</w:t>
      </w:r>
    </w:p>
    <w:p w14:paraId="5C81B8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维护单位对于第三方故障要及时跟踪处理。按照如下流程进行处理：</w:t>
      </w:r>
    </w:p>
    <w:p w14:paraId="15AB73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①现场勘察取证，并保留可以证明为第三方故障的图片或视频。</w:t>
      </w:r>
    </w:p>
    <w:p w14:paraId="76CDF8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②根据勘察记录整理第三方故障报告（故障及原因、修复方案、费用预算和修复计划）一式两份提交招标方，采购单位签字后双方各自留存一份。</w:t>
      </w:r>
    </w:p>
    <w:p w14:paraId="5AA71D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③在取得采购单位书面签证后（抢修类故障处理可以先施工后签证）进入维修服务流程，并在相应服务时限完成修复，由采购单位在合同付款时统一付费。</w:t>
      </w:r>
    </w:p>
    <w:p w14:paraId="247A7C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产生费用按以下类型清单核算：1.第三方故障所产生的相关费用，不纳入本合同维保范围，按实际发生费用据实结算，具体包含：设备费、施工费及系统调试费等合理费用。</w:t>
      </w:r>
    </w:p>
    <w:p w14:paraId="5EFEE06C">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有费用以采购单位签字确认的故障报告、费用预算及书面签证单为结算依据（抢修类故障可先施工后补签签证），费用均按含税价计取，由采购单位在合同约定付款节点，凭修复验收合格资料及合规发票统一支付。</w:t>
      </w:r>
    </w:p>
    <w:p w14:paraId="69843279">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b/>
          <w:bCs/>
          <w:color w:val="auto"/>
          <w:sz w:val="24"/>
          <w:highlight w:val="none"/>
        </w:rPr>
        <w:t>产生费用按以下类型清单核算（以下材料单价含更换设备全部费用，不低于现有设备的功能要求）：</w:t>
      </w:r>
    </w:p>
    <w:tbl>
      <w:tblPr>
        <w:tblStyle w:val="11"/>
        <w:tblW w:w="819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2"/>
        <w:gridCol w:w="4151"/>
        <w:gridCol w:w="1388"/>
        <w:gridCol w:w="1981"/>
      </w:tblGrid>
      <w:tr w14:paraId="5B2BC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038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项号</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16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货物名称</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91B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D15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单价（元）</w:t>
            </w:r>
          </w:p>
        </w:tc>
      </w:tr>
      <w:tr w14:paraId="2CB80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2C0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FA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6.5杆件（横臂 4米）</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D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6A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6500 </w:t>
            </w:r>
          </w:p>
        </w:tc>
      </w:tr>
      <w:tr w14:paraId="64AB4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14A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8E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6.5杆件（横臂 6米）</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046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094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7350</w:t>
            </w:r>
          </w:p>
        </w:tc>
      </w:tr>
      <w:tr w14:paraId="019B8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622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E2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配套杆件基础</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A02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81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2083 </w:t>
            </w:r>
          </w:p>
        </w:tc>
      </w:tr>
      <w:tr w14:paraId="79964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CB2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B7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核心交换机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B41F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AB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56342 </w:t>
            </w:r>
          </w:p>
        </w:tc>
      </w:tr>
      <w:tr w14:paraId="45B9F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3C9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484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光模块</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C4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3A2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472 </w:t>
            </w:r>
          </w:p>
        </w:tc>
      </w:tr>
      <w:tr w14:paraId="215A48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7D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BD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出入口视频单元</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BB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B23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2500 </w:t>
            </w:r>
          </w:p>
        </w:tc>
      </w:tr>
      <w:tr w14:paraId="51773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6A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EA9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立柱</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6FA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895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450 </w:t>
            </w:r>
          </w:p>
        </w:tc>
      </w:tr>
      <w:tr w14:paraId="1568E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2F3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B20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道闸</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0B4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E81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7700 </w:t>
            </w:r>
          </w:p>
        </w:tc>
      </w:tr>
      <w:tr w14:paraId="1BE1D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A21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33C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出入口控制终端</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3A9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7D8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4400 </w:t>
            </w:r>
          </w:p>
        </w:tc>
      </w:tr>
      <w:tr w14:paraId="7FCCE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EF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5A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车检器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012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A4E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330 </w:t>
            </w:r>
          </w:p>
        </w:tc>
      </w:tr>
      <w:tr w14:paraId="3A0EF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8D9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03F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出入口显示屏</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99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561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2800 </w:t>
            </w:r>
          </w:p>
        </w:tc>
      </w:tr>
      <w:tr w14:paraId="2A2AF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BCA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F9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伸缩门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0E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7C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950 </w:t>
            </w:r>
          </w:p>
        </w:tc>
      </w:tr>
      <w:tr w14:paraId="38CA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8E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FF4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主机及智能控制系统</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D3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B7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4500 </w:t>
            </w:r>
          </w:p>
        </w:tc>
      </w:tr>
      <w:tr w14:paraId="345457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1E9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17C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基础设施</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2C2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59F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3500 </w:t>
            </w:r>
          </w:p>
        </w:tc>
      </w:tr>
      <w:tr w14:paraId="14702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BBB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78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快速通道（左）</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D0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C0C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9800 </w:t>
            </w:r>
          </w:p>
        </w:tc>
      </w:tr>
      <w:tr w14:paraId="5C0C6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AFC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4AC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快速通道（右）</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3D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78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9800 </w:t>
            </w:r>
          </w:p>
        </w:tc>
      </w:tr>
      <w:tr w14:paraId="571CE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C4C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01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人脸识别设备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672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398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2450 </w:t>
            </w:r>
          </w:p>
        </w:tc>
      </w:tr>
      <w:tr w14:paraId="6A5B1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C5D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030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管理电脑</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70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F20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4500 </w:t>
            </w:r>
          </w:p>
        </w:tc>
      </w:tr>
      <w:tr w14:paraId="71AC7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33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8F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客户端显示器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63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76F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550 </w:t>
            </w:r>
          </w:p>
        </w:tc>
      </w:tr>
      <w:tr w14:paraId="2605B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DFD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42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556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8DB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480 </w:t>
            </w:r>
          </w:p>
        </w:tc>
      </w:tr>
      <w:tr w14:paraId="40EAD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FD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FA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网络线</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F6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箱</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206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680 </w:t>
            </w:r>
          </w:p>
        </w:tc>
      </w:tr>
      <w:tr w14:paraId="6463B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7CB7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8C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智能双备份集成电源</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521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90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2500 </w:t>
            </w:r>
          </w:p>
        </w:tc>
      </w:tr>
      <w:tr w14:paraId="25252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459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D29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岗亭（6 平方）</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FB0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65A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8700 </w:t>
            </w:r>
          </w:p>
        </w:tc>
      </w:tr>
      <w:tr w14:paraId="269AA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E19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971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双路服务器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5A8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30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21500 </w:t>
            </w:r>
          </w:p>
        </w:tc>
      </w:tr>
      <w:tr w14:paraId="1D75B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ED2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39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管理软件</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DE9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114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50000 </w:t>
            </w:r>
          </w:p>
        </w:tc>
      </w:tr>
      <w:tr w14:paraId="31FA7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006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A7A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网络摄像机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A76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9DA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555 </w:t>
            </w:r>
          </w:p>
        </w:tc>
      </w:tr>
      <w:tr w14:paraId="251D5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002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D29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摄像机支架</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D13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112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 </w:t>
            </w:r>
          </w:p>
        </w:tc>
      </w:tr>
      <w:tr w14:paraId="78DC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C6B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24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电源适配器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4D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A05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25 </w:t>
            </w:r>
          </w:p>
        </w:tc>
      </w:tr>
      <w:tr w14:paraId="5737B5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E77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E0B6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网络存储设备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FE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349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3200 </w:t>
            </w:r>
          </w:p>
        </w:tc>
      </w:tr>
      <w:tr w14:paraId="363F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0B8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502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 寸监控级硬盘4T</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897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03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850 </w:t>
            </w:r>
          </w:p>
        </w:tc>
      </w:tr>
      <w:tr w14:paraId="3AC9A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BF5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B37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岗亭取电 电表</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56B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C8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163 </w:t>
            </w:r>
          </w:p>
        </w:tc>
      </w:tr>
      <w:tr w14:paraId="1DCF1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AD0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F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土星灰遮光贴</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FC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平方</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C76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17 </w:t>
            </w:r>
          </w:p>
        </w:tc>
      </w:tr>
      <w:tr w14:paraId="3180B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774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C79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防撞柱</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DCB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A36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r>
      <w:tr w14:paraId="7EDED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A763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584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铸铁减速带</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45C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28E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r>
      <w:tr w14:paraId="6972C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C5F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E3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减速带</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11D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DEC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w:t>
            </w:r>
          </w:p>
        </w:tc>
      </w:tr>
      <w:tr w14:paraId="72B8D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AE7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BF0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爆闪警示灯灯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BA2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FF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248</w:t>
            </w:r>
          </w:p>
        </w:tc>
      </w:tr>
      <w:tr w14:paraId="31C70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5F5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555E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海康授权</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226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532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r>
      <w:tr w14:paraId="48320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C7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7C5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半球摄像机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2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D620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660</w:t>
            </w:r>
          </w:p>
        </w:tc>
      </w:tr>
      <w:tr w14:paraId="55BD6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F3C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2F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遮阳窗帘</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6B1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507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r>
      <w:tr w14:paraId="65BB7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100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908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LED灯条</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FE06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2B1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r>
      <w:tr w14:paraId="037EA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21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886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2米遮阳棚</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A0CE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62A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w:t>
            </w:r>
          </w:p>
        </w:tc>
      </w:tr>
      <w:tr w14:paraId="5E78D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21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B0F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3米遮阳棚</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2657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0E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w:t>
            </w:r>
          </w:p>
        </w:tc>
      </w:tr>
      <w:tr w14:paraId="0FE94A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D7B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C2F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反光漆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425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61C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640</w:t>
            </w:r>
          </w:p>
        </w:tc>
      </w:tr>
      <w:tr w14:paraId="33B5E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DE8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BD3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电脑主机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285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E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3800</w:t>
            </w:r>
          </w:p>
        </w:tc>
      </w:tr>
      <w:tr w14:paraId="44F04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D537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763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网络机柜</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D6F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B78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720</w:t>
            </w:r>
          </w:p>
        </w:tc>
      </w:tr>
      <w:tr w14:paraId="5F60E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F5A4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4D5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网络摄像机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FD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6FA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555</w:t>
            </w:r>
          </w:p>
        </w:tc>
      </w:tr>
      <w:tr w14:paraId="3A1D1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108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9C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摄像机补光灯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051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626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350</w:t>
            </w:r>
          </w:p>
        </w:tc>
      </w:tr>
      <w:tr w14:paraId="711E6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964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713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出入口标志牌</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91C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125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r>
      <w:tr w14:paraId="5796C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B30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E02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限速标志牌</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7B1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03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r>
      <w:tr w14:paraId="12364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287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43B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顶管</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8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FFA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r>
      <w:tr w14:paraId="25520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5FA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6B3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出入口雷达</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F7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1E215">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680</w:t>
            </w:r>
          </w:p>
        </w:tc>
      </w:tr>
      <w:tr w14:paraId="43F8D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F7D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490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出入口控制终端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4DA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CD972">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3800</w:t>
            </w:r>
          </w:p>
        </w:tc>
      </w:tr>
      <w:tr w14:paraId="4439E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2"/>
          <w:wAfter w:w="3369" w:type="dxa"/>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E35C7">
            <w:pPr>
              <w:jc w:val="center"/>
              <w:rPr>
                <w:rFonts w:hint="eastAsia" w:ascii="宋体" w:hAnsi="宋体" w:eastAsia="宋体" w:cs="宋体"/>
                <w:i w:val="0"/>
                <w:iCs w:val="0"/>
                <w:color w:val="auto"/>
                <w:sz w:val="24"/>
                <w:szCs w:val="24"/>
                <w:highlight w:val="none"/>
                <w:u w:val="none"/>
              </w:rPr>
            </w:pPr>
          </w:p>
        </w:tc>
        <w:tc>
          <w:tcPr>
            <w:tcW w:w="41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D4144">
            <w:pPr>
              <w:jc w:val="center"/>
              <w:rPr>
                <w:rFonts w:hint="eastAsia" w:ascii="宋体" w:hAnsi="宋体" w:eastAsia="宋体" w:cs="宋体"/>
                <w:i w:val="0"/>
                <w:iCs w:val="0"/>
                <w:color w:val="auto"/>
                <w:sz w:val="24"/>
                <w:szCs w:val="24"/>
                <w:highlight w:val="none"/>
                <w:u w:val="none"/>
              </w:rPr>
            </w:pPr>
          </w:p>
        </w:tc>
      </w:tr>
      <w:tr w14:paraId="6E1A6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E60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1A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枪式摄像机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187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CD847">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1170</w:t>
            </w:r>
          </w:p>
        </w:tc>
      </w:tr>
      <w:tr w14:paraId="421CD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D08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633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车辆测速抓拍摄像机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D7C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4C2BD">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6820</w:t>
            </w:r>
          </w:p>
        </w:tc>
      </w:tr>
      <w:tr w14:paraId="5F91B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5834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F05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车辆测速雷达</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18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22711">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3800</w:t>
            </w:r>
          </w:p>
        </w:tc>
      </w:tr>
      <w:tr w14:paraId="3BFE3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2ED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CF2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补光灯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23A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856FA">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1350</w:t>
            </w:r>
          </w:p>
        </w:tc>
      </w:tr>
      <w:tr w14:paraId="1329A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A02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22A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车辆测速提示牌</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440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3FD0A">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6300</w:t>
            </w:r>
          </w:p>
        </w:tc>
      </w:tr>
      <w:tr w14:paraId="2B3ED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213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70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测速终端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58E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CA15">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5800</w:t>
            </w:r>
          </w:p>
        </w:tc>
      </w:tr>
      <w:tr w14:paraId="1AEA6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6EA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128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开关电源</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21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5F8D6">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3567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757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96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支架</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D6F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C19B1">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r>
      <w:tr w14:paraId="36076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C0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3DE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交换机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741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423F">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w:t>
            </w:r>
          </w:p>
        </w:tc>
      </w:tr>
      <w:tr w14:paraId="1C7FBE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A7A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36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AC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596E4">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r>
      <w:tr w14:paraId="193A6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918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E7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立杆(6.5米高，8米横杆)</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FAA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4F4F">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8500</w:t>
            </w:r>
          </w:p>
        </w:tc>
      </w:tr>
      <w:tr w14:paraId="51355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65B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91F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客流统计相机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993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43B1B">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3800</w:t>
            </w:r>
          </w:p>
        </w:tc>
      </w:tr>
      <w:tr w14:paraId="728C2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01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50F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双目热成像云台</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28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858F">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49000</w:t>
            </w:r>
          </w:p>
        </w:tc>
      </w:tr>
      <w:tr w14:paraId="1AD67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518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EE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周界声光警戒枪机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ACB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229F">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505</w:t>
            </w:r>
          </w:p>
        </w:tc>
      </w:tr>
      <w:tr w14:paraId="5987D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DDA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8A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黄慢灯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F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38B1">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650</w:t>
            </w:r>
          </w:p>
        </w:tc>
      </w:tr>
      <w:tr w14:paraId="02F11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0D3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B8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反光镜</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3A8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24C5C">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650</w:t>
            </w:r>
          </w:p>
        </w:tc>
      </w:tr>
      <w:tr w14:paraId="7FFCA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70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A7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16-AI融合巡检超脑</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ED0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43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83000</w:t>
            </w:r>
          </w:p>
        </w:tc>
      </w:tr>
      <w:tr w14:paraId="75ED2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92C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E60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8-AI融合巡检超脑</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DDB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1F3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45250</w:t>
            </w:r>
          </w:p>
        </w:tc>
      </w:tr>
      <w:tr w14:paraId="227F4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4D3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DDD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防火墙</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0F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9B0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71699</w:t>
            </w:r>
          </w:p>
        </w:tc>
      </w:tr>
      <w:tr w14:paraId="1917C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A4D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99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日志审计</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C6E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2E5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41097</w:t>
            </w:r>
          </w:p>
        </w:tc>
      </w:tr>
      <w:tr w14:paraId="004EA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38F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9E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网络广播中心</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408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E23C">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10835</w:t>
            </w:r>
          </w:p>
        </w:tc>
      </w:tr>
      <w:tr w14:paraId="0948B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3A6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4A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机房监听音箱</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947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C5CF">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748</w:t>
            </w:r>
          </w:p>
        </w:tc>
      </w:tr>
      <w:tr w14:paraId="514E3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4F1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FB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网络化智能寻呼站</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0C0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C82C">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2035</w:t>
            </w:r>
          </w:p>
        </w:tc>
      </w:tr>
      <w:tr w14:paraId="1F45A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E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55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时序电源控制器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30B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4754B">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935</w:t>
            </w:r>
          </w:p>
        </w:tc>
      </w:tr>
      <w:tr w14:paraId="75B2A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772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414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机柜</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72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5E425">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5500</w:t>
            </w:r>
          </w:p>
        </w:tc>
      </w:tr>
      <w:tr w14:paraId="01235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E3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1C2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远程控制软件</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93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C6A36">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10000</w:t>
            </w:r>
          </w:p>
        </w:tc>
      </w:tr>
      <w:tr w14:paraId="2939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4A6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0EF8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单通道音频解码终端</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663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CA83E">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1309</w:t>
            </w:r>
          </w:p>
        </w:tc>
      </w:tr>
      <w:tr w14:paraId="15652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2D5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71F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带前置广播功放</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20DB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E622">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1475</w:t>
            </w:r>
          </w:p>
        </w:tc>
      </w:tr>
      <w:tr w14:paraId="7E3B7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1E6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5D2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室外号角</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93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24E45">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248</w:t>
            </w:r>
          </w:p>
        </w:tc>
      </w:tr>
      <w:tr w14:paraId="569C2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EA1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EEE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网络交换机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E07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2EC0C">
            <w:pPr>
              <w:keepNext w:val="0"/>
              <w:keepLines w:val="0"/>
              <w:widowControl/>
              <w:suppressLineNumbers w:val="0"/>
              <w:ind w:firstLineChars="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1500</w:t>
            </w:r>
          </w:p>
        </w:tc>
      </w:tr>
      <w:tr w14:paraId="4EB6F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68A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BA2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车辆柜式抓拍一体机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43A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A5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7100</w:t>
            </w:r>
          </w:p>
        </w:tc>
      </w:tr>
      <w:tr w14:paraId="54A73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5BD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F4F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道闸机箱</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F5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B80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4900</w:t>
            </w:r>
          </w:p>
        </w:tc>
      </w:tr>
      <w:tr w14:paraId="791AD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366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4D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6米直杆</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83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BB2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680</w:t>
            </w:r>
          </w:p>
        </w:tc>
      </w:tr>
      <w:tr w14:paraId="6C540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FC9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E2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防砸雷达</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A7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672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1460</w:t>
            </w:r>
          </w:p>
        </w:tc>
      </w:tr>
      <w:tr w14:paraId="1AA62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E4A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41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电源适配器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6F2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65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r>
      <w:tr w14:paraId="10669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7C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68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桥式直角快速摆闸（左）</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86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BF9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6200</w:t>
            </w:r>
          </w:p>
        </w:tc>
      </w:tr>
      <w:tr w14:paraId="75021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23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3C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桥式直角快速摆闸（中）</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586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A2D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8300</w:t>
            </w:r>
          </w:p>
        </w:tc>
      </w:tr>
      <w:tr w14:paraId="0F4A7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551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1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桥式直角快速摆闸（右）</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7AB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97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6450</w:t>
            </w:r>
          </w:p>
        </w:tc>
      </w:tr>
      <w:tr w14:paraId="686F0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34C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43F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不锈钢摆臂</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54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1E6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210</w:t>
            </w:r>
          </w:p>
        </w:tc>
      </w:tr>
      <w:tr w14:paraId="055A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556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D7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人员识别闸机模块</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509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10C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2000</w:t>
            </w:r>
          </w:p>
        </w:tc>
      </w:tr>
      <w:tr w14:paraId="30BA1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0A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8FA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闸机模块支架</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006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A8E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75</w:t>
            </w:r>
          </w:p>
        </w:tc>
      </w:tr>
      <w:tr w14:paraId="216068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B0B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79BF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蓄电池</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DDB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074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160</w:t>
            </w:r>
          </w:p>
        </w:tc>
      </w:tr>
      <w:tr w14:paraId="3487D7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7DB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B5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闸机加热模块</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758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B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600</w:t>
            </w:r>
          </w:p>
        </w:tc>
      </w:tr>
      <w:tr w14:paraId="7AC71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CAF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289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无线遥控器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6B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CC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w:t>
            </w:r>
          </w:p>
        </w:tc>
      </w:tr>
      <w:tr w14:paraId="3A038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4EB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599D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800W全彩防爆车位检测枪机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75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DDD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4600</w:t>
            </w:r>
          </w:p>
        </w:tc>
      </w:tr>
      <w:tr w14:paraId="30901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49B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4F0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防爆挠性管</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2A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F2E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290</w:t>
            </w:r>
          </w:p>
        </w:tc>
      </w:tr>
      <w:tr w14:paraId="78C34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D54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15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室外P4全彩LED屏</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3A1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439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37100</w:t>
            </w:r>
          </w:p>
        </w:tc>
      </w:tr>
      <w:tr w14:paraId="11034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0D5D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0FD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二合一控制器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1B3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111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6500</w:t>
            </w:r>
          </w:p>
        </w:tc>
      </w:tr>
      <w:tr w14:paraId="30AC5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5B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F5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信息发布终端</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587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DE3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3000</w:t>
            </w:r>
          </w:p>
        </w:tc>
      </w:tr>
      <w:tr w14:paraId="6A9E2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1A7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15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LED屏控制软件</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A6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67E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1100</w:t>
            </w:r>
          </w:p>
        </w:tc>
      </w:tr>
      <w:tr w14:paraId="49B2B1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77A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24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配电柜</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BB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BF3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3800</w:t>
            </w:r>
          </w:p>
        </w:tc>
      </w:tr>
      <w:tr w14:paraId="70D5D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48C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91B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400W防爆星光球机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7EA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E26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11660</w:t>
            </w:r>
          </w:p>
        </w:tc>
      </w:tr>
      <w:tr w14:paraId="5D14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7C8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33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不锈钢箱</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96D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8C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169.6</w:t>
            </w:r>
          </w:p>
        </w:tc>
      </w:tr>
      <w:tr w14:paraId="73F41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BB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158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400W防爆星光枪机</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E19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3C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3922</w:t>
            </w:r>
          </w:p>
        </w:tc>
      </w:tr>
      <w:tr w14:paraId="0888C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03B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93A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防爆挠性管</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2C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根</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E4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286.2</w:t>
            </w:r>
          </w:p>
        </w:tc>
      </w:tr>
      <w:tr w14:paraId="70FF1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5D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E5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双光谱烟火监测云台</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E53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30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38300</w:t>
            </w:r>
          </w:p>
        </w:tc>
      </w:tr>
      <w:tr w14:paraId="17DC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4D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86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磁盘阵列</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A9AC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F19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10706</w:t>
            </w:r>
          </w:p>
        </w:tc>
      </w:tr>
      <w:tr w14:paraId="27625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519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1A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企业级硬盘（8T）</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B2F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02B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2544</w:t>
            </w:r>
          </w:p>
        </w:tc>
      </w:tr>
      <w:tr w14:paraId="328E4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7D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9D4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安防综合管理平台</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C25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03B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39220</w:t>
            </w:r>
          </w:p>
        </w:tc>
      </w:tr>
      <w:tr w14:paraId="56359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4AF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top"/>
          </w:tcPr>
          <w:p w14:paraId="4F56210D">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ZR-YJV2*1.5，国标、包括铜线鼻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4CB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191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r>
      <w:tr w14:paraId="78CD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E61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7DD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ZR-YJV2*2.5，国标、包括铜线鼻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A7D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AD6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7.37</w:t>
            </w:r>
          </w:p>
        </w:tc>
      </w:tr>
      <w:tr w14:paraId="36F16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33B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7FE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ZR-YJV2*4，国标、包括铜线鼻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D40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1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7.8</w:t>
            </w:r>
          </w:p>
        </w:tc>
      </w:tr>
      <w:tr w14:paraId="6A244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15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49D4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ZR-YJV2*6，国标、包括铜线鼻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39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181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8.68</w:t>
            </w:r>
          </w:p>
        </w:tc>
      </w:tr>
      <w:tr w14:paraId="3F93C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D9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A18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ZR-YJV3*1.5，国标、包括铜线鼻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BFF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FAB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5.6</w:t>
            </w:r>
          </w:p>
        </w:tc>
      </w:tr>
      <w:tr w14:paraId="722C9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6B3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D3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ZR-YJV3*6，国标、包括铜线鼻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868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5B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r>
      <w:tr w14:paraId="5C9E1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403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69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ZR-YJV2*10，国标、包括铜线鼻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681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D8D1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r>
      <w:tr w14:paraId="058E2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47D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16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ZR-YJV2*16，国标、包括铜线鼻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4BE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FA0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r>
      <w:tr w14:paraId="4D090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1B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FF0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ZR-YJV4*2.5，国标、包括铜线鼻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DB3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BDC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r>
      <w:tr w14:paraId="7054FC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561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C0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ZR-YJV4*4，国标、包括铜线鼻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5DC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B4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r>
      <w:tr w14:paraId="3E445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EB1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5E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ZR-YJV4*10，国标、包括铜线鼻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56E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312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41.6</w:t>
            </w:r>
          </w:p>
        </w:tc>
      </w:tr>
      <w:tr w14:paraId="6685A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0F0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C7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ZR-YJV4*16，国标、包括铜线鼻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693A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B3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62.6</w:t>
            </w:r>
          </w:p>
        </w:tc>
      </w:tr>
      <w:tr w14:paraId="22F7B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7E7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1D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ZR-YJV22-5*16，国标、包括铜线鼻</w:t>
            </w:r>
          </w:p>
        </w:tc>
        <w:tc>
          <w:tcPr>
            <w:tcW w:w="13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6B6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F78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r>
      <w:tr w14:paraId="63F12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897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A11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12芯、铠装，国标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61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F5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r>
      <w:tr w14:paraId="2572E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13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6C5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48芯、铠装，国标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21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545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r>
      <w:tr w14:paraId="29FB3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1AC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F1FD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72芯、铠装，国标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837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CD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r>
      <w:tr w14:paraId="059D3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9FE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21F2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镀锌钢管 DN25</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8F18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9A5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 xml:space="preserve">112 </w:t>
            </w:r>
          </w:p>
        </w:tc>
      </w:tr>
      <w:tr w14:paraId="247CC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65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129</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27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敷设内径75mm PE管，壁厚3.6mm；</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A87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119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r>
      <w:tr w14:paraId="5A82F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68F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130</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347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Φ110PE管，国标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356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675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55</w:t>
            </w:r>
          </w:p>
        </w:tc>
      </w:tr>
      <w:tr w14:paraId="4B293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3BA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131</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345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Φ50PE管，国标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0BE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A26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r>
      <w:tr w14:paraId="68347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E9B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132</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A77F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镀锌钢管DN50，国标</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CBB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米</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E5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190</w:t>
            </w:r>
          </w:p>
        </w:tc>
      </w:tr>
      <w:tr w14:paraId="78D85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560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133</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A00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视频服务器机箱系统</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5C3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D7A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17763</w:t>
            </w:r>
          </w:p>
        </w:tc>
      </w:tr>
      <w:tr w14:paraId="029D3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9A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134</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AE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视频服务器输入板</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D2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4D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8863</w:t>
            </w:r>
          </w:p>
        </w:tc>
      </w:tr>
      <w:tr w14:paraId="0E6F9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A09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135</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7901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视频服务器输入板（4K）</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3D9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EBC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13276</w:t>
            </w:r>
          </w:p>
        </w:tc>
      </w:tr>
      <w:tr w14:paraId="5A9C9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6D9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136</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C08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视频服务器输出版（4路）</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42E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EA0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8863</w:t>
            </w:r>
          </w:p>
        </w:tc>
      </w:tr>
      <w:tr w14:paraId="56AA9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778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137</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2FA4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4K回监 回传线路</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816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套</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2B5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2180</w:t>
            </w:r>
          </w:p>
        </w:tc>
      </w:tr>
      <w:tr w14:paraId="6DA98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 w:hRule="atLeast"/>
        </w:trPr>
        <w:tc>
          <w:tcPr>
            <w:tcW w:w="6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D2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138</w:t>
            </w:r>
          </w:p>
        </w:tc>
        <w:tc>
          <w:tcPr>
            <w:tcW w:w="4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CCD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4k回监显示器</w:t>
            </w:r>
          </w:p>
        </w:tc>
        <w:tc>
          <w:tcPr>
            <w:tcW w:w="13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A6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198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39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4905</w:t>
            </w:r>
          </w:p>
        </w:tc>
      </w:tr>
    </w:tbl>
    <w:p w14:paraId="5EFD4D6C">
      <w:pPr>
        <w:pStyle w:val="2"/>
        <w:numPr>
          <w:ilvl w:val="0"/>
          <w:numId w:val="0"/>
        </w:numPr>
        <w:bidi w:val="0"/>
        <w:spacing w:line="240" w:lineRule="auto"/>
        <w:rPr>
          <w:rFonts w:hint="eastAsia"/>
          <w:color w:val="auto"/>
          <w:highlight w:val="none"/>
          <w:lang w:val="en-US" w:eastAsia="zh-CN"/>
        </w:rPr>
      </w:pPr>
      <w:r>
        <w:rPr>
          <w:rFonts w:hint="default" w:asciiTheme="minorAscii" w:hAnsiTheme="minorAscii" w:eastAsiaTheme="minorEastAsia" w:cstheme="minorBidi"/>
          <w:b/>
          <w:color w:val="auto"/>
          <w:kern w:val="44"/>
          <w:sz w:val="30"/>
          <w:szCs w:val="24"/>
          <w:highlight w:val="none"/>
          <w:lang w:val="en-US" w:eastAsia="zh-CN" w:bidi="ar-SA"/>
        </w:rPr>
        <w:t>4.</w:t>
      </w:r>
      <w:r>
        <w:rPr>
          <w:rFonts w:hint="eastAsia"/>
          <w:color w:val="auto"/>
          <w:highlight w:val="none"/>
          <w:lang w:val="en-US" w:eastAsia="zh-CN"/>
        </w:rPr>
        <w:t>附录</w:t>
      </w:r>
    </w:p>
    <w:p w14:paraId="359D7A25">
      <w:pPr>
        <w:keepNext/>
        <w:keepLines/>
        <w:widowControl w:val="0"/>
        <w:numPr>
          <w:ilvl w:val="1"/>
          <w:numId w:val="0"/>
        </w:numPr>
        <w:bidi w:val="0"/>
        <w:spacing w:before="260" w:beforeLines="0" w:beforeAutospacing="0" w:after="260" w:afterLines="0" w:afterAutospacing="0" w:line="240" w:lineRule="auto"/>
        <w:ind w:left="575" w:hanging="575"/>
        <w:jc w:val="both"/>
        <w:outlineLvl w:val="1"/>
        <w:rPr>
          <w:rFonts w:hint="default" w:ascii="Arial" w:hAnsi="Arial" w:eastAsia="黑体" w:cstheme="minorBidi"/>
          <w:b/>
          <w:color w:val="auto"/>
          <w:kern w:val="2"/>
          <w:sz w:val="30"/>
          <w:szCs w:val="24"/>
          <w:highlight w:val="none"/>
          <w:lang w:val="en-US" w:eastAsia="zh-CN" w:bidi="ar-SA"/>
        </w:rPr>
      </w:pPr>
      <w:r>
        <w:rPr>
          <w:rFonts w:hint="default" w:ascii="Arial" w:hAnsi="Arial" w:eastAsia="黑体" w:cstheme="minorBidi"/>
          <w:b/>
          <w:color w:val="auto"/>
          <w:kern w:val="2"/>
          <w:sz w:val="30"/>
          <w:szCs w:val="24"/>
          <w:highlight w:val="none"/>
          <w:lang w:val="en-US" w:eastAsia="zh-CN" w:bidi="ar-SA"/>
        </w:rPr>
        <w:t>4.1.附件1：智慧园区平台系统定期巡检表</w:t>
      </w:r>
    </w:p>
    <w:p w14:paraId="48B0E879">
      <w:pPr>
        <w:spacing w:line="360" w:lineRule="auto"/>
        <w:ind w:firstLine="560" w:firstLineChars="200"/>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1.后台运行服务巡检工作，每周巡检1次，巡检内容如下：</w:t>
      </w:r>
    </w:p>
    <w:tbl>
      <w:tblPr>
        <w:tblStyle w:val="11"/>
        <w:tblW w:w="4998" w:type="pct"/>
        <w:tblInd w:w="0" w:type="dxa"/>
        <w:tblLayout w:type="autofit"/>
        <w:tblCellMar>
          <w:top w:w="0" w:type="dxa"/>
          <w:left w:w="108" w:type="dxa"/>
          <w:bottom w:w="0" w:type="dxa"/>
          <w:right w:w="108" w:type="dxa"/>
        </w:tblCellMar>
      </w:tblPr>
      <w:tblGrid>
        <w:gridCol w:w="1346"/>
        <w:gridCol w:w="2120"/>
        <w:gridCol w:w="3301"/>
        <w:gridCol w:w="2517"/>
      </w:tblGrid>
      <w:tr w14:paraId="1F62FF9A">
        <w:tblPrEx>
          <w:tblCellMar>
            <w:top w:w="0" w:type="dxa"/>
            <w:left w:w="108" w:type="dxa"/>
            <w:bottom w:w="0" w:type="dxa"/>
            <w:right w:w="108" w:type="dxa"/>
          </w:tblCellMar>
        </w:tblPrEx>
        <w:trPr>
          <w:trHeight w:val="380" w:hRule="atLeast"/>
        </w:trPr>
        <w:tc>
          <w:tcPr>
            <w:tcW w:w="725" w:type="pct"/>
            <w:tcBorders>
              <w:top w:val="single" w:color="000000" w:sz="4" w:space="0"/>
              <w:left w:val="single" w:color="000000" w:sz="4" w:space="0"/>
              <w:bottom w:val="single" w:color="000000" w:sz="4" w:space="0"/>
              <w:right w:val="single" w:color="000000" w:sz="4" w:space="0"/>
            </w:tcBorders>
            <w:noWrap/>
            <w:vAlign w:val="center"/>
          </w:tcPr>
          <w:p w14:paraId="3380B5C2">
            <w:pPr>
              <w:widowControl/>
              <w:spacing w:line="54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序号</w:t>
            </w:r>
          </w:p>
        </w:tc>
        <w:tc>
          <w:tcPr>
            <w:tcW w:w="1141" w:type="pct"/>
            <w:tcBorders>
              <w:top w:val="single" w:color="000000" w:sz="4" w:space="0"/>
              <w:left w:val="single" w:color="000000" w:sz="4" w:space="0"/>
              <w:bottom w:val="single" w:color="000000" w:sz="4" w:space="0"/>
              <w:right w:val="single" w:color="000000" w:sz="4" w:space="0"/>
            </w:tcBorders>
            <w:noWrap/>
            <w:vAlign w:val="center"/>
          </w:tcPr>
          <w:p w14:paraId="76331CB5">
            <w:pPr>
              <w:widowControl/>
              <w:spacing w:line="54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运维大类</w:t>
            </w:r>
          </w:p>
        </w:tc>
        <w:tc>
          <w:tcPr>
            <w:tcW w:w="1777" w:type="pct"/>
            <w:tcBorders>
              <w:top w:val="single" w:color="000000" w:sz="4" w:space="0"/>
              <w:left w:val="single" w:color="000000" w:sz="4" w:space="0"/>
              <w:bottom w:val="single" w:color="000000" w:sz="4" w:space="0"/>
              <w:right w:val="single" w:color="000000" w:sz="4" w:space="0"/>
            </w:tcBorders>
            <w:noWrap/>
            <w:vAlign w:val="center"/>
          </w:tcPr>
          <w:p w14:paraId="78A61425">
            <w:pPr>
              <w:widowControl/>
              <w:spacing w:line="540" w:lineRule="exact"/>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lang w:bidi="ar"/>
              </w:rPr>
              <w:t>运维小类</w:t>
            </w:r>
          </w:p>
        </w:tc>
        <w:tc>
          <w:tcPr>
            <w:tcW w:w="1355" w:type="pct"/>
            <w:tcBorders>
              <w:top w:val="single" w:color="000000" w:sz="4" w:space="0"/>
              <w:left w:val="single" w:color="000000" w:sz="4" w:space="0"/>
              <w:bottom w:val="single" w:color="000000" w:sz="4" w:space="0"/>
              <w:right w:val="single" w:color="000000" w:sz="4" w:space="0"/>
            </w:tcBorders>
            <w:noWrap w:val="0"/>
            <w:vAlign w:val="center"/>
          </w:tcPr>
          <w:p w14:paraId="2CB648DA">
            <w:pPr>
              <w:widowControl/>
              <w:spacing w:line="54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eastAsia="宋体" w:cs="宋体"/>
                <w:b/>
                <w:bCs/>
                <w:color w:val="auto"/>
                <w:kern w:val="0"/>
                <w:sz w:val="21"/>
                <w:szCs w:val="21"/>
                <w:highlight w:val="none"/>
                <w:lang w:val="en-US" w:eastAsia="zh-CN" w:bidi="ar"/>
              </w:rPr>
              <w:t>巡检结果</w:t>
            </w:r>
          </w:p>
        </w:tc>
      </w:tr>
      <w:tr w14:paraId="6E9E731D">
        <w:tblPrEx>
          <w:tblCellMar>
            <w:top w:w="0" w:type="dxa"/>
            <w:left w:w="108" w:type="dxa"/>
            <w:bottom w:w="0" w:type="dxa"/>
            <w:right w:w="108" w:type="dxa"/>
          </w:tblCellMar>
        </w:tblPrEx>
        <w:trPr>
          <w:trHeight w:val="380" w:hRule="atLeast"/>
        </w:trPr>
        <w:tc>
          <w:tcPr>
            <w:tcW w:w="725" w:type="pct"/>
            <w:tcBorders>
              <w:top w:val="single" w:color="000000" w:sz="4" w:space="0"/>
              <w:left w:val="single" w:color="000000" w:sz="4" w:space="0"/>
              <w:bottom w:val="single" w:color="000000" w:sz="4" w:space="0"/>
              <w:right w:val="single" w:color="000000" w:sz="4" w:space="0"/>
            </w:tcBorders>
            <w:noWrap/>
            <w:vAlign w:val="center"/>
          </w:tcPr>
          <w:p w14:paraId="157FFA5B">
            <w:pPr>
              <w:widowControl/>
              <w:spacing w:line="240" w:lineRule="auto"/>
              <w:jc w:val="center"/>
              <w:textAlignment w:val="bottom"/>
              <w:rPr>
                <w:rFonts w:hint="eastAsia" w:ascii="宋体" w:hAnsi="宋体" w:eastAsia="宋体" w:cs="宋体"/>
                <w:b w:val="0"/>
                <w:bCs w:val="0"/>
                <w:color w:val="auto"/>
                <w:kern w:val="0"/>
                <w:sz w:val="21"/>
                <w:szCs w:val="21"/>
                <w:highlight w:val="none"/>
                <w:u w:val="none"/>
                <w:lang w:bidi="ar"/>
              </w:rPr>
            </w:pPr>
            <w:r>
              <w:rPr>
                <w:rFonts w:hint="eastAsia" w:ascii="宋体" w:hAnsi="宋体" w:eastAsia="宋体" w:cs="宋体"/>
                <w:b w:val="0"/>
                <w:bCs w:val="0"/>
                <w:color w:val="auto"/>
                <w:kern w:val="0"/>
                <w:sz w:val="21"/>
                <w:szCs w:val="21"/>
                <w:highlight w:val="none"/>
                <w:u w:val="none"/>
                <w:lang w:bidi="ar"/>
              </w:rPr>
              <w:t>1</w:t>
            </w:r>
          </w:p>
        </w:tc>
        <w:tc>
          <w:tcPr>
            <w:tcW w:w="1141" w:type="pct"/>
            <w:vMerge w:val="restart"/>
            <w:tcBorders>
              <w:top w:val="single" w:color="000000" w:sz="4" w:space="0"/>
              <w:left w:val="single" w:color="000000" w:sz="4" w:space="0"/>
              <w:bottom w:val="single" w:color="000000" w:sz="4" w:space="0"/>
              <w:right w:val="single" w:color="000000" w:sz="4" w:space="0"/>
            </w:tcBorders>
            <w:noWrap/>
            <w:vAlign w:val="center"/>
          </w:tcPr>
          <w:p w14:paraId="3F7B0A69">
            <w:pPr>
              <w:widowControl/>
              <w:spacing w:line="240" w:lineRule="auto"/>
              <w:jc w:val="center"/>
              <w:textAlignment w:val="bottom"/>
              <w:rPr>
                <w:rFonts w:hint="eastAsia" w:ascii="宋体" w:hAnsi="宋体" w:eastAsia="宋体" w:cs="宋体"/>
                <w:b w:val="0"/>
                <w:bCs w:val="0"/>
                <w:color w:val="auto"/>
                <w:kern w:val="0"/>
                <w:sz w:val="21"/>
                <w:szCs w:val="21"/>
                <w:highlight w:val="none"/>
                <w:u w:val="none"/>
                <w:lang w:eastAsia="zh-CN" w:bidi="ar"/>
              </w:rPr>
            </w:pPr>
            <w:r>
              <w:rPr>
                <w:rFonts w:hint="eastAsia" w:ascii="宋体" w:hAnsi="宋体" w:eastAsia="宋体" w:cs="宋体"/>
                <w:b w:val="0"/>
                <w:bCs w:val="0"/>
                <w:color w:val="auto"/>
                <w:kern w:val="0"/>
                <w:sz w:val="21"/>
                <w:szCs w:val="21"/>
                <w:highlight w:val="none"/>
                <w:u w:val="none"/>
                <w:lang w:val="en-US" w:eastAsia="zh-CN" w:bidi="ar"/>
              </w:rPr>
              <w:t>后台运行服务</w:t>
            </w:r>
            <w:r>
              <w:rPr>
                <w:rFonts w:hint="eastAsia" w:ascii="宋体" w:hAnsi="宋体" w:eastAsia="宋体" w:cs="宋体"/>
                <w:b w:val="0"/>
                <w:bCs w:val="0"/>
                <w:color w:val="auto"/>
                <w:kern w:val="0"/>
                <w:sz w:val="21"/>
                <w:szCs w:val="21"/>
                <w:highlight w:val="none"/>
                <w:u w:val="none"/>
                <w:lang w:bidi="ar"/>
              </w:rPr>
              <w:t>巡检</w:t>
            </w:r>
          </w:p>
        </w:tc>
        <w:tc>
          <w:tcPr>
            <w:tcW w:w="1777" w:type="pct"/>
            <w:tcBorders>
              <w:top w:val="single" w:color="000000" w:sz="4" w:space="0"/>
              <w:left w:val="single" w:color="000000" w:sz="4" w:space="0"/>
              <w:bottom w:val="single" w:color="000000" w:sz="4" w:space="0"/>
              <w:right w:val="single" w:color="000000" w:sz="4" w:space="0"/>
            </w:tcBorders>
            <w:noWrap/>
            <w:vAlign w:val="center"/>
          </w:tcPr>
          <w:p w14:paraId="37D53D58">
            <w:pPr>
              <w:widowControl/>
              <w:spacing w:line="240" w:lineRule="auto"/>
              <w:jc w:val="left"/>
              <w:textAlignment w:val="bottom"/>
              <w:rPr>
                <w:rFonts w:hint="eastAsia" w:ascii="宋体" w:hAnsi="宋体" w:eastAsia="宋体" w:cs="宋体"/>
                <w:color w:val="auto"/>
                <w:kern w:val="0"/>
                <w:sz w:val="21"/>
                <w:szCs w:val="21"/>
                <w:highlight w:val="none"/>
                <w:u w:val="none"/>
                <w:lang w:bidi="ar"/>
              </w:rPr>
            </w:pPr>
            <w:r>
              <w:rPr>
                <w:rFonts w:hint="eastAsia" w:ascii="宋体" w:hAnsi="宋体" w:eastAsia="宋体" w:cs="宋体"/>
                <w:color w:val="auto"/>
                <w:kern w:val="0"/>
                <w:sz w:val="21"/>
                <w:szCs w:val="21"/>
                <w:highlight w:val="none"/>
                <w:u w:val="none"/>
                <w:lang w:val="en-US" w:eastAsia="zh-CN" w:bidi="ar"/>
              </w:rPr>
              <w:t>后台服务</w:t>
            </w:r>
            <w:r>
              <w:rPr>
                <w:rFonts w:hint="eastAsia" w:ascii="宋体" w:hAnsi="宋体" w:eastAsia="宋体" w:cs="宋体"/>
                <w:color w:val="auto"/>
                <w:kern w:val="0"/>
                <w:sz w:val="21"/>
                <w:szCs w:val="21"/>
                <w:highlight w:val="none"/>
                <w:u w:val="none"/>
                <w:lang w:bidi="ar"/>
              </w:rPr>
              <w:t>日志巡检</w:t>
            </w:r>
          </w:p>
        </w:tc>
        <w:tc>
          <w:tcPr>
            <w:tcW w:w="1355" w:type="pct"/>
            <w:tcBorders>
              <w:top w:val="single" w:color="000000" w:sz="4" w:space="0"/>
              <w:left w:val="single" w:color="000000" w:sz="4" w:space="0"/>
              <w:bottom w:val="single" w:color="000000" w:sz="4" w:space="0"/>
              <w:right w:val="single" w:color="000000" w:sz="4" w:space="0"/>
            </w:tcBorders>
            <w:noWrap w:val="0"/>
            <w:vAlign w:val="center"/>
          </w:tcPr>
          <w:p w14:paraId="025571C9">
            <w:pPr>
              <w:widowControl/>
              <w:spacing w:line="540" w:lineRule="exact"/>
              <w:jc w:val="left"/>
              <w:textAlignment w:val="center"/>
              <w:rPr>
                <w:rFonts w:hint="eastAsia" w:ascii="宋体" w:hAnsi="宋体" w:eastAsia="宋体" w:cs="宋体"/>
                <w:color w:val="auto"/>
                <w:kern w:val="0"/>
                <w:sz w:val="21"/>
                <w:szCs w:val="21"/>
                <w:highlight w:val="none"/>
                <w:lang w:bidi="ar"/>
              </w:rPr>
            </w:pPr>
          </w:p>
        </w:tc>
      </w:tr>
      <w:tr w14:paraId="49139B09">
        <w:tblPrEx>
          <w:tblCellMar>
            <w:top w:w="0" w:type="dxa"/>
            <w:left w:w="108" w:type="dxa"/>
            <w:bottom w:w="0" w:type="dxa"/>
            <w:right w:w="108" w:type="dxa"/>
          </w:tblCellMar>
        </w:tblPrEx>
        <w:trPr>
          <w:trHeight w:val="380" w:hRule="atLeast"/>
        </w:trPr>
        <w:tc>
          <w:tcPr>
            <w:tcW w:w="725" w:type="pct"/>
            <w:tcBorders>
              <w:top w:val="single" w:color="000000" w:sz="4" w:space="0"/>
              <w:left w:val="single" w:color="000000" w:sz="4" w:space="0"/>
              <w:bottom w:val="single" w:color="000000" w:sz="4" w:space="0"/>
              <w:right w:val="single" w:color="000000" w:sz="4" w:space="0"/>
            </w:tcBorders>
            <w:noWrap/>
            <w:vAlign w:val="center"/>
          </w:tcPr>
          <w:p w14:paraId="1DC04B57">
            <w:pPr>
              <w:widowControl/>
              <w:spacing w:line="240" w:lineRule="auto"/>
              <w:jc w:val="center"/>
              <w:textAlignment w:val="bottom"/>
              <w:rPr>
                <w:rFonts w:hint="eastAsia" w:ascii="宋体" w:hAnsi="宋体" w:eastAsia="宋体" w:cs="宋体"/>
                <w:b w:val="0"/>
                <w:bCs w:val="0"/>
                <w:color w:val="auto"/>
                <w:kern w:val="0"/>
                <w:sz w:val="21"/>
                <w:szCs w:val="21"/>
                <w:highlight w:val="none"/>
                <w:u w:val="none"/>
                <w:lang w:bidi="ar"/>
              </w:rPr>
            </w:pPr>
            <w:r>
              <w:rPr>
                <w:rFonts w:hint="eastAsia" w:ascii="宋体" w:hAnsi="宋体" w:eastAsia="宋体" w:cs="宋体"/>
                <w:b w:val="0"/>
                <w:bCs w:val="0"/>
                <w:color w:val="auto"/>
                <w:kern w:val="0"/>
                <w:sz w:val="21"/>
                <w:szCs w:val="21"/>
                <w:highlight w:val="none"/>
                <w:u w:val="none"/>
                <w:lang w:bidi="ar"/>
              </w:rPr>
              <w:t>2</w:t>
            </w:r>
          </w:p>
        </w:tc>
        <w:tc>
          <w:tcPr>
            <w:tcW w:w="1141" w:type="pct"/>
            <w:vMerge w:val="continue"/>
            <w:tcBorders>
              <w:top w:val="single" w:color="000000" w:sz="4" w:space="0"/>
              <w:left w:val="single" w:color="000000" w:sz="4" w:space="0"/>
              <w:bottom w:val="single" w:color="000000" w:sz="4" w:space="0"/>
              <w:right w:val="single" w:color="000000" w:sz="4" w:space="0"/>
            </w:tcBorders>
            <w:noWrap/>
            <w:vAlign w:val="center"/>
          </w:tcPr>
          <w:p w14:paraId="4927CAEF">
            <w:pPr>
              <w:widowControl/>
              <w:spacing w:line="240" w:lineRule="auto"/>
              <w:jc w:val="left"/>
              <w:textAlignment w:val="bottom"/>
              <w:rPr>
                <w:rFonts w:hint="eastAsia" w:ascii="宋体" w:hAnsi="宋体" w:eastAsia="宋体" w:cs="宋体"/>
                <w:b w:val="0"/>
                <w:bCs w:val="0"/>
                <w:color w:val="auto"/>
                <w:kern w:val="0"/>
                <w:sz w:val="21"/>
                <w:szCs w:val="21"/>
                <w:highlight w:val="none"/>
                <w:u w:val="none"/>
                <w:lang w:bidi="ar"/>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78620">
            <w:pPr>
              <w:widowControl/>
              <w:spacing w:line="240" w:lineRule="auto"/>
              <w:jc w:val="left"/>
              <w:textAlignment w:val="bottom"/>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u w:val="none"/>
                <w:lang w:bidi="ar"/>
              </w:rPr>
              <w:t>系统过期日志清理</w:t>
            </w:r>
          </w:p>
        </w:tc>
        <w:tc>
          <w:tcPr>
            <w:tcW w:w="1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B7FBAA">
            <w:pPr>
              <w:widowControl/>
              <w:spacing w:line="540" w:lineRule="exact"/>
              <w:jc w:val="left"/>
              <w:textAlignment w:val="center"/>
              <w:rPr>
                <w:rFonts w:hint="eastAsia" w:ascii="宋体" w:hAnsi="宋体" w:eastAsia="宋体" w:cs="宋体"/>
                <w:color w:val="auto"/>
                <w:kern w:val="0"/>
                <w:sz w:val="21"/>
                <w:szCs w:val="21"/>
                <w:highlight w:val="none"/>
                <w:lang w:bidi="ar"/>
              </w:rPr>
            </w:pPr>
          </w:p>
        </w:tc>
      </w:tr>
      <w:tr w14:paraId="4F4D364D">
        <w:tblPrEx>
          <w:tblCellMar>
            <w:top w:w="0" w:type="dxa"/>
            <w:left w:w="108" w:type="dxa"/>
            <w:bottom w:w="0" w:type="dxa"/>
            <w:right w:w="108" w:type="dxa"/>
          </w:tblCellMar>
        </w:tblPrEx>
        <w:trPr>
          <w:trHeight w:val="412" w:hRule="atLeast"/>
        </w:trPr>
        <w:tc>
          <w:tcPr>
            <w:tcW w:w="725" w:type="pct"/>
            <w:tcBorders>
              <w:top w:val="single" w:color="000000" w:sz="4" w:space="0"/>
              <w:left w:val="single" w:color="000000" w:sz="4" w:space="0"/>
              <w:bottom w:val="single" w:color="000000" w:sz="4" w:space="0"/>
              <w:right w:val="single" w:color="000000" w:sz="4" w:space="0"/>
            </w:tcBorders>
            <w:noWrap/>
            <w:vAlign w:val="center"/>
          </w:tcPr>
          <w:p w14:paraId="3C893E16">
            <w:pPr>
              <w:widowControl/>
              <w:spacing w:line="240" w:lineRule="auto"/>
              <w:jc w:val="center"/>
              <w:textAlignment w:val="bottom"/>
              <w:rPr>
                <w:rFonts w:hint="eastAsia" w:ascii="宋体" w:hAnsi="宋体" w:eastAsia="宋体" w:cs="宋体"/>
                <w:b w:val="0"/>
                <w:bCs w:val="0"/>
                <w:color w:val="auto"/>
                <w:kern w:val="0"/>
                <w:sz w:val="21"/>
                <w:szCs w:val="21"/>
                <w:highlight w:val="none"/>
                <w:u w:val="none"/>
                <w:lang w:bidi="ar"/>
              </w:rPr>
            </w:pPr>
            <w:r>
              <w:rPr>
                <w:rFonts w:hint="eastAsia" w:ascii="宋体" w:hAnsi="宋体" w:eastAsia="宋体" w:cs="宋体"/>
                <w:b w:val="0"/>
                <w:bCs w:val="0"/>
                <w:color w:val="auto"/>
                <w:kern w:val="0"/>
                <w:sz w:val="21"/>
                <w:szCs w:val="21"/>
                <w:highlight w:val="none"/>
                <w:u w:val="none"/>
                <w:lang w:bidi="ar"/>
              </w:rPr>
              <w:t>3</w:t>
            </w:r>
          </w:p>
        </w:tc>
        <w:tc>
          <w:tcPr>
            <w:tcW w:w="1141" w:type="pct"/>
            <w:vMerge w:val="continue"/>
            <w:tcBorders>
              <w:top w:val="single" w:color="000000" w:sz="4" w:space="0"/>
              <w:left w:val="single" w:color="000000" w:sz="4" w:space="0"/>
              <w:bottom w:val="single" w:color="000000" w:sz="4" w:space="0"/>
              <w:right w:val="single" w:color="000000" w:sz="4" w:space="0"/>
            </w:tcBorders>
            <w:noWrap/>
            <w:vAlign w:val="center"/>
          </w:tcPr>
          <w:p w14:paraId="4CB93DF9">
            <w:pPr>
              <w:widowControl/>
              <w:spacing w:line="240" w:lineRule="auto"/>
              <w:jc w:val="left"/>
              <w:textAlignment w:val="bottom"/>
              <w:rPr>
                <w:rFonts w:hint="eastAsia" w:ascii="宋体" w:hAnsi="宋体" w:eastAsia="宋体" w:cs="宋体"/>
                <w:b w:val="0"/>
                <w:bCs w:val="0"/>
                <w:color w:val="auto"/>
                <w:kern w:val="0"/>
                <w:sz w:val="21"/>
                <w:szCs w:val="21"/>
                <w:highlight w:val="none"/>
                <w:u w:val="none"/>
                <w:lang w:bidi="ar"/>
              </w:rPr>
            </w:pP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A6D1F">
            <w:pPr>
              <w:widowControl/>
              <w:spacing w:line="240" w:lineRule="auto"/>
              <w:jc w:val="left"/>
              <w:textAlignment w:val="bottom"/>
              <w:rPr>
                <w:rFonts w:hint="eastAsia" w:ascii="宋体" w:hAnsi="宋体" w:eastAsia="宋体" w:cs="宋体"/>
                <w:color w:val="auto"/>
                <w:kern w:val="0"/>
                <w:sz w:val="21"/>
                <w:szCs w:val="21"/>
                <w:highlight w:val="none"/>
                <w:u w:val="none"/>
                <w:lang w:val="en-US" w:eastAsia="zh-CN" w:bidi="ar"/>
              </w:rPr>
            </w:pPr>
            <w:r>
              <w:rPr>
                <w:rFonts w:hint="eastAsia" w:ascii="宋体" w:hAnsi="宋体" w:eastAsia="宋体" w:cs="宋体"/>
                <w:color w:val="auto"/>
                <w:kern w:val="0"/>
                <w:sz w:val="21"/>
                <w:szCs w:val="21"/>
                <w:highlight w:val="none"/>
                <w:u w:val="none"/>
                <w:lang w:bidi="ar"/>
              </w:rPr>
              <w:t>数据库日常巡检</w:t>
            </w:r>
          </w:p>
        </w:tc>
        <w:tc>
          <w:tcPr>
            <w:tcW w:w="135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63084">
            <w:pPr>
              <w:widowControl/>
              <w:spacing w:line="540" w:lineRule="exact"/>
              <w:jc w:val="left"/>
              <w:textAlignment w:val="center"/>
              <w:rPr>
                <w:rFonts w:hint="eastAsia" w:ascii="宋体" w:hAnsi="宋体" w:eastAsia="宋体" w:cs="宋体"/>
                <w:color w:val="auto"/>
                <w:kern w:val="0"/>
                <w:sz w:val="21"/>
                <w:szCs w:val="21"/>
                <w:highlight w:val="none"/>
                <w:lang w:bidi="ar"/>
              </w:rPr>
            </w:pPr>
          </w:p>
        </w:tc>
      </w:tr>
    </w:tbl>
    <w:p w14:paraId="5C9EF8CE">
      <w:pPr>
        <w:spacing w:line="360" w:lineRule="auto"/>
        <w:ind w:firstLine="560" w:firstLineChars="200"/>
        <w:rPr>
          <w:rFonts w:hint="eastAsia" w:ascii="仿宋_GB2312" w:hAnsi="仿宋_GB2312" w:eastAsia="仿宋_GB2312" w:cs="仿宋_GB2312"/>
          <w:color w:val="auto"/>
          <w:kern w:val="0"/>
          <w:sz w:val="28"/>
          <w:szCs w:val="28"/>
          <w:highlight w:val="none"/>
          <w:lang w:val="en-US" w:eastAsia="zh-CN"/>
        </w:rPr>
      </w:pPr>
      <w:r>
        <w:rPr>
          <w:rFonts w:hint="eastAsia" w:ascii="仿宋_GB2312" w:hAnsi="仿宋_GB2312" w:eastAsia="仿宋_GB2312" w:cs="仿宋_GB2312"/>
          <w:color w:val="auto"/>
          <w:kern w:val="0"/>
          <w:sz w:val="28"/>
          <w:szCs w:val="28"/>
          <w:highlight w:val="none"/>
          <w:lang w:val="en-US" w:eastAsia="zh-CN"/>
        </w:rPr>
        <w:t>2.平台功能及数据巡检工作，每周巡检1次，巡检内容如下：</w:t>
      </w:r>
    </w:p>
    <w:tbl>
      <w:tblPr>
        <w:tblStyle w:val="1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90"/>
        <w:gridCol w:w="2170"/>
        <w:gridCol w:w="3329"/>
        <w:gridCol w:w="2495"/>
      </w:tblGrid>
      <w:tr w14:paraId="00A59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9BD8F">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11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923D9">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系统名称</w:t>
            </w: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6BED0D">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系统模块</w:t>
            </w:r>
          </w:p>
        </w:tc>
        <w:tc>
          <w:tcPr>
            <w:tcW w:w="1343"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7F8EFB4">
            <w:pPr>
              <w:keepNext w:val="0"/>
              <w:keepLines w:val="0"/>
              <w:widowControl/>
              <w:suppressLineNumbers w:val="0"/>
              <w:jc w:val="center"/>
              <w:textAlignment w:val="bottom"/>
              <w:rPr>
                <w:rFonts w:hint="eastAsia"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详细巡检内容</w:t>
            </w:r>
          </w:p>
        </w:tc>
      </w:tr>
      <w:tr w14:paraId="76516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F9C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8858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封闭化管理系统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D727ED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封闭管理-人员管理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F7DDFD">
            <w:pPr>
              <w:jc w:val="both"/>
              <w:rPr>
                <w:rFonts w:hint="eastAsia" w:ascii="宋体" w:hAnsi="宋体" w:eastAsia="宋体" w:cs="宋体"/>
                <w:i w:val="0"/>
                <w:iCs w:val="0"/>
                <w:color w:val="auto"/>
                <w:sz w:val="21"/>
                <w:szCs w:val="21"/>
                <w:highlight w:val="none"/>
                <w:u w:val="none"/>
              </w:rPr>
            </w:pPr>
          </w:p>
        </w:tc>
      </w:tr>
      <w:tr w14:paraId="37059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92B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A5538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E349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封闭管理-车辆管理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C77269">
            <w:pPr>
              <w:jc w:val="both"/>
              <w:rPr>
                <w:rFonts w:hint="eastAsia" w:ascii="宋体" w:hAnsi="宋体" w:eastAsia="宋体" w:cs="宋体"/>
                <w:i w:val="0"/>
                <w:iCs w:val="0"/>
                <w:color w:val="auto"/>
                <w:sz w:val="21"/>
                <w:szCs w:val="21"/>
                <w:highlight w:val="none"/>
                <w:u w:val="none"/>
              </w:rPr>
            </w:pPr>
          </w:p>
        </w:tc>
      </w:tr>
      <w:tr w14:paraId="2F87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857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6B20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4CA08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封闭管理-访客管理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17FF9A">
            <w:pPr>
              <w:jc w:val="both"/>
              <w:rPr>
                <w:rFonts w:hint="eastAsia" w:ascii="宋体" w:hAnsi="宋体" w:eastAsia="宋体" w:cs="宋体"/>
                <w:i w:val="0"/>
                <w:iCs w:val="0"/>
                <w:color w:val="auto"/>
                <w:sz w:val="21"/>
                <w:szCs w:val="21"/>
                <w:highlight w:val="none"/>
                <w:u w:val="none"/>
              </w:rPr>
            </w:pPr>
          </w:p>
        </w:tc>
      </w:tr>
      <w:tr w14:paraId="7576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748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6152B">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9BE1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封闭管理-园区卡口验放</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25B582">
            <w:pPr>
              <w:jc w:val="both"/>
              <w:rPr>
                <w:rFonts w:hint="eastAsia" w:ascii="宋体" w:hAnsi="宋体" w:eastAsia="宋体" w:cs="宋体"/>
                <w:i w:val="0"/>
                <w:iCs w:val="0"/>
                <w:color w:val="auto"/>
                <w:sz w:val="21"/>
                <w:szCs w:val="21"/>
                <w:highlight w:val="none"/>
                <w:u w:val="none"/>
              </w:rPr>
            </w:pPr>
          </w:p>
        </w:tc>
      </w:tr>
      <w:tr w14:paraId="0FC22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95F4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755AB">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9218C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封闭管理-园区卡口通行</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34737D">
            <w:pPr>
              <w:jc w:val="both"/>
              <w:rPr>
                <w:rFonts w:hint="eastAsia" w:ascii="宋体" w:hAnsi="宋体" w:eastAsia="宋体" w:cs="宋体"/>
                <w:i w:val="0"/>
                <w:iCs w:val="0"/>
                <w:color w:val="auto"/>
                <w:sz w:val="21"/>
                <w:szCs w:val="21"/>
                <w:highlight w:val="none"/>
                <w:u w:val="none"/>
              </w:rPr>
            </w:pPr>
          </w:p>
        </w:tc>
      </w:tr>
      <w:tr w14:paraId="03A2F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91B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C7CA5">
            <w:pPr>
              <w:jc w:val="center"/>
              <w:rPr>
                <w:rFonts w:hint="eastAsia" w:ascii="宋体" w:hAnsi="宋体" w:eastAsia="宋体" w:cs="宋体"/>
                <w:i w:val="0"/>
                <w:iCs w:val="0"/>
                <w:color w:val="auto"/>
                <w:sz w:val="21"/>
                <w:szCs w:val="21"/>
                <w:highlight w:val="none"/>
                <w:u w:val="none"/>
              </w:rPr>
            </w:pPr>
          </w:p>
        </w:tc>
        <w:tc>
          <w:tcPr>
            <w:tcW w:w="179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AD424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封闭管理-人车全过程监管</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D2712">
            <w:pPr>
              <w:jc w:val="both"/>
              <w:rPr>
                <w:rFonts w:hint="eastAsia" w:ascii="宋体" w:hAnsi="宋体" w:eastAsia="宋体" w:cs="宋体"/>
                <w:i w:val="0"/>
                <w:iCs w:val="0"/>
                <w:color w:val="auto"/>
                <w:sz w:val="21"/>
                <w:szCs w:val="21"/>
                <w:highlight w:val="none"/>
                <w:u w:val="none"/>
              </w:rPr>
            </w:pPr>
          </w:p>
        </w:tc>
      </w:tr>
      <w:tr w14:paraId="27731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C3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9847F">
            <w:pPr>
              <w:jc w:val="center"/>
              <w:rPr>
                <w:rFonts w:hint="eastAsia" w:ascii="宋体" w:hAnsi="宋体" w:eastAsia="宋体" w:cs="宋体"/>
                <w:i w:val="0"/>
                <w:iCs w:val="0"/>
                <w:color w:val="auto"/>
                <w:sz w:val="21"/>
                <w:szCs w:val="21"/>
                <w:highlight w:val="none"/>
                <w:u w:val="none"/>
              </w:rPr>
            </w:pPr>
          </w:p>
        </w:tc>
        <w:tc>
          <w:tcPr>
            <w:tcW w:w="179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353BE">
            <w:pPr>
              <w:jc w:val="left"/>
              <w:rPr>
                <w:rFonts w:hint="eastAsia" w:ascii="宋体" w:hAnsi="宋体" w:eastAsia="宋体" w:cs="宋体"/>
                <w:i w:val="0"/>
                <w:iCs w:val="0"/>
                <w:color w:val="auto"/>
                <w:sz w:val="21"/>
                <w:szCs w:val="21"/>
                <w:highlight w:val="none"/>
                <w:u w:val="none"/>
              </w:rPr>
            </w:pP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E9F288">
            <w:pPr>
              <w:jc w:val="both"/>
              <w:rPr>
                <w:rFonts w:hint="eastAsia" w:ascii="宋体" w:hAnsi="宋体" w:eastAsia="宋体" w:cs="宋体"/>
                <w:i w:val="0"/>
                <w:iCs w:val="0"/>
                <w:color w:val="auto"/>
                <w:sz w:val="21"/>
                <w:szCs w:val="21"/>
                <w:highlight w:val="none"/>
                <w:u w:val="none"/>
              </w:rPr>
            </w:pPr>
          </w:p>
        </w:tc>
      </w:tr>
      <w:tr w14:paraId="6F4D6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84E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D3C3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50CDC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道路管控-车辆违章管理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961D72">
            <w:pPr>
              <w:jc w:val="both"/>
              <w:rPr>
                <w:rFonts w:hint="eastAsia" w:ascii="宋体" w:hAnsi="宋体" w:eastAsia="宋体" w:cs="宋体"/>
                <w:i w:val="0"/>
                <w:iCs w:val="0"/>
                <w:color w:val="auto"/>
                <w:sz w:val="21"/>
                <w:szCs w:val="21"/>
                <w:highlight w:val="none"/>
                <w:u w:val="none"/>
              </w:rPr>
            </w:pPr>
          </w:p>
        </w:tc>
      </w:tr>
      <w:tr w14:paraId="20F59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98C2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A2731">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7239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道路管控-报警管理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20E9A4">
            <w:pPr>
              <w:jc w:val="both"/>
              <w:rPr>
                <w:rFonts w:hint="eastAsia" w:ascii="宋体" w:hAnsi="宋体" w:eastAsia="宋体" w:cs="宋体"/>
                <w:i w:val="0"/>
                <w:iCs w:val="0"/>
                <w:color w:val="auto"/>
                <w:sz w:val="21"/>
                <w:szCs w:val="21"/>
                <w:highlight w:val="none"/>
                <w:u w:val="none"/>
              </w:rPr>
            </w:pPr>
          </w:p>
        </w:tc>
      </w:tr>
      <w:tr w14:paraId="3AB7A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6E3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4F718">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4E0D1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业务调度-企业调度管理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18A7FC">
            <w:pPr>
              <w:jc w:val="both"/>
              <w:rPr>
                <w:rFonts w:hint="eastAsia" w:ascii="宋体" w:hAnsi="宋体" w:eastAsia="宋体" w:cs="宋体"/>
                <w:i w:val="0"/>
                <w:iCs w:val="0"/>
                <w:color w:val="auto"/>
                <w:sz w:val="21"/>
                <w:szCs w:val="21"/>
                <w:highlight w:val="none"/>
                <w:u w:val="none"/>
              </w:rPr>
            </w:pPr>
          </w:p>
        </w:tc>
      </w:tr>
      <w:tr w14:paraId="18E73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2B4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ACC94">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4B58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封闭管理小程序-首页</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4A51FA">
            <w:pPr>
              <w:jc w:val="both"/>
              <w:rPr>
                <w:rFonts w:hint="eastAsia" w:ascii="宋体" w:hAnsi="宋体" w:eastAsia="宋体" w:cs="宋体"/>
                <w:i w:val="0"/>
                <w:iCs w:val="0"/>
                <w:color w:val="auto"/>
                <w:sz w:val="21"/>
                <w:szCs w:val="21"/>
                <w:highlight w:val="none"/>
                <w:u w:val="none"/>
              </w:rPr>
            </w:pPr>
          </w:p>
        </w:tc>
      </w:tr>
      <w:tr w14:paraId="5FAA3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A8FA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99C1A6">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A5B2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封闭管理小程序-园区咨询</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4910BD">
            <w:pPr>
              <w:jc w:val="both"/>
              <w:rPr>
                <w:rFonts w:hint="eastAsia" w:ascii="宋体" w:hAnsi="宋体" w:eastAsia="宋体" w:cs="宋体"/>
                <w:i w:val="0"/>
                <w:iCs w:val="0"/>
                <w:color w:val="auto"/>
                <w:sz w:val="21"/>
                <w:szCs w:val="21"/>
                <w:highlight w:val="none"/>
                <w:u w:val="none"/>
              </w:rPr>
            </w:pPr>
          </w:p>
        </w:tc>
      </w:tr>
      <w:tr w14:paraId="0F501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73D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4C6DF8">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74BD2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封闭管理小程序-应用中心</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7F82BF">
            <w:pPr>
              <w:jc w:val="both"/>
              <w:rPr>
                <w:rFonts w:hint="eastAsia" w:ascii="宋体" w:hAnsi="宋体" w:eastAsia="宋体" w:cs="宋体"/>
                <w:i w:val="0"/>
                <w:iCs w:val="0"/>
                <w:color w:val="auto"/>
                <w:sz w:val="21"/>
                <w:szCs w:val="21"/>
                <w:highlight w:val="none"/>
                <w:u w:val="none"/>
              </w:rPr>
            </w:pPr>
          </w:p>
        </w:tc>
      </w:tr>
      <w:tr w14:paraId="2B0FF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5040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16B76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4CE6D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封闭管理小程序-服务中心</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DD3C8D">
            <w:pPr>
              <w:jc w:val="both"/>
              <w:rPr>
                <w:rFonts w:hint="eastAsia" w:ascii="宋体" w:hAnsi="宋体" w:eastAsia="宋体" w:cs="宋体"/>
                <w:i w:val="0"/>
                <w:iCs w:val="0"/>
                <w:color w:val="auto"/>
                <w:sz w:val="21"/>
                <w:szCs w:val="21"/>
                <w:highlight w:val="none"/>
                <w:u w:val="none"/>
              </w:rPr>
            </w:pPr>
          </w:p>
        </w:tc>
      </w:tr>
      <w:tr w14:paraId="1786F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5C1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8706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47480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封闭管理小程序-我的</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27BD0">
            <w:pPr>
              <w:jc w:val="both"/>
              <w:rPr>
                <w:rFonts w:hint="eastAsia" w:ascii="宋体" w:hAnsi="宋体" w:eastAsia="宋体" w:cs="宋体"/>
                <w:i w:val="0"/>
                <w:iCs w:val="0"/>
                <w:color w:val="auto"/>
                <w:sz w:val="21"/>
                <w:szCs w:val="21"/>
                <w:highlight w:val="none"/>
                <w:u w:val="none"/>
              </w:rPr>
            </w:pPr>
          </w:p>
        </w:tc>
      </w:tr>
      <w:tr w14:paraId="3FD6B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F8D7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31A7A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智慧安全管理系统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318E0D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首页</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CC500C6">
            <w:pPr>
              <w:jc w:val="both"/>
              <w:rPr>
                <w:rFonts w:hint="eastAsia" w:ascii="宋体" w:hAnsi="宋体" w:eastAsia="宋体" w:cs="宋体"/>
                <w:i w:val="0"/>
                <w:iCs w:val="0"/>
                <w:color w:val="auto"/>
                <w:sz w:val="21"/>
                <w:szCs w:val="21"/>
                <w:highlight w:val="none"/>
                <w:u w:val="none"/>
              </w:rPr>
            </w:pPr>
          </w:p>
        </w:tc>
      </w:tr>
      <w:tr w14:paraId="09BB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54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022E17">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3B78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企业监管</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DF8E08">
            <w:pPr>
              <w:jc w:val="both"/>
              <w:rPr>
                <w:rFonts w:hint="eastAsia" w:ascii="宋体" w:hAnsi="宋体" w:eastAsia="宋体" w:cs="宋体"/>
                <w:i w:val="0"/>
                <w:iCs w:val="0"/>
                <w:color w:val="auto"/>
                <w:sz w:val="21"/>
                <w:szCs w:val="21"/>
                <w:highlight w:val="none"/>
                <w:u w:val="none"/>
              </w:rPr>
            </w:pPr>
          </w:p>
        </w:tc>
      </w:tr>
      <w:tr w14:paraId="07BB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CCC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12ABBC">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A455A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装置开停车和大检修</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CE3812">
            <w:pPr>
              <w:jc w:val="both"/>
              <w:rPr>
                <w:rFonts w:hint="eastAsia" w:ascii="宋体" w:hAnsi="宋体" w:eastAsia="宋体" w:cs="宋体"/>
                <w:i w:val="0"/>
                <w:iCs w:val="0"/>
                <w:color w:val="auto"/>
                <w:sz w:val="21"/>
                <w:szCs w:val="21"/>
                <w:highlight w:val="none"/>
                <w:u w:val="none"/>
              </w:rPr>
            </w:pPr>
          </w:p>
        </w:tc>
      </w:tr>
      <w:tr w14:paraId="4FA66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048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5AC159">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2F1E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第三方单位管理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F8A3C">
            <w:pPr>
              <w:jc w:val="both"/>
              <w:rPr>
                <w:rFonts w:hint="eastAsia" w:ascii="宋体" w:hAnsi="宋体" w:eastAsia="宋体" w:cs="宋体"/>
                <w:i w:val="0"/>
                <w:iCs w:val="0"/>
                <w:color w:val="auto"/>
                <w:sz w:val="21"/>
                <w:szCs w:val="21"/>
                <w:highlight w:val="none"/>
                <w:u w:val="none"/>
              </w:rPr>
            </w:pPr>
          </w:p>
        </w:tc>
      </w:tr>
      <w:tr w14:paraId="17C70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4F76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B41EF">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6BB4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双重预防机制</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2961CF">
            <w:pPr>
              <w:jc w:val="both"/>
              <w:rPr>
                <w:rFonts w:hint="eastAsia" w:ascii="宋体" w:hAnsi="宋体" w:eastAsia="宋体" w:cs="宋体"/>
                <w:i w:val="0"/>
                <w:iCs w:val="0"/>
                <w:color w:val="auto"/>
                <w:sz w:val="21"/>
                <w:szCs w:val="21"/>
                <w:highlight w:val="none"/>
                <w:u w:val="none"/>
              </w:rPr>
            </w:pPr>
          </w:p>
        </w:tc>
      </w:tr>
      <w:tr w14:paraId="30429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9DE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9B2B3">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A604C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企业安全承诺公告</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417E32">
            <w:pPr>
              <w:jc w:val="both"/>
              <w:rPr>
                <w:rFonts w:hint="eastAsia" w:ascii="宋体" w:hAnsi="宋体" w:eastAsia="宋体" w:cs="宋体"/>
                <w:i w:val="0"/>
                <w:iCs w:val="0"/>
                <w:color w:val="auto"/>
                <w:sz w:val="21"/>
                <w:szCs w:val="21"/>
                <w:highlight w:val="none"/>
                <w:u w:val="none"/>
              </w:rPr>
            </w:pPr>
          </w:p>
        </w:tc>
      </w:tr>
      <w:tr w14:paraId="50A15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20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A80C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91B3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特殊作业管理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63B975">
            <w:pPr>
              <w:jc w:val="both"/>
              <w:rPr>
                <w:rFonts w:hint="eastAsia" w:ascii="宋体" w:hAnsi="宋体" w:eastAsia="宋体" w:cs="宋体"/>
                <w:i w:val="0"/>
                <w:iCs w:val="0"/>
                <w:color w:val="auto"/>
                <w:sz w:val="21"/>
                <w:szCs w:val="21"/>
                <w:highlight w:val="none"/>
                <w:u w:val="none"/>
              </w:rPr>
            </w:pPr>
          </w:p>
        </w:tc>
      </w:tr>
      <w:tr w14:paraId="7E845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D582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80CD6">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1FB75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特殊作业票管理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611284">
            <w:pPr>
              <w:jc w:val="both"/>
              <w:rPr>
                <w:rFonts w:hint="eastAsia" w:ascii="宋体" w:hAnsi="宋体" w:eastAsia="宋体" w:cs="宋体"/>
                <w:i w:val="0"/>
                <w:iCs w:val="0"/>
                <w:color w:val="auto"/>
                <w:sz w:val="21"/>
                <w:szCs w:val="21"/>
                <w:highlight w:val="none"/>
                <w:u w:val="none"/>
              </w:rPr>
            </w:pPr>
          </w:p>
        </w:tc>
      </w:tr>
      <w:tr w14:paraId="14250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A45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4F5E3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重大危险源安全管理系统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F6D9F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重大危险源信息</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17ED8D">
            <w:pPr>
              <w:jc w:val="both"/>
              <w:rPr>
                <w:rFonts w:hint="eastAsia" w:ascii="宋体" w:hAnsi="宋体" w:eastAsia="宋体" w:cs="宋体"/>
                <w:i w:val="0"/>
                <w:iCs w:val="0"/>
                <w:color w:val="auto"/>
                <w:sz w:val="21"/>
                <w:szCs w:val="21"/>
                <w:highlight w:val="none"/>
                <w:u w:val="none"/>
              </w:rPr>
            </w:pPr>
          </w:p>
        </w:tc>
      </w:tr>
      <w:tr w14:paraId="0339C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D1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30CDB">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95346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实时监测数据</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7655C5">
            <w:pPr>
              <w:jc w:val="both"/>
              <w:rPr>
                <w:rFonts w:hint="eastAsia" w:ascii="宋体" w:hAnsi="宋体" w:eastAsia="宋体" w:cs="宋体"/>
                <w:i w:val="0"/>
                <w:iCs w:val="0"/>
                <w:color w:val="auto"/>
                <w:sz w:val="21"/>
                <w:szCs w:val="21"/>
                <w:highlight w:val="none"/>
                <w:u w:val="none"/>
              </w:rPr>
            </w:pPr>
          </w:p>
        </w:tc>
      </w:tr>
      <w:tr w14:paraId="51CB0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63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FB04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2BCD7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在线监测预警</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8473C5">
            <w:pPr>
              <w:jc w:val="both"/>
              <w:rPr>
                <w:rFonts w:hint="eastAsia" w:ascii="宋体" w:hAnsi="宋体" w:eastAsia="宋体" w:cs="宋体"/>
                <w:i w:val="0"/>
                <w:iCs w:val="0"/>
                <w:color w:val="auto"/>
                <w:sz w:val="21"/>
                <w:szCs w:val="21"/>
                <w:highlight w:val="none"/>
                <w:u w:val="none"/>
              </w:rPr>
            </w:pPr>
          </w:p>
        </w:tc>
      </w:tr>
      <w:tr w14:paraId="44681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FCB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EEA55D">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8A38B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安全包保责任制管理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AB5A9E">
            <w:pPr>
              <w:jc w:val="both"/>
              <w:rPr>
                <w:rFonts w:hint="eastAsia" w:ascii="宋体" w:hAnsi="宋体" w:eastAsia="宋体" w:cs="宋体"/>
                <w:i w:val="0"/>
                <w:iCs w:val="0"/>
                <w:color w:val="auto"/>
                <w:sz w:val="21"/>
                <w:szCs w:val="21"/>
                <w:highlight w:val="none"/>
                <w:u w:val="none"/>
              </w:rPr>
            </w:pPr>
          </w:p>
        </w:tc>
      </w:tr>
      <w:tr w14:paraId="40507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DA2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602E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BE4D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评估报告及隐患管理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64B4BE">
            <w:pPr>
              <w:jc w:val="both"/>
              <w:rPr>
                <w:rFonts w:hint="eastAsia" w:ascii="宋体" w:hAnsi="宋体" w:eastAsia="宋体" w:cs="宋体"/>
                <w:i w:val="0"/>
                <w:iCs w:val="0"/>
                <w:color w:val="auto"/>
                <w:sz w:val="21"/>
                <w:szCs w:val="21"/>
                <w:highlight w:val="none"/>
                <w:u w:val="none"/>
              </w:rPr>
            </w:pPr>
          </w:p>
        </w:tc>
      </w:tr>
      <w:tr w14:paraId="28ACC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EF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A8353">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BAE8E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企业分类监管</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DF2A2D">
            <w:pPr>
              <w:jc w:val="both"/>
              <w:rPr>
                <w:rFonts w:hint="eastAsia" w:ascii="宋体" w:hAnsi="宋体" w:eastAsia="宋体" w:cs="宋体"/>
                <w:i w:val="0"/>
                <w:iCs w:val="0"/>
                <w:color w:val="auto"/>
                <w:sz w:val="21"/>
                <w:szCs w:val="21"/>
                <w:highlight w:val="none"/>
                <w:u w:val="none"/>
              </w:rPr>
            </w:pPr>
          </w:p>
        </w:tc>
      </w:tr>
      <w:tr w14:paraId="3000B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95C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55BD1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CA92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重大危险源安全风险评估</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9995E3">
            <w:pPr>
              <w:jc w:val="both"/>
              <w:rPr>
                <w:rFonts w:hint="eastAsia" w:ascii="宋体" w:hAnsi="宋体" w:eastAsia="宋体" w:cs="宋体"/>
                <w:i w:val="0"/>
                <w:iCs w:val="0"/>
                <w:color w:val="auto"/>
                <w:sz w:val="21"/>
                <w:szCs w:val="21"/>
                <w:highlight w:val="none"/>
                <w:u w:val="none"/>
              </w:rPr>
            </w:pPr>
          </w:p>
        </w:tc>
      </w:tr>
      <w:tr w14:paraId="3AD9B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BB8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D5AE0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75E8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能源管理—数据上报</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3CD6D6">
            <w:pPr>
              <w:jc w:val="both"/>
              <w:rPr>
                <w:rFonts w:hint="eastAsia" w:ascii="宋体" w:hAnsi="宋体" w:eastAsia="宋体" w:cs="宋体"/>
                <w:i w:val="0"/>
                <w:iCs w:val="0"/>
                <w:color w:val="auto"/>
                <w:sz w:val="21"/>
                <w:szCs w:val="21"/>
                <w:highlight w:val="none"/>
                <w:u w:val="none"/>
              </w:rPr>
            </w:pPr>
          </w:p>
        </w:tc>
      </w:tr>
      <w:tr w14:paraId="48443F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8F9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2FC1F3">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693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能源管理—统计分析</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1DCE56">
            <w:pPr>
              <w:jc w:val="both"/>
              <w:rPr>
                <w:rFonts w:hint="eastAsia" w:ascii="宋体" w:hAnsi="宋体" w:eastAsia="宋体" w:cs="宋体"/>
                <w:i w:val="0"/>
                <w:iCs w:val="0"/>
                <w:color w:val="auto"/>
                <w:sz w:val="21"/>
                <w:szCs w:val="21"/>
                <w:highlight w:val="none"/>
                <w:u w:val="none"/>
              </w:rPr>
            </w:pPr>
          </w:p>
        </w:tc>
      </w:tr>
      <w:tr w14:paraId="476F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765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EAEA1">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9F49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能源管理—能效数据分析</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509087">
            <w:pPr>
              <w:jc w:val="both"/>
              <w:rPr>
                <w:rFonts w:hint="eastAsia" w:ascii="宋体" w:hAnsi="宋体" w:eastAsia="宋体" w:cs="宋体"/>
                <w:i w:val="0"/>
                <w:iCs w:val="0"/>
                <w:color w:val="auto"/>
                <w:sz w:val="21"/>
                <w:szCs w:val="21"/>
                <w:highlight w:val="none"/>
                <w:u w:val="none"/>
              </w:rPr>
            </w:pPr>
          </w:p>
        </w:tc>
      </w:tr>
      <w:tr w14:paraId="0745B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EC6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FA0F1">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0A1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能源管理—能源品种</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266DD57">
            <w:pPr>
              <w:jc w:val="both"/>
              <w:rPr>
                <w:rFonts w:hint="eastAsia" w:ascii="宋体" w:hAnsi="宋体" w:eastAsia="宋体" w:cs="宋体"/>
                <w:i w:val="0"/>
                <w:iCs w:val="0"/>
                <w:color w:val="auto"/>
                <w:sz w:val="21"/>
                <w:szCs w:val="21"/>
                <w:highlight w:val="none"/>
                <w:u w:val="none"/>
              </w:rPr>
            </w:pPr>
          </w:p>
        </w:tc>
      </w:tr>
      <w:tr w14:paraId="08FF0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3"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89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E761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9E4C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能源管理—公辅工程设备管理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530ED7">
            <w:pPr>
              <w:jc w:val="both"/>
              <w:rPr>
                <w:rFonts w:hint="eastAsia" w:ascii="宋体" w:hAnsi="宋体" w:eastAsia="宋体" w:cs="宋体"/>
                <w:i w:val="0"/>
                <w:iCs w:val="0"/>
                <w:color w:val="auto"/>
                <w:sz w:val="21"/>
                <w:szCs w:val="21"/>
                <w:highlight w:val="none"/>
                <w:u w:val="none"/>
              </w:rPr>
            </w:pPr>
          </w:p>
        </w:tc>
      </w:tr>
      <w:tr w14:paraId="42CA4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EF6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2ACD7">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958A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能源管理—预警记录</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B08610">
            <w:pPr>
              <w:jc w:val="both"/>
              <w:rPr>
                <w:rFonts w:hint="eastAsia" w:ascii="宋体" w:hAnsi="宋体" w:eastAsia="宋体" w:cs="宋体"/>
                <w:i w:val="0"/>
                <w:iCs w:val="0"/>
                <w:color w:val="auto"/>
                <w:sz w:val="21"/>
                <w:szCs w:val="21"/>
                <w:highlight w:val="none"/>
                <w:u w:val="none"/>
              </w:rPr>
            </w:pPr>
          </w:p>
        </w:tc>
      </w:tr>
      <w:tr w14:paraId="38732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EA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28F6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3CE1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环保管理—土壤地下水</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3BDA93">
            <w:pPr>
              <w:jc w:val="both"/>
              <w:rPr>
                <w:rFonts w:hint="eastAsia" w:ascii="宋体" w:hAnsi="宋体" w:eastAsia="宋体" w:cs="宋体"/>
                <w:i w:val="0"/>
                <w:iCs w:val="0"/>
                <w:color w:val="auto"/>
                <w:sz w:val="21"/>
                <w:szCs w:val="21"/>
                <w:highlight w:val="none"/>
                <w:u w:val="none"/>
              </w:rPr>
            </w:pPr>
          </w:p>
        </w:tc>
      </w:tr>
      <w:tr w14:paraId="24E3B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75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788D1A">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64EC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环保管理—水污染源管理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94C05">
            <w:pPr>
              <w:jc w:val="both"/>
              <w:rPr>
                <w:rFonts w:hint="eastAsia" w:ascii="宋体" w:hAnsi="宋体" w:eastAsia="宋体" w:cs="宋体"/>
                <w:i w:val="0"/>
                <w:iCs w:val="0"/>
                <w:color w:val="auto"/>
                <w:sz w:val="21"/>
                <w:szCs w:val="21"/>
                <w:highlight w:val="none"/>
                <w:u w:val="none"/>
              </w:rPr>
            </w:pPr>
          </w:p>
        </w:tc>
      </w:tr>
      <w:tr w14:paraId="1A324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FD34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CAF6B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6D2E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环保管理—气污染源管理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F40AE">
            <w:pPr>
              <w:jc w:val="both"/>
              <w:rPr>
                <w:rFonts w:hint="eastAsia" w:ascii="宋体" w:hAnsi="宋体" w:eastAsia="宋体" w:cs="宋体"/>
                <w:i w:val="0"/>
                <w:iCs w:val="0"/>
                <w:color w:val="auto"/>
                <w:sz w:val="21"/>
                <w:szCs w:val="21"/>
                <w:highlight w:val="none"/>
                <w:u w:val="none"/>
              </w:rPr>
            </w:pPr>
          </w:p>
        </w:tc>
      </w:tr>
      <w:tr w14:paraId="5474B372">
        <w:tblPrEx>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AE0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D86B2F">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B601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环保管理—环境质量管理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5D18AD">
            <w:pPr>
              <w:jc w:val="both"/>
              <w:rPr>
                <w:rFonts w:hint="eastAsia" w:ascii="宋体" w:hAnsi="宋体" w:eastAsia="宋体" w:cs="宋体"/>
                <w:i w:val="0"/>
                <w:iCs w:val="0"/>
                <w:color w:val="auto"/>
                <w:sz w:val="21"/>
                <w:szCs w:val="21"/>
                <w:highlight w:val="none"/>
                <w:u w:val="none"/>
              </w:rPr>
            </w:pPr>
          </w:p>
        </w:tc>
      </w:tr>
      <w:tr w14:paraId="738EB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11AD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44A6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1FA6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环保管理—LDAR</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625C77">
            <w:pPr>
              <w:jc w:val="both"/>
              <w:rPr>
                <w:rFonts w:hint="eastAsia" w:ascii="宋体" w:hAnsi="宋体" w:eastAsia="宋体" w:cs="宋体"/>
                <w:i w:val="0"/>
                <w:iCs w:val="0"/>
                <w:color w:val="auto"/>
                <w:sz w:val="21"/>
                <w:szCs w:val="21"/>
                <w:highlight w:val="none"/>
                <w:u w:val="none"/>
              </w:rPr>
            </w:pPr>
          </w:p>
        </w:tc>
      </w:tr>
      <w:tr w14:paraId="5A6253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70F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441C9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DF67F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环保管理—风险预警</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C0EC1E">
            <w:pPr>
              <w:jc w:val="both"/>
              <w:rPr>
                <w:rFonts w:hint="eastAsia" w:ascii="宋体" w:hAnsi="宋体" w:eastAsia="宋体" w:cs="宋体"/>
                <w:i w:val="0"/>
                <w:iCs w:val="0"/>
                <w:color w:val="auto"/>
                <w:sz w:val="21"/>
                <w:szCs w:val="21"/>
                <w:highlight w:val="none"/>
                <w:u w:val="none"/>
              </w:rPr>
            </w:pPr>
          </w:p>
        </w:tc>
      </w:tr>
      <w:tr w14:paraId="38CEC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B97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239E7">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3F516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环保管理—环境问题处理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8CA9CD">
            <w:pPr>
              <w:jc w:val="both"/>
              <w:rPr>
                <w:rFonts w:hint="eastAsia" w:ascii="宋体" w:hAnsi="宋体" w:eastAsia="宋体" w:cs="宋体"/>
                <w:i w:val="0"/>
                <w:iCs w:val="0"/>
                <w:color w:val="auto"/>
                <w:sz w:val="21"/>
                <w:szCs w:val="21"/>
                <w:highlight w:val="none"/>
                <w:u w:val="none"/>
              </w:rPr>
            </w:pPr>
          </w:p>
        </w:tc>
      </w:tr>
      <w:tr w14:paraId="77145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CA3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CB297">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A388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环保管理—环境溯源</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ADA506">
            <w:pPr>
              <w:jc w:val="both"/>
              <w:rPr>
                <w:rFonts w:hint="eastAsia" w:ascii="宋体" w:hAnsi="宋体" w:eastAsia="宋体" w:cs="宋体"/>
                <w:i w:val="0"/>
                <w:iCs w:val="0"/>
                <w:color w:val="auto"/>
                <w:sz w:val="21"/>
                <w:szCs w:val="21"/>
                <w:highlight w:val="none"/>
                <w:u w:val="none"/>
              </w:rPr>
            </w:pPr>
          </w:p>
        </w:tc>
      </w:tr>
      <w:tr w14:paraId="4ED4D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731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FDBE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应急管理系统</w:t>
            </w: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104F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园区应急物资管理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F03FF">
            <w:pPr>
              <w:jc w:val="both"/>
              <w:rPr>
                <w:rFonts w:hint="eastAsia" w:ascii="宋体" w:hAnsi="宋体" w:eastAsia="宋体" w:cs="宋体"/>
                <w:i w:val="0"/>
                <w:iCs w:val="0"/>
                <w:color w:val="auto"/>
                <w:sz w:val="21"/>
                <w:szCs w:val="21"/>
                <w:highlight w:val="none"/>
                <w:u w:val="none"/>
              </w:rPr>
            </w:pPr>
          </w:p>
        </w:tc>
      </w:tr>
      <w:tr w14:paraId="113BB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500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F9933C">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08CA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应急专家信息</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8D2DC6">
            <w:pPr>
              <w:jc w:val="both"/>
              <w:rPr>
                <w:rFonts w:hint="eastAsia" w:ascii="宋体" w:hAnsi="宋体" w:eastAsia="宋体" w:cs="宋体"/>
                <w:i w:val="0"/>
                <w:iCs w:val="0"/>
                <w:color w:val="auto"/>
                <w:sz w:val="21"/>
                <w:szCs w:val="21"/>
                <w:highlight w:val="none"/>
                <w:u w:val="none"/>
              </w:rPr>
            </w:pPr>
          </w:p>
        </w:tc>
      </w:tr>
      <w:tr w14:paraId="1C7E2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6CE9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EC2EAB">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45F4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企业应急物资管理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D58B8D">
            <w:pPr>
              <w:jc w:val="both"/>
              <w:rPr>
                <w:rFonts w:hint="eastAsia" w:ascii="宋体" w:hAnsi="宋体" w:eastAsia="宋体" w:cs="宋体"/>
                <w:i w:val="0"/>
                <w:iCs w:val="0"/>
                <w:color w:val="auto"/>
                <w:sz w:val="21"/>
                <w:szCs w:val="21"/>
                <w:highlight w:val="none"/>
                <w:u w:val="none"/>
              </w:rPr>
            </w:pPr>
          </w:p>
        </w:tc>
      </w:tr>
      <w:tr w14:paraId="69ABD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19D4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A60B3">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1A85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上级应急预案管理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6864CE">
            <w:pPr>
              <w:jc w:val="both"/>
              <w:rPr>
                <w:rFonts w:hint="eastAsia" w:ascii="宋体" w:hAnsi="宋体" w:eastAsia="宋体" w:cs="宋体"/>
                <w:i w:val="0"/>
                <w:iCs w:val="0"/>
                <w:color w:val="auto"/>
                <w:sz w:val="21"/>
                <w:szCs w:val="21"/>
                <w:highlight w:val="none"/>
                <w:u w:val="none"/>
              </w:rPr>
            </w:pPr>
          </w:p>
        </w:tc>
      </w:tr>
      <w:tr w14:paraId="2F072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0D0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BA9AD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96C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园区应急预案管理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0D43AB">
            <w:pPr>
              <w:jc w:val="both"/>
              <w:rPr>
                <w:rFonts w:hint="eastAsia" w:ascii="宋体" w:hAnsi="宋体" w:eastAsia="宋体" w:cs="宋体"/>
                <w:i w:val="0"/>
                <w:iCs w:val="0"/>
                <w:color w:val="auto"/>
                <w:sz w:val="21"/>
                <w:szCs w:val="21"/>
                <w:highlight w:val="none"/>
                <w:u w:val="none"/>
              </w:rPr>
            </w:pPr>
          </w:p>
        </w:tc>
      </w:tr>
      <w:tr w14:paraId="325C8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678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32B1C">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883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企业应急预案管理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2AC5F74">
            <w:pPr>
              <w:jc w:val="both"/>
              <w:rPr>
                <w:rFonts w:hint="eastAsia" w:ascii="宋体" w:hAnsi="宋体" w:eastAsia="宋体" w:cs="宋体"/>
                <w:i w:val="0"/>
                <w:iCs w:val="0"/>
                <w:color w:val="auto"/>
                <w:sz w:val="21"/>
                <w:szCs w:val="21"/>
                <w:highlight w:val="none"/>
                <w:u w:val="none"/>
              </w:rPr>
            </w:pPr>
          </w:p>
        </w:tc>
      </w:tr>
      <w:tr w14:paraId="75415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B4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230DF">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DB82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企业应急演练管理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EF4423">
            <w:pPr>
              <w:jc w:val="both"/>
              <w:rPr>
                <w:rFonts w:hint="eastAsia" w:ascii="宋体" w:hAnsi="宋体" w:eastAsia="宋体" w:cs="宋体"/>
                <w:i w:val="0"/>
                <w:iCs w:val="0"/>
                <w:color w:val="auto"/>
                <w:sz w:val="21"/>
                <w:szCs w:val="21"/>
                <w:highlight w:val="none"/>
                <w:u w:val="none"/>
              </w:rPr>
            </w:pPr>
          </w:p>
        </w:tc>
      </w:tr>
      <w:tr w14:paraId="2E496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1A9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CAEB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9E6B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园区应急演练管理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461E4F">
            <w:pPr>
              <w:jc w:val="both"/>
              <w:rPr>
                <w:rFonts w:hint="eastAsia" w:ascii="宋体" w:hAnsi="宋体" w:eastAsia="宋体" w:cs="宋体"/>
                <w:i w:val="0"/>
                <w:iCs w:val="0"/>
                <w:color w:val="auto"/>
                <w:sz w:val="21"/>
                <w:szCs w:val="21"/>
                <w:highlight w:val="none"/>
                <w:u w:val="none"/>
              </w:rPr>
            </w:pPr>
          </w:p>
        </w:tc>
      </w:tr>
      <w:tr w14:paraId="2405D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484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24C6C">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DAD4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事故接报续报</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D8220D">
            <w:pPr>
              <w:jc w:val="both"/>
              <w:rPr>
                <w:rFonts w:hint="eastAsia" w:ascii="宋体" w:hAnsi="宋体" w:eastAsia="宋体" w:cs="宋体"/>
                <w:i w:val="0"/>
                <w:iCs w:val="0"/>
                <w:color w:val="auto"/>
                <w:sz w:val="21"/>
                <w:szCs w:val="21"/>
                <w:highlight w:val="none"/>
                <w:u w:val="none"/>
              </w:rPr>
            </w:pPr>
          </w:p>
        </w:tc>
      </w:tr>
      <w:tr w14:paraId="58FCC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FE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D8491">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875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救援处置过程记录</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B289DB">
            <w:pPr>
              <w:jc w:val="both"/>
              <w:rPr>
                <w:rFonts w:hint="eastAsia" w:ascii="宋体" w:hAnsi="宋体" w:eastAsia="宋体" w:cs="宋体"/>
                <w:i w:val="0"/>
                <w:iCs w:val="0"/>
                <w:color w:val="auto"/>
                <w:sz w:val="21"/>
                <w:szCs w:val="21"/>
                <w:highlight w:val="none"/>
                <w:u w:val="none"/>
              </w:rPr>
            </w:pPr>
          </w:p>
        </w:tc>
      </w:tr>
      <w:tr w14:paraId="1B112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5E0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89DCE">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AA26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自然灾害信息发布</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5CE7AA">
            <w:pPr>
              <w:jc w:val="both"/>
              <w:rPr>
                <w:rFonts w:hint="eastAsia" w:ascii="宋体" w:hAnsi="宋体" w:eastAsia="宋体" w:cs="宋体"/>
                <w:i w:val="0"/>
                <w:iCs w:val="0"/>
                <w:color w:val="auto"/>
                <w:sz w:val="21"/>
                <w:szCs w:val="21"/>
                <w:highlight w:val="none"/>
                <w:u w:val="none"/>
              </w:rPr>
            </w:pPr>
          </w:p>
        </w:tc>
      </w:tr>
      <w:tr w14:paraId="2CD4D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6B3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514C9">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1D7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自然灾害防范措施</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0BEA76">
            <w:pPr>
              <w:jc w:val="both"/>
              <w:rPr>
                <w:rFonts w:hint="eastAsia" w:ascii="宋体" w:hAnsi="宋体" w:eastAsia="宋体" w:cs="宋体"/>
                <w:i w:val="0"/>
                <w:iCs w:val="0"/>
                <w:color w:val="auto"/>
                <w:sz w:val="21"/>
                <w:szCs w:val="21"/>
                <w:highlight w:val="none"/>
                <w:u w:val="none"/>
              </w:rPr>
            </w:pPr>
          </w:p>
        </w:tc>
      </w:tr>
      <w:tr w14:paraId="586B1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AC3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1029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612B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事故调查报告</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6BB017">
            <w:pPr>
              <w:jc w:val="both"/>
              <w:rPr>
                <w:rFonts w:hint="eastAsia" w:ascii="宋体" w:hAnsi="宋体" w:eastAsia="宋体" w:cs="宋体"/>
                <w:i w:val="0"/>
                <w:iCs w:val="0"/>
                <w:color w:val="auto"/>
                <w:sz w:val="21"/>
                <w:szCs w:val="21"/>
                <w:highlight w:val="none"/>
                <w:u w:val="none"/>
              </w:rPr>
            </w:pPr>
          </w:p>
        </w:tc>
      </w:tr>
      <w:tr w14:paraId="7673F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053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17FB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C1B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事故总结评估</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AE0DCD">
            <w:pPr>
              <w:jc w:val="both"/>
              <w:rPr>
                <w:rFonts w:hint="eastAsia" w:ascii="宋体" w:hAnsi="宋体" w:eastAsia="宋体" w:cs="宋体"/>
                <w:i w:val="0"/>
                <w:iCs w:val="0"/>
                <w:color w:val="auto"/>
                <w:sz w:val="21"/>
                <w:szCs w:val="21"/>
                <w:highlight w:val="none"/>
                <w:u w:val="none"/>
              </w:rPr>
            </w:pPr>
          </w:p>
        </w:tc>
      </w:tr>
      <w:tr w14:paraId="25229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22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AB942">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C0D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事故总结记录</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B53BC7">
            <w:pPr>
              <w:jc w:val="both"/>
              <w:rPr>
                <w:rFonts w:hint="eastAsia" w:ascii="宋体" w:hAnsi="宋体" w:eastAsia="宋体" w:cs="宋体"/>
                <w:i w:val="0"/>
                <w:iCs w:val="0"/>
                <w:color w:val="auto"/>
                <w:sz w:val="21"/>
                <w:szCs w:val="21"/>
                <w:highlight w:val="none"/>
                <w:u w:val="none"/>
              </w:rPr>
            </w:pPr>
          </w:p>
        </w:tc>
      </w:tr>
      <w:tr w14:paraId="058C07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C238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116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1AFFE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大屏可视化系统</w:t>
            </w: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B043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园区概览</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E0A571">
            <w:pPr>
              <w:jc w:val="both"/>
              <w:rPr>
                <w:rFonts w:hint="eastAsia" w:ascii="宋体" w:hAnsi="宋体" w:eastAsia="宋体" w:cs="宋体"/>
                <w:i w:val="0"/>
                <w:iCs w:val="0"/>
                <w:color w:val="auto"/>
                <w:sz w:val="21"/>
                <w:szCs w:val="21"/>
                <w:highlight w:val="none"/>
                <w:u w:val="none"/>
              </w:rPr>
            </w:pPr>
          </w:p>
        </w:tc>
      </w:tr>
      <w:tr w14:paraId="468E7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A2B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3A1D99">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9D86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封闭管理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CD2E44C">
            <w:pPr>
              <w:jc w:val="both"/>
              <w:rPr>
                <w:rFonts w:hint="eastAsia" w:ascii="宋体" w:hAnsi="宋体" w:eastAsia="宋体" w:cs="宋体"/>
                <w:i w:val="0"/>
                <w:iCs w:val="0"/>
                <w:color w:val="auto"/>
                <w:sz w:val="21"/>
                <w:szCs w:val="21"/>
                <w:highlight w:val="none"/>
                <w:u w:val="none"/>
              </w:rPr>
            </w:pPr>
          </w:p>
        </w:tc>
      </w:tr>
      <w:tr w14:paraId="3C17C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F6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654AC">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0D2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安全管理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DD996C">
            <w:pPr>
              <w:jc w:val="both"/>
              <w:rPr>
                <w:rFonts w:hint="eastAsia" w:ascii="宋体" w:hAnsi="宋体" w:eastAsia="宋体" w:cs="宋体"/>
                <w:i w:val="0"/>
                <w:iCs w:val="0"/>
                <w:color w:val="auto"/>
                <w:sz w:val="21"/>
                <w:szCs w:val="21"/>
                <w:highlight w:val="none"/>
                <w:u w:val="none"/>
              </w:rPr>
            </w:pPr>
          </w:p>
        </w:tc>
      </w:tr>
      <w:tr w14:paraId="4230D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0984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B2735">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9B14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态势感知</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CD4218">
            <w:pPr>
              <w:jc w:val="both"/>
              <w:rPr>
                <w:rFonts w:hint="eastAsia" w:ascii="宋体" w:hAnsi="宋体" w:eastAsia="宋体" w:cs="宋体"/>
                <w:i w:val="0"/>
                <w:iCs w:val="0"/>
                <w:color w:val="auto"/>
                <w:sz w:val="21"/>
                <w:szCs w:val="21"/>
                <w:highlight w:val="none"/>
                <w:u w:val="none"/>
              </w:rPr>
            </w:pPr>
          </w:p>
        </w:tc>
      </w:tr>
      <w:tr w14:paraId="7AB9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DBD2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5EDE21">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647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应急管理</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50EBBF">
            <w:pPr>
              <w:jc w:val="both"/>
              <w:rPr>
                <w:rFonts w:hint="eastAsia" w:ascii="宋体" w:hAnsi="宋体" w:eastAsia="宋体" w:cs="宋体"/>
                <w:i w:val="0"/>
                <w:iCs w:val="0"/>
                <w:color w:val="auto"/>
                <w:sz w:val="21"/>
                <w:szCs w:val="21"/>
                <w:highlight w:val="none"/>
                <w:u w:val="none"/>
              </w:rPr>
            </w:pPr>
          </w:p>
        </w:tc>
      </w:tr>
      <w:tr w14:paraId="4F335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31C2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116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41490">
            <w:pPr>
              <w:jc w:val="center"/>
              <w:rPr>
                <w:rFonts w:hint="eastAsia" w:ascii="宋体" w:hAnsi="宋体" w:eastAsia="宋体" w:cs="宋体"/>
                <w:i w:val="0"/>
                <w:iCs w:val="0"/>
                <w:color w:val="auto"/>
                <w:sz w:val="21"/>
                <w:szCs w:val="21"/>
                <w:highlight w:val="none"/>
                <w:u w:val="none"/>
              </w:rPr>
            </w:pPr>
          </w:p>
        </w:tc>
        <w:tc>
          <w:tcPr>
            <w:tcW w:w="17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A5C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应急指挥</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FCD937">
            <w:pPr>
              <w:jc w:val="both"/>
              <w:rPr>
                <w:rFonts w:hint="eastAsia" w:ascii="宋体" w:hAnsi="宋体" w:eastAsia="宋体" w:cs="宋体"/>
                <w:i w:val="0"/>
                <w:iCs w:val="0"/>
                <w:color w:val="auto"/>
                <w:sz w:val="21"/>
                <w:szCs w:val="21"/>
                <w:highlight w:val="none"/>
                <w:u w:val="none"/>
              </w:rPr>
            </w:pPr>
          </w:p>
        </w:tc>
      </w:tr>
    </w:tbl>
    <w:p w14:paraId="3F933AEF">
      <w:pPr>
        <w:rPr>
          <w:rFonts w:hint="eastAsia" w:ascii="宋体" w:hAnsi="宋体" w:eastAsia="宋体" w:cs="宋体"/>
          <w:color w:val="auto"/>
          <w:highlight w:val="none"/>
          <w:lang w:val="en-US" w:eastAsia="zh-CN"/>
        </w:rPr>
      </w:pPr>
    </w:p>
    <w:p w14:paraId="0CFF2299">
      <w:pPr>
        <w:keepNext/>
        <w:keepLines/>
        <w:widowControl w:val="0"/>
        <w:numPr>
          <w:ilvl w:val="1"/>
          <w:numId w:val="0"/>
        </w:numPr>
        <w:bidi w:val="0"/>
        <w:spacing w:before="260" w:beforeLines="0" w:beforeAutospacing="0" w:after="260" w:afterLines="0" w:afterAutospacing="0" w:line="413" w:lineRule="auto"/>
        <w:ind w:left="575" w:hanging="575"/>
        <w:jc w:val="both"/>
        <w:outlineLvl w:val="1"/>
        <w:rPr>
          <w:rFonts w:hint="eastAsia" w:ascii="宋体" w:hAnsi="宋体" w:eastAsia="宋体" w:cs="宋体"/>
          <w:b/>
          <w:color w:val="auto"/>
          <w:kern w:val="2"/>
          <w:sz w:val="30"/>
          <w:szCs w:val="24"/>
          <w:highlight w:val="none"/>
          <w:lang w:val="en-US" w:eastAsia="zh-CN" w:bidi="ar-SA"/>
        </w:rPr>
      </w:pPr>
      <w:r>
        <w:rPr>
          <w:rFonts w:hint="eastAsia" w:ascii="宋体" w:hAnsi="宋体" w:eastAsia="宋体" w:cs="宋体"/>
          <w:b/>
          <w:color w:val="auto"/>
          <w:kern w:val="2"/>
          <w:sz w:val="30"/>
          <w:szCs w:val="24"/>
          <w:highlight w:val="none"/>
          <w:lang w:val="en-US" w:eastAsia="zh-CN" w:bidi="ar-SA"/>
        </w:rPr>
        <w:t>4.2.附件2：智慧园区配套设备设施巡检表</w:t>
      </w:r>
    </w:p>
    <w:tbl>
      <w:tblPr>
        <w:tblStyle w:val="11"/>
        <w:tblW w:w="807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8"/>
        <w:gridCol w:w="2816"/>
        <w:gridCol w:w="2816"/>
        <w:gridCol w:w="1599"/>
      </w:tblGrid>
      <w:tr w14:paraId="5B02D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8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4D3B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248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C60E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运维大类</w:t>
            </w:r>
          </w:p>
        </w:tc>
        <w:tc>
          <w:tcPr>
            <w:tcW w:w="26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9C6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运维小类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4FC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详细巡检内容</w:t>
            </w:r>
          </w:p>
        </w:tc>
      </w:tr>
      <w:tr w14:paraId="36F1B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988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740B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园区卡口配套设备设施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4B89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岗亭内部设备设施</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A8201">
            <w:pPr>
              <w:jc w:val="left"/>
              <w:rPr>
                <w:rFonts w:hint="eastAsia" w:ascii="宋体" w:hAnsi="宋体" w:eastAsia="宋体" w:cs="宋体"/>
                <w:i w:val="0"/>
                <w:iCs w:val="0"/>
                <w:color w:val="auto"/>
                <w:sz w:val="20"/>
                <w:szCs w:val="20"/>
                <w:highlight w:val="none"/>
                <w:u w:val="none"/>
              </w:rPr>
            </w:pPr>
          </w:p>
        </w:tc>
      </w:tr>
      <w:tr w14:paraId="4AB95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4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6DBCE">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34B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人行闸机、车辆道闸设备设施</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E434A">
            <w:pPr>
              <w:jc w:val="left"/>
              <w:rPr>
                <w:rFonts w:hint="eastAsia" w:ascii="宋体" w:hAnsi="宋体" w:eastAsia="宋体" w:cs="宋体"/>
                <w:i w:val="0"/>
                <w:iCs w:val="0"/>
                <w:color w:val="auto"/>
                <w:sz w:val="20"/>
                <w:szCs w:val="20"/>
                <w:highlight w:val="none"/>
                <w:u w:val="none"/>
              </w:rPr>
            </w:pPr>
          </w:p>
        </w:tc>
      </w:tr>
      <w:tr w14:paraId="13F83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DBA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AD9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园区视频监控设备设施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8D0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监控检测</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22323">
            <w:pPr>
              <w:jc w:val="left"/>
              <w:rPr>
                <w:rFonts w:hint="eastAsia" w:ascii="宋体" w:hAnsi="宋体" w:eastAsia="宋体" w:cs="宋体"/>
                <w:i w:val="0"/>
                <w:iCs w:val="0"/>
                <w:color w:val="auto"/>
                <w:sz w:val="20"/>
                <w:szCs w:val="20"/>
                <w:highlight w:val="none"/>
                <w:u w:val="none"/>
              </w:rPr>
            </w:pPr>
          </w:p>
        </w:tc>
      </w:tr>
      <w:tr w14:paraId="5CFC6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25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0EF34">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ED6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监控养护</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58381">
            <w:pPr>
              <w:jc w:val="left"/>
              <w:rPr>
                <w:rFonts w:hint="eastAsia" w:ascii="宋体" w:hAnsi="宋体" w:eastAsia="宋体" w:cs="宋体"/>
                <w:i w:val="0"/>
                <w:iCs w:val="0"/>
                <w:color w:val="auto"/>
                <w:sz w:val="20"/>
                <w:szCs w:val="20"/>
                <w:highlight w:val="none"/>
                <w:u w:val="none"/>
              </w:rPr>
            </w:pPr>
          </w:p>
        </w:tc>
      </w:tr>
      <w:tr w14:paraId="5D503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65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0AD0B">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87E1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管理平台</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59CE">
            <w:pPr>
              <w:jc w:val="left"/>
              <w:rPr>
                <w:rFonts w:hint="eastAsia" w:ascii="宋体" w:hAnsi="宋体" w:eastAsia="宋体" w:cs="宋体"/>
                <w:i w:val="0"/>
                <w:iCs w:val="0"/>
                <w:color w:val="auto"/>
                <w:sz w:val="20"/>
                <w:szCs w:val="20"/>
                <w:highlight w:val="none"/>
                <w:u w:val="none"/>
              </w:rPr>
            </w:pPr>
          </w:p>
        </w:tc>
      </w:tr>
      <w:tr w14:paraId="45145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2A3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4B7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园区应急广播设备设施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D1E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应急广播检测</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D3040">
            <w:pPr>
              <w:jc w:val="left"/>
              <w:rPr>
                <w:rFonts w:hint="eastAsia" w:ascii="宋体" w:hAnsi="宋体" w:eastAsia="宋体" w:cs="宋体"/>
                <w:i w:val="0"/>
                <w:iCs w:val="0"/>
                <w:color w:val="auto"/>
                <w:sz w:val="20"/>
                <w:szCs w:val="20"/>
                <w:highlight w:val="none"/>
                <w:u w:val="none"/>
              </w:rPr>
            </w:pPr>
          </w:p>
        </w:tc>
      </w:tr>
      <w:tr w14:paraId="100AEB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3B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C4C0">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B6DB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保养清理</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9D7E">
            <w:pPr>
              <w:jc w:val="left"/>
              <w:rPr>
                <w:rFonts w:hint="eastAsia" w:ascii="宋体" w:hAnsi="宋体" w:eastAsia="宋体" w:cs="宋体"/>
                <w:i w:val="0"/>
                <w:iCs w:val="0"/>
                <w:color w:val="auto"/>
                <w:sz w:val="20"/>
                <w:szCs w:val="20"/>
                <w:highlight w:val="none"/>
                <w:u w:val="none"/>
              </w:rPr>
            </w:pPr>
          </w:p>
        </w:tc>
      </w:tr>
      <w:tr w14:paraId="2D9FA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2D9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5D1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园区黄慢灯设施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CB5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黄慢灯设备</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8A84">
            <w:pPr>
              <w:jc w:val="left"/>
              <w:rPr>
                <w:rFonts w:hint="eastAsia" w:ascii="宋体" w:hAnsi="宋体" w:eastAsia="宋体" w:cs="宋体"/>
                <w:i w:val="0"/>
                <w:iCs w:val="0"/>
                <w:color w:val="auto"/>
                <w:sz w:val="20"/>
                <w:szCs w:val="20"/>
                <w:highlight w:val="none"/>
                <w:u w:val="none"/>
              </w:rPr>
            </w:pPr>
          </w:p>
        </w:tc>
      </w:tr>
      <w:tr w14:paraId="364E2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9AE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6C96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园区智慧停车场设备设施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BC15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相关智能感知设备</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08782">
            <w:pPr>
              <w:jc w:val="left"/>
              <w:rPr>
                <w:rFonts w:hint="eastAsia" w:ascii="宋体" w:hAnsi="宋体" w:eastAsia="宋体" w:cs="宋体"/>
                <w:i w:val="0"/>
                <w:iCs w:val="0"/>
                <w:color w:val="auto"/>
                <w:sz w:val="20"/>
                <w:szCs w:val="20"/>
                <w:highlight w:val="none"/>
                <w:u w:val="none"/>
              </w:rPr>
            </w:pPr>
          </w:p>
        </w:tc>
      </w:tr>
      <w:tr w14:paraId="5C255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A7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7E9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采购单位机房设备设施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52FC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机房配套设备</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40CF6">
            <w:pPr>
              <w:jc w:val="left"/>
              <w:rPr>
                <w:rFonts w:hint="eastAsia" w:ascii="宋体" w:hAnsi="宋体" w:eastAsia="宋体" w:cs="宋体"/>
                <w:i w:val="0"/>
                <w:iCs w:val="0"/>
                <w:color w:val="auto"/>
                <w:sz w:val="20"/>
                <w:szCs w:val="20"/>
                <w:highlight w:val="none"/>
                <w:u w:val="none"/>
              </w:rPr>
            </w:pPr>
          </w:p>
        </w:tc>
      </w:tr>
      <w:tr w14:paraId="53189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CD9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A1316">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608A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机房服务器</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05ECE">
            <w:pPr>
              <w:jc w:val="left"/>
              <w:rPr>
                <w:rFonts w:hint="eastAsia" w:ascii="宋体" w:hAnsi="宋体" w:eastAsia="宋体" w:cs="宋体"/>
                <w:i w:val="0"/>
                <w:iCs w:val="0"/>
                <w:color w:val="auto"/>
                <w:sz w:val="20"/>
                <w:szCs w:val="20"/>
                <w:highlight w:val="none"/>
                <w:u w:val="none"/>
              </w:rPr>
            </w:pPr>
          </w:p>
        </w:tc>
      </w:tr>
      <w:tr w14:paraId="1E342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1BF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5E030">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BA87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保养清理</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485D">
            <w:pPr>
              <w:jc w:val="left"/>
              <w:rPr>
                <w:rFonts w:hint="eastAsia" w:ascii="宋体" w:hAnsi="宋体" w:eastAsia="宋体" w:cs="宋体"/>
                <w:i w:val="0"/>
                <w:iCs w:val="0"/>
                <w:color w:val="auto"/>
                <w:sz w:val="20"/>
                <w:szCs w:val="20"/>
                <w:highlight w:val="none"/>
                <w:u w:val="none"/>
              </w:rPr>
            </w:pPr>
          </w:p>
        </w:tc>
      </w:tr>
      <w:tr w14:paraId="1683C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317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33AE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智慧园区网络系统及设备设施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CA3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网络设施</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1966E">
            <w:pPr>
              <w:jc w:val="left"/>
              <w:rPr>
                <w:rFonts w:hint="eastAsia" w:ascii="宋体" w:hAnsi="宋体" w:eastAsia="宋体" w:cs="宋体"/>
                <w:i w:val="0"/>
                <w:iCs w:val="0"/>
                <w:color w:val="auto"/>
                <w:sz w:val="20"/>
                <w:szCs w:val="20"/>
                <w:highlight w:val="none"/>
                <w:u w:val="none"/>
              </w:rPr>
            </w:pPr>
          </w:p>
        </w:tc>
      </w:tr>
      <w:tr w14:paraId="27B51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847A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FE5CD">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11F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机房网络</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7DCC1">
            <w:pPr>
              <w:jc w:val="left"/>
              <w:rPr>
                <w:rFonts w:hint="eastAsia" w:ascii="宋体" w:hAnsi="宋体" w:eastAsia="宋体" w:cs="宋体"/>
                <w:i w:val="0"/>
                <w:iCs w:val="0"/>
                <w:color w:val="auto"/>
                <w:sz w:val="20"/>
                <w:szCs w:val="20"/>
                <w:highlight w:val="none"/>
                <w:u w:val="none"/>
              </w:rPr>
            </w:pPr>
          </w:p>
        </w:tc>
      </w:tr>
      <w:tr w14:paraId="0ED07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B4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C01B7">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AF3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停车场网络</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E027E">
            <w:pPr>
              <w:jc w:val="left"/>
              <w:rPr>
                <w:rFonts w:hint="eastAsia" w:ascii="宋体" w:hAnsi="宋体" w:eastAsia="宋体" w:cs="宋体"/>
                <w:i w:val="0"/>
                <w:iCs w:val="0"/>
                <w:color w:val="auto"/>
                <w:sz w:val="20"/>
                <w:szCs w:val="20"/>
                <w:highlight w:val="none"/>
                <w:u w:val="none"/>
              </w:rPr>
            </w:pPr>
          </w:p>
        </w:tc>
      </w:tr>
      <w:tr w14:paraId="64906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646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BB1F7">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886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园区监控网络</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CDC19">
            <w:pPr>
              <w:jc w:val="left"/>
              <w:rPr>
                <w:rFonts w:hint="eastAsia" w:ascii="宋体" w:hAnsi="宋体" w:eastAsia="宋体" w:cs="宋体"/>
                <w:i w:val="0"/>
                <w:iCs w:val="0"/>
                <w:color w:val="auto"/>
                <w:sz w:val="20"/>
                <w:szCs w:val="20"/>
                <w:highlight w:val="none"/>
                <w:u w:val="none"/>
              </w:rPr>
            </w:pPr>
          </w:p>
        </w:tc>
      </w:tr>
      <w:tr w14:paraId="6B9AD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04C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49A7C">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A6C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园区供电线路</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5DDB">
            <w:pPr>
              <w:jc w:val="left"/>
              <w:rPr>
                <w:rFonts w:hint="eastAsia" w:ascii="宋体" w:hAnsi="宋体" w:eastAsia="宋体" w:cs="宋体"/>
                <w:i w:val="0"/>
                <w:iCs w:val="0"/>
                <w:color w:val="auto"/>
                <w:sz w:val="20"/>
                <w:szCs w:val="20"/>
                <w:highlight w:val="none"/>
                <w:u w:val="none"/>
              </w:rPr>
            </w:pPr>
          </w:p>
        </w:tc>
      </w:tr>
      <w:tr w14:paraId="54981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84A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7BF9">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E166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网络、供电配套设施</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5ED9">
            <w:pPr>
              <w:jc w:val="left"/>
              <w:rPr>
                <w:rFonts w:hint="eastAsia" w:ascii="宋体" w:hAnsi="宋体" w:eastAsia="宋体" w:cs="宋体"/>
                <w:i w:val="0"/>
                <w:iCs w:val="0"/>
                <w:color w:val="auto"/>
                <w:sz w:val="20"/>
                <w:szCs w:val="20"/>
                <w:highlight w:val="none"/>
                <w:u w:val="none"/>
              </w:rPr>
            </w:pPr>
          </w:p>
        </w:tc>
      </w:tr>
      <w:tr w14:paraId="6472F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78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A2E5">
            <w:pPr>
              <w:jc w:val="left"/>
              <w:rPr>
                <w:rFonts w:hint="eastAsia" w:ascii="宋体" w:hAnsi="宋体" w:eastAsia="宋体" w:cs="宋体"/>
                <w:i w:val="0"/>
                <w:iCs w:val="0"/>
                <w:color w:val="auto"/>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A212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对接运营商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CBA11">
            <w:pPr>
              <w:rPr>
                <w:rFonts w:hint="eastAsia" w:ascii="宋体" w:hAnsi="宋体" w:eastAsia="宋体" w:cs="宋体"/>
                <w:i w:val="0"/>
                <w:iCs w:val="0"/>
                <w:color w:val="auto"/>
                <w:sz w:val="20"/>
                <w:szCs w:val="20"/>
                <w:highlight w:val="none"/>
                <w:u w:val="none"/>
              </w:rPr>
            </w:pPr>
          </w:p>
        </w:tc>
      </w:tr>
    </w:tbl>
    <w:p w14:paraId="2B71B6F2">
      <w:pPr>
        <w:rPr>
          <w:rFonts w:hint="eastAsia" w:ascii="宋体" w:hAnsi="宋体" w:eastAsia="宋体" w:cs="宋体"/>
          <w:color w:val="auto"/>
          <w:highlight w:val="none"/>
          <w:lang w:val="en-US" w:eastAsia="zh-CN"/>
        </w:rPr>
      </w:pPr>
    </w:p>
    <w:p w14:paraId="53E78529">
      <w:pPr>
        <w:keepNext/>
        <w:keepLines/>
        <w:widowControl w:val="0"/>
        <w:numPr>
          <w:ilvl w:val="1"/>
          <w:numId w:val="0"/>
        </w:numPr>
        <w:bidi w:val="0"/>
        <w:spacing w:before="260" w:beforeLines="0" w:beforeAutospacing="0" w:after="260" w:afterLines="0" w:afterAutospacing="0" w:line="413" w:lineRule="auto"/>
        <w:ind w:left="575" w:hanging="575"/>
        <w:jc w:val="both"/>
        <w:outlineLvl w:val="1"/>
        <w:rPr>
          <w:rFonts w:hint="eastAsia" w:ascii="宋体" w:hAnsi="宋体" w:eastAsia="宋体" w:cs="宋体"/>
          <w:b/>
          <w:color w:val="auto"/>
          <w:kern w:val="2"/>
          <w:sz w:val="30"/>
          <w:szCs w:val="24"/>
          <w:highlight w:val="none"/>
          <w:lang w:val="en-US" w:eastAsia="zh-CN" w:bidi="ar-SA"/>
        </w:rPr>
      </w:pPr>
      <w:r>
        <w:rPr>
          <w:rFonts w:hint="eastAsia" w:ascii="宋体" w:hAnsi="宋体" w:eastAsia="宋体" w:cs="宋体"/>
          <w:b/>
          <w:color w:val="auto"/>
          <w:kern w:val="2"/>
          <w:sz w:val="30"/>
          <w:szCs w:val="24"/>
          <w:highlight w:val="none"/>
          <w:lang w:val="en-US" w:eastAsia="zh-CN" w:bidi="ar-SA"/>
        </w:rPr>
        <w:t>4.3.附件3：智慧园区配套设备设施维保清单表</w:t>
      </w:r>
    </w:p>
    <w:tbl>
      <w:tblPr>
        <w:tblStyle w:val="11"/>
        <w:tblW w:w="84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0"/>
        <w:gridCol w:w="2500"/>
        <w:gridCol w:w="2097"/>
        <w:gridCol w:w="1386"/>
        <w:gridCol w:w="1874"/>
      </w:tblGrid>
      <w:tr w14:paraId="773A8D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1A856">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824C">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设备设施名称</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1646E">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品牌</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E4BB">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单位</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38FAA">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数量</w:t>
            </w:r>
          </w:p>
        </w:tc>
      </w:tr>
      <w:tr w14:paraId="285B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9C3B">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95951B">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一、</w:t>
            </w:r>
            <w:r>
              <w:rPr>
                <w:rFonts w:hint="eastAsia" w:ascii="宋体" w:hAnsi="宋体" w:eastAsia="宋体" w:cs="宋体"/>
                <w:b/>
                <w:bCs/>
                <w:color w:val="auto"/>
                <w:kern w:val="0"/>
                <w:sz w:val="21"/>
                <w:szCs w:val="21"/>
                <w:highlight w:val="none"/>
                <w:u w:val="none"/>
                <w:lang w:val="en-US" w:eastAsia="zh-CN" w:bidi="ar"/>
              </w:rPr>
              <w:t>园区卡口配套设备设备</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A63D0">
            <w:pPr>
              <w:jc w:val="center"/>
              <w:rPr>
                <w:rFonts w:hint="eastAsia" w:ascii="宋体" w:hAnsi="宋体" w:eastAsia="宋体" w:cs="宋体"/>
                <w:b/>
                <w:bCs/>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E540D">
            <w:pPr>
              <w:jc w:val="center"/>
              <w:rPr>
                <w:rFonts w:hint="eastAsia" w:ascii="宋体" w:hAnsi="宋体" w:eastAsia="宋体" w:cs="宋体"/>
                <w:b/>
                <w:bCs/>
                <w:i w:val="0"/>
                <w:iCs w:val="0"/>
                <w:color w:val="auto"/>
                <w:sz w:val="21"/>
                <w:szCs w:val="21"/>
                <w:highlight w:val="none"/>
                <w:u w:val="none"/>
              </w:rPr>
            </w:pPr>
          </w:p>
        </w:tc>
      </w:tr>
      <w:tr w14:paraId="5504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0DD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0003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岗亭内监控</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8C52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2FEE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0BCE">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44855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77A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8BE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C508">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TP</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CFA2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B0DF">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5DC06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11E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60E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卡口供电线路</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342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国标</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010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2D5E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988E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2E8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0AD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网络传输</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1181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3583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A140">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r>
      <w:tr w14:paraId="053925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53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04E8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道闸</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38F9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7D46">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3465B">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17E4F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9BC4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39DC">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危险化学品运输车辆GPS定位卡</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86FD3">
            <w:pPr>
              <w:keepNext w:val="0"/>
              <w:keepLines w:val="0"/>
              <w:widowControl/>
              <w:suppressLineNumbers w:val="0"/>
              <w:ind w:firstLineChars="20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移动</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7657">
            <w:pPr>
              <w:keepNext w:val="0"/>
              <w:keepLines w:val="0"/>
              <w:widowControl/>
              <w:suppressLineNumbers w:val="0"/>
              <w:ind w:firstLineChars="20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张</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BB264">
            <w:pPr>
              <w:keepNext w:val="0"/>
              <w:keepLines w:val="0"/>
              <w:widowControl/>
              <w:suppressLineNumbers w:val="0"/>
              <w:ind w:firstLineChars="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color w:val="auto"/>
                <w:highlight w:val="none"/>
                <w:lang w:val="en-US" w:eastAsia="zh-CN"/>
              </w:rPr>
              <w:t>50</w:t>
            </w:r>
          </w:p>
        </w:tc>
      </w:tr>
      <w:tr w14:paraId="4483B6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B283E">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CCD64">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二、园区视频监控设备设施</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0C18">
            <w:pPr>
              <w:jc w:val="center"/>
              <w:rPr>
                <w:rFonts w:hint="eastAsia" w:ascii="宋体" w:hAnsi="宋体" w:eastAsia="宋体" w:cs="宋体"/>
                <w:b/>
                <w:bCs/>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DC29D">
            <w:pPr>
              <w:jc w:val="center"/>
              <w:rPr>
                <w:rFonts w:hint="eastAsia" w:ascii="宋体" w:hAnsi="宋体" w:eastAsia="宋体" w:cs="宋体"/>
                <w:b/>
                <w:bCs/>
                <w:i w:val="0"/>
                <w:iCs w:val="0"/>
                <w:color w:val="auto"/>
                <w:sz w:val="21"/>
                <w:szCs w:val="21"/>
                <w:highlight w:val="none"/>
                <w:u w:val="none"/>
              </w:rPr>
            </w:pPr>
          </w:p>
        </w:tc>
      </w:tr>
      <w:tr w14:paraId="03DD0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C36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FFE5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枪式摄像机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8DB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48F7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163D7">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5AC3F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6DE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1B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车辆测速抓拍摄像机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A6FC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EE675">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398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67B04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760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60F2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车辆测速雷达</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3BEA6">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BFB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52BA">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4264B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A3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A42E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补光灯</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3D9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5ECD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12A2">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2A5EA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CB3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543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车辆测速提示牌</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58C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485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F306">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17E49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3A0D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036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测速终端</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AA2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DF7A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8539E">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40C03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6C6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71EC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F9D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锐捷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B26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064E9">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0A6BC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A5E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A86B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97D5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1B75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5CAF">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4786F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4A2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676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266CF">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6959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686F2">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r>
      <w:tr w14:paraId="68A5D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B0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60E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客流统计相机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FF2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C2AE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1132">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r>
      <w:tr w14:paraId="7E19F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26D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6DAA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双目热成像云台</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3E48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5DE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5F38">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2F554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428B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66B7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周界声光警戒枪机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6A98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3E05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78A56">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246</w:t>
            </w:r>
          </w:p>
        </w:tc>
      </w:tr>
      <w:tr w14:paraId="0FB48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E6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D3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综合安防平台</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B24C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36EA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9A1C">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5A09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E632">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649771">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lang w:val="en-US"/>
              </w:rPr>
            </w:pPr>
            <w:r>
              <w:rPr>
                <w:rFonts w:hint="eastAsia" w:ascii="宋体" w:hAnsi="宋体" w:eastAsia="宋体" w:cs="宋体"/>
                <w:b/>
                <w:bCs/>
                <w:i w:val="0"/>
                <w:iCs w:val="0"/>
                <w:color w:val="auto"/>
                <w:kern w:val="0"/>
                <w:sz w:val="21"/>
                <w:szCs w:val="21"/>
                <w:highlight w:val="none"/>
                <w:u w:val="none"/>
                <w:lang w:val="en-US" w:eastAsia="zh-CN" w:bidi="ar"/>
              </w:rPr>
              <w:t>三、园区应急广播设备设施</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7BE92">
            <w:pPr>
              <w:jc w:val="center"/>
              <w:rPr>
                <w:rFonts w:hint="eastAsia" w:ascii="宋体" w:hAnsi="宋体" w:eastAsia="宋体" w:cs="宋体"/>
                <w:b/>
                <w:bCs/>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0493A">
            <w:pPr>
              <w:jc w:val="center"/>
              <w:rPr>
                <w:rFonts w:hint="eastAsia" w:ascii="宋体" w:hAnsi="宋体" w:eastAsia="宋体" w:cs="宋体"/>
                <w:b/>
                <w:bCs/>
                <w:i w:val="0"/>
                <w:iCs w:val="0"/>
                <w:color w:val="auto"/>
                <w:sz w:val="21"/>
                <w:szCs w:val="21"/>
                <w:highlight w:val="none"/>
                <w:u w:val="none"/>
              </w:rPr>
            </w:pPr>
          </w:p>
        </w:tc>
      </w:tr>
      <w:tr w14:paraId="7C690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E5E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FA09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网络广播中心</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D2E0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4F5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0EE9">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7636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053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A3C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机房监听音箱</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6B2F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58E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63BF">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FD07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218E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A09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网络化智能寻呼站</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C098E">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59CA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0FF78">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1E8E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83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F674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时序电源控制器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1E4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C3E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FAF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549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9F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802F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远程控制软件</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DE59B">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01F7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455BC">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0642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F2A5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0BBF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单通道音频解码终端</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B976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776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2F9D9">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r>
      <w:tr w14:paraId="3DF2B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45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3CB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带前置广播功放</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BFE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0B7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728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r>
      <w:tr w14:paraId="29E3B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78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6B95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室外号角</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0D81F">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SPDPA</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D0AE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F10F">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18</w:t>
            </w:r>
          </w:p>
        </w:tc>
      </w:tr>
      <w:tr w14:paraId="616B7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77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CA3F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D1A2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锐捷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D7A4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8EEA">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w:t>
            </w:r>
          </w:p>
        </w:tc>
      </w:tr>
      <w:tr w14:paraId="09DE4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064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C74B8">
            <w:pPr>
              <w:keepNext w:val="0"/>
              <w:keepLines w:val="0"/>
              <w:widowControl/>
              <w:suppressLineNumbers w:val="0"/>
              <w:ind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存储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E2D4">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中国移动</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CF2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38F2">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B7BC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FC047">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F950F">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四、标识标牌</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427E3">
            <w:pPr>
              <w:jc w:val="center"/>
              <w:rPr>
                <w:rFonts w:hint="eastAsia" w:ascii="宋体" w:hAnsi="宋体" w:eastAsia="宋体" w:cs="宋体"/>
                <w:b/>
                <w:bCs/>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5EFAA">
            <w:pPr>
              <w:jc w:val="center"/>
              <w:rPr>
                <w:rFonts w:hint="eastAsia" w:ascii="宋体" w:hAnsi="宋体" w:eastAsia="宋体" w:cs="宋体"/>
                <w:b/>
                <w:bCs/>
                <w:i w:val="0"/>
                <w:iCs w:val="0"/>
                <w:color w:val="auto"/>
                <w:sz w:val="21"/>
                <w:szCs w:val="21"/>
                <w:highlight w:val="none"/>
                <w:u w:val="none"/>
              </w:rPr>
            </w:pPr>
          </w:p>
        </w:tc>
      </w:tr>
      <w:tr w14:paraId="7F7DF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AF7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5213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黄慢灯</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7BB8">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BB94">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E5E1">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13604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AE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A34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反光镜</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FFB7">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4C3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AFDD1">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067DA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20A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5392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立杆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DD2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8FD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1D241">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15B6D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B7B4">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4234C9">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五、停车场设备设施</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D97CD">
            <w:pPr>
              <w:jc w:val="center"/>
              <w:rPr>
                <w:rFonts w:hint="eastAsia" w:ascii="宋体" w:hAnsi="宋体" w:eastAsia="宋体" w:cs="宋体"/>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734C">
            <w:pPr>
              <w:jc w:val="center"/>
              <w:rPr>
                <w:rFonts w:hint="eastAsia" w:ascii="宋体" w:hAnsi="宋体" w:eastAsia="宋体" w:cs="宋体"/>
                <w:i w:val="0"/>
                <w:iCs w:val="0"/>
                <w:color w:val="auto"/>
                <w:sz w:val="21"/>
                <w:szCs w:val="21"/>
                <w:highlight w:val="none"/>
                <w:u w:val="none"/>
              </w:rPr>
            </w:pPr>
          </w:p>
        </w:tc>
      </w:tr>
      <w:tr w14:paraId="3EF91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80CC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576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车辆柜式抓拍一体机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3E5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06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895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0C655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E0CA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6DD8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道闸机箱</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2110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EF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C49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5BAE4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76A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900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6米直杆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882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F4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218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2CAE3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17A8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2AE8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防砸雷达</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1F0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80E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9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3F15C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56E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057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电源适配器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2089F">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7089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34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5286C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55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29AF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桥式直角快速摆闸（左）</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5C3A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3B01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12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D0B4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7B8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2ED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桥式直角快速摆闸（中）</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290B8">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908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DAB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66F17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0050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E64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桥式直角快速摆闸（右）</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94EF">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3C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12AC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9C5A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F20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223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不锈钢摆臂</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4C27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655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DA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4E1F9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669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E03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人员识别闸机模块</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105C4">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256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710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58C56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AE2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4D4E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闸机模块支架</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0732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F93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F71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7F837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F0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9D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蓄电池</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9F4B">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6C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5AC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7105E4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0F1D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E8495">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闸机加热模块</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3A0E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8DE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100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12731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82A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8D0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无线遥控器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6CC6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752D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175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17A7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2047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2CB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4口POE交换机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9D93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TP</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C15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AF1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71F9D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A4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7F21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800W全彩防爆车位检测枪机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5E49B">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4A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DBD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43678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D4B3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5C8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7.5米立杆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CA2A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08C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只</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DDA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13652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4E3A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717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防爆挠性管</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EBB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6BB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B02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w:t>
            </w:r>
          </w:p>
        </w:tc>
      </w:tr>
      <w:tr w14:paraId="278E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38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1BC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室外P4全彩LED屏</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77AF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22B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28AF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51BB5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DD7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04D4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二合一控制器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6AD8">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16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5BEB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6EB6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8BF9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C7FF">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信息发布终端</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A6FE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DCB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E9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9B3B5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638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4FA8">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LED屏控制软件</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D5A0">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9DEB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C588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183C7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987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791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配电柜</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AEA9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08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6C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48C71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125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C1B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400W防爆星光球机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AF0E4">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4C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1342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10C3EB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E1A0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DD26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6米立杆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87E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DD87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610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40D1A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285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76AE6">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400W防爆星光枪机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FECA">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459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5D1A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1C06E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30C6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7513D">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4.5米立杆</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A95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2D5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DA8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02A31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58AE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CC0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防爆挠性管</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FCE08">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181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403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w:t>
            </w:r>
          </w:p>
        </w:tc>
      </w:tr>
      <w:tr w14:paraId="276F78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1B1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2DD9">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双光谱烟火监测云台</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EC1B">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19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AE5F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4780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DDD5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E1A3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磁盘阵列</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DD9F7">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9295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7C48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37144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2E8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91D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企业级硬盘</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D7F5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希捷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8824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06B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r>
      <w:tr w14:paraId="612E6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A0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71C1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安防综合管理平台</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B362F">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06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D3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A34D7C5">
        <w:tblPrEx>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4599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BE1F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5口POE交换机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0F6B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TP</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D2A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C66E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24197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F007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976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千兆光模块</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C1B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华为</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B9A5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对</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6A6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r>
      <w:tr w14:paraId="7BEAF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ADB9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46A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网络视频录像机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F9FF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大华</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E1B1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8FD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63336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1352">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220A49">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六、</w:t>
            </w:r>
            <w:r>
              <w:rPr>
                <w:rFonts w:hint="eastAsia" w:ascii="宋体" w:hAnsi="宋体" w:eastAsia="宋体" w:cs="宋体"/>
                <w:b/>
                <w:bCs/>
                <w:color w:val="auto"/>
                <w:kern w:val="0"/>
                <w:sz w:val="21"/>
                <w:szCs w:val="21"/>
                <w:highlight w:val="none"/>
                <w:u w:val="none"/>
                <w:lang w:val="en-US" w:eastAsia="zh-CN" w:bidi="ar"/>
              </w:rPr>
              <w:t>采购单位机房设备设施</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B55B4">
            <w:pPr>
              <w:jc w:val="center"/>
              <w:rPr>
                <w:rFonts w:hint="eastAsia" w:ascii="宋体" w:hAnsi="宋体" w:eastAsia="宋体" w:cs="宋体"/>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2E36">
            <w:pPr>
              <w:jc w:val="both"/>
              <w:rPr>
                <w:rFonts w:hint="eastAsia" w:ascii="宋体" w:hAnsi="宋体" w:eastAsia="宋体" w:cs="宋体"/>
                <w:i w:val="0"/>
                <w:iCs w:val="0"/>
                <w:color w:val="auto"/>
                <w:sz w:val="21"/>
                <w:szCs w:val="21"/>
                <w:highlight w:val="none"/>
                <w:u w:val="none"/>
              </w:rPr>
            </w:pPr>
          </w:p>
        </w:tc>
      </w:tr>
      <w:tr w14:paraId="2FD50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D71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921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防火墙</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00009">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华为USG6000</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504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4665">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F99E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703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86994">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1832">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华为S7706</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6497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F7A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1B2EB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D7C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A69DE">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矩阵解码器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2492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海康威视B20</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80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E0A1">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21A75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A60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A79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服务器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BB7B7">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770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89A0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4B919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E29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71</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46CE7">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跳板堡垒机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35D5">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戴尔</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BFF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C163">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63844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048B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72</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17F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存储录像机NVR</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C8B5B">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459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CB5E">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r>
      <w:tr w14:paraId="2DA2A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D61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73</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0D573">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超脑存储服务器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CB3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海康威视</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939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42EE1">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466F3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4D6E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74</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7A7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日志审计服务器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3BA8D">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天融信</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C09B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4FA92">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F6DA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8D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75</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720DC">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防火墙</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D24A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天融信</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E32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61523">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1579C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1B2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76</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3602">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核心路由器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9053">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华三</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D85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AD00">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r w14:paraId="7B197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DFF4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77</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850B">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车牌终端边缘服务器</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88DD1">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海康</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D914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F1ADE">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39CC6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540F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78</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8D9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9B55">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华为</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7C85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F1D7D">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r>
      <w:tr w14:paraId="17254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1AB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79</w:t>
            </w:r>
          </w:p>
        </w:tc>
        <w:tc>
          <w:tcPr>
            <w:tcW w:w="2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CDC0">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核心交换机</w:t>
            </w:r>
          </w:p>
        </w:tc>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7AEFC">
            <w:pPr>
              <w:keepNext w:val="0"/>
              <w:keepLines w:val="0"/>
              <w:widowControl/>
              <w:suppressLineNumbers w:val="0"/>
              <w:ind w:firstLineChars="20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烽火</w:t>
            </w:r>
          </w:p>
        </w:tc>
        <w:tc>
          <w:tcPr>
            <w:tcW w:w="13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00C5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1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431DB">
            <w:pPr>
              <w:keepNext w:val="0"/>
              <w:keepLines w:val="0"/>
              <w:widowControl/>
              <w:suppressLineNumbers w:val="0"/>
              <w:ind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r>
      <w:tr w14:paraId="1DB7D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8591">
            <w:pPr>
              <w:jc w:val="center"/>
              <w:rPr>
                <w:rFonts w:hint="eastAsia" w:ascii="宋体" w:hAnsi="宋体" w:eastAsia="宋体" w:cs="宋体"/>
                <w:i w:val="0"/>
                <w:iCs w:val="0"/>
                <w:color w:val="auto"/>
                <w:sz w:val="21"/>
                <w:szCs w:val="21"/>
                <w:highlight w:val="none"/>
                <w:u w:val="none"/>
              </w:rPr>
            </w:pPr>
          </w:p>
        </w:tc>
        <w:tc>
          <w:tcPr>
            <w:tcW w:w="45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3D9512">
            <w:pPr>
              <w:keepNext w:val="0"/>
              <w:keepLines w:val="0"/>
              <w:widowControl/>
              <w:suppressLineNumbers w:val="0"/>
              <w:ind w:firstLineChars="20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七、集成服务</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1F9C7">
            <w:pPr>
              <w:rPr>
                <w:rFonts w:hint="eastAsia" w:ascii="宋体" w:hAnsi="宋体" w:eastAsia="宋体" w:cs="宋体"/>
                <w:i w:val="0"/>
                <w:iCs w:val="0"/>
                <w:color w:val="auto"/>
                <w:sz w:val="21"/>
                <w:szCs w:val="21"/>
                <w:highlight w:val="none"/>
                <w:u w:val="none"/>
              </w:rPr>
            </w:pP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9FA41">
            <w:pPr>
              <w:rPr>
                <w:rFonts w:hint="eastAsia" w:ascii="宋体" w:hAnsi="宋体" w:eastAsia="宋体" w:cs="宋体"/>
                <w:i w:val="0"/>
                <w:iCs w:val="0"/>
                <w:color w:val="auto"/>
                <w:sz w:val="21"/>
                <w:szCs w:val="21"/>
                <w:highlight w:val="none"/>
                <w:u w:val="none"/>
              </w:rPr>
            </w:pPr>
          </w:p>
        </w:tc>
      </w:tr>
      <w:tr w14:paraId="3BDA69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37A3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B2101">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技术支持</w:t>
            </w:r>
          </w:p>
        </w:tc>
        <w:tc>
          <w:tcPr>
            <w:tcW w:w="209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F25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定制</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448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c>
          <w:tcPr>
            <w:tcW w:w="18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7056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r>
    </w:tbl>
    <w:p w14:paraId="3EB4DBA3">
      <w:pPr>
        <w:keepNext/>
        <w:keepLines/>
        <w:widowControl w:val="0"/>
        <w:numPr>
          <w:ilvl w:val="1"/>
          <w:numId w:val="0"/>
        </w:numPr>
        <w:bidi w:val="0"/>
        <w:spacing w:before="260" w:beforeLines="0" w:beforeAutospacing="0" w:after="260" w:afterLines="0" w:afterAutospacing="0" w:line="413" w:lineRule="auto"/>
        <w:ind w:left="575" w:hanging="575"/>
        <w:jc w:val="both"/>
        <w:outlineLvl w:val="1"/>
        <w:rPr>
          <w:rFonts w:hint="eastAsia" w:ascii="宋体" w:hAnsi="宋体" w:eastAsia="宋体" w:cs="宋体"/>
          <w:b/>
          <w:color w:val="auto"/>
          <w:kern w:val="2"/>
          <w:sz w:val="30"/>
          <w:szCs w:val="24"/>
          <w:highlight w:val="none"/>
          <w:lang w:val="en-US" w:eastAsia="zh-CN" w:bidi="ar-SA"/>
        </w:rPr>
      </w:pPr>
      <w:r>
        <w:rPr>
          <w:rFonts w:hint="eastAsia" w:ascii="宋体" w:hAnsi="宋体" w:eastAsia="宋体" w:cs="宋体"/>
          <w:b/>
          <w:color w:val="auto"/>
          <w:kern w:val="2"/>
          <w:sz w:val="30"/>
          <w:szCs w:val="24"/>
          <w:highlight w:val="none"/>
          <w:lang w:val="en-US" w:eastAsia="zh-CN" w:bidi="ar-SA"/>
        </w:rPr>
        <w:t>4.4.附件4：云主机配置清单</w:t>
      </w:r>
    </w:p>
    <w:tbl>
      <w:tblPr>
        <w:tblStyle w:val="11"/>
        <w:tblW w:w="84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42"/>
        <w:gridCol w:w="1456"/>
        <w:gridCol w:w="1365"/>
        <w:gridCol w:w="1726"/>
        <w:gridCol w:w="1828"/>
      </w:tblGrid>
      <w:tr w14:paraId="64C46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41" w:hRule="atLeast"/>
        </w:trPr>
        <w:tc>
          <w:tcPr>
            <w:tcW w:w="20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FA6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实例名称</w:t>
            </w:r>
          </w:p>
        </w:tc>
        <w:tc>
          <w:tcPr>
            <w:tcW w:w="14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157B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CPU（核）</w:t>
            </w:r>
          </w:p>
        </w:tc>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AF3C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内存（G）</w:t>
            </w:r>
          </w:p>
        </w:tc>
        <w:tc>
          <w:tcPr>
            <w:tcW w:w="17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4A93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系统盘大小（G）</w:t>
            </w:r>
          </w:p>
        </w:tc>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B5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云硬盘大小（G）</w:t>
            </w:r>
          </w:p>
        </w:tc>
      </w:tr>
      <w:tr w14:paraId="673C1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8A8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C78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9A0F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25E6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5C5C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r>
      <w:tr w14:paraId="50B15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21C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5F4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3F2A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9C03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F947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260</w:t>
            </w:r>
          </w:p>
        </w:tc>
      </w:tr>
      <w:tr w14:paraId="62A3F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F0C0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9EF7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0D4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9BD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539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512</w:t>
            </w:r>
          </w:p>
        </w:tc>
      </w:tr>
      <w:tr w14:paraId="14147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23B5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823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597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A16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782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510</w:t>
            </w:r>
          </w:p>
        </w:tc>
      </w:tr>
      <w:tr w14:paraId="69F63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F08D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95AC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B05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2DE0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91C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510</w:t>
            </w:r>
          </w:p>
        </w:tc>
      </w:tr>
      <w:tr w14:paraId="114FE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A9C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754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9478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B62E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FDD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310</w:t>
            </w:r>
          </w:p>
        </w:tc>
      </w:tr>
      <w:tr w14:paraId="3DF0E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BB8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4B0B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836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89C21">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D00A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2010</w:t>
            </w:r>
          </w:p>
        </w:tc>
      </w:tr>
      <w:tr w14:paraId="00583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A370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B3F5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1ED6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42B7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342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4000</w:t>
            </w:r>
          </w:p>
        </w:tc>
      </w:tr>
      <w:tr w14:paraId="656D5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0AA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11F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2AA3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0D1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295F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2DD15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2385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ECBB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E42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B65A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1E13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11618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AF80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73A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6A6B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8D83">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4ADA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2000</w:t>
            </w:r>
          </w:p>
        </w:tc>
      </w:tr>
      <w:tr w14:paraId="55C4D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1DA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10C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17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17D4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26F9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3C7F9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C34E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39CCC">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EA16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E99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AC20">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w:t>
            </w:r>
          </w:p>
        </w:tc>
      </w:tr>
      <w:tr w14:paraId="434A6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9FA3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80E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C7E6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515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4597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659FF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992B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F5C9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7908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33C6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BBF427">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60B3B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748D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host-01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40FE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55035">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A182A">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A90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500</w:t>
            </w:r>
          </w:p>
        </w:tc>
      </w:tr>
      <w:tr w14:paraId="33FA2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596D6">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弹性公网IP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86F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6EE1F">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6A94">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D48A9">
            <w:pPr>
              <w:jc w:val="center"/>
              <w:rPr>
                <w:rFonts w:hint="eastAsia" w:ascii="宋体" w:hAnsi="宋体" w:eastAsia="宋体" w:cs="宋体"/>
                <w:i w:val="0"/>
                <w:iCs w:val="0"/>
                <w:color w:val="auto"/>
                <w:sz w:val="21"/>
                <w:szCs w:val="21"/>
                <w:highlight w:val="none"/>
                <w:u w:val="none"/>
              </w:rPr>
            </w:pPr>
          </w:p>
        </w:tc>
      </w:tr>
      <w:tr w14:paraId="311C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521D">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云专线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B91E">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1000M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BB862">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12A6">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AB70A">
            <w:pPr>
              <w:jc w:val="center"/>
              <w:rPr>
                <w:rFonts w:hint="eastAsia" w:ascii="宋体" w:hAnsi="宋体" w:eastAsia="宋体" w:cs="宋体"/>
                <w:i w:val="0"/>
                <w:iCs w:val="0"/>
                <w:color w:val="auto"/>
                <w:sz w:val="21"/>
                <w:szCs w:val="21"/>
                <w:highlight w:val="none"/>
                <w:u w:val="none"/>
              </w:rPr>
            </w:pPr>
          </w:p>
        </w:tc>
      </w:tr>
      <w:tr w14:paraId="413FE0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D2AB">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云安全中心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6BD2">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B9B09">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16个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53CF">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F9A7E">
            <w:pPr>
              <w:jc w:val="center"/>
              <w:rPr>
                <w:rFonts w:hint="eastAsia" w:ascii="宋体" w:hAnsi="宋体" w:eastAsia="宋体" w:cs="宋体"/>
                <w:i w:val="0"/>
                <w:iCs w:val="0"/>
                <w:color w:val="auto"/>
                <w:sz w:val="21"/>
                <w:szCs w:val="21"/>
                <w:highlight w:val="none"/>
                <w:u w:val="none"/>
              </w:rPr>
            </w:pPr>
          </w:p>
        </w:tc>
      </w:tr>
      <w:tr w14:paraId="4A49D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72104">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NAT网关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AFFBE">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D3788">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4F43F">
            <w:pPr>
              <w:jc w:val="center"/>
              <w:rPr>
                <w:rFonts w:hint="eastAsia" w:ascii="宋体" w:hAnsi="宋体" w:eastAsia="宋体" w:cs="宋体"/>
                <w:i w:val="0"/>
                <w:iCs w:val="0"/>
                <w:color w:val="auto"/>
                <w:sz w:val="21"/>
                <w:szCs w:val="21"/>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29DE">
            <w:pPr>
              <w:jc w:val="center"/>
              <w:rPr>
                <w:rFonts w:hint="eastAsia" w:ascii="宋体" w:hAnsi="宋体" w:eastAsia="宋体" w:cs="宋体"/>
                <w:i w:val="0"/>
                <w:iCs w:val="0"/>
                <w:color w:val="auto"/>
                <w:sz w:val="21"/>
                <w:szCs w:val="21"/>
                <w:highlight w:val="none"/>
                <w:u w:val="none"/>
              </w:rPr>
            </w:pPr>
          </w:p>
        </w:tc>
      </w:tr>
    </w:tbl>
    <w:p w14:paraId="774D3921">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26FD45E0">
      <w:pPr>
        <w:keepNext/>
        <w:keepLines/>
        <w:widowControl w:val="0"/>
        <w:numPr>
          <w:ilvl w:val="1"/>
          <w:numId w:val="0"/>
        </w:numPr>
        <w:bidi w:val="0"/>
        <w:spacing w:before="260" w:beforeLines="0" w:beforeAutospacing="0" w:after="260" w:afterLines="0" w:afterAutospacing="0" w:line="240" w:lineRule="auto"/>
        <w:ind w:left="575" w:hanging="575"/>
        <w:jc w:val="both"/>
        <w:outlineLvl w:val="1"/>
        <w:rPr>
          <w:rFonts w:hint="eastAsia" w:ascii="宋体" w:hAnsi="宋体" w:eastAsia="宋体" w:cs="宋体"/>
          <w:b/>
          <w:color w:val="auto"/>
          <w:kern w:val="2"/>
          <w:sz w:val="36"/>
          <w:szCs w:val="32"/>
          <w:highlight w:val="none"/>
          <w:lang w:val="en-US" w:eastAsia="zh-CN" w:bidi="ar-SA"/>
        </w:rPr>
      </w:pPr>
      <w:r>
        <w:rPr>
          <w:rFonts w:hint="eastAsia" w:ascii="宋体" w:hAnsi="宋体" w:eastAsia="宋体" w:cs="宋体"/>
          <w:b/>
          <w:color w:val="auto"/>
          <w:kern w:val="2"/>
          <w:sz w:val="36"/>
          <w:szCs w:val="32"/>
          <w:highlight w:val="none"/>
          <w:lang w:val="en-US" w:eastAsia="zh-CN" w:bidi="ar-SA"/>
        </w:rPr>
        <w:t>4.5.采购清单</w:t>
      </w:r>
    </w:p>
    <w:tbl>
      <w:tblPr>
        <w:tblStyle w:val="1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1"/>
        <w:gridCol w:w="1210"/>
        <w:gridCol w:w="1441"/>
        <w:gridCol w:w="4925"/>
        <w:gridCol w:w="561"/>
        <w:gridCol w:w="480"/>
      </w:tblGrid>
      <w:tr w14:paraId="5D806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1115D">
            <w:pPr>
              <w:keepNext w:val="0"/>
              <w:keepLines w:val="0"/>
              <w:widowControl/>
              <w:suppressLineNumbers w:val="0"/>
              <w:jc w:val="center"/>
              <w:textAlignment w:val="center"/>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kern w:val="0"/>
                <w:sz w:val="28"/>
                <w:szCs w:val="28"/>
                <w:highlight w:val="none"/>
                <w:u w:val="none"/>
                <w:lang w:val="en-US" w:eastAsia="zh-CN" w:bidi="ar"/>
              </w:rPr>
              <w:t>江苏连云港化工产业园区智慧平台升级建设及维保清单</w:t>
            </w:r>
          </w:p>
        </w:tc>
      </w:tr>
      <w:tr w14:paraId="6D33B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0894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建设依据与要求</w:t>
            </w:r>
          </w:p>
        </w:tc>
        <w:tc>
          <w:tcPr>
            <w:tcW w:w="4638"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D03E035">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val="0"/>
                <w:bCs w:val="0"/>
                <w:i w:val="0"/>
                <w:iCs w:val="0"/>
                <w:color w:val="auto"/>
                <w:kern w:val="0"/>
                <w:sz w:val="20"/>
                <w:szCs w:val="20"/>
                <w:highlight w:val="none"/>
                <w:u w:val="none"/>
                <w:lang w:val="en-US" w:eastAsia="zh-CN" w:bidi="ar"/>
              </w:rPr>
              <w:t>按照江苏省化工园区认定工作标准（2025版）-苏工信规〔2025〕6号、化工园区安全风险排查治理导则（应急〔2023〕123号）、化工园区安全风险智能化管控平台（试行）、《化工园区智慧化评价导则》(HG/T 6313-2024)、《化工园区封闭管理系统技术要求》(GB/T 45227-2025)、江苏省工业园区生态环境管理信息系统建设指南（DB32／T 4709—2024）、关于印发进一步强化全省危险货物道路运输安全治理若干措施的通知（苏交运〔2025〕15号）等政策文件和标准规范要求，全面提升本园区安全与环境管理、智慧化水平与运营效能。</w:t>
            </w:r>
          </w:p>
        </w:tc>
      </w:tr>
      <w:tr w14:paraId="003A5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3198E5A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序号</w:t>
            </w:r>
          </w:p>
        </w:tc>
        <w:tc>
          <w:tcPr>
            <w:tcW w:w="651" w:type="pct"/>
            <w:tcBorders>
              <w:top w:val="single" w:color="000000" w:sz="4" w:space="0"/>
              <w:left w:val="single" w:color="000000" w:sz="4" w:space="0"/>
              <w:bottom w:val="single" w:color="000000" w:sz="4" w:space="0"/>
              <w:right w:val="single" w:color="000000" w:sz="4" w:space="0"/>
            </w:tcBorders>
            <w:shd w:val="clear" w:color="auto" w:fill="D0CECE"/>
            <w:vAlign w:val="center"/>
          </w:tcPr>
          <w:p w14:paraId="0A1079A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系统/模块</w:t>
            </w:r>
          </w:p>
        </w:tc>
        <w:tc>
          <w:tcPr>
            <w:tcW w:w="775" w:type="pct"/>
            <w:tcBorders>
              <w:top w:val="single" w:color="000000" w:sz="4" w:space="0"/>
              <w:left w:val="single" w:color="000000" w:sz="4" w:space="0"/>
              <w:bottom w:val="single" w:color="000000" w:sz="4" w:space="0"/>
              <w:right w:val="single" w:color="000000" w:sz="4" w:space="0"/>
            </w:tcBorders>
            <w:shd w:val="clear" w:color="auto" w:fill="D0CECE"/>
            <w:vAlign w:val="center"/>
          </w:tcPr>
          <w:p w14:paraId="14CB4D5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模块</w:t>
            </w:r>
          </w:p>
        </w:tc>
        <w:tc>
          <w:tcPr>
            <w:tcW w:w="2651" w:type="pct"/>
            <w:tcBorders>
              <w:top w:val="single" w:color="000000" w:sz="4" w:space="0"/>
              <w:left w:val="single" w:color="000000" w:sz="4" w:space="0"/>
              <w:bottom w:val="single" w:color="000000" w:sz="4" w:space="0"/>
              <w:right w:val="single" w:color="000000" w:sz="4" w:space="0"/>
            </w:tcBorders>
            <w:shd w:val="clear" w:color="auto" w:fill="D0CECE"/>
            <w:vAlign w:val="center"/>
          </w:tcPr>
          <w:p w14:paraId="41297F7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功能模块说明</w:t>
            </w:r>
          </w:p>
        </w:tc>
        <w:tc>
          <w:tcPr>
            <w:tcW w:w="302" w:type="pct"/>
            <w:tcBorders>
              <w:top w:val="single" w:color="000000" w:sz="4" w:space="0"/>
              <w:left w:val="single" w:color="000000" w:sz="4" w:space="0"/>
              <w:bottom w:val="single" w:color="000000" w:sz="4" w:space="0"/>
              <w:right w:val="single" w:color="000000" w:sz="4" w:space="0"/>
            </w:tcBorders>
            <w:shd w:val="clear" w:color="auto" w:fill="D0CECE"/>
            <w:vAlign w:val="center"/>
          </w:tcPr>
          <w:p w14:paraId="2291E48D">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数量</w:t>
            </w:r>
          </w:p>
        </w:tc>
        <w:tc>
          <w:tcPr>
            <w:tcW w:w="258" w:type="pct"/>
            <w:tcBorders>
              <w:top w:val="single" w:color="000000" w:sz="4" w:space="0"/>
              <w:left w:val="single" w:color="000000" w:sz="4" w:space="0"/>
              <w:bottom w:val="single" w:color="000000" w:sz="4" w:space="0"/>
              <w:right w:val="single" w:color="000000" w:sz="4" w:space="0"/>
            </w:tcBorders>
            <w:shd w:val="clear" w:color="auto" w:fill="D0CECE"/>
            <w:vAlign w:val="center"/>
          </w:tcPr>
          <w:p w14:paraId="52DF8E6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单位</w:t>
            </w:r>
          </w:p>
        </w:tc>
      </w:tr>
      <w:tr w14:paraId="1234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42B15E19">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一、工业互联网支撑平台</w:t>
            </w:r>
          </w:p>
        </w:tc>
      </w:tr>
      <w:tr w14:paraId="6247B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738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875548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大数据平台</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D77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数据主题库</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6453B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搭建包括园区信息主题、企业信息主题等基础主题库，支撑上层业务应用的数据需求；</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032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5D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6BA1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573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FE39D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930F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数据专题库</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3B896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针对园区核心业务场景，构建安全管理专题库、环境管理专题库、应急资源专题库、封闭管理专题库等，满足化工园区业务应用系统以大数据平台作为数据来源的要求。</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ACA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422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F34F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545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77B3D52">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393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数据治理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92E1D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（1）数据标准制定：建立园区数据标准体系，包括数据元标准、代码标准、指标标准等，明确关键数据项（如企业编码、危险源编码、污染物代码）的命名规范、数据类型、取值范围；</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（2）元数据管理：构建元数据管理能力，实现技术元数据（数据库表结构、字段类型）、业务元数据（业务定义、数据来源）的采集、管理；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（3）数据清洗：支持可视化配置数据清洗规则。包括</w:t>
            </w:r>
            <w:r>
              <w:rPr>
                <w:rFonts w:hint="eastAsia" w:ascii="宋体" w:hAnsi="宋体" w:eastAsia="宋体" w:cs="宋体"/>
                <w:b w:val="0"/>
                <w:bCs w:val="0"/>
                <w:i w:val="0"/>
                <w:iCs w:val="0"/>
                <w:color w:val="auto"/>
                <w:kern w:val="0"/>
                <w:sz w:val="20"/>
                <w:szCs w:val="20"/>
                <w:highlight w:val="none"/>
                <w:u w:val="none"/>
                <w:lang w:val="en-US" w:eastAsia="zh-CN" w:bidi="ar"/>
              </w:rPr>
              <w:t>空值处理</w:t>
            </w:r>
            <w:r>
              <w:rPr>
                <w:rFonts w:hint="eastAsia" w:ascii="宋体" w:hAnsi="宋体" w:eastAsia="宋体" w:cs="宋体"/>
                <w:i w:val="0"/>
                <w:iCs w:val="0"/>
                <w:color w:val="auto"/>
                <w:kern w:val="0"/>
                <w:sz w:val="20"/>
                <w:szCs w:val="20"/>
                <w:highlight w:val="none"/>
                <w:u w:val="none"/>
                <w:lang w:val="en-US" w:eastAsia="zh-CN" w:bidi="ar"/>
              </w:rPr>
              <w:t>：填充默认值、填充标记为空、剔除记录；</w:t>
            </w:r>
            <w:r>
              <w:rPr>
                <w:rFonts w:hint="eastAsia" w:ascii="宋体" w:hAnsi="宋体" w:eastAsia="宋体" w:cs="宋体"/>
                <w:b w:val="0"/>
                <w:bCs w:val="0"/>
                <w:i w:val="0"/>
                <w:iCs w:val="0"/>
                <w:color w:val="auto"/>
                <w:kern w:val="0"/>
                <w:sz w:val="20"/>
                <w:szCs w:val="20"/>
                <w:highlight w:val="none"/>
                <w:u w:val="none"/>
                <w:lang w:val="en-US" w:eastAsia="zh-CN" w:bidi="ar"/>
              </w:rPr>
              <w:t>重复数据去重</w:t>
            </w:r>
            <w:r>
              <w:rPr>
                <w:rFonts w:hint="eastAsia" w:ascii="宋体" w:hAnsi="宋体" w:eastAsia="宋体" w:cs="宋体"/>
                <w:i w:val="0"/>
                <w:iCs w:val="0"/>
                <w:color w:val="auto"/>
                <w:kern w:val="0"/>
                <w:sz w:val="20"/>
                <w:szCs w:val="20"/>
                <w:highlight w:val="none"/>
                <w:u w:val="none"/>
                <w:lang w:val="en-US" w:eastAsia="zh-CN" w:bidi="ar"/>
              </w:rPr>
              <w:t>：按主键或指定字段去重，保留最新/首次记录；</w:t>
            </w:r>
            <w:r>
              <w:rPr>
                <w:rFonts w:hint="eastAsia" w:ascii="宋体" w:hAnsi="宋体" w:eastAsia="宋体" w:cs="宋体"/>
                <w:b w:val="0"/>
                <w:bCs w:val="0"/>
                <w:i w:val="0"/>
                <w:iCs w:val="0"/>
                <w:color w:val="auto"/>
                <w:kern w:val="0"/>
                <w:sz w:val="20"/>
                <w:szCs w:val="20"/>
                <w:highlight w:val="none"/>
                <w:u w:val="none"/>
                <w:lang w:val="en-US" w:eastAsia="zh-CN" w:bidi="ar"/>
              </w:rPr>
              <w:t>格式标准化</w:t>
            </w:r>
            <w:r>
              <w:rPr>
                <w:rFonts w:hint="eastAsia" w:ascii="宋体" w:hAnsi="宋体" w:eastAsia="宋体" w:cs="宋体"/>
                <w:i w:val="0"/>
                <w:iCs w:val="0"/>
                <w:color w:val="auto"/>
                <w:kern w:val="0"/>
                <w:sz w:val="20"/>
                <w:szCs w:val="20"/>
                <w:highlight w:val="none"/>
                <w:u w:val="none"/>
                <w:lang w:val="en-US" w:eastAsia="zh-CN" w:bidi="ar"/>
              </w:rPr>
              <w:t>：统一日期格式、单位转换、大小写统一、特殊字符清理；</w:t>
            </w:r>
            <w:r>
              <w:rPr>
                <w:rFonts w:hint="eastAsia" w:ascii="宋体" w:hAnsi="宋体" w:eastAsia="宋体" w:cs="宋体"/>
                <w:b w:val="0"/>
                <w:bCs w:val="0"/>
                <w:i w:val="0"/>
                <w:iCs w:val="0"/>
                <w:color w:val="auto"/>
                <w:kern w:val="0"/>
                <w:sz w:val="20"/>
                <w:szCs w:val="20"/>
                <w:highlight w:val="none"/>
                <w:u w:val="none"/>
                <w:lang w:val="en-US" w:eastAsia="zh-CN" w:bidi="ar"/>
              </w:rPr>
              <w:t>异常值处理</w:t>
            </w:r>
            <w:r>
              <w:rPr>
                <w:rFonts w:hint="eastAsia" w:ascii="宋体" w:hAnsi="宋体" w:eastAsia="宋体" w:cs="宋体"/>
                <w:i w:val="0"/>
                <w:iCs w:val="0"/>
                <w:color w:val="auto"/>
                <w:kern w:val="0"/>
                <w:sz w:val="20"/>
                <w:szCs w:val="20"/>
                <w:highlight w:val="none"/>
                <w:u w:val="none"/>
                <w:lang w:val="en-US" w:eastAsia="zh-CN" w:bidi="ar"/>
              </w:rPr>
              <w:t>：识别并标记超出合理范围的数据，支持人工复核或自动修正；</w:t>
            </w:r>
            <w:r>
              <w:rPr>
                <w:rFonts w:hint="eastAsia" w:ascii="宋体" w:hAnsi="宋体" w:eastAsia="宋体" w:cs="宋体"/>
                <w:b w:val="0"/>
                <w:bCs w:val="0"/>
                <w:i w:val="0"/>
                <w:iCs w:val="0"/>
                <w:color w:val="auto"/>
                <w:kern w:val="0"/>
                <w:sz w:val="20"/>
                <w:szCs w:val="20"/>
                <w:highlight w:val="none"/>
                <w:u w:val="none"/>
                <w:lang w:val="en-US" w:eastAsia="zh-CN" w:bidi="ar"/>
              </w:rPr>
              <w:t>字段拆分与合并</w:t>
            </w:r>
            <w:r>
              <w:rPr>
                <w:rFonts w:hint="eastAsia" w:ascii="宋体" w:hAnsi="宋体" w:eastAsia="宋体" w:cs="宋体"/>
                <w:i w:val="0"/>
                <w:iCs w:val="0"/>
                <w:color w:val="auto"/>
                <w:kern w:val="0"/>
                <w:sz w:val="20"/>
                <w:szCs w:val="20"/>
                <w:highlight w:val="none"/>
                <w:u w:val="none"/>
                <w:lang w:val="en-US" w:eastAsia="zh-CN" w:bidi="ar"/>
              </w:rPr>
              <w:t>：按规则拆分或合并字段等；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（4）数据质量稽核：建立数据质量稽核规则库，对关键数据（如监测数据、报警数据）进行完整性、准确性、及时性、一致性校验，定期生成数据质量报告，支撑数据质量问题追溯与整改。</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F01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15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EEA5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E19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D31130C">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A7E5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数据资产管理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B06E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建立统一的数据资产目录，对数据资源进行分类编目，明确数据资产的责任部门、开放范围、共享方式，为数据共享开放提供基础。</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70E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DE5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91CE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C27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794BBB">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0F7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数据共享与服务</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20927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提供完备的数据共享工具、接口与服务，满足园区各项业务在数据存储、交换与联动管理方面的需求。</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BAC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3A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131D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8C5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6</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B72F57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信息集成平台</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0EE7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接口统一管理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6317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对上层应用及支撑平台对外发布或调用的接口进行统一管理，实现接口注册、管理与监控。</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0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E58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46F0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250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5D6095">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CF3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服务集成与联动</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9C933D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完成园区主要业务系统服务能力的全面集成与联动，提供统一身份认证、监控告警等集成功能。支持与国家、省市、区县、企业系统的联通集成。</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C2B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294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3F6A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A67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8</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01EEE98">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物联网平台</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BCC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设备接入</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AE7CA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提供设备数据直接接入、边缘网关接入、第三方系统接入等多种方式，通过工业传输协议、网络传输协议等标准协议获取园区及企业感知设备数据。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（1）多源接入方式：支持设备数据直接接入（通过MQTT、HTTP等协议）、边缘网关接入（支持Modbus、OPC UA等工业协议）、第三方系统接入（通过API等方式），兼容园区现有及未来新增的各类感知设备；</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（2）协议适配：内置主流物联网协议解析引擎，支持对有毒有害气体传感器、可燃气体探测器、液位计、压力传感器、车辆定位终端等园区常见设备类型的数据解析与标准化处理。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9D2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0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B04F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164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1C3818E">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EF9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设备管理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EDE2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提供物联设备管理，支持设备信息维护、设备状态监控和查询。</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（1）建立统一的物联设备台账，记录设备编码、设备名称、设备类型、厂商、型号、安装位置（含经纬度）、所属园区/企业、采购日期、维保周期等信息，支持设备全生命周期管理；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（2）设备状态监控：实时监控设备在线/离线状态、数据上报频率等指标，支持设备异常状态的监控与提醒。</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75F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6A3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85F2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10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8AC677">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9E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数据采集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42ECC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提供数据采集功能，配置数据采集任务，定时或实时从设备获取数据。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支持按设备、按点位、按时间频率（定时采集、实时采集）灵活配置数据采集任务，满足不同监测场景（如安全监测需高频实时、环保监测可周期采集）对数据采集的要求。</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789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216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E362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587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4C93BB">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556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规则引擎</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BF5B1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提供可视化规则编排界面，可基于设备数据、时间、事件触发规则执行，例如：当某监测点气体浓度超过阈值时，自动生成告警、触发通知流程。</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E3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0EE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8771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A04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43BA9C6">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0043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告警管理</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DD79A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提供告警管理功能，设置报警阈值，实现自动告警，对上报的告警进行分类、分级等管理。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48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1D5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FFD9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3B30B38D">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二、封闭化管理系统升级</w:t>
            </w:r>
          </w:p>
        </w:tc>
      </w:tr>
      <w:tr w14:paraId="78ED5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2AD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092A77">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p>
          <w:p w14:paraId="596A8B1E">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p>
          <w:p w14:paraId="21716647">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p>
          <w:p w14:paraId="7696DCA3">
            <w:pPr>
              <w:keepNext w:val="0"/>
              <w:keepLines w:val="0"/>
              <w:widowControl/>
              <w:suppressLineNumbers w:val="0"/>
              <w:jc w:val="center"/>
              <w:textAlignment w:val="center"/>
              <w:rPr>
                <w:rFonts w:hint="eastAsia" w:ascii="宋体" w:hAnsi="宋体" w:eastAsia="宋体" w:cs="宋体"/>
                <w:b/>
                <w:bCs/>
                <w:i w:val="0"/>
                <w:iCs w:val="0"/>
                <w:color w:val="auto"/>
                <w:kern w:val="0"/>
                <w:sz w:val="20"/>
                <w:szCs w:val="20"/>
                <w:highlight w:val="none"/>
                <w:u w:val="none"/>
                <w:lang w:val="en-US" w:eastAsia="zh-CN" w:bidi="ar"/>
              </w:rPr>
            </w:pPr>
          </w:p>
          <w:p w14:paraId="4454E4F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省危货监管平台对接</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C99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园区基础信息上报</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F82B9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园区四至范围电子围栏区域及卡口点位经纬度、卡口视频监控上报省危货监管平台。</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38A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58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1B91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BB6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DEC41">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AED9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电子运单、车辆安全码数据同步</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444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与省危货监管平台对接，定期拉取同步来园装卸的电子运单数据、车辆安全码（红码、绿码、灰码、黄码）数据。</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BE3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71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EBC2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21D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FDE7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B5F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园区卡口通行核验</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BD089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根据车辆运单数据和车辆码数据，在园区卡口车辆通行核验逻辑基础上，增加通行规则核验，即需在省危货监管平台下达有效电子运单、车辆有效安全码（绿码、黄码）时方可进入园区进行装卸作业。</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2AA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64A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9903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A2BF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5C5A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D6F6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卡口通行数据上报</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4B2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与省危货监管平台对接，实时上报园区卡口车辆通行数据，上报信息包含车牌号、车牌颜色、通行时间、通行类型、通行抓拍照片等数据。</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419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2C3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2C51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46EAB">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17</w:t>
            </w:r>
          </w:p>
        </w:tc>
        <w:tc>
          <w:tcPr>
            <w:tcW w:w="651" w:type="pct"/>
            <w:vMerge w:val="restart"/>
            <w:tcBorders>
              <w:top w:val="single" w:color="000000" w:sz="4" w:space="0"/>
              <w:left w:val="single" w:color="000000" w:sz="4" w:space="0"/>
              <w:right w:val="single" w:color="000000" w:sz="4" w:space="0"/>
            </w:tcBorders>
            <w:shd w:val="clear" w:color="auto" w:fill="auto"/>
            <w:vAlign w:val="center"/>
          </w:tcPr>
          <w:p w14:paraId="00079D69">
            <w:pPr>
              <w:jc w:val="center"/>
              <w:rPr>
                <w:rFonts w:hint="eastAsia" w:ascii="宋体" w:hAnsi="宋体" w:eastAsia="宋体" w:cs="宋体"/>
                <w:b/>
                <w:bCs/>
                <w:i w:val="0"/>
                <w:iCs w:val="0"/>
                <w:color w:val="auto"/>
                <w:sz w:val="20"/>
                <w:szCs w:val="20"/>
                <w:highlight w:val="none"/>
                <w:u w:val="none"/>
                <w:lang w:val="en-US" w:eastAsia="zh-CN"/>
              </w:rPr>
            </w:pPr>
            <w:r>
              <w:rPr>
                <w:rFonts w:hint="eastAsia" w:ascii="宋体" w:hAnsi="宋体" w:eastAsia="宋体" w:cs="宋体"/>
                <w:b/>
                <w:bCs/>
                <w:i w:val="0"/>
                <w:iCs w:val="0"/>
                <w:color w:val="auto"/>
                <w:sz w:val="20"/>
                <w:szCs w:val="20"/>
                <w:highlight w:val="none"/>
                <w:u w:val="none"/>
                <w:lang w:val="en-US" w:eastAsia="zh-CN"/>
              </w:rPr>
              <w:t>封闭化管理系统升级</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EA4B7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系统架构升级整合</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9D46CA">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对园区卡口管理系统、调度管理系统、道路管控系统及危化品道路运输管理系统进行整合，构建统一的园区封闭化管理系统。</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5042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D3A80">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项</w:t>
            </w:r>
          </w:p>
        </w:tc>
      </w:tr>
      <w:tr w14:paraId="6978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49A3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18</w:t>
            </w:r>
          </w:p>
        </w:tc>
        <w:tc>
          <w:tcPr>
            <w:tcW w:w="651" w:type="pct"/>
            <w:vMerge w:val="continue"/>
            <w:tcBorders>
              <w:left w:val="single" w:color="000000" w:sz="4" w:space="0"/>
              <w:right w:val="single" w:color="000000" w:sz="4" w:space="0"/>
            </w:tcBorders>
            <w:shd w:val="clear" w:color="auto" w:fill="auto"/>
            <w:vAlign w:val="center"/>
          </w:tcPr>
          <w:p w14:paraId="5EAC5E57">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A64055">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人员分布管理</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6DDA5">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增设人员分布管理模块，支持接入园区内企业人员分布信息，结合卡口系统数据实时展示人员动态分布，并具备人员实时位置查询与历史轨迹回溯功能。</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3ED4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F9E3">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项</w:t>
            </w:r>
          </w:p>
        </w:tc>
      </w:tr>
      <w:tr w14:paraId="681E6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54968">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19</w:t>
            </w:r>
          </w:p>
        </w:tc>
        <w:tc>
          <w:tcPr>
            <w:tcW w:w="651" w:type="pct"/>
            <w:vMerge w:val="continue"/>
            <w:tcBorders>
              <w:left w:val="single" w:color="000000" w:sz="4" w:space="0"/>
              <w:bottom w:val="single" w:color="000000" w:sz="4" w:space="0"/>
              <w:right w:val="single" w:color="000000" w:sz="4" w:space="0"/>
            </w:tcBorders>
            <w:shd w:val="clear" w:color="auto" w:fill="auto"/>
            <w:vAlign w:val="center"/>
          </w:tcPr>
          <w:p w14:paraId="20A3A277">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A844D">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辅助决策分析</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CE7BF">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新增辅助决策分析模块，汇聚卡口核验、人员定位、危化品运输车辆定位、道路风险、监测预警、电子巡查等多维数据，通过数据分析评估园区运行成效，定期生成园区封闭管理运行成效评估报告。</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33BC1">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7E63F">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项</w:t>
            </w:r>
          </w:p>
        </w:tc>
      </w:tr>
      <w:tr w14:paraId="1006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304C4AC7">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三、应急管理系统</w:t>
            </w:r>
          </w:p>
        </w:tc>
      </w:tr>
      <w:tr w14:paraId="796B2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03D8EB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20</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F3A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园区环境应急管理</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946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环境敏感目标</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E1CD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系统提供敏感目标功能，能够查看和维护园区敏感目标信息，支持相关附件的上传及下载，支持按照不同条件进行检索查询。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135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9AC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7ECE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787EE2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59D6">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D668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环境应急演练</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6328F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系统提供环境应急演练功能，能够查看和维护园区应急演练信息，记录园区环境风险应急演练情况，支持相关附件的上传及下载，支持按照不同条件进行检索查询。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5A8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E6A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56EE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C9313E9">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52230">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4D2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环境应急案例</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95D11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系统提供环境应急案例功能，能够查看和维护园区应急案例信息，记录园区建设竣工以来的突发环境事件应急处置案例信息，支持相关附件的上传及下载，支持按照不同条件进行检索查询。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36F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7D1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7A586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5D3618">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23</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A0541">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CFD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环境隐患排查</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F143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系统提供环境风险隐患排查管理功能，能够记录和查看隐患内容、隐患级别、排查时间、排查人员、备注信息、图片信息、整改状态、整改完成时间、整改情况说明信息。能够按照不同条件进行检索查询。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D18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3C9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46D0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1850639">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24</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2BBA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重污染天气应急管理</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CC5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应急企业名录</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ACC4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管理园区应急企业名录库并实现动态更新。</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C18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FC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37D3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FB1351">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18429">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F117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应急事件启动</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F5C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管理部门启动应急通知，基于园区统一的通知服务一键通知关联企业。</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5C5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522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596F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2242006">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0EB0D">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7885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企业落实反馈</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C7E8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企业接收到应急通知后，系统接收企业反馈，企业通过平台上传应对措施落实情况等功能。</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8A6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ADE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AB46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DFAA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455E5">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066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企业催办跟踪</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E4576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对于未响应或未及时响应、应对及落实措施不到位的企业进行催办通知和跟踪管理。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4A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96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6291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BD37C">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28</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BCB9A2">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3D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应急事件关闭</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F3F3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应急事件结束后，更新应急状态，记录相关信息，形成应急事件过程报告。</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2F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CF4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4265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6A216">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29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192F3">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BF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应急响应过程</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A20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实现重污染天气应急响应过程的记录和统计功能，包括重污染天气应急管理通知、管控周期、企业落实应急管控采取的措施、未响应或未及时响应的处理结果等。</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785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151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3AFF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5AFD3011">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四、环境管理系统</w:t>
            </w:r>
          </w:p>
        </w:tc>
      </w:tr>
      <w:tr w14:paraId="14D08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632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30</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3F301">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生态环境管理驾驶舱</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（完善升级）</w:t>
            </w: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21D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园区环境概况与统计</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12F3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系统提供环境概况功能，能够查看园区空气质量、园区水质类别、园区简介及视频介绍等信息；系统提供环境统计功能，基于三维场景直观展示园区工业产值、碳排放统计、排水量、排气量汇总数据。</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CBD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EB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B4D8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00F1">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D528B">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47D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环境一张图升级</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9F34E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系一张图：提供水系一张图功能，基于三维场景直观展示园区水系情况，查看水系信息；生态管控区一张图：系统提供生态管控区一张图功能，能够基于三维场景查看生态管控区名称、面积、主导生态功能；环境敏感点一张图：系统提供生环境敏感点一张图功能，能够基于三维场景查看环境敏感点名称、联系人、相对园区边界方位、距离、环境要素。处置利用中心一张图：系统提供处置利用中心一张图功能，能够基于三维场景查看名称、许可证编号、地址、有效期、核准内容。水系图空间数据处理：通过QGIS技术，对园区内水系图的地理位置信息进行空间数据处理，实现水系图地理位置信息的可视化。污水处理厂专题：提供污水处理厂专题，标识污水处理厂地址位置，查看污水厂信息。</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82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D2C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9748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A91B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804446">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C6A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风险源专题</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5E63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系统提供风险源专题功能，采用颜色风险分级对风险源进行标注展示，支持企业环境风险信息查看，能够查看企业名称、镇（区）、统一社会信用代码、行业类别、风险登记、备案编号、报送单位、备案时间。</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74F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CB5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F86C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39AF6">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33</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89A628">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环境质量管理-企业档案</w:t>
            </w:r>
            <w:r>
              <w:rPr>
                <w:rFonts w:hint="eastAsia" w:ascii="宋体" w:hAnsi="宋体" w:eastAsia="宋体" w:cs="宋体"/>
                <w:b/>
                <w:bCs/>
                <w:i w:val="0"/>
                <w:iCs w:val="0"/>
                <w:color w:val="auto"/>
                <w:kern w:val="0"/>
                <w:sz w:val="20"/>
                <w:szCs w:val="20"/>
                <w:highlight w:val="none"/>
                <w:u w:val="none"/>
                <w:lang w:val="en-US" w:eastAsia="zh-CN" w:bidi="ar"/>
              </w:rPr>
              <w:br w:type="textWrapping"/>
            </w:r>
            <w:r>
              <w:rPr>
                <w:rFonts w:hint="eastAsia" w:ascii="宋体" w:hAnsi="宋体" w:eastAsia="宋体" w:cs="宋体"/>
                <w:b/>
                <w:bCs/>
                <w:i w:val="0"/>
                <w:iCs w:val="0"/>
                <w:color w:val="auto"/>
                <w:kern w:val="0"/>
                <w:sz w:val="20"/>
                <w:szCs w:val="20"/>
                <w:highlight w:val="none"/>
                <w:u w:val="none"/>
                <w:lang w:val="en-US" w:eastAsia="zh-CN" w:bidi="ar"/>
              </w:rPr>
              <w:t>（完善升级）</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76F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档案统计</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5E266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汇总统计园区企业数量、各类型企业数量，使用图表方式展示汇总统计指标，支持企业统计数据下钻操作，点击行业类型查看该类型对应的企业档案信息。支持按照企业名称、行业类型、所属区域、注册类型多维度条件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11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DB0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D292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31A3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91A4BD">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2EA2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综合看板</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493A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综合看板功能，能够查看企业的整体信息，包括基本信息、建设项目及环境影响评价信息、排污许可证、废水处理设施信息、废气处理设施信息、废水和废气在线监测集中图表查看、废水和废气排污总量数据查看及按月图标分析、报警记录查看。</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BF6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53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B3C1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1"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2B5E">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35</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32AEB">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环境质量管理-手工监测</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B185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监测概况</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31C8A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在现有环境质量在线监测管理功能基础上，新增手工监测数据管理功能。根据工业园区大气环境、地表水环境和噪声环境监测管理要求和实施开展情况，对有历史监测记录以来的大气环境、地表水环境和噪声环境手工监测点位、频次、监测时间、监测数据等进行统计汇总，列示监测因子应执行的标准名称、标准编号和浓度限值，具备对既往监测数据进行趋势分析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监测概况：列示最新大气环境、地表水环境、噪声环境手工监测点位、频次、监测时间、监测数据、标准名称、标准编号和浓度限值，支持选中污染物的各点位监测数据对比功能。</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FC3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0A5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65F4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0915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D3A6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7A00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数据管理与查询分析</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2B66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点位监测数据录入功能，支持批量导入监测数据、导入模板下载、新增监测因子、新增监测点位功能，支持手工监测报告上传和查看功能。数据查询：支持大气环境、地表水、噪声环境手工监测历史数据查询功能。比对分析：支持按照年度对手工监测污染物数据进行对比分析，支持按照监测因子、时间范围维度分析。</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4C4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B70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9C9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1473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F2EFDC">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290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超标报警</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53C4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支持超标监测数据查询，列示监测点位、超标时间、超标因子、超标描述、执行的标准名称、标准编号信息。</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AA8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05F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217C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9812F">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38</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295D9">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EDE7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监测设置</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7DE3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超标设置：支持对监测因子的超标限值进行管理；点位设置：支持对大气、噪声、地表水周期监测点位信息的管理。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52C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9DD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A36B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9D76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39</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193BF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环境质量管理-水文监测数据</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868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水文数据集成</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062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系统集成水文数据，包括现有地表水子站的水文气象数据、水利部门的水文数据（需管理部门协调大数据局，提高性要求）。</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2F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41B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31BE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17B6">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9E926">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C88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水文实时数据</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7B19E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系统展示实时的气象监测数据，包括但不限于流速、流量、水温等。</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099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F1B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6D45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9146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56C526">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8ED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水文数据查询</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CA1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系统提供气象历史数据查询功能，包括但不限于流速、流量、水温等，支持按照点位和时间维度查询。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C16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C6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0104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4DF74">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42027">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80C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水文数据统计与分析</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B7A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水文数据统计功能，支持按照日月年对数据进行统计，汇总分析均值、最大值、最小值等统计指标；系统提供水利数据趋势分析功能，支持按照时间维度展示数据，使用图表方式直观展示数据，提供水位变化曲线、水文分布曲线趋势分析。</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F3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5A4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CB58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8E24F">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43</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02870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污染源监督管理-总量管理</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67BF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废水、废气总量核算</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D59C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系统对接数字底座废水、废气排放数据，提供园区废水、废气总量核算功能，计算园区和企业废水废气、排放日总量、月总量、年总量核算数据。</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D72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61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233A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73114">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0706F">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A539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废水、废气总量报表</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BCAAE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系统按照业务管理要求和格式汇总总量统计数据，生成废水、废气总量日报、月报、年报报表，提供用户报表查询功能，支持按照企业、时间范围维护查询。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467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8D7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1CAB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A81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796D2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995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废水、废气排放进度</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8AED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系统提供园区废水、废气污染物的实际排放总量和实际排放比例的展示与统计功能，及时掌握园区各管控污染物的剩余排放总量情况。</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E9E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CA1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9B5E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BFF44">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902C0">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0BD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废水、废气总量超标</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6431C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系统汇总企业废水、废气总量超标数据，支持按照企业和时间段查询及导出。</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DA6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478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A895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5D4E">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EDA5D">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223E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一张图展示</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740C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基于地理信息系统（GIS），实时展现污染物总量核算和超标情况，展现各类在线监测设备和污染源监控设备的地理分布，点击地图上的点位可以进入设施信息页面，查看设施基本信息、监测信息、告警信息、运行维护信息等。</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238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0A1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5F6E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17978">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48</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D196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污染源监督管理-工况监控</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7391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数据集成与存储</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063BE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对接外部系统工况监控数据，包括栅格、事故池、均质池、空浮风机、生化池、二层池、污泥浓缩池、中间泵站、气浮池、臭氧催化氧化池、加药装置、缺氧池、厌氧池、好氧池、曝气池、中间泵房、供水泵房等工艺段，监控指标包括进水口流量、出水口流量、污水提升泵、鼓风机、鼓风量、生化池污泥浓度、生化池溶解氧浓度、阀门状态、曝气设备、厌氧池溶解氧浓度、缺氧池溶解氧浓度、好氧池溶解氧浓度、污泥回流泵、提升泵池液位、供气量状态、搅拌器状态、DO、ORP、风量、温度、湿度、污泥浓度仪等，具体以污水集中处理设施企业提供的数据接口指标为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B22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8C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8602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9328">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49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2A890">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4EC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实时工况与运行状态</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EE9F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按照不同种类的工艺段直观展示污水厂工况监测数据；按照不同种类的工艺段直观展示污水厂工况运行状态。</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277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DDD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3F47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240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55BF4">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56F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工况报警与推送</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2ED3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按照不同种类的工艺段直观展示污水厂工况报警状态；当工况监控数据超出了预先设定的报警阈值或设备运行状态出现偏离时，应发出预警信息，并推送至企业环保负责人和工业园区生态环境管理部门。</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5A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FBA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DCD6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E1FEF">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51</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AC7377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环保移动应用</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C88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环境概况</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705762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环保移动应用入口页面，集中展示园区整体水气环境质量现状及污染源企业汇总情况，并对园区各类监控报警预警进行提醒，分类显示报警预警处理情况，为用户提供园区环境态势的整体概览。</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A7A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463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A134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2E35C">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805B191">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C840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环境质量监控</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7418A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20"/>
                <w:rFonts w:ascii="宋体" w:hAnsi="宋体" w:eastAsia="宋体" w:cs="宋体"/>
                <w:color w:val="auto"/>
                <w:highlight w:val="none"/>
                <w:lang w:val="en-US" w:eastAsia="zh-CN" w:bidi="ar"/>
              </w:rPr>
              <w:t>涵盖地表水、大气、噪声三大环境要素的实时监控与报警管理。用户可按站点与时间段查询各监测因子实时数据，超标数据以明显颜色标识；支持查看水质、空气质量及噪声分贝的历史变化趋势图，默认提供近</w:t>
            </w:r>
            <w:r>
              <w:rPr>
                <w:rStyle w:val="21"/>
                <w:rFonts w:ascii="宋体" w:hAnsi="宋体" w:eastAsia="宋体" w:cs="宋体"/>
                <w:color w:val="auto"/>
                <w:highlight w:val="none"/>
                <w:lang w:val="en-US" w:eastAsia="zh-CN" w:bidi="ar"/>
              </w:rPr>
              <w:t>24小时、近7天、近30天时段，并可自定义时间段与切换表格或图形展示。报警功能实时显示现场监测数据报警，区分超标报警与故障报警，记录报警时间、类型、级别、内容等信息，并支持历史记录查询。</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D51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974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42C4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9961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53</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0AB9A6F">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3E1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污染源监控</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0A05AF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针对废水和烟气污染源，提供实时监测数据展示与超标预警闭环管理。系统可展示各排口的最新状态、实时监测数据及报警状态，并支持查看当年、当月、当日排放量统计。超标预警功能支持按多种检索条件筛选报警事件，查看详情并进行跟踪处理，形成闭环管理；同时支持历史数据的列表与曲线切换展示，便于直观分析监测因子的变化趋势。</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22C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909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2B50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FE07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54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6DFB80">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B88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环保管理档案</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99D74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集成企业信息、排口信息、排污许可证及环境应急预案等档案资料的关联查询与管理。企业信息包含名称、负责人、联系方式、地址、行业类型、污染源类型等基础数据；排口信息涵盖废水、烟气、噪声、土壤及地下水监测点的清单与详情；排污许可证支持基本信息与附件存档；环境应急预案则记录风险等级、备案情况等基本信息及预案报告、专家评审意见等附件，实现环保档案的集中化、规范化管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BB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1DF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2EC2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42C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55</w:t>
            </w:r>
          </w:p>
        </w:tc>
        <w:tc>
          <w:tcPr>
            <w:tcW w:w="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10E49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环保数据上报</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2BE3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环保数据上报</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B831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Style w:val="21"/>
                <w:rFonts w:ascii="宋体" w:hAnsi="宋体" w:eastAsia="宋体" w:cs="宋体"/>
                <w:color w:val="auto"/>
                <w:highlight w:val="none"/>
                <w:lang w:val="en-US" w:eastAsia="zh-CN" w:bidi="ar"/>
              </w:rPr>
              <w:t>按照《江苏省化工园区认定工作标准</w:t>
            </w:r>
            <w:r>
              <w:rPr>
                <w:rStyle w:val="20"/>
                <w:rFonts w:ascii="宋体" w:hAnsi="宋体" w:eastAsia="宋体" w:cs="宋体"/>
                <w:color w:val="auto"/>
                <w:highlight w:val="none"/>
                <w:lang w:val="en-US" w:eastAsia="zh-CN" w:bidi="ar"/>
              </w:rPr>
              <w:t>(2025版)》通知要求，园区应当建立完善的环境风险监控监管体系，按照《工业园区生态环境管理信息系统建设指南》(DB32/T4709-2024)I类工业园区要求，建设规范化的园区生态环境一园一档系统，系统中各类监测监控、环境管理数据应动态更新，并与省生态环境智慧监管平台实时共享，保证上传数据完整率95%以上。上传数据包括污染源企业一企一档信息、大气环境监测数据、地表水环境监测数据、地下水环境监测数据、土壤环境监测数据、声环境监测数据、水气污染源监测数据、LDAR监测数据、固体废物管理数据等，具体以省厅下发的数据上报接口文档为准。</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1B2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51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ADC9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65BA8EE3">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五、综合管理系统</w:t>
            </w:r>
          </w:p>
        </w:tc>
      </w:tr>
      <w:tr w14:paraId="2003B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7CD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56</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7F87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运营运维管理</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2C07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运营管理</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537D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营管理包含运营机制（运营组织机构、工作机制、规章制度等）、运营方案和计划（年度工作方案、年度推进计划）等、运营内容（值班记录、接待记录、运营报告等），实现运营过程的规范化、可追溯与高效协同。</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22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828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6FB8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1D2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3F5C23">
            <w:pPr>
              <w:jc w:val="center"/>
              <w:rPr>
                <w:rFonts w:hint="eastAsia" w:ascii="宋体" w:hAnsi="宋体" w:eastAsia="宋体" w:cs="宋体"/>
                <w:b/>
                <w:bCs/>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2063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运维管理</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3E61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维管理包含运维机制（运维组织机构、工作协同机制、规章制度）、运维内容（备品备件及使用记录、运维记录、运维报告等）、运维考核（运维评价记录等），保障系统稳定运行与持续优化，提升运维效率与服务质量。</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6C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465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51B1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2"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4C19D5A6">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六、三级等保测评</w:t>
            </w:r>
          </w:p>
        </w:tc>
      </w:tr>
      <w:tr w14:paraId="3F24B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06A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58</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4BBBB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三级等保测评</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F19E5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提供2026年度《江苏连云港化工产业园区智慧园区平台》信息系统等级保护测评报告（三级）测评服务。</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AB8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B5E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年</w:t>
            </w:r>
          </w:p>
        </w:tc>
      </w:tr>
      <w:tr w14:paraId="62769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0"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027CEABA">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七、公共管廊视频监控</w:t>
            </w:r>
          </w:p>
        </w:tc>
      </w:tr>
      <w:tr w14:paraId="6FD0A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1922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59</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FD0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公共管廊配套设备</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3A33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智能球型摄像机（激光补光球）</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C311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支持三种智能资源切换： Smart事件(默认)、全结构化，混合比对</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全结构化：支持细节路混合目标检测，对检测区域内的人、非机动车、车进行同时抓拍上传，人脸人体关联输出，并实现对人脸、人体、车辆结构化属性特征信息</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Smart事件：越界侦测,区域入侵侦测,进入/离开区域侦测等智能侦测功能，支持基于事件触发联动球机进行跟踪</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混合比对：支持人脸、人体混合检测和人脸比对功能，对检测区域内的人脸、人体进行同时抓拍上传，支持人脸、人体结构化属性特征信息提取；前端存储15万张人脸图片进行建模后，对场景中抓拍的人脸进行比对并输出结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支持40倍光学变倍，16倍数字变倍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支持最大2688x1520@60fps高清画面输出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采用光学透雾技术，极大提升透雾效果</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支持GB35114A级安全加密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具有AI-ISP图像质量提升功能，在低照度环境下，可自动调节预览场景视频画面中人脸、人体、车辆等目标及预览场景视频画面的区域曝光、亮度、色彩饱和度、对比度、锐度等（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▲设备具有 VR 全景拼接功能，拼接图像具有柱状全景图和鱼眼全景图 2 种模式，生成的柱状全景图分辨率为 8192×2440，鱼眼全景图分辨率为3450×3450（提供公安部检验报告复印件并加盖投标人商公章）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▲设备具有 VR 展示功能，可在客户端软件展示实时视频和生成的全景图；全景图可与实时视频联动，可通过点击全景图使实时视频画面转动至点击位置（提供公安部检验报告复印件并加盖投标人公章）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▲设备可通过平台叠加属性信息 (人员属性、车辆属性、报警事件、设备属性等) 至全景图中，并可进行场景漫游、标记标绘、视频投影及视图联动（提供公安部检验报告复印件并加盖制造厂商公章）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▲设备可对监视画面中不小于30个人脸进行检测、跟踪和抓拍（提供公安部检验报告复印件并加盖投标人公章）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传感器类型：1/1.8" Progressive Scan CMOS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最低照度：彩色：0.0005 Lux @ （F1.2，AGC ON）；黑白：0.0001 Lux @（F1.2，AGC ON）；0 Lux with IR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焦距：6-240mm，40倍光学变倍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视场角：59.0°-2.0° （广角~望远）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补光灯类型：激光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补光灯距离：激光照射距离：最远可达500 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防补光过曝：支持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水平范围：360°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垂直范围：-20°-90°(自动翻转)</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水平速度：水平键控速度：0.1°-210°/s,速度可设;水平预置点速度：280°/s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垂直速度：垂直键控速度：0.1°-150°/s,速度可设;垂直预置点速度：250°/s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宽动态：120 dB超宽动态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网络接口：RJ45网口;自适应10M/100M网络数据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SD卡扩展：内置Micro SD/Micro SDHC/Micro SDXC 插槽，最大支持1 TB</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报警：7路报警输入，2路报警输出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音频：1路音频输入，音频峰值：2-2.4V[p-p]，输入阻抗：1 kΩ±10%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1路音频输出，线性电平，阻抗：600 Ω</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电源：供电方式：DC36V，1.67A</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最大功耗：40 W（其中加热最大功耗5W，红外灯最大功耗15 W）</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工作温湿度：-40℃-70℃；湿度小于95%</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尺寸：Φ266×410mm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重量：8Kg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防护：IP67; 6000V 防雷、防浪涌、防突波，符合GB/T17626.2/3/4/5/6四级标准 </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D7BE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5236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14:paraId="1B510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A039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60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9C8C5">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FFE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智能球型摄像机（高空鹰眼）</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585C4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全景智能：Smart事件、人员密度、车辆拥堵；细节智能：全结构化、Smart事件；</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【全景】支持区域入侵侦测、越界侦测、进入区域、离开区域事件侦测功能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【全景】支持人员密度检测功能，检测覆盖范围半径100米</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【全景】支持车辆拥堵检测功能，检测覆盖范围半径150米，推荐：在封闭式道路中可以做拥堵事件检测，推荐在高速、环线、快速路或者主干线</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【细节】支持区域入侵侦测、越界侦测、进入区域、离开区域事件侦测功能</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【细节】支持全结构化：支持细节路混合目标检测，对检测区域内的人、非机动车、车进行同时抓拍上传，人脸人体关联输出，并实现对人脸、人体、车辆结构化属性特征信息提取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支持GB35114A级安全加密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支持北斗卫星定位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支持光学透雾</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▲设备在全景拼接模式下，垂直视场角不小于110°，水平视场角不小于270°。可将6个全景视频图像进行拼接，实现不小于270°拼接画面显示，并抓拍拼接后的图片（提供公安部检验报告复印件并加盖投标人公章）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▲设备内置2个雨刷器，雨刷器1可清洁全景通道镜头表面玻璃，雨刷器2可清洁细节通道镜头表面玻璃（提供公安部检验报告复印件并加盖投标人公章）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▲可通过客户端软件对全景摄像机进行一键自动标定，实现全景摄像机与细节摄像机之间检测区域的定位（提供公安部检验报告复印件并加盖投标人公章）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▲设备水平安装在8m高度时，可通过全景通道监控设备正下方8m且水平距离0.5m处的行人目标（提供公安部检验报告复印件并加盖投标人公章）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设备具有AI-ISP图像质量提升功能，在低照度环境下，可自动调节预览场景视频画面中人脸、人体、车辆等目标及预览场景视频画面的区域曝光、亮度、色彩饱和度、对比度、锐度等（提供公安部检验报告复印件并加盖投标人公章）</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全景摄像机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6个1/1.8＂ 4MP Progressive Scan CMOS，最高分辨率及帧率可达8160x2400@30 fps，9024x2656@12.5 fps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视场角：水平270°，垂直110°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细节摄像机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1/1.8＂ 4MP Progressive Scan CMOS，最高分辨率及帧率可达2688x1520@30fps</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40倍光学变倍，16倍数字变倍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焦距：【全景】2 mm；【细节】6~240 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视场角：水平视场角 56.6-1.8度(广角-望远)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垂直视场角 33.7-1.0度(广角-望远)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对角线视场角 63.4-2.0度(广角-望远)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红外照射距离：300m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防补光过曝：支持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水平范围：360°</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垂直范围：-15°-90°(自动翻转)</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水平速度：水平键控速度：0.1°-500°/s,速度可设;水平预置点速度：500°/s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垂直速度：垂直键控速度：0.1°-350°/s,速度可设;垂直预置点速度：350°/s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网络接口：RJ45网口;自适应10M/100M/1000M网络数据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光纤接口：FC接口;内置光纤模块;波长TX1310/RX1550nm;20km传输距离;单模单纤;1000M网络数据</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SD卡扩展：内置Micro SD卡插槽，支持Micro SD/Micro SDHC/Micro SDXC卡（最大支持512G）</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报警：7路报警输入，2路报警输出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音频：1路音频输入，1路音频输出</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尺寸：Φ427.6x425.9mm</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重量：净重 14.6kg </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 xml:space="preserve">防护：IP67; 6000V 防雷、防浪涌、防突波，符合GB/T17626.2/3/4/5/6四级标准 </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EEB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B7B7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台</w:t>
            </w:r>
          </w:p>
        </w:tc>
      </w:tr>
      <w:tr w14:paraId="378A9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B82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61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AAE703">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687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15米监控立杆</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B25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沿海地区海风潮湿，空气湿度大，含盐量高，容易生锈、腐蚀，又是化工园区，金属材料更易腐蚀，因此杆件材质必须使用高标准钢管，热镀锌工艺，并进行防腐防锈喷涂。规格为八角杆：竖杆直径180-240MM，壁厚为：6MM，高度为：15米.法兰：650-20MM  地笼规格为：500-4MM 螺杆：8根M24下料1.28米</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236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42F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r>
      <w:tr w14:paraId="22491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5FA19">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238BA">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A12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20米监控杆件</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1B3BD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沿海地区海风潮湿，空气湿度大，含盐量高，容易生锈、腐蚀，又是化工园区，金属材料更易腐蚀，因此杆件材质必须使用高标准钢管，热镀锌工艺，并进行防腐防锈喷涂。规格为八角杆：竖杆直径180-320MM，壁厚为：6MM，高度为：20米.法兰：650-20MM  地笼规格为：650-4MM 螺杆：8根M30下料1.5米</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82E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500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根</w:t>
            </w:r>
          </w:p>
        </w:tc>
      </w:tr>
      <w:tr w14:paraId="0E3C4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9438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63</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47BB7">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961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设备箱</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CA5E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同上考虑防锈、防腐，定制国标304不锈钢设备箱，考虑光缆入箱，设备较多，定制400*500*200规格设备箱，以保证设备有序安装，且散热通风良好。含背板，固定支架等  规格为304不锈钢：40CM宽*50CM高*20CM深 壁厚为：1.0MM</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F016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3DE6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7C2C4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706EF9">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34F80">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072E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设备箱防雷、杆件接地、空开、接地钢材等配套，</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47561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包含 ：空开：2P、插排：公牛5插、防雷器、接地：16*1500接地针，接地线：6平方黄绿线</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246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8E0D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套</w:t>
            </w:r>
          </w:p>
        </w:tc>
      </w:tr>
      <w:tr w14:paraId="47078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4128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79F70">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D8D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激光补光球杆件基础</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C6BA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挖坑尺寸为：150CM*150CM*180CM、使用C25混凝土浇筑，一个基坑需要4.05方混凝土。另包含：回填、土壤及垃圾清理、绿化恢复。</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0C7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C87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7A1B5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C33386">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A684A">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06A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高空鹰眼杆件基础</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5076B">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挖坑尺寸为：180CM*180CM*200CM、使用C25混凝土浇筑，一个基坑需要6.48方混凝土。另包含：回填、土壤及垃圾清理、绿化恢复。</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F90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E761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个</w:t>
            </w:r>
          </w:p>
        </w:tc>
      </w:tr>
      <w:tr w14:paraId="497FB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3D94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43612">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CBF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网线</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388B2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六类非屏蔽双绞线</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89BD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34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r>
      <w:tr w14:paraId="7FC01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24098C">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68</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5EE30">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CAE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RVV电源线</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D665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2*2.5</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D9AC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500</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048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r>
      <w:tr w14:paraId="3B70A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1BAA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69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099CD">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A92B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PE管</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29631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32#</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A36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0213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r>
      <w:tr w14:paraId="721CC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7C14D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C6A13">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F18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管道开挖</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3C6C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浅挖20公分</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DDA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D66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r>
      <w:tr w14:paraId="291DE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8A658">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6CFD1">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AD74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PE管铺设及回填</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3436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1237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400</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8C6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米</w:t>
            </w:r>
          </w:p>
        </w:tc>
      </w:tr>
      <w:tr w14:paraId="10545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3C20C">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5DDE1B">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C07B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管廊监控对接服务</w:t>
            </w:r>
          </w:p>
        </w:tc>
        <w:tc>
          <w:tcPr>
            <w:tcW w:w="265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BA132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管廊视频监控接入智慧园区管理平台，以单独模块呈现，便于园区管理人员调阅。</w:t>
            </w:r>
          </w:p>
        </w:tc>
        <w:tc>
          <w:tcPr>
            <w:tcW w:w="3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2CBD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E11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8F5E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52272242">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八、软硬件维保服务</w:t>
            </w:r>
          </w:p>
        </w:tc>
      </w:tr>
      <w:tr w14:paraId="13F9D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46219">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73</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E86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智慧平台基础运维服务</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E62951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园区门户网站</w:t>
            </w:r>
          </w:p>
        </w:tc>
        <w:tc>
          <w:tcPr>
            <w:tcW w:w="2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C9FDE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1.1.7×24小时咨询服务（专人+服务电话）；</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2.日常平台系统故障处理、异常数据修复、性能优化；</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3.智慧园区平台每周后台服务巡检、每周功能/数据巡检、定期安全漏洞修复；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4.定期巡检报告提交、月度运维总结报告。</w:t>
            </w:r>
            <w:r>
              <w:rPr>
                <w:rFonts w:hint="eastAsia" w:ascii="宋体" w:hAnsi="宋体" w:eastAsia="宋体" w:cs="宋体"/>
                <w:i w:val="0"/>
                <w:iCs w:val="0"/>
                <w:color w:val="auto"/>
                <w:kern w:val="0"/>
                <w:sz w:val="20"/>
                <w:szCs w:val="20"/>
                <w:highlight w:val="none"/>
                <w:u w:val="none"/>
                <w:lang w:val="en-US" w:eastAsia="zh-CN" w:bidi="ar"/>
              </w:rPr>
              <w:br w:type="textWrapping"/>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542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07A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D68A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A9C4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74</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E4DB5">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E78B7B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运营支撑平台</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D5171">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36D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C03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7F33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7CBA5">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50F4E">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BF04597">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封闭化管理系统（封闭化管理系统+车辆调度管理系统+道路管控系统+数据分析系统）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5A22C">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06C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76F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1E09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0F78E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76</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666D">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5DC9DA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危化品道路运输监管系统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0C8AB3">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455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FA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4F5E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F5D5F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5CEBC">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4E5C9A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智慧安全管理系统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5C7D4">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A06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271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4640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BF4E62">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78</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B928">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E6B9B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智慧应急管理系统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0959E">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67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D07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4D7E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4750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79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2DC16">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BD4C10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智慧环保管理系统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5A6E1">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AC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814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A62A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B5B4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7997A">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45C7F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能源管理系统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AFC873">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879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A38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4149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B1220">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81D51">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66C73C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可视化大屏系统</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AF789F">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C50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13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5DC7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EBEF3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82</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68D11">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27F9A5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智慧园区小程序</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F12054">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78A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A46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2181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7526B">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83</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6D921">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A961440">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企业上报智慧园区平台服务</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A23F8">
            <w:pPr>
              <w:jc w:val="left"/>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DEA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F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75B73C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54A315">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84</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BE6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智慧平台检查保障服务</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46CD0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保障上级主管单位对智慧管理平台相关检查工作（重点保障园区认定复核、安全风险等级评估检查）。</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01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4AC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D9D3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E72A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85</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4331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智慧平台培训服务</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5F100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现场操作培训智慧园区平台（6次/年，每次≥2小时），提供培训材料。</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C6C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2A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C7FC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880033">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86</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98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配套设备设施基础运维服务</w:t>
            </w: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E12F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园区卡口配套设备设备</w:t>
            </w:r>
          </w:p>
        </w:tc>
        <w:tc>
          <w:tcPr>
            <w:tcW w:w="265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A95D09">
            <w:pPr>
              <w:keepNext w:val="0"/>
              <w:keepLines w:val="0"/>
              <w:widowControl/>
              <w:suppressLineNumbers w:val="0"/>
              <w:jc w:val="both"/>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1、全系统设备状态检查、运行参数记录、隐患识别与报告（详见附件2；园区配套设备设施巡检表）</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2、故障快速响应、及时处理；</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3、日常设备、线路故障修复、备件更换、系统恢复;</w:t>
            </w:r>
            <w:r>
              <w:rPr>
                <w:rFonts w:hint="eastAsia" w:ascii="宋体" w:hAnsi="宋体" w:eastAsia="宋体" w:cs="宋体"/>
                <w:i w:val="0"/>
                <w:iCs w:val="0"/>
                <w:color w:val="auto"/>
                <w:kern w:val="0"/>
                <w:sz w:val="20"/>
                <w:szCs w:val="20"/>
                <w:highlight w:val="none"/>
                <w:u w:val="none"/>
                <w:lang w:val="en-US" w:eastAsia="zh-CN" w:bidi="ar"/>
              </w:rPr>
              <w:br w:type="textWrapping"/>
            </w:r>
            <w:r>
              <w:rPr>
                <w:rFonts w:hint="eastAsia" w:ascii="宋体" w:hAnsi="宋体" w:eastAsia="宋体" w:cs="宋体"/>
                <w:i w:val="0"/>
                <w:iCs w:val="0"/>
                <w:color w:val="auto"/>
                <w:kern w:val="0"/>
                <w:sz w:val="20"/>
                <w:szCs w:val="20"/>
                <w:highlight w:val="none"/>
                <w:u w:val="none"/>
                <w:lang w:val="en-US" w:eastAsia="zh-CN" w:bidi="ar"/>
              </w:rPr>
              <w:t>4.配套设施设备进行维修保养及更换等（详见附件3：智慧园区配套设备设施维保清单表）。</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036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39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14B58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457D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87</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D60CB">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B12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园区视频监控设备设施</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036F8E">
            <w:pPr>
              <w:jc w:val="both"/>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D1D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AB2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CC4A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9A314">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88</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47673">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EED7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园区应急广播设备设施</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A5B862">
            <w:pPr>
              <w:jc w:val="both"/>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91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4D8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684CB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D662B">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89</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33AC8">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26F3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停车场设备设施</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9C6DB">
            <w:pPr>
              <w:jc w:val="both"/>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D0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49A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4EEA3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55826A">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90</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BFF46">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8CD1F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采购单位机房设备设施</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266305">
            <w:pPr>
              <w:jc w:val="both"/>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DA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AA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772B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9D437">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91</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6F110">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43F2F">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技术支持</w:t>
            </w:r>
          </w:p>
        </w:tc>
        <w:tc>
          <w:tcPr>
            <w:tcW w:w="265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EDE41">
            <w:pPr>
              <w:jc w:val="both"/>
              <w:rPr>
                <w:rFonts w:hint="eastAsia" w:ascii="宋体" w:hAnsi="宋体" w:eastAsia="宋体" w:cs="宋体"/>
                <w:i w:val="0"/>
                <w:iCs w:val="0"/>
                <w:color w:val="auto"/>
                <w:sz w:val="20"/>
                <w:szCs w:val="20"/>
                <w:highlight w:val="none"/>
                <w:u w:val="none"/>
              </w:rPr>
            </w:pP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357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92A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338FB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DBC44">
            <w:pPr>
              <w:keepNext w:val="0"/>
              <w:keepLines w:val="0"/>
              <w:widowControl/>
              <w:suppressLineNumbers w:val="0"/>
              <w:jc w:val="center"/>
              <w:textAlignment w:val="center"/>
              <w:rPr>
                <w:rFonts w:hint="eastAsia" w:ascii="宋体" w:hAnsi="宋体" w:eastAsia="宋体" w:cs="宋体"/>
                <w:i w:val="0"/>
                <w:iCs w:val="0"/>
                <w:color w:val="auto"/>
                <w:kern w:val="2"/>
                <w:sz w:val="20"/>
                <w:szCs w:val="20"/>
                <w:highlight w:val="none"/>
                <w:u w:val="none"/>
                <w:lang w:val="en-US" w:eastAsia="zh-CN" w:bidi="ar-SA"/>
              </w:rPr>
            </w:pPr>
            <w:r>
              <w:rPr>
                <w:rFonts w:hint="eastAsia" w:ascii="宋体" w:hAnsi="宋体" w:eastAsia="宋体" w:cs="宋体"/>
                <w:i w:val="0"/>
                <w:iCs w:val="0"/>
                <w:color w:val="auto"/>
                <w:kern w:val="0"/>
                <w:sz w:val="20"/>
                <w:szCs w:val="20"/>
                <w:highlight w:val="none"/>
                <w:u w:val="none"/>
                <w:lang w:val="en-US" w:eastAsia="zh-CN" w:bidi="ar"/>
              </w:rPr>
              <w:t>92</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32AF3">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配套设备设施检查保障服务</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87820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上级部门检查或重大活动保障（园区认定复核、园区风险等级评估等）。</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837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B98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0887D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204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93</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F6CA2">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配套设备设施技术支持</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E7C244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园区新入驻企业监控监测设备接入；省市重大危险源平台监控对接保障；企业布控球接入；VLAN、路由、端口安全、链路聚合配置与优化；NAT、VPN、跨网互通、平台对接网络保障等。</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7FF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49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项</w:t>
            </w:r>
          </w:p>
        </w:tc>
      </w:tr>
      <w:tr w14:paraId="23EDC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7"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0760DFC2">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九、云服务部分</w:t>
            </w:r>
          </w:p>
        </w:tc>
      </w:tr>
      <w:tr w14:paraId="5B5D5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5A79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94</w:t>
            </w:r>
          </w:p>
        </w:tc>
        <w:tc>
          <w:tcPr>
            <w:tcW w:w="651"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1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云服务</w:t>
            </w: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75C6C8">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云主机</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26ADD2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中标人提供的云主机服务及各项技术配置，所有参数、规格、性能指标均不得低于本项目采购需求中的云主机配置标准，具体配置要求详见采购需求云主机配置清单。</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CA3B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7AAA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台</w:t>
            </w:r>
          </w:p>
        </w:tc>
      </w:tr>
      <w:tr w14:paraId="79AB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A26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95</w:t>
            </w:r>
          </w:p>
        </w:tc>
        <w:tc>
          <w:tcPr>
            <w:tcW w:w="651"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A7F31">
            <w:pPr>
              <w:jc w:val="center"/>
              <w:rPr>
                <w:rFonts w:hint="eastAsia" w:ascii="宋体" w:hAnsi="宋体" w:eastAsia="宋体" w:cs="宋体"/>
                <w:i w:val="0"/>
                <w:iCs w:val="0"/>
                <w:color w:val="auto"/>
                <w:sz w:val="20"/>
                <w:szCs w:val="20"/>
                <w:highlight w:val="none"/>
                <w:u w:val="none"/>
              </w:rPr>
            </w:pPr>
          </w:p>
        </w:tc>
        <w:tc>
          <w:tcPr>
            <w:tcW w:w="775"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683C709">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配套安全产品</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1CAB192">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中标人须针对以上云主机，统一配套提供数据库审计服务、日志审计服务、边界防火墙安全服务、运维安全堡垒机服务、服务器主机安全防护服务，并完成相关部署、配置调试及常态化安全保障服务。</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236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9585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套</w:t>
            </w:r>
          </w:p>
        </w:tc>
      </w:tr>
      <w:tr w14:paraId="1DFCB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3" w:hRule="atLeast"/>
        </w:trPr>
        <w:tc>
          <w:tcPr>
            <w:tcW w:w="5000" w:type="pct"/>
            <w:gridSpan w:val="6"/>
            <w:tcBorders>
              <w:top w:val="single" w:color="000000" w:sz="4" w:space="0"/>
              <w:left w:val="single" w:color="000000" w:sz="4" w:space="0"/>
              <w:bottom w:val="single" w:color="000000" w:sz="4" w:space="0"/>
              <w:right w:val="single" w:color="000000" w:sz="4" w:space="0"/>
            </w:tcBorders>
            <w:shd w:val="clear" w:color="auto" w:fill="F2F2F2"/>
            <w:vAlign w:val="center"/>
          </w:tcPr>
          <w:p w14:paraId="28D74BD7">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十、暂列金</w:t>
            </w:r>
          </w:p>
        </w:tc>
      </w:tr>
      <w:tr w14:paraId="0C9B0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361"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B04A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lang w:val="en-US"/>
              </w:rPr>
            </w:pPr>
            <w:r>
              <w:rPr>
                <w:rFonts w:hint="eastAsia" w:ascii="宋体" w:hAnsi="宋体" w:eastAsia="宋体" w:cs="宋体"/>
                <w:i w:val="0"/>
                <w:iCs w:val="0"/>
                <w:color w:val="auto"/>
                <w:kern w:val="0"/>
                <w:sz w:val="20"/>
                <w:szCs w:val="20"/>
                <w:highlight w:val="none"/>
                <w:u w:val="none"/>
                <w:lang w:val="en-US" w:eastAsia="zh-CN" w:bidi="ar"/>
              </w:rPr>
              <w:t>96</w:t>
            </w:r>
          </w:p>
        </w:tc>
        <w:tc>
          <w:tcPr>
            <w:tcW w:w="1426"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3DA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暂列金</w:t>
            </w:r>
          </w:p>
        </w:tc>
        <w:tc>
          <w:tcPr>
            <w:tcW w:w="2651"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AD830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b w:val="0"/>
                <w:bCs w:val="0"/>
                <w:color w:val="auto"/>
                <w:kern w:val="0"/>
                <w:sz w:val="20"/>
                <w:szCs w:val="20"/>
                <w:highlight w:val="none"/>
                <w:u w:val="none"/>
                <w:lang w:bidi="ar"/>
              </w:rPr>
              <w:t>暂列金部分</w:t>
            </w:r>
            <w:r>
              <w:rPr>
                <w:rFonts w:hint="eastAsia" w:ascii="宋体" w:hAnsi="宋体" w:eastAsia="宋体" w:cs="宋体"/>
                <w:b w:val="0"/>
                <w:bCs w:val="0"/>
                <w:color w:val="auto"/>
                <w:kern w:val="0"/>
                <w:sz w:val="20"/>
                <w:szCs w:val="20"/>
                <w:highlight w:val="none"/>
                <w:u w:val="none"/>
                <w:lang w:val="en-US" w:eastAsia="zh-CN" w:bidi="ar"/>
              </w:rPr>
              <w:t>10万元，</w:t>
            </w:r>
            <w:r>
              <w:rPr>
                <w:rFonts w:hint="eastAsia" w:ascii="宋体" w:hAnsi="宋体" w:eastAsia="宋体" w:cs="宋体"/>
                <w:i w:val="0"/>
                <w:iCs w:val="0"/>
                <w:color w:val="auto"/>
                <w:kern w:val="0"/>
                <w:sz w:val="20"/>
                <w:szCs w:val="20"/>
                <w:highlight w:val="none"/>
                <w:u w:val="none"/>
                <w:lang w:val="en-US" w:eastAsia="zh-CN" w:bidi="ar"/>
              </w:rPr>
              <w:t>用于备品备件的购买与维修、平台功能迭代升级使用。</w:t>
            </w:r>
          </w:p>
        </w:tc>
        <w:tc>
          <w:tcPr>
            <w:tcW w:w="3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F2D9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4276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项</w:t>
            </w:r>
          </w:p>
        </w:tc>
      </w:tr>
    </w:tbl>
    <w:p w14:paraId="7E928B7E">
      <w:pPr>
        <w:keepNext/>
        <w:keepLines/>
        <w:widowControl w:val="0"/>
        <w:numPr>
          <w:ilvl w:val="1"/>
          <w:numId w:val="0"/>
        </w:numPr>
        <w:bidi w:val="0"/>
        <w:spacing w:before="0" w:beforeLines="0" w:beforeAutospacing="0" w:after="0" w:afterLines="0" w:afterAutospacing="0" w:line="440" w:lineRule="exact"/>
        <w:ind w:left="575" w:hanging="575"/>
        <w:jc w:val="both"/>
        <w:outlineLvl w:val="1"/>
        <w:rPr>
          <w:rFonts w:hint="eastAsia" w:ascii="宋体" w:hAnsi="宋体" w:eastAsia="宋体" w:cs="宋体"/>
          <w:b/>
          <w:color w:val="auto"/>
          <w:kern w:val="2"/>
          <w:sz w:val="30"/>
          <w:szCs w:val="24"/>
          <w:highlight w:val="none"/>
          <w:lang w:val="en-US" w:eastAsia="zh-CN" w:bidi="ar-SA"/>
        </w:rPr>
      </w:pPr>
      <w:r>
        <w:rPr>
          <w:rFonts w:hint="eastAsia" w:ascii="宋体" w:hAnsi="宋体" w:eastAsia="宋体" w:cs="宋体"/>
          <w:b/>
          <w:color w:val="auto"/>
          <w:kern w:val="2"/>
          <w:sz w:val="30"/>
          <w:szCs w:val="24"/>
          <w:highlight w:val="none"/>
          <w:lang w:val="en-US" w:eastAsia="zh-CN" w:bidi="ar-SA"/>
        </w:rPr>
        <w:t>4.6.报价要求</w:t>
      </w:r>
    </w:p>
    <w:p w14:paraId="7EF7E604">
      <w:pPr>
        <w:spacing w:beforeLines="0" w:afterLines="0" w:line="440" w:lineRule="exac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、供应商应对所响应项目的全部内容进行报价，完成采购文件规定的服务工作所涉及到的一切相关费用。</w:t>
      </w:r>
    </w:p>
    <w:p w14:paraId="36A69239">
      <w:pPr>
        <w:spacing w:beforeLines="0" w:afterLines="0" w:line="440" w:lineRule="exact"/>
        <w:ind w:firstLine="480"/>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、各单项报价均不得高于最高限价，报价超过此单价限价的按无效响应处理。</w:t>
      </w:r>
    </w:p>
    <w:p w14:paraId="29E7C77A">
      <w:pPr>
        <w:pStyle w:val="15"/>
        <w:spacing w:beforeLines="0" w:afterLines="0" w:line="440" w:lineRule="exact"/>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rPr>
        <w:t>、暂列金部分</w:t>
      </w:r>
      <w:r>
        <w:rPr>
          <w:rFonts w:hint="eastAsia" w:ascii="宋体" w:hAnsi="宋体" w:eastAsia="宋体" w:cs="宋体"/>
          <w:b/>
          <w:bCs/>
          <w:color w:val="auto"/>
          <w:sz w:val="24"/>
          <w:highlight w:val="none"/>
          <w:lang w:val="en-US" w:eastAsia="zh-CN"/>
        </w:rPr>
        <w:t>10万元，</w:t>
      </w:r>
      <w:r>
        <w:rPr>
          <w:rFonts w:hint="eastAsia" w:ascii="宋体" w:hAnsi="宋体" w:eastAsia="宋体" w:cs="宋体"/>
          <w:b/>
          <w:bCs/>
          <w:color w:val="auto"/>
          <w:sz w:val="24"/>
          <w:highlight w:val="none"/>
        </w:rPr>
        <w:t>为不可更改部分，供应商报价时应充分考虑</w:t>
      </w:r>
      <w:r>
        <w:rPr>
          <w:rFonts w:hint="eastAsia" w:ascii="宋体" w:hAnsi="宋体" w:eastAsia="宋体" w:cs="宋体"/>
          <w:b/>
          <w:bCs/>
          <w:color w:val="auto"/>
          <w:sz w:val="24"/>
          <w:highlight w:val="none"/>
          <w:lang w:eastAsia="zh-CN"/>
        </w:rPr>
        <w:t>。</w:t>
      </w:r>
    </w:p>
    <w:p w14:paraId="1063034F">
      <w:pPr>
        <w:spacing w:beforeLines="0" w:afterLines="0" w:line="440" w:lineRule="exact"/>
        <w:rPr>
          <w:rFonts w:hint="eastAsia" w:ascii="宋体" w:hAnsi="宋体" w:eastAsia="宋体" w:cs="宋体"/>
          <w:b/>
          <w:color w:val="auto"/>
          <w:kern w:val="0"/>
          <w:sz w:val="24"/>
          <w:highlight w:val="none"/>
        </w:rPr>
      </w:pPr>
      <w:r>
        <w:rPr>
          <w:rFonts w:hint="eastAsia" w:ascii="宋体" w:hAnsi="宋体" w:eastAsia="宋体" w:cs="宋体"/>
          <w:b/>
          <w:bCs w:val="0"/>
          <w:color w:val="auto"/>
          <w:kern w:val="2"/>
          <w:sz w:val="30"/>
          <w:szCs w:val="24"/>
          <w:highlight w:val="none"/>
          <w:lang w:val="en-US" w:eastAsia="zh-CN" w:bidi="ar-SA"/>
        </w:rPr>
        <w:t>4.7.</w:t>
      </w:r>
      <w:r>
        <w:rPr>
          <w:rFonts w:hint="eastAsia" w:ascii="宋体" w:hAnsi="宋体" w:eastAsia="宋体" w:cs="宋体"/>
          <w:b/>
          <w:color w:val="auto"/>
          <w:kern w:val="0"/>
          <w:sz w:val="24"/>
          <w:highlight w:val="none"/>
        </w:rPr>
        <w:t>付款方式与履约保证金</w:t>
      </w:r>
    </w:p>
    <w:p w14:paraId="1067FE99">
      <w:pPr>
        <w:spacing w:beforeLines="0" w:afterLines="0" w:line="440" w:lineRule="exact"/>
        <w:ind w:firstLine="480"/>
        <w:rPr>
          <w:rFonts w:hint="eastAsia" w:ascii="宋体" w:hAnsi="宋体" w:eastAsia="宋体" w:cs="宋体"/>
          <w:b/>
          <w:bCs/>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b/>
          <w:bCs/>
          <w:color w:val="auto"/>
          <w:kern w:val="0"/>
          <w:sz w:val="24"/>
          <w:highlight w:val="none"/>
        </w:rPr>
        <w:t>1、付款方式</w:t>
      </w:r>
    </w:p>
    <w:p w14:paraId="11AC4E6E">
      <w:pPr>
        <w:spacing w:before="145" w:after="145" w:line="400" w:lineRule="exact"/>
        <w:ind w:firstLine="482" w:firstLineChars="200"/>
        <w:rPr>
          <w:rFonts w:hint="default" w:ascii="宋体" w:hAnsi="宋体" w:eastAsia="宋体" w:cs="宋体"/>
          <w:b/>
          <w:bCs/>
          <w:color w:val="auto"/>
          <w:sz w:val="24"/>
          <w:highlight w:val="none"/>
          <w:u w:val="none"/>
          <w:lang w:val="en-US" w:eastAsia="zh-CN"/>
        </w:rPr>
      </w:pPr>
      <w:r>
        <w:rPr>
          <w:rFonts w:hint="eastAsia" w:ascii="宋体" w:hAnsi="宋体" w:eastAsia="宋体" w:cs="宋体"/>
          <w:b/>
          <w:bCs/>
          <w:color w:val="auto"/>
          <w:sz w:val="24"/>
          <w:highlight w:val="none"/>
          <w:u w:val="none"/>
        </w:rPr>
        <w:t>合同签订后付合同总价的30%，</w:t>
      </w:r>
      <w:r>
        <w:rPr>
          <w:rFonts w:hint="eastAsia" w:ascii="宋体" w:hAnsi="宋体" w:eastAsia="宋体" w:cs="宋体"/>
          <w:b/>
          <w:bCs/>
          <w:color w:val="auto"/>
          <w:sz w:val="24"/>
          <w:highlight w:val="none"/>
          <w:u w:val="none"/>
          <w:lang w:val="en-US" w:eastAsia="zh-CN"/>
        </w:rPr>
        <w:t>平台升级与运维服务</w:t>
      </w:r>
      <w:r>
        <w:rPr>
          <w:rFonts w:hint="eastAsia" w:ascii="宋体" w:hAnsi="宋体" w:eastAsia="宋体" w:cs="宋体"/>
          <w:b/>
          <w:bCs/>
          <w:color w:val="auto"/>
          <w:sz w:val="24"/>
          <w:highlight w:val="none"/>
          <w:u w:val="none"/>
        </w:rPr>
        <w:t>验收合格后付至合同总价的70%，</w:t>
      </w:r>
      <w:r>
        <w:rPr>
          <w:rFonts w:hint="eastAsia" w:ascii="宋体" w:hAnsi="宋体" w:eastAsia="宋体" w:cs="宋体"/>
          <w:b/>
          <w:bCs/>
          <w:color w:val="auto"/>
          <w:sz w:val="24"/>
          <w:highlight w:val="none"/>
          <w:u w:val="none"/>
          <w:lang w:val="en-US" w:eastAsia="zh-CN"/>
        </w:rPr>
        <w:t>项目经相关</w:t>
      </w:r>
      <w:r>
        <w:rPr>
          <w:rFonts w:hint="eastAsia" w:ascii="宋体" w:hAnsi="宋体" w:eastAsia="宋体" w:cs="宋体"/>
          <w:b/>
          <w:bCs/>
          <w:color w:val="auto"/>
          <w:sz w:val="24"/>
          <w:highlight w:val="none"/>
          <w:u w:val="none"/>
        </w:rPr>
        <w:t>审计后付至审计价格的100%</w:t>
      </w:r>
      <w:r>
        <w:rPr>
          <w:rFonts w:hint="eastAsia" w:ascii="宋体" w:hAnsi="宋体" w:eastAsia="宋体" w:cs="宋体"/>
          <w:b/>
          <w:bCs/>
          <w:color w:val="auto"/>
          <w:sz w:val="24"/>
          <w:highlight w:val="none"/>
          <w:u w:val="none"/>
          <w:lang w:val="en-US" w:eastAsia="zh-CN"/>
        </w:rPr>
        <w:t>。</w:t>
      </w:r>
    </w:p>
    <w:p w14:paraId="2E3B7827">
      <w:pPr>
        <w:spacing w:before="145" w:after="145" w:line="400" w:lineRule="exact"/>
        <w:ind w:firstLine="482" w:firstLineChars="200"/>
        <w:rPr>
          <w:rFonts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lang w:val="en-US" w:eastAsia="zh-CN"/>
        </w:rPr>
        <w:t>注：</w:t>
      </w:r>
      <w:r>
        <w:rPr>
          <w:rFonts w:hint="eastAsia" w:ascii="宋体" w:hAnsi="宋体" w:eastAsia="宋体" w:cs="宋体"/>
          <w:b/>
          <w:bCs/>
          <w:color w:val="auto"/>
          <w:sz w:val="24"/>
          <w:highlight w:val="none"/>
          <w:u w:val="none"/>
        </w:rPr>
        <w:t>每次付款前需出具等额增值税发票。</w:t>
      </w:r>
    </w:p>
    <w:p w14:paraId="71E06C14">
      <w:pPr>
        <w:spacing w:beforeLines="0" w:afterLines="0" w:line="440" w:lineRule="exact"/>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2、履约保证金</w:t>
      </w:r>
    </w:p>
    <w:p w14:paraId="43E02CF9">
      <w:pPr>
        <w:spacing w:beforeLines="0" w:afterLines="0" w:line="440" w:lineRule="exact"/>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本项目不收取履约保证金。</w:t>
      </w:r>
    </w:p>
    <w:p w14:paraId="1A63C52D">
      <w:pPr>
        <w:spacing w:beforeLines="0" w:afterLines="0" w:line="440" w:lineRule="exact"/>
        <w:rPr>
          <w:rFonts w:hint="eastAsia" w:ascii="宋体" w:hAnsi="宋体" w:eastAsia="宋体" w:cs="宋体"/>
          <w:b/>
          <w:color w:val="auto"/>
          <w:kern w:val="0"/>
          <w:sz w:val="24"/>
          <w:highlight w:val="none"/>
        </w:rPr>
      </w:pPr>
      <w:r>
        <w:rPr>
          <w:rFonts w:hint="eastAsia" w:ascii="宋体" w:hAnsi="宋体" w:eastAsia="宋体" w:cs="宋体"/>
          <w:b/>
          <w:color w:val="auto"/>
          <w:kern w:val="2"/>
          <w:sz w:val="30"/>
          <w:highlight w:val="none"/>
          <w:lang w:val="en-US" w:eastAsia="zh-CN"/>
        </w:rPr>
        <w:t>4.8</w:t>
      </w:r>
      <w:r>
        <w:rPr>
          <w:rFonts w:hint="eastAsia" w:ascii="宋体" w:hAnsi="宋体" w:eastAsia="宋体" w:cs="宋体"/>
          <w:b/>
          <w:color w:val="auto"/>
          <w:kern w:val="0"/>
          <w:sz w:val="24"/>
          <w:highlight w:val="none"/>
        </w:rPr>
        <w:t>服务期限与项目进度安排</w:t>
      </w:r>
    </w:p>
    <w:p w14:paraId="677FA125">
      <w:pPr>
        <w:spacing w:beforeLines="0" w:afterLines="0" w:line="440" w:lineRule="exact"/>
        <w:ind w:firstLine="482"/>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w:t>
      </w:r>
      <w:r>
        <w:rPr>
          <w:rFonts w:hint="eastAsia" w:ascii="宋体" w:hAnsi="宋体" w:eastAsia="宋体" w:cs="Times New Roman"/>
          <w:color w:val="auto"/>
          <w:kern w:val="0"/>
          <w:sz w:val="24"/>
          <w:highlight w:val="none"/>
          <w:u w:val="none"/>
        </w:rPr>
        <w:t>服务期限：</w:t>
      </w:r>
      <w:r>
        <w:rPr>
          <w:rFonts w:hint="eastAsia" w:ascii="宋体" w:hAnsi="宋体" w:eastAsia="宋体" w:cs="Times New Roman"/>
          <w:color w:val="auto"/>
          <w:kern w:val="0"/>
          <w:sz w:val="24"/>
          <w:highlight w:val="none"/>
          <w:u w:val="none"/>
          <w:lang w:val="en-US" w:eastAsia="zh-CN"/>
        </w:rPr>
        <w:t>系统平台升级1个月，系统平台验收合格后运维12个月</w:t>
      </w:r>
      <w:r>
        <w:rPr>
          <w:rFonts w:hint="eastAsia" w:ascii="宋体" w:hAnsi="宋体" w:eastAsia="宋体" w:cs="宋体"/>
          <w:b/>
          <w:bCs/>
          <w:color w:val="auto"/>
          <w:kern w:val="0"/>
          <w:sz w:val="24"/>
          <w:highlight w:val="none"/>
        </w:rPr>
        <w:t>。</w:t>
      </w:r>
    </w:p>
    <w:p w14:paraId="0CA01AC8">
      <w:pPr>
        <w:keepNext/>
        <w:keepLines/>
        <w:pageBreakBefore w:val="0"/>
        <w:widowControl w:val="0"/>
        <w:numPr>
          <w:ilvl w:val="1"/>
          <w:numId w:val="0"/>
        </w:numPr>
        <w:kinsoku/>
        <w:wordWrap/>
        <w:overflowPunct/>
        <w:topLinePunct w:val="0"/>
        <w:autoSpaceDE/>
        <w:autoSpaceDN/>
        <w:bidi w:val="0"/>
        <w:adjustRightInd/>
        <w:snapToGrid/>
        <w:spacing w:before="0" w:beforeLines="0" w:after="0" w:afterLines="0" w:line="440" w:lineRule="exact"/>
        <w:ind w:left="575" w:hanging="575" w:firstLineChars="0"/>
        <w:textAlignment w:val="auto"/>
        <w:outlineLvl w:val="1"/>
        <w:rPr>
          <w:rFonts w:hint="eastAsia" w:ascii="Arial" w:hAnsi="Arial" w:eastAsia="黑体" w:cstheme="minorBidi"/>
          <w:b/>
          <w:bCs w:val="0"/>
          <w:color w:val="auto"/>
          <w:kern w:val="2"/>
          <w:sz w:val="30"/>
          <w:szCs w:val="24"/>
          <w:highlight w:val="none"/>
          <w:lang w:val="en-US" w:eastAsia="zh-CN"/>
        </w:rPr>
      </w:pPr>
      <w:r>
        <w:rPr>
          <w:rFonts w:hint="eastAsia" w:ascii="宋体" w:hAnsi="宋体" w:eastAsia="宋体" w:cs="宋体"/>
          <w:b/>
          <w:bCs w:val="0"/>
          <w:color w:val="auto"/>
          <w:kern w:val="2"/>
          <w:sz w:val="30"/>
          <w:szCs w:val="24"/>
          <w:highlight w:val="none"/>
          <w:lang w:val="en-US" w:eastAsia="zh-CN" w:bidi="ar-SA"/>
        </w:rPr>
        <w:t>4.9</w:t>
      </w:r>
      <w:r>
        <w:rPr>
          <w:rFonts w:hint="default" w:ascii="Arial" w:hAnsi="Arial" w:eastAsia="黑体" w:cstheme="minorBidi"/>
          <w:b/>
          <w:bCs w:val="0"/>
          <w:color w:val="auto"/>
          <w:kern w:val="2"/>
          <w:sz w:val="30"/>
          <w:szCs w:val="24"/>
          <w:highlight w:val="none"/>
          <w:lang w:val="en-US" w:eastAsia="zh-CN" w:bidi="ar-SA"/>
        </w:rPr>
        <w:t>.</w:t>
      </w:r>
      <w:r>
        <w:rPr>
          <w:rFonts w:hint="eastAsia" w:ascii="Arial" w:hAnsi="Arial" w:eastAsia="黑体" w:cstheme="minorBidi"/>
          <w:b/>
          <w:bCs w:val="0"/>
          <w:color w:val="auto"/>
          <w:kern w:val="2"/>
          <w:sz w:val="30"/>
          <w:szCs w:val="24"/>
          <w:highlight w:val="none"/>
          <w:lang w:val="en-US" w:eastAsia="zh-CN"/>
        </w:rPr>
        <w:t>其他要求</w:t>
      </w:r>
    </w:p>
    <w:p w14:paraId="48E60F2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Calibri" w:hAnsi="Calibri" w:eastAsia="宋体" w:cs="Times New Roman"/>
          <w:b/>
          <w:bCs/>
          <w:color w:val="auto"/>
          <w:kern w:val="0"/>
          <w:sz w:val="24"/>
          <w:szCs w:val="24"/>
          <w:highlight w:val="none"/>
        </w:rPr>
      </w:pPr>
      <w:r>
        <w:rPr>
          <w:rFonts w:hint="eastAsia" w:ascii="Calibri" w:hAnsi="Calibri" w:eastAsia="宋体" w:cs="Times New Roman"/>
          <w:b/>
          <w:bCs/>
          <w:color w:val="auto"/>
          <w:kern w:val="0"/>
          <w:sz w:val="24"/>
          <w:szCs w:val="24"/>
          <w:highlight w:val="none"/>
        </w:rPr>
        <w:t>★本次招标范围内全部软件升级</w:t>
      </w:r>
      <w:r>
        <w:rPr>
          <w:rFonts w:hint="eastAsia" w:ascii="Calibri" w:hAnsi="Calibri" w:eastAsia="宋体" w:cs="Times New Roman"/>
          <w:b/>
          <w:bCs/>
          <w:color w:val="auto"/>
          <w:kern w:val="0"/>
          <w:sz w:val="24"/>
          <w:szCs w:val="24"/>
          <w:highlight w:val="none"/>
          <w:lang w:val="en-US"/>
        </w:rPr>
        <w:t>内容</w:t>
      </w:r>
      <w:r>
        <w:rPr>
          <w:rFonts w:hint="eastAsia" w:ascii="Calibri" w:hAnsi="Calibri" w:eastAsia="宋体" w:cs="Times New Roman"/>
          <w:b/>
          <w:bCs/>
          <w:color w:val="auto"/>
          <w:kern w:val="0"/>
          <w:sz w:val="24"/>
          <w:szCs w:val="24"/>
          <w:highlight w:val="none"/>
        </w:rPr>
        <w:t>必须与</w:t>
      </w:r>
      <w:r>
        <w:rPr>
          <w:rFonts w:hint="default" w:ascii="Calibri" w:hAnsi="Calibri" w:eastAsia="宋体" w:cs="Times New Roman"/>
          <w:b/>
          <w:bCs/>
          <w:color w:val="auto"/>
          <w:kern w:val="0"/>
          <w:sz w:val="24"/>
          <w:szCs w:val="24"/>
          <w:highlight w:val="none"/>
        </w:rPr>
        <w:t>原</w:t>
      </w:r>
      <w:r>
        <w:rPr>
          <w:rFonts w:hint="eastAsia" w:ascii="Calibri" w:hAnsi="Calibri" w:eastAsia="宋体" w:cs="Times New Roman"/>
          <w:b/>
          <w:bCs/>
          <w:color w:val="auto"/>
          <w:kern w:val="0"/>
          <w:sz w:val="24"/>
          <w:szCs w:val="24"/>
          <w:highlight w:val="none"/>
          <w:lang w:val="en-US" w:eastAsia="zh-CN"/>
        </w:rPr>
        <w:t>智慧园区</w:t>
      </w:r>
      <w:r>
        <w:rPr>
          <w:rFonts w:hint="default" w:ascii="Calibri" w:hAnsi="Calibri" w:eastAsia="宋体" w:cs="Times New Roman"/>
          <w:b/>
          <w:bCs/>
          <w:color w:val="auto"/>
          <w:kern w:val="0"/>
          <w:sz w:val="24"/>
          <w:szCs w:val="24"/>
          <w:highlight w:val="none"/>
        </w:rPr>
        <w:t>平台数据库、应用接口、业务逻辑完全兼容，实现功能平滑迭代</w:t>
      </w:r>
      <w:r>
        <w:rPr>
          <w:rFonts w:hint="eastAsia" w:ascii="Calibri" w:hAnsi="Calibri" w:eastAsia="宋体" w:cs="Times New Roman"/>
          <w:b/>
          <w:bCs/>
          <w:color w:val="auto"/>
          <w:kern w:val="0"/>
          <w:sz w:val="24"/>
          <w:szCs w:val="24"/>
          <w:highlight w:val="none"/>
          <w:lang w:eastAsia="zh-CN"/>
        </w:rPr>
        <w:t>；</w:t>
      </w:r>
      <w:r>
        <w:rPr>
          <w:rFonts w:hint="eastAsia" w:ascii="Calibri" w:hAnsi="Calibri" w:eastAsia="宋体" w:cs="Times New Roman"/>
          <w:b/>
          <w:bCs/>
          <w:color w:val="auto"/>
          <w:kern w:val="0"/>
          <w:sz w:val="24"/>
          <w:szCs w:val="24"/>
          <w:highlight w:val="none"/>
          <w:lang w:val="en-US"/>
        </w:rPr>
        <w:t>硬件实施</w:t>
      </w:r>
      <w:r>
        <w:rPr>
          <w:rFonts w:hint="eastAsia" w:ascii="Calibri" w:hAnsi="Calibri" w:eastAsia="宋体" w:cs="Times New Roman"/>
          <w:b/>
          <w:bCs/>
          <w:color w:val="auto"/>
          <w:kern w:val="0"/>
          <w:sz w:val="24"/>
          <w:szCs w:val="24"/>
          <w:highlight w:val="none"/>
        </w:rPr>
        <w:t>内容</w:t>
      </w:r>
      <w:r>
        <w:rPr>
          <w:rFonts w:hint="eastAsia" w:ascii="Calibri" w:hAnsi="Calibri" w:eastAsia="宋体" w:cs="Times New Roman"/>
          <w:b/>
          <w:bCs/>
          <w:color w:val="auto"/>
          <w:kern w:val="0"/>
          <w:sz w:val="24"/>
          <w:szCs w:val="24"/>
          <w:highlight w:val="none"/>
          <w:lang w:val="en-US"/>
        </w:rPr>
        <w:t>必须</w:t>
      </w:r>
      <w:r>
        <w:rPr>
          <w:rFonts w:hint="default" w:ascii="Calibri" w:hAnsi="Calibri" w:eastAsia="宋体" w:cs="Times New Roman"/>
          <w:b/>
          <w:bCs/>
          <w:color w:val="auto"/>
          <w:kern w:val="0"/>
          <w:sz w:val="24"/>
          <w:szCs w:val="24"/>
          <w:highlight w:val="none"/>
        </w:rPr>
        <w:t>适配原平台物联接入层、传输协议与管理界面，</w:t>
      </w:r>
      <w:r>
        <w:rPr>
          <w:rFonts w:hint="eastAsia" w:ascii="Calibri" w:hAnsi="Calibri" w:eastAsia="宋体" w:cs="Times New Roman"/>
          <w:b/>
          <w:bCs/>
          <w:color w:val="auto"/>
          <w:kern w:val="0"/>
          <w:sz w:val="24"/>
          <w:szCs w:val="24"/>
          <w:highlight w:val="none"/>
          <w:lang w:val="en-US" w:eastAsia="zh-CN"/>
        </w:rPr>
        <w:t>实现</w:t>
      </w:r>
      <w:r>
        <w:rPr>
          <w:rFonts w:hint="default" w:ascii="Calibri" w:hAnsi="Calibri" w:eastAsia="宋体" w:cs="Times New Roman"/>
          <w:b/>
          <w:bCs/>
          <w:color w:val="auto"/>
          <w:kern w:val="0"/>
          <w:sz w:val="24"/>
          <w:szCs w:val="24"/>
          <w:highlight w:val="none"/>
        </w:rPr>
        <w:t>统一纳管</w:t>
      </w:r>
      <w:r>
        <w:rPr>
          <w:rFonts w:hint="eastAsia" w:ascii="Calibri" w:hAnsi="Calibri" w:eastAsia="宋体" w:cs="Times New Roman"/>
          <w:b/>
          <w:bCs/>
          <w:color w:val="auto"/>
          <w:kern w:val="0"/>
          <w:sz w:val="24"/>
          <w:szCs w:val="24"/>
          <w:highlight w:val="none"/>
          <w:lang w:eastAsia="zh-CN"/>
        </w:rPr>
        <w:t>。</w:t>
      </w:r>
      <w:r>
        <w:rPr>
          <w:rFonts w:hint="eastAsia" w:ascii="Calibri" w:hAnsi="Calibri" w:eastAsia="宋体" w:cs="Times New Roman"/>
          <w:b/>
          <w:bCs/>
          <w:color w:val="auto"/>
          <w:kern w:val="0"/>
          <w:sz w:val="24"/>
          <w:szCs w:val="24"/>
          <w:highlight w:val="none"/>
        </w:rPr>
        <w:t>投标人须在投标文件中提供书面兼容性承诺</w:t>
      </w:r>
      <w:r>
        <w:rPr>
          <w:rFonts w:hint="eastAsia" w:ascii="Calibri" w:hAnsi="Calibri" w:eastAsia="宋体" w:cs="Times New Roman"/>
          <w:b/>
          <w:bCs/>
          <w:color w:val="auto"/>
          <w:kern w:val="0"/>
          <w:sz w:val="24"/>
          <w:szCs w:val="24"/>
          <w:highlight w:val="none"/>
          <w:lang w:val="en-US" w:eastAsia="zh-CN"/>
        </w:rPr>
        <w:t>书（格式自拟）</w:t>
      </w:r>
      <w:r>
        <w:rPr>
          <w:rFonts w:hint="eastAsia" w:ascii="Calibri" w:hAnsi="Calibri" w:eastAsia="宋体" w:cs="Times New Roman"/>
          <w:b/>
          <w:bCs/>
          <w:color w:val="auto"/>
          <w:kern w:val="0"/>
          <w:sz w:val="24"/>
          <w:szCs w:val="24"/>
          <w:highlight w:val="none"/>
        </w:rPr>
        <w:t>，中标后</w:t>
      </w:r>
      <w:r>
        <w:rPr>
          <w:rFonts w:hint="eastAsia" w:ascii="Calibri" w:hAnsi="Calibri" w:eastAsia="宋体" w:cs="Times New Roman"/>
          <w:b/>
          <w:bCs/>
          <w:color w:val="auto"/>
          <w:kern w:val="0"/>
          <w:sz w:val="24"/>
          <w:szCs w:val="24"/>
          <w:highlight w:val="none"/>
          <w:lang w:val="en-US"/>
        </w:rPr>
        <w:t>7个日历天内</w:t>
      </w:r>
      <w:r>
        <w:rPr>
          <w:rFonts w:hint="eastAsia" w:ascii="Calibri" w:hAnsi="Calibri" w:eastAsia="宋体" w:cs="Times New Roman"/>
          <w:b/>
          <w:bCs/>
          <w:color w:val="auto"/>
          <w:kern w:val="0"/>
          <w:sz w:val="24"/>
          <w:szCs w:val="24"/>
          <w:highlight w:val="none"/>
        </w:rPr>
        <w:t>完成现场对接测试，未达标视为未实质性响应招标文件，</w:t>
      </w:r>
      <w:r>
        <w:rPr>
          <w:rFonts w:hint="eastAsia" w:ascii="Calibri" w:hAnsi="Calibri" w:eastAsia="宋体" w:cs="Times New Roman"/>
          <w:b/>
          <w:bCs/>
          <w:color w:val="auto"/>
          <w:kern w:val="0"/>
          <w:sz w:val="24"/>
          <w:szCs w:val="24"/>
          <w:highlight w:val="none"/>
          <w:lang w:val="en-US"/>
        </w:rPr>
        <w:t>将取消其中标资格</w:t>
      </w:r>
      <w:r>
        <w:rPr>
          <w:rFonts w:hint="eastAsia" w:ascii="Calibri" w:hAnsi="Calibri" w:eastAsia="宋体" w:cs="Times New Roman"/>
          <w:b/>
          <w:bCs/>
          <w:color w:val="auto"/>
          <w:kern w:val="0"/>
          <w:sz w:val="24"/>
          <w:szCs w:val="24"/>
          <w:highlight w:val="none"/>
        </w:rPr>
        <w:t>。</w:t>
      </w:r>
    </w:p>
    <w:p w14:paraId="28AD4253">
      <w:pPr>
        <w:jc w:val="both"/>
        <w:rPr>
          <w:rFonts w:hint="default"/>
          <w:b/>
          <w:bCs/>
          <w:color w:val="auto"/>
          <w:sz w:val="32"/>
          <w:szCs w:val="32"/>
          <w:highlight w:val="none"/>
          <w:lang w:val="en-US" w:eastAsia="zh-CN"/>
        </w:rPr>
      </w:pPr>
    </w:p>
    <w:p w14:paraId="3F83F63A">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br w:type="page"/>
      </w:r>
    </w:p>
    <w:p w14:paraId="4962EE5B">
      <w:pPr>
        <w:spacing w:line="400" w:lineRule="exact"/>
        <w:rPr>
          <w:rFonts w:ascii="宋体" w:hAnsi="宋体" w:eastAsia="宋体" w:cs="宋体"/>
          <w:color w:val="auto"/>
          <w:sz w:val="24"/>
          <w:highlight w:val="none"/>
        </w:rPr>
      </w:pPr>
    </w:p>
    <w:p w14:paraId="4489D611">
      <w:pPr>
        <w:rPr>
          <w:rFonts w:ascii="Times New Roman" w:hAnsi="Times New Roman" w:eastAsia="宋体" w:cs="Times New Roman"/>
          <w:color w:val="auto"/>
          <w:kern w:val="0"/>
          <w:sz w:val="24"/>
          <w:highlight w:val="none"/>
        </w:rPr>
      </w:pPr>
    </w:p>
    <w:p w14:paraId="76E614CD">
      <w:pPr>
        <w:keepNext/>
        <w:jc w:val="center"/>
        <w:outlineLvl w:val="0"/>
        <w:rPr>
          <w:rFonts w:ascii="黑体" w:hAnsi="Times New Roman" w:eastAsia="黑体" w:cs="Times New Roman"/>
          <w:bCs/>
          <w:color w:val="auto"/>
          <w:sz w:val="44"/>
          <w:szCs w:val="28"/>
          <w:highlight w:val="none"/>
        </w:rPr>
      </w:pPr>
      <w:r>
        <w:rPr>
          <w:rFonts w:hint="eastAsia" w:ascii="黑体" w:hAnsi="Times New Roman" w:eastAsia="黑体" w:cs="Times New Roman"/>
          <w:bCs/>
          <w:color w:val="auto"/>
          <w:sz w:val="44"/>
          <w:szCs w:val="28"/>
          <w:highlight w:val="none"/>
        </w:rPr>
        <w:t xml:space="preserve">第五章  </w:t>
      </w:r>
      <w:r>
        <w:rPr>
          <w:rFonts w:hint="eastAsia" w:ascii="黑体" w:hAnsi="Times New Roman" w:eastAsia="黑体" w:cs="Times New Roman"/>
          <w:b/>
          <w:bCs/>
          <w:color w:val="auto"/>
          <w:sz w:val="44"/>
          <w:szCs w:val="28"/>
          <w:highlight w:val="none"/>
        </w:rPr>
        <w:t>评标方法与评标标准</w:t>
      </w:r>
    </w:p>
    <w:p w14:paraId="73B8F960">
      <w:pPr>
        <w:spacing w:before="120" w:after="120" w:line="360" w:lineRule="auto"/>
        <w:ind w:firstLine="439"/>
        <w:jc w:val="left"/>
        <w:rPr>
          <w:rFonts w:ascii="Arial" w:hAnsi="Arial" w:eastAsia="宋体" w:cs="Arial"/>
          <w:color w:val="auto"/>
          <w:sz w:val="24"/>
          <w:highlight w:val="none"/>
        </w:rPr>
      </w:pPr>
      <w:r>
        <w:rPr>
          <w:rFonts w:ascii="Arial" w:hAnsi="Arial" w:eastAsia="宋体" w:cs="Arial"/>
          <w:color w:val="auto"/>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eastAsia="宋体" w:cs="Arial"/>
          <w:color w:val="auto"/>
          <w:sz w:val="24"/>
          <w:highlight w:val="none"/>
        </w:rPr>
        <w:t>。</w:t>
      </w:r>
    </w:p>
    <w:p w14:paraId="1C1C94DB">
      <w:pPr>
        <w:spacing w:line="360" w:lineRule="auto"/>
        <w:ind w:firstLine="482"/>
        <w:rPr>
          <w:rFonts w:ascii="宋体" w:hAnsi="宋体" w:eastAsia="宋体" w:cs="Times New Roman"/>
          <w:b/>
          <w:color w:val="auto"/>
          <w:kern w:val="0"/>
          <w:sz w:val="24"/>
          <w:highlight w:val="none"/>
        </w:rPr>
      </w:pPr>
      <w:r>
        <w:rPr>
          <w:rFonts w:hint="eastAsia" w:ascii="宋体" w:hAnsi="宋体" w:eastAsia="宋体" w:cs="Times New Roman"/>
          <w:b/>
          <w:color w:val="auto"/>
          <w:kern w:val="0"/>
          <w:sz w:val="24"/>
          <w:highlight w:val="none"/>
          <w:lang w:val="en-US" w:eastAsia="zh-CN"/>
        </w:rPr>
        <w:t>一</w:t>
      </w:r>
      <w:r>
        <w:rPr>
          <w:rFonts w:hint="eastAsia" w:ascii="宋体" w:hAnsi="宋体" w:eastAsia="宋体" w:cs="Times New Roman"/>
          <w:b/>
          <w:color w:val="auto"/>
          <w:kern w:val="0"/>
          <w:sz w:val="24"/>
          <w:highlight w:val="none"/>
        </w:rPr>
        <w:t>、</w:t>
      </w:r>
      <w:r>
        <w:rPr>
          <w:rFonts w:hint="eastAsia" w:ascii="宋体" w:hAnsi="宋体" w:eastAsia="宋体" w:cs="Times New Roman"/>
          <w:b/>
          <w:bCs/>
          <w:color w:val="auto"/>
          <w:kern w:val="0"/>
          <w:sz w:val="24"/>
          <w:highlight w:val="none"/>
        </w:rPr>
        <w:t>评标委员会构成</w:t>
      </w:r>
      <w:r>
        <w:rPr>
          <w:rFonts w:hint="eastAsia" w:ascii="宋体" w:hAnsi="宋体" w:eastAsia="宋体" w:cs="Times New Roman"/>
          <w:b/>
          <w:color w:val="auto"/>
          <w:kern w:val="0"/>
          <w:sz w:val="24"/>
          <w:highlight w:val="none"/>
        </w:rPr>
        <w:t>：</w:t>
      </w:r>
    </w:p>
    <w:p w14:paraId="0F87589F">
      <w:pPr>
        <w:spacing w:line="360" w:lineRule="auto"/>
        <w:ind w:firstLine="480"/>
        <w:rPr>
          <w:rFonts w:ascii="宋体" w:hAnsi="宋体" w:eastAsia="宋体" w:cs="宋体"/>
          <w:color w:val="auto"/>
          <w:kern w:val="0"/>
          <w:sz w:val="24"/>
          <w:szCs w:val="21"/>
          <w:highlight w:val="none"/>
        </w:rPr>
      </w:pPr>
      <w:r>
        <w:rPr>
          <w:rFonts w:hint="eastAsia" w:ascii="宋体" w:hAnsi="宋体" w:eastAsia="宋体" w:cs="Times New Roman"/>
          <w:color w:val="auto"/>
          <w:kern w:val="0"/>
          <w:sz w:val="24"/>
          <w:highlight w:val="none"/>
        </w:rPr>
        <w:t>本采购项目评标委员会的评委由采购人代表和评审专家组成。</w:t>
      </w:r>
    </w:p>
    <w:p w14:paraId="565F950A">
      <w:pPr>
        <w:spacing w:before="120" w:after="120" w:line="0" w:lineRule="atLeast"/>
        <w:ind w:firstLine="482"/>
        <w:jc w:val="left"/>
        <w:rPr>
          <w:rFonts w:ascii="宋体" w:hAnsi="宋体" w:eastAsia="宋体" w:cs="Times New Roman"/>
          <w:b/>
          <w:color w:val="auto"/>
          <w:sz w:val="24"/>
          <w:highlight w:val="none"/>
        </w:rPr>
      </w:pPr>
      <w:r>
        <w:rPr>
          <w:rFonts w:hint="eastAsia" w:ascii="宋体" w:hAnsi="宋体" w:eastAsia="宋体" w:cs="Times New Roman"/>
          <w:b/>
          <w:color w:val="auto"/>
          <w:sz w:val="24"/>
          <w:highlight w:val="none"/>
          <w:lang w:val="en-US" w:eastAsia="zh-CN"/>
        </w:rPr>
        <w:t>二</w:t>
      </w:r>
      <w:r>
        <w:rPr>
          <w:rFonts w:hint="eastAsia" w:ascii="宋体" w:hAnsi="宋体" w:eastAsia="宋体" w:cs="Times New Roman"/>
          <w:b/>
          <w:color w:val="auto"/>
          <w:sz w:val="24"/>
          <w:highlight w:val="none"/>
        </w:rPr>
        <w:t>、评标方法与评标标准</w:t>
      </w:r>
    </w:p>
    <w:p w14:paraId="2BE59333">
      <w:pPr>
        <w:spacing w:line="400" w:lineRule="exact"/>
        <w:ind w:firstLine="42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（一）评标时，评标委员会以招标文件为评标依据，评标委员会各成员独立对每个投标人的投标文件进行评价，并汇总每个投标人的得分。</w:t>
      </w:r>
    </w:p>
    <w:p w14:paraId="214CDAF4">
      <w:pPr>
        <w:spacing w:line="40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（二）本项目评分总分为100分，按四舍五入取至小数点后两位。</w:t>
      </w:r>
    </w:p>
    <w:p w14:paraId="1C788ACD">
      <w:pPr>
        <w:spacing w:line="40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（三）总得分 =价格分 + 商务技术分 </w:t>
      </w:r>
    </w:p>
    <w:p w14:paraId="57718AE0">
      <w:pPr>
        <w:spacing w:line="40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四）中标标准：评标结果按评审后得分由高到低顺序排列。得分相同的，按投标报价由低到高顺序排列。得分且投标报价相同的并列。投标文件满足采购文件全部实质性要求，且按照评审因素的量化指标评审得分最高的投标人为排名第一的中标候选人。</w:t>
      </w:r>
    </w:p>
    <w:tbl>
      <w:tblPr>
        <w:tblStyle w:val="11"/>
        <w:tblW w:w="4997"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1756"/>
        <w:gridCol w:w="5658"/>
      </w:tblGrid>
      <w:tr w14:paraId="1E5B0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626" w:type="dxa"/>
            <w:gridSpan w:val="2"/>
            <w:noWrap/>
            <w:vAlign w:val="center"/>
          </w:tcPr>
          <w:p w14:paraId="39E99A41">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评分因素</w:t>
            </w:r>
          </w:p>
        </w:tc>
        <w:tc>
          <w:tcPr>
            <w:tcW w:w="5658" w:type="dxa"/>
            <w:noWrap/>
            <w:vAlign w:val="center"/>
          </w:tcPr>
          <w:p w14:paraId="51CF7226">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评分标准</w:t>
            </w:r>
          </w:p>
        </w:tc>
      </w:tr>
      <w:tr w14:paraId="700C1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3626" w:type="dxa"/>
            <w:gridSpan w:val="2"/>
            <w:noWrap/>
            <w:vAlign w:val="center"/>
          </w:tcPr>
          <w:p w14:paraId="244378F5">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价格分（10分）</w:t>
            </w:r>
          </w:p>
        </w:tc>
        <w:tc>
          <w:tcPr>
            <w:tcW w:w="5658" w:type="dxa"/>
            <w:vAlign w:val="center"/>
          </w:tcPr>
          <w:p w14:paraId="4B841BCE">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价格分采用低价优先法计算，即满足采购文件要求且投标价格最低的投标报价为评标基准价，其价格分为满分。其他投标人的价格分统一按照下列公式计算：</w:t>
            </w:r>
          </w:p>
          <w:p w14:paraId="262B8EA5">
            <w:pPr>
              <w:widowControl/>
              <w:jc w:val="left"/>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投标报价得分=（评标基准价/投标报价）*10，小数点后保留2位。</w:t>
            </w:r>
          </w:p>
        </w:tc>
      </w:tr>
      <w:tr w14:paraId="2822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3626" w:type="dxa"/>
            <w:gridSpan w:val="2"/>
            <w:noWrap/>
            <w:vAlign w:val="center"/>
          </w:tcPr>
          <w:p w14:paraId="04147202">
            <w:pPr>
              <w:widowControl/>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技术参数响应（26分）</w:t>
            </w:r>
          </w:p>
        </w:tc>
        <w:tc>
          <w:tcPr>
            <w:tcW w:w="5658" w:type="dxa"/>
            <w:vAlign w:val="center"/>
          </w:tcPr>
          <w:p w14:paraId="2BA26087">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Lines="0" w:beforeAutospacing="0" w:after="0" w:afterLines="0" w:afterAutospacing="0"/>
              <w:ind w:left="0" w:leftChars="0" w:right="0" w:rightChars="0" w:firstLineChars="200"/>
              <w:jc w:val="left"/>
              <w:textAlignment w:val="auto"/>
              <w:outlineLvl w:val="9"/>
              <w:rPr>
                <w:rFonts w:hint="eastAsia" w:ascii="宋体" w:hAnsi="宋体" w:eastAsia="宋体" w:cs="宋体"/>
                <w:i w:val="0"/>
                <w:caps w:val="0"/>
                <w:color w:val="auto"/>
                <w:spacing w:val="0"/>
                <w:sz w:val="24"/>
                <w:szCs w:val="24"/>
                <w:highlight w:val="none"/>
                <w:shd w:val="clear" w:color="auto" w:fill="FFFFFF"/>
                <w:lang w:eastAsia="zh-CN"/>
              </w:rPr>
            </w:pPr>
            <w:r>
              <w:rPr>
                <w:rFonts w:hint="eastAsia" w:ascii="宋体" w:hAnsi="宋体" w:eastAsia="宋体" w:cs="宋体"/>
                <w:i w:val="0"/>
                <w:caps w:val="0"/>
                <w:color w:val="auto"/>
                <w:spacing w:val="0"/>
                <w:sz w:val="24"/>
                <w:szCs w:val="24"/>
                <w:highlight w:val="none"/>
                <w:shd w:val="clear" w:color="auto" w:fill="FFFFFF"/>
              </w:rPr>
              <w:t>投标人对项目需求中所有参数情况进行响应，所有参数满足要求的得</w:t>
            </w:r>
            <w:r>
              <w:rPr>
                <w:rFonts w:hint="eastAsia" w:eastAsia="宋体" w:cs="宋体"/>
                <w:i w:val="0"/>
                <w:caps w:val="0"/>
                <w:color w:val="auto"/>
                <w:spacing w:val="0"/>
                <w:sz w:val="24"/>
                <w:szCs w:val="24"/>
                <w:highlight w:val="none"/>
                <w:shd w:val="clear" w:color="auto" w:fill="FFFFFF"/>
                <w:lang w:val="en-US" w:eastAsia="zh-CN"/>
              </w:rPr>
              <w:t>26</w:t>
            </w:r>
            <w:r>
              <w:rPr>
                <w:rFonts w:hint="eastAsia" w:ascii="宋体" w:hAnsi="宋体" w:eastAsia="宋体" w:cs="宋体"/>
                <w:i w:val="0"/>
                <w:caps w:val="0"/>
                <w:color w:val="auto"/>
                <w:spacing w:val="0"/>
                <w:sz w:val="24"/>
                <w:szCs w:val="24"/>
                <w:highlight w:val="none"/>
                <w:shd w:val="clear" w:color="auto" w:fill="FFFFFF"/>
              </w:rPr>
              <w:t>分，加▲号的技术参数为主要参数，每不满足一条，扣</w:t>
            </w:r>
            <w:r>
              <w:rPr>
                <w:rFonts w:hint="eastAsia" w:cs="宋体"/>
                <w:i w:val="0"/>
                <w:caps w:val="0"/>
                <w:color w:val="auto"/>
                <w:spacing w:val="0"/>
                <w:sz w:val="24"/>
                <w:szCs w:val="24"/>
                <w:highlight w:val="none"/>
                <w:shd w:val="clear" w:color="auto" w:fill="FFFFFF"/>
                <w:lang w:val="en-US" w:eastAsia="zh-CN"/>
              </w:rPr>
              <w:t>3</w:t>
            </w:r>
            <w:r>
              <w:rPr>
                <w:rFonts w:hint="eastAsia" w:ascii="宋体" w:hAnsi="宋体" w:eastAsia="宋体" w:cs="宋体"/>
                <w:i w:val="0"/>
                <w:caps w:val="0"/>
                <w:color w:val="auto"/>
                <w:spacing w:val="0"/>
                <w:sz w:val="24"/>
                <w:szCs w:val="24"/>
                <w:highlight w:val="none"/>
                <w:shd w:val="clear" w:color="auto" w:fill="FFFFFF"/>
              </w:rPr>
              <w:t>分</w:t>
            </w:r>
            <w:r>
              <w:rPr>
                <w:rFonts w:hint="eastAsia" w:eastAsia="宋体" w:cs="宋体"/>
                <w:i w:val="0"/>
                <w:caps w:val="0"/>
                <w:color w:val="auto"/>
                <w:spacing w:val="0"/>
                <w:sz w:val="24"/>
                <w:szCs w:val="24"/>
                <w:highlight w:val="none"/>
                <w:shd w:val="clear" w:color="auto" w:fill="FFFFFF"/>
                <w:lang w:eastAsia="zh-CN"/>
              </w:rPr>
              <w:t>，</w:t>
            </w:r>
            <w:r>
              <w:rPr>
                <w:rFonts w:hint="eastAsia" w:eastAsia="宋体" w:cs="宋体"/>
                <w:i w:val="0"/>
                <w:caps w:val="0"/>
                <w:color w:val="auto"/>
                <w:spacing w:val="0"/>
                <w:sz w:val="24"/>
                <w:szCs w:val="24"/>
                <w:highlight w:val="none"/>
                <w:shd w:val="clear" w:color="auto" w:fill="FFFFFF"/>
                <w:lang w:val="en-US" w:eastAsia="zh-CN"/>
              </w:rPr>
              <w:t>扣完为止</w:t>
            </w:r>
            <w:r>
              <w:rPr>
                <w:rFonts w:hint="eastAsia" w:eastAsia="宋体" w:cs="宋体"/>
                <w:i w:val="0"/>
                <w:caps w:val="0"/>
                <w:color w:val="auto"/>
                <w:spacing w:val="0"/>
                <w:sz w:val="24"/>
                <w:szCs w:val="24"/>
                <w:highlight w:val="none"/>
                <w:shd w:val="clear" w:color="auto" w:fill="FFFFFF"/>
                <w:lang w:eastAsia="zh-CN"/>
              </w:rPr>
              <w:t>。</w:t>
            </w:r>
          </w:p>
          <w:p w14:paraId="16765855">
            <w:pPr>
              <w:widowControl/>
              <w:spacing w:line="360" w:lineRule="auto"/>
              <w:ind w:firstLine="0" w:firstLineChars="0"/>
              <w:jc w:val="left"/>
              <w:rPr>
                <w:rFonts w:hint="eastAsia" w:ascii="宋体" w:hAnsi="宋体" w:eastAsia="宋体" w:cs="宋体"/>
                <w:color w:val="auto"/>
                <w:kern w:val="0"/>
                <w:sz w:val="24"/>
                <w:highlight w:val="none"/>
              </w:rPr>
            </w:pPr>
            <w:r>
              <w:rPr>
                <w:rFonts w:hint="eastAsia" w:ascii="宋体" w:hAnsi="宋体" w:eastAsia="宋体" w:cs="宋体"/>
                <w:i w:val="0"/>
                <w:caps w:val="0"/>
                <w:color w:val="auto"/>
                <w:spacing w:val="0"/>
                <w:kern w:val="0"/>
                <w:sz w:val="24"/>
                <w:szCs w:val="24"/>
                <w:highlight w:val="none"/>
                <w:shd w:val="clear" w:color="auto" w:fill="FFFFFF"/>
              </w:rPr>
              <w:t>注：投标人须按技术参数要求如实填写技术偏离表，</w:t>
            </w:r>
            <w:r>
              <w:rPr>
                <w:rFonts w:hint="eastAsia" w:ascii="宋体" w:hAnsi="宋体" w:eastAsia="宋体" w:cs="宋体"/>
                <w:i w:val="0"/>
                <w:caps w:val="0"/>
                <w:color w:val="auto"/>
                <w:spacing w:val="0"/>
                <w:kern w:val="0"/>
                <w:sz w:val="24"/>
                <w:szCs w:val="24"/>
                <w:highlight w:val="none"/>
                <w:shd w:val="clear" w:color="auto" w:fill="FFFFFF"/>
                <w:lang w:eastAsia="zh-CN"/>
              </w:rPr>
              <w:t>货物清单</w:t>
            </w:r>
            <w:r>
              <w:rPr>
                <w:rFonts w:hint="eastAsia" w:ascii="宋体" w:hAnsi="宋体" w:eastAsia="宋体" w:cs="宋体"/>
                <w:i w:val="0"/>
                <w:caps w:val="0"/>
                <w:color w:val="auto"/>
                <w:spacing w:val="0"/>
                <w:kern w:val="0"/>
                <w:sz w:val="24"/>
                <w:szCs w:val="24"/>
                <w:highlight w:val="none"/>
                <w:shd w:val="clear" w:color="auto" w:fill="FFFFFF"/>
              </w:rPr>
              <w:t>中主要参数符合或优于招标文件要求的证明文件的则按要求提供，否则不得分。</w:t>
            </w:r>
          </w:p>
        </w:tc>
      </w:tr>
      <w:tr w14:paraId="5C90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1870" w:type="dxa"/>
            <w:vMerge w:val="restart"/>
            <w:noWrap/>
            <w:vAlign w:val="center"/>
          </w:tcPr>
          <w:p w14:paraId="1BD4448A">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技术分</w:t>
            </w:r>
          </w:p>
          <w:p w14:paraId="39562CFD">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36</w:t>
            </w:r>
            <w:r>
              <w:rPr>
                <w:rFonts w:hint="eastAsia" w:ascii="宋体" w:hAnsi="宋体" w:eastAsia="宋体" w:cs="宋体"/>
                <w:color w:val="auto"/>
                <w:kern w:val="0"/>
                <w:sz w:val="24"/>
                <w:highlight w:val="none"/>
              </w:rPr>
              <w:t>分）</w:t>
            </w:r>
          </w:p>
        </w:tc>
        <w:tc>
          <w:tcPr>
            <w:tcW w:w="1756" w:type="dxa"/>
            <w:vAlign w:val="center"/>
          </w:tcPr>
          <w:p w14:paraId="7994BE3E">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auto"/>
                <w:spacing w:val="-4"/>
                <w:sz w:val="24"/>
                <w:highlight w:val="none"/>
              </w:rPr>
            </w:pPr>
            <w:r>
              <w:rPr>
                <w:rFonts w:hint="eastAsia" w:ascii="Times New Roman" w:hAnsi="Times New Roman" w:eastAsia="宋体" w:cs="Times New Roman"/>
                <w:color w:val="auto"/>
                <w:sz w:val="24"/>
                <w:highlight w:val="none"/>
              </w:rPr>
              <w:t>智慧园区平台软硬件现状</w:t>
            </w:r>
            <w:r>
              <w:rPr>
                <w:rFonts w:hint="eastAsia" w:ascii="Times New Roman" w:hAnsi="Times New Roman" w:eastAsia="宋体" w:cs="Times New Roman"/>
                <w:color w:val="auto"/>
                <w:spacing w:val="-4"/>
                <w:sz w:val="24"/>
                <w:highlight w:val="none"/>
              </w:rPr>
              <w:t>（</w:t>
            </w:r>
            <w:r>
              <w:rPr>
                <w:rFonts w:hint="eastAsia" w:ascii="Times New Roman" w:hAnsi="Times New Roman" w:eastAsia="宋体" w:cs="Times New Roman"/>
                <w:color w:val="auto"/>
                <w:spacing w:val="-4"/>
                <w:sz w:val="24"/>
                <w:highlight w:val="none"/>
                <w:lang w:val="en-US" w:eastAsia="zh-CN"/>
              </w:rPr>
              <w:t>9</w:t>
            </w:r>
            <w:r>
              <w:rPr>
                <w:rFonts w:hint="eastAsia" w:ascii="Times New Roman" w:hAnsi="Times New Roman" w:eastAsia="宋体" w:cs="Times New Roman"/>
                <w:color w:val="auto"/>
                <w:spacing w:val="-4"/>
                <w:sz w:val="24"/>
                <w:highlight w:val="none"/>
              </w:rPr>
              <w:t>分）</w:t>
            </w:r>
          </w:p>
        </w:tc>
        <w:tc>
          <w:tcPr>
            <w:tcW w:w="5658" w:type="dxa"/>
            <w:vAlign w:val="center"/>
          </w:tcPr>
          <w:p w14:paraId="1A34E0AA">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为全面响应招标文件要求，保障园区智能化设备精准维护，投标人须自行对项目现场进行实地踏勘，全面摸排园区现有</w:t>
            </w:r>
            <w:r>
              <w:rPr>
                <w:rFonts w:hint="eastAsia" w:ascii="Calibri" w:hAnsi="Calibri" w:eastAsia="宋体" w:cs="Times New Roman"/>
                <w:color w:val="auto"/>
                <w:kern w:val="0"/>
                <w:sz w:val="24"/>
                <w:szCs w:val="24"/>
                <w:highlight w:val="none"/>
                <w:lang w:val="en-US" w:eastAsia="zh-CN"/>
              </w:rPr>
              <w:t>智慧化平台系统、配套设备设施及</w:t>
            </w:r>
            <w:r>
              <w:rPr>
                <w:rFonts w:hint="default" w:ascii="Calibri" w:hAnsi="Calibri" w:eastAsia="宋体" w:cs="Times New Roman"/>
                <w:color w:val="auto"/>
                <w:kern w:val="0"/>
                <w:sz w:val="24"/>
                <w:szCs w:val="24"/>
                <w:highlight w:val="none"/>
                <w:lang w:val="en-US" w:eastAsia="zh-CN"/>
              </w:rPr>
              <w:t>网络传输实际现状。投标人应在投标文件中</w:t>
            </w:r>
            <w:r>
              <w:rPr>
                <w:rFonts w:hint="eastAsia" w:ascii="Calibri" w:hAnsi="Calibri" w:eastAsia="宋体" w:cs="Times New Roman"/>
                <w:color w:val="auto"/>
                <w:kern w:val="0"/>
                <w:sz w:val="24"/>
                <w:szCs w:val="24"/>
                <w:highlight w:val="none"/>
                <w:lang w:val="en-US" w:eastAsia="zh-CN"/>
              </w:rPr>
              <w:t>提供智慧平台现有系统架构设计图、软系统功能模块描述及园区数据交换共享现状；</w:t>
            </w:r>
            <w:r>
              <w:rPr>
                <w:rFonts w:hint="eastAsia" w:ascii="Calibri" w:hAnsi="Calibri" w:eastAsia="宋体" w:cs="Times New Roman"/>
                <w:b w:val="0"/>
                <w:bCs w:val="0"/>
                <w:color w:val="auto"/>
                <w:kern w:val="0"/>
                <w:sz w:val="24"/>
                <w:szCs w:val="24"/>
                <w:highlight w:val="none"/>
                <w:lang w:val="en-US" w:eastAsia="zh-CN"/>
              </w:rPr>
              <w:t>提供智慧园区现有整体网络拓扑图</w:t>
            </w:r>
            <w:r>
              <w:rPr>
                <w:rFonts w:hint="eastAsia" w:ascii="Calibri" w:hAnsi="Calibri" w:eastAsia="宋体" w:cs="Times New Roman"/>
                <w:color w:val="auto"/>
                <w:kern w:val="0"/>
                <w:sz w:val="24"/>
                <w:szCs w:val="24"/>
                <w:highlight w:val="none"/>
                <w:lang w:val="en-US" w:eastAsia="zh-CN"/>
              </w:rPr>
              <w:t>；</w:t>
            </w:r>
            <w:r>
              <w:rPr>
                <w:rFonts w:hint="default" w:ascii="Calibri" w:hAnsi="Calibri" w:eastAsia="宋体" w:cs="Times New Roman"/>
                <w:color w:val="auto"/>
                <w:kern w:val="0"/>
                <w:sz w:val="24"/>
                <w:szCs w:val="24"/>
                <w:highlight w:val="none"/>
                <w:lang w:val="en-US" w:eastAsia="zh-CN"/>
              </w:rPr>
              <w:t>提供园区智能化设备点位分布图及各区域传输链路汇聚图：设备点位分布图须完整、准确标注园区在用卡口、周界报警</w:t>
            </w:r>
            <w:r>
              <w:rPr>
                <w:rFonts w:hint="eastAsia" w:ascii="Calibri" w:hAnsi="Calibri" w:eastAsia="宋体" w:cs="Times New Roman"/>
                <w:color w:val="auto"/>
                <w:kern w:val="0"/>
                <w:sz w:val="24"/>
                <w:szCs w:val="24"/>
                <w:highlight w:val="none"/>
                <w:lang w:val="en-US" w:eastAsia="zh-CN"/>
              </w:rPr>
              <w:t>相机</w:t>
            </w:r>
            <w:r>
              <w:rPr>
                <w:rFonts w:hint="default" w:ascii="Calibri" w:hAnsi="Calibri" w:eastAsia="宋体" w:cs="Times New Roman"/>
                <w:color w:val="auto"/>
                <w:kern w:val="0"/>
                <w:sz w:val="24"/>
                <w:szCs w:val="24"/>
                <w:highlight w:val="none"/>
                <w:lang w:val="en-US" w:eastAsia="zh-CN"/>
              </w:rPr>
              <w:t>、高空瞭望</w:t>
            </w:r>
            <w:r>
              <w:rPr>
                <w:rFonts w:hint="eastAsia" w:ascii="Calibri" w:hAnsi="Calibri" w:eastAsia="宋体" w:cs="Times New Roman"/>
                <w:color w:val="auto"/>
                <w:kern w:val="0"/>
                <w:sz w:val="24"/>
                <w:szCs w:val="24"/>
                <w:highlight w:val="none"/>
                <w:lang w:val="en-US" w:eastAsia="zh-CN"/>
              </w:rPr>
              <w:t>云台</w:t>
            </w:r>
            <w:r>
              <w:rPr>
                <w:rFonts w:hint="default" w:ascii="Calibri" w:hAnsi="Calibri" w:eastAsia="宋体" w:cs="Times New Roman"/>
                <w:color w:val="auto"/>
                <w:kern w:val="0"/>
                <w:sz w:val="24"/>
                <w:szCs w:val="24"/>
                <w:highlight w:val="none"/>
                <w:lang w:val="en-US" w:eastAsia="zh-CN"/>
              </w:rPr>
              <w:t>、道路监控</w:t>
            </w:r>
            <w:r>
              <w:rPr>
                <w:rFonts w:hint="eastAsia" w:ascii="Calibri" w:hAnsi="Calibri" w:eastAsia="宋体" w:cs="Times New Roman"/>
                <w:color w:val="auto"/>
                <w:kern w:val="0"/>
                <w:sz w:val="24"/>
                <w:szCs w:val="24"/>
                <w:highlight w:val="none"/>
                <w:lang w:val="en-US" w:eastAsia="zh-CN"/>
              </w:rPr>
              <w:t>、应急广播、测速抓拍</w:t>
            </w:r>
            <w:r>
              <w:rPr>
                <w:rFonts w:hint="default" w:ascii="Calibri" w:hAnsi="Calibri" w:eastAsia="宋体" w:cs="Times New Roman"/>
                <w:color w:val="auto"/>
                <w:kern w:val="0"/>
                <w:sz w:val="24"/>
                <w:szCs w:val="24"/>
                <w:highlight w:val="none"/>
                <w:lang w:val="en-US" w:eastAsia="zh-CN"/>
              </w:rPr>
              <w:t>等</w:t>
            </w:r>
            <w:r>
              <w:rPr>
                <w:rFonts w:hint="eastAsia" w:ascii="Calibri" w:hAnsi="Calibri" w:eastAsia="宋体" w:cs="Times New Roman"/>
                <w:color w:val="auto"/>
                <w:kern w:val="0"/>
                <w:sz w:val="24"/>
                <w:szCs w:val="24"/>
                <w:highlight w:val="none"/>
                <w:lang w:val="en-US" w:eastAsia="zh-CN"/>
              </w:rPr>
              <w:t>核心</w:t>
            </w:r>
            <w:r>
              <w:rPr>
                <w:rFonts w:hint="default" w:ascii="Calibri" w:hAnsi="Calibri" w:eastAsia="宋体" w:cs="Times New Roman"/>
                <w:color w:val="auto"/>
                <w:kern w:val="0"/>
                <w:sz w:val="24"/>
                <w:szCs w:val="24"/>
                <w:highlight w:val="none"/>
                <w:lang w:val="en-US" w:eastAsia="zh-CN"/>
              </w:rPr>
              <w:t>智能化设备具体位置；传输链路汇聚图须清晰反映</w:t>
            </w:r>
            <w:r>
              <w:rPr>
                <w:rFonts w:hint="eastAsia" w:ascii="Calibri" w:hAnsi="Calibri" w:eastAsia="宋体" w:cs="Times New Roman"/>
                <w:color w:val="auto"/>
                <w:kern w:val="0"/>
                <w:sz w:val="24"/>
                <w:szCs w:val="24"/>
                <w:highlight w:val="none"/>
                <w:lang w:val="en-US" w:eastAsia="zh-CN"/>
              </w:rPr>
              <w:t>园区内</w:t>
            </w:r>
            <w:r>
              <w:rPr>
                <w:rFonts w:hint="default" w:ascii="Calibri" w:hAnsi="Calibri" w:eastAsia="宋体" w:cs="Times New Roman"/>
                <w:color w:val="auto"/>
                <w:kern w:val="0"/>
                <w:sz w:val="24"/>
                <w:szCs w:val="24"/>
                <w:highlight w:val="none"/>
                <w:lang w:val="en-US" w:eastAsia="zh-CN"/>
              </w:rPr>
              <w:t>各区域传输链路汇聚节点。</w:t>
            </w:r>
          </w:p>
          <w:p w14:paraId="39016B05">
            <w:pPr>
              <w:ind w:left="0" w:firstLine="0" w:firstLineChars="0"/>
              <w:rPr>
                <w:rFonts w:ascii="Calibri" w:hAnsi="Calibri" w:eastAsia="宋体" w:cs="Times New Roman"/>
                <w:i w:val="0"/>
                <w:iCs w:val="0"/>
                <w:caps w:val="0"/>
                <w:color w:val="auto"/>
                <w:spacing w:val="0"/>
                <w:kern w:val="0"/>
                <w:sz w:val="24"/>
                <w:szCs w:val="24"/>
                <w:highlight w:val="none"/>
                <w:shd w:val="clear" w:fill="auto"/>
              </w:rPr>
            </w:pPr>
            <w:r>
              <w:rPr>
                <w:rFonts w:hint="eastAsia" w:cs="Times New Roman"/>
                <w:i w:val="0"/>
                <w:iCs w:val="0"/>
                <w:caps w:val="0"/>
                <w:color w:val="auto"/>
                <w:spacing w:val="0"/>
                <w:kern w:val="0"/>
                <w:sz w:val="24"/>
                <w:szCs w:val="24"/>
                <w:highlight w:val="none"/>
                <w:shd w:val="clear"/>
                <w:lang w:eastAsia="zh-CN"/>
              </w:rPr>
              <w:t>（</w:t>
            </w:r>
            <w:r>
              <w:rPr>
                <w:rFonts w:hint="eastAsia" w:cs="Times New Roman"/>
                <w:i w:val="0"/>
                <w:iCs w:val="0"/>
                <w:caps w:val="0"/>
                <w:color w:val="auto"/>
                <w:spacing w:val="0"/>
                <w:kern w:val="0"/>
                <w:sz w:val="24"/>
                <w:szCs w:val="24"/>
                <w:highlight w:val="none"/>
                <w:shd w:val="clear"/>
                <w:lang w:val="en-US" w:eastAsia="zh-CN"/>
              </w:rPr>
              <w:t>1</w:t>
            </w:r>
            <w:r>
              <w:rPr>
                <w:rFonts w:hint="eastAsia" w:cs="Times New Roman"/>
                <w:i w:val="0"/>
                <w:iCs w:val="0"/>
                <w:caps w:val="0"/>
                <w:color w:val="auto"/>
                <w:spacing w:val="0"/>
                <w:kern w:val="0"/>
                <w:sz w:val="24"/>
                <w:szCs w:val="24"/>
                <w:highlight w:val="none"/>
                <w:shd w:val="clear"/>
                <w:lang w:eastAsia="zh-CN"/>
              </w:rPr>
              <w:t>）</w:t>
            </w:r>
            <w:r>
              <w:rPr>
                <w:rFonts w:ascii="Calibri" w:hAnsi="Calibri" w:eastAsia="宋体" w:cs="Times New Roman"/>
                <w:i w:val="0"/>
                <w:iCs w:val="0"/>
                <w:caps w:val="0"/>
                <w:color w:val="auto"/>
                <w:spacing w:val="0"/>
                <w:kern w:val="0"/>
                <w:sz w:val="24"/>
                <w:szCs w:val="24"/>
                <w:highlight w:val="none"/>
                <w:shd w:val="clear" w:fill="auto"/>
              </w:rPr>
              <w:t>能完整提供智慧平台现有系统架构设计图、软件功能模块描述及园区数据交换共享现状说明，内容清晰、准确的，得</w:t>
            </w:r>
            <w:r>
              <w:rPr>
                <w:rFonts w:hint="eastAsia" w:cs="Times New Roman"/>
                <w:i w:val="0"/>
                <w:iCs w:val="0"/>
                <w:caps w:val="0"/>
                <w:color w:val="auto"/>
                <w:spacing w:val="0"/>
                <w:kern w:val="0"/>
                <w:sz w:val="24"/>
                <w:szCs w:val="24"/>
                <w:highlight w:val="none"/>
                <w:shd w:val="clear"/>
                <w:lang w:val="en-US" w:eastAsia="zh-CN"/>
              </w:rPr>
              <w:t>3</w:t>
            </w:r>
            <w:r>
              <w:rPr>
                <w:rFonts w:ascii="Calibri" w:hAnsi="Calibri" w:eastAsia="宋体" w:cs="Times New Roman"/>
                <w:i w:val="0"/>
                <w:iCs w:val="0"/>
                <w:caps w:val="0"/>
                <w:color w:val="auto"/>
                <w:spacing w:val="0"/>
                <w:kern w:val="0"/>
                <w:sz w:val="24"/>
                <w:szCs w:val="24"/>
                <w:highlight w:val="none"/>
                <w:shd w:val="clear" w:fill="auto"/>
              </w:rPr>
              <w:t>分；</w:t>
            </w:r>
          </w:p>
          <w:p w14:paraId="6CA4D723">
            <w:pPr>
              <w:ind w:left="0" w:firstLine="0" w:firstLineChars="0"/>
              <w:rPr>
                <w:rFonts w:ascii="Calibri" w:hAnsi="Calibri" w:eastAsia="宋体" w:cs="Times New Roman"/>
                <w:i w:val="0"/>
                <w:iCs w:val="0"/>
                <w:caps w:val="0"/>
                <w:color w:val="auto"/>
                <w:spacing w:val="0"/>
                <w:kern w:val="0"/>
                <w:sz w:val="24"/>
                <w:szCs w:val="24"/>
                <w:highlight w:val="none"/>
                <w:shd w:val="clear" w:fill="auto"/>
              </w:rPr>
            </w:pPr>
            <w:r>
              <w:rPr>
                <w:rFonts w:ascii="Calibri" w:hAnsi="Calibri" w:eastAsia="宋体" w:cs="Times New Roman"/>
                <w:i w:val="0"/>
                <w:iCs w:val="0"/>
                <w:caps w:val="0"/>
                <w:color w:val="auto"/>
                <w:spacing w:val="0"/>
                <w:kern w:val="0"/>
                <w:sz w:val="24"/>
                <w:szCs w:val="24"/>
                <w:highlight w:val="none"/>
                <w:shd w:val="clear" w:fill="auto"/>
              </w:rPr>
              <w:t>内容部分缺失或描述不够清晰的，得1分；</w:t>
            </w:r>
          </w:p>
          <w:p w14:paraId="047313A9">
            <w:pPr>
              <w:ind w:left="0" w:firstLine="0" w:firstLineChars="0"/>
              <w:rPr>
                <w:rFonts w:hint="default"/>
                <w:color w:val="auto"/>
                <w:kern w:val="0"/>
                <w:sz w:val="24"/>
                <w:szCs w:val="24"/>
                <w:highlight w:val="none"/>
                <w:lang w:val="en-US" w:eastAsia="zh-CN"/>
              </w:rPr>
            </w:pPr>
            <w:r>
              <w:rPr>
                <w:rFonts w:ascii="Calibri" w:hAnsi="Calibri" w:eastAsia="宋体" w:cs="Times New Roman"/>
                <w:i w:val="0"/>
                <w:iCs w:val="0"/>
                <w:caps w:val="0"/>
                <w:color w:val="auto"/>
                <w:spacing w:val="0"/>
                <w:kern w:val="0"/>
                <w:sz w:val="24"/>
                <w:szCs w:val="24"/>
                <w:highlight w:val="none"/>
                <w:shd w:val="clear" w:fill="auto"/>
              </w:rPr>
              <w:t>未提供或内容严重缺失的，得0分。</w:t>
            </w:r>
          </w:p>
          <w:p w14:paraId="1593B15E">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Calibri" w:hAnsi="Calibri" w:eastAsia="宋体" w:cs="Times New Roman"/>
                <w:color w:val="auto"/>
                <w:kern w:val="0"/>
                <w:sz w:val="24"/>
                <w:szCs w:val="24"/>
                <w:highlight w:val="none"/>
                <w:lang w:val="en-US" w:eastAsia="zh-CN"/>
              </w:rPr>
            </w:pPr>
            <w:r>
              <w:rPr>
                <w:rFonts w:hint="eastAsia" w:ascii="Calibri" w:hAnsi="Calibri" w:eastAsia="宋体" w:cs="Times New Roman"/>
                <w:color w:val="auto"/>
                <w:kern w:val="0"/>
                <w:sz w:val="24"/>
                <w:szCs w:val="24"/>
                <w:highlight w:val="none"/>
                <w:lang w:val="en-US" w:eastAsia="zh-CN"/>
              </w:rPr>
              <w:t>（2）能完整覆盖</w:t>
            </w:r>
            <w:r>
              <w:rPr>
                <w:rFonts w:hint="default" w:ascii="宋体" w:hAnsi="宋体" w:eastAsia="宋体" w:cs="宋体"/>
                <w:color w:val="auto"/>
                <w:kern w:val="0"/>
                <w:sz w:val="24"/>
                <w:szCs w:val="24"/>
                <w:highlight w:val="none"/>
              </w:rPr>
              <w:t>核心设备点位，标注规范、位置准确、与现场实际高度一致</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得</w:t>
            </w:r>
            <w:r>
              <w:rPr>
                <w:rFonts w:hint="eastAsia" w:ascii="Calibri" w:hAnsi="Calibri" w:eastAsia="宋体" w:cs="Times New Roman"/>
                <w:color w:val="auto"/>
                <w:kern w:val="0"/>
                <w:sz w:val="24"/>
                <w:szCs w:val="24"/>
                <w:highlight w:val="none"/>
                <w:lang w:val="en-US" w:eastAsia="zh-CN"/>
              </w:rPr>
              <w:t>3分；</w:t>
            </w:r>
          </w:p>
          <w:p w14:paraId="588AD8D8">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主要设备点位齐全但存在少量遗漏或标注不够清晰，得</w:t>
            </w:r>
            <w:r>
              <w:rPr>
                <w:rFonts w:hint="eastAsia" w:ascii="Calibri" w:hAnsi="Calibri" w:eastAsia="宋体" w:cs="Times New Roman"/>
                <w:color w:val="auto"/>
                <w:kern w:val="0"/>
                <w:sz w:val="24"/>
                <w:szCs w:val="24"/>
                <w:highlight w:val="none"/>
                <w:lang w:val="en-US" w:eastAsia="zh-CN"/>
              </w:rPr>
              <w:t>2</w:t>
            </w:r>
            <w:r>
              <w:rPr>
                <w:rFonts w:hint="default" w:ascii="Calibri" w:hAnsi="Calibri" w:eastAsia="宋体" w:cs="Times New Roman"/>
                <w:color w:val="auto"/>
                <w:kern w:val="0"/>
                <w:sz w:val="24"/>
                <w:szCs w:val="24"/>
                <w:highlight w:val="none"/>
                <w:lang w:val="en-US" w:eastAsia="zh-CN"/>
              </w:rPr>
              <w:t>分；</w:t>
            </w:r>
          </w:p>
          <w:p w14:paraId="45FE6700">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仅提供部分设备点位或图纸粗糙、与现场偏差明显，得1分</w:t>
            </w:r>
            <w:r>
              <w:rPr>
                <w:rFonts w:hint="eastAsia" w:ascii="Calibri" w:hAnsi="Calibri" w:eastAsia="宋体" w:cs="Times New Roman"/>
                <w:color w:val="auto"/>
                <w:kern w:val="0"/>
                <w:sz w:val="24"/>
                <w:szCs w:val="24"/>
                <w:highlight w:val="none"/>
                <w:lang w:val="en-US" w:eastAsia="zh-CN"/>
              </w:rPr>
              <w:t>。</w:t>
            </w:r>
          </w:p>
          <w:p w14:paraId="2F922479">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Calibri" w:hAnsi="Calibri" w:eastAsia="宋体" w:cs="Times New Roman"/>
                <w:color w:val="auto"/>
                <w:kern w:val="0"/>
                <w:sz w:val="24"/>
                <w:szCs w:val="24"/>
                <w:highlight w:val="none"/>
                <w:lang w:val="en-US" w:eastAsia="zh-CN"/>
              </w:rPr>
            </w:pPr>
            <w:r>
              <w:rPr>
                <w:rFonts w:hint="eastAsia" w:ascii="Calibri" w:hAnsi="Calibri" w:eastAsia="宋体" w:cs="Times New Roman"/>
                <w:color w:val="auto"/>
                <w:kern w:val="0"/>
                <w:sz w:val="24"/>
                <w:szCs w:val="24"/>
                <w:highlight w:val="none"/>
                <w:lang w:val="en-US" w:eastAsia="zh-CN"/>
              </w:rPr>
              <w:t>（3）</w:t>
            </w:r>
            <w:r>
              <w:rPr>
                <w:rFonts w:hint="eastAsia" w:ascii="Calibri" w:hAnsi="Calibri" w:eastAsia="宋体" w:cs="Times New Roman"/>
                <w:b w:val="0"/>
                <w:bCs w:val="0"/>
                <w:color w:val="auto"/>
                <w:kern w:val="0"/>
                <w:sz w:val="24"/>
                <w:szCs w:val="24"/>
                <w:highlight w:val="none"/>
                <w:lang w:val="en-US" w:eastAsia="zh-CN"/>
              </w:rPr>
              <w:t>能提供提供智慧园区现有整体网络拓扑图，能</w:t>
            </w:r>
            <w:r>
              <w:rPr>
                <w:rFonts w:hint="eastAsia" w:ascii="Calibri" w:hAnsi="Calibri" w:eastAsia="宋体" w:cs="Times New Roman"/>
                <w:color w:val="auto"/>
                <w:kern w:val="0"/>
                <w:sz w:val="24"/>
                <w:szCs w:val="24"/>
                <w:highlight w:val="none"/>
                <w:lang w:val="en-US" w:eastAsia="zh-CN"/>
              </w:rPr>
              <w:t>完整覆盖园区各区域传输汇聚节点标注详实准确，贴合现场传输组网实际，得3分；</w:t>
            </w:r>
          </w:p>
          <w:p w14:paraId="61EC2CE6">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Calibri" w:hAnsi="Calibri" w:eastAsia="宋体" w:cs="Times New Roman"/>
                <w:color w:val="auto"/>
                <w:kern w:val="0"/>
                <w:sz w:val="24"/>
                <w:szCs w:val="24"/>
                <w:highlight w:val="none"/>
                <w:lang w:val="en-US" w:eastAsia="zh-CN"/>
              </w:rPr>
            </w:pPr>
            <w:r>
              <w:rPr>
                <w:rFonts w:hint="eastAsia" w:ascii="Calibri" w:hAnsi="Calibri" w:eastAsia="宋体" w:cs="Times New Roman"/>
                <w:color w:val="auto"/>
                <w:kern w:val="0"/>
                <w:sz w:val="24"/>
                <w:szCs w:val="24"/>
                <w:highlight w:val="none"/>
                <w:lang w:val="en-US" w:eastAsia="zh-CN"/>
              </w:rPr>
              <w:t>覆盖主要区域但存在链路或节点标注疏漏，得1分；</w:t>
            </w:r>
          </w:p>
          <w:p w14:paraId="1C9C4CFE">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Calibri" w:hAnsi="Calibri" w:eastAsia="宋体" w:cs="Times New Roman"/>
                <w:color w:val="auto"/>
                <w:kern w:val="0"/>
                <w:sz w:val="24"/>
                <w:szCs w:val="24"/>
                <w:highlight w:val="none"/>
                <w:lang w:val="en-US" w:eastAsia="zh-CN"/>
              </w:rPr>
            </w:pPr>
            <w:r>
              <w:rPr>
                <w:rFonts w:hint="eastAsia" w:ascii="Calibri" w:hAnsi="Calibri" w:eastAsia="宋体" w:cs="Times New Roman"/>
                <w:color w:val="auto"/>
                <w:kern w:val="0"/>
                <w:sz w:val="24"/>
                <w:szCs w:val="24"/>
                <w:highlight w:val="none"/>
                <w:lang w:val="en-US" w:eastAsia="zh-CN"/>
              </w:rPr>
              <w:t>内容简略、缺失关键信息或与现场实际不符，得1分；</w:t>
            </w:r>
          </w:p>
          <w:p w14:paraId="4FFE717D">
            <w:pPr>
              <w:keepNext w:val="0"/>
              <w:keepLines w:val="0"/>
              <w:pageBreakBefore w:val="0"/>
              <w:widowControl/>
              <w:numPr>
                <w:ilvl w:val="-1"/>
                <w:numId w:val="0"/>
              </w:numPr>
              <w:kinsoku/>
              <w:wordWrap/>
              <w:overflowPunct/>
              <w:topLinePunct w:val="0"/>
              <w:autoSpaceDE/>
              <w:autoSpaceDN/>
              <w:bidi w:val="0"/>
              <w:adjustRightInd/>
              <w:snapToGrid/>
              <w:spacing w:line="360" w:lineRule="auto"/>
              <w:ind w:firstLine="0" w:firstLineChars="0"/>
              <w:jc w:val="left"/>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该项未见阐述不得分。</w:t>
            </w:r>
          </w:p>
          <w:p w14:paraId="41961E0C">
            <w:pPr>
              <w:pBdr>
                <w:top w:val="none" w:color="auto" w:sz="0" w:space="0"/>
                <w:left w:val="none" w:color="auto" w:sz="0" w:space="0"/>
                <w:bottom w:val="none" w:color="auto" w:sz="0" w:space="0"/>
                <w:right w:val="none" w:color="auto" w:sz="0" w:space="0"/>
              </w:pBdr>
              <w:snapToGrid/>
              <w:spacing w:line="360" w:lineRule="auto"/>
              <w:jc w:val="left"/>
              <w:rPr>
                <w:rFonts w:ascii="宋体" w:hAnsi="宋体" w:eastAsia="宋体" w:cs="宋体"/>
                <w:color w:val="auto"/>
                <w:kern w:val="0"/>
                <w:sz w:val="24"/>
                <w:highlight w:val="none"/>
              </w:rPr>
            </w:pPr>
            <w:r>
              <w:rPr>
                <w:rFonts w:hint="eastAsia" w:ascii="Calibri" w:hAnsi="Calibri" w:eastAsia="宋体" w:cs="Times New Roman"/>
                <w:color w:val="auto"/>
                <w:kern w:val="0"/>
                <w:sz w:val="24"/>
                <w:szCs w:val="24"/>
                <w:highlight w:val="none"/>
                <w:lang w:val="en-US" w:eastAsia="zh-CN"/>
              </w:rPr>
              <w:t>注：</w:t>
            </w:r>
            <w:r>
              <w:rPr>
                <w:rFonts w:hint="default" w:ascii="Calibri" w:hAnsi="Calibri" w:eastAsia="宋体" w:cs="Times New Roman"/>
                <w:color w:val="auto"/>
                <w:kern w:val="0"/>
                <w:sz w:val="24"/>
                <w:szCs w:val="24"/>
                <w:highlight w:val="none"/>
                <w:lang w:val="en-US" w:eastAsia="zh-CN"/>
              </w:rPr>
              <w:t>上述资料须基于现场实际踏勘编制，真实反映园区现状，未提供</w:t>
            </w:r>
            <w:r>
              <w:rPr>
                <w:rFonts w:hint="eastAsia" w:ascii="Calibri" w:hAnsi="Calibri" w:eastAsia="宋体" w:cs="Times New Roman"/>
                <w:color w:val="auto"/>
                <w:kern w:val="0"/>
                <w:sz w:val="24"/>
                <w:szCs w:val="24"/>
                <w:highlight w:val="none"/>
                <w:lang w:val="en-US" w:eastAsia="zh-CN"/>
              </w:rPr>
              <w:t>不得分</w:t>
            </w:r>
            <w:r>
              <w:rPr>
                <w:rFonts w:hint="default" w:ascii="Calibri" w:hAnsi="Calibri" w:eastAsia="宋体" w:cs="Times New Roman"/>
                <w:color w:val="auto"/>
                <w:kern w:val="0"/>
                <w:sz w:val="24"/>
                <w:szCs w:val="24"/>
                <w:highlight w:val="none"/>
                <w:lang w:val="en-US" w:eastAsia="zh-CN"/>
              </w:rPr>
              <w:t>。</w:t>
            </w:r>
            <w:r>
              <w:rPr>
                <w:rFonts w:hint="default" w:ascii="Calibri" w:hAnsi="Calibri" w:eastAsia="宋体" w:cs="Times New Roman"/>
                <w:i w:val="0"/>
                <w:iCs w:val="0"/>
                <w:caps w:val="0"/>
                <w:color w:val="auto"/>
                <w:spacing w:val="0"/>
                <w:kern w:val="0"/>
                <w:sz w:val="24"/>
                <w:szCs w:val="24"/>
                <w:highlight w:val="none"/>
                <w:shd w:val="clear"/>
              </w:rPr>
              <w:t>如中标后发现与现场严重不符，采购人有权按合同约定追究违约责任。</w:t>
            </w:r>
          </w:p>
        </w:tc>
      </w:tr>
      <w:tr w14:paraId="625B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870" w:type="dxa"/>
            <w:vMerge w:val="continue"/>
            <w:noWrap/>
            <w:vAlign w:val="center"/>
          </w:tcPr>
          <w:p w14:paraId="36A9B5BD">
            <w:pPr>
              <w:jc w:val="center"/>
              <w:rPr>
                <w:rFonts w:ascii="宋体" w:hAnsi="宋体" w:eastAsia="宋体" w:cs="宋体"/>
                <w:color w:val="auto"/>
                <w:kern w:val="0"/>
                <w:sz w:val="24"/>
                <w:highlight w:val="none"/>
              </w:rPr>
            </w:pPr>
          </w:p>
        </w:tc>
        <w:tc>
          <w:tcPr>
            <w:tcW w:w="1756" w:type="dxa"/>
            <w:vAlign w:val="center"/>
          </w:tcPr>
          <w:p w14:paraId="54BF8D37">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auto"/>
                <w:spacing w:val="-4"/>
                <w:sz w:val="24"/>
                <w:highlight w:val="none"/>
              </w:rPr>
            </w:pPr>
            <w:r>
              <w:rPr>
                <w:rFonts w:hint="eastAsia" w:ascii="Arial" w:hAnsi="Arial" w:eastAsia="黑体" w:cs="Times New Roman"/>
                <w:b/>
                <w:bCs w:val="0"/>
                <w:caps w:val="0"/>
                <w:color w:val="auto"/>
                <w:spacing w:val="0"/>
                <w:sz w:val="24"/>
                <w:szCs w:val="22"/>
                <w:highlight w:val="none"/>
                <w:shd w:val="clear" w:fill="auto"/>
              </w:rPr>
              <w:t>项目</w:t>
            </w:r>
            <w:r>
              <w:rPr>
                <w:rFonts w:hint="eastAsia" w:cs="Times New Roman"/>
                <w:b/>
                <w:bCs w:val="0"/>
                <w:caps w:val="0"/>
                <w:color w:val="auto"/>
                <w:spacing w:val="0"/>
                <w:sz w:val="24"/>
                <w:szCs w:val="22"/>
                <w:highlight w:val="none"/>
                <w:shd w:val="clear" w:fill="auto"/>
                <w:lang w:val="en-US" w:eastAsia="zh-CN"/>
              </w:rPr>
              <w:t>升级</w:t>
            </w:r>
            <w:r>
              <w:rPr>
                <w:rFonts w:hint="eastAsia" w:ascii="Arial" w:hAnsi="Arial" w:eastAsia="黑体" w:cs="Times New Roman"/>
                <w:b/>
                <w:bCs w:val="0"/>
                <w:caps w:val="0"/>
                <w:color w:val="auto"/>
                <w:spacing w:val="0"/>
                <w:sz w:val="24"/>
                <w:szCs w:val="22"/>
                <w:highlight w:val="none"/>
                <w:shd w:val="clear" w:fill="auto"/>
              </w:rPr>
              <w:t>建设需求理解</w:t>
            </w:r>
            <w:r>
              <w:rPr>
                <w:rFonts w:hint="eastAsia" w:ascii="Times New Roman" w:hAnsi="Times New Roman" w:eastAsia="宋体" w:cs="Times New Roman"/>
                <w:color w:val="auto"/>
                <w:spacing w:val="-4"/>
                <w:sz w:val="24"/>
                <w:highlight w:val="none"/>
              </w:rPr>
              <w:t>（</w:t>
            </w:r>
            <w:r>
              <w:rPr>
                <w:rFonts w:hint="eastAsia" w:ascii="Times New Roman" w:hAnsi="Times New Roman" w:eastAsia="宋体" w:cs="Times New Roman"/>
                <w:color w:val="auto"/>
                <w:spacing w:val="-4"/>
                <w:sz w:val="24"/>
                <w:highlight w:val="none"/>
                <w:lang w:val="en-US" w:eastAsia="zh-CN"/>
              </w:rPr>
              <w:t>9</w:t>
            </w:r>
            <w:r>
              <w:rPr>
                <w:rFonts w:hint="eastAsia" w:ascii="Times New Roman" w:hAnsi="Times New Roman" w:eastAsia="宋体" w:cs="Times New Roman"/>
                <w:color w:val="auto"/>
                <w:spacing w:val="-4"/>
                <w:sz w:val="24"/>
                <w:highlight w:val="none"/>
              </w:rPr>
              <w:t>分）</w:t>
            </w:r>
          </w:p>
        </w:tc>
        <w:tc>
          <w:tcPr>
            <w:tcW w:w="5658" w:type="dxa"/>
            <w:vAlign w:val="center"/>
          </w:tcPr>
          <w:p w14:paraId="19D4A45A">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jc w:val="left"/>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i w:val="0"/>
                <w:iCs w:val="0"/>
                <w:caps w:val="0"/>
                <w:color w:val="auto"/>
                <w:spacing w:val="0"/>
                <w:kern w:val="0"/>
                <w:sz w:val="24"/>
                <w:szCs w:val="24"/>
                <w:highlight w:val="none"/>
                <w:shd w:val="clear" w:fill="auto"/>
              </w:rPr>
              <w:t>投标人结合化工园区共性特点、本化工园区个性化特点及智慧化工园区</w:t>
            </w:r>
            <w:r>
              <w:rPr>
                <w:rFonts w:hint="default" w:ascii="Calibri" w:hAnsi="Calibri" w:eastAsia="宋体" w:cs="Times New Roman"/>
                <w:i w:val="0"/>
                <w:iCs w:val="0"/>
                <w:caps w:val="0"/>
                <w:color w:val="auto"/>
                <w:spacing w:val="0"/>
                <w:kern w:val="0"/>
                <w:sz w:val="24"/>
                <w:szCs w:val="24"/>
                <w:highlight w:val="none"/>
                <w:shd w:val="clear" w:fill="auto"/>
                <w:lang w:val="en-US" w:eastAsia="zh-CN"/>
              </w:rPr>
              <w:t>建设要求</w:t>
            </w:r>
            <w:r>
              <w:rPr>
                <w:rFonts w:hint="default" w:ascii="Calibri" w:hAnsi="Calibri" w:eastAsia="宋体" w:cs="Times New Roman"/>
                <w:i w:val="0"/>
                <w:iCs w:val="0"/>
                <w:caps w:val="0"/>
                <w:color w:val="auto"/>
                <w:spacing w:val="0"/>
                <w:kern w:val="0"/>
                <w:sz w:val="24"/>
                <w:szCs w:val="24"/>
                <w:highlight w:val="none"/>
                <w:shd w:val="clear" w:fill="auto"/>
              </w:rPr>
              <w:t>，对本项目升级建设需求进行系统性分析和理解。投标人应精准对标招标文件（采购清单）所列政策文件和标准规范，</w:t>
            </w:r>
            <w:r>
              <w:rPr>
                <w:rFonts w:hint="default" w:ascii="Calibri" w:hAnsi="Calibri" w:eastAsia="宋体" w:cs="Times New Roman"/>
                <w:b w:val="0"/>
                <w:bCs w:val="0"/>
                <w:i w:val="0"/>
                <w:iCs w:val="0"/>
                <w:caps w:val="0"/>
                <w:color w:val="auto"/>
                <w:spacing w:val="0"/>
                <w:kern w:val="0"/>
                <w:sz w:val="24"/>
                <w:szCs w:val="24"/>
                <w:highlight w:val="none"/>
                <w:shd w:val="clear" w:fill="auto"/>
              </w:rPr>
              <w:t>针对采购清单中的各项升级功能，逐条分析其政策</w:t>
            </w:r>
            <w:r>
              <w:rPr>
                <w:rFonts w:hint="default" w:ascii="Calibri" w:hAnsi="Calibri" w:eastAsia="宋体" w:cs="Times New Roman"/>
                <w:b w:val="0"/>
                <w:bCs w:val="0"/>
                <w:i w:val="0"/>
                <w:iCs w:val="0"/>
                <w:caps w:val="0"/>
                <w:color w:val="auto"/>
                <w:spacing w:val="0"/>
                <w:kern w:val="0"/>
                <w:sz w:val="24"/>
                <w:szCs w:val="24"/>
                <w:highlight w:val="none"/>
                <w:shd w:val="clear" w:fill="auto"/>
                <w:lang w:val="en-US" w:eastAsia="zh-CN"/>
              </w:rPr>
              <w:t>或规范</w:t>
            </w:r>
            <w:r>
              <w:rPr>
                <w:rFonts w:hint="default" w:ascii="Calibri" w:hAnsi="Calibri" w:eastAsia="宋体" w:cs="Times New Roman"/>
                <w:b w:val="0"/>
                <w:bCs w:val="0"/>
                <w:i w:val="0"/>
                <w:iCs w:val="0"/>
                <w:caps w:val="0"/>
                <w:color w:val="auto"/>
                <w:spacing w:val="0"/>
                <w:kern w:val="0"/>
                <w:sz w:val="24"/>
                <w:szCs w:val="24"/>
                <w:highlight w:val="none"/>
                <w:shd w:val="clear" w:fill="auto"/>
              </w:rPr>
              <w:t>依据、园区现状差距及升级必要性</w:t>
            </w:r>
            <w:r>
              <w:rPr>
                <w:rFonts w:hint="default" w:ascii="Calibri" w:hAnsi="Calibri" w:eastAsia="宋体" w:cs="Times New Roman"/>
                <w:i w:val="0"/>
                <w:iCs w:val="0"/>
                <w:caps w:val="0"/>
                <w:color w:val="auto"/>
                <w:spacing w:val="0"/>
                <w:kern w:val="0"/>
                <w:sz w:val="24"/>
                <w:szCs w:val="24"/>
                <w:highlight w:val="none"/>
                <w:shd w:val="clear" w:fill="auto"/>
              </w:rPr>
              <w:t>，明确本次升级需要解决的具体问题</w:t>
            </w:r>
            <w:r>
              <w:rPr>
                <w:rFonts w:hint="eastAsia" w:ascii="Calibri" w:hAnsi="Calibri" w:eastAsia="宋体" w:cs="Times New Roman"/>
                <w:i w:val="0"/>
                <w:iCs w:val="0"/>
                <w:caps w:val="0"/>
                <w:color w:val="auto"/>
                <w:spacing w:val="0"/>
                <w:kern w:val="0"/>
                <w:sz w:val="24"/>
                <w:szCs w:val="24"/>
                <w:highlight w:val="none"/>
                <w:shd w:val="clear" w:fill="auto"/>
                <w:lang w:eastAsia="zh-CN"/>
              </w:rPr>
              <w:t>。</w:t>
            </w:r>
          </w:p>
          <w:p w14:paraId="49DA92DF">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jc w:val="left"/>
              <w:textAlignment w:val="auto"/>
              <w:rPr>
                <w:rFonts w:hint="default" w:ascii="Segoe UI" w:hAnsi="Segoe UI" w:eastAsia="Segoe UI" w:cs="Segoe UI"/>
                <w:i w:val="0"/>
                <w:iCs w:val="0"/>
                <w:caps w:val="0"/>
                <w:color w:val="auto"/>
                <w:spacing w:val="0"/>
                <w:kern w:val="0"/>
                <w:sz w:val="16"/>
                <w:szCs w:val="16"/>
                <w:highlight w:val="none"/>
                <w:shd w:val="clear" w:fill="FFFFFF"/>
              </w:rPr>
            </w:pPr>
            <w:r>
              <w:rPr>
                <w:rFonts w:hint="eastAsia" w:ascii="Calibri" w:hAnsi="Calibri" w:eastAsia="宋体" w:cs="Times New Roman"/>
                <w:color w:val="auto"/>
                <w:kern w:val="0"/>
                <w:sz w:val="24"/>
                <w:szCs w:val="24"/>
                <w:highlight w:val="none"/>
                <w:lang w:val="en-US" w:eastAsia="zh-CN"/>
              </w:rPr>
              <w:t>（1）</w:t>
            </w:r>
            <w:r>
              <w:rPr>
                <w:rFonts w:hint="default" w:ascii="Calibri" w:hAnsi="Calibri" w:eastAsia="宋体" w:cs="Times New Roman"/>
                <w:color w:val="auto"/>
                <w:kern w:val="0"/>
                <w:sz w:val="24"/>
                <w:szCs w:val="24"/>
                <w:highlight w:val="none"/>
                <w:lang w:val="en-US" w:eastAsia="zh-CN"/>
              </w:rPr>
              <w:t>对化工园区特点、本化工园区特点、智慧化工园区</w:t>
            </w:r>
            <w:r>
              <w:rPr>
                <w:rFonts w:hint="eastAsia" w:ascii="Calibri" w:hAnsi="Calibri" w:eastAsia="宋体" w:cs="Times New Roman"/>
                <w:color w:val="auto"/>
                <w:kern w:val="0"/>
                <w:sz w:val="24"/>
                <w:szCs w:val="24"/>
                <w:highlight w:val="none"/>
                <w:lang w:val="en-US" w:eastAsia="zh-CN"/>
              </w:rPr>
              <w:t>建设要求</w:t>
            </w:r>
            <w:r>
              <w:rPr>
                <w:rFonts w:hint="default" w:ascii="Calibri" w:hAnsi="Calibri" w:eastAsia="宋体" w:cs="Times New Roman"/>
                <w:color w:val="auto"/>
                <w:kern w:val="0"/>
                <w:sz w:val="24"/>
                <w:szCs w:val="24"/>
                <w:highlight w:val="none"/>
                <w:lang w:val="en-US" w:eastAsia="zh-CN"/>
              </w:rPr>
              <w:t>、政策文件</w:t>
            </w:r>
            <w:r>
              <w:rPr>
                <w:rFonts w:hint="eastAsia" w:ascii="Calibri" w:hAnsi="Calibri" w:eastAsia="宋体" w:cs="Times New Roman"/>
                <w:color w:val="auto"/>
                <w:kern w:val="0"/>
                <w:sz w:val="24"/>
                <w:szCs w:val="24"/>
                <w:highlight w:val="none"/>
                <w:lang w:val="en-US" w:eastAsia="zh-CN"/>
              </w:rPr>
              <w:t>及</w:t>
            </w:r>
            <w:r>
              <w:rPr>
                <w:rFonts w:hint="default" w:ascii="Calibri" w:hAnsi="Calibri" w:eastAsia="宋体" w:cs="Times New Roman"/>
                <w:color w:val="auto"/>
                <w:kern w:val="0"/>
                <w:sz w:val="24"/>
                <w:szCs w:val="24"/>
                <w:highlight w:val="none"/>
                <w:lang w:val="en-US" w:eastAsia="zh-CN"/>
              </w:rPr>
              <w:t>标准规范有深刻</w:t>
            </w:r>
            <w:r>
              <w:rPr>
                <w:rFonts w:hint="eastAsia" w:ascii="Calibri" w:hAnsi="Calibri" w:eastAsia="宋体" w:cs="Times New Roman"/>
                <w:color w:val="auto"/>
                <w:kern w:val="0"/>
                <w:sz w:val="24"/>
                <w:szCs w:val="24"/>
                <w:highlight w:val="none"/>
                <w:lang w:val="en-US" w:eastAsia="zh-CN"/>
              </w:rPr>
              <w:t>的</w:t>
            </w:r>
            <w:r>
              <w:rPr>
                <w:rFonts w:hint="default" w:ascii="Calibri" w:hAnsi="Calibri" w:eastAsia="宋体" w:cs="Times New Roman"/>
                <w:color w:val="auto"/>
                <w:kern w:val="0"/>
                <w:sz w:val="24"/>
                <w:szCs w:val="24"/>
                <w:highlight w:val="none"/>
                <w:lang w:val="en-US" w:eastAsia="zh-CN"/>
              </w:rPr>
              <w:t>理解，</w:t>
            </w:r>
            <w:r>
              <w:rPr>
                <w:rFonts w:hint="default" w:ascii="Calibri" w:hAnsi="Calibri" w:eastAsia="宋体" w:cs="Times New Roman"/>
                <w:b w:val="0"/>
                <w:bCs w:val="0"/>
                <w:i w:val="0"/>
                <w:iCs w:val="0"/>
                <w:caps w:val="0"/>
                <w:color w:val="auto"/>
                <w:spacing w:val="0"/>
                <w:kern w:val="0"/>
                <w:sz w:val="24"/>
                <w:szCs w:val="24"/>
                <w:highlight w:val="none"/>
                <w:shd w:val="clear" w:fill="auto"/>
              </w:rPr>
              <w:t>能够清晰阐述各项升级功能的政策</w:t>
            </w:r>
            <w:r>
              <w:rPr>
                <w:rFonts w:hint="eastAsia" w:ascii="Calibri" w:hAnsi="Calibri" w:eastAsia="宋体" w:cs="Times New Roman"/>
                <w:b w:val="0"/>
                <w:bCs w:val="0"/>
                <w:i w:val="0"/>
                <w:iCs w:val="0"/>
                <w:caps w:val="0"/>
                <w:color w:val="auto"/>
                <w:spacing w:val="0"/>
                <w:kern w:val="0"/>
                <w:sz w:val="24"/>
                <w:szCs w:val="24"/>
                <w:highlight w:val="none"/>
                <w:shd w:val="clear"/>
                <w:lang w:val="en-US" w:eastAsia="zh-CN"/>
              </w:rPr>
              <w:t>或规范</w:t>
            </w:r>
            <w:r>
              <w:rPr>
                <w:rFonts w:hint="default" w:ascii="Calibri" w:hAnsi="Calibri" w:eastAsia="宋体" w:cs="Times New Roman"/>
                <w:b w:val="0"/>
                <w:bCs w:val="0"/>
                <w:i w:val="0"/>
                <w:iCs w:val="0"/>
                <w:caps w:val="0"/>
                <w:color w:val="auto"/>
                <w:spacing w:val="0"/>
                <w:kern w:val="0"/>
                <w:sz w:val="24"/>
                <w:szCs w:val="24"/>
                <w:highlight w:val="none"/>
                <w:shd w:val="clear" w:fill="auto"/>
              </w:rPr>
              <w:t>依据、现状差距及升级价值</w:t>
            </w:r>
            <w:r>
              <w:rPr>
                <w:rFonts w:hint="default" w:ascii="Calibri" w:hAnsi="Calibri" w:eastAsia="宋体" w:cs="Times New Roman"/>
                <w:i w:val="0"/>
                <w:iCs w:val="0"/>
                <w:caps w:val="0"/>
                <w:color w:val="auto"/>
                <w:spacing w:val="0"/>
                <w:kern w:val="0"/>
                <w:sz w:val="24"/>
                <w:szCs w:val="24"/>
                <w:highlight w:val="none"/>
                <w:shd w:val="clear" w:fill="auto"/>
              </w:rPr>
              <w:t>，需求分析精准全面的，得</w:t>
            </w:r>
            <w:r>
              <w:rPr>
                <w:rFonts w:hint="eastAsia" w:ascii="Calibri" w:hAnsi="Calibri" w:eastAsia="宋体" w:cs="Times New Roman"/>
                <w:i w:val="0"/>
                <w:iCs w:val="0"/>
                <w:caps w:val="0"/>
                <w:color w:val="auto"/>
                <w:spacing w:val="0"/>
                <w:kern w:val="0"/>
                <w:sz w:val="24"/>
                <w:szCs w:val="24"/>
                <w:highlight w:val="none"/>
                <w:shd w:val="clear" w:fill="auto"/>
                <w:lang w:val="en-US" w:eastAsia="zh-CN"/>
              </w:rPr>
              <w:t>9</w:t>
            </w:r>
            <w:r>
              <w:rPr>
                <w:rFonts w:hint="default" w:ascii="Calibri" w:hAnsi="Calibri" w:eastAsia="宋体" w:cs="Times New Roman"/>
                <w:i w:val="0"/>
                <w:iCs w:val="0"/>
                <w:caps w:val="0"/>
                <w:color w:val="auto"/>
                <w:spacing w:val="0"/>
                <w:kern w:val="0"/>
                <w:sz w:val="24"/>
                <w:szCs w:val="24"/>
                <w:highlight w:val="none"/>
                <w:shd w:val="clear" w:fill="auto"/>
              </w:rPr>
              <w:t>分；</w:t>
            </w:r>
          </w:p>
          <w:p w14:paraId="53D762E3">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jc w:val="left"/>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（2）对化工园区特点、智慧化工园区特点、政策文件</w:t>
            </w:r>
            <w:r>
              <w:rPr>
                <w:rFonts w:hint="eastAsia" w:ascii="Calibri" w:hAnsi="Calibri" w:eastAsia="宋体" w:cs="Times New Roman"/>
                <w:color w:val="auto"/>
                <w:kern w:val="0"/>
                <w:sz w:val="24"/>
                <w:szCs w:val="24"/>
                <w:highlight w:val="none"/>
                <w:lang w:val="en-US" w:eastAsia="zh-CN"/>
              </w:rPr>
              <w:t>及</w:t>
            </w:r>
            <w:r>
              <w:rPr>
                <w:rFonts w:hint="default" w:ascii="Calibri" w:hAnsi="Calibri" w:eastAsia="宋体" w:cs="Times New Roman"/>
                <w:color w:val="auto"/>
                <w:kern w:val="0"/>
                <w:sz w:val="24"/>
                <w:szCs w:val="24"/>
                <w:highlight w:val="none"/>
                <w:lang w:val="en-US" w:eastAsia="zh-CN"/>
              </w:rPr>
              <w:t>标准规范有较深刻理解</w:t>
            </w:r>
            <w:r>
              <w:rPr>
                <w:rFonts w:hint="default" w:ascii="Calibri" w:hAnsi="Calibri" w:eastAsia="宋体" w:cs="Times New Roman"/>
                <w:i w:val="0"/>
                <w:iCs w:val="0"/>
                <w:caps w:val="0"/>
                <w:color w:val="auto"/>
                <w:spacing w:val="0"/>
                <w:kern w:val="0"/>
                <w:sz w:val="24"/>
                <w:szCs w:val="24"/>
                <w:highlight w:val="none"/>
                <w:shd w:val="clear" w:fill="auto"/>
              </w:rPr>
              <w:t>，基本能说明升级</w:t>
            </w:r>
            <w:r>
              <w:rPr>
                <w:rFonts w:hint="eastAsia" w:ascii="Calibri" w:hAnsi="Calibri" w:eastAsia="宋体" w:cs="Times New Roman"/>
                <w:i w:val="0"/>
                <w:iCs w:val="0"/>
                <w:caps w:val="0"/>
                <w:color w:val="auto"/>
                <w:spacing w:val="0"/>
                <w:kern w:val="0"/>
                <w:sz w:val="24"/>
                <w:szCs w:val="24"/>
                <w:highlight w:val="none"/>
                <w:shd w:val="clear"/>
                <w:lang w:val="en-US" w:eastAsia="zh-CN"/>
              </w:rPr>
              <w:t>价值</w:t>
            </w:r>
            <w:r>
              <w:rPr>
                <w:rFonts w:hint="default" w:ascii="Calibri" w:hAnsi="Calibri" w:eastAsia="宋体" w:cs="Times New Roman"/>
                <w:i w:val="0"/>
                <w:iCs w:val="0"/>
                <w:caps w:val="0"/>
                <w:color w:val="auto"/>
                <w:spacing w:val="0"/>
                <w:kern w:val="0"/>
                <w:sz w:val="24"/>
                <w:szCs w:val="24"/>
                <w:highlight w:val="none"/>
                <w:shd w:val="clear" w:fill="auto"/>
              </w:rPr>
              <w:t>的，</w:t>
            </w:r>
            <w:r>
              <w:rPr>
                <w:rFonts w:hint="default" w:ascii="Calibri" w:hAnsi="Calibri" w:eastAsia="宋体" w:cs="Times New Roman"/>
                <w:i w:val="0"/>
                <w:iCs w:val="0"/>
                <w:caps w:val="0"/>
                <w:color w:val="auto"/>
                <w:spacing w:val="0"/>
                <w:kern w:val="0"/>
                <w:sz w:val="24"/>
                <w:szCs w:val="24"/>
                <w:highlight w:val="none"/>
                <w:shd w:val="clear"/>
              </w:rPr>
              <w:t>需求分析较为全面</w:t>
            </w:r>
            <w:r>
              <w:rPr>
                <w:rFonts w:hint="eastAsia" w:ascii="Calibri" w:hAnsi="Calibri" w:eastAsia="宋体" w:cs="Times New Roman"/>
                <w:i w:val="0"/>
                <w:iCs w:val="0"/>
                <w:caps w:val="0"/>
                <w:color w:val="auto"/>
                <w:spacing w:val="0"/>
                <w:kern w:val="0"/>
                <w:sz w:val="24"/>
                <w:szCs w:val="24"/>
                <w:highlight w:val="none"/>
                <w:shd w:val="clear"/>
                <w:lang w:eastAsia="zh-CN"/>
              </w:rPr>
              <w:t>，</w:t>
            </w:r>
            <w:r>
              <w:rPr>
                <w:rFonts w:hint="default" w:ascii="Calibri" w:hAnsi="Calibri" w:eastAsia="宋体" w:cs="Times New Roman"/>
                <w:i w:val="0"/>
                <w:iCs w:val="0"/>
                <w:caps w:val="0"/>
                <w:color w:val="auto"/>
                <w:spacing w:val="0"/>
                <w:kern w:val="0"/>
                <w:sz w:val="24"/>
                <w:szCs w:val="24"/>
                <w:highlight w:val="none"/>
                <w:shd w:val="clear" w:fill="auto"/>
              </w:rPr>
              <w:t>得</w:t>
            </w:r>
            <w:r>
              <w:rPr>
                <w:rFonts w:hint="eastAsia" w:ascii="Calibri" w:hAnsi="Calibri" w:eastAsia="宋体" w:cs="Times New Roman"/>
                <w:i w:val="0"/>
                <w:iCs w:val="0"/>
                <w:caps w:val="0"/>
                <w:color w:val="auto"/>
                <w:spacing w:val="0"/>
                <w:kern w:val="0"/>
                <w:sz w:val="24"/>
                <w:szCs w:val="24"/>
                <w:highlight w:val="none"/>
                <w:shd w:val="clear" w:fill="auto"/>
                <w:lang w:val="en-US" w:eastAsia="zh-CN"/>
              </w:rPr>
              <w:t>6</w:t>
            </w:r>
            <w:r>
              <w:rPr>
                <w:rFonts w:hint="default" w:ascii="Calibri" w:hAnsi="Calibri" w:eastAsia="宋体" w:cs="Times New Roman"/>
                <w:i w:val="0"/>
                <w:iCs w:val="0"/>
                <w:caps w:val="0"/>
                <w:color w:val="auto"/>
                <w:spacing w:val="0"/>
                <w:kern w:val="0"/>
                <w:sz w:val="24"/>
                <w:szCs w:val="24"/>
                <w:highlight w:val="none"/>
                <w:shd w:val="clear" w:fill="auto"/>
              </w:rPr>
              <w:t>分；</w:t>
            </w:r>
          </w:p>
          <w:p w14:paraId="68F61C8D">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0" w:firstLineChars="0"/>
              <w:jc w:val="left"/>
              <w:textAlignment w:val="auto"/>
              <w:rPr>
                <w:rFonts w:hint="default" w:ascii="Calibri" w:hAnsi="Calibri" w:eastAsia="宋体" w:cs="Times New Roman"/>
                <w:color w:val="auto"/>
                <w:kern w:val="0"/>
                <w:sz w:val="24"/>
                <w:szCs w:val="24"/>
                <w:highlight w:val="none"/>
                <w:lang w:val="en-US" w:eastAsia="zh-CN"/>
              </w:rPr>
            </w:pPr>
            <w:r>
              <w:rPr>
                <w:rFonts w:hint="default" w:ascii="Calibri" w:hAnsi="Calibri" w:eastAsia="宋体" w:cs="Times New Roman"/>
                <w:color w:val="auto"/>
                <w:kern w:val="0"/>
                <w:sz w:val="24"/>
                <w:szCs w:val="24"/>
                <w:highlight w:val="none"/>
                <w:lang w:val="en-US" w:eastAsia="zh-CN"/>
              </w:rPr>
              <w:t>（3）需求理解简单粗糙，与招标文件需求存在明显偏差的，得</w:t>
            </w:r>
            <w:r>
              <w:rPr>
                <w:rFonts w:hint="eastAsia" w:ascii="Calibri" w:hAnsi="Calibri" w:eastAsia="宋体" w:cs="Times New Roman"/>
                <w:color w:val="auto"/>
                <w:kern w:val="0"/>
                <w:sz w:val="24"/>
                <w:szCs w:val="24"/>
                <w:highlight w:val="none"/>
                <w:lang w:val="en-US" w:eastAsia="zh-CN"/>
              </w:rPr>
              <w:t>3</w:t>
            </w:r>
            <w:r>
              <w:rPr>
                <w:rFonts w:hint="default" w:ascii="Calibri" w:hAnsi="Calibri" w:eastAsia="宋体" w:cs="Times New Roman"/>
                <w:color w:val="auto"/>
                <w:kern w:val="0"/>
                <w:sz w:val="24"/>
                <w:szCs w:val="24"/>
                <w:highlight w:val="none"/>
                <w:lang w:val="en-US" w:eastAsia="zh-CN"/>
              </w:rPr>
              <w:t>分；</w:t>
            </w:r>
          </w:p>
          <w:p w14:paraId="556D897E">
            <w:pPr>
              <w:numPr>
                <w:ilvl w:val="0"/>
                <w:numId w:val="0"/>
              </w:numPr>
              <w:snapToGrid/>
              <w:spacing w:line="360" w:lineRule="auto"/>
              <w:jc w:val="left"/>
              <w:rPr>
                <w:rFonts w:ascii="宋体" w:hAnsi="宋体" w:eastAsia="宋体" w:cs="宋体"/>
                <w:color w:val="auto"/>
                <w:kern w:val="0"/>
                <w:sz w:val="24"/>
                <w:highlight w:val="none"/>
              </w:rPr>
            </w:pPr>
            <w:r>
              <w:rPr>
                <w:rFonts w:hint="default" w:ascii="Calibri" w:hAnsi="Calibri" w:eastAsia="宋体" w:cs="Times New Roman"/>
                <w:strike w:val="0"/>
                <w:color w:val="auto"/>
                <w:kern w:val="0"/>
                <w:sz w:val="24"/>
                <w:szCs w:val="24"/>
                <w:highlight w:val="none"/>
                <w:lang w:val="en-US" w:eastAsia="zh-CN"/>
              </w:rPr>
              <w:t>未提供或内容完全脱离本项目内容的得0分。</w:t>
            </w:r>
          </w:p>
        </w:tc>
      </w:tr>
      <w:tr w14:paraId="14D0E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1870" w:type="dxa"/>
            <w:vMerge w:val="continue"/>
            <w:noWrap/>
            <w:vAlign w:val="center"/>
          </w:tcPr>
          <w:p w14:paraId="630D3894">
            <w:pPr>
              <w:jc w:val="center"/>
              <w:rPr>
                <w:rFonts w:ascii="宋体" w:hAnsi="宋体" w:eastAsia="宋体" w:cs="宋体"/>
                <w:color w:val="auto"/>
                <w:kern w:val="0"/>
                <w:sz w:val="24"/>
                <w:highlight w:val="none"/>
              </w:rPr>
            </w:pPr>
          </w:p>
        </w:tc>
        <w:tc>
          <w:tcPr>
            <w:tcW w:w="1756" w:type="dxa"/>
            <w:vAlign w:val="center"/>
          </w:tcPr>
          <w:p w14:paraId="7D46C4F2">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auto"/>
                <w:spacing w:val="-4"/>
                <w:sz w:val="24"/>
                <w:highlight w:val="none"/>
              </w:rPr>
            </w:pPr>
            <w:r>
              <w:rPr>
                <w:rFonts w:hint="eastAsia" w:ascii="Arial" w:hAnsi="Arial" w:cs="Times New Roman"/>
                <w:color w:val="auto"/>
                <w:sz w:val="24"/>
                <w:szCs w:val="22"/>
                <w:highlight w:val="none"/>
                <w:lang w:val="en-US" w:eastAsia="zh-CN"/>
              </w:rPr>
              <w:t>智慧园区平台升级设计方案</w:t>
            </w:r>
            <w:r>
              <w:rPr>
                <w:rFonts w:hint="eastAsia" w:ascii="Times New Roman" w:hAnsi="Times New Roman" w:eastAsia="宋体" w:cs="Times New Roman"/>
                <w:color w:val="auto"/>
                <w:spacing w:val="-4"/>
                <w:sz w:val="24"/>
                <w:highlight w:val="none"/>
              </w:rPr>
              <w:t>（</w:t>
            </w:r>
            <w:r>
              <w:rPr>
                <w:rFonts w:hint="eastAsia" w:ascii="Times New Roman" w:hAnsi="Times New Roman" w:eastAsia="宋体" w:cs="Times New Roman"/>
                <w:color w:val="auto"/>
                <w:spacing w:val="-4"/>
                <w:sz w:val="24"/>
                <w:highlight w:val="none"/>
                <w:lang w:val="en-US" w:eastAsia="zh-CN"/>
              </w:rPr>
              <w:t>9</w:t>
            </w:r>
            <w:r>
              <w:rPr>
                <w:rFonts w:hint="eastAsia" w:ascii="Times New Roman" w:hAnsi="Times New Roman" w:eastAsia="宋体" w:cs="Times New Roman"/>
                <w:color w:val="auto"/>
                <w:spacing w:val="-4"/>
                <w:sz w:val="24"/>
                <w:highlight w:val="none"/>
              </w:rPr>
              <w:t>分）</w:t>
            </w:r>
          </w:p>
        </w:tc>
        <w:tc>
          <w:tcPr>
            <w:tcW w:w="5658" w:type="dxa"/>
            <w:vAlign w:val="center"/>
          </w:tcPr>
          <w:p w14:paraId="16CFCB34">
            <w:pPr>
              <w:keepNext w:val="0"/>
              <w:keepLines w:val="0"/>
              <w:widowControl w:val="0"/>
              <w:suppressLineNumbers w:val="0"/>
              <w:shd w:val="clear" w:fill="FFFFFF"/>
              <w:spacing w:before="0" w:beforeAutospacing="0" w:after="0" w:afterAutospacing="0" w:line="360" w:lineRule="auto"/>
              <w:ind w:left="0" w:right="0" w:firstLine="480" w:firstLineChars="200"/>
              <w:jc w:val="left"/>
              <w:rPr>
                <w:rFonts w:hint="eastAsia" w:ascii="Calibri" w:hAnsi="Calibri" w:eastAsia="宋体" w:cs="Times New Roman"/>
                <w:color w:val="auto"/>
                <w:kern w:val="0"/>
                <w:sz w:val="24"/>
                <w:szCs w:val="24"/>
                <w:highlight w:val="none"/>
                <w:lang w:val="en-US" w:eastAsia="zh-CN"/>
              </w:rPr>
            </w:pPr>
            <w:r>
              <w:rPr>
                <w:rFonts w:hint="eastAsia" w:ascii="Calibri" w:hAnsi="Calibri" w:eastAsia="宋体" w:cs="Times New Roman"/>
                <w:i w:val="0"/>
                <w:iCs w:val="0"/>
                <w:caps w:val="0"/>
                <w:color w:val="auto"/>
                <w:spacing w:val="0"/>
                <w:kern w:val="0"/>
                <w:sz w:val="24"/>
                <w:szCs w:val="24"/>
                <w:highlight w:val="none"/>
                <w:shd w:val="clear" w:fill="auto"/>
              </w:rPr>
              <w:t>投标人应清晰阐述本项目的建设背景与建设目标</w:t>
            </w:r>
            <w:r>
              <w:rPr>
                <w:rFonts w:hint="eastAsia" w:ascii="Calibri" w:hAnsi="Calibri" w:eastAsia="宋体" w:cs="Times New Roman"/>
                <w:i w:val="0"/>
                <w:iCs w:val="0"/>
                <w:caps w:val="0"/>
                <w:color w:val="auto"/>
                <w:spacing w:val="0"/>
                <w:kern w:val="0"/>
                <w:sz w:val="24"/>
                <w:szCs w:val="24"/>
                <w:highlight w:val="none"/>
                <w:shd w:val="clear" w:fill="auto"/>
                <w:lang w:eastAsia="zh-CN"/>
              </w:rPr>
              <w:t>，</w:t>
            </w:r>
            <w:r>
              <w:rPr>
                <w:rFonts w:hint="eastAsia" w:ascii="Calibri" w:hAnsi="Calibri" w:eastAsia="宋体" w:cs="Times New Roman"/>
                <w:i w:val="0"/>
                <w:iCs w:val="0"/>
                <w:caps w:val="0"/>
                <w:color w:val="auto"/>
                <w:spacing w:val="0"/>
                <w:kern w:val="0"/>
                <w:sz w:val="24"/>
                <w:szCs w:val="24"/>
                <w:highlight w:val="none"/>
                <w:shd w:val="clear" w:fill="auto"/>
                <w:lang w:val="en-US" w:eastAsia="zh-CN"/>
              </w:rPr>
              <w:t>并</w:t>
            </w:r>
            <w:r>
              <w:rPr>
                <w:rFonts w:hint="eastAsia" w:ascii="Calibri" w:hAnsi="Calibri" w:eastAsia="宋体" w:cs="Times New Roman"/>
                <w:i w:val="0"/>
                <w:iCs w:val="0"/>
                <w:caps w:val="0"/>
                <w:color w:val="auto"/>
                <w:spacing w:val="0"/>
                <w:kern w:val="0"/>
                <w:sz w:val="24"/>
                <w:szCs w:val="24"/>
                <w:highlight w:val="none"/>
                <w:shd w:val="clear" w:fill="auto"/>
              </w:rPr>
              <w:t>基于</w:t>
            </w:r>
            <w:r>
              <w:rPr>
                <w:rFonts w:hint="eastAsia" w:ascii="Calibri" w:hAnsi="Calibri" w:eastAsia="宋体" w:cs="Times New Roman"/>
                <w:i w:val="0"/>
                <w:iCs w:val="0"/>
                <w:caps w:val="0"/>
                <w:color w:val="auto"/>
                <w:spacing w:val="0"/>
                <w:kern w:val="0"/>
                <w:sz w:val="24"/>
                <w:szCs w:val="24"/>
                <w:highlight w:val="none"/>
                <w:shd w:val="clear"/>
                <w:lang w:val="en-US" w:eastAsia="zh-CN"/>
              </w:rPr>
              <w:t>建设升级</w:t>
            </w:r>
            <w:r>
              <w:rPr>
                <w:rFonts w:hint="eastAsia" w:ascii="Calibri" w:hAnsi="Calibri" w:eastAsia="宋体" w:cs="Times New Roman"/>
                <w:i w:val="0"/>
                <w:iCs w:val="0"/>
                <w:caps w:val="0"/>
                <w:color w:val="auto"/>
                <w:spacing w:val="0"/>
                <w:kern w:val="0"/>
                <w:sz w:val="24"/>
                <w:szCs w:val="24"/>
                <w:highlight w:val="none"/>
                <w:shd w:val="clear" w:fill="auto"/>
              </w:rPr>
              <w:t>需求</w:t>
            </w:r>
            <w:r>
              <w:rPr>
                <w:rFonts w:hint="eastAsia" w:ascii="Calibri" w:hAnsi="Calibri" w:eastAsia="宋体" w:cs="Times New Roman"/>
                <w:i w:val="0"/>
                <w:iCs w:val="0"/>
                <w:caps w:val="0"/>
                <w:color w:val="auto"/>
                <w:spacing w:val="0"/>
                <w:kern w:val="0"/>
                <w:sz w:val="24"/>
                <w:szCs w:val="24"/>
                <w:highlight w:val="none"/>
                <w:shd w:val="clear"/>
                <w:lang w:val="en-US" w:eastAsia="zh-CN"/>
              </w:rPr>
              <w:t>理解</w:t>
            </w:r>
            <w:r>
              <w:rPr>
                <w:rFonts w:hint="eastAsia" w:ascii="Calibri" w:hAnsi="Calibri" w:eastAsia="宋体" w:cs="Times New Roman"/>
                <w:i w:val="0"/>
                <w:iCs w:val="0"/>
                <w:caps w:val="0"/>
                <w:color w:val="auto"/>
                <w:spacing w:val="0"/>
                <w:kern w:val="0"/>
                <w:sz w:val="24"/>
                <w:szCs w:val="24"/>
                <w:highlight w:val="none"/>
                <w:shd w:val="clear" w:fill="auto"/>
              </w:rPr>
              <w:t>分析结果，在现有智慧园区平台架构基础上，提供升级后的整体系统架构图，并围绕该架构图详细描述系统架构设计及业务应用升级设计，同时须说明升级内容与原有业务系统之间的继承关系、衔接方式及能力提升点。</w:t>
            </w:r>
            <w:r>
              <w:rPr>
                <w:rFonts w:hint="eastAsia" w:ascii="Calibri" w:hAnsi="Calibri" w:eastAsia="宋体" w:cs="Times New Roman"/>
                <w:color w:val="auto"/>
                <w:kern w:val="0"/>
                <w:sz w:val="24"/>
                <w:szCs w:val="24"/>
                <w:highlight w:val="none"/>
                <w:lang w:val="en-US" w:eastAsia="zh-CN"/>
              </w:rPr>
              <w:t>系统架构设计：须包含感知层、网络层、平台层、应用层等的分层设计，重点阐述本次升级对工业互联网支撑平台（大数据平台、信息集成平台、物联网平台）的架构优化与能力提升，以及升级后架构与原有架构的兼容关系。业务应用升级设计：须覆盖环境管理、应急管理、封闭化管理、综合管理等核心业务模块，重点说明本次升级在业务协同、数据贯通、功能补强等方面的优化提升，以及升级模块与原有业务模块之间的数据交互、功能调用关系。</w:t>
            </w:r>
          </w:p>
          <w:p w14:paraId="3B2B19B0">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（1）</w:t>
            </w:r>
            <w:r>
              <w:rPr>
                <w:rFonts w:hint="default" w:ascii="Calibri" w:hAnsi="Calibri" w:eastAsia="宋体" w:cs="Times New Roman"/>
                <w:strike w:val="0"/>
                <w:color w:val="auto"/>
                <w:kern w:val="0"/>
                <w:sz w:val="24"/>
                <w:szCs w:val="24"/>
                <w:highlight w:val="none"/>
                <w:lang w:val="en-US" w:eastAsia="zh-CN"/>
              </w:rPr>
              <w:t>方案完全包含上述内容且优于所提需求的得</w:t>
            </w:r>
            <w:r>
              <w:rPr>
                <w:rFonts w:hint="eastAsia" w:cs="Times New Roman"/>
                <w:strike w:val="0"/>
                <w:color w:val="auto"/>
                <w:kern w:val="0"/>
                <w:sz w:val="24"/>
                <w:szCs w:val="24"/>
                <w:highlight w:val="none"/>
                <w:lang w:val="en-US" w:eastAsia="zh-CN"/>
              </w:rPr>
              <w:t>9</w:t>
            </w:r>
            <w:r>
              <w:rPr>
                <w:rFonts w:hint="default" w:ascii="Calibri" w:hAnsi="Calibri" w:eastAsia="宋体" w:cs="Times New Roman"/>
                <w:strike w:val="0"/>
                <w:color w:val="auto"/>
                <w:kern w:val="0"/>
                <w:sz w:val="24"/>
                <w:szCs w:val="24"/>
                <w:highlight w:val="none"/>
                <w:lang w:val="en-US" w:eastAsia="zh-CN"/>
              </w:rPr>
              <w:t>分；</w:t>
            </w:r>
          </w:p>
          <w:p w14:paraId="7C456E9C">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2</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内容有实质性意义满足项目需求的得</w:t>
            </w:r>
            <w:r>
              <w:rPr>
                <w:rFonts w:hint="eastAsia" w:cs="Times New Roman"/>
                <w:strike w:val="0"/>
                <w:color w:val="auto"/>
                <w:kern w:val="0"/>
                <w:sz w:val="24"/>
                <w:szCs w:val="24"/>
                <w:highlight w:val="none"/>
                <w:lang w:val="en-US" w:eastAsia="zh-CN"/>
              </w:rPr>
              <w:t>6</w:t>
            </w:r>
            <w:r>
              <w:rPr>
                <w:rFonts w:hint="default" w:ascii="Calibri" w:hAnsi="Calibri" w:eastAsia="宋体" w:cs="Times New Roman"/>
                <w:strike w:val="0"/>
                <w:color w:val="auto"/>
                <w:kern w:val="0"/>
                <w:sz w:val="24"/>
                <w:szCs w:val="24"/>
                <w:highlight w:val="none"/>
                <w:lang w:val="en-US" w:eastAsia="zh-CN"/>
              </w:rPr>
              <w:t>分；</w:t>
            </w:r>
          </w:p>
          <w:p w14:paraId="10BAAA55">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3</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方案内有部分缺少或部分内容无实质性意义，内容的得</w:t>
            </w:r>
            <w:r>
              <w:rPr>
                <w:rFonts w:hint="eastAsia" w:cs="Times New Roman"/>
                <w:strike w:val="0"/>
                <w:color w:val="auto"/>
                <w:kern w:val="0"/>
                <w:sz w:val="24"/>
                <w:szCs w:val="24"/>
                <w:highlight w:val="none"/>
                <w:lang w:val="en-US" w:eastAsia="zh-CN"/>
              </w:rPr>
              <w:t>3</w:t>
            </w:r>
            <w:r>
              <w:rPr>
                <w:rFonts w:hint="default" w:ascii="Calibri" w:hAnsi="Calibri" w:eastAsia="宋体" w:cs="Times New Roman"/>
                <w:strike w:val="0"/>
                <w:color w:val="auto"/>
                <w:kern w:val="0"/>
                <w:sz w:val="24"/>
                <w:szCs w:val="24"/>
                <w:highlight w:val="none"/>
                <w:lang w:val="en-US" w:eastAsia="zh-CN"/>
              </w:rPr>
              <w:t>分；</w:t>
            </w:r>
          </w:p>
          <w:p w14:paraId="7CAEBF57">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4</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方案内有缺少或部分内容无实质性意义，只能满足基本要求得1分；</w:t>
            </w:r>
          </w:p>
          <w:p w14:paraId="466110DE">
            <w:pPr>
              <w:pBdr>
                <w:top w:val="none" w:color="000000" w:sz="0" w:space="0"/>
                <w:left w:val="none" w:color="000000" w:sz="0" w:space="0"/>
                <w:bottom w:val="none" w:color="000000" w:sz="0" w:space="0"/>
                <w:right w:val="none" w:color="000000" w:sz="0" w:space="0"/>
              </w:pBdr>
              <w:snapToGrid w:val="0"/>
              <w:jc w:val="left"/>
              <w:rPr>
                <w:rFonts w:ascii="宋体" w:hAnsi="宋体" w:eastAsia="宋体" w:cs="宋体"/>
                <w:color w:val="auto"/>
                <w:kern w:val="0"/>
                <w:sz w:val="24"/>
                <w:highlight w:val="none"/>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5</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未提供可行方案说明或内容完全脱离本项目内容的得0分。</w:t>
            </w:r>
          </w:p>
        </w:tc>
      </w:tr>
      <w:tr w14:paraId="5121B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1870" w:type="dxa"/>
            <w:vMerge w:val="continue"/>
            <w:noWrap/>
            <w:vAlign w:val="center"/>
          </w:tcPr>
          <w:p w14:paraId="2E6E222E">
            <w:pPr>
              <w:jc w:val="center"/>
              <w:rPr>
                <w:rFonts w:ascii="宋体" w:hAnsi="宋体" w:eastAsia="宋体" w:cs="宋体"/>
                <w:color w:val="auto"/>
                <w:kern w:val="0"/>
                <w:sz w:val="24"/>
                <w:highlight w:val="none"/>
              </w:rPr>
            </w:pPr>
          </w:p>
        </w:tc>
        <w:tc>
          <w:tcPr>
            <w:tcW w:w="1756" w:type="dxa"/>
            <w:vAlign w:val="center"/>
          </w:tcPr>
          <w:p w14:paraId="7CB0BD75">
            <w:pPr>
              <w:pBdr>
                <w:top w:val="none" w:color="000000" w:sz="0" w:space="0"/>
                <w:left w:val="none" w:color="000000" w:sz="0" w:space="0"/>
                <w:bottom w:val="none" w:color="000000" w:sz="0" w:space="0"/>
                <w:right w:val="none" w:color="000000" w:sz="0" w:space="0"/>
              </w:pBdr>
              <w:snapToGrid w:val="0"/>
              <w:spacing w:before="200" w:after="200"/>
              <w:jc w:val="center"/>
              <w:rPr>
                <w:rFonts w:ascii="Times New Roman" w:hAnsi="Times New Roman" w:eastAsia="宋体" w:cs="Times New Roman"/>
                <w:color w:val="auto"/>
                <w:spacing w:val="-4"/>
                <w:sz w:val="24"/>
                <w:highlight w:val="none"/>
              </w:rPr>
            </w:pPr>
            <w:r>
              <w:rPr>
                <w:rFonts w:hint="eastAsia" w:ascii="Times New Roman" w:eastAsia="宋体"/>
                <w:color w:val="auto"/>
                <w:sz w:val="24"/>
                <w:szCs w:val="22"/>
                <w:highlight w:val="none"/>
                <w:lang w:val="en-US" w:eastAsia="zh-CN"/>
              </w:rPr>
              <w:t>智慧园区平台运维服务方案</w:t>
            </w:r>
            <w:r>
              <w:rPr>
                <w:rFonts w:hint="eastAsia" w:ascii="Times New Roman" w:hAnsi="Times New Roman" w:eastAsia="宋体" w:cs="Times New Roman"/>
                <w:color w:val="auto"/>
                <w:spacing w:val="-4"/>
                <w:sz w:val="24"/>
                <w:highlight w:val="none"/>
              </w:rPr>
              <w:t>（</w:t>
            </w:r>
            <w:r>
              <w:rPr>
                <w:rFonts w:hint="eastAsia" w:ascii="Times New Roman" w:hAnsi="Times New Roman" w:eastAsia="宋体" w:cs="Times New Roman"/>
                <w:color w:val="auto"/>
                <w:spacing w:val="-4"/>
                <w:sz w:val="24"/>
                <w:highlight w:val="none"/>
                <w:lang w:val="en-US" w:eastAsia="zh-CN"/>
              </w:rPr>
              <w:t>9</w:t>
            </w:r>
            <w:r>
              <w:rPr>
                <w:rFonts w:hint="eastAsia" w:ascii="Times New Roman" w:hAnsi="Times New Roman" w:eastAsia="宋体" w:cs="Times New Roman"/>
                <w:color w:val="auto"/>
                <w:spacing w:val="-4"/>
                <w:sz w:val="24"/>
                <w:highlight w:val="none"/>
              </w:rPr>
              <w:t>分）</w:t>
            </w:r>
          </w:p>
        </w:tc>
        <w:tc>
          <w:tcPr>
            <w:tcW w:w="5658" w:type="dxa"/>
            <w:vAlign w:val="center"/>
          </w:tcPr>
          <w:p w14:paraId="2642B518">
            <w:pPr>
              <w:pStyle w:val="15"/>
              <w:ind w:left="0" w:firstLine="0" w:firstLineChars="0"/>
              <w:rPr>
                <w:rFonts w:hint="eastAsia" w:ascii="宋体" w:hAnsi="宋体" w:cs="宋体"/>
                <w:b w:val="0"/>
                <w:bCs w:val="0"/>
                <w:strike w:val="0"/>
                <w:color w:val="auto"/>
                <w:kern w:val="0"/>
                <w:sz w:val="24"/>
                <w:szCs w:val="24"/>
                <w:highlight w:val="none"/>
                <w:lang w:eastAsia="zh-CN"/>
              </w:rPr>
            </w:pPr>
            <w:r>
              <w:rPr>
                <w:rFonts w:hint="eastAsia" w:ascii="Calibri" w:hAnsi="Calibri" w:eastAsia="宋体" w:cs="Times New Roman"/>
                <w:i w:val="0"/>
                <w:iCs w:val="0"/>
                <w:caps w:val="0"/>
                <w:color w:val="auto"/>
                <w:spacing w:val="0"/>
                <w:kern w:val="0"/>
                <w:sz w:val="24"/>
                <w:szCs w:val="24"/>
                <w:highlight w:val="none"/>
                <w:shd w:val="clear" w:fill="auto"/>
              </w:rPr>
              <w:t>投标人须提供智慧园区平台系统及配套设备设施的总体维护方案，方案须充分响应本项目软硬件维保需求。</w:t>
            </w:r>
            <w:r>
              <w:rPr>
                <w:rFonts w:hint="eastAsia" w:cs="Times New Roman"/>
                <w:i w:val="0"/>
                <w:iCs w:val="0"/>
                <w:caps w:val="0"/>
                <w:color w:val="auto"/>
                <w:spacing w:val="0"/>
                <w:kern w:val="0"/>
                <w:sz w:val="24"/>
                <w:szCs w:val="24"/>
                <w:highlight w:val="none"/>
                <w:shd w:val="clear"/>
                <w:lang w:val="en-US" w:eastAsia="zh-CN"/>
              </w:rPr>
              <w:t>采购需求</w:t>
            </w:r>
            <w:r>
              <w:rPr>
                <w:rFonts w:hint="eastAsia" w:ascii="Calibri" w:hAnsi="Calibri" w:eastAsia="宋体" w:cs="Times New Roman"/>
                <w:i w:val="0"/>
                <w:iCs w:val="0"/>
                <w:caps w:val="0"/>
                <w:color w:val="auto"/>
                <w:spacing w:val="0"/>
                <w:kern w:val="0"/>
                <w:sz w:val="24"/>
                <w:szCs w:val="24"/>
                <w:highlight w:val="none"/>
                <w:shd w:val="clear" w:fill="auto"/>
              </w:rPr>
              <w:t>所列巡检内容为最低工作范围</w:t>
            </w:r>
            <w:r>
              <w:rPr>
                <w:rFonts w:hint="eastAsia" w:cs="Times New Roman"/>
                <w:i w:val="0"/>
                <w:iCs w:val="0"/>
                <w:caps w:val="0"/>
                <w:color w:val="auto"/>
                <w:spacing w:val="0"/>
                <w:kern w:val="0"/>
                <w:sz w:val="24"/>
                <w:szCs w:val="24"/>
                <w:highlight w:val="none"/>
                <w:shd w:val="clear"/>
                <w:lang w:eastAsia="zh-CN"/>
              </w:rPr>
              <w:t>。</w:t>
            </w:r>
            <w:r>
              <w:rPr>
                <w:rFonts w:hint="eastAsia"/>
                <w:color w:val="auto"/>
                <w:kern w:val="0"/>
                <w:sz w:val="24"/>
                <w:szCs w:val="24"/>
                <w:highlight w:val="none"/>
                <w:lang w:val="en-US" w:eastAsia="zh-CN"/>
              </w:rPr>
              <w:t>平台系统运维，投标人须针对智慧园区平台软件制定运维方案，内容包含但不限于咨询服务、运维服务、培训服务、系统缺陷修复等。配套设备设施运维，投标人须针对智慧园区配套的设备设施制定运维方案，内容须</w:t>
            </w:r>
            <w:r>
              <w:rPr>
                <w:rFonts w:hint="eastAsia"/>
                <w:strike w:val="0"/>
                <w:color w:val="auto"/>
                <w:kern w:val="0"/>
                <w:sz w:val="24"/>
                <w:szCs w:val="24"/>
                <w:highlight w:val="none"/>
                <w:lang w:val="en-US" w:eastAsia="zh-CN"/>
              </w:rPr>
              <w:t>包含</w:t>
            </w:r>
            <w:r>
              <w:rPr>
                <w:rFonts w:ascii="宋体" w:hAnsi="宋体" w:eastAsia="宋体" w:cs="宋体"/>
                <w:b w:val="0"/>
                <w:bCs w:val="0"/>
                <w:strike w:val="0"/>
                <w:color w:val="auto"/>
                <w:kern w:val="0"/>
                <w:sz w:val="24"/>
                <w:szCs w:val="24"/>
                <w:highlight w:val="none"/>
              </w:rPr>
              <w:t>日常维护、故障排查、应急抢修等</w:t>
            </w:r>
            <w:r>
              <w:rPr>
                <w:rFonts w:hint="eastAsia" w:ascii="宋体" w:hAnsi="宋体" w:cs="宋体"/>
                <w:b w:val="0"/>
                <w:bCs w:val="0"/>
                <w:strike w:val="0"/>
                <w:color w:val="auto"/>
                <w:kern w:val="0"/>
                <w:sz w:val="24"/>
                <w:szCs w:val="24"/>
                <w:highlight w:val="none"/>
                <w:lang w:eastAsia="zh-CN"/>
              </w:rPr>
              <w:t>。</w:t>
            </w:r>
          </w:p>
          <w:p w14:paraId="7CFEFE80">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（1）</w:t>
            </w:r>
            <w:r>
              <w:rPr>
                <w:rFonts w:hint="default" w:ascii="Calibri" w:hAnsi="Calibri" w:eastAsia="宋体" w:cs="Times New Roman"/>
                <w:strike w:val="0"/>
                <w:color w:val="auto"/>
                <w:kern w:val="0"/>
                <w:sz w:val="24"/>
                <w:szCs w:val="24"/>
                <w:highlight w:val="none"/>
                <w:lang w:val="en-US" w:eastAsia="zh-CN"/>
              </w:rPr>
              <w:t>方案完全包含上述内容且优于所提需求的得</w:t>
            </w:r>
            <w:r>
              <w:rPr>
                <w:rFonts w:hint="eastAsia" w:cs="Times New Roman"/>
                <w:strike w:val="0"/>
                <w:color w:val="auto"/>
                <w:kern w:val="0"/>
                <w:sz w:val="24"/>
                <w:szCs w:val="24"/>
                <w:highlight w:val="none"/>
                <w:lang w:val="en-US" w:eastAsia="zh-CN"/>
              </w:rPr>
              <w:t>9</w:t>
            </w:r>
            <w:r>
              <w:rPr>
                <w:rFonts w:hint="default" w:ascii="Calibri" w:hAnsi="Calibri" w:eastAsia="宋体" w:cs="Times New Roman"/>
                <w:strike w:val="0"/>
                <w:color w:val="auto"/>
                <w:kern w:val="0"/>
                <w:sz w:val="24"/>
                <w:szCs w:val="24"/>
                <w:highlight w:val="none"/>
                <w:lang w:val="en-US" w:eastAsia="zh-CN"/>
              </w:rPr>
              <w:t>分；</w:t>
            </w:r>
          </w:p>
          <w:p w14:paraId="1016245F">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2</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内容有实质性意义满足项目需求的得</w:t>
            </w:r>
            <w:r>
              <w:rPr>
                <w:rFonts w:hint="eastAsia" w:cs="Times New Roman"/>
                <w:strike w:val="0"/>
                <w:color w:val="auto"/>
                <w:kern w:val="0"/>
                <w:sz w:val="24"/>
                <w:szCs w:val="24"/>
                <w:highlight w:val="none"/>
                <w:lang w:val="en-US" w:eastAsia="zh-CN"/>
              </w:rPr>
              <w:t>6</w:t>
            </w:r>
            <w:r>
              <w:rPr>
                <w:rFonts w:hint="default" w:ascii="Calibri" w:hAnsi="Calibri" w:eastAsia="宋体" w:cs="Times New Roman"/>
                <w:strike w:val="0"/>
                <w:color w:val="auto"/>
                <w:kern w:val="0"/>
                <w:sz w:val="24"/>
                <w:szCs w:val="24"/>
                <w:highlight w:val="none"/>
                <w:lang w:val="en-US" w:eastAsia="zh-CN"/>
              </w:rPr>
              <w:t>分；</w:t>
            </w:r>
          </w:p>
          <w:p w14:paraId="6FCADA72">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3</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方案内有部分缺少或部分内容无实质性意义，内容的得</w:t>
            </w:r>
            <w:r>
              <w:rPr>
                <w:rFonts w:hint="eastAsia" w:cs="Times New Roman"/>
                <w:strike w:val="0"/>
                <w:color w:val="auto"/>
                <w:kern w:val="0"/>
                <w:sz w:val="24"/>
                <w:szCs w:val="24"/>
                <w:highlight w:val="none"/>
                <w:lang w:val="en-US" w:eastAsia="zh-CN"/>
              </w:rPr>
              <w:t>3</w:t>
            </w:r>
            <w:r>
              <w:rPr>
                <w:rFonts w:hint="default" w:ascii="Calibri" w:hAnsi="Calibri" w:eastAsia="宋体" w:cs="Times New Roman"/>
                <w:strike w:val="0"/>
                <w:color w:val="auto"/>
                <w:kern w:val="0"/>
                <w:sz w:val="24"/>
                <w:szCs w:val="24"/>
                <w:highlight w:val="none"/>
                <w:lang w:val="en-US" w:eastAsia="zh-CN"/>
              </w:rPr>
              <w:t>分；</w:t>
            </w:r>
          </w:p>
          <w:p w14:paraId="61F85324">
            <w:pPr>
              <w:pStyle w:val="15"/>
              <w:ind w:left="0"/>
              <w:rPr>
                <w:rFonts w:hint="default" w:ascii="Calibri" w:hAnsi="Calibri" w:eastAsia="宋体" w:cs="Times New Roman"/>
                <w:strike w:val="0"/>
                <w:color w:val="auto"/>
                <w:kern w:val="0"/>
                <w:sz w:val="24"/>
                <w:szCs w:val="24"/>
                <w:highlight w:val="none"/>
                <w:lang w:val="en-US" w:eastAsia="zh-CN"/>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4</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方案内有缺少或部分内容无实质性意义，只能满足基本要求得1分；</w:t>
            </w:r>
          </w:p>
          <w:p w14:paraId="1E7621B6">
            <w:pPr>
              <w:pStyle w:val="15"/>
              <w:ind w:left="0"/>
              <w:rPr>
                <w:rFonts w:ascii="宋体" w:hAnsi="宋体" w:eastAsia="宋体" w:cs="宋体"/>
                <w:color w:val="auto"/>
                <w:kern w:val="0"/>
                <w:sz w:val="24"/>
                <w:highlight w:val="none"/>
              </w:rPr>
            </w:pPr>
            <w:r>
              <w:rPr>
                <w:rFonts w:hint="eastAsia" w:ascii="Times New Roman" w:eastAsia="宋体"/>
                <w:color w:val="auto"/>
                <w:kern w:val="0"/>
                <w:sz w:val="24"/>
                <w:szCs w:val="24"/>
                <w:highlight w:val="none"/>
                <w:lang w:val="en-US" w:eastAsia="zh-CN"/>
              </w:rPr>
              <w:t>（</w:t>
            </w:r>
            <w:r>
              <w:rPr>
                <w:rFonts w:hint="eastAsia" w:ascii="Times New Roman"/>
                <w:color w:val="auto"/>
                <w:kern w:val="0"/>
                <w:sz w:val="24"/>
                <w:szCs w:val="24"/>
                <w:highlight w:val="none"/>
                <w:lang w:val="en-US" w:eastAsia="zh-CN"/>
              </w:rPr>
              <w:t>5</w:t>
            </w:r>
            <w:r>
              <w:rPr>
                <w:rFonts w:hint="eastAsia" w:ascii="Times New Roman" w:eastAsia="宋体"/>
                <w:color w:val="auto"/>
                <w:kern w:val="0"/>
                <w:sz w:val="24"/>
                <w:szCs w:val="24"/>
                <w:highlight w:val="none"/>
                <w:lang w:val="en-US" w:eastAsia="zh-CN"/>
              </w:rPr>
              <w:t>）</w:t>
            </w:r>
            <w:r>
              <w:rPr>
                <w:rFonts w:hint="default" w:ascii="Calibri" w:hAnsi="Calibri" w:eastAsia="宋体" w:cs="Times New Roman"/>
                <w:strike w:val="0"/>
                <w:color w:val="auto"/>
                <w:kern w:val="0"/>
                <w:sz w:val="24"/>
                <w:szCs w:val="24"/>
                <w:highlight w:val="none"/>
                <w:lang w:val="en-US" w:eastAsia="zh-CN"/>
              </w:rPr>
              <w:t>未提供可行方案说明或内容完全脱离本项目内容的得0分。</w:t>
            </w:r>
          </w:p>
        </w:tc>
      </w:tr>
      <w:tr w14:paraId="58C1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trPr>
        <w:tc>
          <w:tcPr>
            <w:tcW w:w="1870" w:type="dxa"/>
            <w:vMerge w:val="restart"/>
            <w:noWrap/>
            <w:vAlign w:val="center"/>
          </w:tcPr>
          <w:p w14:paraId="551D98FC">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商务分</w:t>
            </w:r>
          </w:p>
          <w:p w14:paraId="6B82DDA0">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28</w:t>
            </w:r>
            <w:r>
              <w:rPr>
                <w:rFonts w:hint="eastAsia" w:ascii="宋体" w:hAnsi="宋体" w:eastAsia="宋体" w:cs="宋体"/>
                <w:color w:val="auto"/>
                <w:kern w:val="0"/>
                <w:sz w:val="24"/>
                <w:highlight w:val="none"/>
              </w:rPr>
              <w:t>分）</w:t>
            </w:r>
          </w:p>
        </w:tc>
        <w:tc>
          <w:tcPr>
            <w:tcW w:w="1756" w:type="dxa"/>
            <w:noWrap/>
            <w:vAlign w:val="center"/>
          </w:tcPr>
          <w:p w14:paraId="167D3A6A">
            <w:pPr>
              <w:spacing w:before="1"/>
              <w:ind w:left="107"/>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综合实力</w:t>
            </w:r>
          </w:p>
          <w:p w14:paraId="5D36AE93">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szCs w:val="32"/>
                <w:highlight w:val="none"/>
                <w:lang w:val="en-US" w:eastAsia="zh-CN"/>
              </w:rPr>
              <w:t>6</w:t>
            </w:r>
            <w:r>
              <w:rPr>
                <w:rFonts w:hint="eastAsia" w:ascii="宋体" w:hAnsi="宋体" w:eastAsia="宋体" w:cs="宋体"/>
                <w:color w:val="auto"/>
                <w:kern w:val="0"/>
                <w:sz w:val="24"/>
                <w:highlight w:val="none"/>
              </w:rPr>
              <w:t>分）</w:t>
            </w:r>
          </w:p>
        </w:tc>
        <w:tc>
          <w:tcPr>
            <w:tcW w:w="5658" w:type="dxa"/>
            <w:vAlign w:val="center"/>
          </w:tcPr>
          <w:p w14:paraId="373D906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投标人具备信息安全管理体系、信息技术服务管理体系认证、数据存储安全管理体系认证证书，每有一个项得2分，最多得6分。</w:t>
            </w:r>
          </w:p>
          <w:p w14:paraId="41C6A7C2">
            <w:pPr>
              <w:spacing w:line="360" w:lineRule="auto"/>
              <w:ind w:firstLine="0" w:firstLineChars="0"/>
              <w:rPr>
                <w:color w:val="auto"/>
                <w:highlight w:val="none"/>
              </w:rPr>
            </w:pPr>
            <w:r>
              <w:rPr>
                <w:rFonts w:hint="eastAsia" w:ascii="宋体" w:hAnsi="宋体" w:eastAsia="宋体" w:cs="宋体"/>
                <w:color w:val="auto"/>
                <w:kern w:val="0"/>
                <w:sz w:val="24"/>
                <w:szCs w:val="24"/>
                <w:highlight w:val="none"/>
                <w:lang w:val="en-US" w:eastAsia="zh-CN"/>
              </w:rPr>
              <w:t>注：需提供有效期内证书原件的扫描件。</w:t>
            </w:r>
          </w:p>
        </w:tc>
      </w:tr>
      <w:tr w14:paraId="7E46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4" w:hRule="atLeast"/>
        </w:trPr>
        <w:tc>
          <w:tcPr>
            <w:tcW w:w="1870" w:type="dxa"/>
            <w:vMerge w:val="continue"/>
            <w:noWrap/>
            <w:vAlign w:val="center"/>
          </w:tcPr>
          <w:p w14:paraId="26EFF56A">
            <w:pPr>
              <w:widowControl/>
              <w:jc w:val="center"/>
              <w:rPr>
                <w:rFonts w:ascii="宋体" w:hAnsi="宋体" w:eastAsia="宋体" w:cs="宋体"/>
                <w:color w:val="auto"/>
                <w:kern w:val="0"/>
                <w:sz w:val="24"/>
                <w:highlight w:val="none"/>
              </w:rPr>
            </w:pPr>
          </w:p>
        </w:tc>
        <w:tc>
          <w:tcPr>
            <w:tcW w:w="1756" w:type="dxa"/>
            <w:noWrap/>
            <w:vAlign w:val="center"/>
          </w:tcPr>
          <w:p w14:paraId="5EA6BC39">
            <w:pPr>
              <w:jc w:val="center"/>
              <w:rPr>
                <w:rFonts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项目组成员</w:t>
            </w:r>
          </w:p>
          <w:p w14:paraId="3D8FB2F2">
            <w:pPr>
              <w:spacing w:before="1"/>
              <w:ind w:left="107"/>
              <w:jc w:val="center"/>
              <w:rPr>
                <w:rFonts w:ascii="宋体" w:hAnsi="宋体" w:eastAsia="宋体" w:cs="宋体"/>
                <w:color w:val="auto"/>
                <w:kern w:val="0"/>
                <w:sz w:val="24"/>
                <w:highlight w:val="none"/>
              </w:rPr>
            </w:pPr>
            <w:r>
              <w:rPr>
                <w:rFonts w:hint="eastAsia" w:ascii="宋体" w:hAnsi="宋体" w:eastAsia="宋体" w:cs="宋体"/>
                <w:color w:val="auto"/>
                <w:kern w:val="0"/>
                <w:sz w:val="24"/>
                <w:szCs w:val="32"/>
                <w:highlight w:val="none"/>
              </w:rPr>
              <w:t>（1</w:t>
            </w:r>
            <w:r>
              <w:rPr>
                <w:rFonts w:hint="eastAsia" w:ascii="宋体" w:hAnsi="宋体" w:eastAsia="宋体" w:cs="宋体"/>
                <w:color w:val="auto"/>
                <w:kern w:val="0"/>
                <w:sz w:val="24"/>
                <w:szCs w:val="32"/>
                <w:highlight w:val="none"/>
                <w:lang w:val="en-US" w:eastAsia="zh-CN"/>
              </w:rPr>
              <w:t>3</w:t>
            </w:r>
            <w:r>
              <w:rPr>
                <w:rFonts w:hint="eastAsia" w:ascii="宋体" w:hAnsi="宋体" w:eastAsia="宋体" w:cs="宋体"/>
                <w:color w:val="auto"/>
                <w:kern w:val="0"/>
                <w:sz w:val="24"/>
                <w:szCs w:val="32"/>
                <w:highlight w:val="none"/>
              </w:rPr>
              <w:t>分）</w:t>
            </w:r>
          </w:p>
        </w:tc>
        <w:tc>
          <w:tcPr>
            <w:tcW w:w="5658" w:type="dxa"/>
            <w:vAlign w:val="center"/>
          </w:tcPr>
          <w:p w14:paraId="42815C09">
            <w:pPr>
              <w:pStyle w:val="23"/>
              <w:numPr>
                <w:ilvl w:val="0"/>
                <w:numId w:val="0"/>
              </w:numPr>
              <w:spacing w:line="440" w:lineRule="exact"/>
              <w:ind w:firstLine="0"/>
              <w:rPr>
                <w:rFonts w:ascii="Times New Roman" w:hAnsi="Times New Roman" w:eastAsia="宋体" w:cs="Times New Roman"/>
                <w:color w:val="auto"/>
                <w:kern w:val="0"/>
                <w:sz w:val="24"/>
                <w:szCs w:val="21"/>
                <w:highlight w:val="none"/>
              </w:rPr>
            </w:pPr>
            <w:r>
              <w:rPr>
                <w:rFonts w:hint="eastAsia" w:ascii="Times New Roman" w:hAnsi="Times New Roman" w:eastAsia="宋体" w:cs="Times New Roman"/>
                <w:color w:val="auto"/>
                <w:kern w:val="0"/>
                <w:sz w:val="24"/>
                <w:szCs w:val="21"/>
                <w:highlight w:val="none"/>
              </w:rPr>
              <w:t>1、</w:t>
            </w:r>
            <w:r>
              <w:rPr>
                <w:rStyle w:val="22"/>
                <w:rFonts w:hint="eastAsia" w:ascii="宋体" w:hAnsi="宋体" w:eastAsia="宋体" w:cs="宋体"/>
                <w:color w:val="auto"/>
                <w:spacing w:val="7"/>
                <w:kern w:val="0"/>
                <w:sz w:val="24"/>
                <w:szCs w:val="24"/>
                <w:highlight w:val="none"/>
              </w:rPr>
              <w:t>项目经理</w:t>
            </w:r>
            <w:r>
              <w:rPr>
                <w:rStyle w:val="22"/>
                <w:rFonts w:hint="eastAsia" w:ascii="宋体" w:hAnsi="宋体" w:eastAsia="宋体" w:cs="宋体"/>
                <w:color w:val="auto"/>
                <w:spacing w:val="7"/>
                <w:kern w:val="0"/>
                <w:sz w:val="24"/>
                <w:szCs w:val="24"/>
                <w:highlight w:val="none"/>
                <w:lang w:val="en-US"/>
              </w:rPr>
              <w:t>需</w:t>
            </w:r>
            <w:r>
              <w:rPr>
                <w:rStyle w:val="22"/>
                <w:rFonts w:hint="eastAsia" w:ascii="宋体" w:hAnsi="宋体" w:eastAsia="宋体" w:cs="宋体"/>
                <w:color w:val="auto"/>
                <w:spacing w:val="7"/>
                <w:kern w:val="0"/>
                <w:sz w:val="24"/>
                <w:szCs w:val="24"/>
                <w:highlight w:val="none"/>
              </w:rPr>
              <w:t>具备电子信息类高级职称并具备信息系统项目管理师证书的，</w:t>
            </w:r>
            <w:r>
              <w:rPr>
                <w:rStyle w:val="22"/>
                <w:rFonts w:hint="eastAsia" w:ascii="宋体" w:hAnsi="宋体" w:eastAsia="宋体" w:cs="宋体"/>
                <w:color w:val="auto"/>
                <w:spacing w:val="7"/>
                <w:kern w:val="0"/>
                <w:sz w:val="24"/>
                <w:szCs w:val="24"/>
                <w:highlight w:val="none"/>
                <w:lang w:val="en-US"/>
              </w:rPr>
              <w:t>得5分。</w:t>
            </w:r>
            <w:r>
              <w:rPr>
                <w:rFonts w:hint="eastAsia" w:ascii="Times New Roman" w:hAnsi="Times New Roman" w:eastAsia="宋体" w:cs="Times New Roman"/>
                <w:color w:val="auto"/>
                <w:kern w:val="0"/>
                <w:sz w:val="24"/>
                <w:szCs w:val="21"/>
                <w:highlight w:val="none"/>
              </w:rPr>
              <w:t>。</w:t>
            </w:r>
          </w:p>
          <w:p w14:paraId="6E0BBF37">
            <w:pPr>
              <w:pStyle w:val="23"/>
              <w:numPr>
                <w:ilvl w:val="0"/>
                <w:numId w:val="0"/>
              </w:numPr>
              <w:spacing w:line="440" w:lineRule="exact"/>
              <w:ind w:firstLine="0"/>
              <w:rPr>
                <w:rFonts w:hint="eastAsia" w:ascii="Times New Roman" w:hAnsi="Times New Roman" w:eastAsia="宋体" w:cs="Times New Roman"/>
                <w:color w:val="auto"/>
                <w:kern w:val="0"/>
                <w:sz w:val="24"/>
                <w:szCs w:val="21"/>
                <w:highlight w:val="none"/>
                <w:lang w:eastAsia="zh-CN"/>
              </w:rPr>
            </w:pPr>
            <w:r>
              <w:rPr>
                <w:rFonts w:hint="eastAsia" w:ascii="Times New Roman" w:hAnsi="Times New Roman" w:eastAsia="宋体" w:cs="Times New Roman"/>
                <w:color w:val="auto"/>
                <w:kern w:val="0"/>
                <w:sz w:val="24"/>
                <w:szCs w:val="21"/>
                <w:highlight w:val="none"/>
              </w:rPr>
              <w:t>2、拟定项目团队人员（不含项目负责人）中，</w:t>
            </w:r>
            <w:r>
              <w:rPr>
                <w:rFonts w:hint="eastAsia" w:ascii="宋体" w:hAnsi="宋体" w:eastAsia="宋体" w:cs="宋体"/>
                <w:color w:val="auto"/>
                <w:spacing w:val="7"/>
                <w:kern w:val="0"/>
                <w:sz w:val="24"/>
                <w:szCs w:val="24"/>
                <w:highlight w:val="none"/>
              </w:rPr>
              <w:t>技术负责人具备系统架构设计师或</w:t>
            </w:r>
            <w:r>
              <w:rPr>
                <w:rFonts w:hint="eastAsia" w:ascii="宋体" w:hAnsi="宋体" w:eastAsia="宋体" w:cs="宋体"/>
                <w:color w:val="auto"/>
                <w:spacing w:val="7"/>
                <w:kern w:val="0"/>
                <w:sz w:val="24"/>
                <w:szCs w:val="24"/>
                <w:highlight w:val="none"/>
                <w:lang w:val="en-US"/>
              </w:rPr>
              <w:t>高级工程师</w:t>
            </w:r>
            <w:r>
              <w:rPr>
                <w:rFonts w:hint="eastAsia" w:ascii="宋体" w:hAnsi="宋体" w:eastAsia="宋体" w:cs="宋体"/>
                <w:color w:val="auto"/>
                <w:spacing w:val="7"/>
                <w:kern w:val="0"/>
                <w:sz w:val="24"/>
                <w:szCs w:val="24"/>
                <w:highlight w:val="none"/>
              </w:rPr>
              <w:t>（电子信息方向或计算机方向）的得</w:t>
            </w:r>
            <w:r>
              <w:rPr>
                <w:rFonts w:hint="eastAsia" w:ascii="宋体" w:hAnsi="宋体" w:eastAsia="宋体" w:cs="宋体"/>
                <w:color w:val="auto"/>
                <w:spacing w:val="7"/>
                <w:kern w:val="0"/>
                <w:sz w:val="24"/>
                <w:szCs w:val="24"/>
                <w:highlight w:val="none"/>
                <w:lang w:val="en-US"/>
              </w:rPr>
              <w:t>2</w:t>
            </w:r>
            <w:r>
              <w:rPr>
                <w:rFonts w:hint="eastAsia" w:ascii="宋体" w:hAnsi="宋体" w:eastAsia="宋体" w:cs="宋体"/>
                <w:color w:val="auto"/>
                <w:spacing w:val="7"/>
                <w:kern w:val="0"/>
                <w:sz w:val="24"/>
                <w:szCs w:val="24"/>
                <w:highlight w:val="none"/>
              </w:rPr>
              <w:t>分</w:t>
            </w:r>
            <w:r>
              <w:rPr>
                <w:rFonts w:hint="eastAsia" w:ascii="Times New Roman" w:hAnsi="Times New Roman" w:eastAsia="宋体" w:cs="Times New Roman"/>
                <w:color w:val="auto"/>
                <w:kern w:val="0"/>
                <w:sz w:val="24"/>
                <w:szCs w:val="21"/>
                <w:highlight w:val="none"/>
                <w:lang w:eastAsia="zh-CN"/>
              </w:rPr>
              <w:t>。</w:t>
            </w:r>
          </w:p>
          <w:p w14:paraId="03B5CFB0">
            <w:pPr>
              <w:pStyle w:val="23"/>
              <w:numPr>
                <w:ilvl w:val="0"/>
                <w:numId w:val="0"/>
              </w:numPr>
              <w:spacing w:line="440" w:lineRule="exact"/>
              <w:ind w:firstLine="0"/>
              <w:rPr>
                <w:rFonts w:hint="eastAsia" w:ascii="Times New Roman" w:hAnsi="Times New Roman" w:eastAsia="宋体" w:cs="Times New Roman"/>
                <w:color w:val="auto"/>
                <w:kern w:val="0"/>
                <w:sz w:val="24"/>
                <w:szCs w:val="21"/>
                <w:highlight w:val="none"/>
              </w:rPr>
            </w:pPr>
            <w:r>
              <w:rPr>
                <w:rFonts w:hint="eastAsia" w:ascii="宋体" w:hAnsi="宋体" w:eastAsia="宋体" w:cs="宋体"/>
                <w:color w:val="auto"/>
                <w:spacing w:val="7"/>
                <w:kern w:val="0"/>
                <w:sz w:val="24"/>
                <w:szCs w:val="24"/>
                <w:highlight w:val="none"/>
                <w:lang w:val="en-US"/>
              </w:rPr>
              <w:t>所</w:t>
            </w:r>
            <w:r>
              <w:rPr>
                <w:rFonts w:hint="eastAsia" w:ascii="宋体" w:hAnsi="宋体" w:eastAsia="宋体" w:cs="宋体"/>
                <w:color w:val="auto"/>
                <w:spacing w:val="7"/>
                <w:kern w:val="0"/>
                <w:sz w:val="24"/>
                <w:szCs w:val="24"/>
                <w:highlight w:val="none"/>
              </w:rPr>
              <w:t>配置项目组成员中，每具备</w:t>
            </w:r>
            <w:r>
              <w:rPr>
                <w:rFonts w:hint="eastAsia" w:ascii="宋体" w:hAnsi="宋体" w:eastAsia="宋体" w:cs="宋体"/>
                <w:color w:val="auto"/>
                <w:kern w:val="0"/>
                <w:sz w:val="24"/>
                <w:szCs w:val="22"/>
                <w:highlight w:val="none"/>
              </w:rPr>
              <w:t>信息系统项目管理师</w:t>
            </w:r>
            <w:r>
              <w:rPr>
                <w:rFonts w:hint="eastAsia" w:ascii="宋体" w:hAnsi="宋体" w:eastAsia="宋体" w:cs="宋体"/>
                <w:color w:val="auto"/>
                <w:kern w:val="0"/>
                <w:sz w:val="24"/>
                <w:szCs w:val="22"/>
                <w:highlight w:val="none"/>
                <w:lang w:val="en-US" w:eastAsia="zh-CN"/>
              </w:rPr>
              <w:t>证书</w:t>
            </w:r>
            <w:r>
              <w:rPr>
                <w:rFonts w:hint="eastAsia" w:ascii="宋体" w:hAnsi="宋体" w:eastAsia="宋体" w:cs="宋体"/>
                <w:color w:val="auto"/>
                <w:kern w:val="0"/>
                <w:sz w:val="24"/>
                <w:szCs w:val="22"/>
                <w:highlight w:val="none"/>
              </w:rPr>
              <w:t>、</w:t>
            </w:r>
            <w:r>
              <w:rPr>
                <w:rFonts w:hint="eastAsia" w:ascii="宋体" w:hAnsi="宋体" w:eastAsia="宋体" w:cs="宋体"/>
                <w:color w:val="auto"/>
                <w:kern w:val="0"/>
                <w:sz w:val="24"/>
                <w:szCs w:val="22"/>
                <w:highlight w:val="none"/>
                <w:lang w:val="en-US" w:eastAsia="zh-CN"/>
              </w:rPr>
              <w:t>高级软件设计师、高级数据库管理工程师</w:t>
            </w:r>
            <w:r>
              <w:rPr>
                <w:rFonts w:hint="eastAsia" w:ascii="宋体" w:hAnsi="宋体" w:eastAsia="宋体" w:cs="宋体"/>
                <w:color w:val="auto"/>
                <w:kern w:val="0"/>
                <w:sz w:val="24"/>
                <w:szCs w:val="22"/>
                <w:highlight w:val="none"/>
              </w:rPr>
              <w:t>一类专业人员</w:t>
            </w:r>
            <w:r>
              <w:rPr>
                <w:rFonts w:hint="eastAsia" w:ascii="宋体" w:hAnsi="宋体" w:eastAsia="宋体" w:cs="宋体"/>
                <w:color w:val="auto"/>
                <w:spacing w:val="7"/>
                <w:kern w:val="0"/>
                <w:sz w:val="24"/>
                <w:szCs w:val="24"/>
                <w:highlight w:val="none"/>
              </w:rPr>
              <w:t>得</w:t>
            </w:r>
            <w:r>
              <w:rPr>
                <w:rFonts w:hint="eastAsia" w:ascii="宋体" w:hAnsi="宋体" w:eastAsia="宋体" w:cs="宋体"/>
                <w:color w:val="auto"/>
                <w:spacing w:val="7"/>
                <w:kern w:val="0"/>
                <w:sz w:val="24"/>
                <w:szCs w:val="24"/>
                <w:highlight w:val="none"/>
                <w:lang w:val="en-US"/>
              </w:rPr>
              <w:t>2</w:t>
            </w:r>
            <w:r>
              <w:rPr>
                <w:rFonts w:hint="eastAsia" w:ascii="宋体" w:hAnsi="宋体" w:eastAsia="宋体" w:cs="宋体"/>
                <w:color w:val="auto"/>
                <w:spacing w:val="7"/>
                <w:kern w:val="0"/>
                <w:sz w:val="24"/>
                <w:szCs w:val="24"/>
                <w:highlight w:val="none"/>
              </w:rPr>
              <w:t>分，最多得</w:t>
            </w:r>
            <w:r>
              <w:rPr>
                <w:rFonts w:hint="eastAsia" w:ascii="宋体" w:hAnsi="宋体" w:eastAsia="宋体" w:cs="宋体"/>
                <w:color w:val="auto"/>
                <w:spacing w:val="7"/>
                <w:kern w:val="0"/>
                <w:sz w:val="24"/>
                <w:szCs w:val="24"/>
                <w:highlight w:val="none"/>
                <w:lang w:val="en-US"/>
              </w:rPr>
              <w:t>6</w:t>
            </w:r>
            <w:r>
              <w:rPr>
                <w:rFonts w:hint="eastAsia" w:ascii="宋体" w:hAnsi="宋体" w:eastAsia="宋体" w:cs="宋体"/>
                <w:color w:val="auto"/>
                <w:spacing w:val="7"/>
                <w:kern w:val="0"/>
                <w:sz w:val="24"/>
                <w:szCs w:val="24"/>
                <w:highlight w:val="none"/>
              </w:rPr>
              <w:t>分</w:t>
            </w:r>
          </w:p>
          <w:p w14:paraId="1CC3C633">
            <w:pPr>
              <w:pStyle w:val="23"/>
              <w:numPr>
                <w:ilvl w:val="0"/>
                <w:numId w:val="0"/>
              </w:numPr>
              <w:spacing w:line="440" w:lineRule="exact"/>
              <w:ind w:firstLine="0"/>
              <w:rPr>
                <w:rFonts w:hint="eastAsia" w:ascii="Times New Roman" w:hAnsi="Times New Roman" w:eastAsia="宋体" w:cs="Times New Roman"/>
                <w:b/>
                <w:bCs/>
                <w:color w:val="auto"/>
                <w:kern w:val="0"/>
                <w:highlight w:val="none"/>
              </w:rPr>
            </w:pPr>
            <w:r>
              <w:rPr>
                <w:rFonts w:hint="eastAsia" w:ascii="Times New Roman" w:hAnsi="Times New Roman" w:eastAsia="宋体" w:cs="Times New Roman"/>
                <w:b/>
                <w:bCs/>
                <w:color w:val="auto"/>
                <w:kern w:val="0"/>
                <w:highlight w:val="none"/>
              </w:rPr>
              <w:t>注：</w:t>
            </w:r>
            <w:r>
              <w:rPr>
                <w:rFonts w:hint="eastAsia" w:ascii="Times New Roman" w:hAnsi="Times New Roman" w:eastAsia="宋体" w:cs="Times New Roman"/>
                <w:b/>
                <w:bCs/>
                <w:color w:val="auto"/>
                <w:kern w:val="0"/>
                <w:highlight w:val="none"/>
                <w:lang w:val="en-US" w:eastAsia="zh-CN"/>
              </w:rPr>
              <w:t>1、</w:t>
            </w:r>
            <w:r>
              <w:rPr>
                <w:rFonts w:hint="eastAsia" w:ascii="Times New Roman" w:hAnsi="Times New Roman" w:eastAsia="宋体" w:cs="Times New Roman"/>
                <w:b/>
                <w:bCs/>
                <w:color w:val="auto"/>
                <w:kern w:val="0"/>
                <w:highlight w:val="none"/>
              </w:rPr>
              <w:t>上述人员必须为投标人单位正式职工，并提供相关证书扫描件及投标人为其缴纳的近6个月内任意一个月社保证明材料（加盖公章）；若人员入职时间不足一个月，可提供投标单位出具的在职承诺函（加盖公章），承诺该人员为投标单位正式员工并将依法缴纳社保，否则承担相应责任；如已退休的必须提供退休证明及聘用合同。</w:t>
            </w:r>
          </w:p>
          <w:p w14:paraId="27504C84">
            <w:pPr>
              <w:pStyle w:val="23"/>
              <w:numPr>
                <w:ilvl w:val="0"/>
                <w:numId w:val="0"/>
              </w:numPr>
              <w:spacing w:line="440" w:lineRule="exact"/>
              <w:ind w:left="0"/>
              <w:rPr>
                <w:color w:val="auto"/>
                <w:highlight w:val="none"/>
              </w:rPr>
            </w:pPr>
            <w:r>
              <w:rPr>
                <w:rFonts w:hint="eastAsia" w:ascii="宋体" w:hAnsi="宋体" w:eastAsia="宋体" w:cs="宋体"/>
                <w:color w:val="auto"/>
                <w:spacing w:val="7"/>
                <w:sz w:val="24"/>
                <w:szCs w:val="24"/>
                <w:highlight w:val="none"/>
                <w:lang w:val="en-US" w:eastAsia="zh-CN" w:bidi="ar-SA"/>
              </w:rPr>
              <w:t>2、同一人具有多个证书的不重复得分，同一证书不重复得分。</w:t>
            </w:r>
          </w:p>
        </w:tc>
      </w:tr>
      <w:tr w14:paraId="5F40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trPr>
        <w:tc>
          <w:tcPr>
            <w:tcW w:w="1870" w:type="dxa"/>
            <w:vMerge w:val="continue"/>
            <w:noWrap/>
            <w:vAlign w:val="center"/>
          </w:tcPr>
          <w:p w14:paraId="78F9939E">
            <w:pPr>
              <w:jc w:val="center"/>
              <w:rPr>
                <w:rFonts w:ascii="宋体" w:hAnsi="宋体" w:eastAsia="宋体" w:cs="宋体"/>
                <w:color w:val="auto"/>
                <w:kern w:val="0"/>
                <w:sz w:val="24"/>
                <w:highlight w:val="none"/>
              </w:rPr>
            </w:pPr>
          </w:p>
        </w:tc>
        <w:tc>
          <w:tcPr>
            <w:tcW w:w="1756" w:type="dxa"/>
            <w:vAlign w:val="center"/>
          </w:tcPr>
          <w:p w14:paraId="19A10B03">
            <w:pPr>
              <w:jc w:val="center"/>
              <w:rPr>
                <w:rFonts w:ascii="宋体" w:hAnsi="宋体" w:eastAsia="宋体" w:cs="宋体"/>
                <w:color w:val="auto"/>
                <w:kern w:val="0"/>
                <w:sz w:val="24"/>
                <w:szCs w:val="32"/>
                <w:highlight w:val="none"/>
              </w:rPr>
            </w:pPr>
            <w:r>
              <w:rPr>
                <w:rFonts w:hint="eastAsia" w:ascii="宋体" w:hAnsi="宋体" w:eastAsia="宋体" w:cs="宋体"/>
                <w:color w:val="auto"/>
                <w:kern w:val="0"/>
                <w:sz w:val="24"/>
                <w:szCs w:val="32"/>
                <w:highlight w:val="none"/>
              </w:rPr>
              <w:t>类似业绩</w:t>
            </w:r>
          </w:p>
          <w:p w14:paraId="52303A3F">
            <w:pPr>
              <w:widowControl/>
              <w:jc w:val="center"/>
              <w:rPr>
                <w:rFonts w:ascii="宋体" w:hAnsi="宋体" w:eastAsia="宋体" w:cs="宋体"/>
                <w:color w:val="auto"/>
                <w:kern w:val="0"/>
                <w:sz w:val="24"/>
                <w:highlight w:val="none"/>
              </w:rPr>
            </w:pPr>
            <w:r>
              <w:rPr>
                <w:rFonts w:hint="eastAsia" w:ascii="宋体" w:hAnsi="宋体" w:eastAsia="宋体" w:cs="宋体"/>
                <w:color w:val="auto"/>
                <w:kern w:val="0"/>
                <w:sz w:val="24"/>
                <w:szCs w:val="32"/>
                <w:highlight w:val="none"/>
              </w:rPr>
              <w:t>（9分）</w:t>
            </w:r>
          </w:p>
        </w:tc>
        <w:tc>
          <w:tcPr>
            <w:tcW w:w="5658" w:type="dxa"/>
            <w:vAlign w:val="center"/>
          </w:tcPr>
          <w:p w14:paraId="1F3759A8">
            <w:pPr>
              <w:spacing w:line="240" w:lineRule="auto"/>
              <w:ind w:firstLine="0"/>
              <w:jc w:val="left"/>
              <w:rPr>
                <w:rFonts w:ascii="Times New Roman" w:hAnsi="Times New Roman" w:eastAsia="宋体" w:cs="Times New Roman"/>
                <w:color w:val="auto"/>
                <w:kern w:val="0"/>
                <w:sz w:val="24"/>
                <w:szCs w:val="21"/>
                <w:highlight w:val="none"/>
              </w:rPr>
            </w:pPr>
            <w:r>
              <w:rPr>
                <w:rFonts w:ascii="Times New Roman" w:hAnsi="Times New Roman" w:eastAsia="宋体" w:cs="Times New Roman"/>
                <w:color w:val="auto"/>
                <w:kern w:val="0"/>
                <w:sz w:val="24"/>
                <w:szCs w:val="21"/>
                <w:highlight w:val="none"/>
              </w:rPr>
              <w:t>202</w:t>
            </w:r>
            <w:r>
              <w:rPr>
                <w:rFonts w:hint="eastAsia" w:ascii="Times New Roman" w:hAnsi="Times New Roman" w:eastAsia="宋体" w:cs="Times New Roman"/>
                <w:color w:val="auto"/>
                <w:kern w:val="0"/>
                <w:sz w:val="24"/>
                <w:szCs w:val="21"/>
                <w:highlight w:val="none"/>
                <w:lang w:val="en-US" w:eastAsia="zh-CN"/>
              </w:rPr>
              <w:t>3</w:t>
            </w:r>
            <w:r>
              <w:rPr>
                <w:rFonts w:ascii="Times New Roman" w:hAnsi="Times New Roman" w:eastAsia="宋体" w:cs="Times New Roman"/>
                <w:color w:val="auto"/>
                <w:kern w:val="0"/>
                <w:sz w:val="24"/>
                <w:szCs w:val="21"/>
                <w:highlight w:val="none"/>
              </w:rPr>
              <w:t>年1月1日至今，投标人</w:t>
            </w:r>
            <w:r>
              <w:rPr>
                <w:rFonts w:hint="eastAsia" w:ascii="Times New Roman" w:hAnsi="Times New Roman" w:eastAsia="宋体" w:cs="Times New Roman"/>
                <w:color w:val="auto"/>
                <w:kern w:val="0"/>
                <w:sz w:val="24"/>
                <w:szCs w:val="21"/>
                <w:highlight w:val="none"/>
              </w:rPr>
              <w:t>类似</w:t>
            </w:r>
            <w:r>
              <w:rPr>
                <w:rFonts w:ascii="Times New Roman" w:hAnsi="Times New Roman" w:eastAsia="宋体" w:cs="Times New Roman"/>
                <w:color w:val="auto"/>
                <w:kern w:val="0"/>
                <w:sz w:val="24"/>
                <w:szCs w:val="21"/>
                <w:highlight w:val="none"/>
              </w:rPr>
              <w:t>业绩，</w:t>
            </w:r>
            <w:r>
              <w:rPr>
                <w:rFonts w:hint="eastAsia" w:ascii="Times New Roman" w:hAnsi="Times New Roman" w:eastAsia="宋体" w:cs="Times New Roman"/>
                <w:color w:val="auto"/>
                <w:kern w:val="0"/>
                <w:sz w:val="24"/>
                <w:szCs w:val="21"/>
                <w:highlight w:val="none"/>
              </w:rPr>
              <w:t>每有一个</w:t>
            </w:r>
            <w:r>
              <w:rPr>
                <w:rFonts w:ascii="Times New Roman" w:hAnsi="Times New Roman" w:eastAsia="宋体" w:cs="Times New Roman"/>
                <w:color w:val="auto"/>
                <w:kern w:val="0"/>
                <w:sz w:val="24"/>
                <w:szCs w:val="21"/>
                <w:highlight w:val="none"/>
              </w:rPr>
              <w:t>得</w:t>
            </w:r>
            <w:r>
              <w:rPr>
                <w:rFonts w:hint="eastAsia" w:ascii="Times New Roman" w:hAnsi="Times New Roman" w:eastAsia="宋体" w:cs="Times New Roman"/>
                <w:color w:val="auto"/>
                <w:kern w:val="0"/>
                <w:sz w:val="24"/>
                <w:szCs w:val="21"/>
                <w:highlight w:val="none"/>
              </w:rPr>
              <w:t>3</w:t>
            </w:r>
            <w:r>
              <w:rPr>
                <w:rFonts w:ascii="Times New Roman" w:hAnsi="Times New Roman" w:eastAsia="宋体" w:cs="Times New Roman"/>
                <w:color w:val="auto"/>
                <w:kern w:val="0"/>
                <w:sz w:val="24"/>
                <w:szCs w:val="21"/>
                <w:highlight w:val="none"/>
              </w:rPr>
              <w:t>分，本项最多得</w:t>
            </w:r>
            <w:r>
              <w:rPr>
                <w:rFonts w:hint="eastAsia" w:ascii="Times New Roman" w:hAnsi="Times New Roman" w:eastAsia="宋体" w:cs="Times New Roman"/>
                <w:color w:val="auto"/>
                <w:kern w:val="0"/>
                <w:sz w:val="24"/>
                <w:szCs w:val="21"/>
                <w:highlight w:val="none"/>
              </w:rPr>
              <w:t>9</w:t>
            </w:r>
            <w:r>
              <w:rPr>
                <w:rFonts w:ascii="Times New Roman" w:hAnsi="Times New Roman" w:eastAsia="宋体" w:cs="Times New Roman"/>
                <w:color w:val="auto"/>
                <w:kern w:val="0"/>
                <w:sz w:val="24"/>
                <w:szCs w:val="21"/>
                <w:highlight w:val="none"/>
              </w:rPr>
              <w:t>分。</w:t>
            </w:r>
          </w:p>
          <w:p w14:paraId="2977428C">
            <w:pPr>
              <w:widowControl/>
              <w:spacing w:line="240" w:lineRule="auto"/>
              <w:ind w:firstLine="0"/>
              <w:jc w:val="left"/>
              <w:rPr>
                <w:rFonts w:ascii="宋体" w:hAnsi="宋体" w:eastAsia="宋体" w:cs="宋体"/>
                <w:color w:val="auto"/>
                <w:kern w:val="0"/>
                <w:sz w:val="24"/>
                <w:highlight w:val="none"/>
              </w:rPr>
            </w:pPr>
            <w:r>
              <w:rPr>
                <w:rFonts w:ascii="Times New Roman" w:hAnsi="Times New Roman" w:eastAsia="宋体" w:cs="Times New Roman"/>
                <w:color w:val="auto"/>
                <w:kern w:val="0"/>
                <w:sz w:val="24"/>
                <w:szCs w:val="21"/>
                <w:highlight w:val="none"/>
              </w:rPr>
              <w:t>注：</w:t>
            </w:r>
            <w:r>
              <w:rPr>
                <w:rFonts w:hint="eastAsia" w:ascii="Times New Roman" w:hAnsi="Times New Roman" w:eastAsia="宋体" w:cs="Times New Roman"/>
                <w:color w:val="auto"/>
                <w:kern w:val="0"/>
                <w:sz w:val="24"/>
                <w:szCs w:val="21"/>
                <w:highlight w:val="none"/>
              </w:rPr>
              <w:t>需提供完整合同</w:t>
            </w:r>
            <w:r>
              <w:rPr>
                <w:rFonts w:hint="eastAsia" w:ascii="Times New Roman" w:hAnsi="Times New Roman" w:eastAsia="宋体" w:cs="Times New Roman"/>
                <w:color w:val="auto"/>
                <w:kern w:val="0"/>
                <w:sz w:val="24"/>
                <w:szCs w:val="21"/>
                <w:highlight w:val="none"/>
                <w:lang w:val="en-US" w:eastAsia="zh-CN"/>
              </w:rPr>
              <w:t>及验收报告原件的</w:t>
            </w:r>
            <w:r>
              <w:rPr>
                <w:rFonts w:hint="eastAsia" w:ascii="Times New Roman" w:hAnsi="Times New Roman" w:eastAsia="宋体" w:cs="Times New Roman"/>
                <w:color w:val="auto"/>
                <w:kern w:val="0"/>
                <w:sz w:val="24"/>
                <w:szCs w:val="21"/>
                <w:highlight w:val="none"/>
              </w:rPr>
              <w:t>扫描件</w:t>
            </w:r>
            <w:r>
              <w:rPr>
                <w:rFonts w:hint="eastAsia"/>
                <w:color w:val="auto"/>
                <w:sz w:val="24"/>
                <w:szCs w:val="24"/>
                <w:highlight w:val="none"/>
                <w:lang w:val="en-US" w:eastAsia="zh-CN"/>
              </w:rPr>
              <w:t>，时间</w:t>
            </w:r>
            <w:r>
              <w:rPr>
                <w:rFonts w:hint="default"/>
                <w:color w:val="auto"/>
                <w:sz w:val="24"/>
                <w:szCs w:val="24"/>
                <w:highlight w:val="none"/>
                <w:lang w:val="en-US" w:eastAsia="zh-CN"/>
              </w:rPr>
              <w:t>以</w:t>
            </w:r>
            <w:r>
              <w:rPr>
                <w:rFonts w:hint="eastAsia" w:ascii="Times New Roman" w:hAnsi="Times New Roman" w:eastAsia="宋体" w:cs="Times New Roman"/>
                <w:color w:val="auto"/>
                <w:kern w:val="0"/>
                <w:sz w:val="24"/>
                <w:szCs w:val="21"/>
                <w:highlight w:val="none"/>
                <w:lang w:val="en-US" w:eastAsia="zh-CN"/>
              </w:rPr>
              <w:t>验收报告</w:t>
            </w:r>
            <w:r>
              <w:rPr>
                <w:rFonts w:hint="default"/>
                <w:color w:val="auto"/>
                <w:sz w:val="24"/>
                <w:szCs w:val="24"/>
                <w:highlight w:val="none"/>
                <w:lang w:val="en-US" w:eastAsia="zh-CN"/>
              </w:rPr>
              <w:t>为准</w:t>
            </w:r>
            <w:r>
              <w:rPr>
                <w:rFonts w:ascii="Times New Roman" w:hAnsi="Times New Roman" w:eastAsia="宋体" w:cs="Times New Roman"/>
                <w:color w:val="auto"/>
                <w:sz w:val="24"/>
                <w:highlight w:val="none"/>
              </w:rPr>
              <w:t>。</w:t>
            </w:r>
          </w:p>
        </w:tc>
      </w:tr>
    </w:tbl>
    <w:p w14:paraId="50C882EB">
      <w:pPr>
        <w:spacing w:line="400" w:lineRule="exact"/>
        <w:ind w:firstLine="480"/>
        <w:rPr>
          <w:rFonts w:ascii="宋体" w:hAnsi="宋体" w:eastAsia="宋体" w:cs="Times New Roman"/>
          <w:color w:val="auto"/>
          <w:kern w:val="0"/>
          <w:sz w:val="24"/>
          <w:highlight w:val="none"/>
        </w:rPr>
      </w:pPr>
    </w:p>
    <w:p w14:paraId="37535A6C">
      <w:pPr>
        <w:rPr>
          <w:rFonts w:ascii="Times New Roman" w:hAnsi="Times New Roman" w:eastAsia="宋体" w:cs="Times New Roman"/>
          <w:color w:val="auto"/>
          <w:kern w:val="0"/>
          <w:szCs w:val="21"/>
          <w:highlight w:val="none"/>
        </w:rPr>
      </w:pPr>
    </w:p>
    <w:p w14:paraId="6940BA2D">
      <w:pPr>
        <w:keepNext w:val="0"/>
        <w:ind w:firstLine="0"/>
        <w:outlineLvl w:val="9"/>
        <w:rPr>
          <w:rFonts w:hint="eastAsia" w:ascii="黑体" w:hAnsi="Times New Roman" w:eastAsia="黑体" w:cs="Times New Roman"/>
          <w:bCs/>
          <w:color w:val="auto"/>
          <w:sz w:val="44"/>
          <w:szCs w:val="28"/>
          <w:highlight w:val="none"/>
        </w:rPr>
      </w:pPr>
      <w:r>
        <w:rPr>
          <w:rFonts w:hint="eastAsia" w:ascii="黑体" w:hAnsi="Times New Roman" w:eastAsia="黑体" w:cs="Times New Roman"/>
          <w:bCs/>
          <w:color w:val="auto"/>
          <w:sz w:val="44"/>
          <w:szCs w:val="28"/>
          <w:highlight w:val="none"/>
        </w:rPr>
        <w:br w:type="page"/>
      </w:r>
    </w:p>
    <w:p w14:paraId="5E692239">
      <w:pPr>
        <w:keepNext/>
        <w:ind w:firstLine="2200"/>
        <w:outlineLvl w:val="0"/>
        <w:rPr>
          <w:rFonts w:ascii="黑体" w:hAnsi="Times New Roman" w:eastAsia="黑体" w:cs="Times New Roman"/>
          <w:bCs/>
          <w:color w:val="auto"/>
          <w:sz w:val="44"/>
          <w:szCs w:val="28"/>
          <w:highlight w:val="none"/>
        </w:rPr>
      </w:pPr>
      <w:r>
        <w:rPr>
          <w:rFonts w:hint="eastAsia" w:ascii="黑体" w:hAnsi="Times New Roman" w:eastAsia="黑体" w:cs="Times New Roman"/>
          <w:bCs/>
          <w:color w:val="auto"/>
          <w:sz w:val="44"/>
          <w:szCs w:val="28"/>
          <w:highlight w:val="none"/>
        </w:rPr>
        <w:t>第六章  投标</w:t>
      </w:r>
      <w:bookmarkEnd w:id="138"/>
      <w:bookmarkEnd w:id="139"/>
      <w:bookmarkEnd w:id="140"/>
      <w:r>
        <w:rPr>
          <w:rFonts w:hint="eastAsia" w:ascii="黑体" w:hAnsi="Times New Roman" w:eastAsia="黑体" w:cs="Times New Roman"/>
          <w:bCs/>
          <w:color w:val="auto"/>
          <w:sz w:val="44"/>
          <w:szCs w:val="28"/>
          <w:highlight w:val="none"/>
        </w:rPr>
        <w:t xml:space="preserve">文件格式 </w:t>
      </w:r>
    </w:p>
    <w:p w14:paraId="0252DA6C">
      <w:pPr>
        <w:jc w:val="center"/>
        <w:rPr>
          <w:rFonts w:ascii="宋体" w:hAnsi="宋体" w:eastAsia="宋体" w:cs="Times New Roman"/>
          <w:b/>
          <w:color w:val="auto"/>
          <w:kern w:val="0"/>
          <w:sz w:val="72"/>
          <w:szCs w:val="21"/>
          <w:highlight w:val="none"/>
        </w:rPr>
      </w:pPr>
      <w:bookmarkStart w:id="141" w:name="_Hlt26671244"/>
      <w:bookmarkEnd w:id="141"/>
      <w:bookmarkStart w:id="142" w:name="_Hlt26955039"/>
      <w:bookmarkEnd w:id="142"/>
      <w:bookmarkStart w:id="143" w:name="_Toc120614282"/>
      <w:bookmarkStart w:id="144" w:name="_Toc49090576"/>
      <w:bookmarkStart w:id="145" w:name="_Toc26554094"/>
    </w:p>
    <w:p w14:paraId="3F92226C">
      <w:pPr>
        <w:jc w:val="center"/>
        <w:rPr>
          <w:rFonts w:ascii="宋体" w:hAnsi="宋体" w:eastAsia="宋体" w:cs="Times New Roman"/>
          <w:b/>
          <w:color w:val="auto"/>
          <w:kern w:val="0"/>
          <w:sz w:val="72"/>
          <w:szCs w:val="21"/>
          <w:highlight w:val="none"/>
        </w:rPr>
      </w:pPr>
      <w:r>
        <w:rPr>
          <w:rFonts w:hint="eastAsia" w:ascii="宋体" w:hAnsi="宋体" w:eastAsia="宋体" w:cs="Times New Roman"/>
          <w:b/>
          <w:color w:val="auto"/>
          <w:kern w:val="0"/>
          <w:sz w:val="72"/>
          <w:szCs w:val="21"/>
          <w:highlight w:val="none"/>
        </w:rPr>
        <w:t>投  标  文  件</w:t>
      </w:r>
    </w:p>
    <w:p w14:paraId="643F641F">
      <w:pPr>
        <w:jc w:val="center"/>
        <w:rPr>
          <w:rFonts w:ascii="宋体" w:hAnsi="宋体" w:eastAsia="宋体" w:cs="Times New Roman"/>
          <w:b/>
          <w:color w:val="auto"/>
          <w:kern w:val="0"/>
          <w:sz w:val="72"/>
          <w:szCs w:val="21"/>
          <w:highlight w:val="none"/>
        </w:rPr>
      </w:pPr>
    </w:p>
    <w:p w14:paraId="6EF0F6C4">
      <w:pPr>
        <w:jc w:val="center"/>
        <w:rPr>
          <w:rFonts w:ascii="宋体" w:hAnsi="宋体" w:eastAsia="宋体" w:cs="Times New Roman"/>
          <w:b/>
          <w:color w:val="auto"/>
          <w:kern w:val="0"/>
          <w:sz w:val="72"/>
          <w:szCs w:val="21"/>
          <w:highlight w:val="none"/>
        </w:rPr>
      </w:pPr>
    </w:p>
    <w:p w14:paraId="2D37A08F">
      <w:pPr>
        <w:jc w:val="center"/>
        <w:rPr>
          <w:rFonts w:ascii="宋体" w:hAnsi="宋体" w:eastAsia="宋体" w:cs="Times New Roman"/>
          <w:b/>
          <w:color w:val="auto"/>
          <w:kern w:val="0"/>
          <w:sz w:val="36"/>
          <w:szCs w:val="21"/>
          <w:highlight w:val="none"/>
        </w:rPr>
      </w:pPr>
    </w:p>
    <w:p w14:paraId="4A176265">
      <w:pPr>
        <w:jc w:val="center"/>
        <w:rPr>
          <w:rFonts w:ascii="宋体" w:hAnsi="宋体" w:eastAsia="宋体" w:cs="Times New Roman"/>
          <w:b/>
          <w:color w:val="auto"/>
          <w:kern w:val="0"/>
          <w:sz w:val="36"/>
          <w:szCs w:val="21"/>
          <w:highlight w:val="none"/>
        </w:rPr>
      </w:pPr>
    </w:p>
    <w:p w14:paraId="7E268B5D">
      <w:pPr>
        <w:jc w:val="center"/>
        <w:rPr>
          <w:rFonts w:ascii="宋体" w:hAnsi="宋体" w:eastAsia="宋体" w:cs="Times New Roman"/>
          <w:b/>
          <w:color w:val="auto"/>
          <w:kern w:val="0"/>
          <w:sz w:val="36"/>
          <w:szCs w:val="21"/>
          <w:highlight w:val="none"/>
        </w:rPr>
      </w:pPr>
    </w:p>
    <w:p w14:paraId="27BD6459">
      <w:pPr>
        <w:ind w:firstLine="1084"/>
        <w:rPr>
          <w:rFonts w:ascii="宋体" w:hAnsi="宋体" w:eastAsia="宋体" w:cs="Times New Roman"/>
          <w:b/>
          <w:color w:val="auto"/>
          <w:kern w:val="0"/>
          <w:sz w:val="36"/>
          <w:szCs w:val="21"/>
          <w:highlight w:val="none"/>
        </w:rPr>
      </w:pPr>
      <w:r>
        <w:rPr>
          <w:rFonts w:hint="eastAsia" w:ascii="宋体" w:hAnsi="宋体" w:eastAsia="宋体" w:cs="Times New Roman"/>
          <w:b/>
          <w:color w:val="auto"/>
          <w:kern w:val="0"/>
          <w:sz w:val="36"/>
          <w:szCs w:val="21"/>
          <w:highlight w:val="none"/>
        </w:rPr>
        <w:t>项 目 名 称：</w:t>
      </w:r>
      <w:r>
        <w:rPr>
          <w:rFonts w:hint="eastAsia" w:ascii="宋体" w:hAnsi="宋体" w:eastAsia="宋体" w:cs="Times New Roman"/>
          <w:b/>
          <w:color w:val="auto"/>
          <w:kern w:val="0"/>
          <w:sz w:val="36"/>
          <w:szCs w:val="21"/>
          <w:highlight w:val="none"/>
          <w:u w:val="single"/>
        </w:rPr>
        <w:t xml:space="preserve">               </w:t>
      </w:r>
    </w:p>
    <w:p w14:paraId="27BF8406">
      <w:pPr>
        <w:ind w:firstLine="1084"/>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项 目 编 号：</w:t>
      </w:r>
      <w:r>
        <w:rPr>
          <w:rFonts w:hint="eastAsia" w:ascii="宋体" w:hAnsi="宋体" w:eastAsia="宋体" w:cs="Times New Roman"/>
          <w:b/>
          <w:color w:val="auto"/>
          <w:kern w:val="0"/>
          <w:sz w:val="36"/>
          <w:szCs w:val="21"/>
          <w:highlight w:val="none"/>
          <w:u w:val="single"/>
        </w:rPr>
        <w:t xml:space="preserve">               </w:t>
      </w:r>
    </w:p>
    <w:p w14:paraId="79389DE9">
      <w:pPr>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投标人名称 ：</w:t>
      </w:r>
      <w:r>
        <w:rPr>
          <w:rFonts w:hint="eastAsia" w:ascii="宋体" w:hAnsi="宋体" w:eastAsia="宋体" w:cs="Times New Roman"/>
          <w:b/>
          <w:color w:val="auto"/>
          <w:kern w:val="0"/>
          <w:sz w:val="36"/>
          <w:szCs w:val="21"/>
          <w:highlight w:val="none"/>
          <w:u w:val="single"/>
        </w:rPr>
        <w:t xml:space="preserve"> （加盖CA电子公章） </w:t>
      </w:r>
    </w:p>
    <w:p w14:paraId="0C0EFBA5">
      <w:pPr>
        <w:rPr>
          <w:rFonts w:ascii="宋体" w:hAnsi="宋体" w:eastAsia="宋体" w:cs="Times New Roman"/>
          <w:b/>
          <w:color w:val="auto"/>
          <w:kern w:val="0"/>
          <w:sz w:val="36"/>
          <w:szCs w:val="21"/>
          <w:highlight w:val="none"/>
          <w:u w:val="single"/>
        </w:rPr>
      </w:pPr>
      <w:r>
        <w:rPr>
          <w:rFonts w:hint="eastAsia" w:ascii="宋体" w:hAnsi="宋体" w:eastAsia="宋体" w:cs="Times New Roman"/>
          <w:b/>
          <w:color w:val="auto"/>
          <w:kern w:val="0"/>
          <w:sz w:val="36"/>
          <w:szCs w:val="21"/>
          <w:highlight w:val="none"/>
        </w:rPr>
        <w:t xml:space="preserve">      日      期 ：</w:t>
      </w:r>
      <w:r>
        <w:rPr>
          <w:rFonts w:hint="eastAsia" w:ascii="宋体" w:hAnsi="宋体" w:eastAsia="宋体" w:cs="Times New Roman"/>
          <w:b/>
          <w:color w:val="auto"/>
          <w:kern w:val="0"/>
          <w:sz w:val="36"/>
          <w:szCs w:val="21"/>
          <w:highlight w:val="none"/>
          <w:u w:val="single"/>
        </w:rPr>
        <w:t xml:space="preserve">               </w:t>
      </w:r>
    </w:p>
    <w:p w14:paraId="35D89021">
      <w:pPr>
        <w:spacing w:line="440" w:lineRule="exact"/>
        <w:jc w:val="center"/>
        <w:rPr>
          <w:rFonts w:ascii="宋体" w:hAnsi="宋体" w:eastAsia="宋体" w:cs="Times New Roman"/>
          <w:b/>
          <w:bCs/>
          <w:color w:val="auto"/>
          <w:kern w:val="0"/>
          <w:sz w:val="32"/>
          <w:szCs w:val="32"/>
          <w:highlight w:val="none"/>
        </w:rPr>
      </w:pPr>
    </w:p>
    <w:p w14:paraId="501E1BC0">
      <w:pPr>
        <w:spacing w:line="440" w:lineRule="exact"/>
        <w:rPr>
          <w:rFonts w:ascii="宋体" w:hAnsi="宋体" w:eastAsia="宋体" w:cs="Times New Roman"/>
          <w:color w:val="auto"/>
          <w:kern w:val="0"/>
          <w:szCs w:val="21"/>
          <w:highlight w:val="none"/>
        </w:rPr>
      </w:pPr>
    </w:p>
    <w:p w14:paraId="2E1B85D1">
      <w:pPr>
        <w:ind w:firstLine="1084"/>
        <w:rPr>
          <w:rFonts w:ascii="宋体" w:hAnsi="宋体" w:eastAsia="宋体" w:cs="Times New Roman"/>
          <w:b/>
          <w:bCs/>
          <w:color w:val="auto"/>
          <w:kern w:val="0"/>
          <w:sz w:val="32"/>
          <w:szCs w:val="32"/>
          <w:highlight w:val="none"/>
        </w:rPr>
      </w:pPr>
      <w:r>
        <w:rPr>
          <w:rFonts w:ascii="宋体" w:hAnsi="宋体" w:eastAsia="宋体" w:cs="Times New Roman"/>
          <w:b/>
          <w:color w:val="auto"/>
          <w:kern w:val="0"/>
          <w:sz w:val="36"/>
          <w:szCs w:val="21"/>
          <w:highlight w:val="none"/>
          <w:u w:val="single"/>
        </w:rPr>
        <w:br w:type="page" w:clear="all"/>
      </w:r>
      <w:bookmarkEnd w:id="133"/>
      <w:bookmarkEnd w:id="134"/>
      <w:bookmarkEnd w:id="143"/>
      <w:bookmarkEnd w:id="144"/>
      <w:bookmarkEnd w:id="145"/>
    </w:p>
    <w:p w14:paraId="70E9806F">
      <w:pPr>
        <w:spacing w:line="440" w:lineRule="exact"/>
        <w:jc w:val="center"/>
        <w:rPr>
          <w:rFonts w:ascii="宋体" w:hAnsi="宋体" w:eastAsia="宋体" w:cs="Times New Roman"/>
          <w:b/>
          <w:bCs/>
          <w:color w:val="auto"/>
          <w:kern w:val="0"/>
          <w:sz w:val="32"/>
          <w:szCs w:val="32"/>
          <w:highlight w:val="none"/>
        </w:rPr>
      </w:pPr>
      <w:r>
        <w:rPr>
          <w:rFonts w:hint="eastAsia" w:ascii="宋体" w:hAnsi="宋体" w:eastAsia="宋体" w:cs="Times New Roman"/>
          <w:b/>
          <w:bCs/>
          <w:color w:val="auto"/>
          <w:kern w:val="0"/>
          <w:sz w:val="32"/>
          <w:szCs w:val="32"/>
          <w:highlight w:val="none"/>
        </w:rPr>
        <w:t>投标文件目录</w:t>
      </w:r>
    </w:p>
    <w:p w14:paraId="48F1168A">
      <w:pPr>
        <w:spacing w:line="440" w:lineRule="exact"/>
        <w:jc w:val="center"/>
        <w:rPr>
          <w:rFonts w:ascii="宋体" w:hAnsi="宋体" w:eastAsia="宋体" w:cs="Times New Roman"/>
          <w:b/>
          <w:bCs/>
          <w:color w:val="auto"/>
          <w:kern w:val="0"/>
          <w:sz w:val="32"/>
          <w:szCs w:val="32"/>
          <w:highlight w:val="none"/>
        </w:rPr>
      </w:pPr>
    </w:p>
    <w:p w14:paraId="63FA7B7B">
      <w:pPr>
        <w:spacing w:line="440" w:lineRule="exact"/>
        <w:ind w:firstLine="480"/>
        <w:rPr>
          <w:rFonts w:ascii="宋体" w:hAnsi="宋体" w:eastAsia="宋体" w:cs="Times New Roman"/>
          <w:color w:val="auto"/>
          <w:kern w:val="0"/>
          <w:sz w:val="24"/>
          <w:szCs w:val="21"/>
          <w:highlight w:val="none"/>
        </w:rPr>
      </w:pPr>
    </w:p>
    <w:p w14:paraId="1B60053D">
      <w:pPr>
        <w:spacing w:line="440" w:lineRule="exact"/>
        <w:ind w:firstLine="480"/>
        <w:rPr>
          <w:rFonts w:ascii="宋体" w:hAnsi="宋体" w:eastAsia="宋体" w:cs="Times New Roman"/>
          <w:color w:val="auto"/>
          <w:kern w:val="0"/>
          <w:sz w:val="24"/>
          <w:szCs w:val="21"/>
          <w:highlight w:val="none"/>
        </w:rPr>
      </w:pPr>
    </w:p>
    <w:p w14:paraId="4DB5A9AF">
      <w:pPr>
        <w:spacing w:line="440" w:lineRule="exact"/>
        <w:ind w:firstLine="480"/>
        <w:rPr>
          <w:rFonts w:ascii="宋体" w:hAnsi="宋体" w:eastAsia="宋体" w:cs="Times New Roman"/>
          <w:color w:val="auto"/>
          <w:kern w:val="0"/>
          <w:sz w:val="24"/>
          <w:szCs w:val="21"/>
          <w:highlight w:val="none"/>
        </w:rPr>
      </w:pPr>
    </w:p>
    <w:p w14:paraId="4D3B8513">
      <w:pPr>
        <w:spacing w:line="440" w:lineRule="exact"/>
        <w:ind w:firstLine="480"/>
        <w:rPr>
          <w:rFonts w:ascii="宋体" w:hAnsi="宋体" w:eastAsia="宋体" w:cs="Times New Roman"/>
          <w:color w:val="auto"/>
          <w:kern w:val="0"/>
          <w:sz w:val="24"/>
          <w:szCs w:val="21"/>
          <w:highlight w:val="none"/>
        </w:rPr>
      </w:pPr>
    </w:p>
    <w:p w14:paraId="7F6D1652">
      <w:pPr>
        <w:spacing w:line="440" w:lineRule="exact"/>
        <w:ind w:firstLine="480"/>
        <w:rPr>
          <w:rFonts w:ascii="宋体" w:hAnsi="宋体" w:eastAsia="宋体" w:cs="Times New Roman"/>
          <w:color w:val="auto"/>
          <w:kern w:val="0"/>
          <w:sz w:val="24"/>
          <w:szCs w:val="21"/>
          <w:highlight w:val="none"/>
        </w:rPr>
      </w:pPr>
    </w:p>
    <w:p w14:paraId="16FE41A0">
      <w:pPr>
        <w:spacing w:line="440" w:lineRule="exact"/>
        <w:ind w:firstLine="480"/>
        <w:rPr>
          <w:rFonts w:ascii="宋体" w:hAnsi="宋体" w:eastAsia="宋体" w:cs="Times New Roman"/>
          <w:color w:val="auto"/>
          <w:kern w:val="0"/>
          <w:sz w:val="24"/>
          <w:szCs w:val="21"/>
          <w:highlight w:val="none"/>
        </w:rPr>
      </w:pPr>
    </w:p>
    <w:p w14:paraId="33285817">
      <w:pPr>
        <w:spacing w:line="440" w:lineRule="exact"/>
        <w:ind w:firstLine="480"/>
        <w:rPr>
          <w:rFonts w:ascii="宋体" w:hAnsi="宋体" w:eastAsia="宋体" w:cs="Times New Roman"/>
          <w:color w:val="auto"/>
          <w:kern w:val="0"/>
          <w:sz w:val="24"/>
          <w:szCs w:val="21"/>
          <w:highlight w:val="none"/>
        </w:rPr>
      </w:pPr>
    </w:p>
    <w:p w14:paraId="2DC83057">
      <w:pPr>
        <w:spacing w:line="440" w:lineRule="exact"/>
        <w:ind w:firstLine="480"/>
        <w:rPr>
          <w:rFonts w:ascii="宋体" w:hAnsi="宋体" w:eastAsia="宋体" w:cs="Times New Roman"/>
          <w:color w:val="auto"/>
          <w:kern w:val="0"/>
          <w:sz w:val="24"/>
          <w:szCs w:val="21"/>
          <w:highlight w:val="none"/>
        </w:rPr>
      </w:pPr>
    </w:p>
    <w:p w14:paraId="73F3461B">
      <w:pPr>
        <w:spacing w:line="440" w:lineRule="exact"/>
        <w:ind w:firstLine="480"/>
        <w:rPr>
          <w:rFonts w:ascii="宋体" w:hAnsi="宋体" w:eastAsia="宋体" w:cs="Times New Roman"/>
          <w:color w:val="auto"/>
          <w:kern w:val="0"/>
          <w:sz w:val="24"/>
          <w:szCs w:val="21"/>
          <w:highlight w:val="none"/>
        </w:rPr>
      </w:pPr>
    </w:p>
    <w:p w14:paraId="56D5651B">
      <w:pPr>
        <w:spacing w:line="440" w:lineRule="exact"/>
        <w:ind w:firstLine="480"/>
        <w:rPr>
          <w:rFonts w:ascii="宋体" w:hAnsi="宋体" w:eastAsia="宋体" w:cs="Times New Roman"/>
          <w:color w:val="auto"/>
          <w:kern w:val="0"/>
          <w:sz w:val="24"/>
          <w:szCs w:val="21"/>
          <w:highlight w:val="none"/>
        </w:rPr>
      </w:pPr>
    </w:p>
    <w:p w14:paraId="53949AD8">
      <w:pPr>
        <w:spacing w:line="440" w:lineRule="exact"/>
        <w:ind w:firstLine="480"/>
        <w:rPr>
          <w:rFonts w:ascii="宋体" w:hAnsi="宋体" w:eastAsia="宋体" w:cs="Times New Roman"/>
          <w:color w:val="auto"/>
          <w:kern w:val="0"/>
          <w:sz w:val="24"/>
          <w:szCs w:val="21"/>
          <w:highlight w:val="none"/>
        </w:rPr>
      </w:pPr>
    </w:p>
    <w:p w14:paraId="070528BD">
      <w:pPr>
        <w:rPr>
          <w:rFonts w:ascii="宋体" w:hAnsi="宋体" w:eastAsia="楷体_GB2312" w:cs="Times New Roman"/>
          <w:color w:val="auto"/>
          <w:sz w:val="24"/>
          <w:szCs w:val="28"/>
          <w:highlight w:val="none"/>
        </w:rPr>
      </w:pPr>
    </w:p>
    <w:p w14:paraId="6BF88D16">
      <w:pPr>
        <w:rPr>
          <w:rFonts w:ascii="宋体" w:hAnsi="宋体" w:eastAsia="楷体_GB2312" w:cs="Times New Roman"/>
          <w:color w:val="auto"/>
          <w:sz w:val="24"/>
          <w:szCs w:val="28"/>
          <w:highlight w:val="none"/>
        </w:rPr>
      </w:pPr>
    </w:p>
    <w:p w14:paraId="39496833">
      <w:pPr>
        <w:rPr>
          <w:rFonts w:ascii="宋体" w:hAnsi="宋体" w:eastAsia="楷体_GB2312" w:cs="Times New Roman"/>
          <w:color w:val="auto"/>
          <w:sz w:val="24"/>
          <w:szCs w:val="28"/>
          <w:highlight w:val="none"/>
        </w:rPr>
      </w:pPr>
    </w:p>
    <w:p w14:paraId="502F32E2">
      <w:pPr>
        <w:rPr>
          <w:rFonts w:ascii="宋体" w:hAnsi="宋体" w:eastAsia="楷体_GB2312" w:cs="Times New Roman"/>
          <w:color w:val="auto"/>
          <w:sz w:val="24"/>
          <w:szCs w:val="28"/>
          <w:highlight w:val="none"/>
        </w:rPr>
      </w:pPr>
    </w:p>
    <w:p w14:paraId="3DBFF772">
      <w:pPr>
        <w:spacing w:line="360" w:lineRule="auto"/>
        <w:jc w:val="left"/>
        <w:rPr>
          <w:rFonts w:ascii="黑体" w:hAnsi="黑体" w:eastAsia="黑体" w:cs="宋体"/>
          <w:bCs/>
          <w:color w:val="auto"/>
          <w:sz w:val="36"/>
          <w:szCs w:val="28"/>
          <w:highlight w:val="none"/>
        </w:rPr>
        <w:sectPr>
          <w:footerReference r:id="rId7" w:type="default"/>
          <w:pgSz w:w="11906" w:h="16838"/>
          <w:pgMar w:top="1417" w:right="1417" w:bottom="1417" w:left="1417" w:header="851" w:footer="992" w:gutter="0"/>
          <w:cols w:space="1701" w:num="1"/>
          <w:docGrid w:linePitch="360" w:charSpace="0"/>
        </w:sectPr>
      </w:pPr>
    </w:p>
    <w:p w14:paraId="0884A71C">
      <w:p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一、法人或者其他组织的营业执照等证明文件，自然人的身份证明</w:t>
      </w:r>
    </w:p>
    <w:p w14:paraId="640B96B7">
      <w:pPr>
        <w:spacing w:line="440" w:lineRule="exact"/>
        <w:ind w:firstLine="480"/>
        <w:rPr>
          <w:rFonts w:ascii="宋体" w:hAnsi="宋体" w:eastAsia="宋体" w:cs="Times New Roman"/>
          <w:color w:val="auto"/>
          <w:kern w:val="0"/>
          <w:sz w:val="24"/>
          <w:szCs w:val="21"/>
          <w:highlight w:val="none"/>
        </w:rPr>
      </w:pPr>
      <w:r>
        <w:rPr>
          <w:rFonts w:ascii="宋体" w:hAnsi="宋体" w:eastAsia="宋体" w:cs="Times New Roman"/>
          <w:color w:val="auto"/>
          <w:kern w:val="0"/>
          <w:sz w:val="24"/>
          <w:szCs w:val="21"/>
          <w:highlight w:val="none"/>
        </w:rPr>
        <w:br w:type="page" w:clear="all"/>
      </w:r>
    </w:p>
    <w:p w14:paraId="2BA1D781">
      <w:p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二、财务状况报告</w:t>
      </w:r>
    </w:p>
    <w:p w14:paraId="7AD52E5A">
      <w:pPr>
        <w:spacing w:line="360" w:lineRule="auto"/>
        <w:ind w:firstLine="960"/>
        <w:rPr>
          <w:rFonts w:ascii="宋体" w:hAnsi="宋体" w:eastAsia="宋体" w:cs="宋体"/>
          <w:color w:val="auto"/>
          <w:kern w:val="0"/>
          <w:sz w:val="24"/>
          <w:highlight w:val="none"/>
        </w:rPr>
      </w:pPr>
    </w:p>
    <w:p w14:paraId="5F601F44">
      <w:pPr>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财务状况报告及税收、社会保障资金缴纳情况承诺函</w:t>
      </w:r>
    </w:p>
    <w:p w14:paraId="059C5530">
      <w:pPr>
        <w:rPr>
          <w:rFonts w:ascii="宋体" w:hAnsi="宋体" w:eastAsia="宋体" w:cs="宋体"/>
          <w:color w:val="auto"/>
          <w:sz w:val="24"/>
          <w:highlight w:val="none"/>
        </w:rPr>
      </w:pPr>
    </w:p>
    <w:p w14:paraId="597CD1FA">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p>
    <w:p w14:paraId="24903EDC">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我方</w:t>
      </w:r>
      <w:r>
        <w:rPr>
          <w:rFonts w:hint="eastAsia" w:ascii="宋体" w:hAnsi="宋体" w:eastAsia="宋体" w:cs="宋体"/>
          <w:color w:val="auto"/>
          <w:kern w:val="0"/>
          <w:sz w:val="24"/>
          <w:highlight w:val="none"/>
          <w:u w:val="single"/>
        </w:rPr>
        <w:t xml:space="preserve"> （投标人名称） </w:t>
      </w:r>
      <w:r>
        <w:rPr>
          <w:rFonts w:hint="eastAsia" w:ascii="宋体" w:hAnsi="宋体" w:eastAsia="宋体" w:cs="宋体"/>
          <w:color w:val="auto"/>
          <w:kern w:val="0"/>
          <w:sz w:val="24"/>
          <w:highlight w:val="none"/>
        </w:rPr>
        <w:t xml:space="preserve">参加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（标段编号：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4CC84BFF">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（1）具有良好的商业信誉和健全的财务会计制度；</w:t>
      </w:r>
    </w:p>
    <w:p w14:paraId="3B1859D1">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（2）有依法缴纳税收和社会保障资金的良好记录。</w:t>
      </w:r>
    </w:p>
    <w:p w14:paraId="303A7B25">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E931A93">
      <w:pPr>
        <w:spacing w:line="360" w:lineRule="auto"/>
        <w:ind w:firstLine="480"/>
        <w:rPr>
          <w:rFonts w:ascii="宋体" w:hAnsi="宋体" w:eastAsia="宋体" w:cs="宋体"/>
          <w:color w:val="auto"/>
          <w:kern w:val="0"/>
          <w:sz w:val="24"/>
          <w:highlight w:val="none"/>
        </w:rPr>
      </w:pPr>
    </w:p>
    <w:p w14:paraId="7C6F54F6">
      <w:pPr>
        <w:spacing w:line="360" w:lineRule="auto"/>
        <w:ind w:firstLine="480"/>
        <w:rPr>
          <w:rFonts w:ascii="宋体" w:hAnsi="宋体" w:eastAsia="宋体" w:cs="宋体"/>
          <w:color w:val="auto"/>
          <w:kern w:val="0"/>
          <w:sz w:val="24"/>
          <w:highlight w:val="none"/>
        </w:rPr>
      </w:pPr>
    </w:p>
    <w:p w14:paraId="561B6038">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特此承诺</w:t>
      </w:r>
    </w:p>
    <w:p w14:paraId="7347321C">
      <w:pPr>
        <w:spacing w:line="360" w:lineRule="auto"/>
        <w:ind w:firstLine="480"/>
        <w:rPr>
          <w:rFonts w:ascii="宋体" w:hAnsi="宋体" w:eastAsia="宋体" w:cs="宋体"/>
          <w:color w:val="auto"/>
          <w:kern w:val="0"/>
          <w:sz w:val="24"/>
          <w:highlight w:val="none"/>
        </w:rPr>
      </w:pPr>
    </w:p>
    <w:p w14:paraId="0D5A6059">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投标人（盖章）：</w:t>
      </w:r>
    </w:p>
    <w:p w14:paraId="5F2EF9B1">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法定代表人或委托代理人（签字或盖章）：</w:t>
      </w:r>
    </w:p>
    <w:p w14:paraId="282DE075">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年     月     日</w:t>
      </w:r>
    </w:p>
    <w:p w14:paraId="0308A43A">
      <w:pPr>
        <w:ind w:firstLine="480"/>
        <w:rPr>
          <w:rFonts w:ascii="宋体" w:hAnsi="宋体" w:eastAsia="宋体" w:cs="Times New Roman"/>
          <w:color w:val="auto"/>
          <w:kern w:val="0"/>
          <w:sz w:val="24"/>
          <w:highlight w:val="none"/>
        </w:rPr>
      </w:pPr>
    </w:p>
    <w:p w14:paraId="7D90EFA0">
      <w:pPr>
        <w:rPr>
          <w:rFonts w:ascii="黑体" w:hAnsi="黑体" w:eastAsia="黑体" w:cs="Times New Roman"/>
          <w:i/>
          <w:color w:val="auto"/>
          <w:kern w:val="0"/>
          <w:sz w:val="32"/>
          <w:szCs w:val="32"/>
          <w:highlight w:val="none"/>
          <w:u w:val="single"/>
        </w:rPr>
      </w:pPr>
      <w:r>
        <w:rPr>
          <w:rFonts w:hint="eastAsia" w:ascii="黑体" w:hAnsi="黑体" w:eastAsia="黑体" w:cs="Times New Roman"/>
          <w:i/>
          <w:color w:val="auto"/>
          <w:kern w:val="0"/>
          <w:sz w:val="32"/>
          <w:szCs w:val="32"/>
          <w:highlight w:val="none"/>
          <w:u w:val="single"/>
        </w:rPr>
        <w:br w:type="page" w:clear="all"/>
      </w:r>
    </w:p>
    <w:p w14:paraId="3C45D3ED">
      <w:p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三、依法缴纳税收和社会保障资金的相关材料</w:t>
      </w:r>
    </w:p>
    <w:p w14:paraId="5DDFECCF">
      <w:pPr>
        <w:spacing w:line="360" w:lineRule="auto"/>
        <w:ind w:firstLine="960"/>
        <w:rPr>
          <w:rFonts w:ascii="宋体" w:hAnsi="宋体" w:eastAsia="宋体" w:cs="宋体"/>
          <w:color w:val="auto"/>
          <w:kern w:val="0"/>
          <w:sz w:val="24"/>
          <w:highlight w:val="none"/>
        </w:rPr>
      </w:pPr>
      <w:bookmarkStart w:id="146" w:name="_Toc120614284"/>
    </w:p>
    <w:p w14:paraId="728CA680">
      <w:pPr>
        <w:spacing w:line="360" w:lineRule="auto"/>
        <w:ind w:firstLine="1576" w:firstLineChars="657"/>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财务状况报告及税收、社会保障资金缴纳情况承诺函</w:t>
      </w:r>
    </w:p>
    <w:p w14:paraId="18DC6C85">
      <w:pPr>
        <w:rPr>
          <w:rFonts w:ascii="宋体" w:hAnsi="宋体" w:eastAsia="宋体" w:cs="宋体"/>
          <w:color w:val="auto"/>
          <w:sz w:val="24"/>
          <w:highlight w:val="none"/>
        </w:rPr>
      </w:pPr>
    </w:p>
    <w:p w14:paraId="5B3BF312">
      <w:pPr>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u w:val="single"/>
        </w:rPr>
        <w:t xml:space="preserve">                  </w:t>
      </w:r>
    </w:p>
    <w:p w14:paraId="25E8E1B1">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我方</w:t>
      </w:r>
      <w:r>
        <w:rPr>
          <w:rFonts w:hint="eastAsia" w:ascii="宋体" w:hAnsi="宋体" w:eastAsia="宋体" w:cs="宋体"/>
          <w:color w:val="auto"/>
          <w:kern w:val="0"/>
          <w:sz w:val="24"/>
          <w:highlight w:val="none"/>
          <w:u w:val="single"/>
        </w:rPr>
        <w:t xml:space="preserve"> （投标人名称） </w:t>
      </w:r>
      <w:r>
        <w:rPr>
          <w:rFonts w:hint="eastAsia" w:ascii="宋体" w:hAnsi="宋体" w:eastAsia="宋体" w:cs="宋体"/>
          <w:color w:val="auto"/>
          <w:kern w:val="0"/>
          <w:sz w:val="24"/>
          <w:highlight w:val="none"/>
        </w:rPr>
        <w:t xml:space="preserve">参加 </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（标段编号：</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2270935">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（1）具有良好的商业信誉和健全的财务会计制度；</w:t>
      </w:r>
    </w:p>
    <w:p w14:paraId="5E992226">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（2）有依法缴纳税收和社会保障资金的良好记录。</w:t>
      </w:r>
    </w:p>
    <w:p w14:paraId="33BFFB39">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6715975E">
      <w:pPr>
        <w:spacing w:line="360" w:lineRule="auto"/>
        <w:ind w:firstLine="480"/>
        <w:rPr>
          <w:rFonts w:ascii="宋体" w:hAnsi="宋体" w:eastAsia="宋体" w:cs="宋体"/>
          <w:color w:val="auto"/>
          <w:kern w:val="0"/>
          <w:sz w:val="24"/>
          <w:highlight w:val="none"/>
        </w:rPr>
      </w:pPr>
    </w:p>
    <w:p w14:paraId="425CCCF0">
      <w:pPr>
        <w:spacing w:line="360" w:lineRule="auto"/>
        <w:ind w:firstLine="480"/>
        <w:rPr>
          <w:rFonts w:ascii="宋体" w:hAnsi="宋体" w:eastAsia="宋体" w:cs="宋体"/>
          <w:color w:val="auto"/>
          <w:kern w:val="0"/>
          <w:sz w:val="24"/>
          <w:highlight w:val="none"/>
        </w:rPr>
      </w:pPr>
    </w:p>
    <w:p w14:paraId="7D2EDA37">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特此承诺</w:t>
      </w:r>
    </w:p>
    <w:p w14:paraId="097677AE">
      <w:pPr>
        <w:spacing w:line="360" w:lineRule="auto"/>
        <w:ind w:firstLine="480"/>
        <w:rPr>
          <w:rFonts w:ascii="宋体" w:hAnsi="宋体" w:eastAsia="宋体" w:cs="宋体"/>
          <w:color w:val="auto"/>
          <w:kern w:val="0"/>
          <w:sz w:val="24"/>
          <w:highlight w:val="none"/>
        </w:rPr>
      </w:pPr>
    </w:p>
    <w:p w14:paraId="20D9FFE4">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投标人（盖章）：</w:t>
      </w:r>
    </w:p>
    <w:p w14:paraId="663A91B6">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法定代表人或委托代理人（签字或盖章）：</w:t>
      </w:r>
    </w:p>
    <w:p w14:paraId="6FF4E2AF">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年     月     日</w:t>
      </w:r>
    </w:p>
    <w:p w14:paraId="20A93F2C">
      <w:pPr>
        <w:ind w:firstLine="480"/>
        <w:rPr>
          <w:rFonts w:ascii="宋体" w:hAnsi="宋体" w:eastAsia="宋体" w:cs="Times New Roman"/>
          <w:color w:val="auto"/>
          <w:kern w:val="0"/>
          <w:sz w:val="24"/>
          <w:highlight w:val="none"/>
        </w:rPr>
      </w:pPr>
    </w:p>
    <w:p w14:paraId="17E94E88">
      <w:pPr>
        <w:rPr>
          <w:rFonts w:ascii="黑体" w:hAnsi="黑体" w:eastAsia="黑体" w:cs="Times New Roman"/>
          <w:i/>
          <w:color w:val="auto"/>
          <w:kern w:val="0"/>
          <w:sz w:val="32"/>
          <w:szCs w:val="32"/>
          <w:highlight w:val="none"/>
          <w:u w:val="single"/>
        </w:rPr>
      </w:pPr>
      <w:r>
        <w:rPr>
          <w:rFonts w:hint="eastAsia" w:ascii="黑体" w:hAnsi="黑体" w:eastAsia="黑体" w:cs="Times New Roman"/>
          <w:i/>
          <w:color w:val="auto"/>
          <w:kern w:val="0"/>
          <w:sz w:val="32"/>
          <w:szCs w:val="32"/>
          <w:highlight w:val="none"/>
          <w:u w:val="single"/>
        </w:rPr>
        <w:br w:type="page" w:clear="all"/>
      </w:r>
    </w:p>
    <w:p w14:paraId="6C767F2F">
      <w:pPr>
        <w:numPr>
          <w:ilvl w:val="0"/>
          <w:numId w:val="11"/>
        </w:num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具备履行合同所必需的设备和专业技术能力的书面声明</w:t>
      </w:r>
    </w:p>
    <w:p w14:paraId="18FA2EBB">
      <w:pPr>
        <w:spacing w:line="360" w:lineRule="auto"/>
        <w:jc w:val="center"/>
        <w:rPr>
          <w:rFonts w:ascii="黑体" w:hAnsi="黑体" w:eastAsia="黑体" w:cs="宋体"/>
          <w:bCs/>
          <w:color w:val="auto"/>
          <w:kern w:val="0"/>
          <w:sz w:val="36"/>
          <w:szCs w:val="28"/>
          <w:highlight w:val="none"/>
        </w:rPr>
      </w:pPr>
    </w:p>
    <w:p w14:paraId="50DF6AC3">
      <w:pPr>
        <w:spacing w:line="360" w:lineRule="auto"/>
        <w:jc w:val="center"/>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声</w:t>
      </w:r>
      <w:r>
        <w:rPr>
          <w:rFonts w:hint="eastAsia" w:ascii="黑体" w:hAnsi="黑体" w:eastAsia="黑体" w:cs="宋体"/>
          <w:bCs/>
          <w:color w:val="auto"/>
          <w:kern w:val="0"/>
          <w:sz w:val="36"/>
          <w:szCs w:val="28"/>
          <w:highlight w:val="none"/>
          <w:lang w:val="en-US" w:eastAsia="zh-CN"/>
        </w:rPr>
        <w:t xml:space="preserve">  </w:t>
      </w:r>
      <w:r>
        <w:rPr>
          <w:rFonts w:hint="eastAsia" w:ascii="黑体" w:hAnsi="黑体" w:eastAsia="黑体" w:cs="宋体"/>
          <w:bCs/>
          <w:color w:val="auto"/>
          <w:kern w:val="0"/>
          <w:sz w:val="36"/>
          <w:szCs w:val="28"/>
          <w:highlight w:val="none"/>
        </w:rPr>
        <w:t>明</w:t>
      </w:r>
    </w:p>
    <w:p w14:paraId="260FA8D6">
      <w:pPr>
        <w:spacing w:line="360" w:lineRule="auto"/>
        <w:jc w:val="left"/>
        <w:rPr>
          <w:rFonts w:ascii="黑体" w:hAnsi="黑体" w:eastAsia="黑体" w:cs="宋体"/>
          <w:bCs/>
          <w:color w:val="auto"/>
          <w:kern w:val="0"/>
          <w:sz w:val="36"/>
          <w:szCs w:val="28"/>
          <w:highlight w:val="none"/>
        </w:rPr>
      </w:pPr>
    </w:p>
    <w:p w14:paraId="41CCE618">
      <w:pPr>
        <w:spacing w:line="460" w:lineRule="exact"/>
        <w:ind w:firstLine="492"/>
        <w:rPr>
          <w:rFonts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我单位郑重声明：我单位具备履行本项采购合同所必需的设备和专业技术能力，为履行本项采购合同我公司具备如下主要设备和主要专业技术能力：</w:t>
      </w:r>
    </w:p>
    <w:p w14:paraId="6CA40414">
      <w:pPr>
        <w:spacing w:line="460" w:lineRule="exact"/>
        <w:ind w:firstLine="492"/>
        <w:rPr>
          <w:rFonts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主要设备有：</w:t>
      </w:r>
      <w:r>
        <w:rPr>
          <w:rFonts w:hint="eastAsia" w:ascii="宋体" w:hAnsi="宋体" w:eastAsia="宋体" w:cs="Times New Roman"/>
          <w:bCs/>
          <w:color w:val="auto"/>
          <w:kern w:val="0"/>
          <w:sz w:val="24"/>
          <w:szCs w:val="21"/>
          <w:highlight w:val="none"/>
          <w:u w:val="single"/>
        </w:rPr>
        <w:t xml:space="preserve">                     </w:t>
      </w:r>
      <w:r>
        <w:rPr>
          <w:rFonts w:hint="eastAsia" w:ascii="宋体" w:hAnsi="宋体" w:eastAsia="宋体" w:cs="Times New Roman"/>
          <w:bCs/>
          <w:color w:val="auto"/>
          <w:kern w:val="0"/>
          <w:sz w:val="24"/>
          <w:szCs w:val="21"/>
          <w:highlight w:val="none"/>
        </w:rPr>
        <w:t>。</w:t>
      </w:r>
    </w:p>
    <w:p w14:paraId="6B3D598A">
      <w:pPr>
        <w:spacing w:line="460" w:lineRule="exact"/>
        <w:ind w:firstLine="492"/>
        <w:rPr>
          <w:rFonts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主要专业技术能力有：</w:t>
      </w:r>
      <w:r>
        <w:rPr>
          <w:rFonts w:hint="eastAsia" w:ascii="宋体" w:hAnsi="宋体" w:eastAsia="宋体" w:cs="Times New Roman"/>
          <w:bCs/>
          <w:color w:val="auto"/>
          <w:kern w:val="0"/>
          <w:sz w:val="24"/>
          <w:szCs w:val="21"/>
          <w:highlight w:val="none"/>
          <w:u w:val="single"/>
        </w:rPr>
        <w:t xml:space="preserve">              </w:t>
      </w:r>
      <w:r>
        <w:rPr>
          <w:rFonts w:hint="eastAsia" w:ascii="宋体" w:hAnsi="宋体" w:eastAsia="宋体" w:cs="Times New Roman"/>
          <w:bCs/>
          <w:color w:val="auto"/>
          <w:kern w:val="0"/>
          <w:sz w:val="24"/>
          <w:szCs w:val="21"/>
          <w:highlight w:val="none"/>
        </w:rPr>
        <w:t>。</w:t>
      </w:r>
    </w:p>
    <w:p w14:paraId="2BA10117">
      <w:pPr>
        <w:spacing w:line="460" w:lineRule="exact"/>
        <w:rPr>
          <w:rFonts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t xml:space="preserve">          </w:t>
      </w:r>
    </w:p>
    <w:p w14:paraId="5AB38FDE">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投标人（盖章）：</w:t>
      </w:r>
    </w:p>
    <w:p w14:paraId="35A3208D">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法定代表人或委托代理人（签字或盖章）：</w:t>
      </w:r>
    </w:p>
    <w:p w14:paraId="4E248016">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年     月     日</w:t>
      </w:r>
    </w:p>
    <w:p w14:paraId="6952B50A">
      <w:pPr>
        <w:spacing w:line="460" w:lineRule="exact"/>
        <w:rPr>
          <w:rFonts w:ascii="宋体" w:hAnsi="宋体" w:eastAsia="宋体" w:cs="Times New Roman"/>
          <w:bCs/>
          <w:color w:val="auto"/>
          <w:kern w:val="0"/>
          <w:sz w:val="24"/>
          <w:szCs w:val="21"/>
          <w:highlight w:val="none"/>
        </w:rPr>
      </w:pPr>
      <w:r>
        <w:rPr>
          <w:rFonts w:hint="eastAsia" w:ascii="宋体" w:hAnsi="宋体" w:eastAsia="宋体" w:cs="Times New Roman"/>
          <w:bCs/>
          <w:color w:val="auto"/>
          <w:kern w:val="0"/>
          <w:sz w:val="24"/>
          <w:szCs w:val="21"/>
          <w:highlight w:val="none"/>
        </w:rPr>
        <w:br w:type="page" w:clear="all"/>
      </w:r>
      <w:r>
        <w:rPr>
          <w:rFonts w:hint="eastAsia" w:ascii="宋体" w:hAnsi="宋体" w:eastAsia="宋体" w:cs="Times New Roman"/>
          <w:bCs/>
          <w:color w:val="auto"/>
          <w:kern w:val="0"/>
          <w:sz w:val="24"/>
          <w:szCs w:val="21"/>
          <w:highlight w:val="none"/>
        </w:rPr>
        <w:t xml:space="preserve">                           </w:t>
      </w:r>
    </w:p>
    <w:p w14:paraId="24F833CD">
      <w:pPr>
        <w:spacing w:line="360" w:lineRule="auto"/>
        <w:jc w:val="left"/>
        <w:rPr>
          <w:rFonts w:ascii="黑体" w:hAnsi="黑体" w:eastAsia="黑体" w:cs="宋体"/>
          <w:bCs/>
          <w:color w:val="auto"/>
          <w:kern w:val="0"/>
          <w:sz w:val="36"/>
          <w:szCs w:val="28"/>
          <w:highlight w:val="none"/>
        </w:rPr>
      </w:pPr>
    </w:p>
    <w:p w14:paraId="60E7F9EA">
      <w:p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五、参加政府采购活动前 3 年内在经营活动中没有重大违法记录的书面声明</w:t>
      </w:r>
    </w:p>
    <w:p w14:paraId="3E6B79EC">
      <w:pPr>
        <w:spacing w:line="460" w:lineRule="exact"/>
        <w:rPr>
          <w:rFonts w:ascii="宋体" w:hAnsi="宋体" w:eastAsia="宋体" w:cs="Times New Roman"/>
          <w:b/>
          <w:bCs/>
          <w:color w:val="auto"/>
          <w:kern w:val="0"/>
          <w:sz w:val="44"/>
          <w:szCs w:val="44"/>
          <w:highlight w:val="none"/>
        </w:rPr>
      </w:pPr>
      <w:r>
        <w:rPr>
          <w:rFonts w:hint="eastAsia" w:ascii="宋体" w:hAnsi="宋体" w:eastAsia="宋体" w:cs="Times New Roman"/>
          <w:b/>
          <w:bCs/>
          <w:color w:val="auto"/>
          <w:kern w:val="0"/>
          <w:sz w:val="44"/>
          <w:szCs w:val="44"/>
          <w:highlight w:val="none"/>
        </w:rPr>
        <w:t xml:space="preserve">                 </w:t>
      </w:r>
    </w:p>
    <w:p w14:paraId="3C312C80">
      <w:pPr>
        <w:spacing w:line="460" w:lineRule="exact"/>
        <w:rPr>
          <w:rFonts w:ascii="宋体" w:hAnsi="宋体" w:eastAsia="宋体" w:cs="Times New Roman"/>
          <w:b/>
          <w:bCs/>
          <w:color w:val="auto"/>
          <w:kern w:val="0"/>
          <w:sz w:val="44"/>
          <w:szCs w:val="44"/>
          <w:highlight w:val="none"/>
        </w:rPr>
      </w:pPr>
    </w:p>
    <w:p w14:paraId="4584F534">
      <w:pPr>
        <w:spacing w:line="460" w:lineRule="exact"/>
        <w:jc w:val="center"/>
        <w:rPr>
          <w:rFonts w:ascii="宋体" w:hAnsi="宋体" w:eastAsia="宋体" w:cs="Times New Roman"/>
          <w:b/>
          <w:bCs/>
          <w:color w:val="auto"/>
          <w:kern w:val="0"/>
          <w:sz w:val="44"/>
          <w:szCs w:val="44"/>
          <w:highlight w:val="none"/>
        </w:rPr>
      </w:pPr>
      <w:r>
        <w:rPr>
          <w:rFonts w:hint="eastAsia" w:ascii="宋体" w:hAnsi="宋体" w:eastAsia="宋体" w:cs="Times New Roman"/>
          <w:b/>
          <w:bCs/>
          <w:color w:val="auto"/>
          <w:kern w:val="0"/>
          <w:sz w:val="44"/>
          <w:szCs w:val="44"/>
          <w:highlight w:val="none"/>
        </w:rPr>
        <w:t>声  明</w:t>
      </w:r>
    </w:p>
    <w:p w14:paraId="18BFA967">
      <w:pPr>
        <w:spacing w:line="460" w:lineRule="exact"/>
        <w:rPr>
          <w:rFonts w:ascii="宋体" w:hAnsi="宋体" w:eastAsia="宋体" w:cs="Times New Roman"/>
          <w:bCs/>
          <w:color w:val="auto"/>
          <w:kern w:val="0"/>
          <w:sz w:val="24"/>
          <w:szCs w:val="21"/>
          <w:highlight w:val="none"/>
        </w:rPr>
      </w:pPr>
      <w:r>
        <w:rPr>
          <w:rFonts w:hint="eastAsia" w:ascii="宋体" w:hAnsi="宋体" w:eastAsia="宋体" w:cs="Times New Roman"/>
          <w:b/>
          <w:bCs/>
          <w:color w:val="auto"/>
          <w:kern w:val="0"/>
          <w:sz w:val="24"/>
          <w:szCs w:val="21"/>
          <w:highlight w:val="none"/>
        </w:rPr>
        <w:t xml:space="preserve">    </w:t>
      </w:r>
      <w:r>
        <w:rPr>
          <w:rFonts w:hint="eastAsia" w:ascii="宋体" w:hAnsi="宋体" w:eastAsia="宋体" w:cs="Times New Roman"/>
          <w:bCs/>
          <w:color w:val="auto"/>
          <w:kern w:val="0"/>
          <w:sz w:val="24"/>
          <w:szCs w:val="21"/>
          <w:highlight w:val="none"/>
        </w:rPr>
        <w:t>我单位郑重声明：参加本次政府采购活动前 3 年内，我单位在经营活动中没有因违法经营受到刑事处罚或者责令停产停业、吊销许可证或者执照、较大数额罚款等行政处罚。</w:t>
      </w:r>
    </w:p>
    <w:p w14:paraId="0BD2A246">
      <w:pPr>
        <w:rPr>
          <w:rFonts w:ascii="黑体" w:hAnsi="黑体" w:eastAsia="黑体" w:cs="Times New Roman"/>
          <w:i/>
          <w:color w:val="auto"/>
          <w:kern w:val="0"/>
          <w:sz w:val="32"/>
          <w:szCs w:val="32"/>
          <w:highlight w:val="none"/>
          <w:u w:val="single"/>
        </w:rPr>
      </w:pPr>
    </w:p>
    <w:p w14:paraId="2AA80058">
      <w:pPr>
        <w:rPr>
          <w:rFonts w:ascii="黑体" w:hAnsi="黑体" w:eastAsia="黑体" w:cs="Times New Roman"/>
          <w:i/>
          <w:color w:val="auto"/>
          <w:kern w:val="0"/>
          <w:sz w:val="32"/>
          <w:szCs w:val="32"/>
          <w:highlight w:val="none"/>
          <w:u w:val="single"/>
        </w:rPr>
      </w:pPr>
    </w:p>
    <w:p w14:paraId="0A21EA31">
      <w:pPr>
        <w:spacing w:line="360" w:lineRule="auto"/>
        <w:ind w:firstLine="480"/>
        <w:rPr>
          <w:rFonts w:ascii="宋体" w:hAnsi="宋体" w:eastAsia="宋体" w:cs="宋体"/>
          <w:color w:val="auto"/>
          <w:kern w:val="0"/>
          <w:sz w:val="24"/>
          <w:highlight w:val="none"/>
        </w:rPr>
      </w:pPr>
    </w:p>
    <w:p w14:paraId="52221272">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投标人（盖章）：</w:t>
      </w:r>
    </w:p>
    <w:p w14:paraId="002A858C">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法定代表人或委托代理人（签字或盖章）：</w:t>
      </w:r>
    </w:p>
    <w:p w14:paraId="7A51EF13">
      <w:pPr>
        <w:spacing w:line="360" w:lineRule="auto"/>
        <w:ind w:firstLine="480"/>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2025年</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日</w:t>
      </w:r>
    </w:p>
    <w:p w14:paraId="344D93FB">
      <w:pPr>
        <w:rPr>
          <w:rFonts w:ascii="黑体" w:hAnsi="黑体" w:eastAsia="黑体" w:cs="Times New Roman"/>
          <w:i/>
          <w:color w:val="auto"/>
          <w:kern w:val="0"/>
          <w:sz w:val="32"/>
          <w:szCs w:val="32"/>
          <w:highlight w:val="none"/>
          <w:u w:val="single"/>
        </w:rPr>
      </w:pPr>
      <w:r>
        <w:rPr>
          <w:rFonts w:hint="eastAsia" w:ascii="黑体" w:hAnsi="黑体" w:eastAsia="黑体" w:cs="Times New Roman"/>
          <w:i/>
          <w:color w:val="auto"/>
          <w:kern w:val="0"/>
          <w:sz w:val="32"/>
          <w:szCs w:val="32"/>
          <w:highlight w:val="none"/>
          <w:u w:val="single"/>
        </w:rPr>
        <w:br w:type="page" w:clear="all"/>
      </w:r>
    </w:p>
    <w:p w14:paraId="1F32D196">
      <w:pPr>
        <w:spacing w:line="360" w:lineRule="auto"/>
        <w:jc w:val="left"/>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t>六、特定资格要求的证明文件</w:t>
      </w:r>
    </w:p>
    <w:p w14:paraId="7B9F3351">
      <w:pPr>
        <w:spacing w:line="460" w:lineRule="exact"/>
        <w:rPr>
          <w:rFonts w:ascii="宋体" w:hAnsi="宋体" w:eastAsia="宋体" w:cs="Times New Roman"/>
          <w:bCs/>
          <w:color w:val="auto"/>
          <w:kern w:val="0"/>
          <w:sz w:val="24"/>
          <w:szCs w:val="21"/>
          <w:highlight w:val="none"/>
        </w:rPr>
      </w:pPr>
      <w:r>
        <w:rPr>
          <w:rFonts w:hint="eastAsia" w:ascii="宋体" w:hAnsi="宋体" w:eastAsia="宋体" w:cs="Times New Roman"/>
          <w:color w:val="auto"/>
          <w:kern w:val="0"/>
          <w:sz w:val="24"/>
          <w:szCs w:val="21"/>
          <w:highlight w:val="none"/>
        </w:rPr>
        <w:t xml:space="preserve">    如果本项目申请人的特定资格要求中要求提供的，必须提供。</w:t>
      </w:r>
    </w:p>
    <w:p w14:paraId="2580A3BD">
      <w:pPr>
        <w:spacing w:line="460" w:lineRule="exact"/>
        <w:rPr>
          <w:rFonts w:ascii="宋体" w:hAnsi="宋体" w:eastAsia="宋体" w:cs="Times New Roman"/>
          <w:bCs/>
          <w:color w:val="auto"/>
          <w:kern w:val="0"/>
          <w:sz w:val="24"/>
          <w:szCs w:val="21"/>
          <w:highlight w:val="none"/>
        </w:rPr>
      </w:pPr>
    </w:p>
    <w:p w14:paraId="53164022">
      <w:pPr>
        <w:spacing w:line="360" w:lineRule="auto"/>
        <w:jc w:val="center"/>
        <w:rPr>
          <w:rFonts w:ascii="黑体" w:hAnsi="黑体" w:eastAsia="黑体" w:cs="宋体"/>
          <w:bCs/>
          <w:color w:val="auto"/>
          <w:kern w:val="0"/>
          <w:sz w:val="36"/>
          <w:szCs w:val="28"/>
          <w:highlight w:val="none"/>
        </w:rPr>
      </w:pPr>
      <w:r>
        <w:rPr>
          <w:rFonts w:hint="eastAsia" w:ascii="黑体" w:hAnsi="黑体" w:eastAsia="黑体" w:cs="宋体"/>
          <w:bCs/>
          <w:color w:val="auto"/>
          <w:kern w:val="0"/>
          <w:sz w:val="36"/>
          <w:szCs w:val="28"/>
          <w:highlight w:val="none"/>
        </w:rPr>
        <w:br w:type="page" w:clear="all"/>
      </w:r>
      <w:r>
        <w:rPr>
          <w:rFonts w:hint="eastAsia" w:ascii="黑体" w:hAnsi="黑体" w:eastAsia="黑体" w:cs="宋体"/>
          <w:bCs/>
          <w:color w:val="auto"/>
          <w:kern w:val="0"/>
          <w:sz w:val="36"/>
          <w:szCs w:val="28"/>
          <w:highlight w:val="none"/>
        </w:rPr>
        <w:t>七、法人授权书</w:t>
      </w:r>
    </w:p>
    <w:p w14:paraId="17A73437">
      <w:pPr>
        <w:tabs>
          <w:tab w:val="left" w:pos="360"/>
        </w:tabs>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本授权书声明：____________（投标人名称）授权________________（被授权人的姓名）为我方就    </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号项目采购活动的合法代理人，以本单位名义全权处理一切与该项目采购有关的事务。</w:t>
      </w:r>
    </w:p>
    <w:p w14:paraId="048AEFFC">
      <w:pPr>
        <w:tabs>
          <w:tab w:val="left" w:pos="360"/>
        </w:tabs>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本授权书于______年____月____日起生效，特此声明。</w:t>
      </w:r>
    </w:p>
    <w:p w14:paraId="61254D65">
      <w:pPr>
        <w:tabs>
          <w:tab w:val="left" w:pos="360"/>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w:t>
      </w:r>
    </w:p>
    <w:p w14:paraId="6F16F408">
      <w:pPr>
        <w:tabs>
          <w:tab w:val="left" w:pos="360"/>
        </w:tabs>
        <w:rPr>
          <w:rFonts w:ascii="Times New Roman" w:hAnsi="Times New Roman" w:eastAsia="宋体" w:cs="Times New Roman"/>
          <w:color w:val="auto"/>
          <w:sz w:val="24"/>
          <w:highlight w:val="none"/>
        </w:rPr>
      </w:pPr>
    </w:p>
    <w:p w14:paraId="5E9CB6AA">
      <w:pPr>
        <w:tabs>
          <w:tab w:val="left" w:pos="360"/>
        </w:tabs>
        <w:rPr>
          <w:rFonts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rPr>
        <w:t xml:space="preserve">     被授权人身份证号码：</w:t>
      </w:r>
      <w:r>
        <w:rPr>
          <w:rFonts w:hint="eastAsia" w:ascii="Times New Roman" w:hAnsi="Times New Roman" w:eastAsia="宋体" w:cs="Times New Roman"/>
          <w:color w:val="auto"/>
          <w:sz w:val="24"/>
          <w:highlight w:val="none"/>
          <w:u w:val="single"/>
        </w:rPr>
        <w:t xml:space="preserve">                              </w:t>
      </w:r>
    </w:p>
    <w:p w14:paraId="3D1876FE">
      <w:pPr>
        <w:tabs>
          <w:tab w:val="left" w:pos="360"/>
        </w:tabs>
        <w:rPr>
          <w:rFonts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rPr>
        <w:t xml:space="preserve">      被授权人联系电话：（手机）</w:t>
      </w:r>
      <w:r>
        <w:rPr>
          <w:rFonts w:hint="eastAsia" w:ascii="Times New Roman" w:hAnsi="Times New Roman" w:eastAsia="宋体" w:cs="Times New Roman"/>
          <w:color w:val="auto"/>
          <w:sz w:val="24"/>
          <w:highlight w:val="none"/>
          <w:u w:val="single"/>
        </w:rPr>
        <w:t xml:space="preserve">                          </w:t>
      </w:r>
    </w:p>
    <w:p w14:paraId="6E99C2F1">
      <w:pPr>
        <w:tabs>
          <w:tab w:val="left" w:pos="360"/>
        </w:tabs>
        <w:ind w:firstLine="72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授权单位名称：</w:t>
      </w:r>
      <w:r>
        <w:rPr>
          <w:rFonts w:hint="eastAsia" w:ascii="Times New Roman" w:hAnsi="Times New Roman" w:eastAsia="宋体" w:cs="Times New Roman"/>
          <w:color w:val="auto"/>
          <w:sz w:val="24"/>
          <w:highlight w:val="none"/>
          <w:u w:val="single"/>
        </w:rPr>
        <w:t>（加盖CA电子公章）</w:t>
      </w:r>
    </w:p>
    <w:p w14:paraId="1BD87B22">
      <w:pPr>
        <w:tabs>
          <w:tab w:val="left" w:pos="360"/>
        </w:tabs>
        <w:ind w:firstLine="480"/>
        <w:rPr>
          <w:rFonts w:ascii="Times New Roman" w:hAnsi="Times New Roman" w:eastAsia="宋体" w:cs="Times New Roman"/>
          <w:color w:val="auto"/>
          <w:sz w:val="24"/>
          <w:highlight w:val="none"/>
          <w:u w:val="single"/>
        </w:rPr>
      </w:pPr>
      <w:r>
        <w:rPr>
          <w:rFonts w:hint="eastAsia" w:ascii="Times New Roman" w:hAnsi="Times New Roman" w:eastAsia="宋体" w:cs="Times New Roman"/>
          <w:color w:val="auto"/>
          <w:sz w:val="24"/>
          <w:highlight w:val="none"/>
        </w:rPr>
        <w:t xml:space="preserve">  单位地址：</w:t>
      </w:r>
      <w:r>
        <w:rPr>
          <w:rFonts w:hint="eastAsia" w:ascii="Times New Roman" w:hAnsi="Times New Roman" w:eastAsia="宋体" w:cs="Times New Roman"/>
          <w:color w:val="auto"/>
          <w:sz w:val="24"/>
          <w:highlight w:val="none"/>
          <w:u w:val="single"/>
        </w:rPr>
        <w:t xml:space="preserve">                                         </w:t>
      </w:r>
    </w:p>
    <w:p w14:paraId="5AF88A43">
      <w:pPr>
        <w:tabs>
          <w:tab w:val="left" w:pos="360"/>
        </w:tabs>
        <w:ind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  日期：</w:t>
      </w:r>
      <w:bookmarkStart w:id="147" w:name="_Hlt26671380"/>
      <w:bookmarkEnd w:id="147"/>
      <w:bookmarkStart w:id="148" w:name="_格式3__银行出具的资信证明"/>
      <w:bookmarkEnd w:id="148"/>
      <w:bookmarkStart w:id="149" w:name="_Hlt26955070"/>
      <w:bookmarkEnd w:id="149"/>
      <w:r>
        <w:rPr>
          <w:rFonts w:hint="eastAsia" w:ascii="Times New Roman" w:hAnsi="Times New Roman" w:eastAsia="宋体" w:cs="Times New Roman"/>
          <w:color w:val="auto"/>
          <w:sz w:val="24"/>
          <w:highlight w:val="none"/>
          <w:u w:val="single"/>
        </w:rPr>
        <w:t xml:space="preserve">                                         </w:t>
      </w:r>
    </w:p>
    <w:p w14:paraId="0BDD0E0D">
      <w:pPr>
        <w:ind w:firstLine="420"/>
        <w:rPr>
          <w:rFonts w:ascii="Times New Roman" w:hAnsi="Times New Roman" w:eastAsia="宋体" w:cs="Times New Roman"/>
          <w:i/>
          <w:color w:val="auto"/>
          <w:sz w:val="24"/>
          <w:highlight w:val="none"/>
          <w:u w:val="single"/>
        </w:rPr>
      </w:pPr>
    </w:p>
    <w:p w14:paraId="3A70B6CE">
      <w:pPr>
        <w:rPr>
          <w:rFonts w:ascii="Times New Roman" w:hAnsi="Times New Roman" w:eastAsia="宋体" w:cs="Times New Roman"/>
          <w:color w:val="auto"/>
          <w:szCs w:val="21"/>
          <w:highlight w:val="none"/>
        </w:rPr>
      </w:pPr>
    </w:p>
    <w:p w14:paraId="1121CB84">
      <w:pPr>
        <w:spacing w:line="460" w:lineRule="exact"/>
        <w:rPr>
          <w:rFonts w:ascii="楷体" w:hAnsi="楷体" w:eastAsia="楷体" w:cs="Times New Roman"/>
          <w:bCs/>
          <w:color w:val="auto"/>
          <w:kern w:val="0"/>
          <w:sz w:val="24"/>
          <w:highlight w:val="none"/>
        </w:rPr>
      </w:pPr>
    </w:p>
    <w:p w14:paraId="58892FCA">
      <w:pPr>
        <w:spacing w:line="460" w:lineRule="exact"/>
        <w:rPr>
          <w:rFonts w:ascii="楷体" w:hAnsi="楷体" w:eastAsia="楷体" w:cs="Times New Roman"/>
          <w:color w:val="auto"/>
          <w:kern w:val="0"/>
          <w:sz w:val="24"/>
          <w:highlight w:val="none"/>
        </w:rPr>
      </w:pPr>
      <w:r>
        <w:rPr>
          <w:rFonts w:hint="eastAsia" w:ascii="楷体" w:hAnsi="楷体" w:eastAsia="楷体" w:cs="Times New Roman"/>
          <w:bCs/>
          <w:color w:val="auto"/>
          <w:kern w:val="0"/>
          <w:sz w:val="24"/>
          <w:highlight w:val="none"/>
        </w:rPr>
        <w:t xml:space="preserve">     </w:t>
      </w:r>
      <w:r>
        <w:rPr>
          <w:rFonts w:hint="eastAsia" w:ascii="楷体" w:hAnsi="楷体" w:eastAsia="楷体" w:cs="Times New Roman"/>
          <w:color w:val="auto"/>
          <w:kern w:val="0"/>
          <w:sz w:val="24"/>
          <w:highlight w:val="none"/>
        </w:rPr>
        <w:t xml:space="preserve"> </w:t>
      </w:r>
    </w:p>
    <w:p w14:paraId="21FB3200">
      <w:pPr>
        <w:spacing w:line="460" w:lineRule="exact"/>
        <w:rPr>
          <w:rFonts w:ascii="宋体" w:hAnsi="宋体" w:eastAsia="宋体" w:cs="Times New Roman"/>
          <w:bCs/>
          <w:color w:val="auto"/>
          <w:kern w:val="0"/>
          <w:sz w:val="24"/>
          <w:szCs w:val="21"/>
          <w:highlight w:val="none"/>
        </w:rPr>
      </w:pPr>
    </w:p>
    <w:p w14:paraId="3CB9E6C4">
      <w:pPr>
        <w:keepNext/>
        <w:keepLines/>
        <w:spacing w:before="260" w:after="260" w:line="416" w:lineRule="auto"/>
        <w:ind w:firstLine="3390"/>
        <w:outlineLvl w:val="1"/>
        <w:rPr>
          <w:rFonts w:ascii="黑体" w:hAnsi="黑体" w:eastAsia="黑体" w:cs="Times New Roman"/>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黑体" w:eastAsia="黑体" w:cs="宋体"/>
          <w:bCs/>
          <w:color w:val="auto"/>
          <w:sz w:val="36"/>
          <w:szCs w:val="28"/>
          <w:highlight w:val="none"/>
        </w:rPr>
        <w:t>八、投标函</w:t>
      </w:r>
    </w:p>
    <w:p w14:paraId="42D6D2F5">
      <w:pPr>
        <w:spacing w:line="480" w:lineRule="exac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致： </w:t>
      </w:r>
    </w:p>
    <w:p w14:paraId="4667CE1B">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根据贵方</w:t>
      </w:r>
      <w:r>
        <w:rPr>
          <w:rFonts w:hint="eastAsia" w:ascii="宋体" w:hAnsi="宋体" w:eastAsia="宋体" w:cs="Times New Roman"/>
          <w:color w:val="auto"/>
          <w:kern w:val="0"/>
          <w:sz w:val="24"/>
          <w:highlight w:val="none"/>
          <w:u w:val="single"/>
        </w:rPr>
        <w:t xml:space="preserve">     （项目名称）   </w:t>
      </w:r>
      <w:r>
        <w:rPr>
          <w:rFonts w:hint="eastAsia" w:ascii="宋体" w:hAnsi="宋体" w:eastAsia="宋体" w:cs="Times New Roman"/>
          <w:color w:val="auto"/>
          <w:kern w:val="0"/>
          <w:sz w:val="24"/>
          <w:highlight w:val="none"/>
        </w:rPr>
        <w:t>（标段编号：</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 xml:space="preserve"> ）采购文件，正式授权下述签字人</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 xml:space="preserve"> 全权代表参加贵方组织的采购活动，按照采购文件要求提交响应文件。</w:t>
      </w:r>
    </w:p>
    <w:p w14:paraId="175AB821">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据此函，签字人兹宣布同意如下：</w:t>
      </w:r>
    </w:p>
    <w:p w14:paraId="0E56870F">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1.按采购文件项目需求提交响应报价，报价、交货期等详见开标一览表。</w:t>
      </w:r>
    </w:p>
    <w:p w14:paraId="2887FF5A">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2.我方同意在本标段采购文件中规定的响应文件递交截止之日起60天内遵守本响应文件中的承诺且在此期限期满之前均具有约束力。</w:t>
      </w:r>
    </w:p>
    <w:p w14:paraId="045BDC51">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3.我方承诺已经具备《中华人民共和国政府采购法》中规定的参加政府采购活动的供应商应当具备的条件：</w:t>
      </w:r>
    </w:p>
    <w:p w14:paraId="531FC0E1">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(1)具有独立承担民事责任的能力；</w:t>
      </w:r>
    </w:p>
    <w:p w14:paraId="04374D16">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(2)具有良好的商业信誉和健全的财务会计制度；</w:t>
      </w:r>
    </w:p>
    <w:p w14:paraId="5894F432">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(3)具有履行合同所必需的设备和专业技术能力；</w:t>
      </w:r>
    </w:p>
    <w:p w14:paraId="65690CA3">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(4)有依法缴纳税收和社会保障资金的良好记录；</w:t>
      </w:r>
    </w:p>
    <w:p w14:paraId="0A16A754">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(5)参加此项采购活动前三年内，在经营活动中没有重大违法记录。</w:t>
      </w:r>
    </w:p>
    <w:p w14:paraId="221DFA63">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4.我方根据采购文件的规定，承担完成合同的责任和义务。</w:t>
      </w:r>
    </w:p>
    <w:p w14:paraId="731B7CA2">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5.我方已详细审核采购文件，我方知道必须放弃提出含糊不清或误解问题的权利。</w:t>
      </w:r>
    </w:p>
    <w:p w14:paraId="0089366F">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6.如果在响应文件有效期内撤回或者有其他违约行为，我方的保证金可被贵方全部或部分没收。</w:t>
      </w:r>
    </w:p>
    <w:p w14:paraId="2AFA033D">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7.同意应贵方要求提供与本次采购活动有关的任何数据或资料。</w:t>
      </w:r>
    </w:p>
    <w:p w14:paraId="545AF681">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8.我方完全理解，最低报价不是中标（成交）的唯一条件。</w:t>
      </w:r>
    </w:p>
    <w:p w14:paraId="40AF92CF">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9.若贵方需要，我方愿意提供我方作出的一切承诺的证明材料。</w:t>
      </w:r>
    </w:p>
    <w:p w14:paraId="2A9FEC90">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5443103A">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(1)提供虚假材料谋取中标、成交的；</w:t>
      </w:r>
    </w:p>
    <w:p w14:paraId="2BD25897">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(2)采取不正当手段诋毁、排挤其他供应商的；</w:t>
      </w:r>
    </w:p>
    <w:p w14:paraId="3F9D5253">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(3)与采购人、其他供应商或者采购代理机构恶意串通的；</w:t>
      </w:r>
    </w:p>
    <w:p w14:paraId="116C2035">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(4)向采购人、采购代理机构行贿或者提供其他不正当利益的；</w:t>
      </w:r>
    </w:p>
    <w:p w14:paraId="7C1C53DD">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(5)在招标采购过程中与采购人进行协商谈判的；</w:t>
      </w:r>
    </w:p>
    <w:p w14:paraId="65CA317B">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(6)拒绝有关部门监督检查或提供虚假情况的。</w:t>
      </w:r>
    </w:p>
    <w:p w14:paraId="18D9209D">
      <w:pPr>
        <w:spacing w:line="480" w:lineRule="exact"/>
        <w:ind w:firstLine="480"/>
        <w:rPr>
          <w:rFonts w:ascii="宋体" w:hAnsi="宋体" w:eastAsia="宋体" w:cs="Times New Roman"/>
          <w:color w:val="auto"/>
          <w:kern w:val="0"/>
          <w:sz w:val="24"/>
          <w:highlight w:val="none"/>
        </w:rPr>
      </w:pPr>
    </w:p>
    <w:p w14:paraId="5CC4F436">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法定代表人或其委托代理人签字（或盖章）： 　　</w:t>
      </w:r>
    </w:p>
    <w:p w14:paraId="0AD998E8">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供应商公章： </w:t>
      </w:r>
    </w:p>
    <w:p w14:paraId="58CBB53A">
      <w:pPr>
        <w:spacing w:line="48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日期： </w:t>
      </w:r>
    </w:p>
    <w:p w14:paraId="19F44DB6">
      <w:pPr>
        <w:spacing w:line="480" w:lineRule="exact"/>
        <w:ind w:firstLine="420"/>
        <w:rPr>
          <w:rFonts w:ascii="宋体" w:hAnsi="宋体" w:eastAsia="宋体" w:cs="Times New Roman"/>
          <w:color w:val="auto"/>
          <w:kern w:val="0"/>
          <w:highlight w:val="none"/>
        </w:rPr>
      </w:pPr>
    </w:p>
    <w:p w14:paraId="4C55F836">
      <w:pPr>
        <w:spacing w:line="480" w:lineRule="exact"/>
        <w:ind w:firstLine="420"/>
        <w:rPr>
          <w:rFonts w:ascii="宋体" w:hAnsi="宋体" w:eastAsia="宋体" w:cs="宋体"/>
          <w:color w:val="auto"/>
          <w:kern w:val="0"/>
          <w:sz w:val="36"/>
          <w:szCs w:val="36"/>
          <w:highlight w:val="none"/>
          <w:lang w:val="zh-CN"/>
        </w:rPr>
      </w:pPr>
      <w:r>
        <w:rPr>
          <w:rFonts w:hint="eastAsia" w:ascii="宋体" w:hAnsi="宋体" w:eastAsia="宋体" w:cs="Times New Roman"/>
          <w:color w:val="auto"/>
          <w:kern w:val="0"/>
          <w:highlight w:val="none"/>
        </w:rPr>
        <w:t>注：未按照本响应函的格式要求填写的，将造成非实质响应，从而导致该供应商响应无效。</w:t>
      </w:r>
    </w:p>
    <w:p w14:paraId="19201932">
      <w:pPr>
        <w:spacing w:line="560" w:lineRule="exact"/>
        <w:ind w:firstLine="240"/>
        <w:jc w:val="center"/>
        <w:rPr>
          <w:rFonts w:ascii="宋体" w:hAnsi="宋体" w:eastAsia="宋体" w:cs="Times New Roman"/>
          <w:bCs/>
          <w:color w:val="auto"/>
          <w:kern w:val="0"/>
          <w:sz w:val="24"/>
          <w:szCs w:val="21"/>
          <w:highlight w:val="none"/>
        </w:rPr>
      </w:pPr>
    </w:p>
    <w:p w14:paraId="7F734404">
      <w:pPr>
        <w:spacing w:line="560" w:lineRule="exact"/>
        <w:ind w:firstLine="240"/>
        <w:jc w:val="center"/>
        <w:rPr>
          <w:rFonts w:ascii="宋体" w:hAnsi="宋体" w:eastAsia="宋体" w:cs="Times New Roman"/>
          <w:bCs/>
          <w:color w:val="auto"/>
          <w:kern w:val="0"/>
          <w:sz w:val="24"/>
          <w:szCs w:val="21"/>
          <w:highlight w:val="none"/>
        </w:rPr>
      </w:pPr>
    </w:p>
    <w:p w14:paraId="040537C8">
      <w:pPr>
        <w:spacing w:line="560" w:lineRule="exact"/>
        <w:ind w:firstLine="240"/>
        <w:jc w:val="center"/>
        <w:rPr>
          <w:rFonts w:ascii="宋体" w:hAnsi="宋体" w:eastAsia="宋体" w:cs="Times New Roman"/>
          <w:bCs/>
          <w:color w:val="auto"/>
          <w:kern w:val="0"/>
          <w:sz w:val="24"/>
          <w:szCs w:val="21"/>
          <w:highlight w:val="none"/>
        </w:rPr>
      </w:pPr>
    </w:p>
    <w:p w14:paraId="57399D8A">
      <w:pPr>
        <w:spacing w:line="560" w:lineRule="exact"/>
        <w:ind w:firstLine="240"/>
        <w:jc w:val="center"/>
        <w:rPr>
          <w:rFonts w:ascii="宋体" w:hAnsi="宋体" w:eastAsia="宋体" w:cs="Times New Roman"/>
          <w:bCs/>
          <w:color w:val="auto"/>
          <w:kern w:val="0"/>
          <w:sz w:val="24"/>
          <w:szCs w:val="21"/>
          <w:highlight w:val="none"/>
        </w:rPr>
      </w:pPr>
    </w:p>
    <w:p w14:paraId="585DA593">
      <w:pPr>
        <w:spacing w:line="560" w:lineRule="exact"/>
        <w:ind w:firstLine="240"/>
        <w:jc w:val="center"/>
        <w:rPr>
          <w:rFonts w:ascii="宋体" w:hAnsi="宋体" w:eastAsia="宋体" w:cs="Times New Roman"/>
          <w:bCs/>
          <w:color w:val="auto"/>
          <w:kern w:val="0"/>
          <w:sz w:val="24"/>
          <w:szCs w:val="21"/>
          <w:highlight w:val="none"/>
        </w:rPr>
      </w:pPr>
    </w:p>
    <w:p w14:paraId="1BA5EE91">
      <w:pPr>
        <w:spacing w:line="460" w:lineRule="exact"/>
        <w:jc w:val="center"/>
        <w:rPr>
          <w:rFonts w:ascii="黑体" w:hAnsi="黑体" w:eastAsia="黑体" w:cs="Times New Roman"/>
          <w:b/>
          <w:color w:val="auto"/>
          <w:kern w:val="0"/>
          <w:sz w:val="32"/>
          <w:szCs w:val="32"/>
          <w:highlight w:val="none"/>
        </w:rPr>
      </w:pPr>
      <w:r>
        <w:rPr>
          <w:rFonts w:ascii="黑体" w:hAnsi="黑体" w:eastAsia="黑体" w:cs="Times New Roman"/>
          <w:b/>
          <w:color w:val="auto"/>
          <w:kern w:val="0"/>
          <w:sz w:val="32"/>
          <w:szCs w:val="32"/>
          <w:highlight w:val="none"/>
        </w:rPr>
        <w:br w:type="page" w:clear="all"/>
      </w:r>
    </w:p>
    <w:p w14:paraId="47BDF54F">
      <w:pPr>
        <w:spacing w:line="460" w:lineRule="exact"/>
        <w:jc w:val="center"/>
        <w:rPr>
          <w:rFonts w:ascii="黑体" w:hAnsi="黑体" w:eastAsia="黑体" w:cs="Times New Roman"/>
          <w:b/>
          <w:color w:val="auto"/>
          <w:kern w:val="0"/>
          <w:sz w:val="32"/>
          <w:szCs w:val="32"/>
          <w:highlight w:val="none"/>
        </w:rPr>
      </w:pPr>
      <w:r>
        <w:rPr>
          <w:rFonts w:hint="eastAsia" w:ascii="黑体" w:hAnsi="黑体" w:eastAsia="黑体" w:cs="Times New Roman"/>
          <w:b/>
          <w:color w:val="auto"/>
          <w:kern w:val="0"/>
          <w:sz w:val="32"/>
          <w:szCs w:val="32"/>
          <w:highlight w:val="none"/>
        </w:rPr>
        <w:t xml:space="preserve">九、中小企业声明函（服务） </w:t>
      </w:r>
    </w:p>
    <w:p w14:paraId="5D78C039">
      <w:pPr>
        <w:spacing w:line="560" w:lineRule="exact"/>
        <w:ind w:firstLine="360"/>
        <w:rPr>
          <w:rFonts w:ascii="宋体" w:hAnsi="宋体" w:eastAsia="宋体" w:cs="Times New Roman"/>
          <w:color w:val="auto"/>
          <w:kern w:val="0"/>
          <w:sz w:val="24"/>
          <w:highlight w:val="none"/>
        </w:rPr>
      </w:pPr>
    </w:p>
    <w:p w14:paraId="7C733374">
      <w:pPr>
        <w:spacing w:line="560" w:lineRule="exact"/>
        <w:ind w:firstLine="36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本公司（   ）郑重声明，根据《政府采购促进中小企业发展管理办法》（财库﹝2020﹞46 号）的规定，本公司（  ）参加</w:t>
      </w:r>
      <w:r>
        <w:rPr>
          <w:rFonts w:hint="eastAsia" w:ascii="宋体" w:hAnsi="宋体" w:eastAsia="宋体" w:cs="Times New Roman"/>
          <w:color w:val="auto"/>
          <w:kern w:val="0"/>
          <w:sz w:val="24"/>
          <w:highlight w:val="none"/>
          <w:u w:val="single"/>
        </w:rPr>
        <w:t>（单位名称）</w:t>
      </w:r>
      <w:r>
        <w:rPr>
          <w:rFonts w:hint="eastAsia" w:ascii="宋体" w:hAnsi="宋体" w:eastAsia="宋体" w:cs="Times New Roman"/>
          <w:color w:val="auto"/>
          <w:kern w:val="0"/>
          <w:sz w:val="24"/>
          <w:highlight w:val="none"/>
        </w:rPr>
        <w:t>的</w:t>
      </w:r>
      <w:r>
        <w:rPr>
          <w:rFonts w:hint="eastAsia" w:ascii="宋体" w:hAnsi="宋体" w:eastAsia="宋体" w:cs="Times New Roman"/>
          <w:color w:val="auto"/>
          <w:kern w:val="0"/>
          <w:sz w:val="24"/>
          <w:highlight w:val="none"/>
          <w:u w:val="single"/>
        </w:rPr>
        <w:t>（项目名称）</w:t>
      </w:r>
      <w:r>
        <w:rPr>
          <w:rFonts w:hint="eastAsia" w:ascii="宋体" w:hAnsi="宋体" w:eastAsia="宋体" w:cs="Times New Roman"/>
          <w:color w:val="auto"/>
          <w:kern w:val="0"/>
          <w:sz w:val="24"/>
          <w:highlight w:val="none"/>
        </w:rPr>
        <w:t>采购活动，服务全部由符合政策要求的中小企业承接。相关企业（含中的中小企业、签订分包意向协议的中小企业）的具体情况如下：</w:t>
      </w:r>
    </w:p>
    <w:p w14:paraId="6A89E6CB">
      <w:pPr>
        <w:widowControl/>
        <w:spacing w:line="360" w:lineRule="auto"/>
        <w:jc w:val="left"/>
        <w:rPr>
          <w:rFonts w:ascii="宋体" w:hAnsi="宋体" w:eastAsia="宋体" w:cs="Times New Roman"/>
          <w:color w:val="auto"/>
          <w:kern w:val="0"/>
          <w:sz w:val="24"/>
          <w:highlight w:val="none"/>
          <w:u w:val="single"/>
        </w:rPr>
      </w:pPr>
      <w:r>
        <w:rPr>
          <w:rFonts w:hint="eastAsia" w:ascii="宋体" w:hAnsi="宋体" w:eastAsia="宋体" w:cs="Times New Roman"/>
          <w:color w:val="auto"/>
          <w:kern w:val="0"/>
          <w:sz w:val="24"/>
          <w:highlight w:val="none"/>
        </w:rPr>
        <w:t>1.</w:t>
      </w:r>
      <w:r>
        <w:rPr>
          <w:rFonts w:hint="eastAsia" w:ascii="宋体" w:hAnsi="宋体" w:eastAsia="宋体" w:cs="Times New Roman"/>
          <w:color w:val="auto"/>
          <w:kern w:val="0"/>
          <w:sz w:val="24"/>
          <w:highlight w:val="none"/>
          <w:u w:val="single"/>
        </w:rPr>
        <w:t>（标的名称）</w:t>
      </w:r>
      <w:r>
        <w:rPr>
          <w:rFonts w:hint="eastAsia" w:ascii="宋体" w:hAnsi="宋体" w:eastAsia="宋体" w:cs="Times New Roman"/>
          <w:i/>
          <w:color w:val="auto"/>
          <w:kern w:val="0"/>
          <w:sz w:val="24"/>
          <w:highlight w:val="none"/>
        </w:rPr>
        <w:t>，</w:t>
      </w:r>
      <w:r>
        <w:rPr>
          <w:rFonts w:hint="eastAsia" w:ascii="宋体" w:hAnsi="宋体" w:eastAsia="宋体" w:cs="Times New Roman"/>
          <w:color w:val="auto"/>
          <w:kern w:val="0"/>
          <w:sz w:val="24"/>
          <w:highlight w:val="none"/>
        </w:rPr>
        <w:t>属于</w:t>
      </w:r>
      <w:r>
        <w:rPr>
          <w:rFonts w:hint="eastAsia" w:ascii="宋体" w:hAnsi="宋体" w:eastAsia="宋体" w:cs="Times New Roman"/>
          <w:color w:val="auto"/>
          <w:kern w:val="0"/>
          <w:sz w:val="24"/>
          <w:highlight w:val="none"/>
          <w:u w:val="single"/>
        </w:rPr>
        <w:t xml:space="preserve"> （采购文件中明确的所属行业） </w:t>
      </w:r>
      <w:r>
        <w:rPr>
          <w:rFonts w:hint="eastAsia" w:ascii="宋体" w:hAnsi="宋体" w:eastAsia="宋体" w:cs="Times New Roman"/>
          <w:color w:val="auto"/>
          <w:kern w:val="0"/>
          <w:sz w:val="24"/>
          <w:highlight w:val="none"/>
        </w:rPr>
        <w:t>行业；承接企业为</w:t>
      </w:r>
      <w:r>
        <w:rPr>
          <w:rFonts w:hint="eastAsia" w:ascii="宋体" w:hAnsi="宋体" w:eastAsia="宋体" w:cs="Times New Roman"/>
          <w:color w:val="auto"/>
          <w:kern w:val="0"/>
          <w:sz w:val="24"/>
          <w:highlight w:val="none"/>
          <w:u w:val="single"/>
        </w:rPr>
        <w:t>（企业名称）</w:t>
      </w:r>
      <w:r>
        <w:rPr>
          <w:rFonts w:hint="eastAsia" w:ascii="宋体" w:hAnsi="宋体" w:eastAsia="宋体" w:cs="Times New Roman"/>
          <w:color w:val="auto"/>
          <w:kern w:val="0"/>
          <w:sz w:val="24"/>
          <w:highlight w:val="none"/>
        </w:rPr>
        <w:t>，从业人员</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人，营业收入为</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万元，资产总额为</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万元</w:t>
      </w:r>
      <w:r>
        <w:rPr>
          <w:rFonts w:hint="eastAsia" w:ascii="宋体" w:hAnsi="宋体" w:eastAsia="宋体" w:cs="Times New Roman"/>
          <w:color w:val="auto"/>
          <w:kern w:val="0"/>
          <w:sz w:val="24"/>
          <w:highlight w:val="none"/>
          <w:vertAlign w:val="superscript"/>
        </w:rPr>
        <w:t>1</w:t>
      </w:r>
      <w:r>
        <w:rPr>
          <w:rFonts w:hint="eastAsia" w:ascii="宋体" w:hAnsi="宋体" w:eastAsia="宋体" w:cs="Times New Roman"/>
          <w:color w:val="auto"/>
          <w:kern w:val="0"/>
          <w:sz w:val="24"/>
          <w:highlight w:val="none"/>
        </w:rPr>
        <w:t>，</w:t>
      </w:r>
      <w:r>
        <w:rPr>
          <w:rFonts w:hint="eastAsia" w:ascii="宋体" w:hAnsi="宋体" w:eastAsia="宋体" w:cs="Times New Roman"/>
          <w:color w:val="auto"/>
          <w:kern w:val="0"/>
          <w:sz w:val="24"/>
          <w:highlight w:val="none"/>
          <w:u w:val="single"/>
        </w:rPr>
        <w:t>属于（中型企业小型企业、微型企业）；</w:t>
      </w:r>
    </w:p>
    <w:p w14:paraId="4767EB1D">
      <w:pPr>
        <w:spacing w:line="360" w:lineRule="auto"/>
        <w:rPr>
          <w:rFonts w:ascii="宋体" w:hAnsi="宋体" w:eastAsia="宋体" w:cs="Times New Roman"/>
          <w:i/>
          <w:color w:val="auto"/>
          <w:kern w:val="0"/>
          <w:sz w:val="24"/>
          <w:highlight w:val="none"/>
          <w:u w:val="single"/>
        </w:rPr>
      </w:pPr>
      <w:r>
        <w:rPr>
          <w:rFonts w:hint="eastAsia" w:ascii="宋体" w:hAnsi="宋体" w:eastAsia="宋体" w:cs="Times New Roman"/>
          <w:color w:val="auto"/>
          <w:kern w:val="0"/>
          <w:sz w:val="24"/>
          <w:highlight w:val="none"/>
        </w:rPr>
        <w:t>2.</w:t>
      </w:r>
      <w:r>
        <w:rPr>
          <w:rFonts w:hint="eastAsia" w:ascii="宋体" w:hAnsi="宋体" w:eastAsia="宋体" w:cs="Times New Roman"/>
          <w:color w:val="auto"/>
          <w:kern w:val="0"/>
          <w:sz w:val="24"/>
          <w:highlight w:val="none"/>
          <w:u w:val="single"/>
        </w:rPr>
        <w:t>（标的名称）</w:t>
      </w:r>
      <w:r>
        <w:rPr>
          <w:rFonts w:hint="eastAsia" w:ascii="宋体" w:hAnsi="宋体" w:eastAsia="宋体" w:cs="Times New Roman"/>
          <w:i/>
          <w:color w:val="auto"/>
          <w:kern w:val="0"/>
          <w:sz w:val="24"/>
          <w:highlight w:val="none"/>
        </w:rPr>
        <w:t>，</w:t>
      </w:r>
      <w:r>
        <w:rPr>
          <w:rFonts w:hint="eastAsia" w:ascii="宋体" w:hAnsi="宋体" w:eastAsia="宋体" w:cs="Times New Roman"/>
          <w:color w:val="auto"/>
          <w:kern w:val="0"/>
          <w:sz w:val="24"/>
          <w:highlight w:val="none"/>
        </w:rPr>
        <w:t>属于</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行业；承接企业为</w:t>
      </w:r>
      <w:r>
        <w:rPr>
          <w:rFonts w:hint="eastAsia" w:ascii="宋体" w:hAnsi="宋体" w:eastAsia="宋体" w:cs="Times New Roman"/>
          <w:color w:val="auto"/>
          <w:kern w:val="0"/>
          <w:sz w:val="24"/>
          <w:highlight w:val="none"/>
          <w:u w:val="single"/>
        </w:rPr>
        <w:t>（企业名称）</w:t>
      </w:r>
      <w:r>
        <w:rPr>
          <w:rFonts w:hint="eastAsia" w:ascii="宋体" w:hAnsi="宋体" w:eastAsia="宋体" w:cs="Times New Roman"/>
          <w:color w:val="auto"/>
          <w:kern w:val="0"/>
          <w:sz w:val="24"/>
          <w:highlight w:val="none"/>
        </w:rPr>
        <w:t>，从业人员</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人，营业收入为</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万元，资产总额为</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万元</w:t>
      </w:r>
      <w:r>
        <w:rPr>
          <w:rFonts w:hint="eastAsia" w:ascii="宋体" w:hAnsi="宋体" w:eastAsia="宋体" w:cs="Times New Roman"/>
          <w:color w:val="auto"/>
          <w:kern w:val="0"/>
          <w:sz w:val="24"/>
          <w:highlight w:val="none"/>
          <w:vertAlign w:val="superscript"/>
        </w:rPr>
        <w:t>1</w:t>
      </w:r>
      <w:r>
        <w:rPr>
          <w:rFonts w:hint="eastAsia" w:ascii="宋体" w:hAnsi="宋体" w:eastAsia="宋体" w:cs="Times New Roman"/>
          <w:color w:val="auto"/>
          <w:kern w:val="0"/>
          <w:sz w:val="24"/>
          <w:highlight w:val="none"/>
        </w:rPr>
        <w:t>，属于</w:t>
      </w:r>
      <w:r>
        <w:rPr>
          <w:rFonts w:hint="eastAsia" w:ascii="宋体" w:hAnsi="宋体" w:eastAsia="宋体" w:cs="Times New Roman"/>
          <w:color w:val="auto"/>
          <w:kern w:val="0"/>
          <w:sz w:val="24"/>
          <w:highlight w:val="none"/>
          <w:u w:val="single"/>
        </w:rPr>
        <w:t>（小型企业、微型企业）；</w:t>
      </w:r>
    </w:p>
    <w:p w14:paraId="78B38A8D">
      <w:pPr>
        <w:spacing w:line="560" w:lineRule="exact"/>
        <w:ind w:firstLine="36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w:t>
      </w:r>
    </w:p>
    <w:p w14:paraId="1AD74D51">
      <w:pPr>
        <w:spacing w:line="560" w:lineRule="exact"/>
        <w:ind w:firstLine="36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以上企业，不属于大企业的分支机构，不存在控股股东为大企业的情形，也不存在与大企业的负责人为同一人的情形。</w:t>
      </w:r>
    </w:p>
    <w:p w14:paraId="50BDED46">
      <w:pPr>
        <w:spacing w:line="560" w:lineRule="exact"/>
        <w:ind w:firstLine="36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本企业对上述声明内容的真实性负责。如有虚假，将依法承担相应责任</w:t>
      </w:r>
    </w:p>
    <w:p w14:paraId="21446FE5">
      <w:pPr>
        <w:spacing w:line="560" w:lineRule="exact"/>
        <w:ind w:right="720"/>
        <w:rPr>
          <w:rFonts w:ascii="宋体" w:hAnsi="宋体" w:eastAsia="宋体" w:cs="Times New Roman"/>
          <w:color w:val="auto"/>
          <w:kern w:val="0"/>
          <w:sz w:val="24"/>
          <w:highlight w:val="none"/>
        </w:rPr>
      </w:pPr>
    </w:p>
    <w:p w14:paraId="59857962">
      <w:pPr>
        <w:spacing w:line="560" w:lineRule="exact"/>
        <w:ind w:right="180" w:firstLine="360"/>
        <w:jc w:val="righ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企业名称（加盖CA电子公章）：</w:t>
      </w:r>
    </w:p>
    <w:p w14:paraId="708E9298">
      <w:pPr>
        <w:spacing w:line="560" w:lineRule="exact"/>
        <w:ind w:right="480" w:firstLine="540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日  期：</w:t>
      </w:r>
    </w:p>
    <w:p w14:paraId="289AC3F0">
      <w:pPr>
        <w:spacing w:line="560" w:lineRule="exact"/>
        <w:ind w:firstLine="240"/>
        <w:rPr>
          <w:rFonts w:ascii="宋体" w:hAnsi="宋体" w:eastAsia="宋体" w:cs="Times New Roman"/>
          <w:color w:val="auto"/>
          <w:kern w:val="0"/>
          <w:sz w:val="24"/>
          <w:highlight w:val="none"/>
        </w:rPr>
      </w:pPr>
    </w:p>
    <w:p w14:paraId="545B8542">
      <w:pPr>
        <w:spacing w:line="56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备注1：从业人员、营业收入、资产总额填报上一年度数据，无上一年度数据的新成立企业可不填报。</w:t>
      </w:r>
    </w:p>
    <w:p w14:paraId="56142239">
      <w:pPr>
        <w:spacing w:line="560" w:lineRule="exact"/>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备注2：供应商如不提供此声明函，价格将不做相应扣除。</w:t>
      </w:r>
    </w:p>
    <w:p w14:paraId="5D71B81A">
      <w:pPr>
        <w:spacing w:line="460" w:lineRule="exact"/>
        <w:jc w:val="center"/>
        <w:rPr>
          <w:rFonts w:ascii="黑体" w:hAnsi="黑体" w:eastAsia="黑体" w:cs="Times New Roman"/>
          <w:b/>
          <w:color w:val="auto"/>
          <w:kern w:val="0"/>
          <w:sz w:val="32"/>
          <w:szCs w:val="32"/>
          <w:highlight w:val="none"/>
        </w:rPr>
      </w:pPr>
      <w:r>
        <w:rPr>
          <w:rFonts w:ascii="黑体" w:hAnsi="黑体" w:eastAsia="黑体" w:cs="Times New Roman"/>
          <w:b/>
          <w:color w:val="auto"/>
          <w:kern w:val="0"/>
          <w:sz w:val="32"/>
          <w:szCs w:val="32"/>
          <w:highlight w:val="none"/>
        </w:rPr>
        <w:br w:type="page" w:clear="all"/>
      </w:r>
      <w:r>
        <w:rPr>
          <w:rFonts w:hint="eastAsia" w:ascii="黑体" w:hAnsi="黑体" w:eastAsia="黑体" w:cs="Times New Roman"/>
          <w:b/>
          <w:color w:val="auto"/>
          <w:kern w:val="0"/>
          <w:sz w:val="32"/>
          <w:szCs w:val="32"/>
          <w:highlight w:val="none"/>
        </w:rPr>
        <w:t>十、残疾人福利性单位声明函</w:t>
      </w:r>
    </w:p>
    <w:p w14:paraId="6EB09DA7">
      <w:pPr>
        <w:spacing w:line="588" w:lineRule="exact"/>
        <w:ind w:firstLine="480"/>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本单位郑重声明，根据《财政部 民政部 中国残疾人联合会关于促进残疾人就业政府采购政策的通知》（财库〔2017〕 141号）的规定，本单位为符合条件的残疾人福利性单位，且本单位参加_____单位的采购文件编号为______的</w:t>
      </w:r>
      <w:r>
        <w:rPr>
          <w:rFonts w:hint="eastAsia" w:ascii="宋体" w:hAnsi="宋体" w:eastAsia="宋体" w:cs="Times New Roman"/>
          <w:color w:val="auto"/>
          <w:kern w:val="0"/>
          <w:sz w:val="24"/>
          <w:szCs w:val="21"/>
          <w:highlight w:val="none"/>
          <w:u w:val="single"/>
        </w:rPr>
        <w:t xml:space="preserve">       </w:t>
      </w:r>
      <w:r>
        <w:rPr>
          <w:rFonts w:hint="eastAsia" w:ascii="宋体" w:hAnsi="宋体" w:eastAsia="宋体" w:cs="Times New Roman"/>
          <w:color w:val="auto"/>
          <w:kern w:val="0"/>
          <w:sz w:val="24"/>
          <w:szCs w:val="21"/>
          <w:highlight w:val="none"/>
        </w:rPr>
        <w:t>项目（分包号：**）采购活动由本单位提供服务。</w:t>
      </w:r>
    </w:p>
    <w:p w14:paraId="089CF234">
      <w:pPr>
        <w:spacing w:line="588" w:lineRule="exact"/>
        <w:ind w:firstLine="480"/>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本单位对上述声明的真实性负责。如有虚假，将依法承担相应责任。</w:t>
      </w:r>
    </w:p>
    <w:p w14:paraId="080462FA">
      <w:pPr>
        <w:spacing w:line="588" w:lineRule="exact"/>
        <w:ind w:firstLine="480"/>
        <w:rPr>
          <w:rFonts w:ascii="宋体" w:hAnsi="宋体" w:eastAsia="宋体" w:cs="Times New Roman"/>
          <w:color w:val="auto"/>
          <w:kern w:val="0"/>
          <w:sz w:val="24"/>
          <w:szCs w:val="21"/>
          <w:highlight w:val="none"/>
        </w:rPr>
      </w:pPr>
    </w:p>
    <w:p w14:paraId="2B55B922">
      <w:pPr>
        <w:spacing w:line="588" w:lineRule="exact"/>
        <w:ind w:firstLine="480"/>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（备注：1、供应商如不提供此声明函，价格将不做相应扣除。2、中标人为残疾人福利单位的，此声明函将随中标结果同时公告，接受社会监督）</w:t>
      </w:r>
    </w:p>
    <w:p w14:paraId="12AC1C8E">
      <w:pPr>
        <w:spacing w:line="588" w:lineRule="exact"/>
        <w:ind w:firstLine="624"/>
        <w:rPr>
          <w:rFonts w:ascii="仿宋_GB2312" w:hAnsi="Times New Roman" w:eastAsia="仿宋_GB2312" w:cs="Times New Roman"/>
          <w:color w:val="auto"/>
          <w:spacing w:val="6"/>
          <w:kern w:val="0"/>
          <w:sz w:val="30"/>
          <w:szCs w:val="30"/>
          <w:highlight w:val="none"/>
        </w:rPr>
      </w:pPr>
    </w:p>
    <w:p w14:paraId="6FD026D6">
      <w:pPr>
        <w:tabs>
          <w:tab w:val="left" w:pos="4860"/>
        </w:tabs>
        <w:spacing w:line="588" w:lineRule="exact"/>
        <w:ind w:right="1560" w:firstLine="624"/>
        <w:jc w:val="center"/>
        <w:rPr>
          <w:rFonts w:ascii="宋体" w:hAnsi="宋体" w:eastAsia="宋体" w:cs="Times New Roman"/>
          <w:color w:val="auto"/>
          <w:kern w:val="0"/>
          <w:sz w:val="24"/>
          <w:szCs w:val="21"/>
          <w:highlight w:val="none"/>
        </w:rPr>
      </w:pPr>
      <w:r>
        <w:rPr>
          <w:rFonts w:hint="eastAsia" w:ascii="仿宋_GB2312" w:hAnsi="Times New Roman" w:eastAsia="仿宋_GB2312" w:cs="Times New Roman"/>
          <w:color w:val="auto"/>
          <w:spacing w:val="6"/>
          <w:kern w:val="0"/>
          <w:sz w:val="30"/>
          <w:szCs w:val="30"/>
          <w:highlight w:val="none"/>
        </w:rPr>
        <w:t xml:space="preserve">             </w:t>
      </w:r>
      <w:r>
        <w:rPr>
          <w:rFonts w:hint="eastAsia" w:ascii="宋体" w:hAnsi="宋体" w:eastAsia="宋体" w:cs="Times New Roman"/>
          <w:color w:val="auto"/>
          <w:kern w:val="0"/>
          <w:sz w:val="24"/>
          <w:szCs w:val="21"/>
          <w:highlight w:val="none"/>
        </w:rPr>
        <w:t xml:space="preserve">          供应商全称（加盖CA电子公章）：</w:t>
      </w:r>
    </w:p>
    <w:p w14:paraId="1F6EC2E0">
      <w:pPr>
        <w:tabs>
          <w:tab w:val="left" w:pos="4860"/>
        </w:tabs>
        <w:spacing w:line="588" w:lineRule="exact"/>
        <w:ind w:right="1560" w:firstLine="480"/>
        <w:jc w:val="center"/>
        <w:rPr>
          <w:rFonts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 xml:space="preserve">        日  期：</w:t>
      </w:r>
    </w:p>
    <w:p w14:paraId="7736CAD6">
      <w:pPr>
        <w:spacing w:line="560" w:lineRule="exact"/>
        <w:jc w:val="center"/>
        <w:rPr>
          <w:rFonts w:ascii="黑体" w:hAnsi="黑体" w:eastAsia="黑体" w:cs="Times New Roman"/>
          <w:b/>
          <w:color w:val="auto"/>
          <w:kern w:val="0"/>
          <w:sz w:val="32"/>
          <w:szCs w:val="32"/>
          <w:highlight w:val="none"/>
        </w:rPr>
      </w:pPr>
    </w:p>
    <w:p w14:paraId="0C106E2E">
      <w:pPr>
        <w:spacing w:line="560" w:lineRule="exact"/>
        <w:jc w:val="center"/>
        <w:rPr>
          <w:rFonts w:ascii="黑体" w:hAnsi="黑体" w:eastAsia="黑体" w:cs="Times New Roman"/>
          <w:b/>
          <w:color w:val="auto"/>
          <w:kern w:val="0"/>
          <w:sz w:val="32"/>
          <w:szCs w:val="32"/>
          <w:highlight w:val="none"/>
        </w:rPr>
      </w:pPr>
    </w:p>
    <w:p w14:paraId="6D5F86B1">
      <w:pPr>
        <w:spacing w:line="560" w:lineRule="exact"/>
        <w:jc w:val="center"/>
        <w:rPr>
          <w:rFonts w:ascii="黑体" w:hAnsi="黑体" w:eastAsia="黑体" w:cs="Times New Roman"/>
          <w:b/>
          <w:color w:val="auto"/>
          <w:kern w:val="0"/>
          <w:sz w:val="32"/>
          <w:szCs w:val="32"/>
          <w:highlight w:val="none"/>
        </w:rPr>
      </w:pPr>
    </w:p>
    <w:p w14:paraId="04BF260C">
      <w:pPr>
        <w:spacing w:line="560" w:lineRule="exact"/>
        <w:jc w:val="center"/>
        <w:rPr>
          <w:rFonts w:ascii="黑体" w:hAnsi="黑体" w:eastAsia="黑体" w:cs="Times New Roman"/>
          <w:b/>
          <w:color w:val="auto"/>
          <w:kern w:val="0"/>
          <w:sz w:val="32"/>
          <w:szCs w:val="32"/>
          <w:highlight w:val="none"/>
        </w:rPr>
      </w:pPr>
    </w:p>
    <w:p w14:paraId="342343A5">
      <w:pPr>
        <w:spacing w:line="560" w:lineRule="exact"/>
        <w:jc w:val="center"/>
        <w:rPr>
          <w:rFonts w:ascii="黑体" w:hAnsi="黑体" w:eastAsia="黑体" w:cs="Times New Roman"/>
          <w:b/>
          <w:color w:val="auto"/>
          <w:kern w:val="0"/>
          <w:sz w:val="32"/>
          <w:szCs w:val="32"/>
          <w:highlight w:val="none"/>
        </w:rPr>
      </w:pPr>
    </w:p>
    <w:p w14:paraId="47E6EE01">
      <w:pPr>
        <w:spacing w:line="560" w:lineRule="exact"/>
        <w:jc w:val="center"/>
        <w:rPr>
          <w:rFonts w:ascii="黑体" w:hAnsi="黑体" w:eastAsia="黑体" w:cs="Times New Roman"/>
          <w:b/>
          <w:color w:val="auto"/>
          <w:kern w:val="0"/>
          <w:sz w:val="32"/>
          <w:szCs w:val="32"/>
          <w:highlight w:val="none"/>
        </w:rPr>
      </w:pPr>
    </w:p>
    <w:p w14:paraId="014566C5">
      <w:pPr>
        <w:spacing w:line="560" w:lineRule="exact"/>
        <w:jc w:val="center"/>
        <w:rPr>
          <w:rFonts w:ascii="黑体" w:hAnsi="黑体" w:eastAsia="黑体" w:cs="Times New Roman"/>
          <w:b/>
          <w:color w:val="auto"/>
          <w:kern w:val="0"/>
          <w:sz w:val="32"/>
          <w:szCs w:val="32"/>
          <w:highlight w:val="none"/>
        </w:rPr>
      </w:pPr>
    </w:p>
    <w:p w14:paraId="5E845534">
      <w:pPr>
        <w:spacing w:line="560" w:lineRule="exact"/>
        <w:jc w:val="center"/>
        <w:rPr>
          <w:rFonts w:ascii="黑体" w:hAnsi="黑体" w:eastAsia="黑体" w:cs="Times New Roman"/>
          <w:b/>
          <w:color w:val="auto"/>
          <w:kern w:val="0"/>
          <w:sz w:val="32"/>
          <w:szCs w:val="32"/>
          <w:highlight w:val="none"/>
        </w:rPr>
      </w:pPr>
    </w:p>
    <w:p w14:paraId="15C58A3B">
      <w:pPr>
        <w:spacing w:line="560" w:lineRule="exact"/>
        <w:jc w:val="center"/>
        <w:rPr>
          <w:rFonts w:ascii="黑体" w:hAnsi="黑体" w:eastAsia="黑体" w:cs="Times New Roman"/>
          <w:b/>
          <w:color w:val="auto"/>
          <w:kern w:val="0"/>
          <w:sz w:val="32"/>
          <w:szCs w:val="32"/>
          <w:highlight w:val="none"/>
        </w:rPr>
      </w:pPr>
    </w:p>
    <w:p w14:paraId="5654AC4F">
      <w:pPr>
        <w:spacing w:line="560" w:lineRule="exact"/>
        <w:jc w:val="center"/>
        <w:rPr>
          <w:rFonts w:ascii="黑体" w:hAnsi="黑体" w:eastAsia="黑体" w:cs="Times New Roman"/>
          <w:b/>
          <w:color w:val="auto"/>
          <w:kern w:val="0"/>
          <w:sz w:val="32"/>
          <w:szCs w:val="32"/>
          <w:highlight w:val="none"/>
        </w:rPr>
      </w:pPr>
    </w:p>
    <w:p w14:paraId="0963395B">
      <w:pPr>
        <w:spacing w:line="560" w:lineRule="exact"/>
        <w:jc w:val="center"/>
        <w:rPr>
          <w:rFonts w:ascii="黑体" w:hAnsi="黑体" w:eastAsia="黑体" w:cs="Times New Roman"/>
          <w:b/>
          <w:color w:val="auto"/>
          <w:kern w:val="0"/>
          <w:sz w:val="32"/>
          <w:szCs w:val="32"/>
          <w:highlight w:val="none"/>
        </w:rPr>
        <w:sectPr>
          <w:pgSz w:w="11906" w:h="16838"/>
          <w:pgMar w:top="1417" w:right="1417" w:bottom="1417" w:left="1417" w:header="851" w:footer="992" w:gutter="0"/>
          <w:cols w:space="1701" w:num="1"/>
          <w:docGrid w:linePitch="360" w:charSpace="0"/>
        </w:sectPr>
      </w:pPr>
    </w:p>
    <w:p w14:paraId="010B417A">
      <w:pPr>
        <w:spacing w:line="360" w:lineRule="auto"/>
        <w:jc w:val="center"/>
        <w:rPr>
          <w:rFonts w:hint="eastAsia" w:asciiTheme="minorEastAsia" w:hAnsiTheme="minorEastAsia" w:eastAsiaTheme="minorEastAsia" w:cstheme="minorEastAsia"/>
          <w:b/>
          <w:bCs/>
          <w:color w:val="auto"/>
          <w:sz w:val="30"/>
          <w:szCs w:val="30"/>
          <w:highlight w:val="none"/>
          <w:lang w:val="en-US" w:eastAsia="zh-CN"/>
        </w:rPr>
      </w:pPr>
      <w:r>
        <w:rPr>
          <w:rFonts w:hint="default" w:asciiTheme="minorEastAsia" w:hAnsiTheme="minorEastAsia" w:eastAsiaTheme="minorEastAsia" w:cstheme="minorEastAsia"/>
          <w:b/>
          <w:bCs/>
          <w:color w:val="auto"/>
          <w:sz w:val="30"/>
          <w:szCs w:val="30"/>
          <w:highlight w:val="none"/>
          <w:lang w:val="en-US" w:eastAsia="zh-CN"/>
        </w:rPr>
        <w:t>关于符合本国产品标准的声明函</w:t>
      </w:r>
    </w:p>
    <w:p w14:paraId="18458BFF">
      <w:pPr>
        <w:spacing w:line="360" w:lineRule="auto"/>
        <w:jc w:val="both"/>
        <w:rPr>
          <w:rFonts w:hint="default" w:asciiTheme="minorEastAsia" w:hAnsiTheme="minorEastAsia" w:eastAsiaTheme="minorEastAsia" w:cstheme="minorEastAsia"/>
          <w:color w:val="auto"/>
          <w:sz w:val="24"/>
          <w:szCs w:val="21"/>
          <w:highlight w:val="none"/>
          <w:lang w:val="en-US" w:eastAsia="zh-CN"/>
        </w:rPr>
      </w:pPr>
    </w:p>
    <w:p w14:paraId="144542A2">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0CA4CA8C">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u w:val="single"/>
          <w:lang w:val="en-US" w:eastAsia="zh-CN"/>
        </w:rPr>
        <w:t>（产品名称1）</w:t>
      </w:r>
      <w:r>
        <w:rPr>
          <w:rFonts w:hint="eastAsia" w:ascii="宋体" w:hAnsi="宋体" w:eastAsia="宋体" w:cs="宋体"/>
          <w:i w:val="0"/>
          <w:iCs w:val="0"/>
          <w:color w:val="auto"/>
          <w:sz w:val="24"/>
          <w:szCs w:val="24"/>
          <w:highlight w:val="none"/>
          <w:u w:val="single"/>
          <w:vertAlign w:val="superscript"/>
          <w:lang w:val="en-US" w:eastAsia="zh-CN"/>
        </w:rPr>
        <w:t>1</w:t>
      </w:r>
      <w:r>
        <w:rPr>
          <w:rFonts w:hint="eastAsia" w:ascii="宋体" w:hAnsi="宋体" w:eastAsia="宋体" w:cs="宋体"/>
          <w:i w:val="0"/>
          <w:iCs w:val="0"/>
          <w:color w:val="auto"/>
          <w:sz w:val="24"/>
          <w:szCs w:val="24"/>
          <w:highlight w:val="none"/>
          <w:lang w:val="en-US" w:eastAsia="zh-CN"/>
        </w:rPr>
        <w:t>, 生产厂为</w:t>
      </w:r>
      <w:r>
        <w:rPr>
          <w:rFonts w:hint="eastAsia" w:ascii="宋体" w:hAnsi="宋体" w:eastAsia="宋体" w:cs="宋体"/>
          <w:i w:val="0"/>
          <w:iCs w:val="0"/>
          <w:color w:val="auto"/>
          <w:sz w:val="24"/>
          <w:szCs w:val="24"/>
          <w:highlight w:val="none"/>
          <w:u w:val="single"/>
          <w:lang w:val="en-US" w:eastAsia="zh-CN"/>
        </w:rPr>
        <w:t>（厂名）</w:t>
      </w:r>
      <w:r>
        <w:rPr>
          <w:rFonts w:hint="eastAsia" w:ascii="宋体" w:hAnsi="宋体" w:eastAsia="宋体" w:cs="宋体"/>
          <w:i w:val="0"/>
          <w:iCs w:val="0"/>
          <w:color w:val="auto"/>
          <w:sz w:val="24"/>
          <w:szCs w:val="24"/>
          <w:highlight w:val="none"/>
          <w:u w:val="single"/>
          <w:vertAlign w:val="superscript"/>
          <w:lang w:val="en-US" w:eastAsia="zh-CN"/>
        </w:rPr>
        <w:t>2</w:t>
      </w:r>
      <w:r>
        <w:rPr>
          <w:rFonts w:hint="eastAsia" w:ascii="宋体" w:hAnsi="宋体" w:eastAsia="宋体" w:cs="宋体"/>
          <w:i w:val="0"/>
          <w:iCs w:val="0"/>
          <w:color w:val="auto"/>
          <w:sz w:val="24"/>
          <w:szCs w:val="24"/>
          <w:highlight w:val="none"/>
          <w:lang w:val="en-US" w:eastAsia="zh-CN"/>
        </w:rPr>
        <w:t>,厂址为</w:t>
      </w:r>
      <w:r>
        <w:rPr>
          <w:rFonts w:hint="eastAsia" w:ascii="宋体" w:hAnsi="宋体" w:eastAsia="宋体" w:cs="宋体"/>
          <w:i w:val="0"/>
          <w:iCs w:val="0"/>
          <w:color w:val="auto"/>
          <w:sz w:val="24"/>
          <w:szCs w:val="24"/>
          <w:highlight w:val="none"/>
          <w:u w:val="single"/>
          <w:lang w:val="en-US" w:eastAsia="zh-CN"/>
        </w:rPr>
        <w:t>（生产厂址）</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 xml:space="preserve">的中国境内生产的组件成本占比≥ </w:t>
      </w:r>
      <w:r>
        <w:rPr>
          <w:rFonts w:hint="eastAsia" w:ascii="宋体" w:hAnsi="宋体" w:eastAsia="宋体" w:cs="宋体"/>
          <w:i w:val="0"/>
          <w:iCs w:val="0"/>
          <w:color w:val="auto"/>
          <w:sz w:val="24"/>
          <w:szCs w:val="24"/>
          <w:highlight w:val="none"/>
          <w:u w:val="single"/>
          <w:lang w:val="en-US" w:eastAsia="zh-CN"/>
        </w:rPr>
        <w:t>（规定比例）</w:t>
      </w:r>
      <w:r>
        <w:rPr>
          <w:rFonts w:hint="eastAsia" w:ascii="宋体" w:hAnsi="宋体" w:eastAsia="宋体" w:cs="宋体"/>
          <w:i w:val="0"/>
          <w:iCs w:val="0"/>
          <w:color w:val="auto"/>
          <w:sz w:val="24"/>
          <w:szCs w:val="24"/>
          <w:highlight w:val="none"/>
          <w:u w:val="single"/>
          <w:vertAlign w:val="superscript"/>
          <w:lang w:val="en-US" w:eastAsia="zh-CN"/>
        </w:rPr>
        <w:t>3</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 xml:space="preserve">(产品名称1) </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u w:val="single"/>
          <w:vertAlign w:val="superscript"/>
          <w:lang w:val="en-US" w:eastAsia="zh-CN"/>
        </w:rPr>
        <w:t>4</w:t>
      </w:r>
      <w:r>
        <w:rPr>
          <w:rFonts w:hint="eastAsia" w:ascii="宋体" w:hAnsi="宋体" w:eastAsia="宋体" w:cs="宋体"/>
          <w:i w:val="0"/>
          <w:iCs w:val="0"/>
          <w:color w:val="auto"/>
          <w:sz w:val="24"/>
          <w:szCs w:val="24"/>
          <w:highlight w:val="none"/>
          <w:lang w:val="en-US" w:eastAsia="zh-CN"/>
        </w:rPr>
        <w:t xml:space="preserve"> 在中国境内生产。</w:t>
      </w:r>
      <w:r>
        <w:rPr>
          <w:rFonts w:hint="eastAsia" w:ascii="宋体" w:hAnsi="宋体" w:eastAsia="宋体" w:cs="宋体"/>
          <w:i w:val="0"/>
          <w:iCs w:val="0"/>
          <w:color w:val="auto"/>
          <w:sz w:val="24"/>
          <w:szCs w:val="24"/>
          <w:highlight w:val="none"/>
          <w:u w:val="single"/>
          <w:lang w:val="en-US" w:eastAsia="zh-CN"/>
        </w:rPr>
        <w:t>(产品名称1)</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(关键工序)</w:t>
      </w:r>
      <w:r>
        <w:rPr>
          <w:rFonts w:hint="eastAsia" w:ascii="宋体" w:hAnsi="宋体" w:eastAsia="宋体" w:cs="宋体"/>
          <w:i w:val="0"/>
          <w:iCs w:val="0"/>
          <w:color w:val="auto"/>
          <w:sz w:val="24"/>
          <w:szCs w:val="24"/>
          <w:highlight w:val="none"/>
          <w:u w:val="single"/>
          <w:vertAlign w:val="superscript"/>
          <w:lang w:val="en-US" w:eastAsia="zh-CN"/>
        </w:rPr>
        <w:t>5</w:t>
      </w:r>
      <w:r>
        <w:rPr>
          <w:rFonts w:hint="eastAsia" w:ascii="宋体" w:hAnsi="宋体" w:eastAsia="宋体" w:cs="宋体"/>
          <w:i w:val="0"/>
          <w:iCs w:val="0"/>
          <w:color w:val="auto"/>
          <w:sz w:val="24"/>
          <w:szCs w:val="24"/>
          <w:highlight w:val="none"/>
          <w:lang w:val="en-US" w:eastAsia="zh-CN"/>
        </w:rPr>
        <w:t xml:space="preserve"> 在中国境内完成。</w:t>
      </w:r>
    </w:p>
    <w:p w14:paraId="3663AAED">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u w:val="single"/>
          <w:lang w:val="en-US" w:eastAsia="zh-CN"/>
        </w:rPr>
        <w:t xml:space="preserve">（产品名称2） </w:t>
      </w:r>
      <w:r>
        <w:rPr>
          <w:rFonts w:hint="eastAsia" w:ascii="宋体" w:hAnsi="宋体" w:eastAsia="宋体" w:cs="宋体"/>
          <w:i w:val="0"/>
          <w:iCs w:val="0"/>
          <w:color w:val="auto"/>
          <w:sz w:val="24"/>
          <w:szCs w:val="24"/>
          <w:highlight w:val="none"/>
          <w:lang w:val="en-US" w:eastAsia="zh-CN"/>
        </w:rPr>
        <w:t>,生产厂为</w:t>
      </w:r>
      <w:r>
        <w:rPr>
          <w:rFonts w:hint="eastAsia" w:ascii="宋体" w:hAnsi="宋体" w:eastAsia="宋体" w:cs="宋体"/>
          <w:i w:val="0"/>
          <w:iCs w:val="0"/>
          <w:color w:val="auto"/>
          <w:sz w:val="24"/>
          <w:szCs w:val="24"/>
          <w:highlight w:val="none"/>
          <w:u w:val="single"/>
          <w:lang w:val="en-US" w:eastAsia="zh-CN"/>
        </w:rPr>
        <w:t>（厂名）</w:t>
      </w:r>
      <w:r>
        <w:rPr>
          <w:rFonts w:hint="eastAsia" w:ascii="宋体" w:hAnsi="宋体" w:eastAsia="宋体" w:cs="宋体"/>
          <w:i w:val="0"/>
          <w:iCs w:val="0"/>
          <w:color w:val="auto"/>
          <w:sz w:val="24"/>
          <w:szCs w:val="24"/>
          <w:highlight w:val="none"/>
          <w:lang w:val="en-US" w:eastAsia="zh-CN"/>
        </w:rPr>
        <w:t>,厂址为</w:t>
      </w:r>
      <w:r>
        <w:rPr>
          <w:rFonts w:hint="eastAsia" w:ascii="宋体" w:hAnsi="宋体" w:eastAsia="宋体" w:cs="宋体"/>
          <w:i w:val="0"/>
          <w:iCs w:val="0"/>
          <w:color w:val="auto"/>
          <w:sz w:val="24"/>
          <w:szCs w:val="24"/>
          <w:highlight w:val="none"/>
          <w:u w:val="single"/>
          <w:lang w:val="en-US" w:eastAsia="zh-CN"/>
        </w:rPr>
        <w:t>（生产厂址）</w:t>
      </w:r>
      <w:r>
        <w:rPr>
          <w:rFonts w:hint="eastAsia" w:ascii="宋体" w:hAnsi="宋体" w:eastAsia="宋体" w:cs="宋体"/>
          <w:i w:val="0"/>
          <w:iCs w:val="0"/>
          <w:color w:val="auto"/>
          <w:sz w:val="24"/>
          <w:szCs w:val="24"/>
          <w:highlight w:val="none"/>
          <w:lang w:val="en-US" w:eastAsia="zh-CN"/>
        </w:rPr>
        <w:t>。</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的中国境内生产的组件成本占比≥</w:t>
      </w:r>
      <w:r>
        <w:rPr>
          <w:rFonts w:hint="eastAsia" w:ascii="宋体" w:hAnsi="宋体" w:eastAsia="宋体" w:cs="宋体"/>
          <w:i w:val="0"/>
          <w:iCs w:val="0"/>
          <w:color w:val="auto"/>
          <w:sz w:val="24"/>
          <w:szCs w:val="24"/>
          <w:highlight w:val="none"/>
          <w:u w:val="single"/>
          <w:lang w:val="en-US" w:eastAsia="zh-CN"/>
        </w:rPr>
        <w:t>（规定比例）</w:t>
      </w:r>
      <w:r>
        <w:rPr>
          <w:rFonts w:hint="eastAsia" w:ascii="宋体" w:hAnsi="宋体" w:eastAsia="宋体" w:cs="宋体"/>
          <w:i w:val="0"/>
          <w:iCs w:val="0"/>
          <w:color w:val="auto"/>
          <w:sz w:val="24"/>
          <w:szCs w:val="24"/>
          <w:highlight w:val="none"/>
          <w:u w:val="none"/>
          <w:lang w:val="en-US" w:eastAsia="zh-CN"/>
        </w:rPr>
        <w:t>。</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的</w:t>
      </w:r>
      <w:r>
        <w:rPr>
          <w:rFonts w:hint="eastAsia" w:ascii="宋体" w:hAnsi="宋体" w:eastAsia="宋体" w:cs="宋体"/>
          <w:i w:val="0"/>
          <w:iCs w:val="0"/>
          <w:color w:val="auto"/>
          <w:sz w:val="24"/>
          <w:szCs w:val="24"/>
          <w:highlight w:val="none"/>
          <w:u w:val="single"/>
          <w:lang w:val="en-US" w:eastAsia="zh-CN"/>
        </w:rPr>
        <w:t xml:space="preserve"> （关键组件）</w:t>
      </w:r>
      <w:r>
        <w:rPr>
          <w:rFonts w:hint="eastAsia" w:ascii="宋体" w:hAnsi="宋体" w:eastAsia="宋体" w:cs="宋体"/>
          <w:i w:val="0"/>
          <w:iCs w:val="0"/>
          <w:color w:val="auto"/>
          <w:sz w:val="24"/>
          <w:szCs w:val="24"/>
          <w:highlight w:val="none"/>
          <w:lang w:val="en-US" w:eastAsia="zh-CN"/>
        </w:rPr>
        <w:t>在中国境内生产。</w:t>
      </w:r>
      <w:r>
        <w:rPr>
          <w:rFonts w:hint="eastAsia" w:ascii="宋体" w:hAnsi="宋体" w:eastAsia="宋体" w:cs="宋体"/>
          <w:i w:val="0"/>
          <w:iCs w:val="0"/>
          <w:color w:val="auto"/>
          <w:sz w:val="24"/>
          <w:szCs w:val="24"/>
          <w:highlight w:val="none"/>
          <w:u w:val="single"/>
          <w:lang w:val="en-US" w:eastAsia="zh-CN"/>
        </w:rPr>
        <w:t>（产品名称2）</w:t>
      </w:r>
      <w:r>
        <w:rPr>
          <w:rFonts w:hint="eastAsia" w:ascii="宋体" w:hAnsi="宋体" w:eastAsia="宋体" w:cs="宋体"/>
          <w:i w:val="0"/>
          <w:iCs w:val="0"/>
          <w:color w:val="auto"/>
          <w:sz w:val="24"/>
          <w:szCs w:val="24"/>
          <w:highlight w:val="none"/>
          <w:lang w:val="en-US" w:eastAsia="zh-CN"/>
        </w:rPr>
        <w:t xml:space="preserve">的 </w:t>
      </w:r>
      <w:r>
        <w:rPr>
          <w:rFonts w:hint="eastAsia" w:ascii="宋体" w:hAnsi="宋体" w:eastAsia="宋体" w:cs="宋体"/>
          <w:i w:val="0"/>
          <w:iCs w:val="0"/>
          <w:color w:val="auto"/>
          <w:sz w:val="24"/>
          <w:szCs w:val="24"/>
          <w:highlight w:val="none"/>
          <w:u w:val="single"/>
          <w:lang w:val="en-US" w:eastAsia="zh-CN"/>
        </w:rPr>
        <w:t>（关键工序）</w:t>
      </w:r>
      <w:r>
        <w:rPr>
          <w:rFonts w:hint="eastAsia" w:ascii="宋体" w:hAnsi="宋体" w:eastAsia="宋体" w:cs="宋体"/>
          <w:i w:val="0"/>
          <w:iCs w:val="0"/>
          <w:color w:val="auto"/>
          <w:sz w:val="24"/>
          <w:szCs w:val="24"/>
          <w:highlight w:val="none"/>
          <w:lang w:val="en-US" w:eastAsia="zh-CN"/>
        </w:rPr>
        <w:t>在中国境内完成。</w:t>
      </w:r>
    </w:p>
    <w:p w14:paraId="4EED66E6">
      <w:pPr>
        <w:spacing w:line="360" w:lineRule="auto"/>
        <w:jc w:val="center"/>
        <w:rPr>
          <w:rFonts w:hint="eastAsia" w:ascii="宋体" w:hAnsi="宋体" w:eastAsia="宋体" w:cs="宋体"/>
          <w:i w:val="0"/>
          <w:iCs w:val="0"/>
          <w:color w:val="auto"/>
          <w:sz w:val="24"/>
          <w:szCs w:val="24"/>
          <w:highlight w:val="none"/>
        </w:rPr>
      </w:pPr>
    </w:p>
    <w:p w14:paraId="2FDDF280">
      <w:pPr>
        <w:spacing w:line="360" w:lineRule="auto"/>
        <w:ind w:firstLine="480" w:firstLineChars="200"/>
        <w:jc w:val="both"/>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lang w:eastAsia="zh-CN"/>
        </w:rPr>
        <w:t>……</w:t>
      </w:r>
    </w:p>
    <w:p w14:paraId="7D8938CE">
      <w:pPr>
        <w:spacing w:line="360" w:lineRule="auto"/>
        <w:jc w:val="both"/>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i w:val="0"/>
          <w:iCs w:val="0"/>
          <w:color w:val="auto"/>
          <w:sz w:val="24"/>
          <w:szCs w:val="24"/>
          <w:highlight w:val="none"/>
          <w:u w:val="single"/>
          <w:lang w:val="en-US" w:eastAsia="zh-CN"/>
        </w:rPr>
        <w:t xml:space="preserve">                      </w:t>
      </w:r>
    </w:p>
    <w:p w14:paraId="21A758F2">
      <w:pPr>
        <w:spacing w:line="360" w:lineRule="auto"/>
        <w:ind w:firstLine="480" w:firstLineChars="200"/>
        <w:jc w:val="both"/>
        <w:rPr>
          <w:rFonts w:hint="eastAsia" w:ascii="宋体" w:hAnsi="宋体" w:eastAsia="宋体" w:cs="宋体"/>
          <w:i w:val="0"/>
          <w:iCs w:val="0"/>
          <w:color w:val="auto"/>
          <w:sz w:val="24"/>
          <w:szCs w:val="24"/>
          <w:highlight w:val="none"/>
          <w:lang w:eastAsia="zh-CN"/>
        </w:rPr>
      </w:pPr>
    </w:p>
    <w:p w14:paraId="1177592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1. 产品如有型号 , 请在“产品名称”栏一并填写。 </w:t>
      </w:r>
    </w:p>
    <w:p w14:paraId="4D1BAAA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 生产厂名与厂址应与生产厂营业执照载明的相关信息保持一致。</w:t>
      </w:r>
    </w:p>
    <w:p w14:paraId="32D9177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3. 该产品的中国境内生产的组件成本占比相关要求实施前,“规定比例”栏可不填,下同。</w:t>
      </w:r>
    </w:p>
    <w:p w14:paraId="3D85861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 该产品的关键组件要求实施前,“关键组件”栏可不填，下同。</w:t>
      </w:r>
    </w:p>
    <w:p w14:paraId="4260C306">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5. 该产品的关键工序要求实施前, “关键工序”栏可不填 , 下同。 </w:t>
      </w:r>
    </w:p>
    <w:p w14:paraId="2FAB047E">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p>
    <w:p w14:paraId="171AD5F8">
      <w:pPr>
        <w:keepNext w:val="0"/>
        <w:keepLines w:val="0"/>
        <w:pageBreakBefore w:val="0"/>
        <w:widowControl w:val="0"/>
        <w:kinsoku/>
        <w:wordWrap/>
        <w:overflowPunct/>
        <w:topLinePunct w:val="0"/>
        <w:autoSpaceDE/>
        <w:autoSpaceDN/>
        <w:bidi w:val="0"/>
        <w:adjustRightInd/>
        <w:snapToGrid/>
        <w:spacing w:line="480" w:lineRule="auto"/>
        <w:ind w:firstLine="482"/>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本公司（单位）对上述声明内容的真实性负责。如有虚假,愿承担相应法律责任。 </w:t>
      </w:r>
    </w:p>
    <w:p w14:paraId="08183A2E">
      <w:pPr>
        <w:keepNext w:val="0"/>
        <w:keepLines w:val="0"/>
        <w:pageBreakBefore w:val="0"/>
        <w:widowControl w:val="0"/>
        <w:kinsoku/>
        <w:wordWrap/>
        <w:overflowPunct/>
        <w:topLinePunct w:val="0"/>
        <w:autoSpaceDE/>
        <w:autoSpaceDN/>
        <w:bidi w:val="0"/>
        <w:adjustRightInd/>
        <w:snapToGrid/>
        <w:spacing w:line="480" w:lineRule="auto"/>
        <w:ind w:firstLine="1161" w:firstLineChars="528"/>
        <w:textAlignment w:val="auto"/>
        <w:rPr>
          <w:rFonts w:hint="eastAsia" w:asciiTheme="minorEastAsia" w:hAnsiTheme="minorEastAsia" w:eastAsiaTheme="minorEastAsia" w:cstheme="minorEastAsia"/>
          <w:color w:val="auto"/>
          <w:sz w:val="22"/>
          <w:szCs w:val="22"/>
          <w:highlight w:val="none"/>
          <w:lang w:val="en-US" w:eastAsia="zh-CN"/>
        </w:rPr>
      </w:pPr>
    </w:p>
    <w:p w14:paraId="046BD5DD">
      <w:pPr>
        <w:keepNext w:val="0"/>
        <w:keepLines w:val="0"/>
        <w:pageBreakBefore w:val="0"/>
        <w:widowControl w:val="0"/>
        <w:kinsoku/>
        <w:wordWrap/>
        <w:overflowPunct/>
        <w:topLinePunct w:val="0"/>
        <w:autoSpaceDE/>
        <w:autoSpaceDN/>
        <w:bidi w:val="0"/>
        <w:adjustRightInd/>
        <w:snapToGrid/>
        <w:spacing w:line="480" w:lineRule="auto"/>
        <w:ind w:firstLine="4459" w:firstLineChars="2027"/>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公司（单位）名称（盖章）：</w:t>
      </w:r>
    </w:p>
    <w:p w14:paraId="18DF60C9">
      <w:pPr>
        <w:keepNext w:val="0"/>
        <w:keepLines w:val="0"/>
        <w:pageBreakBefore w:val="0"/>
        <w:widowControl w:val="0"/>
        <w:kinsoku/>
        <w:wordWrap/>
        <w:overflowPunct/>
        <w:topLinePunct w:val="0"/>
        <w:autoSpaceDE/>
        <w:autoSpaceDN/>
        <w:bidi w:val="0"/>
        <w:adjustRightInd/>
        <w:snapToGrid/>
        <w:spacing w:line="480" w:lineRule="auto"/>
        <w:ind w:firstLine="4459" w:firstLineChars="2027"/>
        <w:textAlignment w:val="auto"/>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日期：       年    月     日</w:t>
      </w:r>
    </w:p>
    <w:p w14:paraId="37FFFBC3">
      <w:pPr>
        <w:pStyle w:val="24"/>
        <w:rPr>
          <w:rFonts w:hint="eastAsia"/>
          <w:color w:val="auto"/>
          <w:highlight w:val="none"/>
        </w:rPr>
      </w:pPr>
    </w:p>
    <w:p w14:paraId="3E9C05B1">
      <w:pPr>
        <w:spacing w:line="560" w:lineRule="exact"/>
        <w:jc w:val="center"/>
        <w:rPr>
          <w:rFonts w:ascii="黑体" w:hAnsi="黑体" w:eastAsia="黑体" w:cs="Times New Roman"/>
          <w:b/>
          <w:color w:val="auto"/>
          <w:kern w:val="0"/>
          <w:sz w:val="32"/>
          <w:szCs w:val="32"/>
          <w:highlight w:val="none"/>
        </w:rPr>
      </w:pPr>
    </w:p>
    <w:p w14:paraId="64E70D76">
      <w:pPr>
        <w:rPr>
          <w:rFonts w:ascii="Times New Roman" w:hAnsi="Times New Roman" w:eastAsia="宋体" w:cs="Times New Roman"/>
          <w:color w:val="auto"/>
          <w:kern w:val="0"/>
          <w:szCs w:val="21"/>
          <w:highlight w:val="none"/>
        </w:rPr>
      </w:pPr>
    </w:p>
    <w:p w14:paraId="0EFC50C5">
      <w:pPr>
        <w:numPr>
          <w:ilvl w:val="0"/>
          <w:numId w:val="12"/>
        </w:numPr>
        <w:jc w:val="center"/>
        <w:rPr>
          <w:rFonts w:ascii="黑体" w:hAnsi="黑体" w:eastAsia="黑体" w:cs="Times New Roman"/>
          <w:b/>
          <w:color w:val="auto"/>
          <w:kern w:val="0"/>
          <w:sz w:val="32"/>
          <w:szCs w:val="32"/>
          <w:highlight w:val="none"/>
        </w:rPr>
      </w:pPr>
      <w:r>
        <w:rPr>
          <w:rFonts w:hint="eastAsia" w:ascii="黑体" w:hAnsi="黑体" w:eastAsia="黑体" w:cs="Times New Roman"/>
          <w:b/>
          <w:color w:val="auto"/>
          <w:kern w:val="0"/>
          <w:sz w:val="32"/>
          <w:szCs w:val="32"/>
          <w:highlight w:val="none"/>
        </w:rPr>
        <w:t xml:space="preserve">投标分项报价表 </w:t>
      </w:r>
    </w:p>
    <w:p w14:paraId="00B3546F">
      <w:pPr>
        <w:spacing w:line="480" w:lineRule="exact"/>
        <w:jc w:val="center"/>
        <w:rPr>
          <w:rFonts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格式自拟</w:t>
      </w:r>
    </w:p>
    <w:p w14:paraId="0C3B4ACD">
      <w:pPr>
        <w:spacing w:line="600" w:lineRule="auto"/>
        <w:ind w:firstLine="3685"/>
        <w:rPr>
          <w:rFonts w:hint="eastAsia" w:ascii="宋体" w:hAnsi="宋体" w:eastAsia="宋体" w:cs="宋体"/>
          <w:color w:val="auto"/>
          <w:kern w:val="0"/>
          <w:szCs w:val="21"/>
          <w:highlight w:val="none"/>
        </w:rPr>
      </w:pPr>
    </w:p>
    <w:p w14:paraId="5DA688BE">
      <w:pPr>
        <w:spacing w:line="600" w:lineRule="auto"/>
        <w:ind w:firstLine="3685"/>
        <w:rPr>
          <w:rFonts w:hint="eastAsia" w:ascii="宋体" w:hAnsi="宋体" w:eastAsia="宋体" w:cs="宋体"/>
          <w:color w:val="auto"/>
          <w:kern w:val="0"/>
          <w:szCs w:val="21"/>
          <w:highlight w:val="none"/>
        </w:rPr>
      </w:pPr>
    </w:p>
    <w:p w14:paraId="32C5F1DF">
      <w:pPr>
        <w:spacing w:line="600" w:lineRule="auto"/>
        <w:ind w:firstLine="3685"/>
        <w:rPr>
          <w:rFonts w:hint="eastAsia" w:ascii="宋体" w:hAnsi="宋体" w:eastAsia="宋体" w:cs="宋体"/>
          <w:color w:val="auto"/>
          <w:kern w:val="0"/>
          <w:szCs w:val="21"/>
          <w:highlight w:val="none"/>
        </w:rPr>
      </w:pPr>
    </w:p>
    <w:p w14:paraId="6353C61E">
      <w:pPr>
        <w:spacing w:line="600" w:lineRule="auto"/>
        <w:ind w:firstLine="3685"/>
        <w:rPr>
          <w:rFonts w:hint="eastAsia" w:ascii="宋体" w:hAnsi="宋体" w:eastAsia="宋体" w:cs="宋体"/>
          <w:color w:val="auto"/>
          <w:kern w:val="0"/>
          <w:szCs w:val="21"/>
          <w:highlight w:val="none"/>
        </w:rPr>
      </w:pPr>
    </w:p>
    <w:p w14:paraId="31592E29">
      <w:pPr>
        <w:spacing w:line="600" w:lineRule="auto"/>
        <w:ind w:firstLine="3685"/>
        <w:rPr>
          <w:rFonts w:hint="eastAsia" w:ascii="宋体" w:hAnsi="宋体" w:eastAsia="宋体" w:cs="宋体"/>
          <w:color w:val="auto"/>
          <w:kern w:val="0"/>
          <w:szCs w:val="21"/>
          <w:highlight w:val="none"/>
        </w:rPr>
      </w:pPr>
    </w:p>
    <w:p w14:paraId="7ABAE902">
      <w:pPr>
        <w:spacing w:line="600" w:lineRule="auto"/>
        <w:ind w:firstLine="3685"/>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投标人名称（盖章）： </w:t>
      </w:r>
    </w:p>
    <w:p w14:paraId="6F89E4E4">
      <w:pPr>
        <w:spacing w:line="600" w:lineRule="auto"/>
        <w:ind w:firstLine="200"/>
        <w:jc w:val="center"/>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法定代表人或其委托代理人签字（或盖章）：</w:t>
      </w:r>
    </w:p>
    <w:p w14:paraId="181EEB41">
      <w:pPr>
        <w:spacing w:line="600" w:lineRule="auto"/>
        <w:ind w:firstLine="200"/>
        <w:jc w:val="center"/>
        <w:rPr>
          <w:rFonts w:ascii="宋体" w:hAnsi="宋体" w:cs="宋体"/>
          <w:color w:val="auto"/>
          <w:highlight w:val="none"/>
        </w:rPr>
        <w:sectPr>
          <w:pgSz w:w="11906" w:h="16838"/>
          <w:pgMar w:top="1417" w:right="1417" w:bottom="1417" w:left="1417" w:header="851" w:footer="992" w:gutter="0"/>
          <w:cols w:space="1701" w:num="1"/>
          <w:docGrid w:linePitch="360" w:charSpace="0"/>
        </w:sectPr>
      </w:pPr>
      <w:r>
        <w:rPr>
          <w:rFonts w:hint="eastAsia" w:ascii="宋体" w:hAnsi="宋体" w:eastAsia="宋体" w:cs="宋体"/>
          <w:color w:val="auto"/>
          <w:kern w:val="0"/>
          <w:szCs w:val="21"/>
          <w:highlight w:val="none"/>
        </w:rPr>
        <w:t xml:space="preserve">      日    期：</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p>
    <w:p w14:paraId="7533C9CB">
      <w:pPr>
        <w:rPr>
          <w:rFonts w:ascii="黑体" w:hAnsi="黑体" w:eastAsia="黑体" w:cs="Times New Roman"/>
          <w:b/>
          <w:color w:val="auto"/>
          <w:kern w:val="0"/>
          <w:sz w:val="32"/>
          <w:szCs w:val="32"/>
          <w:highlight w:val="none"/>
        </w:rPr>
      </w:pPr>
    </w:p>
    <w:p w14:paraId="5ED15EE4">
      <w:pPr>
        <w:rPr>
          <w:rFonts w:ascii="黑体" w:hAnsi="黑体" w:eastAsia="黑体" w:cs="Times New Roman"/>
          <w:b/>
          <w:color w:val="auto"/>
          <w:kern w:val="0"/>
          <w:sz w:val="32"/>
          <w:szCs w:val="32"/>
          <w:highlight w:val="none"/>
        </w:rPr>
      </w:pPr>
      <w:r>
        <w:rPr>
          <w:rFonts w:hint="eastAsia" w:ascii="黑体" w:hAnsi="黑体" w:eastAsia="黑体" w:cs="Times New Roman"/>
          <w:b/>
          <w:color w:val="auto"/>
          <w:kern w:val="0"/>
          <w:sz w:val="32"/>
          <w:szCs w:val="32"/>
          <w:highlight w:val="none"/>
        </w:rPr>
        <w:t xml:space="preserve">十三、技术要求响应及偏离表 </w:t>
      </w: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3E40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21322B45">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序号</w:t>
            </w:r>
          </w:p>
        </w:tc>
        <w:tc>
          <w:tcPr>
            <w:tcW w:w="3291" w:type="dxa"/>
            <w:vAlign w:val="center"/>
          </w:tcPr>
          <w:p w14:paraId="1CB2B2C3">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招标文件要求</w:t>
            </w:r>
          </w:p>
        </w:tc>
        <w:tc>
          <w:tcPr>
            <w:tcW w:w="2852" w:type="dxa"/>
            <w:vAlign w:val="center"/>
          </w:tcPr>
          <w:p w14:paraId="0E809B44">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投标响应情况</w:t>
            </w:r>
          </w:p>
        </w:tc>
        <w:tc>
          <w:tcPr>
            <w:tcW w:w="1308" w:type="dxa"/>
            <w:vAlign w:val="center"/>
          </w:tcPr>
          <w:p w14:paraId="76D12A8F">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超出、符合或偏离</w:t>
            </w:r>
          </w:p>
        </w:tc>
        <w:tc>
          <w:tcPr>
            <w:tcW w:w="1173" w:type="dxa"/>
            <w:vAlign w:val="center"/>
          </w:tcPr>
          <w:p w14:paraId="515AAC41">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证明</w:t>
            </w:r>
          </w:p>
          <w:p w14:paraId="1E8F20A4">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材料</w:t>
            </w:r>
          </w:p>
        </w:tc>
      </w:tr>
      <w:tr w14:paraId="72154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D7C43B6">
            <w:pPr>
              <w:jc w:val="center"/>
              <w:rPr>
                <w:rFonts w:ascii="宋体" w:hAnsi="宋体" w:eastAsia="宋体" w:cs="Times New Roman"/>
                <w:color w:val="auto"/>
                <w:kern w:val="0"/>
                <w:sz w:val="24"/>
                <w:highlight w:val="none"/>
              </w:rPr>
            </w:pPr>
          </w:p>
        </w:tc>
        <w:tc>
          <w:tcPr>
            <w:tcW w:w="3291" w:type="dxa"/>
          </w:tcPr>
          <w:p w14:paraId="733E60A0">
            <w:pPr>
              <w:jc w:val="center"/>
              <w:rPr>
                <w:rFonts w:ascii="宋体" w:hAnsi="宋体" w:eastAsia="宋体" w:cs="Times New Roman"/>
                <w:color w:val="auto"/>
                <w:kern w:val="0"/>
                <w:sz w:val="24"/>
                <w:highlight w:val="none"/>
              </w:rPr>
            </w:pPr>
          </w:p>
        </w:tc>
        <w:tc>
          <w:tcPr>
            <w:tcW w:w="2852" w:type="dxa"/>
          </w:tcPr>
          <w:p w14:paraId="3B0DCD37">
            <w:pPr>
              <w:jc w:val="center"/>
              <w:rPr>
                <w:rFonts w:ascii="宋体" w:hAnsi="宋体" w:eastAsia="宋体" w:cs="Times New Roman"/>
                <w:color w:val="auto"/>
                <w:kern w:val="0"/>
                <w:sz w:val="24"/>
                <w:highlight w:val="none"/>
              </w:rPr>
            </w:pPr>
          </w:p>
        </w:tc>
        <w:tc>
          <w:tcPr>
            <w:tcW w:w="1308" w:type="dxa"/>
          </w:tcPr>
          <w:p w14:paraId="1B8690D2">
            <w:pPr>
              <w:jc w:val="center"/>
              <w:rPr>
                <w:rFonts w:ascii="宋体" w:hAnsi="宋体" w:eastAsia="宋体" w:cs="Times New Roman"/>
                <w:color w:val="auto"/>
                <w:kern w:val="0"/>
                <w:sz w:val="24"/>
                <w:highlight w:val="none"/>
              </w:rPr>
            </w:pPr>
          </w:p>
        </w:tc>
        <w:tc>
          <w:tcPr>
            <w:tcW w:w="1173" w:type="dxa"/>
          </w:tcPr>
          <w:p w14:paraId="146E99F7">
            <w:pPr>
              <w:jc w:val="center"/>
              <w:rPr>
                <w:rFonts w:ascii="宋体" w:hAnsi="宋体" w:eastAsia="宋体" w:cs="Times New Roman"/>
                <w:color w:val="auto"/>
                <w:kern w:val="0"/>
                <w:sz w:val="24"/>
                <w:highlight w:val="none"/>
              </w:rPr>
            </w:pPr>
          </w:p>
        </w:tc>
      </w:tr>
      <w:tr w14:paraId="6B6EBC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6081FB4">
            <w:pPr>
              <w:jc w:val="center"/>
              <w:rPr>
                <w:rFonts w:ascii="宋体" w:hAnsi="宋体" w:eastAsia="宋体" w:cs="Times New Roman"/>
                <w:color w:val="auto"/>
                <w:kern w:val="0"/>
                <w:sz w:val="24"/>
                <w:highlight w:val="none"/>
              </w:rPr>
            </w:pPr>
          </w:p>
        </w:tc>
        <w:tc>
          <w:tcPr>
            <w:tcW w:w="3291" w:type="dxa"/>
          </w:tcPr>
          <w:p w14:paraId="70B50824">
            <w:pPr>
              <w:jc w:val="center"/>
              <w:rPr>
                <w:rFonts w:ascii="宋体" w:hAnsi="宋体" w:eastAsia="宋体" w:cs="Times New Roman"/>
                <w:color w:val="auto"/>
                <w:kern w:val="0"/>
                <w:sz w:val="24"/>
                <w:highlight w:val="none"/>
              </w:rPr>
            </w:pPr>
          </w:p>
        </w:tc>
        <w:tc>
          <w:tcPr>
            <w:tcW w:w="2852" w:type="dxa"/>
          </w:tcPr>
          <w:p w14:paraId="6C063F6B">
            <w:pPr>
              <w:jc w:val="center"/>
              <w:rPr>
                <w:rFonts w:ascii="宋体" w:hAnsi="宋体" w:eastAsia="宋体" w:cs="Times New Roman"/>
                <w:color w:val="auto"/>
                <w:kern w:val="0"/>
                <w:sz w:val="24"/>
                <w:highlight w:val="none"/>
              </w:rPr>
            </w:pPr>
          </w:p>
        </w:tc>
        <w:tc>
          <w:tcPr>
            <w:tcW w:w="1308" w:type="dxa"/>
          </w:tcPr>
          <w:p w14:paraId="46BBCCE7">
            <w:pPr>
              <w:jc w:val="center"/>
              <w:rPr>
                <w:rFonts w:ascii="宋体" w:hAnsi="宋体" w:eastAsia="宋体" w:cs="Times New Roman"/>
                <w:color w:val="auto"/>
                <w:kern w:val="0"/>
                <w:sz w:val="24"/>
                <w:highlight w:val="none"/>
              </w:rPr>
            </w:pPr>
          </w:p>
        </w:tc>
        <w:tc>
          <w:tcPr>
            <w:tcW w:w="1173" w:type="dxa"/>
          </w:tcPr>
          <w:p w14:paraId="2DB09C73">
            <w:pPr>
              <w:jc w:val="center"/>
              <w:rPr>
                <w:rFonts w:ascii="宋体" w:hAnsi="宋体" w:eastAsia="宋体" w:cs="Times New Roman"/>
                <w:color w:val="auto"/>
                <w:kern w:val="0"/>
                <w:sz w:val="24"/>
                <w:highlight w:val="none"/>
              </w:rPr>
            </w:pPr>
          </w:p>
        </w:tc>
      </w:tr>
      <w:tr w14:paraId="13C0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1234C584">
            <w:pPr>
              <w:jc w:val="center"/>
              <w:rPr>
                <w:rFonts w:ascii="宋体" w:hAnsi="宋体" w:eastAsia="宋体" w:cs="Times New Roman"/>
                <w:color w:val="auto"/>
                <w:kern w:val="0"/>
                <w:sz w:val="24"/>
                <w:highlight w:val="none"/>
              </w:rPr>
            </w:pPr>
          </w:p>
        </w:tc>
        <w:tc>
          <w:tcPr>
            <w:tcW w:w="3291" w:type="dxa"/>
          </w:tcPr>
          <w:p w14:paraId="0D8A05FD">
            <w:pPr>
              <w:jc w:val="center"/>
              <w:rPr>
                <w:rFonts w:ascii="宋体" w:hAnsi="宋体" w:eastAsia="宋体" w:cs="Times New Roman"/>
                <w:color w:val="auto"/>
                <w:kern w:val="0"/>
                <w:sz w:val="24"/>
                <w:highlight w:val="none"/>
              </w:rPr>
            </w:pPr>
          </w:p>
        </w:tc>
        <w:tc>
          <w:tcPr>
            <w:tcW w:w="2852" w:type="dxa"/>
          </w:tcPr>
          <w:p w14:paraId="031474C2">
            <w:pPr>
              <w:jc w:val="center"/>
              <w:rPr>
                <w:rFonts w:ascii="宋体" w:hAnsi="宋体" w:eastAsia="宋体" w:cs="Times New Roman"/>
                <w:color w:val="auto"/>
                <w:kern w:val="0"/>
                <w:sz w:val="24"/>
                <w:highlight w:val="none"/>
              </w:rPr>
            </w:pPr>
          </w:p>
        </w:tc>
        <w:tc>
          <w:tcPr>
            <w:tcW w:w="1308" w:type="dxa"/>
          </w:tcPr>
          <w:p w14:paraId="42CFF2A5">
            <w:pPr>
              <w:jc w:val="center"/>
              <w:rPr>
                <w:rFonts w:ascii="宋体" w:hAnsi="宋体" w:eastAsia="宋体" w:cs="Times New Roman"/>
                <w:color w:val="auto"/>
                <w:kern w:val="0"/>
                <w:sz w:val="24"/>
                <w:highlight w:val="none"/>
              </w:rPr>
            </w:pPr>
          </w:p>
        </w:tc>
        <w:tc>
          <w:tcPr>
            <w:tcW w:w="1173" w:type="dxa"/>
          </w:tcPr>
          <w:p w14:paraId="3E9C7850">
            <w:pPr>
              <w:jc w:val="center"/>
              <w:rPr>
                <w:rFonts w:ascii="宋体" w:hAnsi="宋体" w:eastAsia="宋体" w:cs="Times New Roman"/>
                <w:color w:val="auto"/>
                <w:kern w:val="0"/>
                <w:sz w:val="24"/>
                <w:highlight w:val="none"/>
              </w:rPr>
            </w:pPr>
          </w:p>
        </w:tc>
      </w:tr>
      <w:tr w14:paraId="66015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9263D2F">
            <w:pPr>
              <w:jc w:val="center"/>
              <w:rPr>
                <w:rFonts w:ascii="宋体" w:hAnsi="宋体" w:eastAsia="宋体" w:cs="Times New Roman"/>
                <w:color w:val="auto"/>
                <w:kern w:val="0"/>
                <w:sz w:val="24"/>
                <w:highlight w:val="none"/>
              </w:rPr>
            </w:pPr>
          </w:p>
        </w:tc>
        <w:tc>
          <w:tcPr>
            <w:tcW w:w="3291" w:type="dxa"/>
          </w:tcPr>
          <w:p w14:paraId="2B060E24">
            <w:pPr>
              <w:jc w:val="center"/>
              <w:rPr>
                <w:rFonts w:ascii="宋体" w:hAnsi="宋体" w:eastAsia="宋体" w:cs="Times New Roman"/>
                <w:color w:val="auto"/>
                <w:kern w:val="0"/>
                <w:sz w:val="24"/>
                <w:highlight w:val="none"/>
              </w:rPr>
            </w:pPr>
          </w:p>
        </w:tc>
        <w:tc>
          <w:tcPr>
            <w:tcW w:w="2852" w:type="dxa"/>
          </w:tcPr>
          <w:p w14:paraId="22593B4B">
            <w:pPr>
              <w:jc w:val="center"/>
              <w:rPr>
                <w:rFonts w:ascii="宋体" w:hAnsi="宋体" w:eastAsia="宋体" w:cs="Times New Roman"/>
                <w:color w:val="auto"/>
                <w:kern w:val="0"/>
                <w:sz w:val="24"/>
                <w:highlight w:val="none"/>
              </w:rPr>
            </w:pPr>
          </w:p>
        </w:tc>
        <w:tc>
          <w:tcPr>
            <w:tcW w:w="1308" w:type="dxa"/>
          </w:tcPr>
          <w:p w14:paraId="54447945">
            <w:pPr>
              <w:jc w:val="center"/>
              <w:rPr>
                <w:rFonts w:ascii="宋体" w:hAnsi="宋体" w:eastAsia="宋体" w:cs="Times New Roman"/>
                <w:color w:val="auto"/>
                <w:kern w:val="0"/>
                <w:sz w:val="24"/>
                <w:highlight w:val="none"/>
              </w:rPr>
            </w:pPr>
          </w:p>
        </w:tc>
        <w:tc>
          <w:tcPr>
            <w:tcW w:w="1173" w:type="dxa"/>
          </w:tcPr>
          <w:p w14:paraId="61ED41C7">
            <w:pPr>
              <w:jc w:val="center"/>
              <w:rPr>
                <w:rFonts w:ascii="宋体" w:hAnsi="宋体" w:eastAsia="宋体" w:cs="Times New Roman"/>
                <w:color w:val="auto"/>
                <w:kern w:val="0"/>
                <w:sz w:val="24"/>
                <w:highlight w:val="none"/>
              </w:rPr>
            </w:pPr>
          </w:p>
        </w:tc>
      </w:tr>
      <w:tr w14:paraId="2E249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C6D775B">
            <w:pPr>
              <w:jc w:val="center"/>
              <w:rPr>
                <w:rFonts w:ascii="宋体" w:hAnsi="宋体" w:eastAsia="宋体" w:cs="Times New Roman"/>
                <w:color w:val="auto"/>
                <w:kern w:val="0"/>
                <w:sz w:val="24"/>
                <w:highlight w:val="none"/>
              </w:rPr>
            </w:pPr>
          </w:p>
        </w:tc>
        <w:tc>
          <w:tcPr>
            <w:tcW w:w="3291" w:type="dxa"/>
          </w:tcPr>
          <w:p w14:paraId="6E88C48F">
            <w:pPr>
              <w:jc w:val="center"/>
              <w:rPr>
                <w:rFonts w:ascii="宋体" w:hAnsi="宋体" w:eastAsia="宋体" w:cs="Times New Roman"/>
                <w:color w:val="auto"/>
                <w:kern w:val="0"/>
                <w:sz w:val="24"/>
                <w:highlight w:val="none"/>
              </w:rPr>
            </w:pPr>
          </w:p>
        </w:tc>
        <w:tc>
          <w:tcPr>
            <w:tcW w:w="2852" w:type="dxa"/>
          </w:tcPr>
          <w:p w14:paraId="0FE98E60">
            <w:pPr>
              <w:jc w:val="center"/>
              <w:rPr>
                <w:rFonts w:ascii="宋体" w:hAnsi="宋体" w:eastAsia="宋体" w:cs="Times New Roman"/>
                <w:color w:val="auto"/>
                <w:kern w:val="0"/>
                <w:sz w:val="24"/>
                <w:highlight w:val="none"/>
              </w:rPr>
            </w:pPr>
          </w:p>
        </w:tc>
        <w:tc>
          <w:tcPr>
            <w:tcW w:w="1308" w:type="dxa"/>
          </w:tcPr>
          <w:p w14:paraId="0E07A60F">
            <w:pPr>
              <w:jc w:val="center"/>
              <w:rPr>
                <w:rFonts w:ascii="宋体" w:hAnsi="宋体" w:eastAsia="宋体" w:cs="Times New Roman"/>
                <w:color w:val="auto"/>
                <w:kern w:val="0"/>
                <w:sz w:val="24"/>
                <w:highlight w:val="none"/>
              </w:rPr>
            </w:pPr>
          </w:p>
        </w:tc>
        <w:tc>
          <w:tcPr>
            <w:tcW w:w="1173" w:type="dxa"/>
          </w:tcPr>
          <w:p w14:paraId="567A553B">
            <w:pPr>
              <w:jc w:val="center"/>
              <w:rPr>
                <w:rFonts w:ascii="宋体" w:hAnsi="宋体" w:eastAsia="宋体" w:cs="Times New Roman"/>
                <w:color w:val="auto"/>
                <w:kern w:val="0"/>
                <w:sz w:val="24"/>
                <w:highlight w:val="none"/>
              </w:rPr>
            </w:pPr>
          </w:p>
        </w:tc>
      </w:tr>
      <w:tr w14:paraId="0D18B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C1D9853">
            <w:pPr>
              <w:jc w:val="center"/>
              <w:rPr>
                <w:rFonts w:ascii="宋体" w:hAnsi="宋体" w:eastAsia="宋体" w:cs="Times New Roman"/>
                <w:color w:val="auto"/>
                <w:kern w:val="0"/>
                <w:sz w:val="24"/>
                <w:highlight w:val="none"/>
              </w:rPr>
            </w:pPr>
          </w:p>
        </w:tc>
        <w:tc>
          <w:tcPr>
            <w:tcW w:w="3291" w:type="dxa"/>
          </w:tcPr>
          <w:p w14:paraId="26698F2E">
            <w:pPr>
              <w:jc w:val="center"/>
              <w:rPr>
                <w:rFonts w:ascii="宋体" w:hAnsi="宋体" w:eastAsia="宋体" w:cs="Times New Roman"/>
                <w:color w:val="auto"/>
                <w:kern w:val="0"/>
                <w:sz w:val="24"/>
                <w:highlight w:val="none"/>
              </w:rPr>
            </w:pPr>
          </w:p>
        </w:tc>
        <w:tc>
          <w:tcPr>
            <w:tcW w:w="2852" w:type="dxa"/>
          </w:tcPr>
          <w:p w14:paraId="3AA6A82F">
            <w:pPr>
              <w:jc w:val="center"/>
              <w:rPr>
                <w:rFonts w:ascii="宋体" w:hAnsi="宋体" w:eastAsia="宋体" w:cs="Times New Roman"/>
                <w:color w:val="auto"/>
                <w:kern w:val="0"/>
                <w:sz w:val="24"/>
                <w:highlight w:val="none"/>
              </w:rPr>
            </w:pPr>
          </w:p>
        </w:tc>
        <w:tc>
          <w:tcPr>
            <w:tcW w:w="1308" w:type="dxa"/>
          </w:tcPr>
          <w:p w14:paraId="268EF010">
            <w:pPr>
              <w:jc w:val="center"/>
              <w:rPr>
                <w:rFonts w:ascii="宋体" w:hAnsi="宋体" w:eastAsia="宋体" w:cs="Times New Roman"/>
                <w:color w:val="auto"/>
                <w:kern w:val="0"/>
                <w:sz w:val="24"/>
                <w:highlight w:val="none"/>
              </w:rPr>
            </w:pPr>
          </w:p>
        </w:tc>
        <w:tc>
          <w:tcPr>
            <w:tcW w:w="1173" w:type="dxa"/>
          </w:tcPr>
          <w:p w14:paraId="549C593F">
            <w:pPr>
              <w:jc w:val="center"/>
              <w:rPr>
                <w:rFonts w:ascii="宋体" w:hAnsi="宋体" w:eastAsia="宋体" w:cs="Times New Roman"/>
                <w:color w:val="auto"/>
                <w:kern w:val="0"/>
                <w:sz w:val="24"/>
                <w:highlight w:val="none"/>
              </w:rPr>
            </w:pPr>
          </w:p>
        </w:tc>
      </w:tr>
      <w:tr w14:paraId="786AE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0771D4B1">
            <w:pPr>
              <w:jc w:val="center"/>
              <w:rPr>
                <w:rFonts w:ascii="宋体" w:hAnsi="宋体" w:eastAsia="宋体" w:cs="Times New Roman"/>
                <w:color w:val="auto"/>
                <w:kern w:val="0"/>
                <w:sz w:val="24"/>
                <w:highlight w:val="none"/>
              </w:rPr>
            </w:pPr>
          </w:p>
        </w:tc>
        <w:tc>
          <w:tcPr>
            <w:tcW w:w="3291" w:type="dxa"/>
          </w:tcPr>
          <w:p w14:paraId="34F9353C">
            <w:pPr>
              <w:jc w:val="center"/>
              <w:rPr>
                <w:rFonts w:ascii="宋体" w:hAnsi="宋体" w:eastAsia="宋体" w:cs="Times New Roman"/>
                <w:color w:val="auto"/>
                <w:kern w:val="0"/>
                <w:sz w:val="24"/>
                <w:highlight w:val="none"/>
              </w:rPr>
            </w:pPr>
          </w:p>
        </w:tc>
        <w:tc>
          <w:tcPr>
            <w:tcW w:w="2852" w:type="dxa"/>
          </w:tcPr>
          <w:p w14:paraId="577C1BB5">
            <w:pPr>
              <w:jc w:val="center"/>
              <w:rPr>
                <w:rFonts w:ascii="宋体" w:hAnsi="宋体" w:eastAsia="宋体" w:cs="Times New Roman"/>
                <w:color w:val="auto"/>
                <w:kern w:val="0"/>
                <w:sz w:val="24"/>
                <w:highlight w:val="none"/>
              </w:rPr>
            </w:pPr>
          </w:p>
        </w:tc>
        <w:tc>
          <w:tcPr>
            <w:tcW w:w="1308" w:type="dxa"/>
          </w:tcPr>
          <w:p w14:paraId="4F3FD195">
            <w:pPr>
              <w:jc w:val="center"/>
              <w:rPr>
                <w:rFonts w:ascii="宋体" w:hAnsi="宋体" w:eastAsia="宋体" w:cs="Times New Roman"/>
                <w:color w:val="auto"/>
                <w:kern w:val="0"/>
                <w:sz w:val="24"/>
                <w:highlight w:val="none"/>
              </w:rPr>
            </w:pPr>
          </w:p>
        </w:tc>
        <w:tc>
          <w:tcPr>
            <w:tcW w:w="1173" w:type="dxa"/>
          </w:tcPr>
          <w:p w14:paraId="5E58315F">
            <w:pPr>
              <w:jc w:val="center"/>
              <w:rPr>
                <w:rFonts w:ascii="宋体" w:hAnsi="宋体" w:eastAsia="宋体" w:cs="Times New Roman"/>
                <w:color w:val="auto"/>
                <w:kern w:val="0"/>
                <w:sz w:val="24"/>
                <w:highlight w:val="none"/>
              </w:rPr>
            </w:pPr>
          </w:p>
        </w:tc>
      </w:tr>
      <w:tr w14:paraId="26CE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8307EE7">
            <w:pPr>
              <w:jc w:val="center"/>
              <w:rPr>
                <w:rFonts w:ascii="宋体" w:hAnsi="宋体" w:eastAsia="宋体" w:cs="Times New Roman"/>
                <w:color w:val="auto"/>
                <w:kern w:val="0"/>
                <w:sz w:val="24"/>
                <w:highlight w:val="none"/>
              </w:rPr>
            </w:pPr>
          </w:p>
        </w:tc>
        <w:tc>
          <w:tcPr>
            <w:tcW w:w="3291" w:type="dxa"/>
          </w:tcPr>
          <w:p w14:paraId="37812F12">
            <w:pPr>
              <w:jc w:val="center"/>
              <w:rPr>
                <w:rFonts w:ascii="宋体" w:hAnsi="宋体" w:eastAsia="宋体" w:cs="Times New Roman"/>
                <w:color w:val="auto"/>
                <w:kern w:val="0"/>
                <w:sz w:val="24"/>
                <w:highlight w:val="none"/>
              </w:rPr>
            </w:pPr>
            <w:r>
              <w:rPr>
                <w:rFonts w:ascii="宋体" w:hAnsi="宋体" w:eastAsia="宋体" w:cs="Times New Roman"/>
                <w:color w:val="auto"/>
                <w:kern w:val="0"/>
                <w:sz w:val="24"/>
                <w:highlight w:val="none"/>
              </w:rPr>
              <w:t>……</w:t>
            </w:r>
          </w:p>
        </w:tc>
        <w:tc>
          <w:tcPr>
            <w:tcW w:w="2852" w:type="dxa"/>
          </w:tcPr>
          <w:p w14:paraId="71F7A67E">
            <w:pPr>
              <w:jc w:val="center"/>
              <w:rPr>
                <w:rFonts w:ascii="宋体" w:hAnsi="宋体" w:eastAsia="宋体" w:cs="Times New Roman"/>
                <w:color w:val="auto"/>
                <w:kern w:val="0"/>
                <w:sz w:val="24"/>
                <w:highlight w:val="none"/>
              </w:rPr>
            </w:pPr>
          </w:p>
        </w:tc>
        <w:tc>
          <w:tcPr>
            <w:tcW w:w="1308" w:type="dxa"/>
          </w:tcPr>
          <w:p w14:paraId="44BB31A0">
            <w:pPr>
              <w:jc w:val="center"/>
              <w:rPr>
                <w:rFonts w:ascii="宋体" w:hAnsi="宋体" w:eastAsia="宋体" w:cs="Times New Roman"/>
                <w:color w:val="auto"/>
                <w:kern w:val="0"/>
                <w:sz w:val="24"/>
                <w:highlight w:val="none"/>
              </w:rPr>
            </w:pPr>
          </w:p>
        </w:tc>
        <w:tc>
          <w:tcPr>
            <w:tcW w:w="1173" w:type="dxa"/>
          </w:tcPr>
          <w:p w14:paraId="5C6B98B8">
            <w:pPr>
              <w:jc w:val="center"/>
              <w:rPr>
                <w:rFonts w:ascii="宋体" w:hAnsi="宋体" w:eastAsia="宋体" w:cs="Times New Roman"/>
                <w:color w:val="auto"/>
                <w:kern w:val="0"/>
                <w:sz w:val="24"/>
                <w:highlight w:val="none"/>
              </w:rPr>
            </w:pPr>
          </w:p>
        </w:tc>
      </w:tr>
    </w:tbl>
    <w:p w14:paraId="6533C9D5">
      <w:pP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注： 行数不够，可自行添加。</w:t>
      </w:r>
    </w:p>
    <w:p w14:paraId="0ED2E220">
      <w:pPr>
        <w:jc w:val="center"/>
        <w:rPr>
          <w:rFonts w:ascii="黑体" w:hAnsi="Arial" w:eastAsia="黑体" w:cs="Times New Roman"/>
          <w:b/>
          <w:color w:val="auto"/>
          <w:kern w:val="0"/>
          <w:sz w:val="36"/>
          <w:szCs w:val="21"/>
          <w:highlight w:val="none"/>
        </w:rPr>
      </w:pPr>
    </w:p>
    <w:p w14:paraId="4B398EC3">
      <w:pPr>
        <w:jc w:val="center"/>
        <w:rPr>
          <w:rFonts w:ascii="黑体" w:hAnsi="Arial" w:eastAsia="黑体" w:cs="Times New Roman"/>
          <w:b/>
          <w:color w:val="auto"/>
          <w:kern w:val="0"/>
          <w:sz w:val="36"/>
          <w:szCs w:val="21"/>
          <w:highlight w:val="none"/>
        </w:rPr>
      </w:pPr>
    </w:p>
    <w:p w14:paraId="7A269DF6">
      <w:pPr>
        <w:jc w:val="center"/>
        <w:rPr>
          <w:rFonts w:ascii="黑体" w:hAnsi="Arial" w:eastAsia="黑体" w:cs="Times New Roman"/>
          <w:b/>
          <w:color w:val="auto"/>
          <w:kern w:val="0"/>
          <w:sz w:val="36"/>
          <w:szCs w:val="21"/>
          <w:highlight w:val="none"/>
        </w:rPr>
      </w:pPr>
    </w:p>
    <w:p w14:paraId="3686DF61">
      <w:pPr>
        <w:jc w:val="center"/>
        <w:rPr>
          <w:rFonts w:ascii="黑体" w:hAnsi="Arial" w:eastAsia="黑体" w:cs="Times New Roman"/>
          <w:b/>
          <w:color w:val="auto"/>
          <w:kern w:val="0"/>
          <w:sz w:val="36"/>
          <w:szCs w:val="21"/>
          <w:highlight w:val="none"/>
        </w:rPr>
      </w:pPr>
    </w:p>
    <w:p w14:paraId="6F344D33">
      <w:pPr>
        <w:rPr>
          <w:rFonts w:ascii="黑体" w:hAnsi="Arial" w:eastAsia="黑体" w:cs="Times New Roman"/>
          <w:color w:val="auto"/>
          <w:kern w:val="0"/>
          <w:sz w:val="32"/>
          <w:szCs w:val="21"/>
          <w:highlight w:val="none"/>
        </w:rPr>
      </w:pPr>
    </w:p>
    <w:p w14:paraId="448289E0">
      <w:pPr>
        <w:rPr>
          <w:rFonts w:ascii="黑体" w:hAnsi="Arial" w:eastAsia="黑体" w:cs="Times New Roman"/>
          <w:color w:val="auto"/>
          <w:kern w:val="0"/>
          <w:sz w:val="32"/>
          <w:szCs w:val="21"/>
          <w:highlight w:val="none"/>
        </w:rPr>
      </w:pPr>
    </w:p>
    <w:p w14:paraId="5EF02306">
      <w:pPr>
        <w:rPr>
          <w:rFonts w:ascii="黑体" w:hAnsi="Arial" w:eastAsia="黑体" w:cs="Times New Roman"/>
          <w:color w:val="auto"/>
          <w:kern w:val="0"/>
          <w:sz w:val="32"/>
          <w:szCs w:val="21"/>
          <w:highlight w:val="none"/>
        </w:rPr>
      </w:pPr>
    </w:p>
    <w:p w14:paraId="3D7C966A">
      <w:pPr>
        <w:rPr>
          <w:rFonts w:ascii="黑体" w:hAnsi="Arial" w:eastAsia="黑体" w:cs="Times New Roman"/>
          <w:color w:val="auto"/>
          <w:kern w:val="0"/>
          <w:sz w:val="32"/>
          <w:szCs w:val="21"/>
          <w:highlight w:val="none"/>
        </w:rPr>
      </w:pPr>
    </w:p>
    <w:p w14:paraId="6FA3364C">
      <w:pPr>
        <w:rPr>
          <w:rFonts w:ascii="黑体" w:hAnsi="Arial" w:eastAsia="黑体" w:cs="Times New Roman"/>
          <w:color w:val="auto"/>
          <w:kern w:val="0"/>
          <w:sz w:val="32"/>
          <w:szCs w:val="21"/>
          <w:highlight w:val="none"/>
        </w:rPr>
      </w:pPr>
    </w:p>
    <w:p w14:paraId="636700FC">
      <w:pPr>
        <w:rPr>
          <w:rFonts w:ascii="黑体" w:hAnsi="Arial" w:eastAsia="黑体" w:cs="Times New Roman"/>
          <w:color w:val="auto"/>
          <w:kern w:val="0"/>
          <w:sz w:val="32"/>
          <w:szCs w:val="21"/>
          <w:highlight w:val="none"/>
        </w:rPr>
      </w:pPr>
    </w:p>
    <w:p w14:paraId="019DBBA9">
      <w:pPr>
        <w:ind w:left="256" w:right="6" w:firstLine="624"/>
        <w:rPr>
          <w:rFonts w:ascii="黑体" w:hAnsi="Arial" w:eastAsia="黑体" w:cs="Times New Roman"/>
          <w:color w:val="auto"/>
          <w:sz w:val="32"/>
          <w:szCs w:val="21"/>
          <w:highlight w:val="none"/>
        </w:rPr>
      </w:pPr>
    </w:p>
    <w:p w14:paraId="1B34FC64">
      <w:pPr>
        <w:ind w:left="256" w:right="6" w:firstLine="624"/>
        <w:rPr>
          <w:rFonts w:ascii="黑体" w:hAnsi="Arial" w:eastAsia="黑体" w:cs="Times New Roman"/>
          <w:color w:val="auto"/>
          <w:sz w:val="32"/>
          <w:szCs w:val="21"/>
          <w:highlight w:val="none"/>
        </w:rPr>
      </w:pPr>
    </w:p>
    <w:p w14:paraId="5AC3526F">
      <w:pPr>
        <w:ind w:left="256" w:right="6" w:firstLine="624"/>
        <w:rPr>
          <w:rFonts w:ascii="黑体" w:hAnsi="Arial" w:eastAsia="黑体" w:cs="Times New Roman"/>
          <w:color w:val="auto"/>
          <w:sz w:val="32"/>
          <w:szCs w:val="21"/>
          <w:highlight w:val="none"/>
        </w:rPr>
      </w:pPr>
    </w:p>
    <w:p w14:paraId="123E43F5">
      <w:pPr>
        <w:ind w:left="256" w:right="6" w:firstLine="624"/>
        <w:rPr>
          <w:rFonts w:ascii="黑体" w:hAnsi="Arial" w:eastAsia="黑体" w:cs="Times New Roman"/>
          <w:color w:val="auto"/>
          <w:sz w:val="32"/>
          <w:szCs w:val="21"/>
          <w:highlight w:val="none"/>
        </w:rPr>
      </w:pPr>
    </w:p>
    <w:p w14:paraId="79C1BEB4">
      <w:pPr>
        <w:ind w:left="256" w:right="6" w:firstLine="624"/>
        <w:rPr>
          <w:rFonts w:ascii="黑体" w:hAnsi="Arial" w:eastAsia="黑体" w:cs="Times New Roman"/>
          <w:color w:val="auto"/>
          <w:sz w:val="32"/>
          <w:szCs w:val="21"/>
          <w:highlight w:val="none"/>
        </w:rPr>
      </w:pPr>
    </w:p>
    <w:p w14:paraId="18BE0225">
      <w:pPr>
        <w:rPr>
          <w:rFonts w:ascii="黑体" w:hAnsi="Arial" w:eastAsia="黑体" w:cs="Times New Roman"/>
          <w:color w:val="auto"/>
          <w:kern w:val="0"/>
          <w:sz w:val="32"/>
          <w:szCs w:val="21"/>
          <w:highlight w:val="none"/>
        </w:rPr>
      </w:pPr>
    </w:p>
    <w:bookmarkEnd w:id="146"/>
    <w:p w14:paraId="4C64F791">
      <w:pPr>
        <w:jc w:val="center"/>
        <w:rPr>
          <w:rFonts w:ascii="黑体" w:hAnsi="黑体" w:eastAsia="黑体" w:cs="Times New Roman"/>
          <w:b/>
          <w:color w:val="auto"/>
          <w:kern w:val="0"/>
          <w:sz w:val="32"/>
          <w:szCs w:val="32"/>
          <w:highlight w:val="none"/>
        </w:rPr>
      </w:pPr>
      <w:bookmarkStart w:id="150" w:name="_Hlt26955054"/>
      <w:bookmarkEnd w:id="150"/>
      <w:r>
        <w:rPr>
          <w:rFonts w:hint="eastAsia" w:ascii="黑体" w:hAnsi="黑体" w:eastAsia="黑体" w:cs="Times New Roman"/>
          <w:b/>
          <w:color w:val="auto"/>
          <w:kern w:val="0"/>
          <w:sz w:val="32"/>
          <w:szCs w:val="32"/>
          <w:highlight w:val="none"/>
        </w:rPr>
        <w:t>十四、商务要求响应及偏离表</w:t>
      </w: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186EF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587A635F">
            <w:pPr>
              <w:jc w:val="center"/>
              <w:rPr>
                <w:rFonts w:ascii="宋体" w:hAnsi="宋体" w:eastAsia="宋体" w:cs="Times New Roman"/>
                <w:color w:val="auto"/>
                <w:kern w:val="0"/>
                <w:sz w:val="24"/>
                <w:highlight w:val="none"/>
              </w:rPr>
            </w:pPr>
            <w:bookmarkStart w:id="151" w:name="_Hlt26580838"/>
            <w:bookmarkEnd w:id="151"/>
            <w:bookmarkStart w:id="152" w:name="_Hlt26609391"/>
            <w:bookmarkEnd w:id="152"/>
            <w:bookmarkStart w:id="153" w:name="_Hlt24879081"/>
            <w:bookmarkEnd w:id="153"/>
            <w:bookmarkStart w:id="154" w:name="_Hlt26782999"/>
            <w:bookmarkEnd w:id="154"/>
            <w:bookmarkStart w:id="155" w:name="_Hlt26671343"/>
            <w:bookmarkEnd w:id="155"/>
            <w:bookmarkStart w:id="156" w:name="_Hlt26671372"/>
            <w:bookmarkEnd w:id="156"/>
            <w:bookmarkStart w:id="157" w:name="_Hlt26955056"/>
            <w:bookmarkEnd w:id="157"/>
            <w:bookmarkStart w:id="158" w:name="_Hlt26955064"/>
            <w:bookmarkEnd w:id="158"/>
            <w:r>
              <w:rPr>
                <w:rFonts w:hint="eastAsia" w:ascii="宋体" w:hAnsi="宋体" w:eastAsia="宋体" w:cs="Times New Roman"/>
                <w:color w:val="auto"/>
                <w:kern w:val="0"/>
                <w:sz w:val="24"/>
                <w:highlight w:val="none"/>
              </w:rPr>
              <w:t>序号</w:t>
            </w:r>
          </w:p>
        </w:tc>
        <w:tc>
          <w:tcPr>
            <w:tcW w:w="2688" w:type="dxa"/>
            <w:vAlign w:val="center"/>
          </w:tcPr>
          <w:p w14:paraId="6A430A5A">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招标文件要求</w:t>
            </w:r>
          </w:p>
        </w:tc>
        <w:tc>
          <w:tcPr>
            <w:tcW w:w="2883" w:type="dxa"/>
            <w:vAlign w:val="center"/>
          </w:tcPr>
          <w:p w14:paraId="28F10C8B">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投标响应情况</w:t>
            </w:r>
          </w:p>
        </w:tc>
        <w:tc>
          <w:tcPr>
            <w:tcW w:w="1302" w:type="dxa"/>
            <w:vAlign w:val="center"/>
          </w:tcPr>
          <w:p w14:paraId="427AEEE9">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超出、符合或偏离</w:t>
            </w:r>
          </w:p>
        </w:tc>
        <w:tc>
          <w:tcPr>
            <w:tcW w:w="1614" w:type="dxa"/>
            <w:vAlign w:val="center"/>
          </w:tcPr>
          <w:p w14:paraId="012C4640">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证明</w:t>
            </w:r>
          </w:p>
          <w:p w14:paraId="1A8FC46B">
            <w:pPr>
              <w:jc w:val="cente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材料</w:t>
            </w:r>
          </w:p>
        </w:tc>
      </w:tr>
      <w:tr w14:paraId="71406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3BC7B5B">
            <w:pPr>
              <w:jc w:val="center"/>
              <w:rPr>
                <w:rFonts w:ascii="宋体" w:hAnsi="宋体" w:eastAsia="宋体" w:cs="Times New Roman"/>
                <w:color w:val="auto"/>
                <w:kern w:val="0"/>
                <w:sz w:val="24"/>
                <w:highlight w:val="none"/>
              </w:rPr>
            </w:pPr>
          </w:p>
        </w:tc>
        <w:tc>
          <w:tcPr>
            <w:tcW w:w="2688" w:type="dxa"/>
          </w:tcPr>
          <w:p w14:paraId="20D54304">
            <w:pPr>
              <w:jc w:val="center"/>
              <w:rPr>
                <w:rFonts w:ascii="宋体" w:hAnsi="宋体" w:eastAsia="宋体" w:cs="Times New Roman"/>
                <w:color w:val="auto"/>
                <w:kern w:val="0"/>
                <w:sz w:val="24"/>
                <w:highlight w:val="none"/>
              </w:rPr>
            </w:pPr>
          </w:p>
        </w:tc>
        <w:tc>
          <w:tcPr>
            <w:tcW w:w="2883" w:type="dxa"/>
          </w:tcPr>
          <w:p w14:paraId="3078B05E">
            <w:pPr>
              <w:jc w:val="center"/>
              <w:rPr>
                <w:rFonts w:ascii="宋体" w:hAnsi="宋体" w:eastAsia="宋体" w:cs="Times New Roman"/>
                <w:color w:val="auto"/>
                <w:kern w:val="0"/>
                <w:sz w:val="24"/>
                <w:highlight w:val="none"/>
              </w:rPr>
            </w:pPr>
          </w:p>
        </w:tc>
        <w:tc>
          <w:tcPr>
            <w:tcW w:w="1302" w:type="dxa"/>
          </w:tcPr>
          <w:p w14:paraId="2112DDAB">
            <w:pPr>
              <w:jc w:val="center"/>
              <w:rPr>
                <w:rFonts w:ascii="宋体" w:hAnsi="宋体" w:eastAsia="宋体" w:cs="Times New Roman"/>
                <w:color w:val="auto"/>
                <w:kern w:val="0"/>
                <w:sz w:val="24"/>
                <w:highlight w:val="none"/>
              </w:rPr>
            </w:pPr>
          </w:p>
        </w:tc>
        <w:tc>
          <w:tcPr>
            <w:tcW w:w="1614" w:type="dxa"/>
          </w:tcPr>
          <w:p w14:paraId="6BCEA297">
            <w:pPr>
              <w:jc w:val="center"/>
              <w:rPr>
                <w:rFonts w:ascii="宋体" w:hAnsi="宋体" w:eastAsia="宋体" w:cs="Times New Roman"/>
                <w:color w:val="auto"/>
                <w:kern w:val="0"/>
                <w:sz w:val="24"/>
                <w:highlight w:val="none"/>
              </w:rPr>
            </w:pPr>
          </w:p>
        </w:tc>
      </w:tr>
      <w:tr w14:paraId="4E0C83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DD28D68">
            <w:pPr>
              <w:jc w:val="center"/>
              <w:rPr>
                <w:rFonts w:ascii="宋体" w:hAnsi="宋体" w:eastAsia="宋体" w:cs="Times New Roman"/>
                <w:color w:val="auto"/>
                <w:kern w:val="0"/>
                <w:sz w:val="24"/>
                <w:highlight w:val="none"/>
              </w:rPr>
            </w:pPr>
          </w:p>
        </w:tc>
        <w:tc>
          <w:tcPr>
            <w:tcW w:w="2688" w:type="dxa"/>
          </w:tcPr>
          <w:p w14:paraId="2187A2A1">
            <w:pPr>
              <w:jc w:val="center"/>
              <w:rPr>
                <w:rFonts w:ascii="宋体" w:hAnsi="宋体" w:eastAsia="宋体" w:cs="Times New Roman"/>
                <w:color w:val="auto"/>
                <w:kern w:val="0"/>
                <w:sz w:val="24"/>
                <w:highlight w:val="none"/>
              </w:rPr>
            </w:pPr>
          </w:p>
        </w:tc>
        <w:tc>
          <w:tcPr>
            <w:tcW w:w="2883" w:type="dxa"/>
          </w:tcPr>
          <w:p w14:paraId="6B76B7C7">
            <w:pPr>
              <w:jc w:val="center"/>
              <w:rPr>
                <w:rFonts w:ascii="宋体" w:hAnsi="宋体" w:eastAsia="宋体" w:cs="Times New Roman"/>
                <w:color w:val="auto"/>
                <w:kern w:val="0"/>
                <w:sz w:val="24"/>
                <w:highlight w:val="none"/>
              </w:rPr>
            </w:pPr>
          </w:p>
        </w:tc>
        <w:tc>
          <w:tcPr>
            <w:tcW w:w="1302" w:type="dxa"/>
          </w:tcPr>
          <w:p w14:paraId="44753D76">
            <w:pPr>
              <w:jc w:val="center"/>
              <w:rPr>
                <w:rFonts w:ascii="宋体" w:hAnsi="宋体" w:eastAsia="宋体" w:cs="Times New Roman"/>
                <w:color w:val="auto"/>
                <w:kern w:val="0"/>
                <w:sz w:val="24"/>
                <w:highlight w:val="none"/>
              </w:rPr>
            </w:pPr>
          </w:p>
        </w:tc>
        <w:tc>
          <w:tcPr>
            <w:tcW w:w="1614" w:type="dxa"/>
          </w:tcPr>
          <w:p w14:paraId="60C3AE8F">
            <w:pPr>
              <w:jc w:val="center"/>
              <w:rPr>
                <w:rFonts w:ascii="宋体" w:hAnsi="宋体" w:eastAsia="宋体" w:cs="Times New Roman"/>
                <w:color w:val="auto"/>
                <w:kern w:val="0"/>
                <w:sz w:val="24"/>
                <w:highlight w:val="none"/>
              </w:rPr>
            </w:pPr>
          </w:p>
        </w:tc>
      </w:tr>
      <w:tr w14:paraId="34C23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12B5594">
            <w:pPr>
              <w:jc w:val="center"/>
              <w:rPr>
                <w:rFonts w:ascii="宋体" w:hAnsi="宋体" w:eastAsia="宋体" w:cs="Times New Roman"/>
                <w:color w:val="auto"/>
                <w:kern w:val="0"/>
                <w:sz w:val="24"/>
                <w:highlight w:val="none"/>
              </w:rPr>
            </w:pPr>
          </w:p>
        </w:tc>
        <w:tc>
          <w:tcPr>
            <w:tcW w:w="2688" w:type="dxa"/>
          </w:tcPr>
          <w:p w14:paraId="067EF39F">
            <w:pPr>
              <w:jc w:val="center"/>
              <w:rPr>
                <w:rFonts w:ascii="宋体" w:hAnsi="宋体" w:eastAsia="宋体" w:cs="Times New Roman"/>
                <w:color w:val="auto"/>
                <w:kern w:val="0"/>
                <w:sz w:val="24"/>
                <w:highlight w:val="none"/>
              </w:rPr>
            </w:pPr>
          </w:p>
        </w:tc>
        <w:tc>
          <w:tcPr>
            <w:tcW w:w="2883" w:type="dxa"/>
          </w:tcPr>
          <w:p w14:paraId="4F54E0F8">
            <w:pPr>
              <w:jc w:val="center"/>
              <w:rPr>
                <w:rFonts w:ascii="宋体" w:hAnsi="宋体" w:eastAsia="宋体" w:cs="Times New Roman"/>
                <w:color w:val="auto"/>
                <w:kern w:val="0"/>
                <w:sz w:val="24"/>
                <w:highlight w:val="none"/>
              </w:rPr>
            </w:pPr>
          </w:p>
        </w:tc>
        <w:tc>
          <w:tcPr>
            <w:tcW w:w="1302" w:type="dxa"/>
          </w:tcPr>
          <w:p w14:paraId="06476B81">
            <w:pPr>
              <w:jc w:val="center"/>
              <w:rPr>
                <w:rFonts w:ascii="宋体" w:hAnsi="宋体" w:eastAsia="宋体" w:cs="Times New Roman"/>
                <w:color w:val="auto"/>
                <w:kern w:val="0"/>
                <w:sz w:val="24"/>
                <w:highlight w:val="none"/>
              </w:rPr>
            </w:pPr>
          </w:p>
        </w:tc>
        <w:tc>
          <w:tcPr>
            <w:tcW w:w="1614" w:type="dxa"/>
          </w:tcPr>
          <w:p w14:paraId="7CF3EC6E">
            <w:pPr>
              <w:jc w:val="center"/>
              <w:rPr>
                <w:rFonts w:ascii="宋体" w:hAnsi="宋体" w:eastAsia="宋体" w:cs="Times New Roman"/>
                <w:color w:val="auto"/>
                <w:kern w:val="0"/>
                <w:sz w:val="24"/>
                <w:highlight w:val="none"/>
              </w:rPr>
            </w:pPr>
          </w:p>
        </w:tc>
      </w:tr>
      <w:tr w14:paraId="6812D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1ABD8BE6">
            <w:pPr>
              <w:jc w:val="center"/>
              <w:rPr>
                <w:rFonts w:ascii="宋体" w:hAnsi="宋体" w:eastAsia="宋体" w:cs="Times New Roman"/>
                <w:color w:val="auto"/>
                <w:kern w:val="0"/>
                <w:sz w:val="24"/>
                <w:highlight w:val="none"/>
              </w:rPr>
            </w:pPr>
          </w:p>
        </w:tc>
        <w:tc>
          <w:tcPr>
            <w:tcW w:w="2688" w:type="dxa"/>
          </w:tcPr>
          <w:p w14:paraId="74ACC5D3">
            <w:pPr>
              <w:jc w:val="center"/>
              <w:rPr>
                <w:rFonts w:ascii="宋体" w:hAnsi="宋体" w:eastAsia="宋体" w:cs="Times New Roman"/>
                <w:color w:val="auto"/>
                <w:kern w:val="0"/>
                <w:sz w:val="24"/>
                <w:highlight w:val="none"/>
              </w:rPr>
            </w:pPr>
          </w:p>
        </w:tc>
        <w:tc>
          <w:tcPr>
            <w:tcW w:w="2883" w:type="dxa"/>
          </w:tcPr>
          <w:p w14:paraId="232E369A">
            <w:pPr>
              <w:jc w:val="center"/>
              <w:rPr>
                <w:rFonts w:ascii="宋体" w:hAnsi="宋体" w:eastAsia="宋体" w:cs="Times New Roman"/>
                <w:color w:val="auto"/>
                <w:kern w:val="0"/>
                <w:sz w:val="24"/>
                <w:highlight w:val="none"/>
              </w:rPr>
            </w:pPr>
          </w:p>
        </w:tc>
        <w:tc>
          <w:tcPr>
            <w:tcW w:w="1302" w:type="dxa"/>
          </w:tcPr>
          <w:p w14:paraId="3EF16AAB">
            <w:pPr>
              <w:jc w:val="center"/>
              <w:rPr>
                <w:rFonts w:ascii="宋体" w:hAnsi="宋体" w:eastAsia="宋体" w:cs="Times New Roman"/>
                <w:color w:val="auto"/>
                <w:kern w:val="0"/>
                <w:sz w:val="24"/>
                <w:highlight w:val="none"/>
              </w:rPr>
            </w:pPr>
          </w:p>
        </w:tc>
        <w:tc>
          <w:tcPr>
            <w:tcW w:w="1614" w:type="dxa"/>
          </w:tcPr>
          <w:p w14:paraId="4E95E8DA">
            <w:pPr>
              <w:jc w:val="center"/>
              <w:rPr>
                <w:rFonts w:ascii="宋体" w:hAnsi="宋体" w:eastAsia="宋体" w:cs="Times New Roman"/>
                <w:color w:val="auto"/>
                <w:kern w:val="0"/>
                <w:sz w:val="24"/>
                <w:highlight w:val="none"/>
              </w:rPr>
            </w:pPr>
          </w:p>
        </w:tc>
      </w:tr>
      <w:tr w14:paraId="3161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370284E7">
            <w:pPr>
              <w:jc w:val="center"/>
              <w:rPr>
                <w:rFonts w:ascii="宋体" w:hAnsi="宋体" w:eastAsia="宋体" w:cs="Times New Roman"/>
                <w:color w:val="auto"/>
                <w:kern w:val="0"/>
                <w:sz w:val="24"/>
                <w:highlight w:val="none"/>
              </w:rPr>
            </w:pPr>
          </w:p>
        </w:tc>
        <w:tc>
          <w:tcPr>
            <w:tcW w:w="2688" w:type="dxa"/>
          </w:tcPr>
          <w:p w14:paraId="76B173B2">
            <w:pPr>
              <w:jc w:val="center"/>
              <w:rPr>
                <w:rFonts w:ascii="宋体" w:hAnsi="宋体" w:eastAsia="宋体" w:cs="Times New Roman"/>
                <w:color w:val="auto"/>
                <w:kern w:val="0"/>
                <w:sz w:val="24"/>
                <w:highlight w:val="none"/>
              </w:rPr>
            </w:pPr>
          </w:p>
        </w:tc>
        <w:tc>
          <w:tcPr>
            <w:tcW w:w="2883" w:type="dxa"/>
          </w:tcPr>
          <w:p w14:paraId="10B07571">
            <w:pPr>
              <w:jc w:val="center"/>
              <w:rPr>
                <w:rFonts w:ascii="宋体" w:hAnsi="宋体" w:eastAsia="宋体" w:cs="Times New Roman"/>
                <w:color w:val="auto"/>
                <w:kern w:val="0"/>
                <w:sz w:val="24"/>
                <w:highlight w:val="none"/>
              </w:rPr>
            </w:pPr>
          </w:p>
        </w:tc>
        <w:tc>
          <w:tcPr>
            <w:tcW w:w="1302" w:type="dxa"/>
          </w:tcPr>
          <w:p w14:paraId="5C963A9A">
            <w:pPr>
              <w:jc w:val="center"/>
              <w:rPr>
                <w:rFonts w:ascii="宋体" w:hAnsi="宋体" w:eastAsia="宋体" w:cs="Times New Roman"/>
                <w:color w:val="auto"/>
                <w:kern w:val="0"/>
                <w:sz w:val="24"/>
                <w:highlight w:val="none"/>
              </w:rPr>
            </w:pPr>
          </w:p>
        </w:tc>
        <w:tc>
          <w:tcPr>
            <w:tcW w:w="1614" w:type="dxa"/>
          </w:tcPr>
          <w:p w14:paraId="0A531BE3">
            <w:pPr>
              <w:jc w:val="center"/>
              <w:rPr>
                <w:rFonts w:ascii="宋体" w:hAnsi="宋体" w:eastAsia="宋体" w:cs="Times New Roman"/>
                <w:color w:val="auto"/>
                <w:kern w:val="0"/>
                <w:sz w:val="24"/>
                <w:highlight w:val="none"/>
              </w:rPr>
            </w:pPr>
          </w:p>
        </w:tc>
      </w:tr>
      <w:tr w14:paraId="35B1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4F2E3B1">
            <w:pPr>
              <w:jc w:val="center"/>
              <w:rPr>
                <w:rFonts w:ascii="宋体" w:hAnsi="宋体" w:eastAsia="宋体" w:cs="Times New Roman"/>
                <w:color w:val="auto"/>
                <w:kern w:val="0"/>
                <w:sz w:val="24"/>
                <w:highlight w:val="none"/>
              </w:rPr>
            </w:pPr>
          </w:p>
        </w:tc>
        <w:tc>
          <w:tcPr>
            <w:tcW w:w="2688" w:type="dxa"/>
          </w:tcPr>
          <w:p w14:paraId="7515BE8F">
            <w:pPr>
              <w:jc w:val="center"/>
              <w:rPr>
                <w:rFonts w:ascii="宋体" w:hAnsi="宋体" w:eastAsia="宋体" w:cs="Times New Roman"/>
                <w:color w:val="auto"/>
                <w:kern w:val="0"/>
                <w:sz w:val="24"/>
                <w:highlight w:val="none"/>
              </w:rPr>
            </w:pPr>
          </w:p>
        </w:tc>
        <w:tc>
          <w:tcPr>
            <w:tcW w:w="2883" w:type="dxa"/>
          </w:tcPr>
          <w:p w14:paraId="5E3C7C2B">
            <w:pPr>
              <w:jc w:val="center"/>
              <w:rPr>
                <w:rFonts w:ascii="宋体" w:hAnsi="宋体" w:eastAsia="宋体" w:cs="Times New Roman"/>
                <w:color w:val="auto"/>
                <w:kern w:val="0"/>
                <w:sz w:val="24"/>
                <w:highlight w:val="none"/>
              </w:rPr>
            </w:pPr>
          </w:p>
        </w:tc>
        <w:tc>
          <w:tcPr>
            <w:tcW w:w="1302" w:type="dxa"/>
          </w:tcPr>
          <w:p w14:paraId="51746027">
            <w:pPr>
              <w:jc w:val="center"/>
              <w:rPr>
                <w:rFonts w:ascii="宋体" w:hAnsi="宋体" w:eastAsia="宋体" w:cs="Times New Roman"/>
                <w:color w:val="auto"/>
                <w:kern w:val="0"/>
                <w:sz w:val="24"/>
                <w:highlight w:val="none"/>
              </w:rPr>
            </w:pPr>
          </w:p>
        </w:tc>
        <w:tc>
          <w:tcPr>
            <w:tcW w:w="1614" w:type="dxa"/>
          </w:tcPr>
          <w:p w14:paraId="78998C89">
            <w:pPr>
              <w:jc w:val="center"/>
              <w:rPr>
                <w:rFonts w:ascii="宋体" w:hAnsi="宋体" w:eastAsia="宋体" w:cs="Times New Roman"/>
                <w:color w:val="auto"/>
                <w:kern w:val="0"/>
                <w:sz w:val="24"/>
                <w:highlight w:val="none"/>
              </w:rPr>
            </w:pPr>
          </w:p>
        </w:tc>
      </w:tr>
      <w:tr w14:paraId="5685B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6E9D7880">
            <w:pPr>
              <w:jc w:val="center"/>
              <w:rPr>
                <w:rFonts w:ascii="宋体" w:hAnsi="宋体" w:eastAsia="宋体" w:cs="Times New Roman"/>
                <w:color w:val="auto"/>
                <w:kern w:val="0"/>
                <w:sz w:val="24"/>
                <w:highlight w:val="none"/>
              </w:rPr>
            </w:pPr>
          </w:p>
        </w:tc>
        <w:tc>
          <w:tcPr>
            <w:tcW w:w="2688" w:type="dxa"/>
          </w:tcPr>
          <w:p w14:paraId="2A24A6B6">
            <w:pPr>
              <w:jc w:val="center"/>
              <w:rPr>
                <w:rFonts w:ascii="宋体" w:hAnsi="宋体" w:eastAsia="宋体" w:cs="Times New Roman"/>
                <w:color w:val="auto"/>
                <w:kern w:val="0"/>
                <w:sz w:val="24"/>
                <w:highlight w:val="none"/>
              </w:rPr>
            </w:pPr>
          </w:p>
        </w:tc>
        <w:tc>
          <w:tcPr>
            <w:tcW w:w="2883" w:type="dxa"/>
          </w:tcPr>
          <w:p w14:paraId="5B1C5049">
            <w:pPr>
              <w:jc w:val="center"/>
              <w:rPr>
                <w:rFonts w:ascii="宋体" w:hAnsi="宋体" w:eastAsia="宋体" w:cs="Times New Roman"/>
                <w:color w:val="auto"/>
                <w:kern w:val="0"/>
                <w:sz w:val="24"/>
                <w:highlight w:val="none"/>
              </w:rPr>
            </w:pPr>
          </w:p>
        </w:tc>
        <w:tc>
          <w:tcPr>
            <w:tcW w:w="1302" w:type="dxa"/>
          </w:tcPr>
          <w:p w14:paraId="6840D4E3">
            <w:pPr>
              <w:jc w:val="center"/>
              <w:rPr>
                <w:rFonts w:ascii="宋体" w:hAnsi="宋体" w:eastAsia="宋体" w:cs="Times New Roman"/>
                <w:color w:val="auto"/>
                <w:kern w:val="0"/>
                <w:sz w:val="24"/>
                <w:highlight w:val="none"/>
              </w:rPr>
            </w:pPr>
          </w:p>
        </w:tc>
        <w:tc>
          <w:tcPr>
            <w:tcW w:w="1614" w:type="dxa"/>
          </w:tcPr>
          <w:p w14:paraId="1A33F68A">
            <w:pPr>
              <w:jc w:val="center"/>
              <w:rPr>
                <w:rFonts w:ascii="宋体" w:hAnsi="宋体" w:eastAsia="宋体" w:cs="Times New Roman"/>
                <w:color w:val="auto"/>
                <w:kern w:val="0"/>
                <w:sz w:val="24"/>
                <w:highlight w:val="none"/>
              </w:rPr>
            </w:pPr>
          </w:p>
        </w:tc>
      </w:tr>
      <w:tr w14:paraId="529031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631A8098">
            <w:pPr>
              <w:jc w:val="center"/>
              <w:rPr>
                <w:rFonts w:ascii="宋体" w:hAnsi="宋体" w:eastAsia="宋体" w:cs="Times New Roman"/>
                <w:color w:val="auto"/>
                <w:kern w:val="0"/>
                <w:sz w:val="24"/>
                <w:highlight w:val="none"/>
              </w:rPr>
            </w:pPr>
          </w:p>
        </w:tc>
        <w:tc>
          <w:tcPr>
            <w:tcW w:w="2688" w:type="dxa"/>
          </w:tcPr>
          <w:p w14:paraId="0AC42DE0">
            <w:pPr>
              <w:jc w:val="center"/>
              <w:rPr>
                <w:rFonts w:ascii="宋体" w:hAnsi="宋体" w:eastAsia="宋体" w:cs="Times New Roman"/>
                <w:color w:val="auto"/>
                <w:kern w:val="0"/>
                <w:sz w:val="24"/>
                <w:highlight w:val="none"/>
              </w:rPr>
            </w:pPr>
          </w:p>
        </w:tc>
        <w:tc>
          <w:tcPr>
            <w:tcW w:w="2883" w:type="dxa"/>
          </w:tcPr>
          <w:p w14:paraId="23209802">
            <w:pPr>
              <w:jc w:val="center"/>
              <w:rPr>
                <w:rFonts w:ascii="宋体" w:hAnsi="宋体" w:eastAsia="宋体" w:cs="Times New Roman"/>
                <w:color w:val="auto"/>
                <w:kern w:val="0"/>
                <w:sz w:val="24"/>
                <w:highlight w:val="none"/>
              </w:rPr>
            </w:pPr>
          </w:p>
        </w:tc>
        <w:tc>
          <w:tcPr>
            <w:tcW w:w="1302" w:type="dxa"/>
          </w:tcPr>
          <w:p w14:paraId="34744FF5">
            <w:pPr>
              <w:jc w:val="center"/>
              <w:rPr>
                <w:rFonts w:ascii="宋体" w:hAnsi="宋体" w:eastAsia="宋体" w:cs="Times New Roman"/>
                <w:color w:val="auto"/>
                <w:kern w:val="0"/>
                <w:sz w:val="24"/>
                <w:highlight w:val="none"/>
              </w:rPr>
            </w:pPr>
          </w:p>
        </w:tc>
        <w:tc>
          <w:tcPr>
            <w:tcW w:w="1614" w:type="dxa"/>
          </w:tcPr>
          <w:p w14:paraId="6D2C2B90">
            <w:pPr>
              <w:jc w:val="center"/>
              <w:rPr>
                <w:rFonts w:ascii="宋体" w:hAnsi="宋体" w:eastAsia="宋体" w:cs="Times New Roman"/>
                <w:color w:val="auto"/>
                <w:kern w:val="0"/>
                <w:sz w:val="24"/>
                <w:highlight w:val="none"/>
              </w:rPr>
            </w:pPr>
          </w:p>
        </w:tc>
      </w:tr>
    </w:tbl>
    <w:p w14:paraId="00B6450C">
      <w:pP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注： 行数不够，可自行添加。</w:t>
      </w:r>
    </w:p>
    <w:p w14:paraId="6B838CDD">
      <w:pPr>
        <w:spacing w:line="480" w:lineRule="auto"/>
        <w:rPr>
          <w:rFonts w:ascii="宋体" w:hAnsi="宋体" w:eastAsia="宋体" w:cs="Times New Roman"/>
          <w:color w:val="auto"/>
          <w:kern w:val="0"/>
          <w:sz w:val="24"/>
          <w:szCs w:val="21"/>
          <w:highlight w:val="none"/>
        </w:rPr>
      </w:pPr>
    </w:p>
    <w:p w14:paraId="30BFDA45">
      <w:pPr>
        <w:spacing w:line="480" w:lineRule="auto"/>
        <w:rPr>
          <w:rFonts w:ascii="仿宋_GB2312" w:hAnsi="Arial" w:eastAsia="宋体" w:cs="Times New Roman"/>
          <w:color w:val="auto"/>
          <w:kern w:val="0"/>
          <w:sz w:val="30"/>
          <w:szCs w:val="21"/>
          <w:highlight w:val="none"/>
        </w:rPr>
      </w:pPr>
    </w:p>
    <w:p w14:paraId="4B25624E">
      <w:pPr>
        <w:rPr>
          <w:rFonts w:ascii="宋体" w:hAnsi="宋体" w:eastAsia="宋体" w:cs="Times New Roman"/>
          <w:color w:val="auto"/>
          <w:sz w:val="24"/>
          <w:szCs w:val="21"/>
          <w:highlight w:val="none"/>
        </w:rPr>
      </w:pPr>
      <w:bookmarkStart w:id="159" w:name="_Hlt26671374"/>
      <w:bookmarkEnd w:id="159"/>
      <w:bookmarkStart w:id="160" w:name="_Hlt26609389"/>
      <w:bookmarkEnd w:id="160"/>
      <w:bookmarkStart w:id="161" w:name="_Hlt26955066"/>
      <w:bookmarkEnd w:id="161"/>
      <w:bookmarkStart w:id="162" w:name="_Toc462564146"/>
    </w:p>
    <w:bookmarkEnd w:id="162"/>
    <w:p w14:paraId="743930FC">
      <w:pPr>
        <w:jc w:val="center"/>
        <w:rPr>
          <w:rFonts w:ascii="黑体" w:hAnsi="黑体" w:eastAsia="黑体" w:cs="Times New Roman"/>
          <w:b/>
          <w:color w:val="auto"/>
          <w:kern w:val="0"/>
          <w:sz w:val="32"/>
          <w:szCs w:val="32"/>
          <w:highlight w:val="none"/>
        </w:rPr>
      </w:pPr>
      <w:bookmarkStart w:id="163" w:name="_格式2__法定代表人授权书"/>
      <w:bookmarkEnd w:id="163"/>
    </w:p>
    <w:p w14:paraId="51192DE7">
      <w:pPr>
        <w:jc w:val="center"/>
        <w:rPr>
          <w:rFonts w:ascii="黑体" w:hAnsi="黑体" w:eastAsia="黑体" w:cs="Times New Roman"/>
          <w:b/>
          <w:color w:val="auto"/>
          <w:kern w:val="0"/>
          <w:sz w:val="32"/>
          <w:szCs w:val="32"/>
          <w:highlight w:val="none"/>
        </w:rPr>
      </w:pPr>
    </w:p>
    <w:p w14:paraId="4E02E895">
      <w:pPr>
        <w:rPr>
          <w:rFonts w:ascii="楷体_GB2312" w:hAnsi="Arial" w:eastAsia="楷体_GB2312" w:cs="Times New Roman"/>
          <w:color w:val="auto"/>
          <w:sz w:val="28"/>
          <w:szCs w:val="28"/>
          <w:highlight w:val="none"/>
        </w:rPr>
      </w:pPr>
    </w:p>
    <w:p w14:paraId="60A18B05">
      <w:pPr>
        <w:rPr>
          <w:rFonts w:ascii="黑体" w:hAnsi="黑体" w:eastAsia="黑体" w:cs="Times New Roman"/>
          <w:b/>
          <w:color w:val="auto"/>
          <w:kern w:val="0"/>
          <w:sz w:val="32"/>
          <w:szCs w:val="32"/>
          <w:highlight w:val="none"/>
        </w:rPr>
      </w:pPr>
    </w:p>
    <w:p w14:paraId="305F386D">
      <w:pPr>
        <w:rPr>
          <w:rFonts w:ascii="黑体" w:hAnsi="黑体" w:eastAsia="黑体" w:cs="Times New Roman"/>
          <w:b/>
          <w:color w:val="auto"/>
          <w:sz w:val="32"/>
          <w:szCs w:val="32"/>
          <w:highlight w:val="none"/>
        </w:rPr>
      </w:pPr>
    </w:p>
    <w:p w14:paraId="50047FDE">
      <w:pPr>
        <w:rPr>
          <w:rFonts w:ascii="黑体" w:hAnsi="黑体" w:eastAsia="黑体" w:cs="Times New Roman"/>
          <w:b/>
          <w:color w:val="auto"/>
          <w:sz w:val="32"/>
          <w:szCs w:val="32"/>
          <w:highlight w:val="none"/>
        </w:rPr>
      </w:pPr>
    </w:p>
    <w:p w14:paraId="57AA526C">
      <w:pPr>
        <w:rPr>
          <w:rFonts w:ascii="黑体" w:hAnsi="黑体" w:eastAsia="黑体" w:cs="Times New Roman"/>
          <w:b/>
          <w:color w:val="auto"/>
          <w:sz w:val="32"/>
          <w:szCs w:val="32"/>
          <w:highlight w:val="none"/>
        </w:rPr>
      </w:pPr>
    </w:p>
    <w:p w14:paraId="3C28CCDB">
      <w:pPr>
        <w:rPr>
          <w:rFonts w:ascii="黑体" w:hAnsi="黑体" w:eastAsia="黑体" w:cs="Times New Roman"/>
          <w:b/>
          <w:color w:val="auto"/>
          <w:sz w:val="32"/>
          <w:szCs w:val="32"/>
          <w:highlight w:val="none"/>
        </w:rPr>
      </w:pPr>
    </w:p>
    <w:p w14:paraId="0447BC50">
      <w:pPr>
        <w:rPr>
          <w:rFonts w:ascii="黑体" w:hAnsi="黑体" w:eastAsia="黑体" w:cs="Times New Roman"/>
          <w:b/>
          <w:color w:val="auto"/>
          <w:sz w:val="32"/>
          <w:szCs w:val="32"/>
          <w:highlight w:val="none"/>
        </w:rPr>
      </w:pPr>
    </w:p>
    <w:p w14:paraId="4F0FF8DE">
      <w:pPr>
        <w:rPr>
          <w:rFonts w:ascii="黑体" w:hAnsi="黑体" w:eastAsia="黑体" w:cs="Times New Roman"/>
          <w:b/>
          <w:color w:val="auto"/>
          <w:sz w:val="32"/>
          <w:szCs w:val="32"/>
          <w:highlight w:val="none"/>
        </w:rPr>
      </w:pPr>
    </w:p>
    <w:p w14:paraId="32CB3225">
      <w:pPr>
        <w:rPr>
          <w:rFonts w:ascii="黑体" w:hAnsi="黑体" w:eastAsia="黑体" w:cs="Times New Roman"/>
          <w:b/>
          <w:color w:val="auto"/>
          <w:sz w:val="32"/>
          <w:szCs w:val="32"/>
          <w:highlight w:val="none"/>
        </w:rPr>
      </w:pPr>
    </w:p>
    <w:p w14:paraId="384F7295">
      <w:pPr>
        <w:rPr>
          <w:rFonts w:ascii="黑体" w:hAnsi="黑体" w:eastAsia="黑体" w:cs="Times New Roman"/>
          <w:b/>
          <w:color w:val="auto"/>
          <w:sz w:val="32"/>
          <w:szCs w:val="32"/>
          <w:highlight w:val="none"/>
        </w:rPr>
      </w:pPr>
    </w:p>
    <w:p w14:paraId="5AEBA05C">
      <w:pPr>
        <w:rPr>
          <w:rFonts w:ascii="黑体" w:hAnsi="黑体" w:eastAsia="黑体" w:cs="Times New Roman"/>
          <w:b/>
          <w:color w:val="auto"/>
          <w:sz w:val="32"/>
          <w:szCs w:val="32"/>
          <w:highlight w:val="none"/>
        </w:rPr>
      </w:pPr>
    </w:p>
    <w:p w14:paraId="1C73C849">
      <w:pPr>
        <w:rPr>
          <w:rFonts w:ascii="黑体" w:hAnsi="黑体" w:eastAsia="黑体" w:cs="Times New Roman"/>
          <w:b/>
          <w:color w:val="auto"/>
          <w:kern w:val="0"/>
          <w:sz w:val="32"/>
          <w:szCs w:val="32"/>
          <w:highlight w:val="none"/>
        </w:rPr>
      </w:pPr>
    </w:p>
    <w:p w14:paraId="20D74A59">
      <w:pPr>
        <w:rPr>
          <w:rFonts w:ascii="Times New Roman" w:hAnsi="Times New Roman" w:eastAsia="仿宋_GB2312" w:cs="Times New Roman"/>
          <w:color w:val="auto"/>
          <w:kern w:val="0"/>
          <w:sz w:val="24"/>
          <w:szCs w:val="20"/>
          <w:highlight w:val="none"/>
        </w:rPr>
      </w:pPr>
      <w:r>
        <w:rPr>
          <w:rFonts w:hint="eastAsia" w:ascii="黑体" w:hAnsi="黑体" w:eastAsia="黑体" w:cs="Times New Roman"/>
          <w:b/>
          <w:color w:val="auto"/>
          <w:kern w:val="0"/>
          <w:sz w:val="32"/>
          <w:szCs w:val="32"/>
          <w:highlight w:val="none"/>
        </w:rPr>
        <w:t>十五、开标一览表</w:t>
      </w:r>
    </w:p>
    <w:p w14:paraId="7E4C0A26">
      <w:pPr>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投标人全称（加盖CA电子签章）：</w:t>
      </w:r>
    </w:p>
    <w:p w14:paraId="462E617E">
      <w:pPr>
        <w:ind w:firstLine="480"/>
        <w:rPr>
          <w:rFonts w:ascii="Times New Roman" w:hAnsi="Times New Roman" w:eastAsia="宋体" w:cs="Times New Roman"/>
          <w:color w:val="auto"/>
          <w:kern w:val="0"/>
          <w:sz w:val="24"/>
          <w:highlight w:val="none"/>
        </w:rPr>
      </w:pPr>
      <w:r>
        <w:rPr>
          <w:rFonts w:hint="eastAsia" w:ascii="宋体" w:hAnsi="宋体" w:eastAsia="宋体" w:cs="Times New Roman"/>
          <w:color w:val="auto"/>
          <w:kern w:val="0"/>
          <w:sz w:val="24"/>
          <w:highlight w:val="none"/>
        </w:rPr>
        <w:t>项目名称：</w:t>
      </w:r>
    </w:p>
    <w:p w14:paraId="7C5F0B31">
      <w:pPr>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招标编号：                                   </w:t>
      </w:r>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40"/>
        <w:gridCol w:w="6666"/>
      </w:tblGrid>
      <w:tr w14:paraId="7C4B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gridSpan w:val="2"/>
            <w:vAlign w:val="center"/>
          </w:tcPr>
          <w:p w14:paraId="653D50A2">
            <w:pPr>
              <w:rPr>
                <w:rFonts w:ascii="宋体" w:hAnsi="宋体" w:eastAsia="宋体" w:cs="Times New Roman"/>
                <w:color w:val="auto"/>
                <w:kern w:val="0"/>
                <w:sz w:val="24"/>
                <w:highlight w:val="none"/>
              </w:rPr>
            </w:pPr>
            <w:r>
              <w:rPr>
                <w:rFonts w:hint="eastAsia" w:ascii="宋体" w:hAnsi="宋体" w:eastAsia="宋体" w:cs="宋体"/>
                <w:color w:val="auto"/>
                <w:kern w:val="0"/>
                <w:sz w:val="24"/>
                <w:highlight w:val="none"/>
              </w:rPr>
              <w:t xml:space="preserve">                       </w:t>
            </w:r>
            <w:r>
              <w:rPr>
                <w:rFonts w:hint="eastAsia" w:ascii="黑体" w:hAnsi="黑体" w:eastAsia="黑体" w:cs="Times New Roman"/>
                <w:b/>
                <w:color w:val="auto"/>
                <w:kern w:val="0"/>
                <w:sz w:val="32"/>
                <w:szCs w:val="32"/>
                <w:highlight w:val="none"/>
              </w:rPr>
              <w:t>开标一览表</w:t>
            </w:r>
          </w:p>
        </w:tc>
      </w:tr>
      <w:tr w14:paraId="41409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6D9D30B1">
            <w:pPr>
              <w:spacing w:line="500" w:lineRule="exact"/>
              <w:jc w:val="left"/>
              <w:rPr>
                <w:rFonts w:ascii="宋体" w:hAnsi="宋体" w:eastAsia="宋体" w:cs="Times New Roman"/>
                <w:color w:val="auto"/>
                <w:sz w:val="24"/>
                <w:szCs w:val="21"/>
                <w:highlight w:val="none"/>
              </w:rPr>
            </w:pPr>
            <w:r>
              <w:rPr>
                <w:rFonts w:hint="eastAsia" w:ascii="宋体" w:hAnsi="宋体" w:eastAsia="宋体" w:cs="Times New Roman"/>
                <w:color w:val="auto"/>
                <w:sz w:val="24"/>
                <w:highlight w:val="none"/>
              </w:rPr>
              <w:t xml:space="preserve">投标总报价  </w:t>
            </w:r>
          </w:p>
        </w:tc>
        <w:tc>
          <w:tcPr>
            <w:tcW w:w="6666" w:type="dxa"/>
            <w:vAlign w:val="center"/>
          </w:tcPr>
          <w:p w14:paraId="4261E951">
            <w:pPr>
              <w:spacing w:line="500" w:lineRule="exact"/>
              <w:jc w:val="left"/>
              <w:rPr>
                <w:rFonts w:ascii="宋体" w:hAnsi="宋体" w:eastAsia="宋体" w:cs="Times New Roman"/>
                <w:color w:val="auto"/>
                <w:sz w:val="24"/>
                <w:highlight w:val="none"/>
              </w:rPr>
            </w:pPr>
            <w:r>
              <w:rPr>
                <w:rFonts w:hint="eastAsia" w:ascii="宋体" w:hAnsi="宋体" w:eastAsia="宋体" w:cs="宋体"/>
                <w:color w:val="auto"/>
                <w:sz w:val="24"/>
                <w:highlight w:val="none"/>
              </w:rPr>
              <w:t>人民币大写：                          （小写：    元）</w:t>
            </w:r>
          </w:p>
        </w:tc>
      </w:tr>
      <w:tr w14:paraId="59D4B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66956845">
            <w:pPr>
              <w:widowControl/>
              <w:spacing w:line="440" w:lineRule="exac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项目负责人</w:t>
            </w:r>
          </w:p>
        </w:tc>
        <w:tc>
          <w:tcPr>
            <w:tcW w:w="6666" w:type="dxa"/>
            <w:vAlign w:val="center"/>
          </w:tcPr>
          <w:p w14:paraId="0CCE1A54">
            <w:pPr>
              <w:widowControl/>
              <w:spacing w:line="440" w:lineRule="exact"/>
              <w:rPr>
                <w:rFonts w:ascii="宋体" w:hAnsi="宋体" w:eastAsia="宋体" w:cs="宋体"/>
                <w:color w:val="auto"/>
                <w:kern w:val="0"/>
                <w:szCs w:val="21"/>
                <w:highlight w:val="none"/>
              </w:rPr>
            </w:pPr>
          </w:p>
        </w:tc>
      </w:tr>
      <w:tr w14:paraId="50D91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1540" w:type="dxa"/>
            <w:vAlign w:val="center"/>
          </w:tcPr>
          <w:p w14:paraId="5014BE44">
            <w:pPr>
              <w:widowControl/>
              <w:spacing w:line="440" w:lineRule="exac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服务期</w:t>
            </w:r>
          </w:p>
        </w:tc>
        <w:tc>
          <w:tcPr>
            <w:tcW w:w="6666" w:type="dxa"/>
            <w:vAlign w:val="center"/>
          </w:tcPr>
          <w:p w14:paraId="46D41291">
            <w:pPr>
              <w:widowControl/>
              <w:spacing w:line="440" w:lineRule="exact"/>
              <w:rPr>
                <w:rFonts w:ascii="宋体" w:hAnsi="宋体" w:eastAsia="宋体" w:cs="宋体"/>
                <w:color w:val="auto"/>
                <w:kern w:val="0"/>
                <w:szCs w:val="21"/>
                <w:highlight w:val="none"/>
              </w:rPr>
            </w:pPr>
          </w:p>
        </w:tc>
      </w:tr>
      <w:tr w14:paraId="64DB9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gridSpan w:val="2"/>
            <w:vAlign w:val="center"/>
          </w:tcPr>
          <w:p w14:paraId="32AE540F">
            <w:pPr>
              <w:widowControl/>
              <w:spacing w:line="440" w:lineRule="exact"/>
              <w:jc w:val="center"/>
              <w:rPr>
                <w:rFonts w:ascii="宋体" w:hAnsi="宋体" w:eastAsia="宋体" w:cs="宋体"/>
                <w:color w:val="auto"/>
                <w:kern w:val="0"/>
                <w:szCs w:val="21"/>
                <w:highlight w:val="none"/>
              </w:rPr>
            </w:pPr>
          </w:p>
        </w:tc>
      </w:tr>
    </w:tbl>
    <w:p w14:paraId="57F47424">
      <w:pPr>
        <w:rPr>
          <w:rFonts w:ascii="宋体" w:hAnsi="宋体" w:eastAsia="宋体" w:cs="Times New Roman"/>
          <w:color w:val="auto"/>
          <w:kern w:val="0"/>
          <w:sz w:val="24"/>
          <w:highlight w:val="none"/>
        </w:rPr>
      </w:pPr>
    </w:p>
    <w:p w14:paraId="58186829">
      <w:pPr>
        <w:ind w:firstLine="480"/>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                                              日期：  </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年</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月</w:t>
      </w:r>
      <w:r>
        <w:rPr>
          <w:rFonts w:hint="eastAsia" w:ascii="宋体" w:hAnsi="宋体" w:eastAsia="宋体" w:cs="Times New Roman"/>
          <w:color w:val="auto"/>
          <w:kern w:val="0"/>
          <w:sz w:val="24"/>
          <w:highlight w:val="none"/>
          <w:u w:val="single"/>
        </w:rPr>
        <w:t xml:space="preserve">   </w:t>
      </w:r>
      <w:r>
        <w:rPr>
          <w:rFonts w:hint="eastAsia" w:ascii="宋体" w:hAnsi="宋体" w:eastAsia="宋体" w:cs="Times New Roman"/>
          <w:color w:val="auto"/>
          <w:kern w:val="0"/>
          <w:sz w:val="24"/>
          <w:highlight w:val="none"/>
        </w:rPr>
        <w:t>日</w:t>
      </w:r>
    </w:p>
    <w:p w14:paraId="3B60D9FE">
      <w:pPr>
        <w:ind w:firstLine="480"/>
        <w:rPr>
          <w:rFonts w:ascii="宋体" w:hAnsi="宋体" w:eastAsia="宋体" w:cs="Times New Roman"/>
          <w:color w:val="auto"/>
          <w:kern w:val="0"/>
          <w:sz w:val="24"/>
          <w:highlight w:val="none"/>
        </w:rPr>
      </w:pPr>
    </w:p>
    <w:p w14:paraId="0D97AABC">
      <w:pPr>
        <w:ind w:firstLine="480"/>
        <w:rPr>
          <w:rFonts w:ascii="宋体" w:hAnsi="宋体" w:eastAsia="宋体" w:cs="Times New Roman"/>
          <w:color w:val="auto"/>
          <w:kern w:val="0"/>
          <w:sz w:val="24"/>
          <w:highlight w:val="none"/>
        </w:rPr>
      </w:pPr>
    </w:p>
    <w:p w14:paraId="0E7DB063">
      <w:pPr>
        <w:ind w:firstLine="480"/>
        <w:rPr>
          <w:rFonts w:ascii="宋体" w:hAnsi="宋体" w:eastAsia="宋体" w:cs="Times New Roman"/>
          <w:color w:val="auto"/>
          <w:kern w:val="0"/>
          <w:sz w:val="24"/>
          <w:highlight w:val="none"/>
        </w:rPr>
      </w:pPr>
    </w:p>
    <w:p w14:paraId="06E48163">
      <w:pPr>
        <w:jc w:val="center"/>
        <w:rPr>
          <w:rFonts w:ascii="宋体" w:hAnsi="宋体" w:eastAsia="宋体" w:cs="仿宋"/>
          <w:b/>
          <w:bCs/>
          <w:color w:val="auto"/>
          <w:kern w:val="0"/>
          <w:sz w:val="32"/>
          <w:szCs w:val="32"/>
          <w:highlight w:val="none"/>
        </w:rPr>
      </w:pPr>
      <w:r>
        <w:rPr>
          <w:rFonts w:hint="eastAsia" w:ascii="宋体" w:hAnsi="宋体" w:eastAsia="宋体" w:cs="仿宋"/>
          <w:b/>
          <w:bCs/>
          <w:color w:val="auto"/>
          <w:kern w:val="0"/>
          <w:sz w:val="32"/>
          <w:szCs w:val="32"/>
          <w:highlight w:val="none"/>
        </w:rPr>
        <w:br w:type="page" w:clear="all"/>
      </w:r>
      <w:r>
        <w:rPr>
          <w:rFonts w:hint="eastAsia" w:ascii="宋体" w:hAnsi="宋体" w:eastAsia="宋体" w:cs="仿宋"/>
          <w:b/>
          <w:bCs/>
          <w:color w:val="auto"/>
          <w:kern w:val="0"/>
          <w:sz w:val="32"/>
          <w:szCs w:val="32"/>
          <w:highlight w:val="none"/>
        </w:rPr>
        <w:t>质疑函范本</w:t>
      </w:r>
    </w:p>
    <w:p w14:paraId="07446805">
      <w:pPr>
        <w:spacing w:before="290" w:line="360" w:lineRule="auto"/>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一、质疑供应商基本信息</w:t>
      </w:r>
    </w:p>
    <w:p w14:paraId="66572C01">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质疑供应商：</w:t>
      </w:r>
      <w:r>
        <w:rPr>
          <w:rFonts w:hint="eastAsia" w:ascii="宋体" w:hAnsi="宋体" w:eastAsia="宋体" w:cs="仿宋"/>
          <w:color w:val="auto"/>
          <w:kern w:val="0"/>
          <w:sz w:val="24"/>
          <w:highlight w:val="none"/>
          <w:u w:val="single"/>
        </w:rPr>
        <w:t xml:space="preserve">                                                              </w:t>
      </w:r>
    </w:p>
    <w:p w14:paraId="3940184D">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地址：</w:t>
      </w:r>
      <w:r>
        <w:rPr>
          <w:rFonts w:hint="eastAsia" w:ascii="宋体" w:hAnsi="宋体" w:eastAsia="宋体" w:cs="仿宋"/>
          <w:color w:val="auto"/>
          <w:kern w:val="0"/>
          <w:sz w:val="24"/>
          <w:highlight w:val="none"/>
          <w:u w:val="single"/>
        </w:rPr>
        <w:t xml:space="preserve">                             </w:t>
      </w:r>
      <w:r>
        <w:rPr>
          <w:rFonts w:hint="eastAsia" w:ascii="宋体" w:hAnsi="宋体" w:eastAsia="宋体" w:cs="仿宋"/>
          <w:color w:val="auto"/>
          <w:kern w:val="0"/>
          <w:sz w:val="24"/>
          <w:highlight w:val="none"/>
        </w:rPr>
        <w:t>邮编：</w:t>
      </w:r>
      <w:r>
        <w:rPr>
          <w:rFonts w:hint="eastAsia" w:ascii="宋体" w:hAnsi="宋体" w:eastAsia="宋体" w:cs="仿宋"/>
          <w:color w:val="auto"/>
          <w:kern w:val="0"/>
          <w:sz w:val="24"/>
          <w:highlight w:val="none"/>
          <w:u w:val="single"/>
        </w:rPr>
        <w:t xml:space="preserve">                                    </w:t>
      </w:r>
    </w:p>
    <w:p w14:paraId="6AF11810">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联系人：</w:t>
      </w:r>
      <w:r>
        <w:rPr>
          <w:rFonts w:hint="eastAsia" w:ascii="宋体" w:hAnsi="宋体" w:eastAsia="宋体" w:cs="仿宋"/>
          <w:color w:val="auto"/>
          <w:kern w:val="0"/>
          <w:sz w:val="24"/>
          <w:highlight w:val="none"/>
          <w:u w:val="single"/>
        </w:rPr>
        <w:t xml:space="preserve">                      </w:t>
      </w:r>
      <w:r>
        <w:rPr>
          <w:rFonts w:hint="eastAsia" w:ascii="宋体" w:hAnsi="宋体" w:eastAsia="宋体" w:cs="仿宋"/>
          <w:color w:val="auto"/>
          <w:kern w:val="0"/>
          <w:sz w:val="24"/>
          <w:highlight w:val="none"/>
        </w:rPr>
        <w:t>联系电话：</w:t>
      </w:r>
      <w:r>
        <w:rPr>
          <w:rFonts w:hint="eastAsia" w:ascii="宋体" w:hAnsi="宋体" w:eastAsia="宋体" w:cs="仿宋"/>
          <w:color w:val="auto"/>
          <w:kern w:val="0"/>
          <w:sz w:val="24"/>
          <w:highlight w:val="none"/>
          <w:u w:val="single"/>
        </w:rPr>
        <w:t xml:space="preserve">                                       </w:t>
      </w:r>
    </w:p>
    <w:p w14:paraId="3E3512B3">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授权代表：</w:t>
      </w:r>
      <w:r>
        <w:rPr>
          <w:rFonts w:hint="eastAsia" w:ascii="宋体" w:hAnsi="宋体" w:eastAsia="宋体" w:cs="仿宋"/>
          <w:color w:val="auto"/>
          <w:kern w:val="0"/>
          <w:sz w:val="24"/>
          <w:highlight w:val="none"/>
          <w:u w:val="single"/>
        </w:rPr>
        <w:t xml:space="preserve">                                                                 </w:t>
      </w:r>
    </w:p>
    <w:p w14:paraId="151B44A8">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联系电话：</w:t>
      </w:r>
      <w:r>
        <w:rPr>
          <w:rFonts w:hint="eastAsia" w:ascii="宋体" w:hAnsi="宋体" w:eastAsia="宋体" w:cs="仿宋"/>
          <w:color w:val="auto"/>
          <w:kern w:val="0"/>
          <w:sz w:val="24"/>
          <w:highlight w:val="none"/>
          <w:u w:val="single"/>
        </w:rPr>
        <w:t xml:space="preserve">                                                                </w:t>
      </w:r>
    </w:p>
    <w:p w14:paraId="52259C86">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地址：</w:t>
      </w:r>
      <w:r>
        <w:rPr>
          <w:rFonts w:ascii="宋体" w:hAnsi="宋体" w:eastAsia="宋体" w:cs="仿宋"/>
          <w:color w:val="auto"/>
          <w:kern w:val="0"/>
          <w:sz w:val="24"/>
          <w:highlight w:val="none"/>
        </w:rPr>
        <w:t xml:space="preserve"> </w:t>
      </w:r>
      <w:r>
        <w:rPr>
          <w:rFonts w:hint="eastAsia" w:ascii="宋体" w:hAnsi="宋体" w:eastAsia="宋体" w:cs="仿宋"/>
          <w:color w:val="auto"/>
          <w:kern w:val="0"/>
          <w:sz w:val="24"/>
          <w:highlight w:val="none"/>
          <w:u w:val="single"/>
        </w:rPr>
        <w:t xml:space="preserve">                        </w:t>
      </w:r>
      <w:r>
        <w:rPr>
          <w:rFonts w:hint="eastAsia" w:ascii="宋体" w:hAnsi="宋体" w:eastAsia="宋体" w:cs="仿宋"/>
          <w:color w:val="auto"/>
          <w:kern w:val="0"/>
          <w:sz w:val="24"/>
          <w:highlight w:val="none"/>
        </w:rPr>
        <w:t>邮编：</w:t>
      </w:r>
      <w:r>
        <w:rPr>
          <w:rFonts w:hint="eastAsia" w:ascii="宋体" w:hAnsi="宋体" w:eastAsia="宋体" w:cs="仿宋"/>
          <w:color w:val="auto"/>
          <w:kern w:val="0"/>
          <w:sz w:val="24"/>
          <w:highlight w:val="none"/>
          <w:u w:val="single"/>
        </w:rPr>
        <w:t xml:space="preserve">                                     </w:t>
      </w:r>
    </w:p>
    <w:p w14:paraId="07F2A310">
      <w:pPr>
        <w:spacing w:line="360" w:lineRule="auto"/>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二、质疑项目基本情况</w:t>
      </w:r>
    </w:p>
    <w:p w14:paraId="02666340">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质疑项目的名称：</w:t>
      </w:r>
      <w:r>
        <w:rPr>
          <w:rFonts w:hint="eastAsia" w:ascii="宋体" w:hAnsi="宋体" w:eastAsia="宋体" w:cs="仿宋"/>
          <w:color w:val="auto"/>
          <w:kern w:val="0"/>
          <w:sz w:val="24"/>
          <w:highlight w:val="none"/>
          <w:u w:val="single"/>
        </w:rPr>
        <w:t xml:space="preserve">                                                          </w:t>
      </w:r>
    </w:p>
    <w:p w14:paraId="2CFA37D6">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质疑项目的编号：</w:t>
      </w:r>
      <w:r>
        <w:rPr>
          <w:rFonts w:hint="eastAsia" w:ascii="宋体" w:hAnsi="宋体" w:eastAsia="宋体" w:cs="仿宋"/>
          <w:color w:val="auto"/>
          <w:kern w:val="0"/>
          <w:sz w:val="24"/>
          <w:highlight w:val="none"/>
          <w:u w:val="single"/>
        </w:rPr>
        <w:t xml:space="preserve">                         </w:t>
      </w:r>
      <w:r>
        <w:rPr>
          <w:rFonts w:hint="eastAsia" w:ascii="宋体" w:hAnsi="宋体" w:eastAsia="宋体" w:cs="仿宋"/>
          <w:color w:val="auto"/>
          <w:kern w:val="0"/>
          <w:sz w:val="24"/>
          <w:highlight w:val="none"/>
        </w:rPr>
        <w:t>包号：</w:t>
      </w:r>
      <w:r>
        <w:rPr>
          <w:rFonts w:hint="eastAsia" w:ascii="宋体" w:hAnsi="宋体" w:eastAsia="宋体" w:cs="仿宋"/>
          <w:color w:val="auto"/>
          <w:kern w:val="0"/>
          <w:sz w:val="24"/>
          <w:highlight w:val="none"/>
          <w:u w:val="single"/>
        </w:rPr>
        <w:t xml:space="preserve">                           </w:t>
      </w:r>
    </w:p>
    <w:p w14:paraId="163CDF52">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采购人名称：</w:t>
      </w:r>
      <w:r>
        <w:rPr>
          <w:rFonts w:hint="eastAsia" w:ascii="宋体" w:hAnsi="宋体" w:eastAsia="宋体" w:cs="仿宋"/>
          <w:color w:val="auto"/>
          <w:kern w:val="0"/>
          <w:sz w:val="24"/>
          <w:highlight w:val="none"/>
          <w:u w:val="single"/>
        </w:rPr>
        <w:t xml:space="preserve">                                                              </w:t>
      </w:r>
    </w:p>
    <w:p w14:paraId="384FF759">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采购文件获取日期：</w:t>
      </w:r>
      <w:r>
        <w:rPr>
          <w:rFonts w:hint="eastAsia" w:ascii="宋体" w:hAnsi="宋体" w:eastAsia="宋体" w:cs="仿宋"/>
          <w:color w:val="auto"/>
          <w:kern w:val="0"/>
          <w:sz w:val="24"/>
          <w:highlight w:val="none"/>
          <w:u w:val="single"/>
        </w:rPr>
        <w:t xml:space="preserve">                                                        </w:t>
      </w:r>
    </w:p>
    <w:p w14:paraId="6ED0F1C3">
      <w:pPr>
        <w:spacing w:line="360" w:lineRule="auto"/>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三、质疑事项具体内容</w:t>
      </w:r>
    </w:p>
    <w:p w14:paraId="60D7BD46">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质疑事项1：</w:t>
      </w:r>
      <w:r>
        <w:rPr>
          <w:rFonts w:hint="eastAsia" w:ascii="宋体" w:hAnsi="宋体" w:eastAsia="宋体" w:cs="仿宋"/>
          <w:color w:val="auto"/>
          <w:kern w:val="0"/>
          <w:sz w:val="24"/>
          <w:highlight w:val="none"/>
          <w:u w:val="single"/>
        </w:rPr>
        <w:t xml:space="preserve">                                                              </w:t>
      </w:r>
    </w:p>
    <w:p w14:paraId="4F8514F3">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事实依据：</w:t>
      </w:r>
      <w:r>
        <w:rPr>
          <w:rFonts w:hint="eastAsia" w:ascii="宋体" w:hAnsi="宋体" w:eastAsia="宋体" w:cs="仿宋"/>
          <w:color w:val="auto"/>
          <w:kern w:val="0"/>
          <w:sz w:val="24"/>
          <w:highlight w:val="none"/>
          <w:u w:val="single"/>
        </w:rPr>
        <w:t xml:space="preserve">                                                                </w:t>
      </w:r>
    </w:p>
    <w:p w14:paraId="3F81850B">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u w:val="single"/>
        </w:rPr>
        <w:t xml:space="preserve">                                                                           </w:t>
      </w:r>
    </w:p>
    <w:p w14:paraId="66D9DDDF">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法律依据：</w:t>
      </w:r>
      <w:r>
        <w:rPr>
          <w:rFonts w:hint="eastAsia" w:ascii="宋体" w:hAnsi="宋体" w:eastAsia="宋体" w:cs="仿宋"/>
          <w:color w:val="auto"/>
          <w:kern w:val="0"/>
          <w:sz w:val="24"/>
          <w:highlight w:val="none"/>
          <w:u w:val="single"/>
        </w:rPr>
        <w:t xml:space="preserve">                                                                 </w:t>
      </w:r>
    </w:p>
    <w:p w14:paraId="4F219CE9">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u w:val="single"/>
        </w:rPr>
        <w:t xml:space="preserve">                                                                           </w:t>
      </w:r>
    </w:p>
    <w:p w14:paraId="578D7BDF">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质疑事项2</w:t>
      </w:r>
    </w:p>
    <w:p w14:paraId="69D6030F">
      <w:pPr>
        <w:spacing w:line="360" w:lineRule="auto"/>
        <w:rPr>
          <w:rFonts w:ascii="宋体" w:hAnsi="宋体" w:eastAsia="宋体" w:cs="仿宋"/>
          <w:color w:val="auto"/>
          <w:kern w:val="0"/>
          <w:sz w:val="24"/>
          <w:highlight w:val="none"/>
        </w:rPr>
      </w:pPr>
      <w:r>
        <w:rPr>
          <w:rFonts w:hint="eastAsia" w:ascii="宋体" w:hAnsi="宋体" w:eastAsia="宋体" w:cs="仿宋"/>
          <w:color w:val="auto"/>
          <w:kern w:val="0"/>
          <w:sz w:val="24"/>
          <w:highlight w:val="none"/>
        </w:rPr>
        <w:t>……</w:t>
      </w:r>
    </w:p>
    <w:p w14:paraId="5240499D">
      <w:pPr>
        <w:spacing w:line="360" w:lineRule="auto"/>
        <w:rPr>
          <w:rFonts w:ascii="宋体" w:hAnsi="宋体" w:eastAsia="宋体" w:cs="仿宋"/>
          <w:bCs/>
          <w:color w:val="auto"/>
          <w:kern w:val="0"/>
          <w:sz w:val="24"/>
          <w:highlight w:val="none"/>
        </w:rPr>
      </w:pPr>
      <w:r>
        <w:rPr>
          <w:rFonts w:hint="eastAsia" w:ascii="宋体" w:hAnsi="宋体" w:eastAsia="宋体" w:cs="仿宋"/>
          <w:bCs/>
          <w:color w:val="auto"/>
          <w:kern w:val="0"/>
          <w:sz w:val="24"/>
          <w:highlight w:val="none"/>
        </w:rPr>
        <w:t>四、与质疑事项相关的质疑请求</w:t>
      </w:r>
    </w:p>
    <w:p w14:paraId="0754ECD9">
      <w:pPr>
        <w:spacing w:line="360" w:lineRule="auto"/>
        <w:rPr>
          <w:rFonts w:ascii="宋体" w:hAnsi="宋体" w:eastAsia="宋体" w:cs="仿宋"/>
          <w:color w:val="auto"/>
          <w:kern w:val="0"/>
          <w:sz w:val="24"/>
          <w:highlight w:val="none"/>
          <w:u w:val="single"/>
        </w:rPr>
      </w:pPr>
      <w:r>
        <w:rPr>
          <w:rFonts w:hint="eastAsia" w:ascii="宋体" w:hAnsi="宋体" w:eastAsia="宋体" w:cs="仿宋"/>
          <w:color w:val="auto"/>
          <w:kern w:val="0"/>
          <w:sz w:val="24"/>
          <w:highlight w:val="none"/>
        </w:rPr>
        <w:t>请求：</w:t>
      </w:r>
      <w:r>
        <w:rPr>
          <w:rFonts w:hint="eastAsia" w:ascii="宋体" w:hAnsi="宋体" w:eastAsia="宋体" w:cs="仿宋"/>
          <w:color w:val="auto"/>
          <w:kern w:val="0"/>
          <w:sz w:val="24"/>
          <w:highlight w:val="none"/>
          <w:u w:val="single"/>
        </w:rPr>
        <w:t xml:space="preserve">                                                                     </w:t>
      </w:r>
    </w:p>
    <w:p w14:paraId="600EE805">
      <w:pP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签字(签章)：                   公章：                      </w:t>
      </w:r>
    </w:p>
    <w:p w14:paraId="36E7E195">
      <w:pPr>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 xml:space="preserve">日期：    </w:t>
      </w:r>
    </w:p>
    <w:p w14:paraId="78C5DBD4">
      <w:pPr>
        <w:spacing w:line="400" w:lineRule="exact"/>
        <w:rPr>
          <w:rFonts w:ascii="宋体" w:hAnsi="宋体" w:eastAsia="宋体" w:cs="Times New Roman"/>
          <w:b/>
          <w:color w:val="auto"/>
          <w:kern w:val="0"/>
          <w:sz w:val="24"/>
          <w:highlight w:val="none"/>
        </w:rPr>
      </w:pPr>
      <w:r>
        <w:rPr>
          <w:rFonts w:hint="eastAsia" w:ascii="宋体" w:hAnsi="宋体" w:eastAsia="宋体" w:cs="Times New Roman"/>
          <w:b/>
          <w:color w:val="auto"/>
          <w:kern w:val="0"/>
          <w:sz w:val="24"/>
          <w:highlight w:val="none"/>
        </w:rPr>
        <w:t>质疑函制作说明：</w:t>
      </w:r>
    </w:p>
    <w:p w14:paraId="598F57E3">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1.供应商提出质疑时，应提交质疑函和必要的证明材料。</w:t>
      </w:r>
    </w:p>
    <w:p w14:paraId="6B2B93AD">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highlight w:val="none"/>
        </w:rPr>
        <w:t>供应商签署的授权委托书。授权委托书应载明代理人的姓名或者名称、代理事项、具体权限、期限和相关事项。</w:t>
      </w:r>
    </w:p>
    <w:p w14:paraId="01CD497D">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3.质疑供应商若对项目的某一分包进行质疑，质疑函中应列明具体分包号。</w:t>
      </w:r>
    </w:p>
    <w:p w14:paraId="3B88FAC8">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4.质疑函的质疑事项应具体、明确，并有必要的事实依据和法律依据。</w:t>
      </w:r>
    </w:p>
    <w:p w14:paraId="1109913F">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5.质疑函的质疑请求应与质疑事项相关。</w:t>
      </w:r>
    </w:p>
    <w:p w14:paraId="3715C60D">
      <w:pPr>
        <w:widowControl/>
        <w:spacing w:line="400" w:lineRule="exact"/>
        <w:ind w:firstLine="480"/>
        <w:jc w:val="left"/>
        <w:rPr>
          <w:rFonts w:ascii="宋体" w:hAnsi="宋体" w:eastAsia="宋体" w:cs="Times New Roman"/>
          <w:color w:val="auto"/>
          <w:kern w:val="0"/>
          <w:sz w:val="24"/>
          <w:highlight w:val="none"/>
        </w:rPr>
      </w:pPr>
      <w:r>
        <w:rPr>
          <w:rFonts w:hint="eastAsia" w:ascii="宋体" w:hAnsi="宋体" w:eastAsia="宋体" w:cs="Times New Roman"/>
          <w:color w:val="auto"/>
          <w:kern w:val="0"/>
          <w:sz w:val="24"/>
          <w:highlight w:val="none"/>
        </w:rPr>
        <w:t>6.质疑供应商为自然人的，质疑函应由本人签字；质疑供应商为法人或者其他组织的，质疑函应由法定代表人、主要负责人，或者其授权代表签字或者盖章，并加盖公章。</w:t>
      </w:r>
    </w:p>
    <w:p w14:paraId="595BA1FC">
      <w:pPr>
        <w:ind w:firstLine="420"/>
        <w:rPr>
          <w:rFonts w:ascii="Times New Roman" w:hAnsi="Times New Roman" w:eastAsia="宋体" w:cs="Times New Roman"/>
          <w:color w:val="auto"/>
          <w:sz w:val="24"/>
          <w:highlight w:val="none"/>
        </w:rPr>
      </w:pPr>
    </w:p>
    <w:p w14:paraId="2B622268">
      <w:pPr>
        <w:ind w:firstLine="420"/>
        <w:rPr>
          <w:rFonts w:ascii="Times New Roman" w:hAnsi="Times New Roman" w:eastAsia="宋体" w:cs="Times New Roman"/>
          <w:color w:val="auto"/>
          <w:sz w:val="24"/>
          <w:highlight w:val="none"/>
        </w:rPr>
      </w:pPr>
    </w:p>
    <w:p w14:paraId="6ECEABCC">
      <w:pPr>
        <w:rPr>
          <w:rFonts w:ascii="Times New Roman" w:hAnsi="Times New Roman" w:eastAsia="宋体" w:cs="Times New Roman"/>
          <w:color w:val="auto"/>
          <w:kern w:val="0"/>
          <w:szCs w:val="21"/>
          <w:highlight w:val="none"/>
        </w:rPr>
      </w:pPr>
    </w:p>
    <w:p w14:paraId="09A19DE9">
      <w:pPr>
        <w:rPr>
          <w:color w:val="auto"/>
          <w:highlight w:val="none"/>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彩虹小标宋">
    <w:altName w:val="微软雅黑"/>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Showcard Gothic">
    <w:altName w:val="Gabriola"/>
    <w:panose1 w:val="04020904020102020604"/>
    <w:charset w:val="00"/>
    <w:family w:val="decorative"/>
    <w:pitch w:val="default"/>
    <w:sig w:usb0="00000000" w:usb1="00000000" w:usb2="00000000" w:usb3="00000000" w:csb0="00000001" w:csb1="00000000"/>
  </w:font>
  <w:font w:name="Gabriola">
    <w:panose1 w:val="04040605051002020D02"/>
    <w:charset w:val="00"/>
    <w:family w:val="auto"/>
    <w:pitch w:val="default"/>
    <w:sig w:usb0="E00002EF" w:usb1="5000204B" w:usb2="00000000" w:usb3="00000000" w:csb0="2000009F" w:csb1="00000000"/>
  </w:font>
  <w:font w:name="新宋体">
    <w:panose1 w:val="02010609030101010101"/>
    <w:charset w:val="86"/>
    <w:family w:val="auto"/>
    <w:pitch w:val="default"/>
    <w:sig w:usb0="00000203" w:usb1="288F0000" w:usb2="0000000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幼圆">
    <w:altName w:val="宋体"/>
    <w:panose1 w:val="02010509060101010101"/>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KSOFDA5758CF">
    <w:panose1 w:val="020B07030202040202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35EBD">
    <w:pPr>
      <w:tabs>
        <w:tab w:val="center" w:pos="4153"/>
        <w:tab w:val="right" w:pos="8306"/>
      </w:tabs>
      <w:jc w:val="center"/>
      <w:rPr>
        <w:rFonts w:ascii="Times New Roman" w:hAnsi="Times New Roman" w:eastAsia="宋体" w:cs="Times New Roman"/>
        <w:b/>
        <w:i/>
        <w:sz w:val="18"/>
        <w:szCs w:val="18"/>
      </w:rPr>
    </w:pPr>
    <w:r>
      <w:rPr>
        <w:rFonts w:ascii="Times New Roman" w:hAnsi="Times New Roman" w:eastAsia="宋体" w:cs="Times New Roman"/>
        <w:b/>
        <w:i/>
        <w:sz w:val="20"/>
        <w:szCs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B81B1">
    <w:pPr>
      <w:tabs>
        <w:tab w:val="center" w:pos="4153"/>
        <w:tab w:val="right" w:pos="8306"/>
      </w:tabs>
      <w:jc w:val="center"/>
      <w:rPr>
        <w:rFonts w:ascii="Times New Roman" w:hAnsi="Times New Roman" w:eastAsia="宋体" w:cs="Times New Roman"/>
        <w:b/>
        <w:i/>
        <w:sz w:val="18"/>
        <w:szCs w:val="18"/>
      </w:rPr>
    </w:pPr>
    <w:r>
      <w:rPr>
        <w:rFonts w:ascii="Times New Roman" w:hAnsi="Times New Roman" w:eastAsia="宋体" w:cs="Times New Roman"/>
        <w:sz w:val="20"/>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702CFC">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0A7A8CA7">
                          <w:pPr>
                            <w:rPr>
                              <w:rFonts w:ascii="Times New Roman" w:hAnsi="Times New Roman" w:eastAsia="宋体" w:cs="Times New Roman"/>
                              <w:kern w:val="0"/>
                              <w:szCs w:val="21"/>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0702CFC">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0A7A8CA7">
                    <w:pPr>
                      <w:rPr>
                        <w:rFonts w:ascii="Times New Roman" w:hAnsi="Times New Roman" w:eastAsia="宋体" w:cs="Times New Roman"/>
                        <w:kern w:val="0"/>
                        <w:szCs w:val="21"/>
                      </w:rPr>
                    </w:pPr>
                  </w:p>
                </w:txbxContent>
              </v:textbox>
            </v:shape>
          </w:pict>
        </mc:Fallback>
      </mc:AlternateContent>
    </w:r>
    <w:r>
      <w:rPr>
        <w:rFonts w:ascii="Times New Roman" w:hAnsi="Times New Roman" w:eastAsia="宋体" w:cs="Times New Roman"/>
        <w:b/>
        <w:i/>
        <w:sz w:val="20"/>
        <w:szCs w:val="1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EE791">
    <w:pPr>
      <w:tabs>
        <w:tab w:val="center" w:pos="4153"/>
        <w:tab w:val="right" w:pos="8306"/>
      </w:tabs>
      <w:jc w:val="left"/>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1C8283">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3BC7A5D8">
                          <w:pPr>
                            <w:rPr>
                              <w:rFonts w:ascii="Times New Roman" w:hAnsi="Times New Roman" w:eastAsia="宋体" w:cs="Times New Roman"/>
                              <w:kern w:val="0"/>
                              <w:szCs w:val="21"/>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71C8283">
                    <w:pPr>
                      <w:jc w:val="left"/>
                      <w:rPr>
                        <w:rFonts w:ascii="Times New Roman" w:hAnsi="Times New Roman" w:eastAsia="宋体" w:cs="Times New Roman"/>
                        <w:sz w:val="18"/>
                        <w:szCs w:val="18"/>
                      </w:rPr>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1</w:t>
                    </w:r>
                    <w:r>
                      <w:rPr>
                        <w:rFonts w:ascii="Times New Roman" w:hAnsi="Times New Roman" w:eastAsia="宋体" w:cs="Times New Roman"/>
                        <w:sz w:val="18"/>
                        <w:szCs w:val="18"/>
                      </w:rPr>
                      <w:fldChar w:fldCharType="end"/>
                    </w:r>
                  </w:p>
                  <w:p w14:paraId="3BC7A5D8">
                    <w:pPr>
                      <w:rPr>
                        <w:rFonts w:ascii="Times New Roman" w:hAnsi="Times New Roman" w:eastAsia="宋体" w:cs="Times New Roman"/>
                        <w:kern w:val="0"/>
                        <w:szCs w:val="21"/>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42338">
    <w:pPr>
      <w:tabs>
        <w:tab w:val="center" w:pos="4153"/>
        <w:tab w:val="right" w:pos="8306"/>
      </w:tabs>
      <w:jc w:val="left"/>
      <w:rPr>
        <w:rFonts w:ascii="Times New Roman" w:hAnsi="Times New Roman" w:eastAsia="宋体" w:cs="Times New Roman"/>
        <w:sz w:val="18"/>
        <w:szCs w:val="18"/>
      </w:rPr>
    </w:pPr>
    <w:r>
      <w:rPr>
        <w:rFonts w:ascii="Times New Roman" w:hAnsi="Times New Roman" w:eastAsia="宋体" w:cs="Times New Roman"/>
        <w:sz w:val="20"/>
        <w:szCs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86FC131">
                          <w:pPr>
                            <w:jc w:val="left"/>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PAGE  \* MERGEFORMAT</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38</w:t>
                          </w:r>
                          <w:r>
                            <w:rPr>
                              <w:rFonts w:hint="eastAsia" w:ascii="Times New Roman" w:hAnsi="Times New Roman" w:eastAsia="宋体" w:cs="Times New Roman"/>
                              <w:sz w:val="18"/>
                              <w:szCs w:val="18"/>
                            </w:rPr>
                            <w:fldChar w:fldCharType="end"/>
                          </w:r>
                        </w:p>
                        <w:p w14:paraId="32535011">
                          <w:pPr>
                            <w:rPr>
                              <w:rFonts w:ascii="Times New Roman" w:hAnsi="Times New Roman" w:eastAsia="宋体" w:cs="Times New Roman"/>
                              <w:kern w:val="0"/>
                              <w:szCs w:val="21"/>
                            </w:rPr>
                          </w:pPr>
                        </w:p>
                      </w:txbxContent>
                    </wps:txbx>
                    <wps:bodyPr wrap="none" lIns="0" tIns="0" rIns="0" bIns="0" anchor="ctr"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v-text-anchor:middle;mso-width-relative:page;mso-height-relative:page;" filled="f" stroked="f" coordsize="21600,21600" o:gfxdata="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OdA3zfRAAAABQEAAA8AAAAAAAAAAQAg&#10;AAAAIgAAAGRycy9kb3ducmV2LnhtbFBLAQIUABQAAAAIAIdO4kC/cO4/3AEAALQDAAAOAAAAAAAA&#10;AAEAIAAAACABAABkcnMvZTJvRG9jLnhtbFBLBQYAAAAABgAGAFkBAABuBQAAAAA=&#10;">
              <v:fill on="f" focussize="0,0"/>
              <v:stroke on="f"/>
              <v:imagedata o:title=""/>
              <o:lock v:ext="edit" aspectratio="f"/>
              <v:textbox inset="0mm,0mm,0mm,0mm" style="mso-fit-shape-to-text:t;">
                <w:txbxContent>
                  <w:p w14:paraId="386FC131">
                    <w:pPr>
                      <w:jc w:val="left"/>
                      <w:rPr>
                        <w:rFonts w:ascii="Times New Roman" w:hAnsi="Times New Roman" w:eastAsia="宋体" w:cs="Times New Roman"/>
                        <w:sz w:val="18"/>
                        <w:szCs w:val="18"/>
                      </w:rPr>
                    </w:pPr>
                    <w:r>
                      <w:rPr>
                        <w:rFonts w:hint="eastAsia" w:ascii="Times New Roman" w:hAnsi="Times New Roman" w:eastAsia="宋体" w:cs="Times New Roman"/>
                        <w:sz w:val="18"/>
                        <w:szCs w:val="18"/>
                      </w:rPr>
                      <w:fldChar w:fldCharType="begin"/>
                    </w:r>
                    <w:r>
                      <w:rPr>
                        <w:rFonts w:hint="eastAsia" w:ascii="Times New Roman" w:hAnsi="Times New Roman" w:eastAsia="宋体" w:cs="Times New Roman"/>
                        <w:sz w:val="18"/>
                        <w:szCs w:val="18"/>
                      </w:rPr>
                      <w:instrText xml:space="preserve">PAGE  \* MERGEFORMAT</w:instrText>
                    </w:r>
                    <w:r>
                      <w:rPr>
                        <w:rFonts w:hint="eastAsia" w:ascii="Times New Roman" w:hAnsi="Times New Roman" w:eastAsia="宋体" w:cs="Times New Roman"/>
                        <w:sz w:val="18"/>
                        <w:szCs w:val="18"/>
                      </w:rPr>
                      <w:fldChar w:fldCharType="separate"/>
                    </w:r>
                    <w:r>
                      <w:rPr>
                        <w:rFonts w:ascii="Times New Roman" w:hAnsi="Times New Roman" w:eastAsia="宋体" w:cs="Times New Roman"/>
                        <w:sz w:val="18"/>
                        <w:szCs w:val="18"/>
                      </w:rPr>
                      <w:t>38</w:t>
                    </w:r>
                    <w:r>
                      <w:rPr>
                        <w:rFonts w:hint="eastAsia" w:ascii="Times New Roman" w:hAnsi="Times New Roman" w:eastAsia="宋体" w:cs="Times New Roman"/>
                        <w:sz w:val="18"/>
                        <w:szCs w:val="18"/>
                      </w:rPr>
                      <w:fldChar w:fldCharType="end"/>
                    </w:r>
                  </w:p>
                  <w:p w14:paraId="32535011">
                    <w:pPr>
                      <w:rPr>
                        <w:rFonts w:ascii="Times New Roman" w:hAnsi="Times New Roman" w:eastAsia="宋体" w:cs="Times New Roman"/>
                        <w:kern w:val="0"/>
                        <w:szCs w:val="21"/>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9899C">
    <w:pPr>
      <w:pBdr>
        <w:bottom w:val="none" w:color="000000" w:sz="0" w:space="0"/>
      </w:pBdr>
      <w:tabs>
        <w:tab w:val="center" w:pos="4153"/>
        <w:tab w:val="right" w:pos="8306"/>
      </w:tabs>
      <w:jc w:val="center"/>
      <w:rPr>
        <w:rFonts w:ascii="Times New Roman" w:hAnsi="Times New Roman" w:eastAsia="宋体" w:cs="Times New Roman"/>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EF85ED6"/>
    <w:multiLevelType w:val="singleLevel"/>
    <w:tmpl w:val="CEF85ED6"/>
    <w:lvl w:ilvl="0" w:tentative="0">
      <w:start w:val="1"/>
      <w:numFmt w:val="decimal"/>
      <w:suff w:val="nothing"/>
      <w:lvlText w:val="（%1）"/>
      <w:lvlJc w:val="left"/>
    </w:lvl>
  </w:abstractNum>
  <w:abstractNum w:abstractNumId="3">
    <w:nsid w:val="D918A491"/>
    <w:multiLevelType w:val="singleLevel"/>
    <w:tmpl w:val="D918A491"/>
    <w:lvl w:ilvl="0" w:tentative="0">
      <w:start w:val="2"/>
      <w:numFmt w:val="decimal"/>
      <w:lvlText w:val="%1."/>
      <w:lvlJc w:val="left"/>
      <w:pPr>
        <w:tabs>
          <w:tab w:val="left" w:pos="312"/>
        </w:tabs>
      </w:pPr>
    </w:lvl>
  </w:abstractNum>
  <w:abstractNum w:abstractNumId="4">
    <w:nsid w:val="DD16A6F9"/>
    <w:multiLevelType w:val="singleLevel"/>
    <w:tmpl w:val="DD16A6F9"/>
    <w:lvl w:ilvl="0" w:tentative="0">
      <w:start w:val="1"/>
      <w:numFmt w:val="decimal"/>
      <w:lvlText w:val="%1."/>
      <w:lvlJc w:val="left"/>
      <w:pPr>
        <w:tabs>
          <w:tab w:val="left" w:pos="312"/>
        </w:tabs>
      </w:pPr>
    </w:lvl>
  </w:abstractNum>
  <w:abstractNum w:abstractNumId="5">
    <w:nsid w:val="0632026D"/>
    <w:multiLevelType w:val="multilevel"/>
    <w:tmpl w:val="0632026D"/>
    <w:lvl w:ilvl="0" w:tentative="0">
      <w:start w:val="1"/>
      <w:numFmt w:val="chineseCountingThousand"/>
      <w:suff w:val="space"/>
      <w:lvlText w:val="第%1章"/>
      <w:lvlJc w:val="left"/>
      <w:pPr>
        <w:ind w:left="0" w:firstLine="0"/>
      </w:pPr>
      <w:rPr>
        <w:rFonts w:hint="eastAsia" w:ascii="Times New Roman" w:hAnsi="Times New Roman" w:cs="Times New Roman"/>
        <w:sz w:val="44"/>
        <w:szCs w:val="44"/>
      </w:rPr>
    </w:lvl>
    <w:lvl w:ilvl="1" w:tentative="0">
      <w:start w:val="1"/>
      <w:numFmt w:val="chineseCountingThousand"/>
      <w:suff w:val="space"/>
      <w:lvlText w:val="第%2节"/>
      <w:lvlJc w:val="left"/>
      <w:pPr>
        <w:ind w:left="4689" w:hanging="720"/>
      </w:pPr>
      <w:rPr>
        <w:rFonts w:hint="eastAsia"/>
      </w:rPr>
    </w:lvl>
    <w:lvl w:ilvl="2" w:tentative="0">
      <w:start w:val="1"/>
      <w:numFmt w:val="decimal"/>
      <w:pStyle w:val="4"/>
      <w:suff w:val="space"/>
      <w:lvlText w:val="%3."/>
      <w:lvlJc w:val="left"/>
      <w:pPr>
        <w:ind w:left="708" w:firstLine="0"/>
      </w:pPr>
      <w:rPr>
        <w:rFonts w:hint="eastAsia" w:ascii="Times New Roman" w:hAnsi="Times New Roman" w:cs="Times New Roman"/>
      </w:rPr>
    </w:lvl>
    <w:lvl w:ilvl="3" w:tentative="0">
      <w:start w:val="1"/>
      <w:numFmt w:val="decimal"/>
      <w:suff w:val="space"/>
      <w:lvlText w:val="%3.%4"/>
      <w:lvlJc w:val="left"/>
      <w:pPr>
        <w:ind w:left="283" w:firstLine="0"/>
      </w:pPr>
      <w:rPr>
        <w:rFonts w:hint="eastAsia"/>
        <w:b/>
        <w:bCs/>
      </w:rPr>
    </w:lvl>
    <w:lvl w:ilvl="4" w:tentative="0">
      <w:start w:val="1"/>
      <w:numFmt w:val="decimal"/>
      <w:suff w:val="space"/>
      <w:lvlText w:val="%3.%4.%5"/>
      <w:lvlJc w:val="left"/>
      <w:pPr>
        <w:ind w:left="0" w:firstLine="0"/>
      </w:pPr>
      <w:rPr>
        <w:rFonts w:hint="eastAsia" w:ascii="Times New Roman" w:hAnsi="Times New Roman" w:cs="Times New Roman"/>
      </w:rPr>
    </w:lvl>
    <w:lvl w:ilvl="5" w:tentative="0">
      <w:start w:val="1"/>
      <w:numFmt w:val="decimal"/>
      <w:suff w:val="space"/>
      <w:lvlText w:val="%3.%4.%5.%6"/>
      <w:lvlJc w:val="left"/>
      <w:pPr>
        <w:ind w:left="0" w:firstLine="0"/>
      </w:pPr>
      <w:rPr>
        <w:rFonts w:hint="eastAsia"/>
      </w:rPr>
    </w:lvl>
    <w:lvl w:ilvl="6" w:tentative="0">
      <w:start w:val="1"/>
      <w:numFmt w:val="decimal"/>
      <w:lvlText w:val="%3.%4.%5.%6.%7"/>
      <w:lvlJc w:val="left"/>
      <w:pPr>
        <w:ind w:left="0" w:firstLine="0"/>
      </w:pPr>
      <w:rPr>
        <w:rFonts w:hint="eastAsia"/>
      </w:rPr>
    </w:lvl>
    <w:lvl w:ilvl="7" w:tentative="0">
      <w:start w:val="1"/>
      <w:numFmt w:val="decimal"/>
      <w:suff w:val="space"/>
      <w:lvlText w:val="%3.%4.%5.%6.%7.%8"/>
      <w:lvlJc w:val="left"/>
      <w:pPr>
        <w:ind w:left="0" w:firstLine="0"/>
      </w:pPr>
      <w:rPr>
        <w:rFonts w:hint="eastAsia"/>
      </w:rPr>
    </w:lvl>
    <w:lvl w:ilvl="8" w:tentative="0">
      <w:start w:val="1"/>
      <w:numFmt w:val="decimal"/>
      <w:suff w:val="space"/>
      <w:lvlText w:val="%3.%4.%5.%6.%7.%8.%9"/>
      <w:lvlJc w:val="left"/>
      <w:pPr>
        <w:ind w:left="0" w:firstLine="0"/>
      </w:pPr>
      <w:rPr>
        <w:rFonts w:hint="eastAsia"/>
      </w:rPr>
    </w:lvl>
  </w:abstractNum>
  <w:abstractNum w:abstractNumId="6">
    <w:nsid w:val="14125ACE"/>
    <w:multiLevelType w:val="singleLevel"/>
    <w:tmpl w:val="14125ACE"/>
    <w:lvl w:ilvl="0" w:tentative="0">
      <w:start w:val="1"/>
      <w:numFmt w:val="ideographTraditional"/>
      <w:suff w:val="nothing"/>
      <w:lvlText w:val="%1、"/>
      <w:lvlJc w:val="left"/>
      <w:rPr>
        <w:rFonts w:hint="eastAsia"/>
      </w:rPr>
    </w:lvl>
  </w:abstractNum>
  <w:abstractNum w:abstractNumId="7">
    <w:nsid w:val="25B654F3"/>
    <w:multiLevelType w:val="multilevel"/>
    <w:tmpl w:val="25B654F3"/>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CAB5B92"/>
    <w:multiLevelType w:val="multilevel"/>
    <w:tmpl w:val="2CAB5B92"/>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34A80C9C"/>
    <w:multiLevelType w:val="multilevel"/>
    <w:tmpl w:val="34A80C9C"/>
    <w:lvl w:ilvl="0" w:tentative="0">
      <w:start w:val="1"/>
      <w:numFmt w:val="decimal"/>
      <w:pStyle w:val="2"/>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0">
    <w:nsid w:val="3E8B1A96"/>
    <w:multiLevelType w:val="singleLevel"/>
    <w:tmpl w:val="3E8B1A96"/>
    <w:lvl w:ilvl="0" w:tentative="0">
      <w:start w:val="1"/>
      <w:numFmt w:val="decimal"/>
      <w:suff w:val="nothing"/>
      <w:lvlText w:val="（%1）"/>
      <w:lvlJc w:val="left"/>
    </w:lvl>
  </w:abstractNum>
  <w:abstractNum w:abstractNumId="11">
    <w:nsid w:val="72183CF9"/>
    <w:multiLevelType w:val="multilevel"/>
    <w:tmpl w:val="72183CF9"/>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
  </w:num>
  <w:num w:numId="4">
    <w:abstractNumId w:val="0"/>
  </w:num>
  <w:num w:numId="5">
    <w:abstractNumId w:val="6"/>
  </w:num>
  <w:num w:numId="6">
    <w:abstractNumId w:val="8"/>
  </w:num>
  <w:num w:numId="7">
    <w:abstractNumId w:val="4"/>
  </w:num>
  <w:num w:numId="8">
    <w:abstractNumId w:val="10"/>
  </w:num>
  <w:num w:numId="9">
    <w:abstractNumId w:val="2"/>
  </w:num>
  <w:num w:numId="10">
    <w:abstractNumId w:val="3"/>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1AE"/>
    <w:rsid w:val="000C51AE"/>
    <w:rsid w:val="00144316"/>
    <w:rsid w:val="001A20E3"/>
    <w:rsid w:val="002102A7"/>
    <w:rsid w:val="00210AE1"/>
    <w:rsid w:val="002C6F78"/>
    <w:rsid w:val="00333A2A"/>
    <w:rsid w:val="00496371"/>
    <w:rsid w:val="004C46A8"/>
    <w:rsid w:val="00760069"/>
    <w:rsid w:val="0077510C"/>
    <w:rsid w:val="0079036D"/>
    <w:rsid w:val="008D313A"/>
    <w:rsid w:val="009644FC"/>
    <w:rsid w:val="00AB2F7D"/>
    <w:rsid w:val="00AC11CA"/>
    <w:rsid w:val="00BD0FD0"/>
    <w:rsid w:val="00C242F1"/>
    <w:rsid w:val="00D42FF9"/>
    <w:rsid w:val="00F026EB"/>
    <w:rsid w:val="00F4745E"/>
    <w:rsid w:val="030E01DA"/>
    <w:rsid w:val="07BF1175"/>
    <w:rsid w:val="08A759E9"/>
    <w:rsid w:val="099836F7"/>
    <w:rsid w:val="0CD814F1"/>
    <w:rsid w:val="0ED0372F"/>
    <w:rsid w:val="0FCE1318"/>
    <w:rsid w:val="10F74656"/>
    <w:rsid w:val="127540B0"/>
    <w:rsid w:val="13F54799"/>
    <w:rsid w:val="155B6F0B"/>
    <w:rsid w:val="16BF171B"/>
    <w:rsid w:val="17FF6273"/>
    <w:rsid w:val="19551028"/>
    <w:rsid w:val="19E16F05"/>
    <w:rsid w:val="1C4E4BC4"/>
    <w:rsid w:val="1C8F393E"/>
    <w:rsid w:val="1E7A7F1C"/>
    <w:rsid w:val="1F6C6FF8"/>
    <w:rsid w:val="1F770B5D"/>
    <w:rsid w:val="1FF71F26"/>
    <w:rsid w:val="20686980"/>
    <w:rsid w:val="24992D39"/>
    <w:rsid w:val="27453BAE"/>
    <w:rsid w:val="28302DCC"/>
    <w:rsid w:val="28B5472C"/>
    <w:rsid w:val="29544F52"/>
    <w:rsid w:val="2B495615"/>
    <w:rsid w:val="2C792640"/>
    <w:rsid w:val="2CB531A0"/>
    <w:rsid w:val="2D157E8F"/>
    <w:rsid w:val="2F2C2DF5"/>
    <w:rsid w:val="2FB15C4D"/>
    <w:rsid w:val="30B8125D"/>
    <w:rsid w:val="34CC177B"/>
    <w:rsid w:val="37377380"/>
    <w:rsid w:val="392E2BE7"/>
    <w:rsid w:val="3AF90CE3"/>
    <w:rsid w:val="3C822FD1"/>
    <w:rsid w:val="3C9C1A33"/>
    <w:rsid w:val="3D0B0176"/>
    <w:rsid w:val="3D8D0E8D"/>
    <w:rsid w:val="3E1A5671"/>
    <w:rsid w:val="3FE536F1"/>
    <w:rsid w:val="40095632"/>
    <w:rsid w:val="41E73B64"/>
    <w:rsid w:val="424D7C76"/>
    <w:rsid w:val="42F22CE1"/>
    <w:rsid w:val="44F17528"/>
    <w:rsid w:val="45B95404"/>
    <w:rsid w:val="472B40E0"/>
    <w:rsid w:val="47767A51"/>
    <w:rsid w:val="47D23DB4"/>
    <w:rsid w:val="47FC6227"/>
    <w:rsid w:val="497E2BEC"/>
    <w:rsid w:val="4A4C29EB"/>
    <w:rsid w:val="4AEF3676"/>
    <w:rsid w:val="4B3519D1"/>
    <w:rsid w:val="4C5D46D5"/>
    <w:rsid w:val="4F0F42E7"/>
    <w:rsid w:val="504306EC"/>
    <w:rsid w:val="50F73284"/>
    <w:rsid w:val="51960CEF"/>
    <w:rsid w:val="54534C76"/>
    <w:rsid w:val="569F41A2"/>
    <w:rsid w:val="57A203EE"/>
    <w:rsid w:val="59695238"/>
    <w:rsid w:val="5988696D"/>
    <w:rsid w:val="61921700"/>
    <w:rsid w:val="62156CD8"/>
    <w:rsid w:val="623A1223"/>
    <w:rsid w:val="62BD568B"/>
    <w:rsid w:val="634A36E8"/>
    <w:rsid w:val="63E91153"/>
    <w:rsid w:val="64FF3ADC"/>
    <w:rsid w:val="6537448A"/>
    <w:rsid w:val="659B022A"/>
    <w:rsid w:val="66BA0C05"/>
    <w:rsid w:val="681542C4"/>
    <w:rsid w:val="69553C3D"/>
    <w:rsid w:val="695E7EED"/>
    <w:rsid w:val="6C4909E0"/>
    <w:rsid w:val="6C8859AD"/>
    <w:rsid w:val="6D033532"/>
    <w:rsid w:val="709541F4"/>
    <w:rsid w:val="7181001E"/>
    <w:rsid w:val="726E2F4F"/>
    <w:rsid w:val="7385645D"/>
    <w:rsid w:val="73972979"/>
    <w:rsid w:val="73FE786D"/>
    <w:rsid w:val="753F0BD2"/>
    <w:rsid w:val="75BA46FD"/>
    <w:rsid w:val="76E41A31"/>
    <w:rsid w:val="78402B8D"/>
    <w:rsid w:val="789B0816"/>
    <w:rsid w:val="79A2543E"/>
    <w:rsid w:val="7AA9664C"/>
    <w:rsid w:val="7C7A1937"/>
    <w:rsid w:val="7DAE2D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keepNext/>
      <w:keepLines/>
      <w:widowControl w:val="0"/>
      <w:numPr>
        <w:ilvl w:val="0"/>
        <w:numId w:val="1"/>
      </w:numPr>
      <w:spacing w:before="340" w:beforeLines="0" w:beforeAutospacing="0" w:after="330" w:afterLines="0" w:afterAutospacing="0" w:line="576" w:lineRule="auto"/>
      <w:ind w:left="432" w:hanging="432"/>
      <w:jc w:val="both"/>
      <w:outlineLvl w:val="0"/>
    </w:pPr>
    <w:rPr>
      <w:rFonts w:asciiTheme="minorAscii" w:hAnsiTheme="minorAscii" w:eastAsiaTheme="minorEastAsia" w:cstheme="minorBidi"/>
      <w:b/>
      <w:kern w:val="44"/>
      <w:sz w:val="30"/>
      <w:szCs w:val="24"/>
      <w:lang w:val="en-US" w:eastAsia="zh-CN" w:bidi="ar-SA"/>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semiHidden/>
    <w:unhideWhenUsed/>
    <w:qFormat/>
    <w:uiPriority w:val="0"/>
    <w:pPr>
      <w:keepNext/>
      <w:keepLines/>
      <w:widowControl/>
      <w:numPr>
        <w:ilvl w:val="2"/>
        <w:numId w:val="2"/>
      </w:numPr>
      <w:spacing w:before="120" w:after="120"/>
      <w:outlineLvl w:val="2"/>
    </w:pPr>
    <w:rPr>
      <w:rFonts w:ascii="方正仿宋_GBK" w:hAnsi="方正仿宋_GBK" w:eastAsia="方正楷体_GBK" w:cs="Times New Roman"/>
      <w:b/>
      <w:sz w:val="32"/>
      <w:szCs w:val="36"/>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18"/>
    <w:qFormat/>
    <w:uiPriority w:val="0"/>
    <w:pPr>
      <w:jc w:val="left"/>
    </w:pPr>
  </w:style>
  <w:style w:type="paragraph" w:styleId="6">
    <w:name w:val="index 4"/>
    <w:basedOn w:val="1"/>
    <w:next w:val="1"/>
    <w:unhideWhenUsed/>
    <w:qFormat/>
    <w:uiPriority w:val="99"/>
    <w:pPr>
      <w:ind w:left="600"/>
    </w:pPr>
    <w:rPr>
      <w:rFonts w:ascii="Verdana" w:hAnsi="Verdana"/>
      <w:szCs w:val="20"/>
    </w:rPr>
  </w:style>
  <w:style w:type="paragraph" w:styleId="7">
    <w:name w:val="footer"/>
    <w:basedOn w:val="1"/>
    <w:link w:val="17"/>
    <w:qFormat/>
    <w:uiPriority w:val="0"/>
    <w:pPr>
      <w:tabs>
        <w:tab w:val="center" w:pos="4153"/>
        <w:tab w:val="right" w:pos="8306"/>
      </w:tabs>
      <w:snapToGrid w:val="0"/>
      <w:jc w:val="left"/>
    </w:pPr>
    <w:rPr>
      <w:sz w:val="18"/>
      <w:szCs w:val="18"/>
    </w:rPr>
  </w:style>
  <w:style w:type="paragraph" w:styleId="8">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qFormat/>
    <w:uiPriority w:val="0"/>
    <w:pPr>
      <w:widowControl/>
      <w:spacing w:before="100" w:beforeLines="0" w:beforeAutospacing="1" w:after="100" w:afterLines="0" w:afterAutospacing="1"/>
      <w:jc w:val="left"/>
    </w:pPr>
    <w:rPr>
      <w:rFonts w:hint="default" w:ascii="宋体" w:hAnsi="宋体" w:eastAsia="宋体" w:cs="宋体"/>
      <w:kern w:val="0"/>
      <w:sz w:val="24"/>
      <w:szCs w:val="24"/>
      <w:lang w:val="en-US" w:eastAsia="zh-CN" w:bidi="ar-SA"/>
    </w:rPr>
  </w:style>
  <w:style w:type="paragraph" w:styleId="10">
    <w:name w:val="annotation subject"/>
    <w:basedOn w:val="5"/>
    <w:next w:val="5"/>
    <w:link w:val="19"/>
    <w:qFormat/>
    <w:uiPriority w:val="0"/>
    <w:rPr>
      <w:b/>
      <w:bCs/>
    </w:rPr>
  </w:style>
  <w:style w:type="table" w:styleId="1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annotation reference"/>
    <w:basedOn w:val="13"/>
    <w:qFormat/>
    <w:uiPriority w:val="0"/>
    <w:rPr>
      <w:sz w:val="21"/>
      <w:szCs w:val="21"/>
    </w:rPr>
  </w:style>
  <w:style w:type="paragraph" w:customStyle="1" w:styleId="15">
    <w:name w:val="正文1"/>
    <w:next w:val="1"/>
    <w:qFormat/>
    <w:uiPriority w:val="0"/>
    <w:pPr>
      <w:widowControl/>
      <w:spacing w:line="300" w:lineRule="auto"/>
      <w:ind w:left="420"/>
      <w:jc w:val="both"/>
    </w:pPr>
    <w:rPr>
      <w:rFonts w:hint="default" w:ascii="Calibri" w:hAnsi="Calibri" w:eastAsia="宋体" w:cs="Times New Roman"/>
      <w:sz w:val="21"/>
      <w:szCs w:val="22"/>
      <w:lang w:val="en-US" w:eastAsia="zh-CN" w:bidi="ar-SA"/>
    </w:rPr>
  </w:style>
  <w:style w:type="character" w:customStyle="1" w:styleId="16">
    <w:name w:val="页眉 字符"/>
    <w:basedOn w:val="13"/>
    <w:link w:val="8"/>
    <w:qFormat/>
    <w:uiPriority w:val="0"/>
    <w:rPr>
      <w:rFonts w:asciiTheme="minorHAnsi" w:hAnsiTheme="minorHAnsi" w:eastAsiaTheme="minorEastAsia" w:cstheme="minorBidi"/>
      <w:kern w:val="2"/>
      <w:sz w:val="18"/>
      <w:szCs w:val="18"/>
    </w:rPr>
  </w:style>
  <w:style w:type="character" w:customStyle="1" w:styleId="17">
    <w:name w:val="页脚 字符"/>
    <w:basedOn w:val="13"/>
    <w:link w:val="7"/>
    <w:qFormat/>
    <w:uiPriority w:val="0"/>
    <w:rPr>
      <w:rFonts w:asciiTheme="minorHAnsi" w:hAnsiTheme="minorHAnsi" w:eastAsiaTheme="minorEastAsia" w:cstheme="minorBidi"/>
      <w:kern w:val="2"/>
      <w:sz w:val="18"/>
      <w:szCs w:val="18"/>
    </w:rPr>
  </w:style>
  <w:style w:type="character" w:customStyle="1" w:styleId="18">
    <w:name w:val="批注文字 字符"/>
    <w:basedOn w:val="13"/>
    <w:link w:val="5"/>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10"/>
    <w:qFormat/>
    <w:uiPriority w:val="0"/>
    <w:rPr>
      <w:rFonts w:asciiTheme="minorHAnsi" w:hAnsiTheme="minorHAnsi" w:eastAsiaTheme="minorEastAsia" w:cstheme="minorBidi"/>
      <w:b/>
      <w:bCs/>
      <w:kern w:val="2"/>
      <w:sz w:val="21"/>
      <w:szCs w:val="24"/>
    </w:rPr>
  </w:style>
  <w:style w:type="character" w:customStyle="1" w:styleId="20">
    <w:name w:val="font61"/>
    <w:qFormat/>
    <w:uiPriority w:val="0"/>
    <w:rPr>
      <w:rFonts w:hint="eastAsia" w:ascii="仿宋" w:hAnsi="仿宋" w:eastAsia="仿宋" w:cs="仿宋"/>
      <w:color w:val="000000"/>
      <w:sz w:val="20"/>
      <w:szCs w:val="20"/>
      <w:u w:val="none"/>
    </w:rPr>
  </w:style>
  <w:style w:type="character" w:customStyle="1" w:styleId="21">
    <w:name w:val="font101"/>
    <w:qFormat/>
    <w:uiPriority w:val="0"/>
    <w:rPr>
      <w:rFonts w:hint="eastAsia" w:ascii="仿宋" w:hAnsi="仿宋" w:eastAsia="仿宋" w:cs="仿宋"/>
      <w:color w:val="000000"/>
      <w:sz w:val="20"/>
      <w:szCs w:val="20"/>
      <w:u w:val="none"/>
    </w:rPr>
  </w:style>
  <w:style w:type="character" w:customStyle="1" w:styleId="22">
    <w:name w:val="默认段落字体11"/>
    <w:link w:val="1"/>
    <w:unhideWhenUsed/>
    <w:qFormat/>
    <w:uiPriority w:val="1"/>
    <w:rPr>
      <w:rFonts w:asciiTheme="minorHAnsi" w:hAnsiTheme="minorHAnsi" w:eastAsiaTheme="minorEastAsia" w:cstheme="minorBidi"/>
      <w:kern w:val="2"/>
      <w:sz w:val="21"/>
      <w:szCs w:val="24"/>
      <w:lang w:val="en-US" w:eastAsia="zh-CN" w:bidi="ar-SA"/>
    </w:rPr>
  </w:style>
  <w:style w:type="paragraph" w:customStyle="1" w:styleId="23">
    <w:name w:val="Normal_18"/>
    <w:qFormat/>
    <w:uiPriority w:val="0"/>
    <w:rPr>
      <w:rFonts w:hint="default" w:ascii="Times New Roman" w:hAnsi="Times New Roman" w:eastAsia="Times New Roman" w:cs="Times New Roman"/>
      <w:sz w:val="24"/>
      <w:szCs w:val="24"/>
    </w:rPr>
  </w:style>
  <w:style w:type="paragraph" w:styleId="24">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9898</Words>
  <Characters>10712</Characters>
  <Lines>229</Lines>
  <Paragraphs>64</Paragraphs>
  <TotalTime>39</TotalTime>
  <ScaleCrop>false</ScaleCrop>
  <LinksUpToDate>false</LinksUpToDate>
  <CharactersWithSpaces>10818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2025-11-27T11:49:00Z</dcterms:created>
  <dc:creator>Administrator</dc:creator>
  <cp:lastModifiedBy>XIE</cp:lastModifiedBy>
  <dcterms:modified xsi:type="dcterms:W3CDTF">2026-05-21T02:22:16Z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eyJoZGlkIjoiNDVlNGJhNjBmZjdiMjdiNWE2NmY3MDA3ZmNjNjA4ZjAiLCJ1c2VySWQiOiIxMjk2MDYwNTg5In0=</vt:lpwstr>
  </property>
  <property fmtid="{D5CDD505-2E9C-101B-9397-08002B2CF9AE}" pid="4" name="ICV">
    <vt:lpwstr>F6AD69435AA042718745ADA227DA95B7_13</vt:lpwstr>
  </property>
</Properties>
</file>