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F9A9A6">
      <w:pPr>
        <w:pStyle w:val="27"/>
        <w:spacing w:before="120" w:beforeAutospacing="0" w:after="120" w:afterAutospacing="0" w:line="360" w:lineRule="auto"/>
        <w:jc w:val="right"/>
        <w:rPr>
          <w:rFonts w:ascii="Arial" w:hAnsi="Arial" w:cs="Arial"/>
          <w:b/>
          <w:color w:val="auto"/>
          <w:sz w:val="84"/>
          <w:szCs w:val="84"/>
          <w:highlight w:val="none"/>
        </w:rPr>
      </w:pPr>
      <w:r>
        <w:rPr>
          <w:color w:val="auto"/>
          <w:highlight w:val="none"/>
        </w:rPr>
        <w:t> </w:t>
      </w:r>
      <w:r>
        <w:rPr>
          <w:rFonts w:ascii="Arial" w:hAnsi="Arial" w:cs="Arial"/>
          <w:b/>
          <w:color w:val="auto"/>
          <w:sz w:val="84"/>
          <w:szCs w:val="84"/>
          <w:highlight w:val="none"/>
        </w:rPr>
        <w:t xml:space="preserve"> </w:t>
      </w:r>
    </w:p>
    <w:p w14:paraId="2F9FFB5B">
      <w:pPr>
        <w:pStyle w:val="27"/>
        <w:spacing w:before="120" w:beforeAutospacing="0" w:after="120" w:afterAutospacing="0" w:line="360" w:lineRule="auto"/>
        <w:jc w:val="center"/>
        <w:rPr>
          <w:rFonts w:ascii="Arial" w:hAnsi="Arial" w:cs="Arial"/>
          <w:b/>
          <w:color w:val="auto"/>
          <w:sz w:val="44"/>
          <w:szCs w:val="44"/>
          <w:highlight w:val="none"/>
        </w:rPr>
      </w:pPr>
    </w:p>
    <w:p w14:paraId="34F289D9">
      <w:pPr>
        <w:pStyle w:val="27"/>
        <w:spacing w:before="120" w:beforeAutospacing="0" w:after="120" w:afterAutospacing="0" w:line="360" w:lineRule="auto"/>
        <w:jc w:val="center"/>
        <w:rPr>
          <w:color w:val="auto"/>
          <w:sz w:val="52"/>
          <w:szCs w:val="52"/>
          <w:highlight w:val="none"/>
        </w:rPr>
      </w:pPr>
      <w:r>
        <w:rPr>
          <w:rFonts w:ascii="Arial" w:hAnsi="Arial" w:cs="Arial"/>
          <w:b/>
          <w:color w:val="auto"/>
          <w:sz w:val="52"/>
          <w:szCs w:val="52"/>
          <w:highlight w:val="none"/>
        </w:rPr>
        <w:t>竞争性磋商文件</w:t>
      </w:r>
    </w:p>
    <w:p w14:paraId="744F99F1">
      <w:pPr>
        <w:pStyle w:val="27"/>
        <w:spacing w:before="120" w:beforeAutospacing="0" w:after="120" w:afterAutospacing="0" w:line="360" w:lineRule="auto"/>
        <w:ind w:firstLine="964"/>
        <w:rPr>
          <w:rFonts w:ascii="Arial" w:hAnsi="Arial" w:cs="Arial"/>
          <w:b/>
          <w:color w:val="auto"/>
          <w:sz w:val="32"/>
          <w:szCs w:val="32"/>
          <w:highlight w:val="none"/>
        </w:rPr>
      </w:pPr>
    </w:p>
    <w:p w14:paraId="622D832F">
      <w:pPr>
        <w:pStyle w:val="27"/>
        <w:spacing w:before="120" w:beforeAutospacing="0" w:after="120" w:afterAutospacing="0" w:line="360" w:lineRule="auto"/>
        <w:ind w:firstLine="964"/>
        <w:rPr>
          <w:rFonts w:ascii="Arial" w:hAnsi="Arial" w:cs="Arial"/>
          <w:b/>
          <w:color w:val="auto"/>
          <w:sz w:val="32"/>
          <w:szCs w:val="32"/>
          <w:highlight w:val="none"/>
        </w:rPr>
      </w:pPr>
    </w:p>
    <w:p w14:paraId="74190A70">
      <w:pPr>
        <w:pStyle w:val="235"/>
        <w:keepNext w:val="0"/>
        <w:keepLines w:val="0"/>
        <w:pageBreakBefore w:val="0"/>
        <w:widowControl w:val="0"/>
        <w:numPr>
          <w:ilvl w:val="0"/>
          <w:numId w:val="0"/>
        </w:numPr>
        <w:ind w:firstLine="1205" w:firstLineChars="400"/>
        <w:jc w:val="left"/>
        <w:rPr>
          <w:rFonts w:hint="default" w:ascii="宋体" w:hAnsi="宋体" w:eastAsia="宋体" w:cs="宋体"/>
          <w:b/>
          <w:color w:val="000000"/>
          <w:sz w:val="30"/>
          <w:szCs w:val="30"/>
          <w:lang w:val="en-US" w:eastAsia="zh-CN"/>
        </w:rPr>
      </w:pPr>
      <w:r>
        <w:rPr>
          <w:rFonts w:hint="eastAsia" w:ascii="宋体" w:hAnsi="宋体" w:eastAsia="宋体" w:cs="宋体"/>
          <w:b/>
          <w:color w:val="000000"/>
          <w:sz w:val="30"/>
          <w:szCs w:val="30"/>
          <w:lang w:eastAsia="zh-CN"/>
        </w:rPr>
        <w:t>项目编号：JSZC-320924-YCBR-C2026-0003</w:t>
      </w:r>
    </w:p>
    <w:p w14:paraId="4F3CA4E9">
      <w:pPr>
        <w:pBdr>
          <w:top w:val="none" w:color="000000" w:sz="0" w:space="0"/>
          <w:left w:val="none" w:color="000000" w:sz="0" w:space="0"/>
          <w:bottom w:val="none" w:color="000000" w:sz="0" w:space="0"/>
          <w:right w:val="none" w:color="000000" w:sz="0" w:space="0"/>
        </w:pBdr>
        <w:spacing w:before="240" w:after="240"/>
        <w:ind w:left="0" w:right="0" w:firstLine="0"/>
        <w:rPr>
          <w:rFonts w:ascii="宋体" w:hAnsi="宋体" w:eastAsia="宋体" w:cs="宋体"/>
          <w:b/>
          <w:color w:val="000000"/>
          <w:sz w:val="30"/>
          <w:szCs w:val="30"/>
        </w:rPr>
      </w:pPr>
    </w:p>
    <w:p w14:paraId="66AD5818">
      <w:pPr>
        <w:pBdr>
          <w:top w:val="none" w:color="000000" w:sz="0" w:space="0"/>
          <w:left w:val="none" w:color="000000" w:sz="0" w:space="0"/>
          <w:bottom w:val="none" w:color="000000" w:sz="0" w:space="0"/>
          <w:right w:val="none" w:color="000000" w:sz="0" w:space="0"/>
        </w:pBdr>
        <w:spacing w:before="240" w:after="240" w:line="600" w:lineRule="atLeast"/>
        <w:ind w:left="1795" w:leftChars="568" w:right="0" w:hanging="602" w:hangingChars="200"/>
        <w:jc w:val="both"/>
        <w:rPr>
          <w:rFonts w:hint="eastAsia" w:ascii="宋体" w:hAnsi="宋体" w:eastAsia="宋体" w:cs="宋体"/>
          <w:b/>
          <w:color w:val="000000"/>
          <w:sz w:val="30"/>
          <w:szCs w:val="30"/>
          <w:lang w:eastAsia="zh-CN"/>
        </w:rPr>
      </w:pPr>
      <w:r>
        <w:rPr>
          <w:rFonts w:ascii="宋体" w:hAnsi="宋体" w:eastAsia="宋体" w:cs="宋体"/>
          <w:b/>
          <w:color w:val="000000"/>
          <w:sz w:val="30"/>
          <w:szCs w:val="30"/>
        </w:rPr>
        <w:t>项目名称：</w:t>
      </w:r>
      <w:r>
        <w:rPr>
          <w:rFonts w:hint="eastAsia" w:ascii="宋体" w:hAnsi="宋体" w:eastAsia="宋体" w:cs="宋体"/>
          <w:b/>
          <w:color w:val="000000"/>
          <w:sz w:val="30"/>
          <w:szCs w:val="30"/>
          <w:lang w:eastAsia="zh-CN"/>
        </w:rPr>
        <w:t>射阳港经济开发区限值限量监测监控运维与环保管家服务项目</w:t>
      </w:r>
    </w:p>
    <w:p w14:paraId="7FC26629">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color w:val="000000"/>
          <w:sz w:val="32"/>
        </w:rPr>
      </w:pPr>
    </w:p>
    <w:p w14:paraId="06E77C0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32"/>
        </w:rPr>
        <w:t> </w:t>
      </w:r>
    </w:p>
    <w:p w14:paraId="3324514F">
      <w:pPr>
        <w:pBdr>
          <w:top w:val="none" w:color="000000" w:sz="0" w:space="0"/>
          <w:left w:val="none" w:color="000000" w:sz="0" w:space="0"/>
          <w:bottom w:val="none" w:color="000000" w:sz="0" w:space="0"/>
          <w:right w:val="none" w:color="000000" w:sz="0" w:space="0"/>
        </w:pBdr>
        <w:spacing w:before="240" w:after="240"/>
        <w:ind w:left="0" w:right="0" w:firstLine="0"/>
        <w:rPr>
          <w:rFonts w:hint="eastAsia" w:ascii="宋体" w:hAnsi="宋体" w:eastAsia="宋体" w:cs="宋体"/>
          <w:b/>
          <w:bCs/>
          <w:sz w:val="36"/>
          <w:szCs w:val="36"/>
          <w:lang w:val="en-US" w:eastAsia="zh-CN"/>
        </w:rPr>
      </w:pPr>
      <w:r>
        <w:rPr>
          <w:rFonts w:ascii="宋体" w:hAnsi="宋体" w:eastAsia="宋体" w:cs="宋体"/>
          <w:color w:val="000000"/>
          <w:sz w:val="32"/>
        </w:rPr>
        <w:t> </w:t>
      </w:r>
    </w:p>
    <w:p w14:paraId="745C4EB3">
      <w:pPr>
        <w:pBdr>
          <w:top w:val="none" w:color="000000" w:sz="0" w:space="0"/>
          <w:left w:val="none" w:color="000000" w:sz="0" w:space="0"/>
          <w:bottom w:val="none" w:color="000000" w:sz="0" w:space="0"/>
          <w:right w:val="none" w:color="000000" w:sz="0" w:space="0"/>
        </w:pBdr>
        <w:spacing w:before="240" w:after="240"/>
        <w:ind w:left="0" w:right="0" w:firstLine="0"/>
        <w:jc w:val="center"/>
        <w:rPr>
          <w:rFonts w:hint="eastAsia" w:ascii="宋体" w:hAnsi="宋体" w:eastAsia="宋体" w:cs="宋体"/>
          <w:b/>
          <w:bCs/>
          <w:sz w:val="36"/>
          <w:szCs w:val="36"/>
          <w:lang w:val="en-US" w:eastAsia="zh-CN"/>
        </w:rPr>
      </w:pPr>
    </w:p>
    <w:p w14:paraId="14B61C1B">
      <w:pPr>
        <w:pBdr>
          <w:top w:val="none" w:color="000000" w:sz="0" w:space="0"/>
          <w:left w:val="none" w:color="000000" w:sz="0" w:space="0"/>
          <w:bottom w:val="none" w:color="000000" w:sz="0" w:space="0"/>
          <w:right w:val="none" w:color="000000" w:sz="0" w:space="0"/>
        </w:pBdr>
        <w:spacing w:before="240" w:after="240"/>
        <w:ind w:left="0" w:right="0" w:firstLine="0"/>
        <w:jc w:val="center"/>
        <w:rPr>
          <w:rFonts w:hint="eastAsia" w:ascii="宋体" w:hAnsi="宋体" w:eastAsia="宋体" w:cs="宋体"/>
          <w:b/>
          <w:bCs/>
          <w:sz w:val="36"/>
          <w:szCs w:val="36"/>
          <w:lang w:val="en-US" w:eastAsia="zh-CN"/>
        </w:rPr>
      </w:pPr>
    </w:p>
    <w:p w14:paraId="0D6D07CF">
      <w:pPr>
        <w:pBdr>
          <w:top w:val="none" w:color="000000" w:sz="0" w:space="0"/>
          <w:left w:val="none" w:color="000000" w:sz="0" w:space="0"/>
          <w:bottom w:val="none" w:color="000000" w:sz="0" w:space="0"/>
          <w:right w:val="none" w:color="000000" w:sz="0" w:space="0"/>
        </w:pBdr>
        <w:spacing w:before="240" w:after="240"/>
        <w:ind w:left="0" w:right="0" w:firstLine="0"/>
        <w:jc w:val="center"/>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江苏射阳港经济开发区管理委员会</w:t>
      </w:r>
    </w:p>
    <w:p w14:paraId="3DFD4C3B">
      <w:pPr>
        <w:pStyle w:val="236"/>
        <w:ind w:left="0" w:firstLine="0"/>
        <w:jc w:val="center"/>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盐城宝融项目管理有限公司</w:t>
      </w:r>
    </w:p>
    <w:p w14:paraId="4FF16443">
      <w:pPr>
        <w:pStyle w:val="237"/>
        <w:jc w:val="center"/>
        <w:rPr>
          <w:rFonts w:hint="eastAsia" w:ascii="宋体" w:hAnsi="宋体" w:eastAsia="宋体" w:cs="宋体"/>
          <w:b/>
          <w:bCs/>
          <w:sz w:val="30"/>
          <w:szCs w:val="30"/>
          <w:lang w:val="en-US" w:eastAsia="zh-CN"/>
        </w:rPr>
      </w:pPr>
    </w:p>
    <w:p w14:paraId="240DDA04">
      <w:pPr>
        <w:pStyle w:val="237"/>
        <w:jc w:val="center"/>
        <w:rPr>
          <w:rFonts w:hint="eastAsia" w:ascii="宋体" w:hAnsi="宋体" w:cs="宋体"/>
          <w:b/>
          <w:bCs/>
          <w:sz w:val="30"/>
          <w:szCs w:val="30"/>
          <w:highlight w:val="none"/>
        </w:rPr>
      </w:pPr>
      <w:r>
        <w:rPr>
          <w:rFonts w:hint="eastAsia" w:ascii="宋体" w:hAnsi="宋体" w:eastAsia="宋体" w:cs="宋体"/>
          <w:b/>
          <w:bCs/>
          <w:sz w:val="30"/>
          <w:szCs w:val="30"/>
          <w:lang w:val="en-US" w:eastAsia="zh-CN"/>
        </w:rPr>
        <w:t>2026年06月</w:t>
      </w:r>
    </w:p>
    <w:p w14:paraId="4855CE41">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01158942">
      <w:pPr>
        <w:pStyle w:val="27"/>
        <w:spacing w:before="120" w:beforeAutospacing="0" w:after="120" w:afterAutospacing="0" w:line="360" w:lineRule="auto"/>
        <w:jc w:val="both"/>
        <w:rPr>
          <w:rFonts w:ascii="Times New Roman" w:hAnsi="Times New Roman"/>
          <w:color w:val="auto"/>
          <w:sz w:val="21"/>
          <w:szCs w:val="21"/>
          <w:highlight w:val="none"/>
        </w:rPr>
        <w:sectPr>
          <w:footerReference r:id="rId3" w:type="default"/>
          <w:pgSz w:w="11906" w:h="16838"/>
          <w:pgMar w:top="1440" w:right="1800" w:bottom="1440" w:left="1800" w:header="851" w:footer="992" w:gutter="0"/>
          <w:cols w:space="425" w:num="1"/>
          <w:docGrid w:linePitch="360" w:charSpace="0"/>
        </w:sectPr>
      </w:pPr>
    </w:p>
    <w:p w14:paraId="623D5B41">
      <w:pPr>
        <w:pStyle w:val="27"/>
        <w:spacing w:beforeAutospacing="0" w:afterAutospacing="0" w:line="480" w:lineRule="auto"/>
        <w:ind w:firstLine="3253" w:firstLineChars="900"/>
        <w:jc w:val="both"/>
        <w:rPr>
          <w:color w:val="auto"/>
          <w:highlight w:val="none"/>
        </w:rPr>
      </w:pPr>
      <w:bookmarkStart w:id="0" w:name="_Toc523127445"/>
      <w:bookmarkStart w:id="1" w:name="_Toc479757206"/>
      <w:bookmarkStart w:id="2" w:name="_Toc20823272"/>
      <w:bookmarkStart w:id="3" w:name="_Toc513029200"/>
      <w:bookmarkStart w:id="4" w:name="_Toc16938516"/>
      <w:bookmarkStart w:id="5" w:name="_Toc120614210"/>
      <w:r>
        <w:rPr>
          <w:rStyle w:val="213"/>
          <w:rFonts w:hint="default"/>
          <w:color w:val="auto"/>
          <w:highlight w:val="none"/>
        </w:rPr>
        <w:t>总  目  录</w:t>
      </w:r>
      <w:bookmarkEnd w:id="0"/>
      <w:bookmarkEnd w:id="1"/>
      <w:bookmarkEnd w:id="2"/>
      <w:bookmarkEnd w:id="3"/>
      <w:bookmarkEnd w:id="4"/>
      <w:bookmarkEnd w:id="5"/>
    </w:p>
    <w:p w14:paraId="285C18A9">
      <w:pPr>
        <w:pStyle w:val="27"/>
        <w:spacing w:beforeAutospacing="0" w:afterAutospacing="0" w:line="480" w:lineRule="auto"/>
        <w:jc w:val="both"/>
        <w:rPr>
          <w:color w:val="auto"/>
          <w:highlight w:val="none"/>
        </w:rPr>
      </w:pPr>
      <w:r>
        <w:rPr>
          <w:color w:val="auto"/>
          <w:highlight w:val="none"/>
        </w:rPr>
        <w:t> </w:t>
      </w:r>
    </w:p>
    <w:sdt>
      <w:sdtPr>
        <w:rPr>
          <w:rFonts w:asciiTheme="minorHAnsi" w:hAnsiTheme="minorHAnsi" w:eastAsiaTheme="minorEastAsia" w:cstheme="minorBidi"/>
          <w:color w:val="auto"/>
          <w:sz w:val="21"/>
          <w:szCs w:val="24"/>
          <w:highlight w:val="none"/>
          <w:lang w:val="zh-CN"/>
        </w:rPr>
        <w:id w:val="7912146"/>
        <w:docPartObj>
          <w:docPartGallery w:val="Table of Contents"/>
          <w:docPartUnique/>
        </w:docPartObj>
      </w:sdtPr>
      <w:sdtEndPr>
        <w:rPr>
          <w:rFonts w:asciiTheme="minorHAnsi" w:hAnsiTheme="minorHAnsi" w:eastAsiaTheme="minorEastAsia" w:cstheme="minorBidi"/>
          <w:color w:val="auto"/>
          <w:sz w:val="21"/>
          <w:szCs w:val="24"/>
          <w:highlight w:val="none"/>
          <w:lang w:val="zh-CN"/>
        </w:rPr>
      </w:sdtEndPr>
      <w:sdtContent>
        <w:p w14:paraId="516DEB94">
          <w:pPr>
            <w:pStyle w:val="201"/>
            <w:tabs>
              <w:tab w:val="left" w:pos="1515"/>
            </w:tabs>
            <w:rPr>
              <w:color w:val="auto"/>
              <w:highlight w:val="none"/>
            </w:rPr>
          </w:pPr>
        </w:p>
        <w:p w14:paraId="4EC25005">
          <w:pPr>
            <w:pStyle w:val="19"/>
            <w:tabs>
              <w:tab w:val="right" w:leader="dot" w:pos="8296"/>
            </w:tabs>
            <w:spacing w:line="480" w:lineRule="auto"/>
            <w:ind w:firstLine="843" w:firstLineChars="400"/>
            <w:rPr>
              <w:rFonts w:ascii="宋体" w:hAnsi="宋体" w:eastAsia="宋体"/>
              <w:b/>
              <w:color w:val="auto"/>
              <w:sz w:val="28"/>
              <w:szCs w:val="28"/>
              <w:highlight w:val="none"/>
            </w:rPr>
          </w:pPr>
          <w:r>
            <w:rPr>
              <w:b/>
              <w:color w:val="auto"/>
              <w:highlight w:val="none"/>
            </w:rPr>
            <w:fldChar w:fldCharType="begin"/>
          </w:r>
          <w:r>
            <w:rPr>
              <w:b/>
              <w:color w:val="auto"/>
              <w:highlight w:val="none"/>
            </w:rPr>
            <w:instrText xml:space="preserve"> TOC \o "1-3" \h \z \u </w:instrText>
          </w:r>
          <w:r>
            <w:rPr>
              <w:b/>
              <w:color w:val="auto"/>
              <w:highlight w:val="none"/>
            </w:rPr>
            <w:fldChar w:fldCharType="separate"/>
          </w:r>
          <w:r>
            <w:rPr>
              <w:color w:val="auto"/>
              <w:highlight w:val="none"/>
            </w:rPr>
            <w:fldChar w:fldCharType="begin"/>
          </w:r>
          <w:r>
            <w:rPr>
              <w:color w:val="auto"/>
              <w:highlight w:val="none"/>
            </w:rPr>
            <w:instrText xml:space="preserve"> HYPERLINK \l "_Toc198284254" </w:instrText>
          </w:r>
          <w:r>
            <w:rPr>
              <w:color w:val="auto"/>
              <w:highlight w:val="none"/>
            </w:rPr>
            <w:fldChar w:fldCharType="separate"/>
          </w:r>
          <w:r>
            <w:rPr>
              <w:rStyle w:val="36"/>
              <w:rFonts w:hint="eastAsia" w:ascii="宋体" w:hAnsi="宋体" w:eastAsia="宋体"/>
              <w:b/>
              <w:color w:val="auto"/>
              <w:sz w:val="28"/>
              <w:szCs w:val="28"/>
              <w:highlight w:val="none"/>
            </w:rPr>
            <w:t>第一章</w:t>
          </w:r>
          <w:r>
            <w:rPr>
              <w:rStyle w:val="36"/>
              <w:rFonts w:ascii="宋体" w:hAnsi="宋体" w:eastAsia="宋体"/>
              <w:b/>
              <w:color w:val="auto"/>
              <w:sz w:val="28"/>
              <w:szCs w:val="28"/>
              <w:highlight w:val="none"/>
            </w:rPr>
            <w:t xml:space="preserve">  </w:t>
          </w:r>
          <w:r>
            <w:rPr>
              <w:rStyle w:val="36"/>
              <w:rFonts w:hint="eastAsia" w:ascii="宋体" w:hAnsi="宋体" w:eastAsia="宋体"/>
              <w:b/>
              <w:color w:val="auto"/>
              <w:sz w:val="28"/>
              <w:szCs w:val="28"/>
              <w:highlight w:val="none"/>
            </w:rPr>
            <w:t>竞争性磋商公告</w:t>
          </w:r>
          <w:r>
            <w:rPr>
              <w:rFonts w:ascii="宋体" w:hAnsi="宋体" w:eastAsia="宋体"/>
              <w:b/>
              <w:color w:val="auto"/>
              <w:sz w:val="28"/>
              <w:szCs w:val="28"/>
              <w:highlight w:val="none"/>
            </w:rPr>
            <w:fldChar w:fldCharType="end"/>
          </w:r>
        </w:p>
        <w:p w14:paraId="16CCA99B">
          <w:pPr>
            <w:pStyle w:val="19"/>
            <w:tabs>
              <w:tab w:val="right" w:leader="dot" w:pos="8296"/>
            </w:tabs>
            <w:spacing w:line="480" w:lineRule="auto"/>
            <w:ind w:firstLine="840" w:firstLineChars="400"/>
            <w:rPr>
              <w:rFonts w:ascii="宋体" w:hAnsi="宋体" w:eastAsia="宋体"/>
              <w:b/>
              <w:color w:val="auto"/>
              <w:sz w:val="28"/>
              <w:szCs w:val="28"/>
              <w:highlight w:val="none"/>
            </w:rPr>
          </w:pPr>
          <w:r>
            <w:rPr>
              <w:color w:val="auto"/>
              <w:highlight w:val="none"/>
            </w:rPr>
            <w:fldChar w:fldCharType="begin"/>
          </w:r>
          <w:r>
            <w:rPr>
              <w:color w:val="auto"/>
              <w:highlight w:val="none"/>
            </w:rPr>
            <w:instrText xml:space="preserve"> HYPERLINK \l "_Toc198284255" </w:instrText>
          </w:r>
          <w:r>
            <w:rPr>
              <w:color w:val="auto"/>
              <w:highlight w:val="none"/>
            </w:rPr>
            <w:fldChar w:fldCharType="separate"/>
          </w:r>
          <w:r>
            <w:rPr>
              <w:rStyle w:val="36"/>
              <w:rFonts w:hint="eastAsia" w:ascii="宋体" w:hAnsi="宋体" w:eastAsia="宋体"/>
              <w:b/>
              <w:color w:val="auto"/>
              <w:sz w:val="28"/>
              <w:szCs w:val="28"/>
              <w:highlight w:val="none"/>
            </w:rPr>
            <w:t>第二章</w:t>
          </w:r>
          <w:r>
            <w:rPr>
              <w:rStyle w:val="36"/>
              <w:rFonts w:ascii="宋体" w:hAnsi="宋体" w:eastAsia="宋体"/>
              <w:b/>
              <w:color w:val="auto"/>
              <w:sz w:val="28"/>
              <w:szCs w:val="28"/>
              <w:highlight w:val="none"/>
            </w:rPr>
            <w:t xml:space="preserve">  </w:t>
          </w:r>
          <w:r>
            <w:rPr>
              <w:rStyle w:val="36"/>
              <w:rFonts w:hint="eastAsia" w:ascii="宋体" w:hAnsi="宋体" w:eastAsia="宋体"/>
              <w:b/>
              <w:color w:val="auto"/>
              <w:sz w:val="28"/>
              <w:szCs w:val="28"/>
              <w:highlight w:val="none"/>
            </w:rPr>
            <w:t>供应商须知</w:t>
          </w:r>
          <w:r>
            <w:rPr>
              <w:rFonts w:ascii="宋体" w:hAnsi="宋体" w:eastAsia="宋体"/>
              <w:b/>
              <w:color w:val="auto"/>
              <w:sz w:val="28"/>
              <w:szCs w:val="28"/>
              <w:highlight w:val="none"/>
            </w:rPr>
            <w:fldChar w:fldCharType="end"/>
          </w:r>
        </w:p>
        <w:p w14:paraId="167D4B31">
          <w:pPr>
            <w:pStyle w:val="19"/>
            <w:tabs>
              <w:tab w:val="right" w:leader="dot" w:pos="8296"/>
            </w:tabs>
            <w:spacing w:line="480" w:lineRule="auto"/>
            <w:ind w:firstLine="840" w:firstLineChars="400"/>
            <w:rPr>
              <w:rFonts w:ascii="宋体" w:hAnsi="宋体" w:eastAsia="宋体"/>
              <w:b/>
              <w:color w:val="auto"/>
              <w:sz w:val="28"/>
              <w:szCs w:val="28"/>
              <w:highlight w:val="none"/>
            </w:rPr>
          </w:pPr>
          <w:r>
            <w:rPr>
              <w:color w:val="auto"/>
              <w:highlight w:val="none"/>
            </w:rPr>
            <w:fldChar w:fldCharType="begin"/>
          </w:r>
          <w:r>
            <w:rPr>
              <w:color w:val="auto"/>
              <w:highlight w:val="none"/>
            </w:rPr>
            <w:instrText xml:space="preserve"> HYPERLINK \l "_Toc198284256" </w:instrText>
          </w:r>
          <w:r>
            <w:rPr>
              <w:color w:val="auto"/>
              <w:highlight w:val="none"/>
            </w:rPr>
            <w:fldChar w:fldCharType="separate"/>
          </w:r>
          <w:r>
            <w:rPr>
              <w:rStyle w:val="36"/>
              <w:rFonts w:hint="eastAsia" w:ascii="宋体" w:hAnsi="宋体" w:eastAsia="宋体"/>
              <w:b/>
              <w:color w:val="auto"/>
              <w:sz w:val="28"/>
              <w:szCs w:val="28"/>
              <w:highlight w:val="none"/>
            </w:rPr>
            <w:t>第三章</w:t>
          </w:r>
          <w:r>
            <w:rPr>
              <w:rStyle w:val="36"/>
              <w:rFonts w:ascii="宋体" w:hAnsi="宋体" w:eastAsia="宋体"/>
              <w:b/>
              <w:color w:val="auto"/>
              <w:sz w:val="28"/>
              <w:szCs w:val="28"/>
              <w:highlight w:val="none"/>
            </w:rPr>
            <w:t xml:space="preserve">  </w:t>
          </w:r>
          <w:r>
            <w:rPr>
              <w:rStyle w:val="36"/>
              <w:rFonts w:hint="eastAsia" w:ascii="宋体" w:hAnsi="宋体" w:eastAsia="宋体"/>
              <w:b/>
              <w:color w:val="auto"/>
              <w:sz w:val="28"/>
              <w:szCs w:val="28"/>
              <w:highlight w:val="none"/>
            </w:rPr>
            <w:t>合同文本</w:t>
          </w:r>
          <w:r>
            <w:rPr>
              <w:rFonts w:ascii="宋体" w:hAnsi="宋体" w:eastAsia="宋体"/>
              <w:b/>
              <w:color w:val="auto"/>
              <w:sz w:val="28"/>
              <w:szCs w:val="28"/>
              <w:highlight w:val="none"/>
            </w:rPr>
            <w:fldChar w:fldCharType="end"/>
          </w:r>
        </w:p>
        <w:p w14:paraId="649D6656">
          <w:pPr>
            <w:pStyle w:val="19"/>
            <w:tabs>
              <w:tab w:val="right" w:leader="dot" w:pos="8296"/>
            </w:tabs>
            <w:spacing w:line="480" w:lineRule="auto"/>
            <w:ind w:firstLine="840" w:firstLineChars="400"/>
            <w:rPr>
              <w:rFonts w:ascii="宋体" w:hAnsi="宋体" w:eastAsia="宋体"/>
              <w:b/>
              <w:color w:val="auto"/>
              <w:sz w:val="28"/>
              <w:szCs w:val="28"/>
              <w:highlight w:val="none"/>
            </w:rPr>
          </w:pPr>
          <w:r>
            <w:rPr>
              <w:color w:val="auto"/>
              <w:highlight w:val="none"/>
            </w:rPr>
            <w:fldChar w:fldCharType="begin"/>
          </w:r>
          <w:r>
            <w:rPr>
              <w:color w:val="auto"/>
              <w:highlight w:val="none"/>
            </w:rPr>
            <w:instrText xml:space="preserve"> HYPERLINK \l "_Toc198284257" </w:instrText>
          </w:r>
          <w:r>
            <w:rPr>
              <w:color w:val="auto"/>
              <w:highlight w:val="none"/>
            </w:rPr>
            <w:fldChar w:fldCharType="separate"/>
          </w:r>
          <w:r>
            <w:rPr>
              <w:rStyle w:val="36"/>
              <w:rFonts w:hint="eastAsia" w:ascii="宋体" w:hAnsi="宋体" w:eastAsia="宋体"/>
              <w:b/>
              <w:color w:val="auto"/>
              <w:sz w:val="28"/>
              <w:szCs w:val="28"/>
              <w:highlight w:val="none"/>
            </w:rPr>
            <w:t xml:space="preserve">第四章 </w:t>
          </w:r>
          <w:r>
            <w:rPr>
              <w:rStyle w:val="36"/>
              <w:rFonts w:hint="eastAsia" w:ascii="宋体" w:hAnsi="宋体" w:eastAsia="宋体"/>
              <w:b/>
              <w:color w:val="auto"/>
              <w:sz w:val="28"/>
              <w:szCs w:val="28"/>
              <w:highlight w:val="none"/>
              <w:lang w:val="en-US" w:eastAsia="zh-CN"/>
            </w:rPr>
            <w:t xml:space="preserve">  </w:t>
          </w:r>
          <w:r>
            <w:rPr>
              <w:rStyle w:val="36"/>
              <w:rFonts w:hint="eastAsia" w:ascii="宋体" w:hAnsi="宋体" w:eastAsia="宋体"/>
              <w:b/>
              <w:color w:val="auto"/>
              <w:sz w:val="28"/>
              <w:szCs w:val="28"/>
              <w:highlight w:val="none"/>
            </w:rPr>
            <w:t>采购需求</w:t>
          </w:r>
          <w:r>
            <w:rPr>
              <w:rFonts w:ascii="宋体" w:hAnsi="宋体" w:eastAsia="宋体"/>
              <w:b/>
              <w:color w:val="auto"/>
              <w:sz w:val="28"/>
              <w:szCs w:val="28"/>
              <w:highlight w:val="none"/>
            </w:rPr>
            <w:fldChar w:fldCharType="end"/>
          </w:r>
        </w:p>
        <w:p w14:paraId="2CF53376">
          <w:pPr>
            <w:pStyle w:val="19"/>
            <w:tabs>
              <w:tab w:val="right" w:leader="dot" w:pos="8296"/>
            </w:tabs>
            <w:spacing w:line="480" w:lineRule="auto"/>
            <w:ind w:firstLine="840" w:firstLineChars="400"/>
            <w:rPr>
              <w:rFonts w:ascii="宋体" w:hAnsi="宋体" w:eastAsia="宋体"/>
              <w:b/>
              <w:color w:val="auto"/>
              <w:sz w:val="28"/>
              <w:szCs w:val="28"/>
              <w:highlight w:val="none"/>
            </w:rPr>
          </w:pPr>
          <w:r>
            <w:rPr>
              <w:color w:val="auto"/>
              <w:highlight w:val="none"/>
            </w:rPr>
            <w:fldChar w:fldCharType="begin"/>
          </w:r>
          <w:r>
            <w:rPr>
              <w:color w:val="auto"/>
              <w:highlight w:val="none"/>
            </w:rPr>
            <w:instrText xml:space="preserve"> HYPERLINK \l "_Toc198284258" </w:instrText>
          </w:r>
          <w:r>
            <w:rPr>
              <w:color w:val="auto"/>
              <w:highlight w:val="none"/>
            </w:rPr>
            <w:fldChar w:fldCharType="separate"/>
          </w:r>
          <w:r>
            <w:rPr>
              <w:rStyle w:val="36"/>
              <w:rFonts w:hint="eastAsia" w:ascii="宋体" w:hAnsi="宋体" w:eastAsia="宋体"/>
              <w:b/>
              <w:color w:val="auto"/>
              <w:sz w:val="28"/>
              <w:szCs w:val="28"/>
              <w:highlight w:val="none"/>
            </w:rPr>
            <w:t>第五章</w:t>
          </w:r>
          <w:r>
            <w:rPr>
              <w:rStyle w:val="36"/>
              <w:rFonts w:ascii="宋体" w:hAnsi="宋体" w:eastAsia="宋体"/>
              <w:b/>
              <w:color w:val="auto"/>
              <w:sz w:val="28"/>
              <w:szCs w:val="28"/>
              <w:highlight w:val="none"/>
            </w:rPr>
            <w:t xml:space="preserve">  </w:t>
          </w:r>
          <w:r>
            <w:rPr>
              <w:rStyle w:val="36"/>
              <w:rFonts w:hint="eastAsia" w:ascii="宋体" w:hAnsi="宋体" w:eastAsia="宋体"/>
              <w:b/>
              <w:color w:val="auto"/>
              <w:sz w:val="28"/>
              <w:szCs w:val="28"/>
              <w:highlight w:val="none"/>
            </w:rPr>
            <w:t>评审方法与评审标准</w:t>
          </w:r>
          <w:r>
            <w:rPr>
              <w:rFonts w:ascii="宋体" w:hAnsi="宋体" w:eastAsia="宋体"/>
              <w:b/>
              <w:color w:val="auto"/>
              <w:sz w:val="28"/>
              <w:szCs w:val="28"/>
              <w:highlight w:val="none"/>
            </w:rPr>
            <w:fldChar w:fldCharType="end"/>
          </w:r>
        </w:p>
        <w:p w14:paraId="36113FD9">
          <w:pPr>
            <w:pStyle w:val="19"/>
            <w:tabs>
              <w:tab w:val="right" w:leader="dot" w:pos="8296"/>
            </w:tabs>
            <w:spacing w:line="480" w:lineRule="auto"/>
            <w:ind w:firstLine="840" w:firstLineChars="400"/>
            <w:rPr>
              <w:color w:val="auto"/>
              <w:szCs w:val="22"/>
              <w:highlight w:val="none"/>
            </w:rPr>
          </w:pPr>
          <w:r>
            <w:rPr>
              <w:color w:val="auto"/>
              <w:highlight w:val="none"/>
            </w:rPr>
            <w:fldChar w:fldCharType="begin"/>
          </w:r>
          <w:r>
            <w:rPr>
              <w:color w:val="auto"/>
              <w:highlight w:val="none"/>
            </w:rPr>
            <w:instrText xml:space="preserve"> HYPERLINK \l "_Toc198284259" </w:instrText>
          </w:r>
          <w:r>
            <w:rPr>
              <w:color w:val="auto"/>
              <w:highlight w:val="none"/>
            </w:rPr>
            <w:fldChar w:fldCharType="separate"/>
          </w:r>
          <w:r>
            <w:rPr>
              <w:rStyle w:val="36"/>
              <w:rFonts w:hint="eastAsia" w:ascii="宋体" w:hAnsi="宋体" w:eastAsia="宋体"/>
              <w:b/>
              <w:color w:val="auto"/>
              <w:sz w:val="28"/>
              <w:szCs w:val="28"/>
              <w:highlight w:val="none"/>
            </w:rPr>
            <w:t>第六章</w:t>
          </w:r>
          <w:r>
            <w:rPr>
              <w:rStyle w:val="36"/>
              <w:rFonts w:ascii="宋体" w:hAnsi="宋体" w:eastAsia="宋体"/>
              <w:b/>
              <w:color w:val="auto"/>
              <w:sz w:val="28"/>
              <w:szCs w:val="28"/>
              <w:highlight w:val="none"/>
            </w:rPr>
            <w:t xml:space="preserve">  </w:t>
          </w:r>
          <w:r>
            <w:rPr>
              <w:rStyle w:val="36"/>
              <w:rFonts w:hint="eastAsia" w:ascii="宋体" w:hAnsi="宋体" w:eastAsia="宋体"/>
              <w:b/>
              <w:color w:val="auto"/>
              <w:sz w:val="28"/>
              <w:szCs w:val="28"/>
              <w:highlight w:val="none"/>
            </w:rPr>
            <w:t>响应文件格式</w:t>
          </w:r>
          <w:r>
            <w:rPr>
              <w:rFonts w:ascii="宋体" w:hAnsi="宋体" w:eastAsia="宋体"/>
              <w:b/>
              <w:color w:val="auto"/>
              <w:sz w:val="28"/>
              <w:szCs w:val="28"/>
              <w:highlight w:val="none"/>
            </w:rPr>
            <w:fldChar w:fldCharType="end"/>
          </w:r>
        </w:p>
        <w:p w14:paraId="350AC652">
          <w:pPr>
            <w:rPr>
              <w:color w:val="auto"/>
              <w:highlight w:val="none"/>
            </w:rPr>
          </w:pPr>
          <w:r>
            <w:rPr>
              <w:b/>
              <w:color w:val="auto"/>
              <w:highlight w:val="none"/>
            </w:rPr>
            <w:fldChar w:fldCharType="end"/>
          </w:r>
        </w:p>
      </w:sdtContent>
    </w:sdt>
    <w:p w14:paraId="0EDA573E">
      <w:pPr>
        <w:pStyle w:val="27"/>
        <w:spacing w:beforeAutospacing="0" w:afterAutospacing="0"/>
        <w:jc w:val="both"/>
        <w:rPr>
          <w:color w:val="auto"/>
          <w:highlight w:val="none"/>
        </w:rPr>
      </w:pPr>
      <w:r>
        <w:rPr>
          <w:color w:val="auto"/>
          <w:highlight w:val="none"/>
        </w:rPr>
        <w:t> </w:t>
      </w:r>
    </w:p>
    <w:p w14:paraId="56001135">
      <w:pPr>
        <w:pStyle w:val="27"/>
        <w:spacing w:beforeAutospacing="0" w:afterAutospacing="0"/>
        <w:jc w:val="both"/>
        <w:rPr>
          <w:color w:val="auto"/>
          <w:highlight w:val="none"/>
        </w:rPr>
      </w:pPr>
      <w:r>
        <w:rPr>
          <w:color w:val="auto"/>
          <w:highlight w:val="none"/>
        </w:rPr>
        <w:t> </w:t>
      </w:r>
    </w:p>
    <w:p w14:paraId="77702256">
      <w:pPr>
        <w:pStyle w:val="27"/>
        <w:spacing w:beforeAutospacing="0" w:afterAutospacing="0"/>
        <w:jc w:val="both"/>
        <w:rPr>
          <w:color w:val="auto"/>
          <w:highlight w:val="none"/>
        </w:rPr>
      </w:pPr>
      <w:r>
        <w:rPr>
          <w:color w:val="auto"/>
          <w:highlight w:val="none"/>
        </w:rPr>
        <w:t> </w:t>
      </w:r>
    </w:p>
    <w:p w14:paraId="1B33268A">
      <w:pPr>
        <w:pStyle w:val="27"/>
        <w:spacing w:beforeAutospacing="0" w:afterAutospacing="0"/>
        <w:jc w:val="both"/>
        <w:rPr>
          <w:color w:val="auto"/>
          <w:highlight w:val="none"/>
        </w:rPr>
      </w:pPr>
      <w:r>
        <w:rPr>
          <w:color w:val="auto"/>
          <w:highlight w:val="none"/>
        </w:rPr>
        <w:t> </w:t>
      </w:r>
    </w:p>
    <w:p w14:paraId="1AECFCBC">
      <w:pPr>
        <w:pStyle w:val="27"/>
        <w:spacing w:beforeAutospacing="0" w:afterAutospacing="0"/>
        <w:jc w:val="both"/>
        <w:rPr>
          <w:color w:val="auto"/>
          <w:highlight w:val="none"/>
        </w:rPr>
      </w:pPr>
      <w:r>
        <w:rPr>
          <w:color w:val="auto"/>
          <w:highlight w:val="none"/>
        </w:rPr>
        <w:t> </w:t>
      </w:r>
    </w:p>
    <w:p w14:paraId="42524844">
      <w:pPr>
        <w:pStyle w:val="27"/>
        <w:spacing w:beforeAutospacing="0" w:afterAutospacing="0"/>
        <w:jc w:val="both"/>
        <w:rPr>
          <w:color w:val="auto"/>
          <w:highlight w:val="none"/>
        </w:rPr>
      </w:pPr>
      <w:r>
        <w:rPr>
          <w:color w:val="auto"/>
          <w:highlight w:val="none"/>
        </w:rPr>
        <w:t> </w:t>
      </w:r>
    </w:p>
    <w:p w14:paraId="6CC01EDB">
      <w:pPr>
        <w:pStyle w:val="27"/>
        <w:spacing w:beforeAutospacing="0" w:afterAutospacing="0"/>
        <w:jc w:val="both"/>
        <w:rPr>
          <w:color w:val="auto"/>
          <w:highlight w:val="none"/>
        </w:rPr>
      </w:pPr>
      <w:r>
        <w:rPr>
          <w:color w:val="auto"/>
          <w:highlight w:val="none"/>
        </w:rPr>
        <w:t> </w:t>
      </w:r>
    </w:p>
    <w:p w14:paraId="0209A889">
      <w:pPr>
        <w:pStyle w:val="27"/>
        <w:spacing w:beforeAutospacing="0" w:afterAutospacing="0"/>
        <w:jc w:val="both"/>
        <w:rPr>
          <w:color w:val="auto"/>
          <w:highlight w:val="none"/>
        </w:rPr>
      </w:pPr>
      <w:r>
        <w:rPr>
          <w:color w:val="auto"/>
          <w:highlight w:val="none"/>
        </w:rPr>
        <w:t> </w:t>
      </w:r>
    </w:p>
    <w:p w14:paraId="25C347C3">
      <w:pPr>
        <w:pStyle w:val="27"/>
        <w:spacing w:beforeAutospacing="0" w:afterAutospacing="0"/>
        <w:jc w:val="both"/>
        <w:rPr>
          <w:color w:val="auto"/>
          <w:highlight w:val="none"/>
        </w:rPr>
      </w:pPr>
      <w:r>
        <w:rPr>
          <w:color w:val="auto"/>
          <w:highlight w:val="none"/>
        </w:rPr>
        <w:t> </w:t>
      </w:r>
    </w:p>
    <w:p w14:paraId="190B9B6A">
      <w:pPr>
        <w:pStyle w:val="27"/>
        <w:spacing w:beforeAutospacing="0" w:afterAutospacing="0"/>
        <w:jc w:val="both"/>
        <w:rPr>
          <w:color w:val="auto"/>
          <w:highlight w:val="none"/>
        </w:rPr>
      </w:pPr>
      <w:r>
        <w:rPr>
          <w:color w:val="auto"/>
          <w:highlight w:val="none"/>
        </w:rPr>
        <w:t> </w:t>
      </w:r>
    </w:p>
    <w:p w14:paraId="637E4772">
      <w:pPr>
        <w:pStyle w:val="27"/>
        <w:spacing w:beforeAutospacing="0" w:afterAutospacing="0"/>
        <w:jc w:val="both"/>
        <w:rPr>
          <w:color w:val="auto"/>
          <w:highlight w:val="none"/>
        </w:rPr>
      </w:pPr>
      <w:r>
        <w:rPr>
          <w:color w:val="auto"/>
          <w:highlight w:val="none"/>
        </w:rPr>
        <w:t> </w:t>
      </w:r>
    </w:p>
    <w:p w14:paraId="690910F9">
      <w:pPr>
        <w:pStyle w:val="27"/>
        <w:spacing w:beforeAutospacing="0" w:afterAutospacing="0"/>
        <w:jc w:val="both"/>
        <w:rPr>
          <w:color w:val="auto"/>
          <w:highlight w:val="none"/>
        </w:rPr>
      </w:pPr>
      <w:r>
        <w:rPr>
          <w:color w:val="auto"/>
          <w:highlight w:val="none"/>
        </w:rPr>
        <w:t> </w:t>
      </w:r>
    </w:p>
    <w:p w14:paraId="22046964">
      <w:pPr>
        <w:pStyle w:val="27"/>
        <w:spacing w:beforeAutospacing="0" w:afterAutospacing="0"/>
        <w:jc w:val="both"/>
        <w:rPr>
          <w:color w:val="auto"/>
          <w:highlight w:val="none"/>
        </w:rPr>
      </w:pPr>
      <w:r>
        <w:rPr>
          <w:color w:val="auto"/>
          <w:highlight w:val="none"/>
        </w:rPr>
        <w:t> </w:t>
      </w:r>
    </w:p>
    <w:p w14:paraId="1B3EB236">
      <w:pPr>
        <w:pStyle w:val="27"/>
        <w:spacing w:beforeAutospacing="0" w:afterAutospacing="0"/>
        <w:jc w:val="both"/>
        <w:rPr>
          <w:color w:val="auto"/>
          <w:highlight w:val="none"/>
        </w:rPr>
      </w:pPr>
      <w:r>
        <w:rPr>
          <w:color w:val="auto"/>
          <w:highlight w:val="none"/>
        </w:rPr>
        <w:t> </w:t>
      </w:r>
    </w:p>
    <w:p w14:paraId="680D2049">
      <w:pPr>
        <w:pStyle w:val="27"/>
        <w:spacing w:beforeAutospacing="0" w:afterAutospacing="0"/>
        <w:jc w:val="both"/>
        <w:rPr>
          <w:color w:val="auto"/>
          <w:highlight w:val="none"/>
        </w:rPr>
      </w:pPr>
      <w:r>
        <w:rPr>
          <w:color w:val="auto"/>
          <w:highlight w:val="none"/>
        </w:rPr>
        <w:t> </w:t>
      </w:r>
    </w:p>
    <w:p w14:paraId="06B3AF21">
      <w:pPr>
        <w:pStyle w:val="27"/>
        <w:spacing w:beforeAutospacing="0" w:afterAutospacing="0"/>
        <w:jc w:val="both"/>
        <w:rPr>
          <w:color w:val="auto"/>
          <w:highlight w:val="none"/>
        </w:rPr>
      </w:pPr>
      <w:r>
        <w:rPr>
          <w:color w:val="auto"/>
          <w:highlight w:val="none"/>
        </w:rPr>
        <w:t> </w:t>
      </w:r>
    </w:p>
    <w:p w14:paraId="4F97341C">
      <w:pPr>
        <w:pStyle w:val="27"/>
        <w:spacing w:beforeAutospacing="0" w:afterAutospacing="0"/>
        <w:jc w:val="both"/>
        <w:rPr>
          <w:color w:val="auto"/>
          <w:highlight w:val="none"/>
        </w:rPr>
      </w:pPr>
      <w:r>
        <w:rPr>
          <w:color w:val="auto"/>
          <w:highlight w:val="none"/>
        </w:rPr>
        <w:t> </w:t>
      </w:r>
    </w:p>
    <w:p w14:paraId="5053346F">
      <w:pPr>
        <w:pStyle w:val="27"/>
        <w:spacing w:beforeAutospacing="0" w:afterAutospacing="0"/>
        <w:jc w:val="both"/>
        <w:rPr>
          <w:color w:val="auto"/>
          <w:highlight w:val="none"/>
        </w:rPr>
      </w:pPr>
      <w:r>
        <w:rPr>
          <w:color w:val="auto"/>
          <w:highlight w:val="none"/>
        </w:rPr>
        <w:t> </w:t>
      </w:r>
    </w:p>
    <w:p w14:paraId="6A2A45A9">
      <w:pPr>
        <w:pStyle w:val="27"/>
        <w:spacing w:beforeAutospacing="0" w:afterAutospacing="0"/>
        <w:jc w:val="both"/>
        <w:rPr>
          <w:color w:val="auto"/>
          <w:highlight w:val="none"/>
        </w:rPr>
      </w:pPr>
      <w:r>
        <w:rPr>
          <w:color w:val="auto"/>
          <w:highlight w:val="none"/>
        </w:rPr>
        <w:t> </w:t>
      </w:r>
    </w:p>
    <w:p w14:paraId="1366C7FA">
      <w:pPr>
        <w:pStyle w:val="27"/>
        <w:spacing w:beforeAutospacing="0" w:afterAutospacing="0"/>
        <w:jc w:val="both"/>
        <w:rPr>
          <w:color w:val="auto"/>
          <w:highlight w:val="none"/>
        </w:rPr>
      </w:pPr>
      <w:r>
        <w:rPr>
          <w:color w:val="auto"/>
          <w:highlight w:val="none"/>
        </w:rPr>
        <w:t> </w:t>
      </w:r>
    </w:p>
    <w:p w14:paraId="63B308DF">
      <w:pPr>
        <w:pStyle w:val="3"/>
        <w:jc w:val="center"/>
        <w:rPr>
          <w:rFonts w:hint="eastAsia"/>
          <w:color w:val="auto"/>
          <w:highlight w:val="none"/>
        </w:rPr>
        <w:sectPr>
          <w:footerReference r:id="rId4" w:type="default"/>
          <w:pgSz w:w="11906" w:h="16838"/>
          <w:pgMar w:top="1440" w:right="1800" w:bottom="1440" w:left="1380" w:header="851" w:footer="992" w:gutter="0"/>
          <w:pgNumType w:start="1"/>
          <w:cols w:space="425" w:num="1"/>
          <w:docGrid w:linePitch="360" w:charSpace="0"/>
        </w:sectPr>
      </w:pPr>
      <w:bookmarkStart w:id="6" w:name="_Toc198284254"/>
      <w:bookmarkStart w:id="7" w:name="_Toc28359086"/>
    </w:p>
    <w:p w14:paraId="37B38F1E">
      <w:pPr>
        <w:pStyle w:val="3"/>
        <w:pageBreakBefore w:val="0"/>
        <w:kinsoku/>
        <w:wordWrap/>
        <w:overflowPunct/>
        <w:topLinePunct w:val="0"/>
        <w:autoSpaceDE/>
        <w:autoSpaceDN/>
        <w:bidi w:val="0"/>
        <w:adjustRightInd/>
        <w:snapToGrid/>
        <w:spacing w:line="360" w:lineRule="auto"/>
        <w:jc w:val="center"/>
        <w:textAlignment w:val="auto"/>
        <w:rPr>
          <w:color w:val="auto"/>
          <w:sz w:val="28"/>
          <w:szCs w:val="28"/>
          <w:highlight w:val="none"/>
        </w:rPr>
      </w:pPr>
      <w:r>
        <w:rPr>
          <w:rFonts w:hint="eastAsia"/>
          <w:color w:val="auto"/>
          <w:sz w:val="28"/>
          <w:szCs w:val="28"/>
          <w:highlight w:val="none"/>
        </w:rPr>
        <w:t>第一章  竞争性磋商公告</w:t>
      </w:r>
      <w:bookmarkEnd w:id="6"/>
    </w:p>
    <w:p w14:paraId="6E105DA7">
      <w:pPr>
        <w:pStyle w:val="27"/>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项目概况：</w:t>
      </w:r>
    </w:p>
    <w:p w14:paraId="38BCF758">
      <w:pPr>
        <w:pStyle w:val="27"/>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lang w:eastAsia="zh-CN"/>
        </w:rPr>
        <w:t>射阳港经济开发区限值限量监测监控运维与环保管家服务项目</w:t>
      </w:r>
      <w:r>
        <w:rPr>
          <w:rFonts w:hint="eastAsia" w:ascii="宋体" w:hAnsi="宋体" w:eastAsia="宋体" w:cs="宋体"/>
          <w:color w:val="auto"/>
          <w:highlight w:val="none"/>
        </w:rPr>
        <w:t>采购项目的潜在供应商应在</w:t>
      </w:r>
      <w:r>
        <w:rPr>
          <w:rFonts w:hint="eastAsia" w:ascii="宋体" w:hAnsi="宋体" w:eastAsia="宋体" w:cs="宋体"/>
          <w:color w:val="auto"/>
          <w:highlight w:val="none"/>
          <w:shd w:val="clear" w:color="auto" w:fill="FFFFFF"/>
        </w:rPr>
        <w:t>“苏采云”系统内免费下载（投标人必须在苏采云系统中获</w:t>
      </w:r>
      <w:r>
        <w:rPr>
          <w:rFonts w:hint="eastAsia" w:ascii="宋体" w:hAnsi="宋体" w:eastAsia="宋体" w:cs="宋体"/>
          <w:color w:val="auto"/>
          <w:highlight w:val="none"/>
        </w:rPr>
        <w:t>取磋商文件，方</w:t>
      </w:r>
      <w:r>
        <w:rPr>
          <w:rFonts w:hint="eastAsia" w:ascii="宋体" w:hAnsi="宋体" w:eastAsia="宋体" w:cs="宋体"/>
          <w:color w:val="auto"/>
          <w:highlight w:val="none"/>
          <w:shd w:val="clear" w:color="auto" w:fill="FFFFFF"/>
        </w:rPr>
        <w:t>能参与政府采购项目）；</w:t>
      </w:r>
      <w:r>
        <w:rPr>
          <w:rFonts w:hint="eastAsia" w:ascii="宋体" w:hAnsi="宋体" w:eastAsia="宋体" w:cs="宋体"/>
          <w:color w:val="auto"/>
          <w:highlight w:val="none"/>
        </w:rPr>
        <w:t>并于</w:t>
      </w:r>
      <w:r>
        <w:rPr>
          <w:rFonts w:hint="eastAsia" w:ascii="宋体" w:hAnsi="宋体" w:eastAsia="宋体" w:cs="宋体"/>
          <w:color w:val="auto"/>
          <w:highlight w:val="none"/>
          <w:lang w:eastAsia="zh-CN"/>
        </w:rPr>
        <w:t>2026年</w:t>
      </w:r>
      <w:r>
        <w:rPr>
          <w:rFonts w:hint="eastAsia" w:ascii="宋体" w:hAnsi="宋体" w:eastAsia="宋体" w:cs="宋体"/>
          <w:color w:val="auto"/>
          <w:highlight w:val="none"/>
          <w:lang w:val="en-US" w:eastAsia="zh-CN"/>
        </w:rPr>
        <w:t>06</w:t>
      </w:r>
      <w:r>
        <w:rPr>
          <w:rFonts w:hint="eastAsia" w:ascii="宋体" w:hAnsi="宋体" w:eastAsia="宋体" w:cs="宋体"/>
          <w:color w:val="auto"/>
          <w:highlight w:val="none"/>
        </w:rPr>
        <w:t>月</w:t>
      </w:r>
      <w:r>
        <w:rPr>
          <w:rFonts w:hint="eastAsia" w:ascii="宋体" w:hAnsi="宋体" w:eastAsia="宋体" w:cs="宋体"/>
          <w:color w:val="auto"/>
          <w:highlight w:val="none"/>
          <w:lang w:val="en-US" w:eastAsia="zh-CN"/>
        </w:rPr>
        <w:t>29</w:t>
      </w:r>
      <w:r>
        <w:rPr>
          <w:rFonts w:hint="eastAsia" w:ascii="宋体" w:hAnsi="宋体" w:eastAsia="宋体" w:cs="宋体"/>
          <w:color w:val="auto"/>
          <w:highlight w:val="none"/>
        </w:rPr>
        <w:t>日</w:t>
      </w:r>
      <w:r>
        <w:rPr>
          <w:rFonts w:hint="eastAsia" w:ascii="宋体" w:hAnsi="宋体" w:eastAsia="宋体" w:cs="宋体"/>
          <w:color w:val="auto"/>
          <w:highlight w:val="none"/>
          <w:lang w:val="en-US" w:eastAsia="zh-CN"/>
        </w:rPr>
        <w:t>15</w:t>
      </w:r>
      <w:r>
        <w:rPr>
          <w:rFonts w:hint="eastAsia" w:ascii="宋体" w:hAnsi="宋体" w:eastAsia="宋体" w:cs="宋体"/>
          <w:color w:val="auto"/>
          <w:highlight w:val="none"/>
        </w:rPr>
        <w:t>点</w:t>
      </w:r>
      <w:r>
        <w:rPr>
          <w:rFonts w:hint="eastAsia" w:ascii="宋体" w:hAnsi="宋体" w:eastAsia="宋体" w:cs="宋体"/>
          <w:color w:val="auto"/>
          <w:highlight w:val="none"/>
          <w:lang w:val="en-US" w:eastAsia="zh-CN"/>
        </w:rPr>
        <w:t>00</w:t>
      </w:r>
      <w:r>
        <w:rPr>
          <w:rFonts w:hint="eastAsia" w:ascii="宋体" w:hAnsi="宋体" w:eastAsia="宋体" w:cs="宋体"/>
          <w:color w:val="auto"/>
          <w:highlight w:val="none"/>
        </w:rPr>
        <w:t>分（北京时间）前递交响应文件。</w:t>
      </w:r>
    </w:p>
    <w:p w14:paraId="093D7A2D">
      <w:pPr>
        <w:pStyle w:val="27"/>
        <w:keepNext/>
        <w:keepLines/>
        <w:pageBreakBefore w:val="0"/>
        <w:kinsoku/>
        <w:wordWrap/>
        <w:overflowPunct/>
        <w:topLinePunct w:val="0"/>
        <w:autoSpaceDE/>
        <w:autoSpaceDN/>
        <w:bidi w:val="0"/>
        <w:adjustRightInd/>
        <w:snapToGrid/>
        <w:spacing w:before="145" w:beforeAutospacing="0" w:after="145" w:afterAutospacing="0" w:line="360" w:lineRule="auto"/>
        <w:ind w:firstLine="498"/>
        <w:jc w:val="both"/>
        <w:textAlignment w:val="auto"/>
        <w:rPr>
          <w:rFonts w:ascii="宋体" w:hAnsi="宋体" w:eastAsia="宋体" w:cs="宋体"/>
          <w:color w:val="auto"/>
          <w:highlight w:val="none"/>
        </w:rPr>
      </w:pPr>
      <w:bookmarkStart w:id="8" w:name="_Toc35393790"/>
      <w:bookmarkStart w:id="9" w:name="_Toc28359002"/>
      <w:bookmarkStart w:id="10" w:name="_Hlk24379207"/>
      <w:bookmarkStart w:id="11" w:name="_Toc35393621"/>
      <w:bookmarkStart w:id="12" w:name="_Toc38985263"/>
      <w:bookmarkStart w:id="13" w:name="_Toc28359079"/>
      <w:r>
        <w:rPr>
          <w:rFonts w:hint="eastAsia" w:ascii="宋体" w:hAnsi="宋体" w:eastAsia="宋体" w:cs="宋体"/>
          <w:b/>
          <w:color w:val="auto"/>
          <w:highlight w:val="none"/>
        </w:rPr>
        <w:t>一、项目基本情况</w:t>
      </w:r>
      <w:bookmarkEnd w:id="8"/>
      <w:bookmarkEnd w:id="9"/>
      <w:bookmarkEnd w:id="10"/>
      <w:bookmarkEnd w:id="11"/>
      <w:bookmarkEnd w:id="12"/>
      <w:bookmarkEnd w:id="13"/>
    </w:p>
    <w:p w14:paraId="2781D58C">
      <w:pPr>
        <w:pStyle w:val="2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1.项目编号：</w:t>
      </w:r>
      <w:r>
        <w:rPr>
          <w:rFonts w:hint="eastAsia" w:ascii="宋体" w:hAnsi="宋体" w:eastAsia="宋体" w:cs="宋体"/>
          <w:color w:val="auto"/>
          <w:highlight w:val="none"/>
          <w:lang w:eastAsia="zh-CN"/>
        </w:rPr>
        <w:t>JSZC-320924-YCBR-C2026-0003</w:t>
      </w:r>
    </w:p>
    <w:p w14:paraId="71E9F161">
      <w:pPr>
        <w:pStyle w:val="2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2.项目名称：</w:t>
      </w:r>
      <w:r>
        <w:rPr>
          <w:rFonts w:hint="eastAsia" w:ascii="宋体" w:hAnsi="宋体" w:eastAsia="宋体" w:cs="宋体"/>
          <w:color w:val="auto"/>
          <w:highlight w:val="none"/>
          <w:lang w:eastAsia="zh-CN"/>
        </w:rPr>
        <w:t>射阳港经济开发区限值限量监测监控运维与环保管家服务项目</w:t>
      </w:r>
    </w:p>
    <w:p w14:paraId="174E1C9E">
      <w:pPr>
        <w:pStyle w:val="2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3.采购方式：竞争性磋商</w:t>
      </w:r>
    </w:p>
    <w:p w14:paraId="7F36FC52">
      <w:pPr>
        <w:pStyle w:val="2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shd w:val="clear" w:color="auto" w:fill="FFFFFF"/>
        </w:rPr>
        <w:t>4.预算金</w:t>
      </w:r>
      <w:r>
        <w:rPr>
          <w:rFonts w:hint="eastAsia" w:ascii="宋体" w:hAnsi="宋体" w:eastAsia="宋体" w:cs="宋体"/>
          <w:color w:val="auto"/>
          <w:highlight w:val="none"/>
        </w:rPr>
        <w:t>额：</w:t>
      </w:r>
      <w:r>
        <w:rPr>
          <w:rFonts w:ascii="宋体" w:hAnsi="宋体" w:eastAsia="宋体" w:cs="宋体"/>
          <w:color w:val="auto"/>
          <w:highlight w:val="none"/>
        </w:rPr>
        <w:t>1</w:t>
      </w:r>
      <w:r>
        <w:rPr>
          <w:rFonts w:hint="eastAsia" w:ascii="宋体" w:hAnsi="宋体" w:eastAsia="宋体" w:cs="宋体"/>
          <w:color w:val="auto"/>
          <w:highlight w:val="none"/>
          <w:lang w:val="en-US" w:eastAsia="zh-CN"/>
        </w:rPr>
        <w:t>40</w:t>
      </w:r>
      <w:r>
        <w:rPr>
          <w:rFonts w:ascii="宋体" w:hAnsi="宋体" w:eastAsia="宋体" w:cs="宋体"/>
          <w:color w:val="auto"/>
          <w:highlight w:val="none"/>
        </w:rPr>
        <w:t>万元</w:t>
      </w:r>
    </w:p>
    <w:p w14:paraId="493B429D">
      <w:pPr>
        <w:pStyle w:val="2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5.最高限价：</w:t>
      </w:r>
      <w:r>
        <w:rPr>
          <w:rFonts w:ascii="宋体" w:hAnsi="宋体" w:eastAsia="宋体" w:cs="宋体"/>
          <w:color w:val="auto"/>
          <w:highlight w:val="none"/>
        </w:rPr>
        <w:t>1</w:t>
      </w:r>
      <w:r>
        <w:rPr>
          <w:rFonts w:hint="eastAsia" w:ascii="宋体" w:hAnsi="宋体" w:eastAsia="宋体" w:cs="宋体"/>
          <w:color w:val="auto"/>
          <w:highlight w:val="none"/>
          <w:lang w:val="en-US" w:eastAsia="zh-CN"/>
        </w:rPr>
        <w:t>40</w:t>
      </w:r>
      <w:r>
        <w:rPr>
          <w:rFonts w:hint="eastAsia" w:ascii="宋体" w:hAnsi="宋体" w:eastAsia="宋体" w:cs="宋体"/>
          <w:color w:val="auto"/>
          <w:highlight w:val="none"/>
        </w:rPr>
        <w:t>万元</w:t>
      </w:r>
    </w:p>
    <w:p w14:paraId="47DE4FAF">
      <w:pPr>
        <w:pStyle w:val="2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6.</w:t>
      </w:r>
      <w:r>
        <w:rPr>
          <w:rFonts w:hint="eastAsia" w:ascii="宋体" w:hAnsi="宋体" w:eastAsia="宋体" w:cs="宋体"/>
          <w:color w:val="000000" w:themeColor="text1"/>
          <w:highlight w:val="none"/>
          <w14:textFill>
            <w14:solidFill>
              <w14:schemeClr w14:val="tx1"/>
            </w14:solidFill>
          </w14:textFill>
        </w:rPr>
        <w:t>采购需求：</w:t>
      </w:r>
      <w:r>
        <w:rPr>
          <w:rFonts w:hint="eastAsia" w:ascii="宋体" w:hAnsi="宋体" w:eastAsia="宋体" w:cs="宋体"/>
          <w:color w:val="auto"/>
          <w:highlight w:val="none"/>
        </w:rPr>
        <w:t>保障污染物排放限值限量监测系统各仪器正常运行(空气自动检测站、空气微站、水质自动监测、部分设备更换，设备完好率100%）及环保管家工作（企业业务培训、企业环境问题排查、限值限量表格填报、人员驻点、项目准入咨询)。</w:t>
      </w:r>
      <w:r>
        <w:rPr>
          <w:rFonts w:hint="eastAsia" w:ascii="Times New Roman" w:hAnsi="Times New Roman" w:cs="宋体"/>
          <w:color w:val="auto"/>
          <w:sz w:val="24"/>
          <w:highlight w:val="none"/>
        </w:rPr>
        <w:t>具体详见项目需求</w:t>
      </w:r>
      <w:r>
        <w:rPr>
          <w:rFonts w:hint="eastAsia" w:ascii="宋体" w:hAnsi="宋体" w:eastAsia="宋体" w:cs="宋体"/>
          <w:color w:val="auto"/>
          <w:highlight w:val="none"/>
        </w:rPr>
        <w:t>。</w:t>
      </w:r>
    </w:p>
    <w:p w14:paraId="16313B70">
      <w:pPr>
        <w:pageBreakBefore w:val="0"/>
        <w:widowControl/>
        <w:kinsoku/>
        <w:wordWrap/>
        <w:overflowPunct/>
        <w:topLinePunct w:val="0"/>
        <w:autoSpaceDE/>
        <w:autoSpaceDN/>
        <w:bidi w:val="0"/>
        <w:adjustRightInd/>
        <w:snapToGrid/>
        <w:spacing w:line="348"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服务质量要求：合格（达到国家行业标准）</w:t>
      </w:r>
    </w:p>
    <w:p w14:paraId="6786F183">
      <w:pPr>
        <w:pStyle w:val="2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color w:val="auto"/>
          <w:highlight w:val="none"/>
        </w:rPr>
      </w:pP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合同履行期限：</w:t>
      </w:r>
      <w:r>
        <w:rPr>
          <w:rFonts w:hint="eastAsia" w:ascii="宋体" w:hAnsi="宋体"/>
          <w:color w:val="auto"/>
          <w:highlight w:val="none"/>
        </w:rPr>
        <w:t>一年</w:t>
      </w:r>
    </w:p>
    <w:p w14:paraId="68EC89F6">
      <w:pPr>
        <w:pStyle w:val="2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.本项目（是/否）接受联合体：否</w:t>
      </w:r>
    </w:p>
    <w:p w14:paraId="26403611">
      <w:pPr>
        <w:pStyle w:val="27"/>
        <w:keepNext/>
        <w:keepLines/>
        <w:pageBreakBefore w:val="0"/>
        <w:kinsoku/>
        <w:wordWrap/>
        <w:overflowPunct/>
        <w:topLinePunct w:val="0"/>
        <w:autoSpaceDE/>
        <w:autoSpaceDN/>
        <w:bidi w:val="0"/>
        <w:adjustRightInd/>
        <w:snapToGrid/>
        <w:spacing w:before="145" w:beforeAutospacing="0" w:after="145" w:afterAutospacing="0" w:line="360" w:lineRule="auto"/>
        <w:ind w:firstLine="498"/>
        <w:jc w:val="both"/>
        <w:textAlignment w:val="auto"/>
        <w:rPr>
          <w:rFonts w:ascii="宋体" w:hAnsi="宋体" w:eastAsia="宋体" w:cs="宋体"/>
          <w:color w:val="auto"/>
          <w:highlight w:val="none"/>
        </w:rPr>
      </w:pPr>
      <w:bookmarkStart w:id="14" w:name="_Toc38985264"/>
      <w:bookmarkStart w:id="15" w:name="_Toc35393791"/>
      <w:bookmarkStart w:id="16" w:name="_Toc28359080"/>
      <w:bookmarkStart w:id="17" w:name="_Toc28359003"/>
      <w:bookmarkStart w:id="18" w:name="_Toc35393622"/>
      <w:r>
        <w:rPr>
          <w:rFonts w:hint="eastAsia" w:ascii="宋体" w:hAnsi="宋体" w:eastAsia="宋体" w:cs="宋体"/>
          <w:b/>
          <w:color w:val="auto"/>
          <w:highlight w:val="none"/>
        </w:rPr>
        <w:t>二、申请人的资格要求：</w:t>
      </w:r>
      <w:bookmarkEnd w:id="14"/>
      <w:bookmarkEnd w:id="15"/>
      <w:bookmarkEnd w:id="16"/>
      <w:bookmarkEnd w:id="17"/>
      <w:bookmarkEnd w:id="18"/>
    </w:p>
    <w:p w14:paraId="50897DF6">
      <w:pPr>
        <w:pStyle w:val="2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（一）满足《中华人民共和国政府采购法》第二十二条规定，并提供下列材料：</w:t>
      </w:r>
    </w:p>
    <w:p w14:paraId="007B01E9">
      <w:pPr>
        <w:pStyle w:val="2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1.法人或者其他组织的营业执照等证明文件，自然人的身份证明；</w:t>
      </w:r>
    </w:p>
    <w:p w14:paraId="6C9D82F3">
      <w:pPr>
        <w:pStyle w:val="2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2.上一年度的财务状况报表（</w:t>
      </w:r>
      <w:r>
        <w:rPr>
          <w:rFonts w:hint="eastAsia" w:ascii="宋体" w:hAnsi="宋体" w:eastAsia="宋体" w:cs="宋体"/>
          <w:i w:val="0"/>
          <w:iCs/>
          <w:color w:val="auto"/>
          <w:kern w:val="0"/>
          <w:sz w:val="24"/>
          <w:szCs w:val="24"/>
          <w:highlight w:val="none"/>
          <w:u w:val="none"/>
          <w:lang w:val="en-US" w:eastAsia="zh-CN" w:bidi="ar-SA"/>
        </w:rPr>
        <w:t>投标人成立不满一年无需提供</w:t>
      </w:r>
      <w:r>
        <w:rPr>
          <w:rFonts w:hint="eastAsia" w:ascii="宋体" w:hAnsi="宋体" w:eastAsia="宋体" w:cs="宋体"/>
          <w:color w:val="auto"/>
          <w:highlight w:val="none"/>
        </w:rPr>
        <w:t>）；</w:t>
      </w:r>
    </w:p>
    <w:p w14:paraId="7F76766F">
      <w:pPr>
        <w:pStyle w:val="2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3.具备履行合同所必需的设备和专业技术能力的书面声明；</w:t>
      </w:r>
    </w:p>
    <w:p w14:paraId="3106E8B6">
      <w:pPr>
        <w:pStyle w:val="2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4.依法缴纳税收和社会保障资金的相关材料（提供提交响应文件截止时间前一年内至少一个月依法缴纳税收及缴纳社会保障资金的证明材料。供应商依法享受缓缴、免缴税收、社会保障资金的提供证明材料。）；</w:t>
      </w:r>
    </w:p>
    <w:p w14:paraId="0D29CE54">
      <w:pPr>
        <w:pStyle w:val="2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5.参加政府采购活动前3年内在经营活动中没有重大违法记录的书面声明。</w:t>
      </w:r>
    </w:p>
    <w:p w14:paraId="7BC7F49F">
      <w:pPr>
        <w:pStyle w:val="2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6.法律、行政法规规定的其他条件。</w:t>
      </w:r>
    </w:p>
    <w:p w14:paraId="6D533591">
      <w:pPr>
        <w:pStyle w:val="2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7.</w:t>
      </w:r>
      <w:r>
        <w:rPr>
          <w:rFonts w:hint="eastAsia" w:ascii="宋体" w:hAnsi="宋体" w:eastAsia="宋体" w:cs="宋体"/>
          <w:color w:val="auto"/>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auto"/>
          <w:highlight w:val="none"/>
        </w:rPr>
        <w:t>。</w:t>
      </w:r>
    </w:p>
    <w:p w14:paraId="1DEBAD51">
      <w:pPr>
        <w:pStyle w:val="2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8.单位负责人为同一人或者存在直接控股、管理关系的不同供应商，不得参加同一合同项下的政府采购活动。</w:t>
      </w:r>
    </w:p>
    <w:p w14:paraId="1049E2B1">
      <w:pPr>
        <w:pageBreakBefore w:val="0"/>
        <w:kinsoku/>
        <w:wordWrap/>
        <w:overflowPunct/>
        <w:topLinePunct w:val="0"/>
        <w:autoSpaceDE/>
        <w:autoSpaceDN/>
        <w:bidi w:val="0"/>
        <w:adjustRightInd/>
        <w:snapToGrid/>
        <w:spacing w:line="360" w:lineRule="auto"/>
        <w:ind w:firstLine="480"/>
        <w:textAlignment w:val="auto"/>
        <w:rPr>
          <w:rFonts w:ascii="宋体" w:hAnsi="宋体" w:cs="宋体"/>
          <w:b/>
          <w:bCs/>
          <w:color w:val="auto"/>
          <w:sz w:val="24"/>
          <w:highlight w:val="none"/>
        </w:rPr>
      </w:pPr>
      <w:r>
        <w:rPr>
          <w:rFonts w:hint="eastAsia" w:ascii="宋体" w:hAnsi="宋体" w:eastAsia="宋体" w:cs="宋体"/>
          <w:b/>
          <w:color w:val="auto"/>
          <w:sz w:val="24"/>
          <w:highlight w:val="none"/>
        </w:rPr>
        <w:t>（二）、落实政府采购政策需满足的资格要求：</w:t>
      </w:r>
    </w:p>
    <w:p w14:paraId="101F75F3">
      <w:pPr>
        <w:pStyle w:val="2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本项目属于服务类采购项目。</w:t>
      </w:r>
      <w:r>
        <w:rPr>
          <w:rFonts w:hint="eastAsia" w:ascii="宋体" w:hAnsi="宋体" w:eastAsia="宋体" w:cs="宋体"/>
          <w:color w:val="auto"/>
          <w:sz w:val="24"/>
          <w:szCs w:val="24"/>
          <w:highlight w:val="none"/>
          <w:lang w:val="zh-CN" w:eastAsia="zh-CN"/>
        </w:rPr>
        <w:t>所属行业为：其他未列明行业。</w:t>
      </w:r>
      <w:r>
        <w:rPr>
          <w:rFonts w:hint="eastAsia"/>
          <w:bCs/>
          <w:color w:val="auto"/>
          <w:highlight w:val="none"/>
        </w:rPr>
        <w:t>本项目为专门面向小微企业采购的项目，供应商应为小微企业、监狱企业、残疾人福利性单位，不接受</w:t>
      </w:r>
      <w:r>
        <w:rPr>
          <w:rFonts w:hint="eastAsia"/>
          <w:bCs/>
          <w:color w:val="auto"/>
          <w:sz w:val="24"/>
          <w:highlight w:val="none"/>
        </w:rPr>
        <w:t>非中小微型企业</w:t>
      </w:r>
      <w:r>
        <w:rPr>
          <w:rFonts w:hint="eastAsia"/>
          <w:bCs/>
          <w:color w:val="auto"/>
          <w:highlight w:val="none"/>
        </w:rPr>
        <w:t>参与本项目磋商。响应文件中需提供</w:t>
      </w:r>
      <w:r>
        <w:rPr>
          <w:rFonts w:hint="eastAsia"/>
          <w:bCs/>
          <w:color w:val="auto"/>
          <w:sz w:val="24"/>
          <w:highlight w:val="none"/>
        </w:rPr>
        <w:t>《中小企业声明函》</w:t>
      </w:r>
      <w:r>
        <w:rPr>
          <w:rFonts w:hint="eastAsia"/>
          <w:bCs/>
          <w:color w:val="auto"/>
          <w:highlight w:val="none"/>
        </w:rPr>
        <w:t>，否则按无效响应处理。具体中小</w:t>
      </w:r>
      <w:r>
        <w:rPr>
          <w:rFonts w:hint="eastAsia" w:ascii="宋体" w:hAnsi="宋体" w:eastAsia="宋体" w:cs="宋体"/>
          <w:color w:val="auto"/>
          <w:sz w:val="24"/>
          <w:szCs w:val="24"/>
          <w:highlight w:val="none"/>
        </w:rPr>
        <w:t>企业划分标准详见《关于印发中小企业划型标准规定的通知》工信部联企业〔2011〕300号文件。因本项目专门面向中小微企业（残疾人福利性单位、监狱企业）采购，故不再执行价格评审优惠的扶持政策。</w:t>
      </w:r>
    </w:p>
    <w:p w14:paraId="70148893">
      <w:pPr>
        <w:pStyle w:val="2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（三）、本项目的特定资格要求：无。</w:t>
      </w:r>
    </w:p>
    <w:p w14:paraId="3FA94CA5">
      <w:pPr>
        <w:pStyle w:val="2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三、获取磋商文件</w:t>
      </w:r>
    </w:p>
    <w:p w14:paraId="599A2C16">
      <w:pPr>
        <w:pStyle w:val="2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rPr>
      </w:pPr>
      <w:bookmarkStart w:id="19" w:name="_Toc28359005"/>
      <w:bookmarkStart w:id="20" w:name="_Toc38985266"/>
      <w:bookmarkStart w:id="21" w:name="_Toc35393793"/>
      <w:bookmarkStart w:id="22" w:name="_Toc28359082"/>
      <w:bookmarkStart w:id="23" w:name="_Toc35393624"/>
      <w:r>
        <w:rPr>
          <w:rFonts w:hint="eastAsia" w:ascii="宋体" w:hAnsi="宋体" w:eastAsia="宋体" w:cs="宋体"/>
          <w:color w:val="auto"/>
          <w:sz w:val="24"/>
          <w:szCs w:val="24"/>
          <w:highlight w:val="none"/>
        </w:rPr>
        <w:t>1.时间：自磋商文件公告发布之日起5个工作日。</w:t>
      </w:r>
      <w:bookmarkEnd w:id="19"/>
      <w:bookmarkEnd w:id="20"/>
      <w:bookmarkEnd w:id="21"/>
      <w:bookmarkEnd w:id="22"/>
      <w:bookmarkEnd w:id="23"/>
    </w:p>
    <w:p w14:paraId="1368FDC0">
      <w:pPr>
        <w:pStyle w:val="2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sz w:val="24"/>
          <w:highlight w:val="none"/>
        </w:rPr>
      </w:pPr>
      <w:r>
        <w:rPr>
          <w:rFonts w:hint="eastAsia" w:ascii="宋体" w:hAnsi="宋体" w:eastAsia="宋体" w:cs="宋体"/>
          <w:color w:val="auto"/>
          <w:sz w:val="24"/>
          <w:szCs w:val="24"/>
          <w:highlight w:val="none"/>
        </w:rPr>
        <w:t>2.地点：“苏采云”系统内免费下载（投</w:t>
      </w:r>
      <w:r>
        <w:rPr>
          <w:rFonts w:hint="eastAsia" w:ascii="宋体" w:hAnsi="宋体" w:eastAsia="宋体" w:cs="宋体"/>
          <w:color w:val="auto"/>
          <w:sz w:val="24"/>
          <w:highlight w:val="none"/>
        </w:rPr>
        <w:t>标人必须在苏采云系统中获取磋商文件，方能参与政府采购项目）；</w:t>
      </w:r>
    </w:p>
    <w:p w14:paraId="1CE2C15E">
      <w:pPr>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3.方式：本项目采用网上注册登记方式。 </w:t>
      </w:r>
    </w:p>
    <w:p w14:paraId="5FF0EC39">
      <w:pPr>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4.售价：0元</w:t>
      </w:r>
    </w:p>
    <w:p w14:paraId="6E209828">
      <w:pPr>
        <w:pStyle w:val="27"/>
        <w:keepNext/>
        <w:keepLines/>
        <w:pageBreakBefore w:val="0"/>
        <w:kinsoku/>
        <w:wordWrap/>
        <w:overflowPunct/>
        <w:topLinePunct w:val="0"/>
        <w:autoSpaceDE/>
        <w:autoSpaceDN/>
        <w:bidi w:val="0"/>
        <w:adjustRightInd/>
        <w:snapToGrid/>
        <w:spacing w:before="145" w:beforeAutospacing="0" w:after="145" w:afterAutospacing="0" w:line="360" w:lineRule="auto"/>
        <w:ind w:firstLine="498"/>
        <w:jc w:val="both"/>
        <w:textAlignment w:val="auto"/>
        <w:rPr>
          <w:rFonts w:ascii="宋体" w:hAnsi="宋体" w:eastAsia="宋体" w:cs="宋体"/>
          <w:color w:val="auto"/>
          <w:highlight w:val="none"/>
        </w:rPr>
      </w:pPr>
      <w:r>
        <w:rPr>
          <w:rFonts w:hint="eastAsia" w:ascii="宋体" w:hAnsi="宋体" w:eastAsia="宋体" w:cs="宋体"/>
          <w:b/>
          <w:color w:val="auto"/>
          <w:highlight w:val="none"/>
        </w:rPr>
        <w:t>四、响应文件提交</w:t>
      </w:r>
    </w:p>
    <w:p w14:paraId="00842FE5">
      <w:pPr>
        <w:pStyle w:val="2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1.截止时间：</w:t>
      </w:r>
      <w:r>
        <w:rPr>
          <w:rFonts w:hint="eastAsia" w:ascii="宋体" w:hAnsi="宋体" w:eastAsia="宋体" w:cs="宋体"/>
          <w:color w:val="auto"/>
          <w:highlight w:val="none"/>
          <w:lang w:eastAsia="zh-CN"/>
        </w:rPr>
        <w:t>2026年</w:t>
      </w:r>
      <w:r>
        <w:rPr>
          <w:rFonts w:hint="eastAsia" w:ascii="宋体" w:hAnsi="宋体" w:eastAsia="宋体" w:cs="宋体"/>
          <w:color w:val="auto"/>
          <w:highlight w:val="none"/>
          <w:lang w:val="en-US" w:eastAsia="zh-CN"/>
        </w:rPr>
        <w:t>06</w:t>
      </w:r>
      <w:r>
        <w:rPr>
          <w:rFonts w:hint="eastAsia" w:ascii="宋体" w:hAnsi="宋体" w:eastAsia="宋体" w:cs="宋体"/>
          <w:color w:val="auto"/>
          <w:highlight w:val="none"/>
        </w:rPr>
        <w:t>月</w:t>
      </w:r>
      <w:r>
        <w:rPr>
          <w:rFonts w:hint="eastAsia" w:ascii="宋体" w:hAnsi="宋体" w:eastAsia="宋体" w:cs="宋体"/>
          <w:color w:val="auto"/>
          <w:highlight w:val="none"/>
          <w:lang w:val="en-US" w:eastAsia="zh-CN"/>
        </w:rPr>
        <w:t>29</w:t>
      </w:r>
      <w:r>
        <w:rPr>
          <w:rFonts w:hint="eastAsia" w:ascii="宋体" w:hAnsi="宋体" w:eastAsia="宋体" w:cs="宋体"/>
          <w:color w:val="auto"/>
          <w:highlight w:val="none"/>
        </w:rPr>
        <w:t>日</w:t>
      </w:r>
      <w:r>
        <w:rPr>
          <w:rFonts w:hint="eastAsia" w:ascii="宋体" w:hAnsi="宋体" w:eastAsia="宋体" w:cs="宋体"/>
          <w:color w:val="auto"/>
          <w:highlight w:val="none"/>
          <w:lang w:val="en-US" w:eastAsia="zh-CN"/>
        </w:rPr>
        <w:t>15</w:t>
      </w:r>
      <w:r>
        <w:rPr>
          <w:rFonts w:hint="eastAsia" w:ascii="宋体" w:hAnsi="宋体" w:eastAsia="宋体" w:cs="宋体"/>
          <w:color w:val="auto"/>
          <w:highlight w:val="none"/>
        </w:rPr>
        <w:t>点</w:t>
      </w:r>
      <w:r>
        <w:rPr>
          <w:rFonts w:hint="eastAsia" w:ascii="宋体" w:hAnsi="宋体" w:eastAsia="宋体" w:cs="宋体"/>
          <w:color w:val="auto"/>
          <w:highlight w:val="none"/>
          <w:lang w:val="en-US" w:eastAsia="zh-CN"/>
        </w:rPr>
        <w:t>00</w:t>
      </w:r>
      <w:r>
        <w:rPr>
          <w:rFonts w:hint="eastAsia" w:ascii="宋体" w:hAnsi="宋体" w:eastAsia="宋体" w:cs="宋体"/>
          <w:color w:val="auto"/>
          <w:highlight w:val="none"/>
        </w:rPr>
        <w:t>分（北京时间）。</w:t>
      </w:r>
    </w:p>
    <w:p w14:paraId="21359C2F">
      <w:pPr>
        <w:pStyle w:val="2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2.地点：苏采云“不见面”开标大厅 。</w:t>
      </w:r>
    </w:p>
    <w:p w14:paraId="7469748F">
      <w:pPr>
        <w:pStyle w:val="27"/>
        <w:keepNext/>
        <w:keepLines/>
        <w:pageBreakBefore w:val="0"/>
        <w:kinsoku/>
        <w:wordWrap/>
        <w:overflowPunct/>
        <w:topLinePunct w:val="0"/>
        <w:autoSpaceDE/>
        <w:autoSpaceDN/>
        <w:bidi w:val="0"/>
        <w:adjustRightInd/>
        <w:snapToGrid/>
        <w:spacing w:before="145" w:beforeAutospacing="0" w:after="145" w:afterAutospacing="0" w:line="360" w:lineRule="auto"/>
        <w:ind w:firstLine="498"/>
        <w:jc w:val="both"/>
        <w:textAlignment w:val="auto"/>
        <w:rPr>
          <w:rFonts w:ascii="宋体" w:hAnsi="宋体" w:eastAsia="宋体" w:cs="宋体"/>
          <w:b/>
          <w:color w:val="auto"/>
          <w:highlight w:val="none"/>
        </w:rPr>
      </w:pPr>
      <w:bookmarkStart w:id="24" w:name="_Toc35393626"/>
      <w:bookmarkStart w:id="25" w:name="_Toc35393795"/>
      <w:bookmarkStart w:id="26" w:name="_Toc38985268"/>
      <w:r>
        <w:rPr>
          <w:rFonts w:hint="eastAsia" w:ascii="宋体" w:hAnsi="宋体" w:eastAsia="宋体" w:cs="宋体"/>
          <w:b/>
          <w:color w:val="auto"/>
          <w:highlight w:val="none"/>
        </w:rPr>
        <w:t>五、开启</w:t>
      </w:r>
    </w:p>
    <w:p w14:paraId="2FF1CA49">
      <w:pPr>
        <w:pStyle w:val="27"/>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1.时间：</w:t>
      </w:r>
      <w:r>
        <w:rPr>
          <w:rFonts w:hint="eastAsia" w:ascii="宋体" w:hAnsi="宋体" w:eastAsia="宋体" w:cs="宋体"/>
          <w:color w:val="auto"/>
          <w:highlight w:val="none"/>
          <w:lang w:eastAsia="zh-CN"/>
        </w:rPr>
        <w:t>2026年</w:t>
      </w:r>
      <w:r>
        <w:rPr>
          <w:rFonts w:hint="eastAsia" w:ascii="宋体" w:hAnsi="宋体" w:eastAsia="宋体" w:cs="宋体"/>
          <w:color w:val="auto"/>
          <w:highlight w:val="none"/>
          <w:lang w:val="en-US" w:eastAsia="zh-CN"/>
        </w:rPr>
        <w:t>06</w:t>
      </w:r>
      <w:r>
        <w:rPr>
          <w:rFonts w:hint="eastAsia" w:ascii="宋体" w:hAnsi="宋体" w:eastAsia="宋体" w:cs="宋体"/>
          <w:color w:val="auto"/>
          <w:highlight w:val="none"/>
        </w:rPr>
        <w:t>月</w:t>
      </w:r>
      <w:r>
        <w:rPr>
          <w:rFonts w:hint="eastAsia" w:ascii="宋体" w:hAnsi="宋体" w:eastAsia="宋体" w:cs="宋体"/>
          <w:color w:val="auto"/>
          <w:highlight w:val="none"/>
          <w:lang w:val="en-US" w:eastAsia="zh-CN"/>
        </w:rPr>
        <w:t>29</w:t>
      </w:r>
      <w:bookmarkStart w:id="184" w:name="_GoBack"/>
      <w:bookmarkEnd w:id="184"/>
      <w:r>
        <w:rPr>
          <w:rFonts w:hint="eastAsia" w:ascii="宋体" w:hAnsi="宋体" w:eastAsia="宋体" w:cs="宋体"/>
          <w:color w:val="auto"/>
          <w:highlight w:val="none"/>
        </w:rPr>
        <w:t>日</w:t>
      </w:r>
      <w:r>
        <w:rPr>
          <w:rFonts w:hint="eastAsia" w:ascii="宋体" w:hAnsi="宋体" w:eastAsia="宋体" w:cs="宋体"/>
          <w:color w:val="auto"/>
          <w:highlight w:val="none"/>
          <w:lang w:val="en-US" w:eastAsia="zh-CN"/>
        </w:rPr>
        <w:t>15</w:t>
      </w:r>
      <w:r>
        <w:rPr>
          <w:rFonts w:hint="eastAsia" w:ascii="宋体" w:hAnsi="宋体" w:eastAsia="宋体" w:cs="宋体"/>
          <w:color w:val="auto"/>
          <w:highlight w:val="none"/>
        </w:rPr>
        <w:t>点</w:t>
      </w:r>
      <w:r>
        <w:rPr>
          <w:rFonts w:hint="eastAsia" w:ascii="宋体" w:hAnsi="宋体" w:eastAsia="宋体" w:cs="宋体"/>
          <w:color w:val="auto"/>
          <w:highlight w:val="none"/>
          <w:lang w:val="en-US" w:eastAsia="zh-CN"/>
        </w:rPr>
        <w:t>00</w:t>
      </w:r>
      <w:r>
        <w:rPr>
          <w:rFonts w:hint="eastAsia" w:ascii="宋体" w:hAnsi="宋体" w:eastAsia="宋体" w:cs="宋体"/>
          <w:color w:val="auto"/>
          <w:highlight w:val="none"/>
        </w:rPr>
        <w:t>分（北京时间）。</w:t>
      </w:r>
      <w:bookmarkEnd w:id="24"/>
      <w:bookmarkEnd w:id="25"/>
      <w:bookmarkEnd w:id="26"/>
    </w:p>
    <w:p w14:paraId="1EFA0551">
      <w:pPr>
        <w:pStyle w:val="2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2.地点：苏采云“不见面”开标大厅 。</w:t>
      </w:r>
    </w:p>
    <w:p w14:paraId="2D1068F7">
      <w:pPr>
        <w:pStyle w:val="27"/>
        <w:keepNext/>
        <w:keepLines/>
        <w:pageBreakBefore w:val="0"/>
        <w:kinsoku/>
        <w:wordWrap/>
        <w:overflowPunct/>
        <w:topLinePunct w:val="0"/>
        <w:autoSpaceDE/>
        <w:autoSpaceDN/>
        <w:bidi w:val="0"/>
        <w:adjustRightInd/>
        <w:snapToGrid/>
        <w:spacing w:before="145" w:beforeAutospacing="0" w:after="145" w:afterAutospacing="0" w:line="360" w:lineRule="auto"/>
        <w:ind w:firstLine="498"/>
        <w:jc w:val="both"/>
        <w:textAlignment w:val="auto"/>
        <w:rPr>
          <w:rFonts w:ascii="宋体" w:hAnsi="宋体" w:eastAsia="宋体" w:cs="宋体"/>
          <w:b/>
          <w:color w:val="auto"/>
          <w:highlight w:val="none"/>
        </w:rPr>
      </w:pPr>
      <w:bookmarkStart w:id="27" w:name="_Toc28359094"/>
      <w:r>
        <w:rPr>
          <w:rFonts w:hint="eastAsia" w:ascii="宋体" w:hAnsi="宋体" w:eastAsia="宋体" w:cs="宋体"/>
          <w:b/>
          <w:color w:val="auto"/>
          <w:highlight w:val="none"/>
        </w:rPr>
        <w:t>六、公告期限</w:t>
      </w:r>
      <w:bookmarkEnd w:id="27"/>
    </w:p>
    <w:p w14:paraId="2D92A463">
      <w:pPr>
        <w:pStyle w:val="27"/>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ascii="宋体" w:hAnsi="宋体" w:eastAsia="宋体" w:cs="宋体"/>
          <w:color w:val="auto"/>
          <w:highlight w:val="none"/>
        </w:rPr>
      </w:pPr>
      <w:r>
        <w:rPr>
          <w:rFonts w:hint="eastAsia" w:ascii="宋体" w:hAnsi="宋体" w:eastAsia="宋体" w:cs="宋体"/>
          <w:color w:val="auto"/>
          <w:highlight w:val="none"/>
        </w:rPr>
        <w:t>自本公告发布之日起</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个工作日。</w:t>
      </w:r>
    </w:p>
    <w:p w14:paraId="3FF87427">
      <w:pPr>
        <w:pStyle w:val="27"/>
        <w:keepNext/>
        <w:keepLines/>
        <w:pageBreakBefore w:val="0"/>
        <w:kinsoku/>
        <w:wordWrap/>
        <w:overflowPunct/>
        <w:topLinePunct w:val="0"/>
        <w:autoSpaceDE/>
        <w:autoSpaceDN/>
        <w:bidi w:val="0"/>
        <w:adjustRightInd/>
        <w:snapToGrid/>
        <w:spacing w:before="145" w:beforeAutospacing="0" w:after="145" w:afterAutospacing="0" w:line="360" w:lineRule="auto"/>
        <w:ind w:firstLine="498"/>
        <w:jc w:val="both"/>
        <w:textAlignment w:val="auto"/>
        <w:rPr>
          <w:rFonts w:ascii="宋体" w:hAnsi="宋体" w:eastAsia="宋体" w:cs="宋体"/>
          <w:color w:val="auto"/>
          <w:highlight w:val="none"/>
        </w:rPr>
      </w:pPr>
      <w:r>
        <w:rPr>
          <w:rFonts w:hint="eastAsia" w:ascii="宋体" w:hAnsi="宋体" w:eastAsia="宋体" w:cs="宋体"/>
          <w:b/>
          <w:color w:val="auto"/>
          <w:highlight w:val="none"/>
        </w:rPr>
        <w:t>七、其他补充事宜</w:t>
      </w:r>
    </w:p>
    <w:p w14:paraId="5CDE3D47">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bookmarkStart w:id="28"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339AC4E3">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3A2BB98B">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2.潜在供应商访问电子招标响应交易平台的网络地址和方法：</w:t>
      </w:r>
    </w:p>
    <w:p w14:paraId="183A8470">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39976CEF">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2.2 潜在投标人访问“苏采云”系统方法：江苏省政府采购网首页-“苏采云”链接。</w:t>
      </w:r>
    </w:p>
    <w:p w14:paraId="5A2EB53F">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2.3 采购文件（后缀名为“.kedt”）、供应商操作手册及政府采购客户端 工具可通过“苏采云”系统相应链接进行下载。</w:t>
      </w:r>
    </w:p>
    <w:p w14:paraId="3F04C12C">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2.4 采购代理机构将数据电文形式的采购文件加载至“苏采云”系统，供潜在供应商下载或者查阅。</w:t>
      </w:r>
    </w:p>
    <w:p w14:paraId="5BF8451E">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2.5 请潜在投标单位提前安装相应的控件（详见《“苏采云”系统供应商操作手册》）并使用谷歌浏览器登录“苏采云”系统参与不见面开评标。</w:t>
      </w:r>
    </w:p>
    <w:p w14:paraId="6810A8C5">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如潜在投标人未按上述要求操作，将自行承担所产生的风险。</w:t>
      </w:r>
    </w:p>
    <w:p w14:paraId="212EB75C">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3.有关本次招标的事项若存在变动或修改，敬请及时关注招标代理机构在“中国政府采购网”、“江苏政府采购网”、“盐城市政府采购网”发布的更正公告。</w:t>
      </w:r>
    </w:p>
    <w:p w14:paraId="6B5C5AB8">
      <w:pPr>
        <w:pStyle w:val="2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4.本次招标不收取投标保证金，不收取质量保证金。</w:t>
      </w:r>
    </w:p>
    <w:p w14:paraId="7F864D86">
      <w:pPr>
        <w:pStyle w:val="27"/>
        <w:keepNext/>
        <w:keepLines/>
        <w:pageBreakBefore w:val="0"/>
        <w:kinsoku/>
        <w:wordWrap/>
        <w:overflowPunct/>
        <w:topLinePunct w:val="0"/>
        <w:autoSpaceDE/>
        <w:autoSpaceDN/>
        <w:bidi w:val="0"/>
        <w:adjustRightInd/>
        <w:snapToGrid/>
        <w:spacing w:before="145" w:beforeAutospacing="0" w:after="145" w:afterAutospacing="0" w:line="360" w:lineRule="auto"/>
        <w:ind w:firstLine="498"/>
        <w:jc w:val="both"/>
        <w:textAlignment w:val="auto"/>
        <w:rPr>
          <w:color w:val="auto"/>
          <w:highlight w:val="none"/>
        </w:rPr>
      </w:pPr>
      <w:r>
        <w:rPr>
          <w:rFonts w:hint="eastAsia" w:ascii="宋体" w:hAnsi="宋体" w:eastAsia="宋体" w:cs="宋体"/>
          <w:b/>
          <w:color w:val="auto"/>
          <w:highlight w:val="none"/>
        </w:rPr>
        <w:t>八、凡对本次采购提出询问，请按以下方式联系。</w:t>
      </w:r>
      <w:bookmarkEnd w:id="28"/>
    </w:p>
    <w:p w14:paraId="4BDB2BAC">
      <w:pPr>
        <w:pStyle w:val="27"/>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ascii="宋体" w:hAnsi="宋体" w:eastAsia="宋体" w:cs="宋体"/>
          <w:color w:val="auto"/>
          <w:highlight w:val="none"/>
        </w:rPr>
      </w:pPr>
      <w:r>
        <w:rPr>
          <w:rFonts w:hint="eastAsia" w:ascii="宋体" w:hAnsi="宋体" w:eastAsia="宋体" w:cs="宋体"/>
          <w:color w:val="auto"/>
          <w:highlight w:val="none"/>
        </w:rPr>
        <w:t>1.采购人信息</w:t>
      </w:r>
    </w:p>
    <w:p w14:paraId="418FA108">
      <w:pPr>
        <w:pStyle w:val="27"/>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ascii="宋体" w:hAnsi="宋体" w:eastAsia="宋体" w:cs="宋体"/>
          <w:color w:val="auto"/>
          <w:highlight w:val="none"/>
        </w:rPr>
      </w:pPr>
      <w:r>
        <w:rPr>
          <w:rFonts w:hint="eastAsia" w:ascii="宋体" w:hAnsi="宋体" w:eastAsia="宋体" w:cs="宋体"/>
          <w:color w:val="auto"/>
          <w:highlight w:val="none"/>
        </w:rPr>
        <w:t>名 称：</w:t>
      </w:r>
      <w:r>
        <w:rPr>
          <w:rFonts w:hint="eastAsia" w:eastAsia="宋体"/>
          <w:color w:val="auto"/>
          <w:highlight w:val="none"/>
          <w:shd w:val="clear" w:color="auto" w:fill="FFFFFF"/>
        </w:rPr>
        <w:t>江苏射阳港经济开发区管理委员会</w:t>
      </w:r>
    </w:p>
    <w:p w14:paraId="281B99B2">
      <w:pPr>
        <w:pStyle w:val="27"/>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ascii="宋体" w:hAnsi="宋体" w:eastAsia="宋体" w:cs="宋体"/>
          <w:color w:val="auto"/>
          <w:highlight w:val="none"/>
        </w:rPr>
      </w:pPr>
      <w:r>
        <w:rPr>
          <w:rFonts w:hint="eastAsia" w:ascii="宋体" w:hAnsi="宋体" w:eastAsia="宋体" w:cs="宋体"/>
          <w:color w:val="auto"/>
          <w:highlight w:val="none"/>
        </w:rPr>
        <w:t>地址：江苏省盐城市射阳县射阳港人民东路2号</w:t>
      </w:r>
    </w:p>
    <w:p w14:paraId="7FD7CBE4">
      <w:pPr>
        <w:pStyle w:val="27"/>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ascii="宋体" w:hAnsi="宋体" w:eastAsia="宋体" w:cs="宋体"/>
          <w:color w:val="auto"/>
          <w:highlight w:val="none"/>
        </w:rPr>
      </w:pPr>
      <w:r>
        <w:rPr>
          <w:rFonts w:hint="eastAsia" w:ascii="宋体" w:hAnsi="宋体" w:eastAsia="宋体" w:cs="宋体"/>
          <w:color w:val="auto"/>
          <w:highlight w:val="none"/>
        </w:rPr>
        <w:t>联系人：陈启星</w:t>
      </w:r>
    </w:p>
    <w:p w14:paraId="47148898">
      <w:pPr>
        <w:pStyle w:val="27"/>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ascii="宋体" w:hAnsi="宋体" w:eastAsia="宋体" w:cs="宋体"/>
          <w:color w:val="auto"/>
          <w:highlight w:val="none"/>
        </w:rPr>
      </w:pPr>
      <w:r>
        <w:rPr>
          <w:rFonts w:hint="eastAsia" w:ascii="宋体" w:hAnsi="宋体" w:eastAsia="宋体" w:cs="宋体"/>
          <w:color w:val="auto"/>
          <w:highlight w:val="none"/>
        </w:rPr>
        <w:t>联系方式：</w:t>
      </w:r>
      <w:r>
        <w:rPr>
          <w:rFonts w:ascii="宋体" w:hAnsi="宋体" w:eastAsia="宋体" w:cs="宋体"/>
          <w:color w:val="auto"/>
          <w:highlight w:val="none"/>
        </w:rPr>
        <w:t>15261969945</w:t>
      </w:r>
      <w:r>
        <w:rPr>
          <w:rFonts w:hint="eastAsia" w:ascii="宋体" w:hAnsi="宋体" w:eastAsia="宋体" w:cs="宋体"/>
          <w:color w:val="auto"/>
          <w:highlight w:val="none"/>
        </w:rPr>
        <w:t>  </w:t>
      </w:r>
      <w:bookmarkStart w:id="29" w:name="_Toc28359009"/>
      <w:bookmarkEnd w:id="29"/>
    </w:p>
    <w:p w14:paraId="57170BFE">
      <w:pPr>
        <w:pStyle w:val="27"/>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color w:val="auto"/>
          <w:highlight w:val="none"/>
        </w:rPr>
      </w:pPr>
      <w:bookmarkStart w:id="30" w:name="_Toc28359010"/>
      <w:bookmarkStart w:id="31" w:name="_Toc28359087"/>
    </w:p>
    <w:p w14:paraId="2A0BF764">
      <w:pPr>
        <w:pStyle w:val="27"/>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2、采购代理机构信息</w:t>
      </w:r>
    </w:p>
    <w:p w14:paraId="3935FAEE">
      <w:pPr>
        <w:pStyle w:val="27"/>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名    称：</w:t>
      </w:r>
      <w:r>
        <w:rPr>
          <w:rFonts w:hint="eastAsia" w:ascii="宋体" w:hAnsi="宋体" w:eastAsia="宋体" w:cs="宋体"/>
          <w:color w:val="auto"/>
          <w:highlight w:val="none"/>
          <w:lang w:eastAsia="zh-CN"/>
        </w:rPr>
        <w:t>盐城宝融项目管理有限公司</w:t>
      </w:r>
    </w:p>
    <w:p w14:paraId="5083599D">
      <w:pPr>
        <w:pStyle w:val="27"/>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地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址：</w:t>
      </w:r>
      <w:r>
        <w:rPr>
          <w:rFonts w:hint="eastAsia" w:ascii="宋体" w:hAnsi="宋体" w:eastAsia="宋体" w:cs="宋体"/>
          <w:color w:val="auto"/>
          <w:highlight w:val="none"/>
          <w:lang w:eastAsia="zh-CN"/>
        </w:rPr>
        <w:t>射阳县合德镇城中公园小区西侧</w:t>
      </w:r>
      <w:r>
        <w:rPr>
          <w:rFonts w:hint="eastAsia" w:ascii="宋体" w:hAnsi="宋体" w:eastAsia="宋体" w:cs="宋体"/>
          <w:color w:val="auto"/>
          <w:highlight w:val="none"/>
        </w:rPr>
        <w:t xml:space="preserve">  </w:t>
      </w:r>
    </w:p>
    <w:p w14:paraId="3F65792D">
      <w:pPr>
        <w:pStyle w:val="27"/>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ascii="宋体" w:hAnsi="宋体" w:eastAsia="宋体" w:cs="宋体"/>
          <w:color w:val="auto"/>
          <w:highlight w:val="none"/>
        </w:rPr>
      </w:pPr>
      <w:r>
        <w:rPr>
          <w:rFonts w:hint="eastAsia" w:ascii="宋体" w:hAnsi="宋体" w:eastAsia="宋体" w:cs="宋体"/>
          <w:color w:val="auto"/>
          <w:highlight w:val="none"/>
        </w:rPr>
        <w:t>联系方式：</w:t>
      </w:r>
      <w:r>
        <w:rPr>
          <w:rFonts w:hint="eastAsia" w:ascii="宋体" w:hAnsi="宋体" w:eastAsia="宋体" w:cs="宋体"/>
          <w:color w:val="auto"/>
          <w:highlight w:val="none"/>
          <w:lang w:eastAsia="zh-CN"/>
        </w:rPr>
        <w:t>15371129369</w:t>
      </w:r>
      <w:r>
        <w:rPr>
          <w:rFonts w:hint="eastAsia" w:ascii="宋体" w:hAnsi="宋体" w:eastAsia="宋体" w:cs="宋体"/>
          <w:color w:val="auto"/>
          <w:highlight w:val="none"/>
        </w:rPr>
        <w:t>   </w:t>
      </w:r>
      <w:bookmarkEnd w:id="30"/>
      <w:bookmarkEnd w:id="31"/>
    </w:p>
    <w:p w14:paraId="6E4FB7FA">
      <w:pPr>
        <w:pStyle w:val="27"/>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color w:val="auto"/>
          <w:highlight w:val="none"/>
        </w:rPr>
      </w:pPr>
      <w:bookmarkStart w:id="32" w:name="_Toc28359021"/>
    </w:p>
    <w:p w14:paraId="19EDD28F">
      <w:pPr>
        <w:pStyle w:val="27"/>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ascii="宋体" w:hAnsi="宋体" w:eastAsia="宋体" w:cs="宋体"/>
          <w:color w:val="auto"/>
          <w:highlight w:val="none"/>
        </w:rPr>
      </w:pPr>
      <w:r>
        <w:rPr>
          <w:rFonts w:hint="eastAsia" w:ascii="宋体" w:hAnsi="宋体" w:eastAsia="宋体" w:cs="宋体"/>
          <w:color w:val="auto"/>
          <w:highlight w:val="none"/>
        </w:rPr>
        <w:t>3.</w:t>
      </w:r>
      <w:bookmarkEnd w:id="32"/>
      <w:r>
        <w:rPr>
          <w:rFonts w:hint="eastAsia" w:ascii="宋体" w:hAnsi="宋体" w:eastAsia="宋体" w:cs="宋体"/>
          <w:color w:val="auto"/>
          <w:highlight w:val="none"/>
        </w:rPr>
        <w:t>项目联系方式</w:t>
      </w:r>
    </w:p>
    <w:p w14:paraId="2CEF091F">
      <w:pPr>
        <w:pStyle w:val="27"/>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ascii="宋体" w:hAnsi="宋体" w:eastAsia="宋体" w:cs="宋体"/>
          <w:color w:val="auto"/>
          <w:highlight w:val="none"/>
        </w:rPr>
      </w:pPr>
      <w:r>
        <w:rPr>
          <w:rFonts w:hint="eastAsia" w:ascii="宋体" w:hAnsi="宋体" w:eastAsia="宋体" w:cs="宋体"/>
          <w:color w:val="auto"/>
          <w:highlight w:val="none"/>
        </w:rPr>
        <w:t>项目联系人：陈启星</w:t>
      </w:r>
    </w:p>
    <w:p w14:paraId="58EDBF9B">
      <w:pPr>
        <w:pStyle w:val="27"/>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color w:val="auto"/>
          <w:highlight w:val="none"/>
        </w:rPr>
      </w:pPr>
      <w:r>
        <w:rPr>
          <w:rFonts w:hint="eastAsia" w:ascii="宋体" w:hAnsi="宋体" w:eastAsia="宋体" w:cs="宋体"/>
          <w:color w:val="auto"/>
          <w:highlight w:val="none"/>
        </w:rPr>
        <w:t>电　　 话：</w:t>
      </w:r>
      <w:r>
        <w:rPr>
          <w:rFonts w:ascii="宋体" w:hAnsi="宋体" w:eastAsia="宋体" w:cs="宋体"/>
          <w:color w:val="auto"/>
          <w:highlight w:val="none"/>
        </w:rPr>
        <w:t>15261969945</w:t>
      </w:r>
      <w:r>
        <w:rPr>
          <w:rFonts w:hint="eastAsia" w:ascii="宋体" w:hAnsi="宋体" w:eastAsia="宋体" w:cs="宋体"/>
          <w:color w:val="auto"/>
          <w:highlight w:val="none"/>
        </w:rPr>
        <w:t> </w:t>
      </w:r>
    </w:p>
    <w:p w14:paraId="7E64D978">
      <w:pPr>
        <w:pStyle w:val="202"/>
        <w:pageBreakBefore w:val="0"/>
        <w:kinsoku/>
        <w:wordWrap/>
        <w:overflowPunct/>
        <w:topLinePunct w:val="0"/>
        <w:autoSpaceDE/>
        <w:autoSpaceDN/>
        <w:bidi w:val="0"/>
        <w:adjustRightInd/>
        <w:snapToGrid/>
        <w:spacing w:line="348" w:lineRule="auto"/>
        <w:jc w:val="center"/>
        <w:textAlignment w:val="auto"/>
        <w:rPr>
          <w:color w:val="auto"/>
          <w:sz w:val="28"/>
          <w:szCs w:val="28"/>
          <w:highlight w:val="none"/>
        </w:rPr>
      </w:pPr>
      <w:bookmarkStart w:id="33" w:name="_Toc198284255"/>
      <w:bookmarkStart w:id="34" w:name="_Toc20823275"/>
      <w:bookmarkStart w:id="35" w:name="_Toc120614214"/>
      <w:bookmarkStart w:id="36" w:name="_Toc16938519"/>
      <w:bookmarkStart w:id="37" w:name="_Toc513029203"/>
      <w:r>
        <w:rPr>
          <w:rFonts w:hint="eastAsia"/>
          <w:color w:val="auto"/>
          <w:sz w:val="28"/>
          <w:szCs w:val="28"/>
          <w:highlight w:val="none"/>
        </w:rPr>
        <w:t>第二章  供应商须知</w:t>
      </w:r>
      <w:bookmarkEnd w:id="33"/>
    </w:p>
    <w:p w14:paraId="6BDB1644">
      <w:pPr>
        <w:pStyle w:val="27"/>
        <w:keepNext/>
        <w:keepLines/>
        <w:pageBreakBefore w:val="0"/>
        <w:widowControl w:val="0"/>
        <w:kinsoku/>
        <w:wordWrap/>
        <w:overflowPunct/>
        <w:topLinePunct w:val="0"/>
        <w:autoSpaceDE/>
        <w:autoSpaceDN/>
        <w:bidi w:val="0"/>
        <w:adjustRightInd/>
        <w:snapToGrid/>
        <w:spacing w:before="145" w:beforeAutospacing="0" w:after="145" w:afterAutospacing="0" w:line="348" w:lineRule="auto"/>
        <w:jc w:val="both"/>
        <w:textAlignment w:val="auto"/>
        <w:rPr>
          <w:rFonts w:ascii="宋体" w:hAnsi="宋体" w:eastAsia="宋体" w:cs="宋体"/>
          <w:color w:val="auto"/>
          <w:highlight w:val="none"/>
        </w:rPr>
      </w:pPr>
      <w:r>
        <w:rPr>
          <w:rFonts w:hint="eastAsia" w:ascii="宋体" w:hAnsi="宋体" w:eastAsia="宋体" w:cs="宋体"/>
          <w:b/>
          <w:color w:val="auto"/>
          <w:highlight w:val="none"/>
        </w:rPr>
        <w:t>一、总则</w:t>
      </w:r>
      <w:bookmarkEnd w:id="34"/>
      <w:bookmarkEnd w:id="35"/>
      <w:bookmarkEnd w:id="36"/>
      <w:bookmarkEnd w:id="37"/>
    </w:p>
    <w:p w14:paraId="17EBDB9C">
      <w:pPr>
        <w:pStyle w:val="27"/>
        <w:keepNext/>
        <w:keepLines/>
        <w:pageBreakBefore w:val="0"/>
        <w:widowControl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bookmarkStart w:id="38" w:name="_Toc20823276"/>
      <w:bookmarkStart w:id="39" w:name="_Toc16938520"/>
      <w:bookmarkStart w:id="40" w:name="_Toc458694821"/>
      <w:bookmarkStart w:id="41" w:name="_Toc513029204"/>
      <w:bookmarkStart w:id="42" w:name="_Hlt16619475"/>
      <w:r>
        <w:rPr>
          <w:rFonts w:hint="eastAsia" w:ascii="宋体" w:hAnsi="宋体" w:eastAsia="宋体" w:cs="宋体"/>
          <w:color w:val="auto"/>
          <w:highlight w:val="none"/>
        </w:rPr>
        <w:t>1</w:t>
      </w:r>
      <w:bookmarkEnd w:id="38"/>
      <w:r>
        <w:rPr>
          <w:rFonts w:hint="eastAsia" w:ascii="宋体" w:hAnsi="宋体" w:eastAsia="宋体" w:cs="宋体"/>
          <w:color w:val="auto"/>
          <w:highlight w:val="none"/>
        </w:rPr>
        <w:t>、采购方式</w:t>
      </w:r>
      <w:bookmarkEnd w:id="39"/>
      <w:bookmarkEnd w:id="40"/>
      <w:bookmarkEnd w:id="41"/>
    </w:p>
    <w:p w14:paraId="629D446D">
      <w:pPr>
        <w:pStyle w:val="27"/>
        <w:keepNext/>
        <w:keepLines/>
        <w:pageBreakBefore w:val="0"/>
        <w:widowControl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1.1 本次政府采购活动采取竞争性磋商(以下简称磋商)方式，本磋商文件仅适用于磋商公告中所述项目。</w:t>
      </w:r>
    </w:p>
    <w:p w14:paraId="44E26C33">
      <w:pPr>
        <w:pStyle w:val="27"/>
        <w:keepNext/>
        <w:keepLines/>
        <w:pageBreakBefore w:val="0"/>
        <w:widowControl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bookmarkStart w:id="43" w:name="_Toc20823277"/>
      <w:bookmarkStart w:id="44" w:name="_Toc513029205"/>
      <w:bookmarkStart w:id="45" w:name="_Toc16938521"/>
      <w:r>
        <w:rPr>
          <w:rFonts w:hint="eastAsia" w:ascii="宋体" w:hAnsi="宋体" w:eastAsia="宋体" w:cs="宋体"/>
          <w:color w:val="auto"/>
          <w:highlight w:val="none"/>
        </w:rPr>
        <w:t>2、合格的</w:t>
      </w:r>
      <w:bookmarkEnd w:id="43"/>
      <w:bookmarkEnd w:id="44"/>
      <w:bookmarkEnd w:id="45"/>
      <w:r>
        <w:rPr>
          <w:rFonts w:hint="eastAsia" w:ascii="宋体" w:hAnsi="宋体" w:eastAsia="宋体" w:cs="宋体"/>
          <w:color w:val="auto"/>
          <w:highlight w:val="none"/>
        </w:rPr>
        <w:t>供应商</w:t>
      </w:r>
    </w:p>
    <w:p w14:paraId="68787FCD">
      <w:pPr>
        <w:pStyle w:val="27"/>
        <w:keepNext/>
        <w:keepLines/>
        <w:pageBreakBefore w:val="0"/>
        <w:widowControl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2.1满足磋商公告中供应商资格要求的规定。</w:t>
      </w:r>
    </w:p>
    <w:p w14:paraId="213871B4">
      <w:pPr>
        <w:pStyle w:val="27"/>
        <w:keepNext/>
        <w:keepLines/>
        <w:pageBreakBefore w:val="0"/>
        <w:widowControl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2.2 满足本磋商文件实质性要求和条件的规定。</w:t>
      </w:r>
    </w:p>
    <w:p w14:paraId="07A9745E">
      <w:pPr>
        <w:pStyle w:val="27"/>
        <w:keepNext/>
        <w:keepLines/>
        <w:pageBreakBefore w:val="0"/>
        <w:widowControl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bookmarkStart w:id="46" w:name="_Toc16938522"/>
      <w:bookmarkStart w:id="47" w:name="_Toc20823278"/>
      <w:bookmarkStart w:id="48" w:name="_Toc513029206"/>
      <w:r>
        <w:rPr>
          <w:rFonts w:hint="eastAsia" w:ascii="宋体" w:hAnsi="宋体" w:eastAsia="宋体" w:cs="宋体"/>
          <w:color w:val="auto"/>
          <w:highlight w:val="none"/>
        </w:rPr>
        <w:t>3、适用法律</w:t>
      </w:r>
      <w:bookmarkEnd w:id="46"/>
      <w:bookmarkEnd w:id="47"/>
      <w:bookmarkEnd w:id="48"/>
    </w:p>
    <w:p w14:paraId="091D7D75">
      <w:pPr>
        <w:pStyle w:val="27"/>
        <w:keepNext/>
        <w:keepLines/>
        <w:pageBreakBefore w:val="0"/>
        <w:widowControl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3.1 本次磋商及由此产生的合同受中华人民共和国有关的法律法规制约和保护。</w:t>
      </w:r>
    </w:p>
    <w:p w14:paraId="63E2313F">
      <w:pPr>
        <w:pStyle w:val="27"/>
        <w:keepNext/>
        <w:keepLines/>
        <w:pageBreakBefore w:val="0"/>
        <w:widowControl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bookmarkStart w:id="49" w:name="_Toc513029207"/>
      <w:bookmarkStart w:id="50" w:name="_Toc20823279"/>
      <w:bookmarkStart w:id="51" w:name="_Toc16938523"/>
      <w:bookmarkStart w:id="52" w:name="_Toc462564067"/>
      <w:r>
        <w:rPr>
          <w:rFonts w:hint="eastAsia" w:ascii="宋体" w:hAnsi="宋体" w:eastAsia="宋体" w:cs="宋体"/>
          <w:color w:val="auto"/>
          <w:highlight w:val="none"/>
        </w:rPr>
        <w:t>4、磋商费用</w:t>
      </w:r>
      <w:bookmarkEnd w:id="49"/>
      <w:bookmarkEnd w:id="50"/>
      <w:bookmarkEnd w:id="51"/>
      <w:bookmarkEnd w:id="52"/>
    </w:p>
    <w:p w14:paraId="0D736D0C">
      <w:pPr>
        <w:pStyle w:val="27"/>
        <w:keepNext/>
        <w:keepLines/>
        <w:pageBreakBefore w:val="0"/>
        <w:widowControl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4.1供应商应自行承担所有与参加本次磋商有关的费用，无论磋商过程中的做法和结果如何，采购人或采购代理机构在任何情况下均无义务和责任承担这些费用。</w:t>
      </w:r>
    </w:p>
    <w:p w14:paraId="6997357B">
      <w:pPr>
        <w:pStyle w:val="27"/>
        <w:keepNext/>
        <w:keepLines/>
        <w:pageBreakBefore w:val="0"/>
        <w:widowControl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4.2本次磋商采购代理机构和采购人不收取标书工本费。</w:t>
      </w:r>
    </w:p>
    <w:p w14:paraId="68AF8372">
      <w:pPr>
        <w:pStyle w:val="27"/>
        <w:keepNext/>
        <w:keepLines/>
        <w:pageBreakBefore w:val="0"/>
        <w:widowControl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4.3</w:t>
      </w:r>
      <w:r>
        <w:rPr>
          <w:rFonts w:hint="eastAsia" w:ascii="宋体" w:hAnsi="宋体" w:eastAsia="宋体" w:cs="宋体"/>
          <w:color w:val="000000"/>
          <w:sz w:val="24"/>
          <w:u w:val="none"/>
        </w:rPr>
        <w:t>本次招标代理服务费</w:t>
      </w:r>
      <w:r>
        <w:rPr>
          <w:rFonts w:hint="eastAsia" w:ascii="宋体" w:hAnsi="宋体" w:eastAsia="宋体" w:cs="宋体"/>
          <w:color w:val="000000"/>
          <w:sz w:val="24"/>
          <w:u w:val="none"/>
          <w:lang w:eastAsia="zh-CN"/>
        </w:rPr>
        <w:t>：</w:t>
      </w:r>
      <w:r>
        <w:rPr>
          <w:rFonts w:hint="eastAsia" w:ascii="宋体" w:hAnsi="宋体" w:eastAsia="宋体" w:cs="宋体"/>
          <w:color w:val="000000"/>
          <w:sz w:val="24"/>
          <w:u w:val="none"/>
        </w:rPr>
        <w:t>按苏政采协[2024]20号文件收费标准。由</w:t>
      </w:r>
      <w:r>
        <w:rPr>
          <w:rFonts w:hint="eastAsia" w:ascii="宋体" w:hAnsi="宋体" w:eastAsia="宋体" w:cs="宋体"/>
          <w:color w:val="000000"/>
          <w:sz w:val="24"/>
          <w:u w:val="none"/>
          <w:lang w:val="en-US" w:eastAsia="zh-CN"/>
        </w:rPr>
        <w:t>招</w:t>
      </w:r>
      <w:r>
        <w:rPr>
          <w:rFonts w:hint="eastAsia" w:ascii="宋体" w:hAnsi="宋体" w:eastAsia="宋体" w:cs="宋体"/>
          <w:color w:val="000000"/>
          <w:sz w:val="24"/>
          <w:u w:val="none"/>
        </w:rPr>
        <w:t>标人承担。</w:t>
      </w:r>
    </w:p>
    <w:p w14:paraId="7CD0D783">
      <w:pPr>
        <w:pStyle w:val="27"/>
        <w:keepNext/>
        <w:keepLines/>
        <w:pageBreakBefore w:val="0"/>
        <w:widowControl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5、磋商文件的约束力</w:t>
      </w:r>
    </w:p>
    <w:p w14:paraId="620FC8B3">
      <w:pPr>
        <w:pStyle w:val="27"/>
        <w:keepNext/>
        <w:keepLines/>
        <w:pageBreakBefore w:val="0"/>
        <w:widowControl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5.1供应商一旦参加本项目采购活动，即被认为接受了本磋商文件的规定和约束。</w:t>
      </w:r>
      <w:bookmarkStart w:id="53" w:name="_Toc20823281"/>
      <w:bookmarkStart w:id="54" w:name="_Toc120614215"/>
      <w:bookmarkStart w:id="55" w:name="_Toc16938525"/>
      <w:bookmarkStart w:id="56" w:name="_Toc513029209"/>
    </w:p>
    <w:p w14:paraId="497ABCE9">
      <w:pPr>
        <w:pStyle w:val="27"/>
        <w:keepNext/>
        <w:keepLines/>
        <w:pageBreakBefore w:val="0"/>
        <w:widowControl w:val="0"/>
        <w:kinsoku/>
        <w:wordWrap/>
        <w:overflowPunct/>
        <w:topLinePunct w:val="0"/>
        <w:autoSpaceDE/>
        <w:autoSpaceDN/>
        <w:bidi w:val="0"/>
        <w:adjustRightInd/>
        <w:snapToGrid/>
        <w:spacing w:beforeAutospacing="0" w:afterAutospacing="0" w:line="348" w:lineRule="auto"/>
        <w:jc w:val="both"/>
        <w:textAlignment w:val="auto"/>
        <w:rPr>
          <w:rFonts w:ascii="宋体" w:hAnsi="宋体" w:eastAsia="宋体" w:cs="宋体"/>
          <w:color w:val="auto"/>
          <w:highlight w:val="none"/>
        </w:rPr>
      </w:pPr>
      <w:r>
        <w:rPr>
          <w:rFonts w:hint="eastAsia" w:ascii="宋体" w:hAnsi="宋体" w:eastAsia="宋体" w:cs="宋体"/>
          <w:b/>
          <w:color w:val="auto"/>
          <w:highlight w:val="none"/>
        </w:rPr>
        <w:t>二、</w:t>
      </w:r>
      <w:bookmarkEnd w:id="53"/>
      <w:bookmarkEnd w:id="54"/>
      <w:bookmarkEnd w:id="55"/>
      <w:bookmarkEnd w:id="56"/>
      <w:r>
        <w:rPr>
          <w:rFonts w:hint="eastAsia" w:ascii="宋体" w:hAnsi="宋体" w:eastAsia="宋体" w:cs="宋体"/>
          <w:b/>
          <w:color w:val="auto"/>
          <w:highlight w:val="none"/>
        </w:rPr>
        <w:t>磋商文件</w:t>
      </w:r>
    </w:p>
    <w:p w14:paraId="7F4B80EB">
      <w:pPr>
        <w:pStyle w:val="27"/>
        <w:keepNext/>
        <w:keepLines/>
        <w:pageBreakBefore w:val="0"/>
        <w:widowControl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bookmarkStart w:id="57" w:name="_Toc20823282"/>
      <w:bookmarkStart w:id="58" w:name="_Toc16938526"/>
      <w:bookmarkStart w:id="59" w:name="_Toc513029210"/>
      <w:r>
        <w:rPr>
          <w:rFonts w:hint="eastAsia" w:ascii="宋体" w:hAnsi="宋体" w:eastAsia="宋体" w:cs="宋体"/>
          <w:color w:val="auto"/>
          <w:highlight w:val="none"/>
        </w:rPr>
        <w:t>6、磋商文件构成</w:t>
      </w:r>
      <w:bookmarkEnd w:id="57"/>
      <w:bookmarkEnd w:id="58"/>
      <w:bookmarkEnd w:id="59"/>
    </w:p>
    <w:p w14:paraId="18756EF7">
      <w:pPr>
        <w:pStyle w:val="27"/>
        <w:keepNext/>
        <w:keepLines/>
        <w:pageBreakBefore w:val="0"/>
        <w:widowControl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6.1磋商文件由以下部分组成：</w:t>
      </w:r>
    </w:p>
    <w:p w14:paraId="20E0C6B1">
      <w:pPr>
        <w:pStyle w:val="27"/>
        <w:keepNext/>
        <w:keepLines/>
        <w:pageBreakBefore w:val="0"/>
        <w:widowControl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（1）磋商公告</w:t>
      </w:r>
    </w:p>
    <w:p w14:paraId="6DDA2EBF">
      <w:pPr>
        <w:pStyle w:val="27"/>
        <w:keepNext/>
        <w:keepLines/>
        <w:pageBreakBefore w:val="0"/>
        <w:widowControl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（2）供应商须知</w:t>
      </w:r>
    </w:p>
    <w:p w14:paraId="6BCA4535">
      <w:pPr>
        <w:pStyle w:val="27"/>
        <w:keepNext/>
        <w:keepLines/>
        <w:pageBreakBefore w:val="0"/>
        <w:widowControl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（3）合同文本</w:t>
      </w:r>
    </w:p>
    <w:p w14:paraId="36428A71">
      <w:pPr>
        <w:pStyle w:val="27"/>
        <w:keepNext/>
        <w:keepLines/>
        <w:pageBreakBefore w:val="0"/>
        <w:widowControl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（4）采购需求</w:t>
      </w:r>
    </w:p>
    <w:p w14:paraId="19F4785D">
      <w:pPr>
        <w:pStyle w:val="27"/>
        <w:keepNext/>
        <w:keepLines/>
        <w:pageBreakBefore w:val="0"/>
        <w:widowControl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（5）评审方法与评审标准</w:t>
      </w:r>
    </w:p>
    <w:p w14:paraId="452D6541">
      <w:pPr>
        <w:pStyle w:val="27"/>
        <w:keepNext/>
        <w:keepLines/>
        <w:pageBreakBefore w:val="0"/>
        <w:widowControl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（6）响应文件格式</w:t>
      </w:r>
    </w:p>
    <w:p w14:paraId="444581BB">
      <w:pPr>
        <w:pStyle w:val="27"/>
        <w:keepNext/>
        <w:keepLines/>
        <w:pageBreakBefore w:val="0"/>
        <w:widowControl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请仔细检查磋商文件是否齐全，如有缺漏请立即与采购代理机构联系解决。</w:t>
      </w:r>
    </w:p>
    <w:p w14:paraId="1B95B33B">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47A64CD5">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bookmarkStart w:id="60" w:name="_Toc513029211"/>
      <w:bookmarkStart w:id="61" w:name="_Toc20823283"/>
      <w:bookmarkStart w:id="62" w:name="_Toc16938527"/>
      <w:bookmarkStart w:id="63" w:name="_Toc462564070"/>
      <w:r>
        <w:rPr>
          <w:rFonts w:hint="eastAsia" w:ascii="宋体" w:hAnsi="宋体" w:eastAsia="宋体" w:cs="宋体"/>
          <w:color w:val="auto"/>
          <w:highlight w:val="none"/>
        </w:rPr>
        <w:t>7、磋商文件的澄清</w:t>
      </w:r>
      <w:bookmarkEnd w:id="60"/>
      <w:bookmarkEnd w:id="61"/>
      <w:bookmarkEnd w:id="62"/>
      <w:bookmarkEnd w:id="63"/>
    </w:p>
    <w:p w14:paraId="3726154E">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7.1 任何要求对磋商文件进行澄清的供应商，应在磋商截止期5日前按磋商公告中的通讯地址，以书面形式通知采购人或采购代理机构。</w:t>
      </w:r>
    </w:p>
    <w:p w14:paraId="0DA54C4B">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bookmarkStart w:id="64" w:name="_Toc16938528"/>
      <w:bookmarkStart w:id="65" w:name="_Toc513029212"/>
      <w:bookmarkStart w:id="66" w:name="_Toc20823284"/>
      <w:bookmarkStart w:id="67" w:name="_Toc462564071"/>
      <w:r>
        <w:rPr>
          <w:rFonts w:hint="eastAsia" w:ascii="宋体" w:hAnsi="宋体" w:eastAsia="宋体" w:cs="宋体"/>
          <w:color w:val="auto"/>
          <w:highlight w:val="none"/>
        </w:rPr>
        <w:t>8、磋商文件的澄清和修改</w:t>
      </w:r>
      <w:bookmarkEnd w:id="64"/>
      <w:bookmarkEnd w:id="65"/>
      <w:bookmarkEnd w:id="66"/>
      <w:bookmarkEnd w:id="67"/>
    </w:p>
    <w:p w14:paraId="79509885">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8.1 在响应文件提交截止时间前，采购人或采购代理机构可以对磋商文件进行澄清和修改, 澄清或者修改的内容作为磋商文件的组成部分。澄清或者修改的内容可能影响响应文件编制的，采购人或采购代理机构将在提交首次响应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更正公告内容将作为磋商文件的组成部分，并对供应商具有约束力。不足5日的，采购人或采购代理机构将顺延提交首次响应文件截止时间。</w:t>
      </w:r>
    </w:p>
    <w:p w14:paraId="1D54C122">
      <w:pPr>
        <w:pStyle w:val="27"/>
        <w:keepNext/>
        <w:keepLines/>
        <w:pageBreakBefore w:val="0"/>
        <w:kinsoku/>
        <w:wordWrap/>
        <w:overflowPunct/>
        <w:topLinePunct w:val="0"/>
        <w:autoSpaceDE/>
        <w:autoSpaceDN/>
        <w:bidi w:val="0"/>
        <w:adjustRightInd/>
        <w:snapToGrid/>
        <w:spacing w:before="145" w:beforeAutospacing="0" w:after="145" w:afterAutospacing="0" w:line="348" w:lineRule="auto"/>
        <w:jc w:val="both"/>
        <w:textAlignment w:val="auto"/>
        <w:rPr>
          <w:rFonts w:ascii="宋体" w:hAnsi="宋体" w:eastAsia="宋体" w:cs="宋体"/>
          <w:color w:val="auto"/>
          <w:highlight w:val="none"/>
        </w:rPr>
      </w:pPr>
      <w:bookmarkStart w:id="68" w:name="_Toc462564072"/>
      <w:bookmarkStart w:id="69" w:name="_Toc16938529"/>
      <w:bookmarkStart w:id="70" w:name="_Toc513029213"/>
      <w:bookmarkStart w:id="71" w:name="_Toc120614216"/>
      <w:bookmarkStart w:id="72" w:name="_Toc20823285"/>
      <w:r>
        <w:rPr>
          <w:rFonts w:hint="eastAsia" w:ascii="宋体" w:hAnsi="宋体" w:eastAsia="宋体" w:cs="宋体"/>
          <w:b/>
          <w:color w:val="auto"/>
          <w:highlight w:val="none"/>
        </w:rPr>
        <w:t>三、响应文件的编制</w:t>
      </w:r>
      <w:bookmarkEnd w:id="68"/>
      <w:bookmarkEnd w:id="69"/>
      <w:bookmarkEnd w:id="70"/>
      <w:bookmarkEnd w:id="71"/>
      <w:bookmarkEnd w:id="72"/>
    </w:p>
    <w:p w14:paraId="6AB11D2E">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bookmarkStart w:id="73" w:name="_Toc16938530"/>
      <w:bookmarkStart w:id="74" w:name="_Toc20823286"/>
      <w:bookmarkStart w:id="75" w:name="_Toc462564073"/>
      <w:bookmarkStart w:id="76" w:name="_Toc513029214"/>
      <w:r>
        <w:rPr>
          <w:rFonts w:hint="eastAsia" w:ascii="宋体" w:hAnsi="宋体" w:eastAsia="宋体" w:cs="宋体"/>
          <w:color w:val="auto"/>
          <w:highlight w:val="none"/>
        </w:rPr>
        <w:t>9、响应文件的语言及度量衡单位</w:t>
      </w:r>
      <w:bookmarkEnd w:id="73"/>
      <w:bookmarkEnd w:id="74"/>
      <w:bookmarkEnd w:id="75"/>
      <w:bookmarkEnd w:id="76"/>
    </w:p>
    <w:p w14:paraId="1C6A747F">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9.1供应商提交的响应文件以及供应商与采购人或采购代理机构就有关磋商的所有来往通知、函件和文件均应使用</w:t>
      </w:r>
      <w:r>
        <w:rPr>
          <w:rFonts w:hint="eastAsia" w:ascii="宋体" w:hAnsi="宋体" w:eastAsia="宋体" w:cs="宋体"/>
          <w:bCs/>
          <w:color w:val="auto"/>
          <w:highlight w:val="none"/>
        </w:rPr>
        <w:t>简体中文</w:t>
      </w:r>
      <w:r>
        <w:rPr>
          <w:rFonts w:hint="eastAsia" w:ascii="宋体" w:hAnsi="宋体" w:eastAsia="宋体" w:cs="宋体"/>
          <w:color w:val="auto"/>
          <w:highlight w:val="none"/>
        </w:rPr>
        <w:t>。</w:t>
      </w:r>
    </w:p>
    <w:p w14:paraId="372F0D39">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9.2 除技术性能另有规定外，响应文件所使用的度量衡单位，均须采用国家法定计量单位。</w:t>
      </w:r>
    </w:p>
    <w:p w14:paraId="11AD89A3">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bookmarkStart w:id="77" w:name="_Toc513029215"/>
      <w:bookmarkStart w:id="78" w:name="_Toc16938531"/>
      <w:bookmarkStart w:id="79" w:name="_Toc20823287"/>
      <w:bookmarkStart w:id="80" w:name="_Toc462564074"/>
      <w:r>
        <w:rPr>
          <w:rFonts w:hint="eastAsia" w:ascii="宋体" w:hAnsi="宋体" w:eastAsia="宋体" w:cs="宋体"/>
          <w:color w:val="auto"/>
          <w:highlight w:val="none"/>
        </w:rPr>
        <w:t>10、响应文件构成</w:t>
      </w:r>
      <w:bookmarkEnd w:id="77"/>
      <w:bookmarkEnd w:id="78"/>
      <w:bookmarkEnd w:id="79"/>
      <w:bookmarkEnd w:id="80"/>
    </w:p>
    <w:p w14:paraId="10D718BF">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10.1供应商编写的响应文件应包括资格证明文件、符合性证明文件、开标一览表、中小企业声明函、其他证明文件、磋商响应函等部分。</w:t>
      </w:r>
    </w:p>
    <w:p w14:paraId="008EB764">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10.2 如标书制作工具中格式和内容与“中国政府采购网”、“江苏政府采购网”、“盐城市政府采购网”发布的磋商文件不一致，请以“中国政府采购网”、“江苏政府采购网”、“盐城市政府采购网”发布的磋商文件为准。</w:t>
      </w:r>
    </w:p>
    <w:p w14:paraId="21B197C9">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bookmarkStart w:id="81" w:name="_Toc513029216"/>
      <w:bookmarkStart w:id="82" w:name="_Toc49090509"/>
      <w:bookmarkStart w:id="83" w:name="_Toc513029219"/>
      <w:bookmarkStart w:id="84" w:name="_Toc14577355"/>
      <w:bookmarkStart w:id="85" w:name="_Toc14577354"/>
      <w:bookmarkStart w:id="86" w:name="_Toc49090507"/>
      <w:bookmarkStart w:id="87" w:name="_Toc14577357"/>
      <w:bookmarkStart w:id="88" w:name="_Toc49090508"/>
      <w:bookmarkStart w:id="89" w:name="_Hlt26668975"/>
      <w:bookmarkStart w:id="90" w:name="_Hlt26954838"/>
      <w:bookmarkStart w:id="91" w:name="_Hlt26670360"/>
      <w:r>
        <w:rPr>
          <w:rFonts w:hint="eastAsia" w:ascii="宋体" w:hAnsi="宋体" w:eastAsia="宋体" w:cs="宋体"/>
          <w:color w:val="auto"/>
          <w:highlight w:val="none"/>
        </w:rPr>
        <w:t>11、证明磋商响应标的符合磋商文件规定的文件</w:t>
      </w:r>
      <w:bookmarkEnd w:id="81"/>
      <w:bookmarkEnd w:id="82"/>
      <w:bookmarkEnd w:id="83"/>
      <w:bookmarkEnd w:id="84"/>
      <w:bookmarkEnd w:id="85"/>
      <w:bookmarkEnd w:id="86"/>
      <w:bookmarkEnd w:id="87"/>
      <w:bookmarkEnd w:id="88"/>
    </w:p>
    <w:p w14:paraId="3DA4CD55">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11.1供应商应按照磋商文件要求提交证明文件，证明其及磋商响应标的符合磋商文件规定。</w:t>
      </w:r>
    </w:p>
    <w:p w14:paraId="47E34838">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11.2磋商文件对证明文件无明确形式要求的，证明文件可以以文字资料、图纸和数据等形式提交。</w:t>
      </w:r>
    </w:p>
    <w:p w14:paraId="5EB7B10F">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12、分项报价表</w:t>
      </w:r>
    </w:p>
    <w:p w14:paraId="17B4F2B2">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12.1供应商应按照磋商文件规定格式填报分项报价表。</w:t>
      </w:r>
    </w:p>
    <w:p w14:paraId="2C9297FB">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12.2磋商货币。响应文件中的单价和总价无特殊规定的采用人民币报价，以元为单位标注。磋商文件中另有规定的按规定执行。</w:t>
      </w:r>
    </w:p>
    <w:p w14:paraId="30E82E4A">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bookmarkStart w:id="92" w:name="_Hlt26954731"/>
      <w:bookmarkStart w:id="93" w:name="_Hlt26954846"/>
      <w:bookmarkStart w:id="94" w:name="_Hlt26954848"/>
      <w:bookmarkStart w:id="95" w:name="_Hlt26670482"/>
      <w:bookmarkStart w:id="96" w:name="_Hlt26670486"/>
      <w:r>
        <w:rPr>
          <w:rFonts w:hint="eastAsia" w:ascii="宋体" w:hAnsi="宋体" w:eastAsia="宋体" w:cs="宋体"/>
          <w:color w:val="auto"/>
          <w:highlight w:val="none"/>
        </w:rPr>
        <w:t>13、技术要求响应及偏离表、商务要求响应及偏离表</w:t>
      </w:r>
    </w:p>
    <w:p w14:paraId="0E27BD9C">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13.1供应商需对磋商文件中的技术要求与商务要求逐项作出响应或偏离，并说明原因。</w:t>
      </w:r>
    </w:p>
    <w:p w14:paraId="6B1172B5">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13.2供应商可在响应文件中提供认为需要的其他技术文件或说明。</w:t>
      </w:r>
    </w:p>
    <w:p w14:paraId="3E4827A1">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14、服务承诺、培训计划、人员安排及其他</w:t>
      </w:r>
    </w:p>
    <w:p w14:paraId="76FEFFED">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14.1供应商需根据磋商文件要求提供有关售后服务的管理制度，售后服务机构的分布情况，售后服务人员的数量、素质、技术水平及售后服务的反应能力等。</w:t>
      </w:r>
    </w:p>
    <w:p w14:paraId="01C9961D">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14.2供应商需根据磋商文件要求提供培训计划。</w:t>
      </w:r>
    </w:p>
    <w:p w14:paraId="30DE55AD">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14.3供应商需根据磋商文件要求提供磋商响应标的的主要组成部分、功能设计、实现思路及关键技术等。</w:t>
      </w:r>
    </w:p>
    <w:p w14:paraId="60DDED7A">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bookmarkStart w:id="97" w:name="_Toc49090510"/>
      <w:bookmarkStart w:id="98" w:name="_Toc14577359"/>
      <w:r>
        <w:rPr>
          <w:rFonts w:hint="eastAsia" w:ascii="宋体" w:hAnsi="宋体" w:eastAsia="宋体" w:cs="宋体"/>
          <w:color w:val="auto"/>
          <w:highlight w:val="none"/>
        </w:rPr>
        <w:t>15、磋商响应函</w:t>
      </w:r>
      <w:bookmarkEnd w:id="97"/>
      <w:bookmarkEnd w:id="98"/>
    </w:p>
    <w:p w14:paraId="552FC52E">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15.1供应商应按照磋商文件中提供的格式完整、正确填写磋商响应函。</w:t>
      </w:r>
    </w:p>
    <w:p w14:paraId="5BD3EA98">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bookmarkStart w:id="99" w:name="_Toc14577360"/>
      <w:bookmarkStart w:id="100" w:name="_Toc49090511"/>
      <w:r>
        <w:rPr>
          <w:rFonts w:hint="eastAsia" w:ascii="宋体" w:hAnsi="宋体" w:eastAsia="宋体" w:cs="宋体"/>
          <w:color w:val="auto"/>
          <w:highlight w:val="none"/>
        </w:rPr>
        <w:t>16、磋商有效期</w:t>
      </w:r>
      <w:bookmarkEnd w:id="99"/>
      <w:bookmarkEnd w:id="100"/>
    </w:p>
    <w:p w14:paraId="79D47F62">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16.1磋商有效期为采购人规定的提交响应文件截止之日后</w:t>
      </w:r>
      <w:r>
        <w:rPr>
          <w:rFonts w:hint="eastAsia" w:ascii="宋体" w:hAnsi="宋体" w:eastAsia="宋体" w:cs="宋体"/>
          <w:b/>
          <w:color w:val="auto"/>
          <w:highlight w:val="none"/>
          <w:u w:val="single"/>
        </w:rPr>
        <w:t>九十（90）天</w:t>
      </w:r>
      <w:r>
        <w:rPr>
          <w:rFonts w:hint="eastAsia" w:ascii="宋体" w:hAnsi="宋体" w:eastAsia="宋体" w:cs="宋体"/>
          <w:color w:val="auto"/>
          <w:highlight w:val="none"/>
        </w:rPr>
        <w:t>。磋商有效期比规定短的将被视为非实质性响应磋商文件而予以拒绝。</w:t>
      </w:r>
    </w:p>
    <w:p w14:paraId="4D16F44F">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17、磋商有效期的延长</w:t>
      </w:r>
    </w:p>
    <w:p w14:paraId="37B85C13">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p>
    <w:p w14:paraId="6F7A2851">
      <w:pPr>
        <w:pStyle w:val="27"/>
        <w:keepNext/>
        <w:keepLines/>
        <w:pageBreakBefore w:val="0"/>
        <w:kinsoku/>
        <w:wordWrap/>
        <w:overflowPunct/>
        <w:topLinePunct w:val="0"/>
        <w:autoSpaceDE/>
        <w:autoSpaceDN/>
        <w:bidi w:val="0"/>
        <w:adjustRightInd/>
        <w:snapToGrid/>
        <w:spacing w:before="145" w:beforeAutospacing="0" w:after="145" w:afterAutospacing="0" w:line="348" w:lineRule="auto"/>
        <w:jc w:val="both"/>
        <w:textAlignment w:val="auto"/>
        <w:rPr>
          <w:rFonts w:ascii="宋体" w:hAnsi="宋体" w:eastAsia="宋体" w:cs="宋体"/>
          <w:color w:val="auto"/>
          <w:highlight w:val="none"/>
        </w:rPr>
      </w:pPr>
      <w:bookmarkStart w:id="101" w:name="_Toc513029224"/>
      <w:bookmarkStart w:id="102" w:name="_Toc16938540"/>
      <w:bookmarkStart w:id="103" w:name="_Toc20823296"/>
      <w:bookmarkStart w:id="104" w:name="_Toc120614217"/>
      <w:bookmarkStart w:id="105" w:name="_Hlt26954852"/>
      <w:bookmarkStart w:id="106" w:name="_Hlt26954739"/>
      <w:r>
        <w:rPr>
          <w:rFonts w:hint="eastAsia" w:ascii="宋体" w:hAnsi="宋体" w:eastAsia="宋体" w:cs="宋体"/>
          <w:b/>
          <w:color w:val="auto"/>
          <w:highlight w:val="none"/>
        </w:rPr>
        <w:t>四、响应文件的递交</w:t>
      </w:r>
      <w:bookmarkEnd w:id="101"/>
      <w:bookmarkEnd w:id="102"/>
      <w:bookmarkEnd w:id="103"/>
      <w:bookmarkEnd w:id="104"/>
    </w:p>
    <w:p w14:paraId="369222F0">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bookmarkStart w:id="107" w:name="_Toc462564084"/>
      <w:bookmarkStart w:id="108" w:name="_Toc20823297"/>
      <w:bookmarkStart w:id="109" w:name="_Toc513029225"/>
      <w:bookmarkStart w:id="110" w:name="_Toc16938541"/>
      <w:r>
        <w:rPr>
          <w:rFonts w:hint="eastAsia" w:ascii="宋体" w:hAnsi="宋体" w:eastAsia="宋体" w:cs="宋体"/>
          <w:color w:val="auto"/>
          <w:highlight w:val="none"/>
        </w:rPr>
        <w:t>18、电子磋商</w:t>
      </w:r>
      <w:bookmarkEnd w:id="107"/>
      <w:bookmarkEnd w:id="108"/>
      <w:bookmarkEnd w:id="109"/>
      <w:bookmarkEnd w:id="110"/>
      <w:r>
        <w:rPr>
          <w:rFonts w:hint="eastAsia" w:ascii="宋体" w:hAnsi="宋体" w:eastAsia="宋体" w:cs="宋体"/>
          <w:color w:val="auto"/>
          <w:highlight w:val="none"/>
        </w:rPr>
        <w:t>响应文件的递交</w:t>
      </w:r>
    </w:p>
    <w:p w14:paraId="2B2EFBF3">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18.1供应商应当按照《操作手册》规定，在提交响应文件截止时间前制作并上传电子响应文件。</w:t>
      </w:r>
      <w:bookmarkStart w:id="111" w:name="_Toc20823298"/>
      <w:bookmarkEnd w:id="111"/>
      <w:bookmarkStart w:id="112" w:name="_Toc16938542"/>
      <w:bookmarkEnd w:id="112"/>
      <w:bookmarkStart w:id="113" w:name="_Toc513029226"/>
    </w:p>
    <w:p w14:paraId="370A8E84">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19、提交响应文件截止时间</w:t>
      </w:r>
    </w:p>
    <w:p w14:paraId="78F8913D">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iCs/>
          <w:color w:val="auto"/>
          <w:highlight w:val="none"/>
        </w:rPr>
        <w:t>19</w:t>
      </w:r>
      <w:r>
        <w:rPr>
          <w:rFonts w:hint="eastAsia" w:ascii="宋体" w:hAnsi="宋体" w:eastAsia="宋体" w:cs="宋体"/>
          <w:color w:val="auto"/>
          <w:highlight w:val="none"/>
        </w:rPr>
        <w:t>.1供应商上传电子响应文件的时间不得迟于磋商公告中规定的提交响应文件截止时间。</w:t>
      </w:r>
    </w:p>
    <w:p w14:paraId="20D7601C">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供应商应充分考虑到网络环境、网络带宽等风险因素，如因供应商自身原因造成的电子响应文件上传不成功的按照本磋商文件第二章第26.3.2条规定做无效响应处理。</w:t>
      </w:r>
    </w:p>
    <w:p w14:paraId="20CC98F6">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19.2 采购人、采购代理机构可以按照规定，通过修改磋商文件酌情延长提交响应文件截止日期，在此情况下，供应商的所有权利和义务以及供应商受制的截止日期均应以延长后新的截止日期为准。</w:t>
      </w:r>
    </w:p>
    <w:p w14:paraId="084B0662">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bookmarkStart w:id="114" w:name="_Toc513029227"/>
      <w:bookmarkStart w:id="115" w:name="_Toc20823299"/>
      <w:bookmarkStart w:id="116" w:name="_Toc16938543"/>
      <w:r>
        <w:rPr>
          <w:rFonts w:hint="eastAsia" w:ascii="宋体" w:hAnsi="宋体" w:eastAsia="宋体" w:cs="宋体"/>
          <w:color w:val="auto"/>
          <w:highlight w:val="none"/>
        </w:rPr>
        <w:t>20、响应文件</w:t>
      </w:r>
      <w:bookmarkEnd w:id="114"/>
      <w:bookmarkEnd w:id="115"/>
      <w:bookmarkEnd w:id="116"/>
      <w:r>
        <w:rPr>
          <w:rFonts w:hint="eastAsia" w:ascii="宋体" w:hAnsi="宋体" w:eastAsia="宋体" w:cs="宋体"/>
          <w:color w:val="auto"/>
          <w:highlight w:val="none"/>
        </w:rPr>
        <w:t>的拒收</w:t>
      </w:r>
    </w:p>
    <w:p w14:paraId="5C4ECD28">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20.1 采购人、采购代理机构拒绝接收在其规定的提交响应文件截止时间后上传的任何电子响应文件。</w:t>
      </w:r>
    </w:p>
    <w:p w14:paraId="4ECE6D23">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bookmarkStart w:id="117" w:name="_Toc513029228"/>
      <w:bookmarkStart w:id="118" w:name="_Toc16938544"/>
      <w:bookmarkStart w:id="119" w:name="_Toc20823300"/>
      <w:r>
        <w:rPr>
          <w:rFonts w:hint="eastAsia" w:ascii="宋体" w:hAnsi="宋体" w:eastAsia="宋体" w:cs="宋体"/>
          <w:color w:val="auto"/>
          <w:highlight w:val="none"/>
        </w:rPr>
        <w:t>21、响应文件的撤回和修改</w:t>
      </w:r>
      <w:bookmarkEnd w:id="117"/>
      <w:bookmarkEnd w:id="118"/>
      <w:bookmarkEnd w:id="119"/>
    </w:p>
    <w:p w14:paraId="441477AB">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21.1响应文件的撤回</w:t>
      </w:r>
    </w:p>
    <w:p w14:paraId="5175BEEC">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21.1.1 电子响应文件的撤回</w:t>
      </w:r>
    </w:p>
    <w:p w14:paraId="26852296">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供应商可在提交响应文件截止时间前，撤回其电子响应文件，具体操作方法见《操作手册》。</w:t>
      </w:r>
    </w:p>
    <w:p w14:paraId="79E79DD4">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21.1.2供应商撤回电子响应文件，则认为其不再参与本项目磋商活动。</w:t>
      </w:r>
    </w:p>
    <w:p w14:paraId="0EA40B9E">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21.2响应文件的修改</w:t>
      </w:r>
    </w:p>
    <w:p w14:paraId="5031F0DF">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供应商可在提交响应文件截止时间前，对其电子响应文件进行修改，具体操作方法见《操作手册》。</w:t>
      </w:r>
    </w:p>
    <w:p w14:paraId="3BC96BB8">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21.3 在提交响应文件截止时间之后，供应商不得对其电子响应文件作任何修改。</w:t>
      </w:r>
    </w:p>
    <w:p w14:paraId="7CB6FB23">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21.4 在提交响应文件截止时间至磋商文件中规定的磋商有效期满之间的这段时间内，供应商不得撤回其响应文件。</w:t>
      </w:r>
    </w:p>
    <w:p w14:paraId="3A9310FB">
      <w:pPr>
        <w:pStyle w:val="27"/>
        <w:keepNext/>
        <w:keepLines/>
        <w:pageBreakBefore w:val="0"/>
        <w:kinsoku/>
        <w:wordWrap/>
        <w:overflowPunct/>
        <w:topLinePunct w:val="0"/>
        <w:autoSpaceDE/>
        <w:autoSpaceDN/>
        <w:bidi w:val="0"/>
        <w:adjustRightInd/>
        <w:snapToGrid/>
        <w:spacing w:before="145" w:beforeAutospacing="0" w:after="145" w:afterAutospacing="0" w:line="348" w:lineRule="auto"/>
        <w:jc w:val="both"/>
        <w:textAlignment w:val="auto"/>
        <w:rPr>
          <w:rFonts w:ascii="宋体" w:hAnsi="宋体" w:eastAsia="宋体" w:cs="宋体"/>
          <w:color w:val="auto"/>
          <w:highlight w:val="none"/>
        </w:rPr>
      </w:pPr>
      <w:bookmarkStart w:id="120" w:name="_Toc20823301"/>
      <w:bookmarkStart w:id="121" w:name="_Toc16938545"/>
      <w:bookmarkStart w:id="122" w:name="_Toc513029229"/>
      <w:bookmarkStart w:id="123" w:name="_Toc120614218"/>
      <w:r>
        <w:rPr>
          <w:rFonts w:hint="eastAsia" w:ascii="宋体" w:hAnsi="宋体" w:eastAsia="宋体" w:cs="宋体"/>
          <w:b/>
          <w:color w:val="auto"/>
          <w:highlight w:val="none"/>
        </w:rPr>
        <w:t>五、响应文件的解密与评审</w:t>
      </w:r>
      <w:bookmarkEnd w:id="120"/>
      <w:bookmarkEnd w:id="121"/>
      <w:bookmarkEnd w:id="122"/>
      <w:bookmarkEnd w:id="123"/>
    </w:p>
    <w:p w14:paraId="1F1FB3A4">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bookmarkStart w:id="124" w:name="_Toc20823302"/>
      <w:bookmarkStart w:id="125" w:name="_Toc513029230"/>
      <w:bookmarkStart w:id="126" w:name="_Toc16938546"/>
      <w:r>
        <w:rPr>
          <w:rFonts w:hint="eastAsia" w:ascii="宋体" w:hAnsi="宋体" w:eastAsia="宋体" w:cs="宋体"/>
          <w:color w:val="auto"/>
          <w:highlight w:val="none"/>
        </w:rPr>
        <w:t>22、</w:t>
      </w:r>
      <w:bookmarkEnd w:id="124"/>
      <w:bookmarkEnd w:id="125"/>
      <w:bookmarkEnd w:id="126"/>
      <w:r>
        <w:rPr>
          <w:rFonts w:hint="eastAsia" w:ascii="宋体" w:hAnsi="宋体" w:eastAsia="宋体" w:cs="宋体"/>
          <w:color w:val="auto"/>
          <w:highlight w:val="none"/>
        </w:rPr>
        <w:t>响应文件解密</w:t>
      </w:r>
    </w:p>
    <w:p w14:paraId="187937F2">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22.1供应商应当按照《操作手册》规定，在苏采云系统规定的时间内对磋商响应文件进行解密。</w:t>
      </w:r>
    </w:p>
    <w:p w14:paraId="25F606E0">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bookmarkStart w:id="127" w:name="_Toc513029231"/>
      <w:bookmarkStart w:id="128" w:name="_Toc20823303"/>
      <w:bookmarkStart w:id="129" w:name="_Toc16938547"/>
      <w:r>
        <w:rPr>
          <w:rFonts w:hint="eastAsia" w:ascii="宋体" w:hAnsi="宋体" w:eastAsia="宋体" w:cs="宋体"/>
          <w:color w:val="auto"/>
          <w:highlight w:val="none"/>
        </w:rPr>
        <w:t>23、磋商小组</w:t>
      </w:r>
      <w:bookmarkEnd w:id="127"/>
      <w:bookmarkEnd w:id="128"/>
      <w:bookmarkEnd w:id="129"/>
    </w:p>
    <w:p w14:paraId="60F63F11">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23.1采购人、采购代理机构将组织磋商小组对响应文件进行评审。磋商小组由采购人代表和有关技术、经济等方面的专家组成，且人员构成符合政府采购有关规定。</w:t>
      </w:r>
    </w:p>
    <w:p w14:paraId="6AE65556">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23.2磋商小组独立工作，负责评审所有响应文件并确定成交侯选人。</w:t>
      </w:r>
    </w:p>
    <w:p w14:paraId="70A3FA48">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24、评审过程的保密与公正</w:t>
      </w:r>
    </w:p>
    <w:p w14:paraId="6E96F873">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24.1磋商小组、采购人和采购代理机构工作人员、相关监督人员等与评审工作有关的人员，对评审情况以及在评审过程中获悉的国家秘密、商业秘密负有保密责任。</w:t>
      </w:r>
    </w:p>
    <w:p w14:paraId="1858EA2E">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24.2在评审过程中，供应商不得以任何行为影响磋商评审过程，否则其响应文件将被作为无效响应文件。</w:t>
      </w:r>
    </w:p>
    <w:p w14:paraId="53F3C0C9">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24.3在项目评审期间，采购人、采购代理机构将设专门人员与供应商联系。</w:t>
      </w:r>
    </w:p>
    <w:p w14:paraId="4AEEDC7C">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24.4 采购人、采购代理机构和磋商小组不向未成交的供应商解释未成交原因，也不公布评审过程中的相关细节。</w:t>
      </w:r>
    </w:p>
    <w:p w14:paraId="09F6DD36">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bookmarkStart w:id="130" w:name="_Toc20823304"/>
      <w:bookmarkStart w:id="131" w:name="_Toc16938548"/>
      <w:bookmarkStart w:id="132" w:name="_Toc513029232"/>
      <w:r>
        <w:rPr>
          <w:rFonts w:hint="eastAsia" w:ascii="宋体" w:hAnsi="宋体" w:eastAsia="宋体" w:cs="宋体"/>
          <w:color w:val="auto"/>
          <w:highlight w:val="none"/>
        </w:rPr>
        <w:t>25、评审过程中的的澄清</w:t>
      </w:r>
      <w:bookmarkEnd w:id="130"/>
      <w:bookmarkEnd w:id="131"/>
      <w:bookmarkEnd w:id="132"/>
    </w:p>
    <w:p w14:paraId="0310DB59">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6A83622">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磋商小组并非对每个供应商都作澄清要求。</w:t>
      </w:r>
    </w:p>
    <w:p w14:paraId="423ECDAB">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22365107">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25.3接到磋商小组澄清、说明和更正要求的供应商如未按规定做出澄清、说明和 更正，其风险由供应商自行承担。</w:t>
      </w:r>
    </w:p>
    <w:p w14:paraId="70203190">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bookmarkStart w:id="133" w:name="_Toc20823305"/>
      <w:bookmarkStart w:id="134" w:name="_Toc513029233"/>
      <w:bookmarkStart w:id="135" w:name="_Toc16938549"/>
      <w:r>
        <w:rPr>
          <w:rFonts w:hint="eastAsia" w:ascii="宋体" w:hAnsi="宋体" w:eastAsia="宋体" w:cs="宋体"/>
          <w:color w:val="auto"/>
          <w:highlight w:val="none"/>
        </w:rPr>
        <w:t>26、对响应文件的审</w:t>
      </w:r>
      <w:bookmarkEnd w:id="133"/>
      <w:bookmarkEnd w:id="134"/>
      <w:bookmarkEnd w:id="135"/>
      <w:r>
        <w:rPr>
          <w:rFonts w:hint="eastAsia" w:ascii="宋体" w:hAnsi="宋体" w:eastAsia="宋体" w:cs="宋体"/>
          <w:color w:val="auto"/>
          <w:highlight w:val="none"/>
        </w:rPr>
        <w:t>查</w:t>
      </w:r>
    </w:p>
    <w:p w14:paraId="498D9952">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26.1响应文件审查分为资格审查和符合性审查。</w:t>
      </w:r>
    </w:p>
    <w:p w14:paraId="2127C941">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26.1.1资格审查：由磋商小组依据法律法规和磋商文件的规定，对响应文件中的资格证明文件进行审查，以确定供应商是否具备参加磋商的资格。</w:t>
      </w:r>
    </w:p>
    <w:p w14:paraId="27C2424E">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磋商小组在进行资格审查的同时，将在“信用中国”网站（www.creditchina.gov.cn）查询供应商的信用记录，以确定供应商是否具备磋商资格,查询结果留存并归档。</w:t>
      </w:r>
    </w:p>
    <w:p w14:paraId="0670D3B4">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6435DEBA">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26.1.2 符合性审查：依据磋商文件的规定，由磋商小组从响应文件的有效性、完整性和对磋商文件的响应程度进行审查，以确定是否对磋商文件的实质性要求作出响应。</w:t>
      </w:r>
    </w:p>
    <w:p w14:paraId="0803B6FD">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26.1.3未通过资格审查或符合性审查的供应商，磋商小组将在苏采云系统中告知未通过资格审查或符合性审查的原因，评审结束后，磋商小组将不再告知未通过资格审查或符合性审查的原因。</w:t>
      </w:r>
    </w:p>
    <w:p w14:paraId="5E2C2A86">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7BD57FBC">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BFAC55D">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26.3未实质性响应磋商文件的情形</w:t>
      </w:r>
    </w:p>
    <w:p w14:paraId="69F7FC2F">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26.3.1供应商在苏采云系统规定的时间内未成功解密电子响应文件的。</w:t>
      </w:r>
    </w:p>
    <w:p w14:paraId="1305EF97">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26.3.2供应商未按照磋商文件要求上传电子响应文件的。</w:t>
      </w:r>
    </w:p>
    <w:p w14:paraId="75C66AFD">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26.3.3同一供应商提交两个（含两个）以上不同的响应文件或者最后报价的。</w:t>
      </w:r>
    </w:p>
    <w:p w14:paraId="7AEA97F5">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26.3.4供应商不具备磋商文件中规定资格要求的。</w:t>
      </w:r>
    </w:p>
    <w:p w14:paraId="52C27F04">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26.3.5供应商的最后报价超过了采购预算。</w:t>
      </w:r>
    </w:p>
    <w:p w14:paraId="65398951">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26.3.6不符合磋商文件中规定的实质性要求和条件的（本磋商文件中斜体且有下划线部分为实质性要求和条件）。</w:t>
      </w:r>
    </w:p>
    <w:p w14:paraId="6BEA7EE7">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5AEFD66">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26.3.8响应文件含有采购人不能接受的附加条件的。</w:t>
      </w:r>
    </w:p>
    <w:p w14:paraId="12F5BAA5">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48B85519">
      <w:pPr>
        <w:pStyle w:val="27"/>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t>26.3.1</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不能证明其报价合理性的，</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rPr>
        <w:t>应当将其作为无效</w:t>
      </w:r>
      <w:r>
        <w:rPr>
          <w:rFonts w:hint="eastAsia" w:ascii="宋体" w:hAnsi="宋体" w:eastAsia="宋体" w:cs="宋体"/>
          <w:color w:val="auto"/>
          <w:sz w:val="24"/>
          <w:szCs w:val="24"/>
          <w:highlight w:val="none"/>
          <w:lang w:val="en-US" w:eastAsia="zh-CN" w:bidi="ar-SA"/>
        </w:rPr>
        <w:t>响应</w:t>
      </w:r>
      <w:r>
        <w:rPr>
          <w:rFonts w:hint="eastAsia" w:ascii="宋体" w:hAnsi="宋体" w:eastAsia="宋体" w:cs="宋体"/>
          <w:color w:val="auto"/>
          <w:sz w:val="24"/>
          <w:szCs w:val="24"/>
          <w:highlight w:val="none"/>
        </w:rPr>
        <w:t>处理。</w:t>
      </w:r>
    </w:p>
    <w:p w14:paraId="1CF1EEC8">
      <w:pPr>
        <w:pStyle w:val="27"/>
        <w:pageBreakBefore w:val="0"/>
        <w:widowControl w:val="0"/>
        <w:spacing w:beforeAutospacing="0" w:afterAutospacing="0" w:line="460" w:lineRule="exac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（一）评审过程中出现下列情形之一的，磋商小组应当启动异常低价响应审查程序：</w:t>
      </w:r>
    </w:p>
    <w:p w14:paraId="3F5D55BD">
      <w:pPr>
        <w:pStyle w:val="27"/>
        <w:pageBreakBefore w:val="0"/>
        <w:widowControl w:val="0"/>
        <w:spacing w:beforeAutospacing="0" w:afterAutospacing="0" w:line="460" w:lineRule="exac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52D63B4C">
      <w:pPr>
        <w:pStyle w:val="27"/>
        <w:pageBreakBefore w:val="0"/>
        <w:widowControl w:val="0"/>
        <w:spacing w:beforeAutospacing="0" w:afterAutospacing="0" w:line="460" w:lineRule="exac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26095039">
      <w:pPr>
        <w:pStyle w:val="27"/>
        <w:pageBreakBefore w:val="0"/>
        <w:widowControl w:val="0"/>
        <w:spacing w:beforeAutospacing="0" w:afterAutospacing="0" w:line="460" w:lineRule="exac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3.投标（响应）报价低于采购项目最高限价45%的，即投标（响应）报价&lt;采购项目最高限价×45%；</w:t>
      </w:r>
    </w:p>
    <w:p w14:paraId="5DD7C956">
      <w:pPr>
        <w:pStyle w:val="27"/>
        <w:pageBreakBefore w:val="0"/>
        <w:widowControl w:val="0"/>
        <w:spacing w:beforeAutospacing="0" w:afterAutospacing="0" w:line="460" w:lineRule="exac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4.评审委员会基于专业判断，认为供应商报价过低，有可能影响产品质量或者不能诚信履约的其他情形。</w:t>
      </w:r>
    </w:p>
    <w:p w14:paraId="3F7F4141">
      <w:pPr>
        <w:pStyle w:val="27"/>
        <w:pageBreakBefore w:val="0"/>
        <w:widowControl w:val="0"/>
        <w:spacing w:beforeAutospacing="0" w:afterAutospacing="0" w:line="460" w:lineRule="exac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相关法律法规对供应商报价有规定的，从其规定。</w:t>
      </w:r>
    </w:p>
    <w:p w14:paraId="1785CC18">
      <w:pPr>
        <w:pStyle w:val="27"/>
        <w:pageBreakBefore w:val="0"/>
        <w:widowControl w:val="0"/>
        <w:spacing w:beforeAutospacing="0" w:afterAutospacing="0" w:line="460" w:lineRule="exac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19F6131">
      <w:pPr>
        <w:pStyle w:val="27"/>
        <w:pageBreakBefore w:val="0"/>
        <w:widowControl w:val="0"/>
        <w:spacing w:beforeAutospacing="0" w:afterAutospacing="0" w:line="460" w:lineRule="exac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73A945E">
      <w:pPr>
        <w:pStyle w:val="27"/>
        <w:pageBreakBefore w:val="0"/>
        <w:widowControl w:val="0"/>
        <w:spacing w:beforeAutospacing="0" w:afterAutospacing="0" w:line="460" w:lineRule="exac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A098937">
      <w:pPr>
        <w:pStyle w:val="27"/>
        <w:pageBreakBefore w:val="0"/>
        <w:widowControl w:val="0"/>
        <w:spacing w:beforeAutospacing="0" w:afterAutospacing="0" w:line="460" w:lineRule="exact"/>
        <w:ind w:left="0" w:right="0"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084DC206">
      <w:pPr>
        <w:pStyle w:val="27"/>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26.3.11</w:t>
      </w:r>
      <w:r>
        <w:rPr>
          <w:rFonts w:hint="eastAsia" w:ascii="宋体" w:hAnsi="宋体" w:eastAsia="宋体" w:cs="宋体"/>
          <w:color w:val="auto"/>
          <w:sz w:val="24"/>
          <w:szCs w:val="24"/>
          <w:highlight w:val="none"/>
          <w:shd w:val="clear" w:color="auto" w:fill="auto"/>
        </w:rPr>
        <w:t>响应文件未按照磋商文件要求加盖CA电子公章的。</w:t>
      </w:r>
    </w:p>
    <w:p w14:paraId="22AB226A">
      <w:pPr>
        <w:pStyle w:val="27"/>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26.4未实质性响应磋商文件的响应文件按无效响应处理。</w:t>
      </w:r>
    </w:p>
    <w:p w14:paraId="615B47BB">
      <w:pPr>
        <w:pStyle w:val="27"/>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26.5如果响应文件实质上没有响应磋商文件的要求，磋商小组将予以拒绝，供应商不得通过修改或撤销不合要求的偏离或保留而使其成为实质性响应的文件。</w:t>
      </w:r>
    </w:p>
    <w:p w14:paraId="1FD4B0A7">
      <w:pPr>
        <w:pStyle w:val="27"/>
        <w:pageBreakBefore w:val="0"/>
        <w:widowControl w:val="0"/>
        <w:spacing w:beforeAutospacing="0" w:afterAutospacing="0" w:line="460" w:lineRule="exact"/>
        <w:ind w:left="0" w:firstLine="480"/>
        <w:jc w:val="both"/>
        <w:rPr>
          <w:rFonts w:hint="eastAsia" w:ascii="宋体" w:hAnsi="宋体" w:eastAsia="宋体" w:cs="宋体"/>
          <w:color w:val="auto"/>
          <w:sz w:val="24"/>
          <w:szCs w:val="24"/>
          <w:highlight w:val="none"/>
          <w:shd w:val="clear" w:color="auto" w:fill="auto"/>
        </w:rPr>
      </w:pPr>
      <w:bookmarkStart w:id="136" w:name="_Toc16938550"/>
      <w:bookmarkStart w:id="137" w:name="_Toc20823306"/>
      <w:bookmarkStart w:id="138" w:name="_Toc513029234"/>
      <w:r>
        <w:rPr>
          <w:rFonts w:hint="eastAsia" w:ascii="宋体" w:hAnsi="宋体" w:eastAsia="宋体" w:cs="宋体"/>
          <w:color w:val="auto"/>
          <w:sz w:val="24"/>
          <w:szCs w:val="24"/>
          <w:highlight w:val="none"/>
          <w:shd w:val="clear" w:color="auto" w:fill="auto"/>
        </w:rPr>
        <w:t>26.6供应商在项目评审全过程中应</w:t>
      </w:r>
      <w:r>
        <w:rPr>
          <w:rFonts w:hint="eastAsia" w:ascii="宋体" w:hAnsi="宋体" w:eastAsia="宋体" w:cs="宋体"/>
          <w:color w:val="auto"/>
          <w:sz w:val="24"/>
          <w:szCs w:val="24"/>
          <w:highlight w:val="none"/>
          <w:shd w:val="clear" w:color="auto" w:fill="auto"/>
          <w:lang w:eastAsia="zh-CN"/>
        </w:rPr>
        <w:t>保持通信畅通</w:t>
      </w:r>
      <w:r>
        <w:rPr>
          <w:rFonts w:hint="eastAsia" w:ascii="宋体" w:hAnsi="宋体" w:eastAsia="宋体" w:cs="宋体"/>
          <w:color w:val="auto"/>
          <w:sz w:val="24"/>
          <w:szCs w:val="24"/>
          <w:highlight w:val="none"/>
          <w:shd w:val="clear" w:color="auto" w:fill="auto"/>
        </w:rPr>
        <w:t>，并安排专人与</w:t>
      </w:r>
      <w:r>
        <w:rPr>
          <w:rFonts w:hint="eastAsia" w:ascii="宋体" w:hAnsi="宋体" w:eastAsia="宋体" w:cs="宋体"/>
          <w:color w:val="auto"/>
          <w:sz w:val="24"/>
          <w:szCs w:val="24"/>
          <w:highlight w:val="none"/>
          <w:shd w:val="clear" w:color="auto" w:fill="auto"/>
          <w:lang w:val="en-US" w:eastAsia="zh-CN"/>
        </w:rPr>
        <w:t>代理机构</w:t>
      </w:r>
      <w:r>
        <w:rPr>
          <w:rFonts w:hint="eastAsia" w:ascii="宋体" w:hAnsi="宋体" w:eastAsia="宋体" w:cs="宋体"/>
          <w:color w:val="auto"/>
          <w:sz w:val="24"/>
          <w:szCs w:val="24"/>
          <w:highlight w:val="none"/>
          <w:shd w:val="clear" w:color="auto" w:fill="auto"/>
        </w:rPr>
        <w:t>及磋商小组联系。</w:t>
      </w:r>
      <w:bookmarkEnd w:id="136"/>
      <w:bookmarkEnd w:id="137"/>
      <w:bookmarkEnd w:id="138"/>
    </w:p>
    <w:p w14:paraId="5AC23E78">
      <w:pPr>
        <w:pStyle w:val="27"/>
        <w:pageBreakBefore w:val="0"/>
        <w:widowControl w:val="0"/>
        <w:numPr>
          <w:ilvl w:val="0"/>
          <w:numId w:val="2"/>
        </w:numPr>
        <w:spacing w:beforeAutospacing="0" w:afterAutospacing="0" w:line="46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磋商程序及评审方法和评审标准</w:t>
      </w:r>
    </w:p>
    <w:p w14:paraId="44B9D19D">
      <w:pPr>
        <w:pStyle w:val="27"/>
        <w:pageBreakBefore w:val="0"/>
        <w:widowControl w:val="0"/>
        <w:numPr>
          <w:ilvl w:val="0"/>
          <w:numId w:val="0"/>
        </w:numPr>
        <w:spacing w:beforeAutospacing="0" w:afterAutospacing="0" w:line="460" w:lineRule="exact"/>
        <w:ind w:left="480" w:leftChars="0"/>
        <w:jc w:val="both"/>
        <w:rPr>
          <w:rFonts w:hint="eastAsia" w:ascii="宋体" w:hAnsi="宋体" w:eastAsia="宋体" w:cs="宋体"/>
          <w:color w:val="auto"/>
          <w:highlight w:val="none"/>
        </w:rPr>
      </w:pPr>
      <w:r>
        <w:rPr>
          <w:rFonts w:hint="eastAsia" w:ascii="宋体" w:hAnsi="宋体" w:eastAsia="宋体" w:cs="宋体"/>
          <w:color w:val="auto"/>
          <w:highlight w:val="none"/>
        </w:rPr>
        <w:t>27.1磋商程序</w:t>
      </w:r>
    </w:p>
    <w:p w14:paraId="07E61B72">
      <w:pPr>
        <w:pStyle w:val="27"/>
        <w:pageBreakBefore w:val="0"/>
        <w:widowControl w:val="0"/>
        <w:numPr>
          <w:ilvl w:val="0"/>
          <w:numId w:val="0"/>
        </w:numPr>
        <w:spacing w:beforeAutospacing="0" w:afterAutospacing="0" w:line="460" w:lineRule="exact"/>
        <w:ind w:left="480" w:leftChars="0"/>
        <w:jc w:val="both"/>
        <w:rPr>
          <w:rFonts w:hint="eastAsia" w:ascii="宋体" w:hAnsi="宋体" w:eastAsia="宋体" w:cs="宋体"/>
          <w:color w:val="auto"/>
          <w:highlight w:val="none"/>
        </w:rPr>
      </w:pPr>
      <w:r>
        <w:rPr>
          <w:rFonts w:hint="eastAsia" w:ascii="宋体" w:hAnsi="宋体" w:eastAsia="宋体" w:cs="宋体"/>
          <w:color w:val="auto"/>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FF7D992">
      <w:pPr>
        <w:pStyle w:val="27"/>
        <w:pageBreakBefore w:val="0"/>
        <w:widowControl w:val="0"/>
        <w:numPr>
          <w:ilvl w:val="0"/>
          <w:numId w:val="0"/>
        </w:numPr>
        <w:spacing w:beforeAutospacing="0" w:afterAutospacing="0" w:line="460" w:lineRule="exact"/>
        <w:ind w:left="480" w:leftChars="0"/>
        <w:jc w:val="both"/>
        <w:rPr>
          <w:rFonts w:hint="eastAsia" w:ascii="宋体" w:hAnsi="宋体" w:eastAsia="宋体" w:cs="宋体"/>
          <w:color w:val="auto"/>
          <w:highlight w:val="none"/>
        </w:rPr>
      </w:pPr>
      <w:r>
        <w:rPr>
          <w:rFonts w:hint="eastAsia" w:ascii="宋体" w:hAnsi="宋体" w:eastAsia="宋体" w:cs="宋体"/>
          <w:color w:val="auto"/>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BBEE42B">
      <w:pPr>
        <w:pStyle w:val="27"/>
        <w:pageBreakBefore w:val="0"/>
        <w:widowControl w:val="0"/>
        <w:numPr>
          <w:ilvl w:val="0"/>
          <w:numId w:val="0"/>
        </w:numPr>
        <w:spacing w:beforeAutospacing="0" w:afterAutospacing="0" w:line="460" w:lineRule="exact"/>
        <w:ind w:left="480" w:leftChars="0"/>
        <w:jc w:val="both"/>
        <w:rPr>
          <w:rFonts w:hint="eastAsia" w:ascii="宋体" w:hAnsi="宋体" w:eastAsia="宋体" w:cs="宋体"/>
          <w:color w:val="auto"/>
          <w:highlight w:val="none"/>
        </w:rPr>
      </w:pPr>
      <w:r>
        <w:rPr>
          <w:rFonts w:hint="eastAsia" w:ascii="宋体" w:hAnsi="宋体" w:eastAsia="宋体" w:cs="宋体"/>
          <w:color w:val="auto"/>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295CD114">
      <w:pPr>
        <w:pStyle w:val="27"/>
        <w:pageBreakBefore w:val="0"/>
        <w:widowControl w:val="0"/>
        <w:numPr>
          <w:ilvl w:val="0"/>
          <w:numId w:val="0"/>
        </w:numPr>
        <w:spacing w:beforeAutospacing="0" w:afterAutospacing="0" w:line="460" w:lineRule="exact"/>
        <w:ind w:left="480" w:leftChars="0"/>
        <w:jc w:val="both"/>
        <w:rPr>
          <w:rFonts w:hint="eastAsia" w:ascii="宋体" w:hAnsi="宋体" w:eastAsia="宋体" w:cs="宋体"/>
          <w:color w:val="auto"/>
          <w:highlight w:val="none"/>
        </w:rPr>
      </w:pPr>
      <w:r>
        <w:rPr>
          <w:rFonts w:hint="eastAsia" w:ascii="宋体" w:hAnsi="宋体" w:eastAsia="宋体" w:cs="宋体"/>
          <w:color w:val="auto"/>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25D9B53E">
      <w:pPr>
        <w:pStyle w:val="27"/>
        <w:pageBreakBefore w:val="0"/>
        <w:widowControl w:val="0"/>
        <w:numPr>
          <w:ilvl w:val="0"/>
          <w:numId w:val="0"/>
        </w:numPr>
        <w:spacing w:beforeAutospacing="0" w:afterAutospacing="0" w:line="460" w:lineRule="exact"/>
        <w:ind w:left="480" w:leftChars="0"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3191E00C">
      <w:pPr>
        <w:pStyle w:val="27"/>
        <w:pageBreakBefore w:val="0"/>
        <w:widowControl w:val="0"/>
        <w:numPr>
          <w:ilvl w:val="0"/>
          <w:numId w:val="0"/>
        </w:numPr>
        <w:spacing w:beforeAutospacing="0" w:afterAutospacing="0" w:line="460" w:lineRule="exact"/>
        <w:ind w:left="480" w:leftChars="0"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0D95D15C">
      <w:pPr>
        <w:pStyle w:val="27"/>
        <w:pageBreakBefore w:val="0"/>
        <w:widowControl w:val="0"/>
        <w:numPr>
          <w:ilvl w:val="0"/>
          <w:numId w:val="0"/>
        </w:numPr>
        <w:spacing w:beforeAutospacing="0" w:afterAutospacing="0" w:line="460" w:lineRule="exact"/>
        <w:ind w:left="480" w:leftChars="0"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27.2 评审方法和评审标准</w:t>
      </w:r>
    </w:p>
    <w:p w14:paraId="3902327D">
      <w:pPr>
        <w:pStyle w:val="27"/>
        <w:pageBreakBefore w:val="0"/>
        <w:widowControl w:val="0"/>
        <w:numPr>
          <w:ilvl w:val="0"/>
          <w:numId w:val="0"/>
        </w:numPr>
        <w:spacing w:beforeAutospacing="0" w:afterAutospacing="0" w:line="460" w:lineRule="exact"/>
        <w:ind w:left="480" w:leftChars="0"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27.2.1评审方法。经磋商确定最终采购需求和提交最后报价的供应商后，由磋商小组采用综合评分法对提交最后报价的供应商的响应文件和最后报价进行综合评分。</w:t>
      </w:r>
    </w:p>
    <w:p w14:paraId="253B0C07">
      <w:pPr>
        <w:pStyle w:val="27"/>
        <w:pageBreakBefore w:val="0"/>
        <w:widowControl w:val="0"/>
        <w:numPr>
          <w:ilvl w:val="0"/>
          <w:numId w:val="0"/>
        </w:numPr>
        <w:spacing w:beforeAutospacing="0" w:afterAutospacing="0" w:line="460" w:lineRule="exact"/>
        <w:ind w:left="480" w:leftChars="0"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4389BC33">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27.2.2评审标准</w:t>
      </w:r>
    </w:p>
    <w:p w14:paraId="1C3446B7">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见本磋商文件第五章规定。</w:t>
      </w:r>
    </w:p>
    <w:p w14:paraId="62C0CDCC">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27.3采购活动终止的情况</w:t>
      </w:r>
    </w:p>
    <w:p w14:paraId="3BFF1355">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出现下列情形之一的，本次竞争性磋商采购活动将被终止：</w:t>
      </w:r>
    </w:p>
    <w:p w14:paraId="6113B794">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27.3.1因情况变化，不再符合规定的竞争性磋商采购方式适用情形的。</w:t>
      </w:r>
    </w:p>
    <w:p w14:paraId="7CEF493F">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27.3.2出现影响采购公正的违法、违规行为的。</w:t>
      </w:r>
    </w:p>
    <w:p w14:paraId="3FC78B15">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27.3.3除本磋商文件第二章第27.1.2条第三款规定的情形外，在磋商过程中符合要求的供应商或者最后报价未超过采购预算的供应商不足3家的。</w:t>
      </w:r>
    </w:p>
    <w:p w14:paraId="181B9D75">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27.3.4在苏采云系统规定时间内成功解密电子响应文件的供应商不足3家的。</w:t>
      </w:r>
    </w:p>
    <w:p w14:paraId="77395F83">
      <w:pPr>
        <w:pStyle w:val="27"/>
        <w:keepNext/>
        <w:keepLines/>
        <w:pageBreakBefore w:val="0"/>
        <w:kinsoku/>
        <w:wordWrap/>
        <w:overflowPunct/>
        <w:topLinePunct w:val="0"/>
        <w:autoSpaceDE/>
        <w:autoSpaceDN/>
        <w:bidi w:val="0"/>
        <w:adjustRightInd/>
        <w:snapToGrid/>
        <w:spacing w:before="145" w:beforeAutospacing="0" w:after="145" w:afterAutospacing="0" w:line="348" w:lineRule="auto"/>
        <w:jc w:val="both"/>
        <w:textAlignment w:val="auto"/>
        <w:rPr>
          <w:rFonts w:ascii="宋体" w:hAnsi="宋体" w:eastAsia="宋体" w:cs="宋体"/>
          <w:color w:val="auto"/>
          <w:highlight w:val="none"/>
        </w:rPr>
      </w:pPr>
      <w:bookmarkStart w:id="139" w:name="_Toc120614219"/>
      <w:bookmarkStart w:id="140" w:name="_Toc20823307"/>
      <w:bookmarkStart w:id="141" w:name="_Toc16938551"/>
      <w:bookmarkStart w:id="142" w:name="_Toc513029235"/>
      <w:r>
        <w:rPr>
          <w:rFonts w:hint="eastAsia" w:ascii="宋体" w:hAnsi="宋体" w:eastAsia="宋体" w:cs="宋体"/>
          <w:b/>
          <w:color w:val="auto"/>
          <w:highlight w:val="none"/>
        </w:rPr>
        <w:t>六、</w:t>
      </w:r>
      <w:bookmarkEnd w:id="139"/>
      <w:bookmarkEnd w:id="140"/>
      <w:bookmarkEnd w:id="141"/>
      <w:bookmarkEnd w:id="142"/>
      <w:r>
        <w:rPr>
          <w:rFonts w:hint="eastAsia" w:ascii="宋体" w:hAnsi="宋体" w:eastAsia="宋体" w:cs="宋体"/>
          <w:b/>
          <w:color w:val="auto"/>
          <w:highlight w:val="none"/>
        </w:rPr>
        <w:t>成交</w:t>
      </w:r>
    </w:p>
    <w:p w14:paraId="1DA888F9">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bookmarkStart w:id="143" w:name="_Toc20823310"/>
      <w:bookmarkStart w:id="144" w:name="_Toc16938554"/>
      <w:bookmarkStart w:id="145" w:name="_Toc513029238"/>
      <w:r>
        <w:rPr>
          <w:rFonts w:hint="eastAsia" w:ascii="宋体" w:hAnsi="宋体" w:eastAsia="宋体" w:cs="宋体"/>
          <w:color w:val="auto"/>
          <w:highlight w:val="none"/>
        </w:rPr>
        <w:t>28、</w:t>
      </w:r>
      <w:bookmarkEnd w:id="143"/>
      <w:r>
        <w:rPr>
          <w:rFonts w:hint="eastAsia" w:ascii="宋体" w:hAnsi="宋体" w:eastAsia="宋体" w:cs="宋体"/>
          <w:color w:val="auto"/>
          <w:highlight w:val="none"/>
        </w:rPr>
        <w:t>确定</w:t>
      </w:r>
      <w:bookmarkEnd w:id="144"/>
      <w:bookmarkEnd w:id="145"/>
      <w:r>
        <w:rPr>
          <w:rFonts w:hint="eastAsia" w:ascii="宋体" w:hAnsi="宋体" w:eastAsia="宋体" w:cs="宋体"/>
          <w:color w:val="auto"/>
          <w:highlight w:val="none"/>
        </w:rPr>
        <w:t>成交单位</w:t>
      </w:r>
    </w:p>
    <w:p w14:paraId="241D34B9">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20546CF4">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241D2178">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28.2采购人从评审报告提出的成交候选供应商中，按照排序由高到低的原则确定成交供应商。采购人确定成交供应商后，采购人、采购代理机构将在“中国政府采购网”、“江苏政府采购网”、“盐城市政府采购网”发布成交结果公告，公告期限为1个工作日。</w:t>
      </w:r>
    </w:p>
    <w:p w14:paraId="6F81A4A2">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28.3若有充分证据证明，成交供应商出现下列情况之一的，一经查实，将被取消成交资格：</w:t>
      </w:r>
    </w:p>
    <w:p w14:paraId="5A001A62">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28.3.1提供虚假材料谋取成交的。</w:t>
      </w:r>
    </w:p>
    <w:p w14:paraId="67603B64">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28.3.2与评审专家、采购人、其他供应商或者采购代理机构工作人员恶意串通的。</w:t>
      </w:r>
    </w:p>
    <w:p w14:paraId="655204E3">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28.3.3向评审专家、采购人或采购代理机构工作人员行贿或者提供其他不正当利益的。</w:t>
      </w:r>
    </w:p>
    <w:p w14:paraId="2B215FB7">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28.3.4恶意竞争，最后报价明显低于其自身合理成本且又无法提供证明的。</w:t>
      </w:r>
    </w:p>
    <w:p w14:paraId="2496F2D9">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28.3.5不满足本磋商文件规定的实质性要求，但在评审过程中又未被磋商小组发现的。</w:t>
      </w:r>
    </w:p>
    <w:p w14:paraId="44BD5B70">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28.3.6成交后无正当理由拒不与采购人签订政府采购合同或者未按照磋商文件确定的事项签订政府采购合同的。</w:t>
      </w:r>
    </w:p>
    <w:p w14:paraId="069E0E4C">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28.3.7将政府采购合同转包的。</w:t>
      </w:r>
    </w:p>
    <w:p w14:paraId="1070D798">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bookmarkStart w:id="146" w:name="_Toc200451960"/>
      <w:r>
        <w:rPr>
          <w:rFonts w:hint="eastAsia" w:ascii="宋体" w:hAnsi="宋体" w:eastAsia="宋体" w:cs="宋体"/>
          <w:color w:val="auto"/>
          <w:highlight w:val="none"/>
        </w:rPr>
        <w:t>29、质疑处理</w:t>
      </w:r>
      <w:bookmarkEnd w:id="146"/>
    </w:p>
    <w:p w14:paraId="1FD5607B">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29.1 提出质疑的供应商应当是参与所质疑项目采购活动的供应商。潜在供应商依法获取其可质疑的磋商文件的，可以对磋商文件提出质疑。</w:t>
      </w:r>
    </w:p>
    <w:p w14:paraId="37483F38">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29.2供应商认为磋商文件、磋商过程和磋商结果使自己的权益受到损害的，可以在知道或应知其权益受到损害之日起七个工作日内，以书面形式根据下述  29.4条款的规定向采购人或采购代理机构或采购人提出质疑。上述应知其权益受到损害之日，是指：</w:t>
      </w:r>
    </w:p>
    <w:p w14:paraId="54583CAC">
      <w:pPr>
        <w:pStyle w:val="27"/>
        <w:keepNext/>
        <w:keepLines/>
        <w:pageBreakBefore w:val="0"/>
        <w:kinsoku/>
        <w:wordWrap/>
        <w:overflowPunct/>
        <w:topLinePunct w:val="0"/>
        <w:autoSpaceDE/>
        <w:autoSpaceDN/>
        <w:bidi w:val="0"/>
        <w:adjustRightInd/>
        <w:snapToGrid/>
        <w:spacing w:beforeAutospacing="0" w:afterAutospacing="0" w:line="348" w:lineRule="auto"/>
        <w:ind w:firstLine="420"/>
        <w:textAlignment w:val="auto"/>
        <w:rPr>
          <w:rFonts w:ascii="宋体" w:hAnsi="宋体" w:eastAsia="宋体" w:cs="宋体"/>
          <w:color w:val="auto"/>
          <w:highlight w:val="none"/>
        </w:rPr>
      </w:pPr>
      <w:r>
        <w:rPr>
          <w:rFonts w:hint="eastAsia" w:ascii="宋体" w:hAnsi="宋体" w:eastAsia="宋体" w:cs="宋体"/>
          <w:color w:val="auto"/>
          <w:highlight w:val="none"/>
        </w:rPr>
        <w:t>29.2.1对可以质疑的磋商文件提出质疑的，为收到磋商文件之日或者磋商文件公告期限届满之日。</w:t>
      </w:r>
      <w:r>
        <w:rPr>
          <w:rFonts w:hint="eastAsia" w:ascii="宋体" w:hAnsi="宋体" w:eastAsia="宋体" w:cs="宋体"/>
          <w:color w:val="auto"/>
          <w:highlight w:val="none"/>
        </w:rPr>
        <w:br w:type="textWrapping"/>
      </w:r>
      <w:r>
        <w:rPr>
          <w:rFonts w:hint="eastAsia" w:ascii="宋体" w:hAnsi="宋体" w:eastAsia="宋体" w:cs="宋体"/>
          <w:color w:val="auto"/>
          <w:highlight w:val="none"/>
        </w:rPr>
        <w:t>  29.2.2对磋商过程提出质疑的，为各采购程序环节结束之日。</w:t>
      </w:r>
      <w:r>
        <w:rPr>
          <w:rFonts w:hint="eastAsia" w:ascii="宋体" w:hAnsi="宋体" w:eastAsia="宋体" w:cs="宋体"/>
          <w:color w:val="auto"/>
          <w:highlight w:val="none"/>
        </w:rPr>
        <w:br w:type="textWrapping"/>
      </w:r>
      <w:r>
        <w:rPr>
          <w:rFonts w:hint="eastAsia" w:ascii="宋体" w:hAnsi="宋体" w:eastAsia="宋体" w:cs="宋体"/>
          <w:color w:val="auto"/>
          <w:highlight w:val="none"/>
        </w:rPr>
        <w:t>  29.2.3对成交结果提出质疑的，为成交结果公告期限届满之日。</w:t>
      </w:r>
    </w:p>
    <w:p w14:paraId="67CB738A">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7789F4AB">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07475E95">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29.4供应商（含潜在供应商）对采购方式、采购需求、供应商资格条件、评审方法与评审标准、合同文本的询问、质疑请向采购人提出，由采购人负责答复。供应商对其他事项的询问、质疑请向采购人及采购代理机构提出，由采购人及采购代理机构负责答复。</w:t>
      </w:r>
    </w:p>
    <w:p w14:paraId="62F50EEA">
      <w:pPr>
        <w:pStyle w:val="27"/>
        <w:keepNext/>
        <w:keepLines/>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采购人及采购代理机构只接收以纸质原件形式送达的质疑,采购人和采购代理机构不接受未填写快递运单的快件。采购人质疑接收人及联系方式见</w:t>
      </w:r>
      <w:r>
        <w:rPr>
          <w:rFonts w:hint="eastAsia" w:ascii="宋体" w:hAnsi="宋体" w:eastAsia="宋体" w:cs="宋体"/>
          <w:color w:val="auto"/>
          <w:highlight w:val="none"/>
          <w:lang w:val="en-US" w:eastAsia="zh-CN"/>
        </w:rPr>
        <w:t>竞争性磋商公告</w:t>
      </w:r>
      <w:r>
        <w:rPr>
          <w:rFonts w:hint="eastAsia" w:ascii="宋体" w:hAnsi="宋体" w:eastAsia="宋体" w:cs="宋体"/>
          <w:color w:val="auto"/>
          <w:highlight w:val="none"/>
        </w:rPr>
        <w:t>。</w:t>
      </w:r>
    </w:p>
    <w:p w14:paraId="03D42105">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29.5 以下情形的质疑不予受理</w:t>
      </w:r>
    </w:p>
    <w:p w14:paraId="25983070">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29.5.1 内容不符合《政府采购质疑和投诉办法》第十二条规定的质疑。</w:t>
      </w:r>
    </w:p>
    <w:p w14:paraId="7E3CEA66">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29.5.2 超出政府采购法定期限的质疑。</w:t>
      </w:r>
    </w:p>
    <w:p w14:paraId="05E7D54C">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29.5.3 以传真、电子邮件等方式递交的非原件形式的质疑。</w:t>
      </w:r>
    </w:p>
    <w:p w14:paraId="1412E884">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29.5.4 未参加磋商活动的供应商或在磋商活动中自身权益未受到损害的供应商所提出的质疑。</w:t>
      </w:r>
    </w:p>
    <w:p w14:paraId="7333350B">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29.5.5供应商组成联合体参加磋商，联合体中任何一方或多方未按要求签字、盖章、加盖公章的质疑。</w:t>
      </w:r>
    </w:p>
    <w:p w14:paraId="7E483DA1">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0EFFC7B5">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30、成交通知书</w:t>
      </w:r>
    </w:p>
    <w:p w14:paraId="52B01614">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30.1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25A934A7">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30.2成交通知书将是合同的一个组成部分。对采购人和成交供应商均具有法律效力。成交通知书发出后，采购人改变成交结果的，或者成交供应商放弃成交项目的，应当依法承担法律责任。</w:t>
      </w:r>
    </w:p>
    <w:p w14:paraId="5B2445F2">
      <w:pPr>
        <w:pStyle w:val="27"/>
        <w:keepNext/>
        <w:keepLines/>
        <w:pageBreakBefore w:val="0"/>
        <w:kinsoku/>
        <w:wordWrap/>
        <w:overflowPunct/>
        <w:topLinePunct w:val="0"/>
        <w:autoSpaceDE/>
        <w:autoSpaceDN/>
        <w:bidi w:val="0"/>
        <w:adjustRightInd/>
        <w:snapToGrid/>
        <w:spacing w:before="145" w:beforeAutospacing="0" w:after="145" w:afterAutospacing="0" w:line="348" w:lineRule="auto"/>
        <w:jc w:val="both"/>
        <w:textAlignment w:val="auto"/>
        <w:rPr>
          <w:rFonts w:ascii="宋体" w:hAnsi="宋体" w:eastAsia="宋体" w:cs="宋体"/>
          <w:color w:val="auto"/>
          <w:highlight w:val="none"/>
        </w:rPr>
      </w:pPr>
      <w:bookmarkStart w:id="147" w:name="_Toc513029236"/>
      <w:bookmarkStart w:id="148" w:name="_Toc120614220"/>
      <w:bookmarkStart w:id="149" w:name="_Toc16938552"/>
      <w:bookmarkStart w:id="150" w:name="_Toc20823308"/>
      <w:r>
        <w:rPr>
          <w:rFonts w:hint="eastAsia" w:ascii="宋体" w:hAnsi="宋体" w:eastAsia="宋体" w:cs="宋体"/>
          <w:b/>
          <w:color w:val="auto"/>
          <w:highlight w:val="none"/>
        </w:rPr>
        <w:t>七、授予合同</w:t>
      </w:r>
      <w:bookmarkEnd w:id="147"/>
      <w:bookmarkEnd w:id="148"/>
      <w:bookmarkEnd w:id="149"/>
      <w:bookmarkEnd w:id="150"/>
    </w:p>
    <w:p w14:paraId="3E9D9D3D">
      <w:pPr>
        <w:pStyle w:val="27"/>
        <w:keepNext w:val="0"/>
        <w:keepLines w:val="0"/>
        <w:pageBreakBefore w:val="0"/>
        <w:widowControl w:val="0"/>
        <w:kinsoku/>
        <w:wordWrap/>
        <w:overflowPunct/>
        <w:topLinePunct w:val="0"/>
        <w:autoSpaceDE/>
        <w:autoSpaceDN/>
        <w:bidi w:val="0"/>
        <w:adjustRightInd/>
        <w:snapToGrid/>
        <w:spacing w:beforeAutospacing="0" w:afterAutospacing="0" w:line="348" w:lineRule="auto"/>
        <w:ind w:firstLine="482"/>
        <w:jc w:val="both"/>
        <w:textAlignment w:val="auto"/>
        <w:rPr>
          <w:rFonts w:ascii="宋体" w:hAnsi="宋体" w:eastAsia="宋体" w:cs="宋体"/>
          <w:color w:val="auto"/>
          <w:highlight w:val="none"/>
        </w:rPr>
      </w:pPr>
      <w:bookmarkStart w:id="151" w:name="_Toc16938553"/>
      <w:bookmarkStart w:id="152" w:name="_Toc20823309"/>
      <w:bookmarkStart w:id="153" w:name="_Toc513029237"/>
      <w:r>
        <w:rPr>
          <w:rFonts w:hint="eastAsia" w:ascii="宋体" w:hAnsi="宋体" w:eastAsia="宋体" w:cs="宋体"/>
          <w:color w:val="auto"/>
          <w:highlight w:val="none"/>
        </w:rPr>
        <w:t>31.签订合同</w:t>
      </w:r>
      <w:bookmarkEnd w:id="151"/>
      <w:bookmarkEnd w:id="152"/>
      <w:bookmarkEnd w:id="153"/>
    </w:p>
    <w:p w14:paraId="4909F19B">
      <w:pPr>
        <w:pStyle w:val="27"/>
        <w:keepNext w:val="0"/>
        <w:keepLines w:val="0"/>
        <w:pageBreakBefore w:val="0"/>
        <w:widowControl w:val="0"/>
        <w:kinsoku/>
        <w:wordWrap/>
        <w:overflowPunct/>
        <w:topLinePunct w:val="0"/>
        <w:autoSpaceDE/>
        <w:autoSpaceDN/>
        <w:bidi w:val="0"/>
        <w:adjustRightInd/>
        <w:snapToGrid/>
        <w:spacing w:beforeAutospacing="0" w:afterAutospacing="0" w:line="348" w:lineRule="auto"/>
        <w:ind w:firstLine="482"/>
        <w:jc w:val="both"/>
        <w:textAlignment w:val="auto"/>
        <w:rPr>
          <w:rFonts w:hint="eastAsia" w:ascii="宋体" w:hAnsi="宋体" w:eastAsia="宋体" w:cs="宋体"/>
          <w:color w:val="auto"/>
          <w:szCs w:val="36"/>
          <w:highlight w:val="none"/>
        </w:rPr>
      </w:pPr>
      <w:r>
        <w:rPr>
          <w:rFonts w:hint="eastAsia" w:ascii="宋体" w:hAnsi="宋体" w:eastAsia="宋体" w:cs="宋体"/>
          <w:color w:val="auto"/>
          <w:highlight w:val="none"/>
        </w:rPr>
        <w:t>31.l</w:t>
      </w:r>
      <w:r>
        <w:rPr>
          <w:rFonts w:hint="eastAsia" w:ascii="宋体" w:hAnsi="宋体" w:eastAsia="宋体" w:cs="宋体"/>
          <w:color w:val="auto"/>
          <w:szCs w:val="36"/>
          <w:highlight w:val="none"/>
        </w:rPr>
        <w:t>成交供应商应当在成交通知书发出之日起</w:t>
      </w:r>
      <w:r>
        <w:rPr>
          <w:rFonts w:hint="eastAsia" w:ascii="宋体" w:hAnsi="宋体" w:eastAsia="宋体" w:cs="宋体"/>
          <w:color w:val="auto"/>
          <w:sz w:val="24"/>
          <w:szCs w:val="24"/>
          <w:highlight w:val="none"/>
        </w:rPr>
        <w:t>三十</w:t>
      </w:r>
      <w:r>
        <w:rPr>
          <w:rFonts w:hint="eastAsia" w:ascii="宋体" w:hAnsi="宋体" w:eastAsia="宋体" w:cs="宋体"/>
          <w:color w:val="auto"/>
          <w:szCs w:val="36"/>
          <w:highlight w:val="none"/>
        </w:rPr>
        <w:t>日内</w:t>
      </w:r>
      <w:r>
        <w:rPr>
          <w:rFonts w:hint="eastAsia" w:ascii="宋体" w:hAnsi="宋体" w:eastAsia="宋体" w:cs="宋体"/>
          <w:color w:val="auto"/>
          <w:szCs w:val="36"/>
          <w:highlight w:val="none"/>
          <w:lang w:eastAsia="zh-CN"/>
        </w:rPr>
        <w:t>（原则上应在15日签订采购合同）</w:t>
      </w:r>
      <w:r>
        <w:rPr>
          <w:rFonts w:hint="eastAsia" w:ascii="宋体" w:hAnsi="宋体" w:eastAsia="宋体" w:cs="宋体"/>
          <w:color w:val="auto"/>
          <w:szCs w:val="36"/>
          <w:highlight w:val="none"/>
        </w:rPr>
        <w:t>，按照磋商文件确定的事项与采购人签订政府采购合同。</w:t>
      </w:r>
    </w:p>
    <w:p w14:paraId="4088569D">
      <w:pPr>
        <w:pStyle w:val="27"/>
        <w:keepNext w:val="0"/>
        <w:keepLines w:val="0"/>
        <w:pageBreakBefore w:val="0"/>
        <w:widowControl w:val="0"/>
        <w:kinsoku/>
        <w:wordWrap/>
        <w:overflowPunct/>
        <w:topLinePunct w:val="0"/>
        <w:autoSpaceDE/>
        <w:autoSpaceDN/>
        <w:bidi w:val="0"/>
        <w:adjustRightInd/>
        <w:snapToGrid/>
        <w:spacing w:beforeAutospacing="0" w:afterAutospacing="0" w:line="348" w:lineRule="auto"/>
        <w:ind w:firstLine="482"/>
        <w:jc w:val="both"/>
        <w:textAlignment w:val="auto"/>
        <w:rPr>
          <w:rFonts w:hint="default" w:ascii="宋体" w:hAnsi="宋体" w:eastAsia="宋体" w:cs="宋体"/>
          <w:color w:val="auto"/>
          <w:szCs w:val="36"/>
          <w:highlight w:val="none"/>
          <w:lang w:val="en-US" w:eastAsia="zh-CN"/>
        </w:rPr>
      </w:pPr>
      <w:r>
        <w:rPr>
          <w:rFonts w:hint="eastAsia" w:ascii="宋体" w:hAnsi="宋体" w:eastAsia="宋体" w:cs="宋体"/>
          <w:color w:val="auto"/>
          <w:szCs w:val="36"/>
          <w:highlight w:val="none"/>
          <w:lang w:val="en-US" w:eastAsia="zh-CN"/>
        </w:rPr>
        <w:t>31.2合同签订之日起2个工作日内公告采购合同。</w:t>
      </w:r>
    </w:p>
    <w:p w14:paraId="414D4FFF">
      <w:pPr>
        <w:pStyle w:val="27"/>
        <w:keepNext w:val="0"/>
        <w:keepLines w:val="0"/>
        <w:pageBreakBefore w:val="0"/>
        <w:widowControl w:val="0"/>
        <w:kinsoku/>
        <w:wordWrap/>
        <w:overflowPunct/>
        <w:topLinePunct w:val="0"/>
        <w:autoSpaceDE/>
        <w:autoSpaceDN/>
        <w:bidi w:val="0"/>
        <w:adjustRightInd/>
        <w:snapToGrid/>
        <w:spacing w:beforeAutospacing="0" w:afterAutospacing="0" w:line="348"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31.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磋商文件、成交供应商的响应文件及磋商过程中有关澄清、承诺文件均应作为合同附件。</w:t>
      </w:r>
    </w:p>
    <w:p w14:paraId="6818EDEB">
      <w:pPr>
        <w:pStyle w:val="27"/>
        <w:keepNext w:val="0"/>
        <w:keepLines w:val="0"/>
        <w:pageBreakBefore w:val="0"/>
        <w:widowControl w:val="0"/>
        <w:kinsoku/>
        <w:wordWrap/>
        <w:overflowPunct/>
        <w:topLinePunct w:val="0"/>
        <w:autoSpaceDE/>
        <w:autoSpaceDN/>
        <w:bidi w:val="0"/>
        <w:adjustRightInd/>
        <w:snapToGrid/>
        <w:spacing w:beforeAutospacing="0" w:afterAutospacing="0" w:line="348"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31.</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签订合同后，</w:t>
      </w:r>
      <w:r>
        <w:rPr>
          <w:rFonts w:hint="eastAsia" w:ascii="宋体" w:hAnsi="宋体" w:eastAsia="宋体" w:cs="宋体"/>
          <w:i/>
          <w:color w:val="auto"/>
          <w:highlight w:val="none"/>
          <w:u w:val="single"/>
        </w:rPr>
        <w:t>成交供应商不得将合同标的进行转包</w:t>
      </w:r>
      <w:r>
        <w:rPr>
          <w:rFonts w:hint="eastAsia" w:ascii="宋体" w:hAnsi="宋体" w:eastAsia="宋体" w:cs="宋体"/>
          <w:color w:val="auto"/>
          <w:highlight w:val="none"/>
        </w:rPr>
        <w:t>。未经采购人同意，成交供应商也不得采用分包形式履行合同,否则采购人有权终止合同。转包或分包造成采购人损失的，成交供应商应承担相应赔偿责任。</w:t>
      </w:r>
    </w:p>
    <w:p w14:paraId="3A4717EE">
      <w:pPr>
        <w:pStyle w:val="27"/>
        <w:keepNext w:val="0"/>
        <w:keepLines w:val="0"/>
        <w:pageBreakBefore w:val="0"/>
        <w:widowControl w:val="0"/>
        <w:kinsoku/>
        <w:wordWrap/>
        <w:overflowPunct/>
        <w:topLinePunct w:val="0"/>
        <w:autoSpaceDE/>
        <w:autoSpaceDN/>
        <w:bidi w:val="0"/>
        <w:adjustRightInd/>
        <w:snapToGrid/>
        <w:spacing w:beforeAutospacing="0" w:afterAutospacing="0" w:line="348"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32.标的物的追加</w:t>
      </w:r>
    </w:p>
    <w:p w14:paraId="766B1C95">
      <w:pPr>
        <w:pStyle w:val="27"/>
        <w:keepNext w:val="0"/>
        <w:keepLines w:val="0"/>
        <w:pageBreakBefore w:val="0"/>
        <w:widowControl w:val="0"/>
        <w:kinsoku/>
        <w:wordWrap/>
        <w:overflowPunct/>
        <w:topLinePunct w:val="0"/>
        <w:autoSpaceDE/>
        <w:autoSpaceDN/>
        <w:bidi w:val="0"/>
        <w:adjustRightInd/>
        <w:snapToGrid/>
        <w:spacing w:beforeAutospacing="0" w:afterAutospacing="0" w:line="348"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537D3CA3">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33.政府采购政策功能落实</w:t>
      </w:r>
    </w:p>
    <w:p w14:paraId="4F83B2E4">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33.1政府采购线上合同信用融资政策</w:t>
      </w:r>
    </w:p>
    <w:p w14:paraId="605DC5E4">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根据《转发江苏省财政厅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p>
    <w:p w14:paraId="4AA55AE7">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33.2进口产品</w:t>
      </w:r>
    </w:p>
    <w:p w14:paraId="7B76F0CB">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81EDBCC">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33.3中小企业、监狱企业及残疾人福利性单位</w:t>
      </w:r>
    </w:p>
    <w:p w14:paraId="4DAACC2D">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33.3.1中小企业定义：</w:t>
      </w:r>
    </w:p>
    <w:p w14:paraId="408F180E">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205A176">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33.3.2供应商提供的货物、工程或者服务符合下列情形的，享受中小企业扶持政策：</w:t>
      </w:r>
    </w:p>
    <w:p w14:paraId="0613A93F">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33.3.2.1在货物采购项目中，货物由中小企业制造，即货物由中小企业生产且使用该中小企业商号或者注册商标；</w:t>
      </w:r>
    </w:p>
    <w:p w14:paraId="57B6B042">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33.3.2.2在工程采购项目中，工程由中小企业承建，即工程施工单位为中小企业；</w:t>
      </w:r>
    </w:p>
    <w:p w14:paraId="6767FAE3">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33.3.2.3在服务采购项目中，服务由中小企业承接，即提供服务的人员为中小企业依照《中华人民共和国劳动合同法》订立劳动合同的从业人员。</w:t>
      </w:r>
    </w:p>
    <w:p w14:paraId="1A791B57">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33.3.3在货物采购项目中，供应商提供的货物既有中小企业制造货物，也有大型企业制造货物的，不享受中小企业扶持政策。</w:t>
      </w:r>
    </w:p>
    <w:p w14:paraId="4D231A78">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33.3.4以联合体形式参加政府采购活动，联合体各方均为中小企业的，联合体视同中小企业。其中，联合体各方均为小微企业的，联合体视同小微企业。</w:t>
      </w:r>
    </w:p>
    <w:p w14:paraId="514C53E6">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0994DEE">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33.3.6残疾人福利单位定义：享受政府采购支持政策的残疾人福利性单位应当同时满足以下条件：</w:t>
      </w:r>
    </w:p>
    <w:p w14:paraId="54B44B9A">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33.3.6.1安置的残疾人占本单位在职职工人数的比例不低于25%（含25%），并且安置的残疾人人数不少于10 人（含10 人）；</w:t>
      </w:r>
    </w:p>
    <w:p w14:paraId="483A493E">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33.3.6.2依法与安置的每位残疾人签订了一年以上（含一年）的劳动合同或服务协议；</w:t>
      </w:r>
    </w:p>
    <w:p w14:paraId="1AA98AD1">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33.3.6.3为安置的每位残疾人按月足额缴纳了基本养老保险、基本医疗保险、失业保险、工伤保险和生育保险等社会保险费；</w:t>
      </w:r>
    </w:p>
    <w:p w14:paraId="6045C361">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33.3.6.4通过银行等金融机构向安置的每位残疾人，按月支付了不低于单位所在区县适用的经省级人民政府批准的月最低工资标准的工资；</w:t>
      </w:r>
    </w:p>
    <w:p w14:paraId="0753BF8D">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33.3.6.5提供本单位制造的货物、承担的工程或者服务（以下简称产品），或者提供其他残疾人福利性单位制造的货物（不包括使用非残疾人福利性单位注册商标的货物）；</w:t>
      </w:r>
    </w:p>
    <w:p w14:paraId="125404A8">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A14A47B">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33.3.7本项目是否专门面向中小企业预留采购份额见第一章《竞争性磋商公告》。</w:t>
      </w:r>
    </w:p>
    <w:p w14:paraId="0F043D81">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33.3.8采购标的对应的中小企业划分标准所属行业见第四章《采购需求》。</w:t>
      </w:r>
    </w:p>
    <w:p w14:paraId="6CE9852A">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33.3.9小微企业价格评审优惠的政策：见第五章《评标方法和评标标准》。</w:t>
      </w:r>
    </w:p>
    <w:p w14:paraId="183DDDE0">
      <w:pPr>
        <w:pageBreakBefore w:val="0"/>
        <w:tabs>
          <w:tab w:val="left" w:pos="1381"/>
        </w:tabs>
        <w:kinsoku/>
        <w:wordWrap/>
        <w:overflowPunct/>
        <w:topLinePunct w:val="0"/>
        <w:autoSpaceDE/>
        <w:autoSpaceDN/>
        <w:bidi w:val="0"/>
        <w:adjustRightInd/>
        <w:snapToGrid/>
        <w:spacing w:line="348" w:lineRule="auto"/>
        <w:ind w:firstLine="482"/>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33.4政府采购节能产品、环境标志产品</w:t>
      </w:r>
    </w:p>
    <w:p w14:paraId="5819189E">
      <w:pPr>
        <w:pageBreakBefore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如属政府强制采购产品未提供认证证书的或认证证书提供不全的将视为未实质性响应采购要求</w:t>
      </w:r>
      <w:r>
        <w:rPr>
          <w:rFonts w:hint="eastAsia" w:ascii="宋体" w:hAnsi="宋体" w:eastAsia="宋体" w:cs="宋体"/>
          <w:i/>
          <w:color w:val="auto"/>
          <w:sz w:val="24"/>
          <w:highlight w:val="none"/>
        </w:rPr>
        <w:t>。</w:t>
      </w:r>
      <w:r>
        <w:rPr>
          <w:rFonts w:hint="eastAsia" w:ascii="宋体" w:hAnsi="宋体" w:eastAsia="宋体" w:cs="宋体"/>
          <w:color w:val="auto"/>
          <w:sz w:val="24"/>
          <w:highlight w:val="none"/>
        </w:rPr>
        <w:t>其他条件相同情况下，应当优先采购节能产品、环境标志产品。</w:t>
      </w:r>
    </w:p>
    <w:p w14:paraId="5BD7A03F">
      <w:pPr>
        <w:pageBreakBefore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EA94DB6">
      <w:pPr>
        <w:pageBreakBefore w:val="0"/>
        <w:tabs>
          <w:tab w:val="left" w:pos="1381"/>
        </w:tabs>
        <w:kinsoku/>
        <w:wordWrap/>
        <w:overflowPunct/>
        <w:topLinePunct w:val="0"/>
        <w:autoSpaceDE/>
        <w:autoSpaceDN/>
        <w:bidi w:val="0"/>
        <w:adjustRightInd/>
        <w:snapToGrid/>
        <w:spacing w:line="348" w:lineRule="auto"/>
        <w:ind w:firstLine="482"/>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33.5绿色包装</w:t>
      </w:r>
    </w:p>
    <w:p w14:paraId="7739C4D4">
      <w:pPr>
        <w:pageBreakBefore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52B210F">
      <w:pPr>
        <w:pageBreakBefore w:val="0"/>
        <w:tabs>
          <w:tab w:val="left" w:pos="1381"/>
        </w:tabs>
        <w:kinsoku/>
        <w:wordWrap/>
        <w:overflowPunct/>
        <w:topLinePunct w:val="0"/>
        <w:autoSpaceDE/>
        <w:autoSpaceDN/>
        <w:bidi w:val="0"/>
        <w:adjustRightInd/>
        <w:snapToGrid/>
        <w:spacing w:line="348" w:lineRule="auto"/>
        <w:ind w:firstLine="482"/>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33.6政府采购创新产品</w:t>
      </w:r>
    </w:p>
    <w:p w14:paraId="6CA873B5">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48" w:lineRule="auto"/>
        <w:ind w:firstLine="478"/>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采购人优先采购各级政府部门公开发布的有效期内的创新产品、创新服务、首台套、首购首用等《目录》的创新产品。</w:t>
      </w:r>
    </w:p>
    <w:p w14:paraId="2315846B">
      <w:pPr>
        <w:pageBreakBefore w:val="0"/>
        <w:tabs>
          <w:tab w:val="left" w:pos="1381"/>
        </w:tabs>
        <w:kinsoku/>
        <w:wordWrap/>
        <w:overflowPunct/>
        <w:topLinePunct w:val="0"/>
        <w:autoSpaceDE/>
        <w:autoSpaceDN/>
        <w:bidi w:val="0"/>
        <w:adjustRightInd/>
        <w:snapToGrid/>
        <w:spacing w:line="348" w:lineRule="auto"/>
        <w:ind w:firstLine="482"/>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33.7绿色数据中心政策 </w:t>
      </w:r>
    </w:p>
    <w:p w14:paraId="4217EA25">
      <w:pPr>
        <w:pageBreakBefore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9739063">
      <w:pPr>
        <w:pageBreakBefore w:val="0"/>
        <w:tabs>
          <w:tab w:val="left" w:pos="1381"/>
        </w:tabs>
        <w:kinsoku/>
        <w:wordWrap/>
        <w:overflowPunct/>
        <w:topLinePunct w:val="0"/>
        <w:autoSpaceDE/>
        <w:autoSpaceDN/>
        <w:bidi w:val="0"/>
        <w:adjustRightInd/>
        <w:snapToGrid/>
        <w:spacing w:line="348" w:lineRule="auto"/>
        <w:ind w:firstLine="482"/>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33.8履约保证金政策</w:t>
      </w:r>
    </w:p>
    <w:p w14:paraId="71219FAA">
      <w:pPr>
        <w:pStyle w:val="209"/>
        <w:pageBreakBefore w:val="0"/>
        <w:kinsoku/>
        <w:wordWrap/>
        <w:overflowPunct/>
        <w:topLinePunct w:val="0"/>
        <w:autoSpaceDE/>
        <w:autoSpaceDN/>
        <w:bidi w:val="0"/>
        <w:adjustRightInd/>
        <w:snapToGrid/>
        <w:spacing w:after="0" w:line="348" w:lineRule="auto"/>
        <w:ind w:left="0"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履约保证金的缴纳形式：</w:t>
      </w:r>
    </w:p>
    <w:p w14:paraId="70F7E208">
      <w:pPr>
        <w:pageBreakBefore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25107BF">
      <w:pPr>
        <w:pageBreakBefore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如以履约保函（保险）形式缴纳履约保证金，供应商可通过政府采购电子履约保函（保险）平台（www.jsdzbh.com）在线申请履约保函（保险）。</w:t>
      </w:r>
    </w:p>
    <w:p w14:paraId="261A3966">
      <w:pPr>
        <w:pageBreakBefore w:val="0"/>
        <w:kinsoku/>
        <w:wordWrap/>
        <w:overflowPunct/>
        <w:topLinePunct w:val="0"/>
        <w:autoSpaceDE/>
        <w:autoSpaceDN/>
        <w:bidi w:val="0"/>
        <w:adjustRightInd/>
        <w:snapToGrid/>
        <w:spacing w:line="348"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14:paraId="262BE775">
      <w:pPr>
        <w:pageBreakBefore w:val="0"/>
        <w:kinsoku/>
        <w:wordWrap/>
        <w:overflowPunct/>
        <w:topLinePunct w:val="0"/>
        <w:autoSpaceDE/>
        <w:autoSpaceDN/>
        <w:bidi w:val="0"/>
        <w:adjustRightInd/>
        <w:snapToGrid/>
        <w:spacing w:line="348" w:lineRule="auto"/>
        <w:ind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34. 预付款制度</w:t>
      </w:r>
    </w:p>
    <w:p w14:paraId="667B62D7">
      <w:pPr>
        <w:pageBreakBefore w:val="0"/>
        <w:kinsoku/>
        <w:wordWrap/>
        <w:overflowPunct/>
        <w:topLinePunct w:val="0"/>
        <w:autoSpaceDE/>
        <w:autoSpaceDN/>
        <w:bidi w:val="0"/>
        <w:adjustRightInd/>
        <w:snapToGrid/>
        <w:spacing w:line="348" w:lineRule="auto"/>
        <w:ind w:firstLine="48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本项目落实预付款制度，预付款比例为</w:t>
      </w:r>
      <w:r>
        <w:rPr>
          <w:rFonts w:hint="eastAsia" w:ascii="宋体" w:hAnsi="宋体" w:eastAsia="宋体" w:cs="宋体"/>
          <w:color w:val="auto"/>
          <w:sz w:val="24"/>
          <w:highlight w:val="none"/>
          <w:u w:val="single"/>
          <w:lang w:val="en-US" w:eastAsia="zh-CN"/>
        </w:rPr>
        <w:t>30</w:t>
      </w:r>
      <w:r>
        <w:rPr>
          <w:rFonts w:hint="eastAsia" w:ascii="宋体" w:hAnsi="宋体" w:eastAsia="宋体" w:cs="宋体"/>
          <w:color w:val="auto"/>
          <w:sz w:val="24"/>
          <w:highlight w:val="none"/>
          <w:lang w:val="en-US" w:eastAsia="zh-CN"/>
        </w:rPr>
        <w:t>%（原则上不低于合同金额的30%）。在签订合同时，中标、成交供应商明确书面表示无需预付款或者主动要求降低预付款比例的，采购人可就预付款比例作相应调整。</w:t>
      </w:r>
    </w:p>
    <w:p w14:paraId="5D9493DE">
      <w:pPr>
        <w:pStyle w:val="209"/>
        <w:pageBreakBefore w:val="0"/>
        <w:kinsoku/>
        <w:wordWrap/>
        <w:overflowPunct/>
        <w:topLinePunct w:val="0"/>
        <w:autoSpaceDE/>
        <w:autoSpaceDN/>
        <w:bidi w:val="0"/>
        <w:adjustRightInd/>
        <w:snapToGrid/>
        <w:spacing w:after="0" w:line="348" w:lineRule="auto"/>
        <w:ind w:left="0" w:firstLine="560"/>
        <w:textAlignment w:val="auto"/>
        <w:rPr>
          <w:rFonts w:ascii="宋体" w:hAnsi="宋体" w:eastAsia="宋体" w:cs="宋体"/>
          <w:color w:val="auto"/>
          <w:sz w:val="24"/>
          <w:highlight w:val="none"/>
        </w:rPr>
      </w:pPr>
    </w:p>
    <w:p w14:paraId="5441C9F1">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 </w:t>
      </w:r>
    </w:p>
    <w:p w14:paraId="5BE45D1D">
      <w:pPr>
        <w:pStyle w:val="3"/>
        <w:pageBreakBefore w:val="0"/>
        <w:kinsoku/>
        <w:wordWrap/>
        <w:overflowPunct/>
        <w:topLinePunct w:val="0"/>
        <w:autoSpaceDE/>
        <w:autoSpaceDN/>
        <w:bidi w:val="0"/>
        <w:adjustRightInd/>
        <w:snapToGrid/>
        <w:spacing w:line="348" w:lineRule="auto"/>
        <w:ind w:firstLine="3935" w:firstLineChars="1400"/>
        <w:jc w:val="both"/>
        <w:textAlignment w:val="auto"/>
        <w:rPr>
          <w:color w:val="auto"/>
          <w:sz w:val="28"/>
          <w:szCs w:val="28"/>
          <w:highlight w:val="none"/>
        </w:rPr>
      </w:pPr>
      <w:bookmarkStart w:id="154" w:name="_Toc198284256"/>
      <w:r>
        <w:rPr>
          <w:rFonts w:hint="eastAsia"/>
          <w:color w:val="auto"/>
          <w:sz w:val="28"/>
          <w:szCs w:val="28"/>
          <w:highlight w:val="none"/>
        </w:rPr>
        <w:t>第三章  合同文本</w:t>
      </w:r>
      <w:bookmarkEnd w:id="154"/>
    </w:p>
    <w:p w14:paraId="44DCEB38">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color w:val="auto"/>
          <w:highlight w:val="none"/>
        </w:rPr>
      </w:pPr>
      <w:bookmarkStart w:id="155" w:name="_Toc513029243"/>
      <w:bookmarkStart w:id="156" w:name="_Toc20823315"/>
      <w:bookmarkStart w:id="157" w:name="_Toc16938559"/>
      <w:r>
        <w:rPr>
          <w:rFonts w:hint="eastAsia" w:ascii="宋体" w:hAnsi="宋体" w:eastAsia="宋体" w:cs="宋体"/>
          <w:color w:val="auto"/>
          <w:highlight w:val="none"/>
        </w:rPr>
        <w:t>以下为成交后签定本项目合同的通用条款，成交供应商不得提出实质性的修改。</w:t>
      </w:r>
      <w:bookmarkEnd w:id="155"/>
      <w:bookmarkEnd w:id="156"/>
      <w:bookmarkEnd w:id="157"/>
    </w:p>
    <w:p w14:paraId="34FD86A3">
      <w:pPr>
        <w:pStyle w:val="27"/>
        <w:pageBreakBefore w:val="0"/>
        <w:kinsoku/>
        <w:wordWrap/>
        <w:overflowPunct/>
        <w:topLinePunct w:val="0"/>
        <w:autoSpaceDE/>
        <w:autoSpaceDN/>
        <w:bidi w:val="0"/>
        <w:adjustRightInd/>
        <w:snapToGrid/>
        <w:spacing w:before="145" w:beforeAutospacing="0" w:after="145" w:afterAutospacing="0" w:line="348" w:lineRule="auto"/>
        <w:jc w:val="center"/>
        <w:textAlignment w:val="auto"/>
        <w:rPr>
          <w:color w:val="auto"/>
          <w:highlight w:val="none"/>
        </w:rPr>
      </w:pPr>
      <w:r>
        <w:rPr>
          <w:color w:val="auto"/>
          <w:highlight w:val="none"/>
        </w:rPr>
        <w:t> </w:t>
      </w:r>
    </w:p>
    <w:p w14:paraId="4A6C891D">
      <w:pPr>
        <w:pStyle w:val="27"/>
        <w:pageBreakBefore w:val="0"/>
        <w:kinsoku/>
        <w:wordWrap/>
        <w:overflowPunct/>
        <w:topLinePunct w:val="0"/>
        <w:autoSpaceDE/>
        <w:autoSpaceDN/>
        <w:bidi w:val="0"/>
        <w:adjustRightInd/>
        <w:snapToGrid/>
        <w:spacing w:before="145" w:beforeAutospacing="0" w:after="145" w:afterAutospacing="0" w:line="348" w:lineRule="auto"/>
        <w:jc w:val="center"/>
        <w:textAlignment w:val="auto"/>
        <w:rPr>
          <w:color w:val="auto"/>
          <w:highlight w:val="none"/>
        </w:rPr>
      </w:pP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盐城市政府采购合同（合同编号）</w:t>
      </w:r>
    </w:p>
    <w:p w14:paraId="413ACD9B">
      <w:pPr>
        <w:pStyle w:val="27"/>
        <w:pageBreakBefore w:val="0"/>
        <w:kinsoku/>
        <w:wordWrap/>
        <w:overflowPunct/>
        <w:topLinePunct w:val="0"/>
        <w:autoSpaceDE/>
        <w:autoSpaceDN/>
        <w:bidi w:val="0"/>
        <w:adjustRightInd/>
        <w:snapToGrid/>
        <w:spacing w:before="120" w:beforeAutospacing="0" w:after="120" w:afterAutospacing="0" w:line="348"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项目名称：                          </w:t>
      </w:r>
    </w:p>
    <w:p w14:paraId="07F3D893">
      <w:pPr>
        <w:pStyle w:val="27"/>
        <w:pageBreakBefore w:val="0"/>
        <w:kinsoku/>
        <w:wordWrap/>
        <w:overflowPunct/>
        <w:topLinePunct w:val="0"/>
        <w:autoSpaceDE/>
        <w:autoSpaceDN/>
        <w:bidi w:val="0"/>
        <w:adjustRightInd/>
        <w:snapToGrid/>
        <w:spacing w:before="120" w:beforeAutospacing="0" w:after="120" w:afterAutospacing="0" w:line="348" w:lineRule="auto"/>
        <w:jc w:val="both"/>
        <w:textAlignment w:val="auto"/>
        <w:rPr>
          <w:color w:val="auto"/>
          <w:highlight w:val="none"/>
        </w:rPr>
      </w:pPr>
      <w:r>
        <w:rPr>
          <w:rFonts w:hint="eastAsia" w:ascii="宋体" w:hAnsi="宋体" w:eastAsia="宋体" w:cs="宋体"/>
          <w:color w:val="auto"/>
          <w:highlight w:val="none"/>
        </w:rPr>
        <w:t>项目编号：</w:t>
      </w:r>
    </w:p>
    <w:p w14:paraId="5EA8ED47">
      <w:pPr>
        <w:pStyle w:val="27"/>
        <w:pageBreakBefore w:val="0"/>
        <w:kinsoku/>
        <w:wordWrap/>
        <w:overflowPunct/>
        <w:topLinePunct w:val="0"/>
        <w:autoSpaceDE/>
        <w:autoSpaceDN/>
        <w:bidi w:val="0"/>
        <w:adjustRightInd/>
        <w:snapToGrid/>
        <w:spacing w:before="120" w:beforeAutospacing="0" w:after="120" w:afterAutospacing="0" w:line="348" w:lineRule="auto"/>
        <w:jc w:val="both"/>
        <w:textAlignment w:val="auto"/>
        <w:rPr>
          <w:color w:val="auto"/>
          <w:highlight w:val="none"/>
        </w:rPr>
      </w:pPr>
      <w:r>
        <w:rPr>
          <w:rFonts w:hint="eastAsia" w:ascii="宋体" w:hAnsi="宋体" w:eastAsia="宋体" w:cs="宋体"/>
          <w:color w:val="auto"/>
          <w:highlight w:val="none"/>
        </w:rPr>
        <w:t>甲方：（买方）_________</w:t>
      </w:r>
    </w:p>
    <w:p w14:paraId="3C7DDF44">
      <w:pPr>
        <w:pStyle w:val="27"/>
        <w:pageBreakBefore w:val="0"/>
        <w:kinsoku/>
        <w:wordWrap/>
        <w:overflowPunct/>
        <w:topLinePunct w:val="0"/>
        <w:autoSpaceDE/>
        <w:autoSpaceDN/>
        <w:bidi w:val="0"/>
        <w:adjustRightInd/>
        <w:snapToGrid/>
        <w:spacing w:before="120" w:beforeAutospacing="0" w:after="120" w:afterAutospacing="0" w:line="348" w:lineRule="auto"/>
        <w:jc w:val="both"/>
        <w:textAlignment w:val="auto"/>
        <w:rPr>
          <w:color w:val="auto"/>
          <w:highlight w:val="none"/>
        </w:rPr>
      </w:pPr>
      <w:r>
        <w:rPr>
          <w:rFonts w:hint="eastAsia" w:ascii="宋体" w:hAnsi="宋体" w:eastAsia="宋体" w:cs="宋体"/>
          <w:color w:val="auto"/>
          <w:highlight w:val="none"/>
        </w:rPr>
        <w:t>乙方：（卖方）_________</w:t>
      </w:r>
    </w:p>
    <w:p w14:paraId="0F59E60E">
      <w:pPr>
        <w:pStyle w:val="27"/>
        <w:pageBreakBefore w:val="0"/>
        <w:kinsoku/>
        <w:wordWrap/>
        <w:overflowPunct/>
        <w:topLinePunct w:val="0"/>
        <w:autoSpaceDE/>
        <w:autoSpaceDN/>
        <w:bidi w:val="0"/>
        <w:adjustRightInd/>
        <w:snapToGrid/>
        <w:spacing w:before="120" w:beforeAutospacing="0" w:after="120" w:afterAutospacing="0" w:line="348" w:lineRule="auto"/>
        <w:jc w:val="both"/>
        <w:textAlignment w:val="auto"/>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甲、乙双方根据</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项目竞争性磋商的结果，签署本合同。</w:t>
      </w:r>
    </w:p>
    <w:p w14:paraId="40867815">
      <w:pPr>
        <w:pStyle w:val="27"/>
        <w:pageBreakBefore w:val="0"/>
        <w:kinsoku/>
        <w:wordWrap/>
        <w:overflowPunct/>
        <w:topLinePunct w:val="0"/>
        <w:autoSpaceDE/>
        <w:autoSpaceDN/>
        <w:bidi w:val="0"/>
        <w:adjustRightInd/>
        <w:snapToGrid/>
        <w:spacing w:before="120" w:beforeAutospacing="0" w:after="120" w:afterAutospacing="0" w:line="348" w:lineRule="auto"/>
        <w:jc w:val="both"/>
        <w:textAlignment w:val="auto"/>
        <w:rPr>
          <w:color w:val="auto"/>
          <w:highlight w:val="none"/>
        </w:rPr>
      </w:pPr>
      <w:r>
        <w:rPr>
          <w:rFonts w:hint="eastAsia" w:ascii="宋体" w:hAnsi="宋体" w:eastAsia="宋体" w:cs="宋体"/>
          <w:b/>
          <w:color w:val="auto"/>
          <w:highlight w:val="none"/>
        </w:rPr>
        <w:t>一、合同内容</w:t>
      </w:r>
    </w:p>
    <w:p w14:paraId="208F00A1">
      <w:pPr>
        <w:pStyle w:val="27"/>
        <w:pageBreakBefore w:val="0"/>
        <w:kinsoku/>
        <w:wordWrap/>
        <w:overflowPunct/>
        <w:topLinePunct w:val="0"/>
        <w:autoSpaceDE/>
        <w:autoSpaceDN/>
        <w:bidi w:val="0"/>
        <w:adjustRightInd/>
        <w:snapToGrid/>
        <w:spacing w:before="120" w:beforeAutospacing="0" w:after="120" w:afterAutospacing="0" w:line="348" w:lineRule="auto"/>
        <w:ind w:firstLine="480"/>
        <w:jc w:val="both"/>
        <w:textAlignment w:val="auto"/>
        <w:rPr>
          <w:color w:val="auto"/>
          <w:highlight w:val="none"/>
        </w:rPr>
      </w:pPr>
      <w:r>
        <w:rPr>
          <w:rFonts w:hint="eastAsia" w:ascii="宋体" w:hAnsi="宋体" w:eastAsia="宋体" w:cs="宋体"/>
          <w:color w:val="auto"/>
          <w:highlight w:val="none"/>
        </w:rPr>
        <w:t>1.1 标的名称：</w:t>
      </w:r>
    </w:p>
    <w:p w14:paraId="082DD4A7">
      <w:pPr>
        <w:pStyle w:val="27"/>
        <w:pageBreakBefore w:val="0"/>
        <w:kinsoku/>
        <w:wordWrap/>
        <w:overflowPunct/>
        <w:topLinePunct w:val="0"/>
        <w:autoSpaceDE/>
        <w:autoSpaceDN/>
        <w:bidi w:val="0"/>
        <w:adjustRightInd/>
        <w:snapToGrid/>
        <w:spacing w:before="120" w:beforeAutospacing="0" w:after="120" w:afterAutospacing="0" w:line="348" w:lineRule="auto"/>
        <w:ind w:firstLine="480"/>
        <w:jc w:val="both"/>
        <w:textAlignment w:val="auto"/>
        <w:rPr>
          <w:color w:val="auto"/>
          <w:highlight w:val="none"/>
        </w:rPr>
      </w:pPr>
      <w:r>
        <w:rPr>
          <w:rFonts w:hint="eastAsia" w:ascii="宋体" w:hAnsi="宋体" w:eastAsia="宋体" w:cs="宋体"/>
          <w:color w:val="auto"/>
          <w:highlight w:val="none"/>
        </w:rPr>
        <w:t>1.2 标的质量：</w:t>
      </w:r>
    </w:p>
    <w:p w14:paraId="5774B577">
      <w:pPr>
        <w:pStyle w:val="27"/>
        <w:pageBreakBefore w:val="0"/>
        <w:kinsoku/>
        <w:wordWrap/>
        <w:overflowPunct/>
        <w:topLinePunct w:val="0"/>
        <w:autoSpaceDE/>
        <w:autoSpaceDN/>
        <w:bidi w:val="0"/>
        <w:adjustRightInd/>
        <w:snapToGrid/>
        <w:spacing w:before="120" w:beforeAutospacing="0" w:after="120" w:afterAutospacing="0" w:line="348" w:lineRule="auto"/>
        <w:ind w:firstLine="480"/>
        <w:jc w:val="both"/>
        <w:textAlignment w:val="auto"/>
        <w:rPr>
          <w:color w:val="auto"/>
          <w:highlight w:val="none"/>
        </w:rPr>
      </w:pPr>
      <w:r>
        <w:rPr>
          <w:rFonts w:hint="eastAsia" w:ascii="宋体" w:hAnsi="宋体" w:eastAsia="宋体" w:cs="宋体"/>
          <w:color w:val="auto"/>
          <w:highlight w:val="none"/>
        </w:rPr>
        <w:t>1.3 标的数量（规模）：</w:t>
      </w:r>
    </w:p>
    <w:p w14:paraId="3FEB6EE1">
      <w:pPr>
        <w:pStyle w:val="27"/>
        <w:pageBreakBefore w:val="0"/>
        <w:kinsoku/>
        <w:wordWrap/>
        <w:overflowPunct/>
        <w:topLinePunct w:val="0"/>
        <w:autoSpaceDE/>
        <w:autoSpaceDN/>
        <w:bidi w:val="0"/>
        <w:adjustRightInd/>
        <w:snapToGrid/>
        <w:spacing w:before="120" w:beforeAutospacing="0" w:after="120" w:afterAutospacing="0" w:line="348" w:lineRule="auto"/>
        <w:ind w:firstLine="480"/>
        <w:jc w:val="both"/>
        <w:textAlignment w:val="auto"/>
        <w:rPr>
          <w:color w:val="auto"/>
          <w:highlight w:val="none"/>
        </w:rPr>
      </w:pPr>
      <w:r>
        <w:rPr>
          <w:rFonts w:hint="eastAsia" w:ascii="宋体" w:hAnsi="宋体" w:eastAsia="宋体" w:cs="宋体"/>
          <w:color w:val="auto"/>
          <w:highlight w:val="none"/>
        </w:rPr>
        <w:t>1.4 履行时间（期限）：</w:t>
      </w:r>
    </w:p>
    <w:p w14:paraId="08070274">
      <w:pPr>
        <w:pStyle w:val="27"/>
        <w:pageBreakBefore w:val="0"/>
        <w:kinsoku/>
        <w:wordWrap/>
        <w:overflowPunct/>
        <w:topLinePunct w:val="0"/>
        <w:autoSpaceDE/>
        <w:autoSpaceDN/>
        <w:bidi w:val="0"/>
        <w:adjustRightInd/>
        <w:snapToGrid/>
        <w:spacing w:before="120" w:beforeAutospacing="0" w:after="120" w:afterAutospacing="0" w:line="348" w:lineRule="auto"/>
        <w:ind w:firstLine="480"/>
        <w:jc w:val="both"/>
        <w:textAlignment w:val="auto"/>
        <w:rPr>
          <w:color w:val="auto"/>
          <w:highlight w:val="none"/>
        </w:rPr>
      </w:pPr>
      <w:r>
        <w:rPr>
          <w:rFonts w:hint="eastAsia" w:ascii="宋体" w:hAnsi="宋体" w:eastAsia="宋体" w:cs="宋体"/>
          <w:color w:val="auto"/>
          <w:highlight w:val="none"/>
        </w:rPr>
        <w:t>1.5 履行地点：</w:t>
      </w:r>
    </w:p>
    <w:p w14:paraId="44E444AF">
      <w:pPr>
        <w:pStyle w:val="27"/>
        <w:pageBreakBefore w:val="0"/>
        <w:kinsoku/>
        <w:wordWrap/>
        <w:overflowPunct/>
        <w:topLinePunct w:val="0"/>
        <w:autoSpaceDE/>
        <w:autoSpaceDN/>
        <w:bidi w:val="0"/>
        <w:adjustRightInd/>
        <w:snapToGrid/>
        <w:spacing w:before="120" w:beforeAutospacing="0" w:after="120" w:afterAutospacing="0" w:line="348" w:lineRule="auto"/>
        <w:ind w:firstLine="480"/>
        <w:jc w:val="both"/>
        <w:textAlignment w:val="auto"/>
        <w:rPr>
          <w:color w:val="auto"/>
          <w:highlight w:val="none"/>
        </w:rPr>
      </w:pPr>
      <w:r>
        <w:rPr>
          <w:rFonts w:hint="eastAsia" w:ascii="宋体" w:hAnsi="宋体" w:eastAsia="宋体" w:cs="宋体"/>
          <w:color w:val="auto"/>
          <w:highlight w:val="none"/>
        </w:rPr>
        <w:t>1.6 履行方式：</w:t>
      </w:r>
    </w:p>
    <w:p w14:paraId="108B320C">
      <w:pPr>
        <w:pStyle w:val="27"/>
        <w:pageBreakBefore w:val="0"/>
        <w:kinsoku/>
        <w:wordWrap/>
        <w:overflowPunct/>
        <w:topLinePunct w:val="0"/>
        <w:autoSpaceDE/>
        <w:autoSpaceDN/>
        <w:bidi w:val="0"/>
        <w:adjustRightInd/>
        <w:snapToGrid/>
        <w:spacing w:before="120" w:beforeAutospacing="0" w:after="120" w:afterAutospacing="0" w:line="348" w:lineRule="auto"/>
        <w:jc w:val="both"/>
        <w:textAlignment w:val="auto"/>
        <w:rPr>
          <w:color w:val="auto"/>
          <w:highlight w:val="none"/>
        </w:rPr>
      </w:pPr>
      <w:r>
        <w:rPr>
          <w:rFonts w:hint="eastAsia" w:ascii="宋体" w:hAnsi="宋体" w:eastAsia="宋体" w:cs="宋体"/>
          <w:b/>
          <w:color w:val="auto"/>
          <w:highlight w:val="none"/>
        </w:rPr>
        <w:t>二、合同金额</w:t>
      </w:r>
    </w:p>
    <w:p w14:paraId="783A4333">
      <w:pPr>
        <w:pStyle w:val="27"/>
        <w:pageBreakBefore w:val="0"/>
        <w:kinsoku/>
        <w:wordWrap/>
        <w:overflowPunct/>
        <w:topLinePunct w:val="0"/>
        <w:autoSpaceDE/>
        <w:autoSpaceDN/>
        <w:bidi w:val="0"/>
        <w:adjustRightInd/>
        <w:snapToGrid/>
        <w:spacing w:before="120" w:beforeAutospacing="0" w:after="120" w:afterAutospacing="0" w:line="348" w:lineRule="auto"/>
        <w:ind w:left="426" w:firstLine="12"/>
        <w:jc w:val="both"/>
        <w:textAlignment w:val="auto"/>
        <w:rPr>
          <w:rFonts w:ascii="宋体" w:hAnsi="宋体" w:eastAsia="宋体" w:cs="宋体"/>
          <w:color w:val="auto"/>
          <w:highlight w:val="none"/>
        </w:rPr>
      </w:pPr>
      <w:r>
        <w:rPr>
          <w:rFonts w:hint="eastAsia" w:ascii="宋体" w:hAnsi="宋体" w:eastAsia="宋体" w:cs="宋体"/>
          <w:color w:val="auto"/>
          <w:highlight w:val="none"/>
        </w:rPr>
        <w:t>2.1 本合同金额为（大写）：_______元（______元）人民币或其他币种。</w:t>
      </w:r>
    </w:p>
    <w:p w14:paraId="347AD638">
      <w:pPr>
        <w:pStyle w:val="27"/>
        <w:pageBreakBefore w:val="0"/>
        <w:kinsoku/>
        <w:wordWrap/>
        <w:overflowPunct/>
        <w:topLinePunct w:val="0"/>
        <w:autoSpaceDE/>
        <w:autoSpaceDN/>
        <w:bidi w:val="0"/>
        <w:adjustRightInd/>
        <w:snapToGrid/>
        <w:spacing w:before="120" w:beforeAutospacing="0" w:after="120" w:afterAutospacing="0" w:line="348" w:lineRule="auto"/>
        <w:ind w:left="426" w:firstLine="12"/>
        <w:jc w:val="both"/>
        <w:textAlignment w:val="auto"/>
        <w:rPr>
          <w:color w:val="auto"/>
          <w:highlight w:val="none"/>
        </w:rPr>
      </w:pPr>
      <w:r>
        <w:rPr>
          <w:rFonts w:hint="eastAsia" w:ascii="宋体" w:hAnsi="宋体" w:eastAsia="宋体" w:cs="宋体"/>
          <w:color w:val="auto"/>
          <w:highlight w:val="none"/>
        </w:rPr>
        <w:t>2.2</w:t>
      </w:r>
      <w:r>
        <w:rPr>
          <w:rFonts w:hint="eastAsia"/>
          <w:color w:val="auto"/>
          <w:highlight w:val="none"/>
        </w:rPr>
        <w:t>本合同价款包含所有乙方提供合同约定服务的报酬及乙方提供合同中服务所支出的必要费用，甲方在上述合同价款之外不再向乙方支付其他任何费用。</w:t>
      </w:r>
    </w:p>
    <w:p w14:paraId="7ACE5B23">
      <w:pPr>
        <w:pStyle w:val="27"/>
        <w:pageBreakBefore w:val="0"/>
        <w:kinsoku/>
        <w:wordWrap/>
        <w:overflowPunct/>
        <w:topLinePunct w:val="0"/>
        <w:autoSpaceDE/>
        <w:autoSpaceDN/>
        <w:bidi w:val="0"/>
        <w:adjustRightInd/>
        <w:snapToGrid/>
        <w:spacing w:before="120" w:beforeAutospacing="0" w:after="120" w:afterAutospacing="0" w:line="348" w:lineRule="auto"/>
        <w:jc w:val="both"/>
        <w:textAlignment w:val="auto"/>
        <w:rPr>
          <w:color w:val="auto"/>
          <w:highlight w:val="none"/>
        </w:rPr>
      </w:pPr>
      <w:r>
        <w:rPr>
          <w:rFonts w:hint="eastAsia" w:ascii="宋体" w:hAnsi="宋体" w:eastAsia="宋体" w:cs="宋体"/>
          <w:b/>
          <w:color w:val="auto"/>
          <w:highlight w:val="none"/>
        </w:rPr>
        <w:t>三、技术资料</w:t>
      </w:r>
    </w:p>
    <w:p w14:paraId="368A63C1">
      <w:pPr>
        <w:pStyle w:val="27"/>
        <w:pageBreakBefore w:val="0"/>
        <w:kinsoku/>
        <w:wordWrap/>
        <w:overflowPunct/>
        <w:topLinePunct w:val="0"/>
        <w:autoSpaceDE/>
        <w:autoSpaceDN/>
        <w:bidi w:val="0"/>
        <w:adjustRightInd/>
        <w:snapToGrid/>
        <w:spacing w:before="120" w:beforeAutospacing="0" w:after="12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3.1乙方应按磋商文件规定的时间向甲方提供与合同标的有关的技术资料。</w:t>
      </w:r>
    </w:p>
    <w:p w14:paraId="145ADA37">
      <w:pPr>
        <w:pStyle w:val="27"/>
        <w:pageBreakBefore w:val="0"/>
        <w:kinsoku/>
        <w:wordWrap/>
        <w:overflowPunct/>
        <w:topLinePunct w:val="0"/>
        <w:autoSpaceDE/>
        <w:autoSpaceDN/>
        <w:bidi w:val="0"/>
        <w:adjustRightInd/>
        <w:snapToGrid/>
        <w:spacing w:before="120" w:beforeAutospacing="0" w:after="12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921BD9D">
      <w:pPr>
        <w:pStyle w:val="27"/>
        <w:pageBreakBefore w:val="0"/>
        <w:kinsoku/>
        <w:wordWrap/>
        <w:overflowPunct/>
        <w:topLinePunct w:val="0"/>
        <w:autoSpaceDE/>
        <w:autoSpaceDN/>
        <w:bidi w:val="0"/>
        <w:adjustRightInd/>
        <w:snapToGrid/>
        <w:spacing w:before="120" w:beforeAutospacing="0" w:after="120" w:afterAutospacing="0" w:line="348" w:lineRule="auto"/>
        <w:ind w:left="412" w:hanging="412"/>
        <w:jc w:val="both"/>
        <w:textAlignment w:val="auto"/>
        <w:rPr>
          <w:color w:val="auto"/>
          <w:highlight w:val="none"/>
        </w:rPr>
      </w:pPr>
      <w:r>
        <w:rPr>
          <w:rFonts w:hint="eastAsia" w:ascii="宋体" w:hAnsi="宋体" w:eastAsia="宋体" w:cs="宋体"/>
          <w:b/>
          <w:color w:val="auto"/>
          <w:highlight w:val="none"/>
        </w:rPr>
        <w:t>四、知识产权</w:t>
      </w:r>
    </w:p>
    <w:p w14:paraId="24280C07">
      <w:pPr>
        <w:pStyle w:val="27"/>
        <w:pageBreakBefore w:val="0"/>
        <w:kinsoku/>
        <w:wordWrap/>
        <w:overflowPunct/>
        <w:topLinePunct w:val="0"/>
        <w:autoSpaceDE/>
        <w:autoSpaceDN/>
        <w:bidi w:val="0"/>
        <w:adjustRightInd/>
        <w:snapToGrid/>
        <w:spacing w:before="120" w:beforeAutospacing="0" w:after="12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4.1乙方应保证甲方在使用、接受本合同标的或其任何一部分时不受第三方提出侵犯其专利权、版权、商标权和工业设计权等知识产权的起诉。一旦出现侵权，由乙方负全部责任。</w:t>
      </w:r>
    </w:p>
    <w:p w14:paraId="179C8C1D">
      <w:pPr>
        <w:pStyle w:val="27"/>
        <w:pageBreakBefore w:val="0"/>
        <w:kinsoku/>
        <w:wordWrap/>
        <w:overflowPunct/>
        <w:topLinePunct w:val="0"/>
        <w:autoSpaceDE/>
        <w:autoSpaceDN/>
        <w:bidi w:val="0"/>
        <w:adjustRightInd/>
        <w:snapToGrid/>
        <w:spacing w:before="120" w:beforeAutospacing="0" w:after="120" w:afterAutospacing="0" w:line="348" w:lineRule="auto"/>
        <w:jc w:val="both"/>
        <w:textAlignment w:val="auto"/>
        <w:rPr>
          <w:color w:val="auto"/>
          <w:highlight w:val="none"/>
        </w:rPr>
      </w:pPr>
      <w:r>
        <w:rPr>
          <w:rFonts w:hint="eastAsia" w:ascii="宋体" w:hAnsi="宋体" w:eastAsia="宋体" w:cs="宋体"/>
          <w:b/>
          <w:color w:val="auto"/>
          <w:highlight w:val="none"/>
        </w:rPr>
        <w:t>五、产权担保</w:t>
      </w:r>
    </w:p>
    <w:p w14:paraId="320032E3">
      <w:pPr>
        <w:pStyle w:val="27"/>
        <w:pageBreakBefore w:val="0"/>
        <w:kinsoku/>
        <w:wordWrap/>
        <w:overflowPunct/>
        <w:topLinePunct w:val="0"/>
        <w:autoSpaceDE/>
        <w:autoSpaceDN/>
        <w:bidi w:val="0"/>
        <w:adjustRightInd/>
        <w:snapToGrid/>
        <w:spacing w:before="120" w:beforeAutospacing="0" w:after="120" w:afterAutospacing="0" w:line="348" w:lineRule="auto"/>
        <w:ind w:left="428" w:firstLine="14"/>
        <w:jc w:val="both"/>
        <w:textAlignment w:val="auto"/>
        <w:rPr>
          <w:color w:val="auto"/>
          <w:highlight w:val="none"/>
        </w:rPr>
      </w:pPr>
      <w:r>
        <w:rPr>
          <w:rFonts w:hint="eastAsia" w:ascii="宋体" w:hAnsi="宋体" w:eastAsia="宋体" w:cs="宋体"/>
          <w:color w:val="auto"/>
          <w:highlight w:val="none"/>
        </w:rPr>
        <w:t>5.1 乙方保证所交付的合同标的的所有权完全属于乙方且无任何抵押、查封等产权瑕疵。</w:t>
      </w:r>
    </w:p>
    <w:p w14:paraId="306E26B5">
      <w:pPr>
        <w:pStyle w:val="27"/>
        <w:pageBreakBefore w:val="0"/>
        <w:kinsoku/>
        <w:wordWrap/>
        <w:overflowPunct/>
        <w:topLinePunct w:val="0"/>
        <w:autoSpaceDE/>
        <w:autoSpaceDN/>
        <w:bidi w:val="0"/>
        <w:adjustRightInd/>
        <w:snapToGrid/>
        <w:spacing w:before="120" w:beforeAutospacing="0" w:after="120" w:afterAutospacing="0" w:line="348" w:lineRule="auto"/>
        <w:ind w:left="410" w:hanging="410"/>
        <w:jc w:val="both"/>
        <w:textAlignment w:val="auto"/>
        <w:rPr>
          <w:color w:val="auto"/>
          <w:highlight w:val="none"/>
        </w:rPr>
      </w:pPr>
      <w:r>
        <w:rPr>
          <w:rFonts w:hint="eastAsia" w:ascii="宋体" w:hAnsi="宋体" w:eastAsia="宋体" w:cs="宋体"/>
          <w:b/>
          <w:color w:val="auto"/>
          <w:highlight w:val="none"/>
        </w:rPr>
        <w:t>六、履约保证金</w:t>
      </w:r>
    </w:p>
    <w:p w14:paraId="321510C5">
      <w:pPr>
        <w:pStyle w:val="27"/>
        <w:pageBreakBefore w:val="0"/>
        <w:kinsoku/>
        <w:wordWrap/>
        <w:overflowPunct/>
        <w:topLinePunct w:val="0"/>
        <w:autoSpaceDE/>
        <w:autoSpaceDN/>
        <w:bidi w:val="0"/>
        <w:adjustRightInd/>
        <w:snapToGrid/>
        <w:spacing w:before="120" w:beforeAutospacing="0" w:after="120" w:afterAutospacing="0" w:line="348" w:lineRule="auto"/>
        <w:ind w:left="428" w:firstLine="14"/>
        <w:jc w:val="both"/>
        <w:textAlignment w:val="auto"/>
        <w:rPr>
          <w:rFonts w:ascii="宋体" w:hAnsi="宋体" w:eastAsia="宋体" w:cs="宋体"/>
          <w:color w:val="auto"/>
          <w:highlight w:val="none"/>
        </w:rPr>
      </w:pPr>
      <w:r>
        <w:rPr>
          <w:rFonts w:hint="eastAsia" w:ascii="宋体" w:hAnsi="宋体" w:eastAsia="宋体" w:cs="宋体"/>
          <w:color w:val="auto"/>
          <w:highlight w:val="none"/>
        </w:rPr>
        <w:t>6.1 乙方交纳人民币_________元作为本合同的履约保证金。</w:t>
      </w:r>
    </w:p>
    <w:p w14:paraId="406F68BE">
      <w:pPr>
        <w:pStyle w:val="27"/>
        <w:pageBreakBefore w:val="0"/>
        <w:kinsoku/>
        <w:wordWrap/>
        <w:overflowPunct/>
        <w:topLinePunct w:val="0"/>
        <w:autoSpaceDE/>
        <w:autoSpaceDN/>
        <w:bidi w:val="0"/>
        <w:adjustRightInd/>
        <w:snapToGrid/>
        <w:spacing w:before="120" w:beforeAutospacing="0" w:after="120" w:afterAutospacing="0" w:line="348" w:lineRule="auto"/>
        <w:ind w:left="210" w:firstLine="240"/>
        <w:jc w:val="both"/>
        <w:textAlignment w:val="auto"/>
        <w:rPr>
          <w:rFonts w:ascii="宋体" w:hAnsi="宋体" w:eastAsia="宋体" w:cs="宋体"/>
          <w:color w:val="auto"/>
          <w:highlight w:val="none"/>
        </w:rPr>
      </w:pPr>
      <w:r>
        <w:rPr>
          <w:rFonts w:hint="eastAsia" w:ascii="宋体" w:hAnsi="宋体" w:eastAsia="宋体" w:cs="宋体"/>
          <w:color w:val="auto"/>
          <w:highlight w:val="none"/>
        </w:rPr>
        <w:t>（备注：不得超过合同金额的10%，采购人应当对AA评级及以上政府采购供应商（需提供信用管理部门备案的第三方信用报告）免收履约保证金或降低履约保证金缴纳比例。）</w:t>
      </w:r>
    </w:p>
    <w:p w14:paraId="513F8F9D">
      <w:pPr>
        <w:pStyle w:val="27"/>
        <w:pageBreakBefore w:val="0"/>
        <w:kinsoku/>
        <w:wordWrap/>
        <w:overflowPunct/>
        <w:topLinePunct w:val="0"/>
        <w:autoSpaceDE/>
        <w:autoSpaceDN/>
        <w:bidi w:val="0"/>
        <w:adjustRightInd/>
        <w:snapToGrid/>
        <w:spacing w:before="120" w:beforeAutospacing="0" w:after="12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6.2履约保证金的缴纳形式：</w:t>
      </w:r>
    </w:p>
    <w:p w14:paraId="0CEDB097">
      <w:pPr>
        <w:pStyle w:val="27"/>
        <w:pageBreakBefore w:val="0"/>
        <w:kinsoku/>
        <w:wordWrap/>
        <w:overflowPunct/>
        <w:topLinePunct w:val="0"/>
        <w:autoSpaceDE/>
        <w:autoSpaceDN/>
        <w:bidi w:val="0"/>
        <w:adjustRightInd/>
        <w:snapToGrid/>
        <w:spacing w:before="120" w:beforeAutospacing="0" w:after="12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D667E50">
      <w:pPr>
        <w:pStyle w:val="27"/>
        <w:pageBreakBefore w:val="0"/>
        <w:kinsoku/>
        <w:wordWrap/>
        <w:overflowPunct/>
        <w:topLinePunct w:val="0"/>
        <w:autoSpaceDE/>
        <w:autoSpaceDN/>
        <w:bidi w:val="0"/>
        <w:adjustRightInd/>
        <w:snapToGrid/>
        <w:spacing w:before="120" w:beforeAutospacing="0" w:after="12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6.2.2 如以履约保函（保险）形式缴纳履约保证金，供应商可通过政府采购电子履约保函（保险）平台（www.jsdzbh.com）在线申请履约保函（保险）。</w:t>
      </w:r>
    </w:p>
    <w:p w14:paraId="17A174C9">
      <w:pPr>
        <w:pStyle w:val="27"/>
        <w:pageBreakBefore w:val="0"/>
        <w:kinsoku/>
        <w:wordWrap/>
        <w:overflowPunct/>
        <w:topLinePunct w:val="0"/>
        <w:autoSpaceDE/>
        <w:autoSpaceDN/>
        <w:bidi w:val="0"/>
        <w:adjustRightInd/>
        <w:snapToGrid/>
        <w:spacing w:before="120" w:beforeAutospacing="0" w:after="120" w:afterAutospacing="0" w:line="348" w:lineRule="auto"/>
        <w:ind w:left="428" w:firstLine="14"/>
        <w:jc w:val="both"/>
        <w:textAlignment w:val="auto"/>
        <w:rPr>
          <w:color w:val="auto"/>
          <w:highlight w:val="none"/>
        </w:rPr>
      </w:pPr>
      <w:r>
        <w:rPr>
          <w:rFonts w:hint="eastAsia" w:ascii="宋体" w:hAnsi="宋体" w:eastAsia="宋体" w:cs="宋体"/>
          <w:color w:val="auto"/>
          <w:highlight w:val="none"/>
        </w:rPr>
        <w:t>6.3合同履行结束后，甲方应及时退还交纳的履约保证金。</w:t>
      </w:r>
    </w:p>
    <w:p w14:paraId="5E4CD584">
      <w:pPr>
        <w:pageBreakBefore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6.4履约保证金的退还：</w:t>
      </w:r>
    </w:p>
    <w:p w14:paraId="168D5849">
      <w:pPr>
        <w:pageBreakBefore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6.4.1方式：</w:t>
      </w:r>
      <w:r>
        <w:rPr>
          <w:rFonts w:hint="eastAsia" w:ascii="宋体" w:hAnsi="宋体"/>
          <w:color w:val="auto"/>
          <w:sz w:val="24"/>
          <w:highlight w:val="none"/>
        </w:rPr>
        <w:t>无息</w:t>
      </w:r>
      <w:r>
        <w:rPr>
          <w:rFonts w:hint="eastAsia" w:ascii="宋体" w:hAnsi="宋体" w:eastAsia="宋体" w:cs="宋体"/>
          <w:color w:val="auto"/>
          <w:sz w:val="24"/>
          <w:highlight w:val="none"/>
        </w:rPr>
        <w:t>退还至投标人缴纳履约保证金的账户。如为保函，在到期时自行失效。</w:t>
      </w:r>
    </w:p>
    <w:p w14:paraId="05181175">
      <w:pPr>
        <w:pageBreakBefore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6.4.2时间：验收合格且采购人收到发票后30日内。</w:t>
      </w:r>
    </w:p>
    <w:p w14:paraId="67DDF64F">
      <w:pPr>
        <w:pageBreakBefore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6.4.3条件：按合同要求全部履约完成并经采购人验收合格，且采购人收到中标人出具的发票。</w:t>
      </w:r>
    </w:p>
    <w:p w14:paraId="1E5FD01A">
      <w:pPr>
        <w:pageBreakBefore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6.4.4不予退还情形：</w:t>
      </w:r>
    </w:p>
    <w:p w14:paraId="4FF60B8E">
      <w:pPr>
        <w:pageBreakBefore w:val="0"/>
        <w:kinsoku/>
        <w:wordWrap/>
        <w:overflowPunct/>
        <w:topLinePunct w:val="0"/>
        <w:autoSpaceDE/>
        <w:autoSpaceDN/>
        <w:bidi w:val="0"/>
        <w:adjustRightInd/>
        <w:snapToGrid/>
        <w:spacing w:line="348" w:lineRule="auto"/>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除不可抗力情况外，投标人出现下列情形之一的，其履约保证金，招标人将视情节决定不予退还或部分不予退还。</w:t>
      </w:r>
    </w:p>
    <w:p w14:paraId="35585083">
      <w:pPr>
        <w:pageBreakBefore w:val="0"/>
        <w:kinsoku/>
        <w:wordWrap/>
        <w:overflowPunct/>
        <w:topLinePunct w:val="0"/>
        <w:autoSpaceDE/>
        <w:autoSpaceDN/>
        <w:bidi w:val="0"/>
        <w:adjustRightInd/>
        <w:snapToGrid/>
        <w:spacing w:line="348" w:lineRule="auto"/>
        <w:ind w:firstLine="24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（1）中标人无正当理由拒绝签订合同的，或者在签订合同时向采购人提出附加条件或者更改合同实质性内容要求的；</w:t>
      </w:r>
    </w:p>
    <w:p w14:paraId="46393B7C">
      <w:pPr>
        <w:pageBreakBefore w:val="0"/>
        <w:kinsoku/>
        <w:wordWrap/>
        <w:overflowPunct/>
        <w:topLinePunct w:val="0"/>
        <w:autoSpaceDE/>
        <w:autoSpaceDN/>
        <w:bidi w:val="0"/>
        <w:adjustRightInd/>
        <w:snapToGrid/>
        <w:spacing w:line="348" w:lineRule="auto"/>
        <w:ind w:firstLine="24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（2）中标人不履行与采购人订立的合同的；</w:t>
      </w:r>
    </w:p>
    <w:p w14:paraId="4BE00CCA">
      <w:pPr>
        <w:keepNext w:val="0"/>
        <w:keepLines w:val="0"/>
        <w:pageBreakBefore w:val="0"/>
        <w:widowControl w:val="0"/>
        <w:kinsoku/>
        <w:wordWrap/>
        <w:overflowPunct/>
        <w:topLinePunct w:val="0"/>
        <w:autoSpaceDE/>
        <w:autoSpaceDN/>
        <w:bidi w:val="0"/>
        <w:adjustRightInd/>
        <w:snapToGrid/>
        <w:spacing w:line="324" w:lineRule="auto"/>
        <w:ind w:firstLine="24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（3）中标人所供货物或服务不符合磋商文件规定要求的；</w:t>
      </w:r>
    </w:p>
    <w:p w14:paraId="2FC5C95D">
      <w:pPr>
        <w:keepNext w:val="0"/>
        <w:keepLines w:val="0"/>
        <w:pageBreakBefore w:val="0"/>
        <w:widowControl w:val="0"/>
        <w:kinsoku/>
        <w:wordWrap/>
        <w:overflowPunct/>
        <w:topLinePunct w:val="0"/>
        <w:autoSpaceDE/>
        <w:autoSpaceDN/>
        <w:bidi w:val="0"/>
        <w:adjustRightInd/>
        <w:snapToGrid/>
        <w:spacing w:line="324" w:lineRule="auto"/>
        <w:ind w:firstLine="24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（4）中标人采取欺骗、弄虚作假方式投标的或与其它投标人串通投标的；</w:t>
      </w:r>
    </w:p>
    <w:p w14:paraId="7EB48244">
      <w:pPr>
        <w:keepNext w:val="0"/>
        <w:keepLines w:val="0"/>
        <w:pageBreakBefore w:val="0"/>
        <w:widowControl w:val="0"/>
        <w:kinsoku/>
        <w:wordWrap/>
        <w:overflowPunct/>
        <w:topLinePunct w:val="0"/>
        <w:autoSpaceDE/>
        <w:autoSpaceDN/>
        <w:bidi w:val="0"/>
        <w:adjustRightInd/>
        <w:snapToGrid/>
        <w:spacing w:line="324" w:lineRule="auto"/>
        <w:ind w:firstLine="24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（5）中标人将合同内容转包、违法分包的；</w:t>
      </w:r>
    </w:p>
    <w:p w14:paraId="1D5C5154">
      <w:pPr>
        <w:keepNext w:val="0"/>
        <w:keepLines w:val="0"/>
        <w:pageBreakBefore w:val="0"/>
        <w:widowControl w:val="0"/>
        <w:kinsoku/>
        <w:wordWrap/>
        <w:overflowPunct/>
        <w:topLinePunct w:val="0"/>
        <w:autoSpaceDE/>
        <w:autoSpaceDN/>
        <w:bidi w:val="0"/>
        <w:adjustRightInd/>
        <w:snapToGrid/>
        <w:spacing w:line="324" w:lineRule="auto"/>
        <w:ind w:firstLine="24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（6）中标人故意捏造事实或伪造证明材料，进行虚假恶意投诉或反映的。</w:t>
      </w:r>
    </w:p>
    <w:p w14:paraId="778BD35E">
      <w:pPr>
        <w:keepNext w:val="0"/>
        <w:keepLines w:val="0"/>
        <w:pageBreakBefore w:val="0"/>
        <w:widowControl w:val="0"/>
        <w:kinsoku/>
        <w:wordWrap/>
        <w:overflowPunct/>
        <w:topLinePunct w:val="0"/>
        <w:autoSpaceDE/>
        <w:autoSpaceDN/>
        <w:bidi w:val="0"/>
        <w:adjustRightInd/>
        <w:snapToGrid/>
        <w:spacing w:line="324" w:lineRule="auto"/>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6.4.5逾期退还的违约责任：采购人逾期无故未退还履约保证金的，按中国人民银行同期贷款基准利率上浮20%后的利率支付超期资金占用费，但因供应商自身原因导致无法及时退还的除外。</w:t>
      </w:r>
    </w:p>
    <w:p w14:paraId="62FE8664">
      <w:pPr>
        <w:pStyle w:val="27"/>
        <w:keepNext w:val="0"/>
        <w:keepLines w:val="0"/>
        <w:pageBreakBefore w:val="0"/>
        <w:widowControl w:val="0"/>
        <w:kinsoku/>
        <w:wordWrap/>
        <w:overflowPunct/>
        <w:topLinePunct w:val="0"/>
        <w:autoSpaceDE/>
        <w:autoSpaceDN/>
        <w:bidi w:val="0"/>
        <w:adjustRightInd/>
        <w:snapToGrid/>
        <w:spacing w:before="145" w:beforeAutospacing="0" w:after="145" w:afterAutospacing="0" w:line="324" w:lineRule="auto"/>
        <w:jc w:val="both"/>
        <w:textAlignment w:val="auto"/>
        <w:rPr>
          <w:color w:val="auto"/>
          <w:highlight w:val="none"/>
        </w:rPr>
      </w:pPr>
      <w:r>
        <w:rPr>
          <w:rFonts w:hint="eastAsia" w:ascii="宋体" w:hAnsi="宋体" w:eastAsia="宋体" w:cs="宋体"/>
          <w:b/>
          <w:color w:val="auto"/>
          <w:highlight w:val="none"/>
        </w:rPr>
        <w:t>七、合同转包或分包</w:t>
      </w:r>
    </w:p>
    <w:p w14:paraId="0B1CD5FD">
      <w:pPr>
        <w:pStyle w:val="27"/>
        <w:keepNext w:val="0"/>
        <w:keepLines w:val="0"/>
        <w:pageBreakBefore w:val="0"/>
        <w:widowControl w:val="0"/>
        <w:kinsoku/>
        <w:wordWrap/>
        <w:overflowPunct/>
        <w:topLinePunct w:val="0"/>
        <w:autoSpaceDE/>
        <w:autoSpaceDN/>
        <w:bidi w:val="0"/>
        <w:adjustRightInd/>
        <w:snapToGrid/>
        <w:spacing w:before="145" w:beforeAutospacing="0" w:after="145" w:afterAutospacing="0" w:line="324" w:lineRule="auto"/>
        <w:ind w:firstLine="480"/>
        <w:jc w:val="both"/>
        <w:textAlignment w:val="auto"/>
        <w:rPr>
          <w:color w:val="auto"/>
          <w:highlight w:val="none"/>
        </w:rPr>
      </w:pPr>
      <w:r>
        <w:rPr>
          <w:rFonts w:hint="eastAsia" w:ascii="宋体" w:hAnsi="宋体" w:eastAsia="宋体" w:cs="宋体"/>
          <w:color w:val="auto"/>
          <w:highlight w:val="none"/>
        </w:rPr>
        <w:t>7.1乙方不得将合同标的转包给他人履行。</w:t>
      </w:r>
    </w:p>
    <w:p w14:paraId="51A9D24A">
      <w:pPr>
        <w:pStyle w:val="27"/>
        <w:keepNext w:val="0"/>
        <w:keepLines w:val="0"/>
        <w:pageBreakBefore w:val="0"/>
        <w:widowControl w:val="0"/>
        <w:kinsoku/>
        <w:wordWrap/>
        <w:overflowPunct/>
        <w:topLinePunct w:val="0"/>
        <w:autoSpaceDE/>
        <w:autoSpaceDN/>
        <w:bidi w:val="0"/>
        <w:adjustRightInd/>
        <w:snapToGrid/>
        <w:spacing w:before="145" w:beforeAutospacing="0" w:after="145" w:afterAutospacing="0" w:line="324" w:lineRule="auto"/>
        <w:ind w:firstLine="480"/>
        <w:jc w:val="both"/>
        <w:textAlignment w:val="auto"/>
        <w:rPr>
          <w:color w:val="auto"/>
          <w:highlight w:val="none"/>
        </w:rPr>
      </w:pPr>
      <w:r>
        <w:rPr>
          <w:rFonts w:hint="eastAsia" w:ascii="宋体" w:hAnsi="宋体" w:eastAsia="宋体" w:cs="宋体"/>
          <w:color w:val="auto"/>
          <w:highlight w:val="none"/>
        </w:rPr>
        <w:t>7.2乙方不得将合同标的分包给他人履行。</w:t>
      </w:r>
    </w:p>
    <w:p w14:paraId="0441EE5E">
      <w:pPr>
        <w:pStyle w:val="27"/>
        <w:keepNext w:val="0"/>
        <w:keepLines w:val="0"/>
        <w:pageBreakBefore w:val="0"/>
        <w:widowControl w:val="0"/>
        <w:kinsoku/>
        <w:wordWrap/>
        <w:overflowPunct/>
        <w:topLinePunct w:val="0"/>
        <w:autoSpaceDE/>
        <w:autoSpaceDN/>
        <w:bidi w:val="0"/>
        <w:adjustRightInd/>
        <w:snapToGrid/>
        <w:spacing w:before="145" w:beforeAutospacing="0" w:after="145" w:afterAutospacing="0" w:line="324" w:lineRule="auto"/>
        <w:ind w:firstLine="480"/>
        <w:jc w:val="both"/>
        <w:textAlignment w:val="auto"/>
        <w:rPr>
          <w:color w:val="auto"/>
          <w:highlight w:val="none"/>
        </w:rPr>
      </w:pPr>
      <w:r>
        <w:rPr>
          <w:rFonts w:hint="eastAsia" w:ascii="宋体" w:hAnsi="宋体" w:eastAsia="宋体" w:cs="宋体"/>
          <w:color w:val="auto"/>
          <w:highlight w:val="none"/>
        </w:rPr>
        <w:t>7.3乙方如有转包或未经甲方同意的分包行为，甲方有权解除合同。</w:t>
      </w:r>
    </w:p>
    <w:p w14:paraId="4E93CBED">
      <w:pPr>
        <w:pStyle w:val="27"/>
        <w:keepNext w:val="0"/>
        <w:keepLines w:val="0"/>
        <w:pageBreakBefore w:val="0"/>
        <w:widowControl w:val="0"/>
        <w:kinsoku/>
        <w:wordWrap/>
        <w:overflowPunct/>
        <w:topLinePunct w:val="0"/>
        <w:autoSpaceDE/>
        <w:autoSpaceDN/>
        <w:bidi w:val="0"/>
        <w:adjustRightInd/>
        <w:snapToGrid/>
        <w:spacing w:before="120" w:beforeAutospacing="0" w:after="120" w:afterAutospacing="0" w:line="324" w:lineRule="auto"/>
        <w:jc w:val="both"/>
        <w:textAlignment w:val="auto"/>
        <w:rPr>
          <w:color w:val="auto"/>
          <w:highlight w:val="none"/>
        </w:rPr>
      </w:pPr>
      <w:r>
        <w:rPr>
          <w:rFonts w:hint="eastAsia" w:ascii="宋体" w:hAnsi="宋体" w:eastAsia="宋体" w:cs="宋体"/>
          <w:b/>
          <w:color w:val="auto"/>
          <w:highlight w:val="none"/>
        </w:rPr>
        <w:t>八、合同款项支付</w:t>
      </w:r>
    </w:p>
    <w:p w14:paraId="77886E59">
      <w:pPr>
        <w:pStyle w:val="27"/>
        <w:keepNext w:val="0"/>
        <w:keepLines w:val="0"/>
        <w:pageBreakBefore w:val="0"/>
        <w:widowControl w:val="0"/>
        <w:kinsoku/>
        <w:wordWrap/>
        <w:overflowPunct/>
        <w:topLinePunct w:val="0"/>
        <w:autoSpaceDE/>
        <w:autoSpaceDN/>
        <w:bidi w:val="0"/>
        <w:adjustRightInd/>
        <w:snapToGrid/>
        <w:spacing w:before="145" w:beforeAutospacing="0" w:after="145" w:afterAutospacing="0" w:line="324" w:lineRule="auto"/>
        <w:ind w:firstLine="480"/>
        <w:jc w:val="both"/>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8.1合同签订时，经采购人与中标人根据实际情况协商一致，在财政资金到位的前提下，可支付合同总价的30%作为项目启动预付款，供应商书面明确表示无需预付款或主动要求降低预付款比例的，由双方另行商定。</w:t>
      </w:r>
    </w:p>
    <w:p w14:paraId="0FC50F32">
      <w:pPr>
        <w:pStyle w:val="27"/>
        <w:keepNext w:val="0"/>
        <w:keepLines w:val="0"/>
        <w:pageBreakBefore w:val="0"/>
        <w:widowControl w:val="0"/>
        <w:kinsoku/>
        <w:wordWrap/>
        <w:overflowPunct/>
        <w:topLinePunct w:val="0"/>
        <w:autoSpaceDE/>
        <w:autoSpaceDN/>
        <w:bidi w:val="0"/>
        <w:adjustRightInd/>
        <w:snapToGrid/>
        <w:spacing w:before="145" w:beforeAutospacing="0" w:after="145" w:afterAutospacing="0" w:line="324" w:lineRule="auto"/>
        <w:ind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8.2签订合同后，运维工作结束后，保障运维工作和环保管家全年核算完成各项省、市、县生态环境交办的任务后支付合同价</w:t>
      </w:r>
      <w:r>
        <w:rPr>
          <w:rFonts w:hint="eastAsia" w:ascii="宋体" w:hAnsi="宋体" w:eastAsia="宋体" w:cs="宋体"/>
          <w:color w:val="auto"/>
          <w:highlight w:val="none"/>
          <w:lang w:val="en-US" w:eastAsia="zh-CN"/>
        </w:rPr>
        <w:t>剩余</w:t>
      </w:r>
      <w:r>
        <w:rPr>
          <w:rFonts w:hint="eastAsia" w:ascii="宋体" w:hAnsi="宋体" w:eastAsia="宋体" w:cs="宋体"/>
          <w:color w:val="auto"/>
          <w:highlight w:val="none"/>
        </w:rPr>
        <w:t>的70%项目款，完成全部费用拨付。</w:t>
      </w:r>
    </w:p>
    <w:p w14:paraId="15F8A050">
      <w:pPr>
        <w:pStyle w:val="27"/>
        <w:keepNext w:val="0"/>
        <w:keepLines w:val="0"/>
        <w:pageBreakBefore w:val="0"/>
        <w:widowControl w:val="0"/>
        <w:kinsoku/>
        <w:wordWrap/>
        <w:overflowPunct/>
        <w:topLinePunct w:val="0"/>
        <w:autoSpaceDE/>
        <w:autoSpaceDN/>
        <w:bidi w:val="0"/>
        <w:adjustRightInd/>
        <w:snapToGrid/>
        <w:spacing w:before="145" w:beforeAutospacing="0" w:after="145" w:afterAutospacing="0" w:line="324" w:lineRule="auto"/>
        <w:ind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8.3按以上进度付款，无任何利息补偿。付款前，中标单位须开具税务部门认可的</w:t>
      </w:r>
      <w:r>
        <w:rPr>
          <w:rFonts w:hint="eastAsia" w:ascii="宋体" w:hAnsi="宋体" w:eastAsia="宋体" w:cs="宋体"/>
          <w:color w:val="auto"/>
          <w:highlight w:val="none"/>
          <w:lang w:val="en-US" w:eastAsia="zh-CN"/>
        </w:rPr>
        <w:t>税务</w:t>
      </w:r>
      <w:r>
        <w:rPr>
          <w:rFonts w:hint="eastAsia" w:ascii="宋体" w:hAnsi="宋体" w:eastAsia="宋体" w:cs="宋体"/>
          <w:color w:val="auto"/>
          <w:highlight w:val="none"/>
        </w:rPr>
        <w:t>发票。</w:t>
      </w:r>
    </w:p>
    <w:p w14:paraId="7AAAAAE7">
      <w:pPr>
        <w:pStyle w:val="27"/>
        <w:keepNext w:val="0"/>
        <w:keepLines w:val="0"/>
        <w:pageBreakBefore w:val="0"/>
        <w:widowControl w:val="0"/>
        <w:kinsoku/>
        <w:wordWrap/>
        <w:overflowPunct/>
        <w:topLinePunct w:val="0"/>
        <w:autoSpaceDE/>
        <w:autoSpaceDN/>
        <w:bidi w:val="0"/>
        <w:adjustRightInd/>
        <w:snapToGrid/>
        <w:spacing w:before="145" w:beforeAutospacing="0" w:after="145" w:afterAutospacing="0" w:line="324" w:lineRule="auto"/>
        <w:jc w:val="both"/>
        <w:textAlignment w:val="auto"/>
        <w:rPr>
          <w:color w:val="auto"/>
          <w:highlight w:val="none"/>
        </w:rPr>
      </w:pPr>
      <w:r>
        <w:rPr>
          <w:rFonts w:hint="eastAsia" w:ascii="宋体" w:hAnsi="宋体" w:eastAsia="宋体" w:cs="宋体"/>
          <w:b/>
          <w:color w:val="auto"/>
          <w:highlight w:val="none"/>
        </w:rPr>
        <w:t>九、税费</w:t>
      </w:r>
    </w:p>
    <w:p w14:paraId="14975A05">
      <w:pPr>
        <w:pStyle w:val="27"/>
        <w:keepNext w:val="0"/>
        <w:keepLines w:val="0"/>
        <w:pageBreakBefore w:val="0"/>
        <w:widowControl w:val="0"/>
        <w:kinsoku/>
        <w:wordWrap/>
        <w:overflowPunct/>
        <w:topLinePunct w:val="0"/>
        <w:autoSpaceDE/>
        <w:autoSpaceDN/>
        <w:bidi w:val="0"/>
        <w:adjustRightInd/>
        <w:snapToGrid/>
        <w:spacing w:before="145" w:beforeAutospacing="0" w:after="145" w:afterAutospacing="0" w:line="324" w:lineRule="auto"/>
        <w:ind w:firstLine="480"/>
        <w:jc w:val="both"/>
        <w:textAlignment w:val="auto"/>
        <w:rPr>
          <w:color w:val="auto"/>
          <w:highlight w:val="none"/>
        </w:rPr>
      </w:pPr>
      <w:r>
        <w:rPr>
          <w:rFonts w:hint="eastAsia" w:ascii="宋体" w:hAnsi="宋体" w:eastAsia="宋体" w:cs="宋体"/>
          <w:color w:val="auto"/>
          <w:highlight w:val="none"/>
        </w:rPr>
        <w:t>9.1本合同执行中相关的一切税费均由乙方负担。</w:t>
      </w:r>
    </w:p>
    <w:p w14:paraId="1377BBF5">
      <w:pPr>
        <w:pStyle w:val="27"/>
        <w:keepNext w:val="0"/>
        <w:keepLines w:val="0"/>
        <w:pageBreakBefore w:val="0"/>
        <w:widowControl w:val="0"/>
        <w:kinsoku/>
        <w:wordWrap/>
        <w:overflowPunct/>
        <w:topLinePunct w:val="0"/>
        <w:autoSpaceDE/>
        <w:autoSpaceDN/>
        <w:bidi w:val="0"/>
        <w:adjustRightInd/>
        <w:snapToGrid/>
        <w:spacing w:before="120" w:beforeAutospacing="0" w:after="120" w:afterAutospacing="0" w:line="324" w:lineRule="auto"/>
        <w:jc w:val="both"/>
        <w:textAlignment w:val="auto"/>
        <w:rPr>
          <w:color w:val="auto"/>
          <w:highlight w:val="none"/>
        </w:rPr>
      </w:pPr>
      <w:r>
        <w:rPr>
          <w:rFonts w:hint="eastAsia" w:ascii="宋体" w:hAnsi="宋体" w:eastAsia="宋体" w:cs="宋体"/>
          <w:b/>
          <w:color w:val="auto"/>
          <w:highlight w:val="none"/>
        </w:rPr>
        <w:t>十、项目验收</w:t>
      </w:r>
    </w:p>
    <w:p w14:paraId="346AFB32">
      <w:pPr>
        <w:keepNext w:val="0"/>
        <w:keepLines w:val="0"/>
        <w:pageBreakBefore w:val="0"/>
        <w:widowControl w:val="0"/>
        <w:kinsoku/>
        <w:wordWrap/>
        <w:overflowPunct/>
        <w:topLinePunct w:val="0"/>
        <w:autoSpaceDE/>
        <w:autoSpaceDN/>
        <w:bidi w:val="0"/>
        <w:adjustRightInd/>
        <w:snapToGrid/>
        <w:spacing w:line="324" w:lineRule="auto"/>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10.1甲方依法组织履约验收工作。</w:t>
      </w:r>
    </w:p>
    <w:p w14:paraId="2FD22E06">
      <w:pPr>
        <w:keepNext w:val="0"/>
        <w:keepLines w:val="0"/>
        <w:pageBreakBefore w:val="0"/>
        <w:widowControl w:val="0"/>
        <w:kinsoku/>
        <w:wordWrap/>
        <w:overflowPunct/>
        <w:topLinePunct w:val="0"/>
        <w:autoSpaceDE/>
        <w:autoSpaceDN/>
        <w:bidi w:val="0"/>
        <w:adjustRightInd/>
        <w:snapToGrid/>
        <w:spacing w:line="324" w:lineRule="auto"/>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70D591E">
      <w:pPr>
        <w:keepNext w:val="0"/>
        <w:keepLines w:val="0"/>
        <w:pageBreakBefore w:val="0"/>
        <w:widowControl w:val="0"/>
        <w:kinsoku/>
        <w:wordWrap/>
        <w:overflowPunct/>
        <w:topLinePunct w:val="0"/>
        <w:autoSpaceDE/>
        <w:autoSpaceDN/>
        <w:bidi w:val="0"/>
        <w:adjustRightInd/>
        <w:snapToGrid/>
        <w:spacing w:line="324" w:lineRule="auto"/>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10.3对于实际使用人和甲方分离的项目，甲方邀请实际使用人参与验收。</w:t>
      </w:r>
    </w:p>
    <w:p w14:paraId="7EA97B87">
      <w:pPr>
        <w:keepNext w:val="0"/>
        <w:keepLines w:val="0"/>
        <w:pageBreakBefore w:val="0"/>
        <w:widowControl w:val="0"/>
        <w:kinsoku/>
        <w:wordWrap/>
        <w:overflowPunct/>
        <w:topLinePunct w:val="0"/>
        <w:autoSpaceDE/>
        <w:autoSpaceDN/>
        <w:bidi w:val="0"/>
        <w:adjustRightInd/>
        <w:snapToGrid/>
        <w:spacing w:line="324" w:lineRule="auto"/>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10.4如有必要，甲方邀请参加本项目的其他供应商或第三方专业机构及专家参与验收，相关意见将作为验收书的参考资料。</w:t>
      </w:r>
    </w:p>
    <w:p w14:paraId="1D90B042">
      <w:pPr>
        <w:pageBreakBefore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6DDB560">
      <w:pPr>
        <w:pageBreakBefore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32C4C69F">
      <w:pPr>
        <w:pStyle w:val="27"/>
        <w:pageBreakBefore w:val="0"/>
        <w:kinsoku/>
        <w:wordWrap/>
        <w:overflowPunct/>
        <w:topLinePunct w:val="0"/>
        <w:autoSpaceDE/>
        <w:autoSpaceDN/>
        <w:bidi w:val="0"/>
        <w:adjustRightInd/>
        <w:snapToGrid/>
        <w:spacing w:before="120" w:beforeAutospacing="0" w:after="120" w:afterAutospacing="0" w:line="348" w:lineRule="auto"/>
        <w:jc w:val="both"/>
        <w:textAlignment w:val="auto"/>
        <w:rPr>
          <w:color w:val="auto"/>
          <w:highlight w:val="none"/>
        </w:rPr>
      </w:pPr>
      <w:r>
        <w:rPr>
          <w:rFonts w:hint="eastAsia" w:ascii="宋体" w:hAnsi="宋体" w:eastAsia="宋体" w:cs="宋体"/>
          <w:b/>
          <w:color w:val="auto"/>
          <w:highlight w:val="none"/>
        </w:rPr>
        <w:t>十一、违约责任</w:t>
      </w:r>
    </w:p>
    <w:p w14:paraId="4B900057">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color w:val="auto"/>
          <w:highlight w:val="none"/>
        </w:rPr>
      </w:pPr>
      <w:r>
        <w:rPr>
          <w:rFonts w:hint="eastAsia" w:ascii="宋体" w:hAnsi="宋体" w:eastAsia="宋体" w:cs="宋体"/>
          <w:color w:val="auto"/>
          <w:highlight w:val="none"/>
        </w:rPr>
        <w:t>11.1甲方无正当理由拒绝接受乙方提供的合同标的的，甲方向乙方偿付拒绝接受合同价款总值</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的违约金。</w:t>
      </w:r>
    </w:p>
    <w:p w14:paraId="66F0D8DE">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color w:val="auto"/>
          <w:highlight w:val="none"/>
        </w:rPr>
      </w:pPr>
      <w:r>
        <w:rPr>
          <w:rFonts w:hint="eastAsia" w:ascii="宋体" w:hAnsi="宋体" w:eastAsia="宋体" w:cs="宋体"/>
          <w:color w:val="auto"/>
          <w:highlight w:val="none"/>
        </w:rPr>
        <w:t>11.2甲方无故逾期验收和办理合同款项支付手续的,甲方应按逾期付款总额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每日向乙方支付违约金。</w:t>
      </w:r>
    </w:p>
    <w:p w14:paraId="6512634B">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color w:val="auto"/>
          <w:highlight w:val="none"/>
        </w:rPr>
      </w:pPr>
      <w:r>
        <w:rPr>
          <w:rFonts w:hint="eastAsia" w:ascii="宋体" w:hAnsi="宋体" w:eastAsia="宋体" w:cs="宋体"/>
          <w:color w:val="auto"/>
          <w:highlight w:val="none"/>
        </w:rPr>
        <w:t>11.3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的违约金，如造成甲方损失超过违约金的，超出部分由乙方继续承担赔偿责任。 </w:t>
      </w:r>
    </w:p>
    <w:p w14:paraId="75B08069">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color w:val="auto"/>
          <w:highlight w:val="none"/>
        </w:rPr>
      </w:pPr>
      <w:r>
        <w:rPr>
          <w:rFonts w:hint="eastAsia" w:ascii="宋体" w:hAnsi="宋体" w:eastAsia="宋体" w:cs="宋体"/>
          <w:color w:val="auto"/>
          <w:highlight w:val="none"/>
        </w:rPr>
        <w:t>11.4乙方交付合同标的的标准不符合合同规定及磋商文件规定标准的，甲方有权拒绝接受合同标的，并可单方面解除合同。</w:t>
      </w:r>
    </w:p>
    <w:p w14:paraId="1CF681CD">
      <w:pPr>
        <w:pStyle w:val="27"/>
        <w:pageBreakBefore w:val="0"/>
        <w:kinsoku/>
        <w:wordWrap/>
        <w:overflowPunct/>
        <w:topLinePunct w:val="0"/>
        <w:autoSpaceDE/>
        <w:autoSpaceDN/>
        <w:bidi w:val="0"/>
        <w:adjustRightInd/>
        <w:snapToGrid/>
        <w:spacing w:before="120" w:beforeAutospacing="0" w:after="120" w:afterAutospacing="0" w:line="348" w:lineRule="auto"/>
        <w:jc w:val="both"/>
        <w:textAlignment w:val="auto"/>
        <w:rPr>
          <w:color w:val="auto"/>
          <w:highlight w:val="none"/>
        </w:rPr>
      </w:pPr>
      <w:r>
        <w:rPr>
          <w:rFonts w:hint="eastAsia" w:ascii="宋体" w:hAnsi="宋体" w:eastAsia="宋体" w:cs="宋体"/>
          <w:b/>
          <w:color w:val="auto"/>
          <w:highlight w:val="none"/>
        </w:rPr>
        <w:t>十二、不可抗力事件处理</w:t>
      </w:r>
    </w:p>
    <w:p w14:paraId="46D5A372">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color w:val="auto"/>
          <w:highlight w:val="none"/>
        </w:rPr>
      </w:pPr>
      <w:r>
        <w:rPr>
          <w:rFonts w:hint="eastAsia" w:ascii="宋体" w:hAnsi="宋体" w:eastAsia="宋体" w:cs="宋体"/>
          <w:color w:val="auto"/>
          <w:highlight w:val="none"/>
        </w:rPr>
        <w:t>12.1在合同有效期内，任何一方因不可抗力事件导致不能履行合同，则合同履行期可延长，其延长期与不可抗力影响期相同。</w:t>
      </w:r>
    </w:p>
    <w:p w14:paraId="45582E0C">
      <w:pPr>
        <w:pStyle w:val="27"/>
        <w:pageBreakBefore w:val="0"/>
        <w:kinsoku/>
        <w:wordWrap/>
        <w:overflowPunct/>
        <w:topLinePunct w:val="0"/>
        <w:autoSpaceDE/>
        <w:autoSpaceDN/>
        <w:bidi w:val="0"/>
        <w:adjustRightInd/>
        <w:snapToGrid/>
        <w:spacing w:before="120" w:beforeAutospacing="0" w:after="120" w:afterAutospacing="0" w:line="348" w:lineRule="auto"/>
        <w:ind w:firstLine="480"/>
        <w:jc w:val="both"/>
        <w:textAlignment w:val="auto"/>
        <w:rPr>
          <w:color w:val="auto"/>
          <w:highlight w:val="none"/>
        </w:rPr>
      </w:pPr>
      <w:r>
        <w:rPr>
          <w:rFonts w:hint="eastAsia" w:ascii="宋体" w:hAnsi="宋体" w:eastAsia="宋体" w:cs="宋体"/>
          <w:color w:val="auto"/>
          <w:highlight w:val="none"/>
        </w:rPr>
        <w:t>12.2不可抗力事件发生后，应立即通知对方，并寄送有关权威机构出具的证明。</w:t>
      </w:r>
    </w:p>
    <w:p w14:paraId="1C1CDF40">
      <w:pPr>
        <w:pStyle w:val="27"/>
        <w:pageBreakBefore w:val="0"/>
        <w:kinsoku/>
        <w:wordWrap/>
        <w:overflowPunct/>
        <w:topLinePunct w:val="0"/>
        <w:autoSpaceDE/>
        <w:autoSpaceDN/>
        <w:bidi w:val="0"/>
        <w:adjustRightInd/>
        <w:snapToGrid/>
        <w:spacing w:before="120" w:beforeAutospacing="0" w:after="12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12.3不可抗力事件延续120天以上，双方应通过友好协商，确定是否继续履行合同。</w:t>
      </w:r>
    </w:p>
    <w:p w14:paraId="4DC6079B">
      <w:pPr>
        <w:pStyle w:val="27"/>
        <w:pageBreakBefore w:val="0"/>
        <w:kinsoku/>
        <w:wordWrap/>
        <w:overflowPunct/>
        <w:topLinePunct w:val="0"/>
        <w:autoSpaceDE/>
        <w:autoSpaceDN/>
        <w:bidi w:val="0"/>
        <w:adjustRightInd/>
        <w:snapToGrid/>
        <w:spacing w:before="120" w:beforeAutospacing="0" w:after="120" w:afterAutospacing="0" w:line="348" w:lineRule="auto"/>
        <w:jc w:val="both"/>
        <w:textAlignment w:val="auto"/>
        <w:rPr>
          <w:rFonts w:ascii="宋体" w:hAnsi="宋体" w:eastAsia="宋体" w:cs="宋体"/>
          <w:b/>
          <w:color w:val="auto"/>
          <w:highlight w:val="none"/>
        </w:rPr>
      </w:pPr>
      <w:r>
        <w:rPr>
          <w:rFonts w:hint="eastAsia" w:ascii="宋体" w:hAnsi="宋体" w:eastAsia="宋体" w:cs="宋体"/>
          <w:b/>
          <w:color w:val="auto"/>
          <w:highlight w:val="none"/>
        </w:rPr>
        <w:t>十三、质量保证及售后服务</w:t>
      </w:r>
    </w:p>
    <w:p w14:paraId="62C75B4D">
      <w:pPr>
        <w:pStyle w:val="27"/>
        <w:pageBreakBefore w:val="0"/>
        <w:kinsoku/>
        <w:wordWrap/>
        <w:overflowPunct/>
        <w:topLinePunct w:val="0"/>
        <w:autoSpaceDE/>
        <w:autoSpaceDN/>
        <w:bidi w:val="0"/>
        <w:adjustRightInd/>
        <w:snapToGrid/>
        <w:spacing w:before="120" w:beforeAutospacing="0" w:after="120" w:afterAutospacing="0" w:line="348" w:lineRule="auto"/>
        <w:ind w:firstLine="482"/>
        <w:textAlignment w:val="auto"/>
        <w:rPr>
          <w:rFonts w:ascii="宋体" w:hAnsi="宋体" w:eastAsia="宋体" w:cs="宋体"/>
          <w:color w:val="auto"/>
          <w:highlight w:val="none"/>
        </w:rPr>
      </w:pPr>
      <w:r>
        <w:rPr>
          <w:rFonts w:hint="eastAsia" w:ascii="宋体" w:hAnsi="宋体" w:eastAsia="宋体" w:cs="宋体"/>
          <w:color w:val="auto"/>
          <w:highlight w:val="none"/>
        </w:rPr>
        <w:t>13.1乙方应按招标文件规定和投标文件承诺的标准向甲方提供服务。</w:t>
      </w:r>
    </w:p>
    <w:p w14:paraId="483B8A18">
      <w:pPr>
        <w:pStyle w:val="27"/>
        <w:pageBreakBefore w:val="0"/>
        <w:kinsoku/>
        <w:wordWrap/>
        <w:overflowPunct/>
        <w:topLinePunct w:val="0"/>
        <w:autoSpaceDE/>
        <w:autoSpaceDN/>
        <w:bidi w:val="0"/>
        <w:adjustRightInd/>
        <w:snapToGrid/>
        <w:spacing w:before="120" w:beforeAutospacing="0" w:after="120" w:afterAutospacing="0" w:line="348" w:lineRule="auto"/>
        <w:ind w:firstLine="482"/>
        <w:textAlignment w:val="auto"/>
        <w:rPr>
          <w:rFonts w:ascii="宋体" w:hAnsi="宋体" w:eastAsia="宋体" w:cs="宋体"/>
          <w:color w:val="auto"/>
          <w:highlight w:val="none"/>
        </w:rPr>
      </w:pPr>
      <w:r>
        <w:rPr>
          <w:rFonts w:hint="eastAsia" w:ascii="宋体" w:hAnsi="宋体" w:eastAsia="宋体" w:cs="宋体"/>
          <w:color w:val="auto"/>
          <w:highlight w:val="none"/>
        </w:rPr>
        <w:t>13.2乙方提供的服务因其本身出现质量问题，根据实际情况，经双方协商，可按以下办法处理：</w:t>
      </w:r>
    </w:p>
    <w:p w14:paraId="3E931D4F">
      <w:pPr>
        <w:pStyle w:val="27"/>
        <w:pageBreakBefore w:val="0"/>
        <w:kinsoku/>
        <w:wordWrap/>
        <w:overflowPunct/>
        <w:topLinePunct w:val="0"/>
        <w:autoSpaceDE/>
        <w:autoSpaceDN/>
        <w:bidi w:val="0"/>
        <w:adjustRightInd/>
        <w:snapToGrid/>
        <w:spacing w:before="120" w:beforeAutospacing="0" w:after="120" w:afterAutospacing="0" w:line="348" w:lineRule="auto"/>
        <w:ind w:firstLine="482"/>
        <w:textAlignment w:val="auto"/>
        <w:rPr>
          <w:rFonts w:ascii="宋体" w:hAnsi="宋体" w:eastAsia="宋体" w:cs="宋体"/>
          <w:color w:val="auto"/>
          <w:highlight w:val="none"/>
        </w:rPr>
      </w:pPr>
      <w:r>
        <w:rPr>
          <w:rFonts w:hint="eastAsia" w:ascii="宋体" w:hAnsi="宋体" w:eastAsia="宋体" w:cs="宋体"/>
          <w:color w:val="auto"/>
          <w:highlight w:val="none"/>
        </w:rPr>
        <w:t>（1）重做：由乙方承担所发生的全部费用。</w:t>
      </w:r>
    </w:p>
    <w:p w14:paraId="17F40E0D">
      <w:pPr>
        <w:pStyle w:val="27"/>
        <w:pageBreakBefore w:val="0"/>
        <w:kinsoku/>
        <w:wordWrap/>
        <w:overflowPunct/>
        <w:topLinePunct w:val="0"/>
        <w:autoSpaceDE/>
        <w:autoSpaceDN/>
        <w:bidi w:val="0"/>
        <w:adjustRightInd/>
        <w:snapToGrid/>
        <w:spacing w:before="120" w:beforeAutospacing="0" w:after="120" w:afterAutospacing="0" w:line="348" w:lineRule="auto"/>
        <w:ind w:firstLine="482"/>
        <w:textAlignment w:val="auto"/>
        <w:rPr>
          <w:rFonts w:ascii="宋体" w:hAnsi="宋体" w:eastAsia="宋体" w:cs="宋体"/>
          <w:color w:val="auto"/>
          <w:highlight w:val="none"/>
        </w:rPr>
      </w:pPr>
      <w:r>
        <w:rPr>
          <w:rFonts w:hint="eastAsia" w:ascii="宋体" w:hAnsi="宋体" w:eastAsia="宋体" w:cs="宋体"/>
          <w:color w:val="auto"/>
          <w:highlight w:val="none"/>
        </w:rPr>
        <w:t>（2）合同终止处理：合同终止，并退还甲方支付的合同款，同时应承担由此产生的所有费用，甲方不承担发生任何费用。</w:t>
      </w:r>
    </w:p>
    <w:p w14:paraId="0B986221">
      <w:pPr>
        <w:pStyle w:val="27"/>
        <w:pageBreakBefore w:val="0"/>
        <w:kinsoku/>
        <w:wordWrap/>
        <w:overflowPunct/>
        <w:topLinePunct w:val="0"/>
        <w:autoSpaceDE/>
        <w:autoSpaceDN/>
        <w:bidi w:val="0"/>
        <w:adjustRightInd/>
        <w:snapToGrid/>
        <w:spacing w:before="120" w:beforeAutospacing="0" w:after="120" w:afterAutospacing="0" w:line="348"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13.3乙方应对服务出现的质量及安全问题负责处理解决并承担一切费用。</w:t>
      </w:r>
    </w:p>
    <w:p w14:paraId="39BAF169">
      <w:pPr>
        <w:pStyle w:val="27"/>
        <w:pageBreakBefore w:val="0"/>
        <w:kinsoku/>
        <w:wordWrap/>
        <w:overflowPunct/>
        <w:topLinePunct w:val="0"/>
        <w:autoSpaceDE/>
        <w:autoSpaceDN/>
        <w:bidi w:val="0"/>
        <w:adjustRightInd/>
        <w:snapToGrid/>
        <w:spacing w:before="120" w:beforeAutospacing="0" w:after="120" w:afterAutospacing="0" w:line="348" w:lineRule="auto"/>
        <w:jc w:val="both"/>
        <w:textAlignment w:val="auto"/>
        <w:rPr>
          <w:color w:val="auto"/>
          <w:highlight w:val="none"/>
        </w:rPr>
      </w:pPr>
      <w:r>
        <w:rPr>
          <w:rFonts w:hint="eastAsia" w:ascii="宋体" w:hAnsi="宋体" w:eastAsia="宋体" w:cs="宋体"/>
          <w:b/>
          <w:color w:val="auto"/>
          <w:highlight w:val="none"/>
        </w:rPr>
        <w:t>十四、解决争议的方法</w:t>
      </w:r>
    </w:p>
    <w:p w14:paraId="4722DA46">
      <w:pPr>
        <w:pStyle w:val="27"/>
        <w:pageBreakBefore w:val="0"/>
        <w:kinsoku/>
        <w:wordWrap/>
        <w:overflowPunct/>
        <w:topLinePunct w:val="0"/>
        <w:autoSpaceDE/>
        <w:autoSpaceDN/>
        <w:bidi w:val="0"/>
        <w:adjustRightInd/>
        <w:snapToGrid/>
        <w:spacing w:before="120" w:beforeAutospacing="0" w:after="120" w:afterAutospacing="0" w:line="348" w:lineRule="auto"/>
        <w:ind w:firstLine="480"/>
        <w:jc w:val="both"/>
        <w:textAlignment w:val="auto"/>
        <w:rPr>
          <w:color w:val="auto"/>
          <w:highlight w:val="none"/>
        </w:rPr>
      </w:pPr>
      <w:r>
        <w:rPr>
          <w:rFonts w:hint="eastAsia" w:ascii="宋体" w:hAnsi="宋体" w:eastAsia="宋体" w:cs="宋体"/>
          <w:color w:val="auto"/>
          <w:highlight w:val="none"/>
        </w:rPr>
        <w:t>14.1双方在签订、履行合同中所发生的一切争议，应通过友好协商解决。如协商不成，由甲方住所地人民法院管辖。</w:t>
      </w:r>
    </w:p>
    <w:p w14:paraId="21BB8E5F">
      <w:pPr>
        <w:pStyle w:val="27"/>
        <w:pageBreakBefore w:val="0"/>
        <w:kinsoku/>
        <w:wordWrap/>
        <w:overflowPunct/>
        <w:topLinePunct w:val="0"/>
        <w:autoSpaceDE/>
        <w:autoSpaceDN/>
        <w:bidi w:val="0"/>
        <w:adjustRightInd/>
        <w:snapToGrid/>
        <w:spacing w:before="120" w:beforeAutospacing="0" w:after="120" w:afterAutospacing="0" w:line="348" w:lineRule="auto"/>
        <w:jc w:val="both"/>
        <w:textAlignment w:val="auto"/>
        <w:rPr>
          <w:color w:val="auto"/>
          <w:highlight w:val="none"/>
        </w:rPr>
      </w:pPr>
      <w:r>
        <w:rPr>
          <w:rFonts w:hint="eastAsia" w:ascii="宋体" w:hAnsi="宋体" w:eastAsia="宋体" w:cs="宋体"/>
          <w:b/>
          <w:color w:val="auto"/>
          <w:highlight w:val="none"/>
        </w:rPr>
        <w:t>十五、合同生效及其它</w:t>
      </w:r>
    </w:p>
    <w:p w14:paraId="141EE566">
      <w:pPr>
        <w:pStyle w:val="27"/>
        <w:pageBreakBefore w:val="0"/>
        <w:kinsoku/>
        <w:wordWrap/>
        <w:overflowPunct/>
        <w:topLinePunct w:val="0"/>
        <w:autoSpaceDE/>
        <w:autoSpaceDN/>
        <w:bidi w:val="0"/>
        <w:adjustRightInd/>
        <w:snapToGrid/>
        <w:spacing w:before="120" w:beforeAutospacing="0" w:after="120" w:afterAutospacing="0" w:line="348" w:lineRule="auto"/>
        <w:ind w:firstLine="480"/>
        <w:jc w:val="both"/>
        <w:textAlignment w:val="auto"/>
        <w:rPr>
          <w:color w:val="auto"/>
          <w:highlight w:val="none"/>
        </w:rPr>
      </w:pPr>
      <w:r>
        <w:rPr>
          <w:rFonts w:hint="eastAsia" w:ascii="宋体" w:hAnsi="宋体" w:eastAsia="宋体" w:cs="宋体"/>
          <w:color w:val="auto"/>
          <w:highlight w:val="none"/>
        </w:rPr>
        <w:t>15.1合同经双方法定代表人或授权委托代表人签字并加盖单位公章后生效。</w:t>
      </w:r>
    </w:p>
    <w:p w14:paraId="7EDB607F">
      <w:pPr>
        <w:pStyle w:val="27"/>
        <w:pageBreakBefore w:val="0"/>
        <w:kinsoku/>
        <w:wordWrap/>
        <w:overflowPunct/>
        <w:topLinePunct w:val="0"/>
        <w:autoSpaceDE/>
        <w:autoSpaceDN/>
        <w:bidi w:val="0"/>
        <w:adjustRightInd/>
        <w:snapToGrid/>
        <w:spacing w:before="120" w:beforeAutospacing="0" w:after="120" w:afterAutospacing="0" w:line="348" w:lineRule="auto"/>
        <w:ind w:firstLine="480"/>
        <w:jc w:val="both"/>
        <w:textAlignment w:val="auto"/>
        <w:rPr>
          <w:color w:val="auto"/>
          <w:highlight w:val="none"/>
        </w:rPr>
      </w:pPr>
      <w:r>
        <w:rPr>
          <w:rFonts w:hint="eastAsia" w:ascii="宋体" w:hAnsi="宋体" w:eastAsia="宋体" w:cs="宋体"/>
          <w:color w:val="auto"/>
          <w:highlight w:val="none"/>
        </w:rPr>
        <w:t>15.2本合同未尽事宜，遵照《民法典》、《政府采购法》有关条文执行。</w:t>
      </w:r>
    </w:p>
    <w:p w14:paraId="5A9B8DDA">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color w:val="auto"/>
          <w:highlight w:val="none"/>
        </w:rPr>
      </w:pPr>
      <w:r>
        <w:rPr>
          <w:rFonts w:hint="eastAsia" w:ascii="宋体" w:hAnsi="宋体" w:eastAsia="宋体" w:cs="宋体"/>
          <w:color w:val="auto"/>
          <w:highlight w:val="none"/>
        </w:rPr>
        <w:t>15.3本合同正本一式</w:t>
      </w:r>
      <w:r>
        <w:rPr>
          <w:rFonts w:hint="eastAsia" w:ascii="宋体" w:hAnsi="宋体" w:eastAsia="宋体" w:cs="宋体"/>
          <w:color w:val="auto"/>
          <w:highlight w:val="none"/>
          <w:lang w:val="en-US" w:eastAsia="zh-CN"/>
        </w:rPr>
        <w:t>陆</w:t>
      </w:r>
      <w:r>
        <w:rPr>
          <w:rFonts w:hint="eastAsia" w:ascii="宋体" w:hAnsi="宋体" w:eastAsia="宋体" w:cs="宋体"/>
          <w:color w:val="auto"/>
          <w:highlight w:val="none"/>
        </w:rPr>
        <w:t>份，具有同等法律效力，甲方、乙方各执</w:t>
      </w:r>
      <w:r>
        <w:rPr>
          <w:rFonts w:hint="eastAsia" w:ascii="宋体" w:hAnsi="宋体" w:eastAsia="宋体" w:cs="宋体"/>
          <w:color w:val="auto"/>
          <w:highlight w:val="none"/>
          <w:lang w:val="en-US" w:eastAsia="zh-CN"/>
        </w:rPr>
        <w:t>叁</w:t>
      </w:r>
      <w:r>
        <w:rPr>
          <w:rFonts w:hint="eastAsia" w:ascii="宋体" w:hAnsi="宋体" w:eastAsia="宋体" w:cs="宋体"/>
          <w:color w:val="auto"/>
          <w:highlight w:val="none"/>
        </w:rPr>
        <w:t>份。</w:t>
      </w:r>
    </w:p>
    <w:p w14:paraId="2AAF2E1E">
      <w:pPr>
        <w:pStyle w:val="27"/>
        <w:pageBreakBefore w:val="0"/>
        <w:kinsoku/>
        <w:wordWrap/>
        <w:overflowPunct/>
        <w:topLinePunct w:val="0"/>
        <w:autoSpaceDE/>
        <w:autoSpaceDN/>
        <w:bidi w:val="0"/>
        <w:adjustRightInd/>
        <w:snapToGrid/>
        <w:spacing w:before="120" w:beforeAutospacing="0" w:after="120" w:afterAutospacing="0" w:line="348" w:lineRule="auto"/>
        <w:ind w:left="480" w:hanging="480"/>
        <w:jc w:val="both"/>
        <w:textAlignment w:val="auto"/>
        <w:rPr>
          <w:color w:val="auto"/>
          <w:highlight w:val="none"/>
        </w:rPr>
      </w:pPr>
      <w:r>
        <w:rPr>
          <w:rFonts w:hint="eastAsia" w:ascii="宋体" w:hAnsi="宋体" w:eastAsia="宋体" w:cs="宋体"/>
          <w:color w:val="auto"/>
          <w:highlight w:val="none"/>
        </w:rPr>
        <w:t xml:space="preserve">  甲方：               乙方： </w:t>
      </w:r>
    </w:p>
    <w:p w14:paraId="37BE80FB">
      <w:pPr>
        <w:pStyle w:val="27"/>
        <w:pageBreakBefore w:val="0"/>
        <w:kinsoku/>
        <w:wordWrap/>
        <w:overflowPunct/>
        <w:topLinePunct w:val="0"/>
        <w:autoSpaceDE/>
        <w:autoSpaceDN/>
        <w:bidi w:val="0"/>
        <w:adjustRightInd/>
        <w:snapToGrid/>
        <w:spacing w:before="120" w:beforeAutospacing="0" w:after="120" w:afterAutospacing="0" w:line="348" w:lineRule="auto"/>
        <w:jc w:val="both"/>
        <w:textAlignment w:val="auto"/>
        <w:rPr>
          <w:color w:val="auto"/>
          <w:highlight w:val="none"/>
        </w:rPr>
      </w:pPr>
      <w:r>
        <w:rPr>
          <w:rFonts w:hint="eastAsia" w:ascii="宋体" w:hAnsi="宋体" w:eastAsia="宋体" w:cs="宋体"/>
          <w:color w:val="auto"/>
          <w:highlight w:val="none"/>
        </w:rPr>
        <w:t xml:space="preserve">  地址：               地址： </w:t>
      </w:r>
    </w:p>
    <w:p w14:paraId="76C6CB7A">
      <w:pPr>
        <w:pStyle w:val="27"/>
        <w:pageBreakBefore w:val="0"/>
        <w:kinsoku/>
        <w:wordWrap/>
        <w:overflowPunct/>
        <w:topLinePunct w:val="0"/>
        <w:autoSpaceDE/>
        <w:autoSpaceDN/>
        <w:bidi w:val="0"/>
        <w:adjustRightInd/>
        <w:snapToGrid/>
        <w:spacing w:before="120" w:beforeAutospacing="0" w:after="120" w:afterAutospacing="0" w:line="348" w:lineRule="auto"/>
        <w:jc w:val="both"/>
        <w:textAlignment w:val="auto"/>
        <w:rPr>
          <w:color w:val="auto"/>
          <w:highlight w:val="none"/>
        </w:rPr>
      </w:pPr>
      <w:r>
        <w:rPr>
          <w:rFonts w:hint="eastAsia" w:ascii="宋体" w:hAnsi="宋体" w:eastAsia="宋体" w:cs="宋体"/>
          <w:color w:val="auto"/>
          <w:highlight w:val="none"/>
        </w:rPr>
        <w:t>  法定代表人或授权代表：        法定代表人或授权代表：</w:t>
      </w:r>
    </w:p>
    <w:p w14:paraId="018536A1">
      <w:pPr>
        <w:pStyle w:val="27"/>
        <w:pageBreakBefore w:val="0"/>
        <w:kinsoku/>
        <w:wordWrap/>
        <w:overflowPunct/>
        <w:topLinePunct w:val="0"/>
        <w:autoSpaceDE/>
        <w:autoSpaceDN/>
        <w:bidi w:val="0"/>
        <w:adjustRightInd/>
        <w:snapToGrid/>
        <w:spacing w:before="120" w:beforeAutospacing="0" w:after="120" w:afterAutospacing="0" w:line="348" w:lineRule="auto"/>
        <w:ind w:firstLine="240"/>
        <w:jc w:val="both"/>
        <w:textAlignment w:val="auto"/>
        <w:rPr>
          <w:rFonts w:ascii="宋体" w:hAnsi="宋体" w:eastAsia="宋体" w:cs="宋体"/>
          <w:color w:val="auto"/>
          <w:highlight w:val="none"/>
        </w:rPr>
      </w:pPr>
      <w:r>
        <w:rPr>
          <w:rFonts w:hint="eastAsia" w:ascii="宋体" w:hAnsi="宋体" w:eastAsia="宋体" w:cs="宋体"/>
          <w:color w:val="auto"/>
          <w:highlight w:val="none"/>
        </w:rPr>
        <w:t>联系电话：               联系电话：  </w:t>
      </w:r>
    </w:p>
    <w:p w14:paraId="79EC2A66">
      <w:pPr>
        <w:pStyle w:val="27"/>
        <w:pageBreakBefore w:val="0"/>
        <w:kinsoku/>
        <w:wordWrap/>
        <w:overflowPunct/>
        <w:topLinePunct w:val="0"/>
        <w:autoSpaceDE/>
        <w:autoSpaceDN/>
        <w:bidi w:val="0"/>
        <w:adjustRightInd/>
        <w:snapToGrid/>
        <w:spacing w:before="120" w:beforeAutospacing="0" w:after="120" w:afterAutospacing="0" w:line="348" w:lineRule="auto"/>
        <w:ind w:firstLine="240"/>
        <w:jc w:val="right"/>
        <w:textAlignment w:val="auto"/>
        <w:rPr>
          <w:rFonts w:ascii="Times New Roman" w:hAnsi="Times New Roman"/>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签订日期：    年    月   日        </w:t>
      </w:r>
    </w:p>
    <w:p w14:paraId="1510B81B">
      <w:pPr>
        <w:pageBreakBefore w:val="0"/>
        <w:widowControl/>
        <w:kinsoku/>
        <w:wordWrap/>
        <w:overflowPunct/>
        <w:topLinePunct w:val="0"/>
        <w:autoSpaceDE/>
        <w:autoSpaceDN/>
        <w:bidi w:val="0"/>
        <w:adjustRightInd/>
        <w:snapToGrid/>
        <w:spacing w:line="348" w:lineRule="auto"/>
        <w:jc w:val="left"/>
        <w:textAlignment w:val="auto"/>
        <w:rPr>
          <w:b/>
          <w:bCs/>
          <w:color w:val="auto"/>
          <w:sz w:val="44"/>
          <w:szCs w:val="44"/>
          <w:highlight w:val="none"/>
        </w:rPr>
      </w:pPr>
      <w:bookmarkStart w:id="158" w:name="_Toc479757211"/>
      <w:bookmarkStart w:id="159" w:name="_Toc120614244"/>
      <w:bookmarkStart w:id="160" w:name="_Toc20823346"/>
      <w:bookmarkStart w:id="161" w:name="_Toc198284257"/>
      <w:bookmarkStart w:id="162" w:name="_Toc462564139"/>
      <w:bookmarkStart w:id="163" w:name="_Toc16938590"/>
      <w:bookmarkStart w:id="164" w:name="_Hlt16619369"/>
      <w:bookmarkStart w:id="165" w:name="_Hlt16619350"/>
      <w:r>
        <w:rPr>
          <w:color w:val="auto"/>
          <w:highlight w:val="none"/>
        </w:rPr>
        <w:br w:type="page" w:clear="all"/>
      </w:r>
    </w:p>
    <w:p w14:paraId="1F36AA56">
      <w:pPr>
        <w:pStyle w:val="3"/>
        <w:pageBreakBefore w:val="0"/>
        <w:kinsoku/>
        <w:wordWrap/>
        <w:overflowPunct/>
        <w:topLinePunct w:val="0"/>
        <w:autoSpaceDE/>
        <w:autoSpaceDN/>
        <w:bidi w:val="0"/>
        <w:adjustRightInd/>
        <w:snapToGrid/>
        <w:spacing w:line="348" w:lineRule="auto"/>
        <w:ind w:firstLine="3373" w:firstLineChars="1200"/>
        <w:jc w:val="both"/>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第</w:t>
      </w:r>
      <w:bookmarkEnd w:id="158"/>
      <w:r>
        <w:rPr>
          <w:rFonts w:hint="eastAsia"/>
          <w:color w:val="000000" w:themeColor="text1"/>
          <w:sz w:val="28"/>
          <w:szCs w:val="28"/>
          <w:highlight w:val="none"/>
          <w14:textFill>
            <w14:solidFill>
              <w14:schemeClr w14:val="tx1"/>
            </w14:solidFill>
          </w14:textFill>
        </w:rPr>
        <w:t>四章  采购需求</w:t>
      </w:r>
      <w:bookmarkEnd w:id="159"/>
      <w:bookmarkEnd w:id="160"/>
      <w:bookmarkEnd w:id="161"/>
      <w:bookmarkEnd w:id="162"/>
      <w:bookmarkEnd w:id="163"/>
      <w:bookmarkStart w:id="166" w:name="_Toc26554093"/>
      <w:bookmarkEnd w:id="166"/>
      <w:bookmarkStart w:id="167" w:name="_Toc49090575"/>
      <w:bookmarkEnd w:id="167"/>
    </w:p>
    <w:p w14:paraId="26380C84">
      <w:pPr>
        <w:pStyle w:val="27"/>
        <w:keepNext/>
        <w:keepLines/>
        <w:pageBreakBefore w:val="0"/>
        <w:kinsoku/>
        <w:wordWrap/>
        <w:overflowPunct/>
        <w:topLinePunct w:val="0"/>
        <w:autoSpaceDE/>
        <w:autoSpaceDN/>
        <w:bidi w:val="0"/>
        <w:adjustRightInd/>
        <w:snapToGrid/>
        <w:spacing w:before="145" w:beforeAutospacing="0" w:after="145" w:afterAutospacing="0" w:line="348" w:lineRule="auto"/>
        <w:ind w:firstLine="498"/>
        <w:jc w:val="both"/>
        <w:textAlignment w:val="auto"/>
        <w:rPr>
          <w:rFonts w:hint="eastAsia" w:eastAsiaTheme="minorEastAsia"/>
          <w:b/>
          <w:bCs/>
          <w:color w:val="auto"/>
          <w:highlight w:val="none"/>
          <w:lang w:val="en-US" w:eastAsia="zh-CN"/>
        </w:rPr>
      </w:pPr>
      <w:r>
        <w:rPr>
          <w:rFonts w:hint="eastAsia"/>
          <w:b/>
          <w:bCs/>
          <w:color w:val="auto"/>
          <w:highlight w:val="none"/>
        </w:rPr>
        <w:t>一、</w:t>
      </w:r>
      <w:r>
        <w:rPr>
          <w:rFonts w:hint="eastAsia" w:ascii="宋体" w:hAnsi="宋体" w:eastAsia="宋体" w:cs="宋体"/>
          <w:b/>
          <w:color w:val="auto"/>
          <w:highlight w:val="none"/>
        </w:rPr>
        <w:t>项目基本情况</w:t>
      </w:r>
    </w:p>
    <w:p w14:paraId="0229864A">
      <w:pPr>
        <w:pageBreakBefore w:val="0"/>
        <w:widowControl/>
        <w:kinsoku/>
        <w:wordWrap/>
        <w:overflowPunct/>
        <w:topLinePunct w:val="0"/>
        <w:autoSpaceDE/>
        <w:autoSpaceDN/>
        <w:bidi w:val="0"/>
        <w:adjustRightInd/>
        <w:snapToGrid/>
        <w:spacing w:line="348" w:lineRule="auto"/>
        <w:ind w:firstLine="48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项目名称</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射阳港经济开发区限值限量监测监控运维与环保管家服务项目</w:t>
      </w:r>
    </w:p>
    <w:p w14:paraId="1A597A0A">
      <w:pPr>
        <w:pageBreakBefore w:val="0"/>
        <w:widowControl/>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2、服务质量要求：合格（达到国家行业标准）</w:t>
      </w:r>
    </w:p>
    <w:p w14:paraId="6B5CEF65">
      <w:pPr>
        <w:pageBreakBefore w:val="0"/>
        <w:widowControl/>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shd w:val="clear" w:color="auto" w:fill="FFFFFF"/>
        </w:rPr>
        <w:t>合同履行期限：一年</w:t>
      </w:r>
    </w:p>
    <w:p w14:paraId="74D373C9">
      <w:pPr>
        <w:pageBreakBefore w:val="0"/>
        <w:widowControl/>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4、预算金额：</w:t>
      </w:r>
      <w:r>
        <w:rPr>
          <w:rFonts w:hint="eastAsia" w:ascii="宋体" w:hAnsi="宋体" w:eastAsia="宋体" w:cs="宋体"/>
          <w:color w:val="auto"/>
          <w:sz w:val="24"/>
          <w:highlight w:val="none"/>
          <w:lang w:val="en-US" w:eastAsia="zh-CN"/>
        </w:rPr>
        <w:t>140</w:t>
      </w:r>
      <w:r>
        <w:rPr>
          <w:rFonts w:hint="eastAsia" w:ascii="宋体" w:hAnsi="宋体" w:eastAsia="宋体" w:cs="宋体"/>
          <w:color w:val="auto"/>
          <w:sz w:val="24"/>
          <w:highlight w:val="none"/>
        </w:rPr>
        <w:t>万元</w:t>
      </w:r>
    </w:p>
    <w:p w14:paraId="110B3288">
      <w:pPr>
        <w:pageBreakBefore w:val="0"/>
        <w:widowControl/>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rPr>
      </w:pPr>
      <w:r>
        <w:rPr>
          <w:rFonts w:hint="eastAsia" w:ascii="Calibri" w:hAnsi="宋体" w:eastAsia="宋体" w:cs="宋体"/>
          <w:color w:val="auto"/>
          <w:sz w:val="24"/>
          <w:highlight w:val="none"/>
        </w:rPr>
        <w:t>5、</w:t>
      </w:r>
      <w:r>
        <w:rPr>
          <w:rFonts w:hint="eastAsia" w:ascii="宋体" w:hAnsi="宋体" w:eastAsia="宋体" w:cs="宋体"/>
          <w:color w:val="auto"/>
          <w:sz w:val="24"/>
          <w:highlight w:val="none"/>
        </w:rPr>
        <w:t>最高限价：</w:t>
      </w:r>
      <w:r>
        <w:rPr>
          <w:rFonts w:hint="eastAsia" w:ascii="宋体" w:hAnsi="宋体" w:eastAsia="宋体" w:cs="宋体"/>
          <w:color w:val="auto"/>
          <w:sz w:val="24"/>
          <w:highlight w:val="none"/>
          <w:lang w:val="en-US" w:eastAsia="zh-CN"/>
        </w:rPr>
        <w:t>140</w:t>
      </w:r>
      <w:r>
        <w:rPr>
          <w:rFonts w:hint="eastAsia" w:ascii="宋体" w:hAnsi="宋体" w:eastAsia="宋体" w:cs="宋体"/>
          <w:color w:val="auto"/>
          <w:sz w:val="24"/>
          <w:highlight w:val="none"/>
        </w:rPr>
        <w:t>万元</w:t>
      </w:r>
    </w:p>
    <w:p w14:paraId="0C9417FF">
      <w:pPr>
        <w:pageBreakBefore w:val="0"/>
        <w:widowControl/>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rPr>
      </w:pPr>
      <w:r>
        <w:rPr>
          <w:rFonts w:hint="eastAsia" w:ascii="Calibri" w:hAnsi="宋体" w:eastAsia="宋体" w:cs="宋体"/>
          <w:color w:val="auto"/>
          <w:sz w:val="24"/>
          <w:highlight w:val="none"/>
        </w:rPr>
        <w:t>6</w:t>
      </w:r>
      <w:r>
        <w:rPr>
          <w:rFonts w:hint="eastAsia" w:ascii="宋体" w:hAnsi="宋体" w:eastAsia="宋体" w:cs="宋体"/>
          <w:color w:val="auto"/>
          <w:sz w:val="24"/>
          <w:highlight w:val="none"/>
        </w:rPr>
        <w:t>、采购方式：竞争性磋商</w:t>
      </w:r>
    </w:p>
    <w:p w14:paraId="7C35F45B">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b/>
          <w:bCs/>
          <w:color w:val="auto"/>
          <w:highlight w:val="none"/>
        </w:rPr>
      </w:pPr>
      <w:r>
        <w:rPr>
          <w:rFonts w:hint="eastAsia" w:ascii="Calibri" w:hAnsi="宋体" w:eastAsia="宋体" w:cs="宋体"/>
          <w:color w:val="auto"/>
          <w:highlight w:val="none"/>
        </w:rPr>
        <w:t>7</w:t>
      </w:r>
      <w:r>
        <w:rPr>
          <w:rFonts w:hint="eastAsia" w:ascii="宋体" w:hAnsi="宋体" w:eastAsia="宋体" w:cs="宋体"/>
          <w:color w:val="auto"/>
          <w:highlight w:val="none"/>
        </w:rPr>
        <w:t>、评标方法：综合评分法</w:t>
      </w:r>
    </w:p>
    <w:p w14:paraId="6D279C1E">
      <w:pPr>
        <w:keepNext w:val="0"/>
        <w:keepLines w:val="0"/>
        <w:pageBreakBefore w:val="0"/>
        <w:widowControl w:val="0"/>
        <w:kinsoku/>
        <w:wordWrap/>
        <w:overflowPunct/>
        <w:topLinePunct w:val="0"/>
        <w:autoSpaceDE/>
        <w:autoSpaceDN/>
        <w:bidi w:val="0"/>
        <w:adjustRightInd/>
        <w:snapToGrid/>
        <w:spacing w:line="348" w:lineRule="auto"/>
        <w:ind w:left="0" w:leftChars="0" w:firstLine="482" w:firstLineChars="200"/>
        <w:textAlignment w:val="auto"/>
        <w:rPr>
          <w:rFonts w:hint="default" w:ascii="宋体" w:hAnsi="宋体" w:eastAsia="宋体" w:cs="宋体"/>
          <w:b/>
          <w:bCs/>
          <w:sz w:val="24"/>
          <w:lang w:val="en-US" w:eastAsia="zh-CN"/>
        </w:rPr>
      </w:pPr>
      <w:bookmarkStart w:id="168" w:name="_Toc120614281"/>
      <w:bookmarkStart w:id="169" w:name="_Toc198284258"/>
      <w:r>
        <w:rPr>
          <w:rFonts w:hint="eastAsia" w:ascii="宋体" w:hAnsi="宋体" w:cs="宋体"/>
          <w:b/>
          <w:sz w:val="24"/>
          <w:lang w:val="en-US" w:eastAsia="zh-CN"/>
        </w:rPr>
        <w:t>二</w:t>
      </w:r>
      <w:r>
        <w:rPr>
          <w:rFonts w:hint="eastAsia" w:ascii="宋体" w:hAnsi="宋体" w:cs="宋体"/>
          <w:b/>
          <w:sz w:val="24"/>
        </w:rPr>
        <w:t>、</w:t>
      </w:r>
      <w:r>
        <w:rPr>
          <w:rFonts w:hint="eastAsia" w:ascii="宋体" w:hAnsi="宋体" w:cs="宋体"/>
          <w:b/>
          <w:bCs/>
          <w:sz w:val="24"/>
          <w:lang w:val="en-US" w:eastAsia="zh-CN"/>
        </w:rPr>
        <w:t>项目概况</w:t>
      </w:r>
    </w:p>
    <w:p w14:paraId="5CBF6658">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eastAsia" w:ascii="宋体" w:hAnsi="宋体" w:eastAsia="宋体" w:cs="宋体"/>
          <w:sz w:val="24"/>
        </w:rPr>
      </w:pPr>
      <w:r>
        <w:rPr>
          <w:rFonts w:hint="eastAsia" w:ascii="宋体" w:hAnsi="宋体" w:eastAsia="宋体" w:cs="宋体"/>
          <w:sz w:val="24"/>
        </w:rPr>
        <w:t>为保证射阳港经济开发区限值限量监测监控体系高质量运行，及时、准确、全面地获取环境质量监测数据，客观反映园区空气、水环境质量状况和变化趋势，根据国家及地方相关技术规范要求，现提出本项目采购需求。项目服务期为</w:t>
      </w:r>
      <w:r>
        <w:rPr>
          <w:rFonts w:hint="default" w:ascii="Times New Roman" w:hAnsi="Times New Roman" w:eastAsia="宋体" w:cs="Times New Roman"/>
          <w:sz w:val="24"/>
        </w:rPr>
        <w:t>12</w:t>
      </w:r>
      <w:r>
        <w:rPr>
          <w:rFonts w:hint="eastAsia" w:ascii="宋体" w:hAnsi="宋体" w:eastAsia="宋体" w:cs="宋体"/>
          <w:sz w:val="24"/>
        </w:rPr>
        <w:t>个月，主要内容包括：对园区内</w:t>
      </w:r>
      <w:r>
        <w:rPr>
          <w:rFonts w:hint="eastAsia" w:ascii="Times New Roman" w:hAnsi="Times New Roman" w:eastAsia="宋体" w:cs="Times New Roman"/>
          <w:sz w:val="24"/>
        </w:rPr>
        <w:t>2</w:t>
      </w:r>
      <w:r>
        <w:rPr>
          <w:rFonts w:hint="eastAsia" w:ascii="宋体" w:hAnsi="宋体" w:eastAsia="宋体" w:cs="宋体"/>
          <w:sz w:val="24"/>
        </w:rPr>
        <w:t>套</w:t>
      </w:r>
      <w:r>
        <w:rPr>
          <w:rFonts w:hint="eastAsia" w:ascii="宋体" w:hAnsi="宋体" w:cs="宋体"/>
          <w:sz w:val="24"/>
          <w:lang w:val="en-US" w:eastAsia="zh-CN"/>
        </w:rPr>
        <w:t>环境</w:t>
      </w:r>
      <w:r>
        <w:rPr>
          <w:rFonts w:hint="eastAsia" w:ascii="宋体" w:hAnsi="宋体" w:eastAsia="宋体" w:cs="宋体"/>
          <w:sz w:val="24"/>
        </w:rPr>
        <w:t>空气质量</w:t>
      </w:r>
      <w:r>
        <w:rPr>
          <w:rFonts w:hint="eastAsia" w:ascii="宋体" w:hAnsi="宋体" w:cs="宋体"/>
          <w:sz w:val="24"/>
          <w:lang w:val="en-US" w:eastAsia="zh-CN"/>
        </w:rPr>
        <w:t>自动监测</w:t>
      </w:r>
      <w:r>
        <w:rPr>
          <w:rFonts w:hint="eastAsia" w:ascii="宋体" w:hAnsi="宋体" w:eastAsia="宋体" w:cs="宋体"/>
          <w:sz w:val="24"/>
        </w:rPr>
        <w:t>站、</w:t>
      </w:r>
      <w:r>
        <w:rPr>
          <w:rFonts w:hint="eastAsia" w:ascii="Times New Roman" w:hAnsi="Times New Roman" w:eastAsia="宋体" w:cs="Times New Roman"/>
          <w:sz w:val="24"/>
        </w:rPr>
        <w:t>2</w:t>
      </w:r>
      <w:r>
        <w:rPr>
          <w:rFonts w:hint="eastAsia" w:ascii="宋体" w:hAnsi="宋体" w:eastAsia="宋体" w:cs="宋体"/>
          <w:sz w:val="24"/>
        </w:rPr>
        <w:t>套水质自动在线监测设备、</w:t>
      </w:r>
      <w:r>
        <w:rPr>
          <w:rFonts w:hint="eastAsia" w:ascii="Times New Roman" w:hAnsi="Times New Roman" w:eastAsia="宋体" w:cs="Times New Roman"/>
          <w:sz w:val="24"/>
        </w:rPr>
        <w:t>2</w:t>
      </w:r>
      <w:r>
        <w:rPr>
          <w:rFonts w:hint="eastAsia" w:ascii="宋体" w:hAnsi="宋体" w:eastAsia="宋体" w:cs="宋体"/>
          <w:sz w:val="24"/>
        </w:rPr>
        <w:t>套挥发性有机物监测系统、</w:t>
      </w:r>
      <w:r>
        <w:rPr>
          <w:rFonts w:hint="eastAsia" w:ascii="Times New Roman" w:hAnsi="Times New Roman" w:eastAsia="宋体" w:cs="Times New Roman"/>
          <w:sz w:val="24"/>
        </w:rPr>
        <w:t>3</w:t>
      </w:r>
      <w:r>
        <w:rPr>
          <w:rFonts w:hint="eastAsia" w:ascii="Times New Roman" w:hAnsi="Times New Roman" w:eastAsia="宋体" w:cs="Times New Roman"/>
          <w:sz w:val="24"/>
          <w:lang w:val="en-US" w:eastAsia="zh-CN"/>
        </w:rPr>
        <w:t>8</w:t>
      </w:r>
      <w:r>
        <w:rPr>
          <w:rFonts w:hint="eastAsia" w:ascii="宋体" w:hAnsi="宋体" w:eastAsia="宋体" w:cs="宋体"/>
          <w:sz w:val="24"/>
        </w:rPr>
        <w:t>套微型空气站开展日常运行、维护、巡检、故障检修及数据审核上报工作</w:t>
      </w:r>
      <w:r>
        <w:rPr>
          <w:rFonts w:hint="eastAsia" w:ascii="宋体" w:hAnsi="宋体" w:cs="宋体"/>
          <w:sz w:val="24"/>
          <w:lang w:eastAsia="zh-CN"/>
        </w:rPr>
        <w:t>（</w:t>
      </w:r>
      <w:r>
        <w:rPr>
          <w:rFonts w:hint="eastAsia" w:ascii="宋体" w:hAnsi="宋体" w:eastAsia="宋体"/>
          <w:color w:val="auto"/>
          <w:sz w:val="24"/>
          <w:highlight w:val="none"/>
        </w:rPr>
        <w:t>仪器清单见附件</w:t>
      </w:r>
      <w:r>
        <w:rPr>
          <w:rFonts w:hint="eastAsia" w:ascii="宋体" w:hAnsi="宋体"/>
          <w:color w:val="auto"/>
          <w:sz w:val="24"/>
          <w:highlight w:val="none"/>
          <w:lang w:eastAsia="zh-CN"/>
        </w:rPr>
        <w:t>）</w:t>
      </w:r>
      <w:r>
        <w:rPr>
          <w:rFonts w:hint="eastAsia" w:ascii="宋体" w:hAnsi="宋体" w:eastAsia="宋体" w:cs="宋体"/>
          <w:sz w:val="24"/>
        </w:rPr>
        <w:t>；对监控平台、监控大屏及服务器进行运维管理；对部分损坏设备进行更换，确保设备完好率达到</w:t>
      </w:r>
      <w:r>
        <w:rPr>
          <w:rFonts w:hint="eastAsia" w:ascii="Times New Roman" w:hAnsi="Times New Roman" w:eastAsia="宋体" w:cs="Times New Roman"/>
          <w:sz w:val="24"/>
        </w:rPr>
        <w:t>100%</w:t>
      </w:r>
      <w:r>
        <w:rPr>
          <w:rFonts w:hint="eastAsia" w:ascii="宋体" w:hAnsi="宋体" w:eastAsia="宋体" w:cs="宋体"/>
          <w:sz w:val="24"/>
        </w:rPr>
        <w:t>；同时提供环保管家服务。</w:t>
      </w:r>
    </w:p>
    <w:p w14:paraId="19135A09">
      <w:pPr>
        <w:pageBreakBefore w:val="0"/>
        <w:kinsoku/>
        <w:wordWrap/>
        <w:overflowPunct/>
        <w:topLinePunct w:val="0"/>
        <w:autoSpaceDE/>
        <w:autoSpaceDN/>
        <w:bidi w:val="0"/>
        <w:adjustRightInd/>
        <w:snapToGrid/>
        <w:spacing w:line="348" w:lineRule="auto"/>
        <w:ind w:firstLine="480"/>
        <w:jc w:val="center"/>
        <w:textAlignment w:val="auto"/>
        <w:rPr>
          <w:rFonts w:hint="eastAsia" w:ascii="宋体" w:hAnsi="宋体" w:eastAsia="宋体"/>
          <w:color w:val="0000FF"/>
          <w:sz w:val="24"/>
          <w:highlight w:val="none"/>
          <w:lang w:eastAsia="zh-CN"/>
        </w:rPr>
      </w:pPr>
      <w:r>
        <w:rPr>
          <w:rFonts w:hint="eastAsia" w:ascii="宋体" w:hAnsi="宋体" w:eastAsia="宋体"/>
          <w:color w:val="0000FF"/>
          <w:sz w:val="24"/>
          <w:highlight w:val="none"/>
        </w:rPr>
        <w:t>监测设备清单及需求</w:t>
      </w:r>
      <w:r>
        <w:rPr>
          <w:rFonts w:hint="eastAsia" w:ascii="宋体" w:hAnsi="宋体"/>
          <w:color w:val="0000FF"/>
          <w:sz w:val="24"/>
          <w:highlight w:val="none"/>
          <w:lang w:eastAsia="zh-CN"/>
        </w:rPr>
        <w:t>（</w:t>
      </w:r>
      <w:r>
        <w:rPr>
          <w:rFonts w:hint="eastAsia" w:ascii="宋体" w:hAnsi="宋体" w:cs="宋体"/>
          <w:b/>
          <w:color w:val="0000FF"/>
          <w:sz w:val="18"/>
          <w:szCs w:val="18"/>
          <w:lang w:val="en-US" w:eastAsia="zh-CN"/>
        </w:rPr>
        <w:t>以下设备2022年投入使用</w:t>
      </w:r>
      <w:r>
        <w:rPr>
          <w:rFonts w:hint="eastAsia" w:ascii="宋体" w:hAnsi="宋体"/>
          <w:color w:val="0000FF"/>
          <w:sz w:val="24"/>
          <w:highlight w:val="none"/>
          <w:lang w:eastAsia="zh-CN"/>
        </w:rPr>
        <w:t>）</w:t>
      </w:r>
    </w:p>
    <w:tbl>
      <w:tblPr>
        <w:tblStyle w:val="32"/>
        <w:tblW w:w="0" w:type="auto"/>
        <w:jc w:val="center"/>
        <w:tblLayout w:type="autofit"/>
        <w:tblCellMar>
          <w:top w:w="0" w:type="dxa"/>
          <w:left w:w="108" w:type="dxa"/>
          <w:bottom w:w="0" w:type="dxa"/>
          <w:right w:w="108" w:type="dxa"/>
        </w:tblCellMar>
      </w:tblPr>
      <w:tblGrid>
        <w:gridCol w:w="696"/>
        <w:gridCol w:w="2911"/>
        <w:gridCol w:w="3964"/>
        <w:gridCol w:w="696"/>
        <w:gridCol w:w="696"/>
      </w:tblGrid>
      <w:tr w14:paraId="0F38730D">
        <w:tblPrEx>
          <w:tblCellMar>
            <w:top w:w="0" w:type="dxa"/>
            <w:left w:w="108" w:type="dxa"/>
            <w:bottom w:w="0" w:type="dxa"/>
            <w:right w:w="108" w:type="dxa"/>
          </w:tblCellMar>
        </w:tblPrEx>
        <w:trPr>
          <w:trHeight w:val="802"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77A4C17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序号</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5D4638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设备名称</w:t>
            </w:r>
          </w:p>
        </w:tc>
        <w:tc>
          <w:tcPr>
            <w:tcW w:w="3964" w:type="dxa"/>
            <w:tcBorders>
              <w:top w:val="single" w:color="auto" w:sz="4" w:space="0"/>
              <w:left w:val="single" w:color="auto" w:sz="4" w:space="0"/>
              <w:bottom w:val="single" w:color="auto" w:sz="4" w:space="0"/>
              <w:right w:val="single" w:color="auto" w:sz="4" w:space="0"/>
            </w:tcBorders>
            <w:noWrap w:val="0"/>
            <w:vAlign w:val="center"/>
          </w:tcPr>
          <w:p w14:paraId="440321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ascii="宋体" w:hAnsi="宋体" w:eastAsia="宋体" w:cs="宋体"/>
                <w:color w:val="0000FF"/>
                <w:sz w:val="24"/>
                <w:szCs w:val="24"/>
                <w:highlight w:val="none"/>
                <w:lang w:eastAsia="zh-CN"/>
              </w:rPr>
            </w:pPr>
            <w:r>
              <w:rPr>
                <w:rFonts w:hint="eastAsia" w:ascii="宋体" w:hAnsi="宋体" w:cs="宋体"/>
                <w:color w:val="0000FF"/>
                <w:sz w:val="24"/>
                <w:szCs w:val="24"/>
                <w:highlight w:val="none"/>
              </w:rPr>
              <w:t>技术指标</w:t>
            </w:r>
            <w:r>
              <w:rPr>
                <w:rFonts w:hint="eastAsia" w:ascii="宋体" w:hAnsi="宋体" w:cs="宋体"/>
                <w:color w:val="0000FF"/>
                <w:sz w:val="24"/>
                <w:szCs w:val="24"/>
                <w:highlight w:val="none"/>
                <w:lang w:eastAsia="zh-CN"/>
              </w:rPr>
              <w:t>（</w:t>
            </w:r>
            <w:r>
              <w:rPr>
                <w:rFonts w:hint="eastAsia" w:ascii="宋体" w:hAnsi="宋体" w:cs="宋体"/>
                <w:color w:val="0000FF"/>
                <w:sz w:val="24"/>
                <w:szCs w:val="24"/>
                <w:highlight w:val="none"/>
                <w:lang w:val="en-US" w:eastAsia="zh-CN"/>
              </w:rPr>
              <w:t>厂家、型号</w:t>
            </w:r>
            <w:r>
              <w:rPr>
                <w:rFonts w:hint="eastAsia" w:ascii="宋体" w:hAnsi="宋体" w:cs="宋体"/>
                <w:color w:val="0000FF"/>
                <w:sz w:val="24"/>
                <w:szCs w:val="24"/>
                <w:highlight w:val="none"/>
                <w:lang w:eastAsia="zh-CN"/>
              </w:rPr>
              <w:t>）</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01B1C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单位</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403AA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数量</w:t>
            </w:r>
          </w:p>
        </w:tc>
      </w:tr>
      <w:tr w14:paraId="0E59D75B">
        <w:tblPrEx>
          <w:tblCellMar>
            <w:top w:w="0" w:type="dxa"/>
            <w:left w:w="108" w:type="dxa"/>
            <w:bottom w:w="0" w:type="dxa"/>
            <w:right w:w="108" w:type="dxa"/>
          </w:tblCellMar>
        </w:tblPrEx>
        <w:trPr>
          <w:trHeight w:val="642"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1141B2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1</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45DE96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SO</w:t>
            </w:r>
            <w:r>
              <w:rPr>
                <w:rFonts w:hint="eastAsia" w:ascii="宋体" w:hAnsi="宋体" w:cs="宋体"/>
                <w:color w:val="0000FF"/>
                <w:sz w:val="24"/>
                <w:szCs w:val="24"/>
                <w:highlight w:val="none"/>
                <w:vertAlign w:val="subscript"/>
              </w:rPr>
              <w:t>2</w:t>
            </w:r>
            <w:r>
              <w:rPr>
                <w:rFonts w:hint="eastAsia" w:ascii="宋体" w:hAnsi="宋体" w:cs="宋体"/>
                <w:color w:val="0000FF"/>
                <w:sz w:val="24"/>
                <w:szCs w:val="24"/>
                <w:highlight w:val="none"/>
              </w:rPr>
              <w:t>分析仪</w:t>
            </w:r>
          </w:p>
        </w:tc>
        <w:tc>
          <w:tcPr>
            <w:tcW w:w="3964" w:type="dxa"/>
            <w:tcBorders>
              <w:top w:val="single" w:color="auto" w:sz="4" w:space="0"/>
              <w:left w:val="single" w:color="auto" w:sz="4" w:space="0"/>
              <w:bottom w:val="single" w:color="auto" w:sz="4" w:space="0"/>
              <w:right w:val="single" w:color="auto" w:sz="4" w:space="0"/>
            </w:tcBorders>
            <w:noWrap w:val="0"/>
            <w:vAlign w:val="center"/>
          </w:tcPr>
          <w:p w14:paraId="635B73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lang w:val="en-US"/>
              </w:rPr>
            </w:pPr>
            <w:r>
              <w:rPr>
                <w:rFonts w:hint="eastAsia" w:ascii="宋体" w:hAnsi="宋体" w:cs="宋体"/>
                <w:color w:val="0000FF"/>
                <w:sz w:val="24"/>
                <w:szCs w:val="24"/>
                <w:highlight w:val="none"/>
                <w:lang w:val="en-US" w:eastAsia="zh-CN"/>
              </w:rPr>
              <w:t>安徽皖仪科技股份有限公司、AQ7010</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53B9C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台</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5381BB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03DC19DE">
        <w:tblPrEx>
          <w:tblCellMar>
            <w:top w:w="0" w:type="dxa"/>
            <w:left w:w="108" w:type="dxa"/>
            <w:bottom w:w="0" w:type="dxa"/>
            <w:right w:w="108" w:type="dxa"/>
          </w:tblCellMar>
        </w:tblPrEx>
        <w:trPr>
          <w:trHeight w:val="32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1BBA79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c>
          <w:tcPr>
            <w:tcW w:w="2911" w:type="dxa"/>
            <w:tcBorders>
              <w:top w:val="single" w:color="auto" w:sz="4" w:space="0"/>
              <w:left w:val="nil"/>
              <w:bottom w:val="single" w:color="auto" w:sz="4" w:space="0"/>
              <w:right w:val="single" w:color="auto" w:sz="4" w:space="0"/>
            </w:tcBorders>
            <w:noWrap w:val="0"/>
            <w:vAlign w:val="center"/>
          </w:tcPr>
          <w:p w14:paraId="7CB09E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NO</w:t>
            </w:r>
            <w:r>
              <w:rPr>
                <w:rFonts w:hint="eastAsia" w:ascii="宋体" w:hAnsi="宋体" w:cs="宋体"/>
                <w:color w:val="0000FF"/>
                <w:sz w:val="24"/>
                <w:szCs w:val="24"/>
                <w:highlight w:val="none"/>
                <w:vertAlign w:val="subscript"/>
              </w:rPr>
              <w:t>X</w:t>
            </w:r>
            <w:r>
              <w:rPr>
                <w:rFonts w:hint="eastAsia" w:ascii="宋体" w:hAnsi="宋体" w:cs="宋体"/>
                <w:color w:val="0000FF"/>
                <w:sz w:val="24"/>
                <w:szCs w:val="24"/>
                <w:highlight w:val="none"/>
              </w:rPr>
              <w:t>分析仪</w:t>
            </w:r>
          </w:p>
        </w:tc>
        <w:tc>
          <w:tcPr>
            <w:tcW w:w="3964" w:type="dxa"/>
            <w:tcBorders>
              <w:top w:val="single" w:color="auto" w:sz="4" w:space="0"/>
              <w:left w:val="single" w:color="auto" w:sz="4" w:space="0"/>
              <w:bottom w:val="single" w:color="auto" w:sz="4" w:space="0"/>
              <w:right w:val="single" w:color="auto" w:sz="4" w:space="0"/>
            </w:tcBorders>
            <w:noWrap w:val="0"/>
            <w:vAlign w:val="center"/>
          </w:tcPr>
          <w:p w14:paraId="38C081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lang w:val="en-US"/>
              </w:rPr>
            </w:pPr>
            <w:r>
              <w:rPr>
                <w:rFonts w:hint="eastAsia" w:ascii="宋体" w:hAnsi="宋体" w:cs="宋体"/>
                <w:color w:val="0000FF"/>
                <w:sz w:val="24"/>
                <w:szCs w:val="24"/>
                <w:highlight w:val="none"/>
                <w:lang w:val="en-US" w:eastAsia="zh-CN"/>
              </w:rPr>
              <w:t>安徽皖仪科技股份有限公司、AQ7020</w:t>
            </w:r>
          </w:p>
        </w:tc>
        <w:tc>
          <w:tcPr>
            <w:tcW w:w="0" w:type="auto"/>
            <w:tcBorders>
              <w:top w:val="single" w:color="auto" w:sz="4" w:space="0"/>
              <w:left w:val="nil"/>
              <w:bottom w:val="single" w:color="auto" w:sz="4" w:space="0"/>
              <w:right w:val="single" w:color="auto" w:sz="4" w:space="0"/>
            </w:tcBorders>
            <w:noWrap w:val="0"/>
            <w:vAlign w:val="center"/>
          </w:tcPr>
          <w:p w14:paraId="24551D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台</w:t>
            </w:r>
          </w:p>
        </w:tc>
        <w:tc>
          <w:tcPr>
            <w:tcW w:w="0" w:type="auto"/>
            <w:tcBorders>
              <w:top w:val="single" w:color="auto" w:sz="4" w:space="0"/>
              <w:left w:val="nil"/>
              <w:bottom w:val="single" w:color="auto" w:sz="4" w:space="0"/>
              <w:right w:val="single" w:color="auto" w:sz="4" w:space="0"/>
            </w:tcBorders>
            <w:noWrap w:val="0"/>
            <w:vAlign w:val="center"/>
          </w:tcPr>
          <w:p w14:paraId="3963E0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23F2980A">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345A73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3</w:t>
            </w:r>
          </w:p>
        </w:tc>
        <w:tc>
          <w:tcPr>
            <w:tcW w:w="2911" w:type="dxa"/>
            <w:tcBorders>
              <w:top w:val="nil"/>
              <w:left w:val="nil"/>
              <w:bottom w:val="single" w:color="auto" w:sz="4" w:space="0"/>
              <w:right w:val="single" w:color="auto" w:sz="4" w:space="0"/>
            </w:tcBorders>
            <w:noWrap w:val="0"/>
            <w:vAlign w:val="center"/>
          </w:tcPr>
          <w:p w14:paraId="0EE113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CO分析仪</w:t>
            </w:r>
          </w:p>
        </w:tc>
        <w:tc>
          <w:tcPr>
            <w:tcW w:w="3964" w:type="dxa"/>
            <w:tcBorders>
              <w:top w:val="nil"/>
              <w:left w:val="single" w:color="auto" w:sz="4" w:space="0"/>
              <w:bottom w:val="single" w:color="auto" w:sz="4" w:space="0"/>
              <w:right w:val="single" w:color="auto" w:sz="4" w:space="0"/>
            </w:tcBorders>
            <w:noWrap w:val="0"/>
            <w:vAlign w:val="center"/>
          </w:tcPr>
          <w:p w14:paraId="0E26E4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lang w:val="en-US" w:eastAsia="zh-CN"/>
              </w:rPr>
              <w:t>安徽皖仪科技股份有限公司、AQ7030</w:t>
            </w:r>
          </w:p>
        </w:tc>
        <w:tc>
          <w:tcPr>
            <w:tcW w:w="0" w:type="auto"/>
            <w:tcBorders>
              <w:top w:val="nil"/>
              <w:left w:val="nil"/>
              <w:bottom w:val="single" w:color="auto" w:sz="4" w:space="0"/>
              <w:right w:val="single" w:color="auto" w:sz="4" w:space="0"/>
            </w:tcBorders>
            <w:noWrap w:val="0"/>
            <w:vAlign w:val="center"/>
          </w:tcPr>
          <w:p w14:paraId="241F8E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台</w:t>
            </w:r>
          </w:p>
        </w:tc>
        <w:tc>
          <w:tcPr>
            <w:tcW w:w="0" w:type="auto"/>
            <w:tcBorders>
              <w:top w:val="nil"/>
              <w:left w:val="nil"/>
              <w:bottom w:val="single" w:color="auto" w:sz="4" w:space="0"/>
              <w:right w:val="single" w:color="auto" w:sz="4" w:space="0"/>
            </w:tcBorders>
            <w:noWrap w:val="0"/>
            <w:vAlign w:val="center"/>
          </w:tcPr>
          <w:p w14:paraId="75BA23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114EDBC3">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12B414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4</w:t>
            </w:r>
          </w:p>
        </w:tc>
        <w:tc>
          <w:tcPr>
            <w:tcW w:w="2911" w:type="dxa"/>
            <w:tcBorders>
              <w:top w:val="single" w:color="auto" w:sz="4" w:space="0"/>
              <w:left w:val="nil"/>
              <w:bottom w:val="single" w:color="auto" w:sz="4" w:space="0"/>
              <w:right w:val="single" w:color="auto" w:sz="4" w:space="0"/>
            </w:tcBorders>
            <w:noWrap w:val="0"/>
            <w:vAlign w:val="center"/>
          </w:tcPr>
          <w:p w14:paraId="11CE7E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O3分析仪</w:t>
            </w:r>
          </w:p>
        </w:tc>
        <w:tc>
          <w:tcPr>
            <w:tcW w:w="3964" w:type="dxa"/>
            <w:tcBorders>
              <w:top w:val="single" w:color="auto" w:sz="4" w:space="0"/>
              <w:left w:val="single" w:color="auto" w:sz="4" w:space="0"/>
              <w:bottom w:val="single" w:color="auto" w:sz="4" w:space="0"/>
              <w:right w:val="single" w:color="auto" w:sz="4" w:space="0"/>
            </w:tcBorders>
            <w:noWrap w:val="0"/>
            <w:vAlign w:val="center"/>
          </w:tcPr>
          <w:p w14:paraId="093C19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lang w:val="en-US"/>
              </w:rPr>
            </w:pPr>
            <w:r>
              <w:rPr>
                <w:rFonts w:hint="eastAsia" w:ascii="宋体" w:hAnsi="宋体" w:cs="宋体"/>
                <w:color w:val="0000FF"/>
                <w:sz w:val="24"/>
                <w:szCs w:val="24"/>
                <w:highlight w:val="none"/>
                <w:lang w:val="en-US" w:eastAsia="zh-CN"/>
              </w:rPr>
              <w:t>安徽皖仪科技股份有限公司、AQ7040</w:t>
            </w:r>
          </w:p>
        </w:tc>
        <w:tc>
          <w:tcPr>
            <w:tcW w:w="0" w:type="auto"/>
            <w:tcBorders>
              <w:top w:val="nil"/>
              <w:left w:val="nil"/>
              <w:bottom w:val="single" w:color="auto" w:sz="4" w:space="0"/>
              <w:right w:val="single" w:color="auto" w:sz="4" w:space="0"/>
            </w:tcBorders>
            <w:noWrap w:val="0"/>
            <w:vAlign w:val="center"/>
          </w:tcPr>
          <w:p w14:paraId="666FAC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台</w:t>
            </w:r>
          </w:p>
        </w:tc>
        <w:tc>
          <w:tcPr>
            <w:tcW w:w="0" w:type="auto"/>
            <w:tcBorders>
              <w:top w:val="nil"/>
              <w:left w:val="nil"/>
              <w:bottom w:val="single" w:color="auto" w:sz="4" w:space="0"/>
              <w:right w:val="single" w:color="auto" w:sz="4" w:space="0"/>
            </w:tcBorders>
            <w:noWrap w:val="0"/>
            <w:vAlign w:val="center"/>
          </w:tcPr>
          <w:p w14:paraId="73CC54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6FAA5385">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0FD38B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5</w:t>
            </w:r>
          </w:p>
        </w:tc>
        <w:tc>
          <w:tcPr>
            <w:tcW w:w="2911" w:type="dxa"/>
            <w:tcBorders>
              <w:top w:val="nil"/>
              <w:left w:val="nil"/>
              <w:bottom w:val="single" w:color="auto" w:sz="4" w:space="0"/>
              <w:right w:val="single" w:color="auto" w:sz="4" w:space="0"/>
            </w:tcBorders>
            <w:noWrap w:val="0"/>
            <w:vAlign w:val="center"/>
          </w:tcPr>
          <w:p w14:paraId="7BE243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VOC分析仪（高低碳）</w:t>
            </w:r>
          </w:p>
        </w:tc>
        <w:tc>
          <w:tcPr>
            <w:tcW w:w="3964" w:type="dxa"/>
            <w:tcBorders>
              <w:top w:val="nil"/>
              <w:left w:val="single" w:color="auto" w:sz="4" w:space="0"/>
              <w:bottom w:val="single" w:color="auto" w:sz="4" w:space="0"/>
              <w:right w:val="single" w:color="auto" w:sz="4" w:space="0"/>
            </w:tcBorders>
            <w:noWrap w:val="0"/>
            <w:vAlign w:val="center"/>
          </w:tcPr>
          <w:p w14:paraId="4191FA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lang w:val="en-US"/>
              </w:rPr>
            </w:pPr>
            <w:r>
              <w:rPr>
                <w:rFonts w:hint="eastAsia" w:ascii="宋体" w:hAnsi="宋体" w:cs="宋体"/>
                <w:color w:val="0000FF"/>
                <w:sz w:val="24"/>
                <w:szCs w:val="24"/>
                <w:highlight w:val="none"/>
                <w:lang w:val="en-US" w:eastAsia="zh-CN"/>
              </w:rPr>
              <w:t>安徽皖仪科技股份有限公司、VM1750</w:t>
            </w:r>
          </w:p>
        </w:tc>
        <w:tc>
          <w:tcPr>
            <w:tcW w:w="0" w:type="auto"/>
            <w:tcBorders>
              <w:top w:val="nil"/>
              <w:left w:val="nil"/>
              <w:bottom w:val="single" w:color="auto" w:sz="4" w:space="0"/>
              <w:right w:val="single" w:color="auto" w:sz="4" w:space="0"/>
            </w:tcBorders>
            <w:noWrap w:val="0"/>
            <w:vAlign w:val="center"/>
          </w:tcPr>
          <w:p w14:paraId="0F09FB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台</w:t>
            </w:r>
          </w:p>
        </w:tc>
        <w:tc>
          <w:tcPr>
            <w:tcW w:w="0" w:type="auto"/>
            <w:tcBorders>
              <w:top w:val="nil"/>
              <w:left w:val="nil"/>
              <w:bottom w:val="single" w:color="auto" w:sz="4" w:space="0"/>
              <w:right w:val="single" w:color="auto" w:sz="4" w:space="0"/>
            </w:tcBorders>
            <w:noWrap w:val="0"/>
            <w:vAlign w:val="center"/>
          </w:tcPr>
          <w:p w14:paraId="2AE00B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23F4F8F5">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4AB0F6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6</w:t>
            </w:r>
          </w:p>
        </w:tc>
        <w:tc>
          <w:tcPr>
            <w:tcW w:w="2911" w:type="dxa"/>
            <w:tcBorders>
              <w:top w:val="nil"/>
              <w:left w:val="nil"/>
              <w:bottom w:val="single" w:color="auto" w:sz="4" w:space="0"/>
              <w:right w:val="single" w:color="auto" w:sz="4" w:space="0"/>
            </w:tcBorders>
            <w:noWrap w:val="0"/>
            <w:vAlign w:val="center"/>
          </w:tcPr>
          <w:p w14:paraId="12D49C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PM10颗粒物分析仪</w:t>
            </w:r>
          </w:p>
        </w:tc>
        <w:tc>
          <w:tcPr>
            <w:tcW w:w="3964" w:type="dxa"/>
            <w:tcBorders>
              <w:top w:val="nil"/>
              <w:left w:val="single" w:color="auto" w:sz="4" w:space="0"/>
              <w:bottom w:val="single" w:color="auto" w:sz="4" w:space="0"/>
              <w:right w:val="single" w:color="auto" w:sz="4" w:space="0"/>
            </w:tcBorders>
            <w:noWrap w:val="0"/>
            <w:vAlign w:val="center"/>
          </w:tcPr>
          <w:p w14:paraId="0FEACA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lang w:val="en-US"/>
              </w:rPr>
            </w:pPr>
            <w:r>
              <w:rPr>
                <w:rFonts w:hint="eastAsia" w:ascii="宋体" w:hAnsi="宋体" w:cs="宋体"/>
                <w:color w:val="0000FF"/>
                <w:sz w:val="24"/>
                <w:szCs w:val="24"/>
                <w:highlight w:val="none"/>
                <w:lang w:val="en-US" w:eastAsia="zh-CN"/>
              </w:rPr>
              <w:t>安徽皖仪科技股份有限公司、AQ7060</w:t>
            </w:r>
          </w:p>
        </w:tc>
        <w:tc>
          <w:tcPr>
            <w:tcW w:w="0" w:type="auto"/>
            <w:tcBorders>
              <w:top w:val="nil"/>
              <w:left w:val="nil"/>
              <w:bottom w:val="single" w:color="auto" w:sz="4" w:space="0"/>
              <w:right w:val="single" w:color="auto" w:sz="4" w:space="0"/>
            </w:tcBorders>
            <w:noWrap w:val="0"/>
            <w:vAlign w:val="center"/>
          </w:tcPr>
          <w:p w14:paraId="6175E1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台</w:t>
            </w:r>
          </w:p>
        </w:tc>
        <w:tc>
          <w:tcPr>
            <w:tcW w:w="0" w:type="auto"/>
            <w:tcBorders>
              <w:top w:val="nil"/>
              <w:left w:val="nil"/>
              <w:bottom w:val="single" w:color="auto" w:sz="4" w:space="0"/>
              <w:right w:val="single" w:color="auto" w:sz="4" w:space="0"/>
            </w:tcBorders>
            <w:noWrap w:val="0"/>
            <w:vAlign w:val="center"/>
          </w:tcPr>
          <w:p w14:paraId="51B957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031A8127">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1C7FF6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7</w:t>
            </w:r>
          </w:p>
        </w:tc>
        <w:tc>
          <w:tcPr>
            <w:tcW w:w="2911" w:type="dxa"/>
            <w:tcBorders>
              <w:top w:val="nil"/>
              <w:left w:val="nil"/>
              <w:bottom w:val="single" w:color="auto" w:sz="4" w:space="0"/>
              <w:right w:val="single" w:color="auto" w:sz="4" w:space="0"/>
            </w:tcBorders>
            <w:noWrap w:val="0"/>
            <w:vAlign w:val="center"/>
          </w:tcPr>
          <w:p w14:paraId="766CD6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PM2.5颗粒物分析仪</w:t>
            </w:r>
          </w:p>
        </w:tc>
        <w:tc>
          <w:tcPr>
            <w:tcW w:w="3964" w:type="dxa"/>
            <w:tcBorders>
              <w:top w:val="nil"/>
              <w:left w:val="single" w:color="auto" w:sz="4" w:space="0"/>
              <w:bottom w:val="single" w:color="auto" w:sz="4" w:space="0"/>
              <w:right w:val="single" w:color="auto" w:sz="4" w:space="0"/>
            </w:tcBorders>
            <w:noWrap w:val="0"/>
            <w:vAlign w:val="center"/>
          </w:tcPr>
          <w:p w14:paraId="3E5225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lang w:val="en-US"/>
              </w:rPr>
            </w:pPr>
            <w:r>
              <w:rPr>
                <w:rFonts w:hint="eastAsia" w:ascii="宋体" w:hAnsi="宋体" w:cs="宋体"/>
                <w:color w:val="0000FF"/>
                <w:sz w:val="24"/>
                <w:szCs w:val="24"/>
                <w:highlight w:val="none"/>
                <w:lang w:val="en-US" w:eastAsia="zh-CN"/>
              </w:rPr>
              <w:t>安徽皖仪科技股份有限公司、AQ7050</w:t>
            </w:r>
          </w:p>
        </w:tc>
        <w:tc>
          <w:tcPr>
            <w:tcW w:w="0" w:type="auto"/>
            <w:tcBorders>
              <w:top w:val="nil"/>
              <w:left w:val="nil"/>
              <w:bottom w:val="single" w:color="auto" w:sz="4" w:space="0"/>
              <w:right w:val="single" w:color="auto" w:sz="4" w:space="0"/>
            </w:tcBorders>
            <w:noWrap w:val="0"/>
            <w:vAlign w:val="center"/>
          </w:tcPr>
          <w:p w14:paraId="678D7C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台</w:t>
            </w:r>
          </w:p>
        </w:tc>
        <w:tc>
          <w:tcPr>
            <w:tcW w:w="0" w:type="auto"/>
            <w:tcBorders>
              <w:top w:val="nil"/>
              <w:left w:val="nil"/>
              <w:bottom w:val="single" w:color="auto" w:sz="4" w:space="0"/>
              <w:right w:val="single" w:color="auto" w:sz="4" w:space="0"/>
            </w:tcBorders>
            <w:noWrap w:val="0"/>
            <w:vAlign w:val="center"/>
          </w:tcPr>
          <w:p w14:paraId="4829BE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189887BD">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29569A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8</w:t>
            </w:r>
          </w:p>
        </w:tc>
        <w:tc>
          <w:tcPr>
            <w:tcW w:w="2911" w:type="dxa"/>
            <w:tcBorders>
              <w:top w:val="nil"/>
              <w:left w:val="nil"/>
              <w:bottom w:val="single" w:color="auto" w:sz="4" w:space="0"/>
              <w:right w:val="single" w:color="auto" w:sz="4" w:space="0"/>
            </w:tcBorders>
            <w:noWrap w:val="0"/>
            <w:vAlign w:val="center"/>
          </w:tcPr>
          <w:p w14:paraId="75805A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动态校准仪</w:t>
            </w:r>
          </w:p>
        </w:tc>
        <w:tc>
          <w:tcPr>
            <w:tcW w:w="3964" w:type="dxa"/>
            <w:tcBorders>
              <w:top w:val="nil"/>
              <w:left w:val="single" w:color="auto" w:sz="4" w:space="0"/>
              <w:bottom w:val="single" w:color="auto" w:sz="4" w:space="0"/>
              <w:right w:val="single" w:color="auto" w:sz="4" w:space="0"/>
            </w:tcBorders>
            <w:noWrap w:val="0"/>
            <w:vAlign w:val="center"/>
          </w:tcPr>
          <w:p w14:paraId="18A932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lang w:val="en-US"/>
              </w:rPr>
            </w:pPr>
            <w:r>
              <w:rPr>
                <w:rFonts w:hint="eastAsia" w:ascii="宋体" w:hAnsi="宋体" w:cs="宋体"/>
                <w:color w:val="0000FF"/>
                <w:sz w:val="24"/>
                <w:szCs w:val="24"/>
                <w:highlight w:val="none"/>
                <w:lang w:val="en-US" w:eastAsia="zh-CN"/>
              </w:rPr>
              <w:t>安徽皖仪科技股份有限公司、AQ7070</w:t>
            </w:r>
          </w:p>
        </w:tc>
        <w:tc>
          <w:tcPr>
            <w:tcW w:w="0" w:type="auto"/>
            <w:tcBorders>
              <w:top w:val="nil"/>
              <w:left w:val="nil"/>
              <w:bottom w:val="single" w:color="auto" w:sz="4" w:space="0"/>
              <w:right w:val="single" w:color="auto" w:sz="4" w:space="0"/>
            </w:tcBorders>
            <w:noWrap w:val="0"/>
            <w:vAlign w:val="center"/>
          </w:tcPr>
          <w:p w14:paraId="1843AD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台</w:t>
            </w:r>
          </w:p>
        </w:tc>
        <w:tc>
          <w:tcPr>
            <w:tcW w:w="0" w:type="auto"/>
            <w:tcBorders>
              <w:top w:val="nil"/>
              <w:left w:val="nil"/>
              <w:bottom w:val="single" w:color="auto" w:sz="4" w:space="0"/>
              <w:right w:val="single" w:color="auto" w:sz="4" w:space="0"/>
            </w:tcBorders>
            <w:noWrap w:val="0"/>
            <w:vAlign w:val="center"/>
          </w:tcPr>
          <w:p w14:paraId="74F3A3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0223C128">
        <w:tblPrEx>
          <w:tblCellMar>
            <w:top w:w="0" w:type="dxa"/>
            <w:left w:w="108" w:type="dxa"/>
            <w:bottom w:w="0" w:type="dxa"/>
            <w:right w:w="108" w:type="dxa"/>
          </w:tblCellMar>
        </w:tblPrEx>
        <w:trPr>
          <w:trHeight w:val="90" w:hRule="atLeast"/>
          <w:jc w:val="center"/>
        </w:trPr>
        <w:tc>
          <w:tcPr>
            <w:tcW w:w="0" w:type="auto"/>
            <w:tcBorders>
              <w:top w:val="nil"/>
              <w:left w:val="single" w:color="auto" w:sz="4" w:space="0"/>
              <w:bottom w:val="single" w:color="auto" w:sz="4" w:space="0"/>
              <w:right w:val="single" w:color="auto" w:sz="4" w:space="0"/>
            </w:tcBorders>
            <w:noWrap w:val="0"/>
            <w:vAlign w:val="center"/>
          </w:tcPr>
          <w:p w14:paraId="64FDAD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9</w:t>
            </w:r>
          </w:p>
        </w:tc>
        <w:tc>
          <w:tcPr>
            <w:tcW w:w="2911" w:type="dxa"/>
            <w:tcBorders>
              <w:top w:val="nil"/>
              <w:left w:val="nil"/>
              <w:bottom w:val="single" w:color="auto" w:sz="4" w:space="0"/>
              <w:right w:val="single" w:color="auto" w:sz="4" w:space="0"/>
            </w:tcBorders>
            <w:noWrap w:val="0"/>
            <w:vAlign w:val="center"/>
          </w:tcPr>
          <w:p w14:paraId="5A212B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零气发生器</w:t>
            </w:r>
          </w:p>
        </w:tc>
        <w:tc>
          <w:tcPr>
            <w:tcW w:w="3964" w:type="dxa"/>
            <w:tcBorders>
              <w:top w:val="nil"/>
              <w:left w:val="single" w:color="auto" w:sz="4" w:space="0"/>
              <w:bottom w:val="single" w:color="auto" w:sz="4" w:space="0"/>
              <w:right w:val="single" w:color="auto" w:sz="4" w:space="0"/>
            </w:tcBorders>
            <w:noWrap w:val="0"/>
            <w:vAlign w:val="center"/>
          </w:tcPr>
          <w:p w14:paraId="6EE269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lang w:val="en-US"/>
              </w:rPr>
            </w:pPr>
            <w:r>
              <w:rPr>
                <w:rFonts w:hint="eastAsia" w:ascii="宋体" w:hAnsi="宋体" w:cs="宋体"/>
                <w:color w:val="0000FF"/>
                <w:sz w:val="24"/>
                <w:szCs w:val="24"/>
                <w:highlight w:val="none"/>
                <w:lang w:val="en-US" w:eastAsia="zh-CN"/>
              </w:rPr>
              <w:t>安徽皖仪科技股份有限公司、AQ7080</w:t>
            </w:r>
          </w:p>
        </w:tc>
        <w:tc>
          <w:tcPr>
            <w:tcW w:w="0" w:type="auto"/>
            <w:tcBorders>
              <w:top w:val="nil"/>
              <w:left w:val="nil"/>
              <w:bottom w:val="single" w:color="auto" w:sz="4" w:space="0"/>
              <w:right w:val="single" w:color="auto" w:sz="4" w:space="0"/>
            </w:tcBorders>
            <w:noWrap w:val="0"/>
            <w:vAlign w:val="center"/>
          </w:tcPr>
          <w:p w14:paraId="09D54A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台</w:t>
            </w:r>
          </w:p>
        </w:tc>
        <w:tc>
          <w:tcPr>
            <w:tcW w:w="0" w:type="auto"/>
            <w:tcBorders>
              <w:top w:val="nil"/>
              <w:left w:val="nil"/>
              <w:bottom w:val="single" w:color="auto" w:sz="4" w:space="0"/>
              <w:right w:val="single" w:color="auto" w:sz="4" w:space="0"/>
            </w:tcBorders>
            <w:noWrap w:val="0"/>
            <w:vAlign w:val="center"/>
          </w:tcPr>
          <w:p w14:paraId="754D82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7FDD3063">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3813B9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10</w:t>
            </w:r>
          </w:p>
        </w:tc>
        <w:tc>
          <w:tcPr>
            <w:tcW w:w="2911" w:type="dxa"/>
            <w:tcBorders>
              <w:top w:val="nil"/>
              <w:left w:val="nil"/>
              <w:bottom w:val="single" w:color="auto" w:sz="4" w:space="0"/>
              <w:right w:val="single" w:color="auto" w:sz="4" w:space="0"/>
            </w:tcBorders>
            <w:noWrap w:val="0"/>
            <w:vAlign w:val="center"/>
          </w:tcPr>
          <w:p w14:paraId="7EC7A2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气象五参数</w:t>
            </w:r>
          </w:p>
        </w:tc>
        <w:tc>
          <w:tcPr>
            <w:tcW w:w="3964" w:type="dxa"/>
            <w:tcBorders>
              <w:top w:val="nil"/>
              <w:left w:val="single" w:color="auto" w:sz="4" w:space="0"/>
              <w:bottom w:val="single" w:color="auto" w:sz="4" w:space="0"/>
              <w:right w:val="single" w:color="auto" w:sz="4" w:space="0"/>
            </w:tcBorders>
            <w:noWrap w:val="0"/>
            <w:vAlign w:val="center"/>
          </w:tcPr>
          <w:p w14:paraId="38472B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eastAsia="宋体" w:cs="宋体"/>
                <w:color w:val="0000FF"/>
                <w:sz w:val="24"/>
                <w:szCs w:val="24"/>
                <w:highlight w:val="none"/>
                <w:lang w:val="en-US" w:eastAsia="zh-CN"/>
              </w:rPr>
            </w:pPr>
            <w:r>
              <w:rPr>
                <w:rFonts w:hint="eastAsia" w:ascii="宋体" w:hAnsi="宋体" w:cs="宋体"/>
                <w:color w:val="0000FF"/>
                <w:sz w:val="24"/>
                <w:szCs w:val="24"/>
                <w:highlight w:val="none"/>
                <w:lang w:val="en-US" w:eastAsia="zh-CN"/>
              </w:rPr>
              <w:t>北京中惠普分析技术研究所、PC-8D</w:t>
            </w:r>
          </w:p>
        </w:tc>
        <w:tc>
          <w:tcPr>
            <w:tcW w:w="0" w:type="auto"/>
            <w:tcBorders>
              <w:top w:val="nil"/>
              <w:left w:val="nil"/>
              <w:bottom w:val="single" w:color="auto" w:sz="4" w:space="0"/>
              <w:right w:val="single" w:color="auto" w:sz="4" w:space="0"/>
            </w:tcBorders>
            <w:noWrap w:val="0"/>
            <w:vAlign w:val="center"/>
          </w:tcPr>
          <w:p w14:paraId="01FA6B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套</w:t>
            </w:r>
          </w:p>
        </w:tc>
        <w:tc>
          <w:tcPr>
            <w:tcW w:w="0" w:type="auto"/>
            <w:tcBorders>
              <w:top w:val="nil"/>
              <w:left w:val="nil"/>
              <w:bottom w:val="single" w:color="auto" w:sz="4" w:space="0"/>
              <w:right w:val="single" w:color="auto" w:sz="4" w:space="0"/>
            </w:tcBorders>
            <w:noWrap w:val="0"/>
            <w:vAlign w:val="center"/>
          </w:tcPr>
          <w:p w14:paraId="556456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2381B672">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7C4A86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11</w:t>
            </w:r>
          </w:p>
        </w:tc>
        <w:tc>
          <w:tcPr>
            <w:tcW w:w="2911" w:type="dxa"/>
            <w:tcBorders>
              <w:top w:val="nil"/>
              <w:left w:val="nil"/>
              <w:bottom w:val="single" w:color="auto" w:sz="4" w:space="0"/>
              <w:right w:val="single" w:color="auto" w:sz="4" w:space="0"/>
            </w:tcBorders>
            <w:noWrap w:val="0"/>
            <w:vAlign w:val="center"/>
          </w:tcPr>
          <w:p w14:paraId="613D8F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空气采样系统</w:t>
            </w:r>
          </w:p>
        </w:tc>
        <w:tc>
          <w:tcPr>
            <w:tcW w:w="3964" w:type="dxa"/>
            <w:tcBorders>
              <w:top w:val="nil"/>
              <w:left w:val="single" w:color="auto" w:sz="4" w:space="0"/>
              <w:bottom w:val="single" w:color="auto" w:sz="4" w:space="0"/>
              <w:right w:val="single" w:color="auto" w:sz="4" w:space="0"/>
            </w:tcBorders>
            <w:noWrap w:val="0"/>
            <w:vAlign w:val="center"/>
          </w:tcPr>
          <w:p w14:paraId="14CC13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lang w:val="en-US"/>
              </w:rPr>
            </w:pPr>
            <w:r>
              <w:rPr>
                <w:rFonts w:hint="eastAsia" w:ascii="宋体" w:hAnsi="宋体" w:cs="宋体"/>
                <w:color w:val="0000FF"/>
                <w:sz w:val="24"/>
                <w:szCs w:val="24"/>
                <w:highlight w:val="none"/>
                <w:lang w:val="en-US" w:eastAsia="zh-CN"/>
              </w:rPr>
              <w:t>安徽皖仪科技股份有限公司、WY1813</w:t>
            </w:r>
          </w:p>
        </w:tc>
        <w:tc>
          <w:tcPr>
            <w:tcW w:w="0" w:type="auto"/>
            <w:tcBorders>
              <w:top w:val="nil"/>
              <w:left w:val="nil"/>
              <w:bottom w:val="single" w:color="auto" w:sz="4" w:space="0"/>
              <w:right w:val="single" w:color="auto" w:sz="4" w:space="0"/>
            </w:tcBorders>
            <w:noWrap w:val="0"/>
            <w:vAlign w:val="center"/>
          </w:tcPr>
          <w:p w14:paraId="6A2163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套</w:t>
            </w:r>
          </w:p>
        </w:tc>
        <w:tc>
          <w:tcPr>
            <w:tcW w:w="0" w:type="auto"/>
            <w:tcBorders>
              <w:top w:val="nil"/>
              <w:left w:val="nil"/>
              <w:bottom w:val="single" w:color="auto" w:sz="4" w:space="0"/>
              <w:right w:val="single" w:color="auto" w:sz="4" w:space="0"/>
            </w:tcBorders>
            <w:noWrap w:val="0"/>
            <w:vAlign w:val="center"/>
          </w:tcPr>
          <w:p w14:paraId="76B63D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3993084C">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412BCF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12</w:t>
            </w:r>
          </w:p>
        </w:tc>
        <w:tc>
          <w:tcPr>
            <w:tcW w:w="2911" w:type="dxa"/>
            <w:tcBorders>
              <w:top w:val="nil"/>
              <w:left w:val="nil"/>
              <w:bottom w:val="single" w:color="auto" w:sz="4" w:space="0"/>
              <w:right w:val="single" w:color="auto" w:sz="4" w:space="0"/>
            </w:tcBorders>
            <w:noWrap w:val="0"/>
            <w:vAlign w:val="center"/>
          </w:tcPr>
          <w:p w14:paraId="4D2181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控制、数据采集系统</w:t>
            </w:r>
          </w:p>
        </w:tc>
        <w:tc>
          <w:tcPr>
            <w:tcW w:w="3964" w:type="dxa"/>
            <w:tcBorders>
              <w:top w:val="nil"/>
              <w:left w:val="single" w:color="auto" w:sz="4" w:space="0"/>
              <w:bottom w:val="single" w:color="auto" w:sz="4" w:space="0"/>
              <w:right w:val="single" w:color="auto" w:sz="4" w:space="0"/>
            </w:tcBorders>
            <w:noWrap w:val="0"/>
            <w:vAlign w:val="center"/>
          </w:tcPr>
          <w:p w14:paraId="721AD3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ascii="宋体" w:hAnsi="宋体" w:eastAsia="宋体" w:cs="宋体"/>
                <w:color w:val="0000FF"/>
                <w:sz w:val="24"/>
                <w:szCs w:val="24"/>
                <w:highlight w:val="none"/>
                <w:lang w:val="en-US" w:eastAsia="zh-CN"/>
              </w:rPr>
            </w:pPr>
            <w:r>
              <w:rPr>
                <w:rFonts w:hint="eastAsia" w:ascii="宋体" w:hAnsi="宋体" w:cs="宋体"/>
                <w:color w:val="0000FF"/>
                <w:sz w:val="24"/>
                <w:szCs w:val="24"/>
                <w:highlight w:val="none"/>
                <w:lang w:val="en-US" w:eastAsia="zh-CN"/>
              </w:rPr>
              <w:t>/</w:t>
            </w:r>
          </w:p>
        </w:tc>
        <w:tc>
          <w:tcPr>
            <w:tcW w:w="0" w:type="auto"/>
            <w:tcBorders>
              <w:top w:val="nil"/>
              <w:left w:val="nil"/>
              <w:bottom w:val="single" w:color="auto" w:sz="4" w:space="0"/>
              <w:right w:val="single" w:color="auto" w:sz="4" w:space="0"/>
            </w:tcBorders>
            <w:noWrap w:val="0"/>
            <w:vAlign w:val="center"/>
          </w:tcPr>
          <w:p w14:paraId="6DEE20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套</w:t>
            </w:r>
          </w:p>
        </w:tc>
        <w:tc>
          <w:tcPr>
            <w:tcW w:w="0" w:type="auto"/>
            <w:tcBorders>
              <w:top w:val="nil"/>
              <w:left w:val="nil"/>
              <w:bottom w:val="single" w:color="auto" w:sz="4" w:space="0"/>
              <w:right w:val="single" w:color="auto" w:sz="4" w:space="0"/>
            </w:tcBorders>
            <w:noWrap w:val="0"/>
            <w:vAlign w:val="center"/>
          </w:tcPr>
          <w:p w14:paraId="46DC4B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0756231E">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305B46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13</w:t>
            </w:r>
          </w:p>
        </w:tc>
        <w:tc>
          <w:tcPr>
            <w:tcW w:w="2911" w:type="dxa"/>
            <w:tcBorders>
              <w:top w:val="nil"/>
              <w:left w:val="nil"/>
              <w:bottom w:val="single" w:color="auto" w:sz="4" w:space="0"/>
              <w:right w:val="single" w:color="auto" w:sz="4" w:space="0"/>
            </w:tcBorders>
            <w:noWrap w:val="0"/>
            <w:vAlign w:val="center"/>
          </w:tcPr>
          <w:p w14:paraId="74C8D7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仪器柜</w:t>
            </w:r>
          </w:p>
        </w:tc>
        <w:tc>
          <w:tcPr>
            <w:tcW w:w="3964" w:type="dxa"/>
            <w:tcBorders>
              <w:top w:val="nil"/>
              <w:left w:val="single" w:color="auto" w:sz="4" w:space="0"/>
              <w:bottom w:val="single" w:color="auto" w:sz="4" w:space="0"/>
              <w:right w:val="single" w:color="auto" w:sz="4" w:space="0"/>
            </w:tcBorders>
            <w:noWrap w:val="0"/>
            <w:vAlign w:val="center"/>
          </w:tcPr>
          <w:p w14:paraId="2F84F4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ascii="宋体" w:hAnsi="宋体" w:eastAsia="宋体" w:cs="宋体"/>
                <w:color w:val="0000FF"/>
                <w:sz w:val="24"/>
                <w:szCs w:val="24"/>
                <w:highlight w:val="none"/>
                <w:lang w:val="en-US" w:eastAsia="zh-CN"/>
              </w:rPr>
            </w:pPr>
            <w:r>
              <w:rPr>
                <w:rFonts w:hint="eastAsia" w:ascii="宋体" w:hAnsi="宋体" w:cs="宋体"/>
                <w:color w:val="0000FF"/>
                <w:sz w:val="24"/>
                <w:szCs w:val="24"/>
                <w:highlight w:val="none"/>
                <w:lang w:val="en-US" w:eastAsia="zh-CN"/>
              </w:rPr>
              <w:t>/</w:t>
            </w:r>
          </w:p>
        </w:tc>
        <w:tc>
          <w:tcPr>
            <w:tcW w:w="0" w:type="auto"/>
            <w:tcBorders>
              <w:top w:val="nil"/>
              <w:left w:val="nil"/>
              <w:bottom w:val="single" w:color="auto" w:sz="4" w:space="0"/>
              <w:right w:val="single" w:color="auto" w:sz="4" w:space="0"/>
            </w:tcBorders>
            <w:noWrap w:val="0"/>
            <w:vAlign w:val="center"/>
          </w:tcPr>
          <w:p w14:paraId="76E8D1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台</w:t>
            </w:r>
          </w:p>
        </w:tc>
        <w:tc>
          <w:tcPr>
            <w:tcW w:w="0" w:type="auto"/>
            <w:tcBorders>
              <w:top w:val="nil"/>
              <w:left w:val="nil"/>
              <w:bottom w:val="single" w:color="auto" w:sz="4" w:space="0"/>
              <w:right w:val="single" w:color="auto" w:sz="4" w:space="0"/>
            </w:tcBorders>
            <w:noWrap w:val="0"/>
            <w:vAlign w:val="center"/>
          </w:tcPr>
          <w:p w14:paraId="23B607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0EC8A3CB">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4915E8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14</w:t>
            </w:r>
          </w:p>
        </w:tc>
        <w:tc>
          <w:tcPr>
            <w:tcW w:w="2911" w:type="dxa"/>
            <w:tcBorders>
              <w:top w:val="nil"/>
              <w:left w:val="nil"/>
              <w:bottom w:val="single" w:color="auto" w:sz="4" w:space="0"/>
              <w:right w:val="single" w:color="auto" w:sz="4" w:space="0"/>
            </w:tcBorders>
            <w:noWrap w:val="0"/>
            <w:vAlign w:val="center"/>
          </w:tcPr>
          <w:p w14:paraId="462196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监控站房（含站房、稳压电源、UPS、空调等）</w:t>
            </w:r>
          </w:p>
        </w:tc>
        <w:tc>
          <w:tcPr>
            <w:tcW w:w="3964" w:type="dxa"/>
            <w:tcBorders>
              <w:top w:val="nil"/>
              <w:left w:val="single" w:color="auto" w:sz="4" w:space="0"/>
              <w:bottom w:val="single" w:color="auto" w:sz="4" w:space="0"/>
              <w:right w:val="single" w:color="auto" w:sz="4" w:space="0"/>
            </w:tcBorders>
            <w:noWrap w:val="0"/>
            <w:vAlign w:val="center"/>
          </w:tcPr>
          <w:p w14:paraId="17C9E5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ascii="宋体" w:hAnsi="宋体" w:eastAsia="宋体" w:cs="宋体"/>
                <w:color w:val="0000FF"/>
                <w:sz w:val="24"/>
                <w:szCs w:val="24"/>
                <w:highlight w:val="none"/>
                <w:lang w:val="en-US" w:eastAsia="zh-CN"/>
              </w:rPr>
            </w:pPr>
            <w:r>
              <w:rPr>
                <w:rFonts w:hint="eastAsia" w:ascii="宋体" w:hAnsi="宋体" w:cs="宋体"/>
                <w:color w:val="0000FF"/>
                <w:sz w:val="24"/>
                <w:szCs w:val="24"/>
                <w:highlight w:val="none"/>
                <w:lang w:val="en-US" w:eastAsia="zh-CN"/>
              </w:rPr>
              <w:t>/</w:t>
            </w:r>
          </w:p>
        </w:tc>
        <w:tc>
          <w:tcPr>
            <w:tcW w:w="0" w:type="auto"/>
            <w:tcBorders>
              <w:top w:val="nil"/>
              <w:left w:val="nil"/>
              <w:bottom w:val="single" w:color="auto" w:sz="4" w:space="0"/>
              <w:right w:val="single" w:color="auto" w:sz="4" w:space="0"/>
            </w:tcBorders>
            <w:noWrap w:val="0"/>
            <w:vAlign w:val="center"/>
          </w:tcPr>
          <w:p w14:paraId="00F99E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套</w:t>
            </w:r>
          </w:p>
        </w:tc>
        <w:tc>
          <w:tcPr>
            <w:tcW w:w="0" w:type="auto"/>
            <w:tcBorders>
              <w:top w:val="nil"/>
              <w:left w:val="nil"/>
              <w:bottom w:val="single" w:color="auto" w:sz="4" w:space="0"/>
              <w:right w:val="single" w:color="auto" w:sz="4" w:space="0"/>
            </w:tcBorders>
            <w:noWrap w:val="0"/>
            <w:vAlign w:val="center"/>
          </w:tcPr>
          <w:p w14:paraId="33FAD2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0E055196">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2E3951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15</w:t>
            </w:r>
          </w:p>
        </w:tc>
        <w:tc>
          <w:tcPr>
            <w:tcW w:w="2911" w:type="dxa"/>
            <w:tcBorders>
              <w:top w:val="nil"/>
              <w:left w:val="nil"/>
              <w:bottom w:val="single" w:color="auto" w:sz="4" w:space="0"/>
              <w:right w:val="single" w:color="auto" w:sz="4" w:space="0"/>
            </w:tcBorders>
            <w:noWrap w:val="0"/>
            <w:vAlign w:val="center"/>
          </w:tcPr>
          <w:p w14:paraId="61A589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安装附件（管路、接头、钢瓶、减压阀等）</w:t>
            </w:r>
          </w:p>
        </w:tc>
        <w:tc>
          <w:tcPr>
            <w:tcW w:w="3964" w:type="dxa"/>
            <w:tcBorders>
              <w:top w:val="nil"/>
              <w:left w:val="single" w:color="auto" w:sz="4" w:space="0"/>
              <w:bottom w:val="single" w:color="auto" w:sz="4" w:space="0"/>
              <w:right w:val="single" w:color="auto" w:sz="4" w:space="0"/>
            </w:tcBorders>
            <w:noWrap w:val="0"/>
            <w:vAlign w:val="center"/>
          </w:tcPr>
          <w:p w14:paraId="527EF4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w:t>
            </w:r>
          </w:p>
        </w:tc>
        <w:tc>
          <w:tcPr>
            <w:tcW w:w="0" w:type="auto"/>
            <w:tcBorders>
              <w:top w:val="nil"/>
              <w:left w:val="nil"/>
              <w:bottom w:val="single" w:color="auto" w:sz="4" w:space="0"/>
              <w:right w:val="single" w:color="auto" w:sz="4" w:space="0"/>
            </w:tcBorders>
            <w:noWrap w:val="0"/>
            <w:vAlign w:val="center"/>
          </w:tcPr>
          <w:p w14:paraId="3493B8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套</w:t>
            </w:r>
          </w:p>
        </w:tc>
        <w:tc>
          <w:tcPr>
            <w:tcW w:w="0" w:type="auto"/>
            <w:tcBorders>
              <w:top w:val="nil"/>
              <w:left w:val="nil"/>
              <w:bottom w:val="single" w:color="auto" w:sz="4" w:space="0"/>
              <w:right w:val="single" w:color="auto" w:sz="4" w:space="0"/>
            </w:tcBorders>
            <w:noWrap w:val="0"/>
            <w:vAlign w:val="center"/>
          </w:tcPr>
          <w:p w14:paraId="5CDECF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3BFB4D11">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207F18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16</w:t>
            </w:r>
          </w:p>
        </w:tc>
        <w:tc>
          <w:tcPr>
            <w:tcW w:w="2911" w:type="dxa"/>
            <w:tcBorders>
              <w:top w:val="nil"/>
              <w:left w:val="nil"/>
              <w:bottom w:val="single" w:color="auto" w:sz="4" w:space="0"/>
              <w:right w:val="single" w:color="auto" w:sz="4" w:space="0"/>
            </w:tcBorders>
            <w:noWrap w:val="0"/>
            <w:vAlign w:val="center"/>
          </w:tcPr>
          <w:p w14:paraId="1F064E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传输网络</w:t>
            </w:r>
          </w:p>
        </w:tc>
        <w:tc>
          <w:tcPr>
            <w:tcW w:w="3964" w:type="dxa"/>
            <w:tcBorders>
              <w:top w:val="nil"/>
              <w:left w:val="single" w:color="auto" w:sz="4" w:space="0"/>
              <w:bottom w:val="single" w:color="auto" w:sz="4" w:space="0"/>
              <w:right w:val="single" w:color="auto" w:sz="4" w:space="0"/>
            </w:tcBorders>
            <w:noWrap w:val="0"/>
            <w:vAlign w:val="center"/>
          </w:tcPr>
          <w:p w14:paraId="783BC3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w:t>
            </w:r>
          </w:p>
        </w:tc>
        <w:tc>
          <w:tcPr>
            <w:tcW w:w="0" w:type="auto"/>
            <w:tcBorders>
              <w:top w:val="nil"/>
              <w:left w:val="nil"/>
              <w:bottom w:val="single" w:color="auto" w:sz="4" w:space="0"/>
              <w:right w:val="single" w:color="auto" w:sz="4" w:space="0"/>
            </w:tcBorders>
            <w:noWrap w:val="0"/>
            <w:vAlign w:val="center"/>
          </w:tcPr>
          <w:p w14:paraId="2AD814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套</w:t>
            </w:r>
          </w:p>
        </w:tc>
        <w:tc>
          <w:tcPr>
            <w:tcW w:w="0" w:type="auto"/>
            <w:tcBorders>
              <w:top w:val="nil"/>
              <w:left w:val="nil"/>
              <w:bottom w:val="single" w:color="auto" w:sz="4" w:space="0"/>
              <w:right w:val="single" w:color="auto" w:sz="4" w:space="0"/>
            </w:tcBorders>
            <w:noWrap w:val="0"/>
            <w:vAlign w:val="center"/>
          </w:tcPr>
          <w:p w14:paraId="632D5D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0EBF209D">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3F8045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17</w:t>
            </w:r>
          </w:p>
        </w:tc>
        <w:tc>
          <w:tcPr>
            <w:tcW w:w="2911" w:type="dxa"/>
            <w:tcBorders>
              <w:top w:val="nil"/>
              <w:left w:val="nil"/>
              <w:bottom w:val="single" w:color="auto" w:sz="4" w:space="0"/>
              <w:right w:val="single" w:color="auto" w:sz="4" w:space="0"/>
            </w:tcBorders>
            <w:noWrap w:val="0"/>
            <w:vAlign w:val="center"/>
          </w:tcPr>
          <w:p w14:paraId="0FBEAE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基建和电力建设</w:t>
            </w:r>
          </w:p>
        </w:tc>
        <w:tc>
          <w:tcPr>
            <w:tcW w:w="3964" w:type="dxa"/>
            <w:tcBorders>
              <w:top w:val="nil"/>
              <w:left w:val="single" w:color="auto" w:sz="4" w:space="0"/>
              <w:bottom w:val="single" w:color="auto" w:sz="4" w:space="0"/>
              <w:right w:val="single" w:color="auto" w:sz="4" w:space="0"/>
            </w:tcBorders>
            <w:noWrap w:val="0"/>
            <w:vAlign w:val="center"/>
          </w:tcPr>
          <w:p w14:paraId="476B4D9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w:t>
            </w:r>
          </w:p>
        </w:tc>
        <w:tc>
          <w:tcPr>
            <w:tcW w:w="0" w:type="auto"/>
            <w:tcBorders>
              <w:top w:val="nil"/>
              <w:left w:val="nil"/>
              <w:bottom w:val="single" w:color="auto" w:sz="4" w:space="0"/>
              <w:right w:val="single" w:color="auto" w:sz="4" w:space="0"/>
            </w:tcBorders>
            <w:noWrap w:val="0"/>
            <w:vAlign w:val="center"/>
          </w:tcPr>
          <w:p w14:paraId="6DA902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套</w:t>
            </w:r>
          </w:p>
        </w:tc>
        <w:tc>
          <w:tcPr>
            <w:tcW w:w="0" w:type="auto"/>
            <w:tcBorders>
              <w:top w:val="nil"/>
              <w:left w:val="nil"/>
              <w:bottom w:val="single" w:color="auto" w:sz="4" w:space="0"/>
              <w:right w:val="single" w:color="auto" w:sz="4" w:space="0"/>
            </w:tcBorders>
            <w:noWrap w:val="0"/>
            <w:vAlign w:val="center"/>
          </w:tcPr>
          <w:p w14:paraId="354A86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210D98CF">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733CF3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18</w:t>
            </w:r>
          </w:p>
        </w:tc>
        <w:tc>
          <w:tcPr>
            <w:tcW w:w="2911" w:type="dxa"/>
            <w:tcBorders>
              <w:top w:val="nil"/>
              <w:left w:val="nil"/>
              <w:bottom w:val="single" w:color="auto" w:sz="4" w:space="0"/>
              <w:right w:val="single" w:color="auto" w:sz="4" w:space="0"/>
            </w:tcBorders>
            <w:noWrap w:val="0"/>
            <w:vAlign w:val="center"/>
          </w:tcPr>
          <w:p w14:paraId="2B1AFE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安装调试</w:t>
            </w:r>
          </w:p>
        </w:tc>
        <w:tc>
          <w:tcPr>
            <w:tcW w:w="3964" w:type="dxa"/>
            <w:tcBorders>
              <w:top w:val="nil"/>
              <w:left w:val="single" w:color="auto" w:sz="4" w:space="0"/>
              <w:bottom w:val="single" w:color="auto" w:sz="4" w:space="0"/>
              <w:right w:val="single" w:color="auto" w:sz="4" w:space="0"/>
            </w:tcBorders>
            <w:noWrap w:val="0"/>
            <w:vAlign w:val="center"/>
          </w:tcPr>
          <w:p w14:paraId="143E61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w:t>
            </w:r>
          </w:p>
        </w:tc>
        <w:tc>
          <w:tcPr>
            <w:tcW w:w="0" w:type="auto"/>
            <w:tcBorders>
              <w:top w:val="nil"/>
              <w:left w:val="nil"/>
              <w:bottom w:val="single" w:color="auto" w:sz="4" w:space="0"/>
              <w:right w:val="single" w:color="auto" w:sz="4" w:space="0"/>
            </w:tcBorders>
            <w:noWrap w:val="0"/>
            <w:vAlign w:val="center"/>
          </w:tcPr>
          <w:p w14:paraId="1F3E95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套</w:t>
            </w:r>
          </w:p>
        </w:tc>
        <w:tc>
          <w:tcPr>
            <w:tcW w:w="0" w:type="auto"/>
            <w:tcBorders>
              <w:top w:val="nil"/>
              <w:left w:val="nil"/>
              <w:bottom w:val="single" w:color="auto" w:sz="4" w:space="0"/>
              <w:right w:val="single" w:color="auto" w:sz="4" w:space="0"/>
            </w:tcBorders>
            <w:noWrap w:val="0"/>
            <w:vAlign w:val="center"/>
          </w:tcPr>
          <w:p w14:paraId="7AABF5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778C6E6F">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5302F9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19</w:t>
            </w:r>
          </w:p>
        </w:tc>
        <w:tc>
          <w:tcPr>
            <w:tcW w:w="2911" w:type="dxa"/>
            <w:tcBorders>
              <w:top w:val="nil"/>
              <w:left w:val="nil"/>
              <w:bottom w:val="single" w:color="auto" w:sz="4" w:space="0"/>
              <w:right w:val="single" w:color="auto" w:sz="4" w:space="0"/>
            </w:tcBorders>
            <w:noWrap w:val="0"/>
            <w:vAlign w:val="center"/>
          </w:tcPr>
          <w:p w14:paraId="469E4B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颗粒物PM10/PM2.5单元</w:t>
            </w:r>
          </w:p>
        </w:tc>
        <w:tc>
          <w:tcPr>
            <w:tcW w:w="3964" w:type="dxa"/>
            <w:tcBorders>
              <w:top w:val="nil"/>
              <w:left w:val="single" w:color="auto" w:sz="4" w:space="0"/>
              <w:bottom w:val="single" w:color="auto" w:sz="4" w:space="0"/>
              <w:right w:val="single" w:color="auto" w:sz="4" w:space="0"/>
            </w:tcBorders>
            <w:noWrap w:val="0"/>
            <w:vAlign w:val="center"/>
          </w:tcPr>
          <w:p w14:paraId="7484B0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lang w:val="en-US"/>
              </w:rPr>
            </w:pPr>
            <w:r>
              <w:rPr>
                <w:rFonts w:hint="eastAsia" w:ascii="宋体" w:hAnsi="宋体" w:cs="宋体"/>
                <w:color w:val="0000FF"/>
                <w:sz w:val="24"/>
                <w:szCs w:val="24"/>
                <w:highlight w:val="none"/>
                <w:lang w:val="en-US" w:eastAsia="zh-CN"/>
              </w:rPr>
              <w:t>安徽皖仪科技股份有限公司、AQ7100</w:t>
            </w:r>
          </w:p>
        </w:tc>
        <w:tc>
          <w:tcPr>
            <w:tcW w:w="0" w:type="auto"/>
            <w:tcBorders>
              <w:top w:val="nil"/>
              <w:left w:val="nil"/>
              <w:bottom w:val="single" w:color="auto" w:sz="4" w:space="0"/>
              <w:right w:val="single" w:color="auto" w:sz="4" w:space="0"/>
            </w:tcBorders>
            <w:noWrap w:val="0"/>
            <w:vAlign w:val="center"/>
          </w:tcPr>
          <w:p w14:paraId="3EE5D8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套</w:t>
            </w:r>
          </w:p>
        </w:tc>
        <w:tc>
          <w:tcPr>
            <w:tcW w:w="0" w:type="auto"/>
            <w:tcBorders>
              <w:top w:val="nil"/>
              <w:left w:val="nil"/>
              <w:bottom w:val="single" w:color="auto" w:sz="4" w:space="0"/>
              <w:right w:val="single" w:color="auto" w:sz="4" w:space="0"/>
            </w:tcBorders>
            <w:noWrap w:val="0"/>
            <w:vAlign w:val="center"/>
          </w:tcPr>
          <w:p w14:paraId="3A7F10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ascii="宋体" w:hAnsi="宋体" w:eastAsia="宋体" w:cs="宋体"/>
                <w:color w:val="0000FF"/>
                <w:sz w:val="24"/>
                <w:szCs w:val="24"/>
                <w:highlight w:val="none"/>
                <w:lang w:val="en-US" w:eastAsia="zh-CN"/>
              </w:rPr>
            </w:pPr>
            <w:r>
              <w:rPr>
                <w:rFonts w:hint="eastAsia" w:ascii="宋体" w:hAnsi="宋体" w:cs="宋体"/>
                <w:color w:val="0000FF"/>
                <w:sz w:val="24"/>
                <w:szCs w:val="24"/>
                <w:highlight w:val="none"/>
              </w:rPr>
              <w:t>3</w:t>
            </w:r>
            <w:r>
              <w:rPr>
                <w:rFonts w:hint="eastAsia" w:ascii="宋体" w:hAnsi="宋体" w:cs="宋体"/>
                <w:color w:val="0000FF"/>
                <w:sz w:val="24"/>
                <w:szCs w:val="24"/>
                <w:highlight w:val="none"/>
                <w:lang w:val="en-US" w:eastAsia="zh-CN"/>
              </w:rPr>
              <w:t>8</w:t>
            </w:r>
          </w:p>
        </w:tc>
      </w:tr>
      <w:tr w14:paraId="7348D42F">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2A3F3D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20</w:t>
            </w:r>
          </w:p>
        </w:tc>
        <w:tc>
          <w:tcPr>
            <w:tcW w:w="2911" w:type="dxa"/>
            <w:tcBorders>
              <w:top w:val="nil"/>
              <w:left w:val="nil"/>
              <w:bottom w:val="single" w:color="auto" w:sz="4" w:space="0"/>
              <w:right w:val="single" w:color="auto" w:sz="4" w:space="0"/>
            </w:tcBorders>
            <w:noWrap w:val="0"/>
            <w:vAlign w:val="center"/>
          </w:tcPr>
          <w:p w14:paraId="5B56D0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气态因子单元（CO、SO2、NO2，O3、TVOC）</w:t>
            </w:r>
          </w:p>
        </w:tc>
        <w:tc>
          <w:tcPr>
            <w:tcW w:w="3964" w:type="dxa"/>
            <w:tcBorders>
              <w:top w:val="nil"/>
              <w:left w:val="single" w:color="auto" w:sz="4" w:space="0"/>
              <w:bottom w:val="single" w:color="auto" w:sz="4" w:space="0"/>
              <w:right w:val="single" w:color="auto" w:sz="4" w:space="0"/>
            </w:tcBorders>
            <w:noWrap w:val="0"/>
            <w:vAlign w:val="center"/>
          </w:tcPr>
          <w:p w14:paraId="76B2A2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lang w:val="en-US"/>
              </w:rPr>
            </w:pPr>
            <w:r>
              <w:rPr>
                <w:rFonts w:hint="eastAsia" w:ascii="宋体" w:hAnsi="宋体" w:cs="宋体"/>
                <w:color w:val="0000FF"/>
                <w:sz w:val="24"/>
                <w:szCs w:val="24"/>
                <w:highlight w:val="none"/>
                <w:lang w:val="en-US" w:eastAsia="zh-CN"/>
              </w:rPr>
              <w:t>安徽皖仪科技股份有限公司、AQ7100</w:t>
            </w:r>
          </w:p>
        </w:tc>
        <w:tc>
          <w:tcPr>
            <w:tcW w:w="0" w:type="auto"/>
            <w:tcBorders>
              <w:top w:val="nil"/>
              <w:left w:val="nil"/>
              <w:bottom w:val="single" w:color="auto" w:sz="4" w:space="0"/>
              <w:right w:val="single" w:color="auto" w:sz="4" w:space="0"/>
            </w:tcBorders>
            <w:noWrap w:val="0"/>
            <w:vAlign w:val="center"/>
          </w:tcPr>
          <w:p w14:paraId="11C9B5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套</w:t>
            </w:r>
          </w:p>
        </w:tc>
        <w:tc>
          <w:tcPr>
            <w:tcW w:w="0" w:type="auto"/>
            <w:tcBorders>
              <w:top w:val="nil"/>
              <w:left w:val="nil"/>
              <w:bottom w:val="single" w:color="auto" w:sz="4" w:space="0"/>
              <w:right w:val="single" w:color="auto" w:sz="4" w:space="0"/>
            </w:tcBorders>
            <w:noWrap w:val="0"/>
            <w:vAlign w:val="center"/>
          </w:tcPr>
          <w:p w14:paraId="258D7A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ascii="宋体" w:hAnsi="宋体" w:eastAsia="宋体" w:cs="宋体"/>
                <w:color w:val="0000FF"/>
                <w:sz w:val="24"/>
                <w:szCs w:val="24"/>
                <w:highlight w:val="none"/>
                <w:lang w:val="en-US" w:eastAsia="zh-CN"/>
              </w:rPr>
            </w:pPr>
            <w:r>
              <w:rPr>
                <w:rFonts w:hint="eastAsia" w:ascii="宋体" w:hAnsi="宋体" w:cs="宋体"/>
                <w:color w:val="0000FF"/>
                <w:sz w:val="24"/>
                <w:szCs w:val="24"/>
                <w:highlight w:val="none"/>
              </w:rPr>
              <w:t>3</w:t>
            </w:r>
            <w:r>
              <w:rPr>
                <w:rFonts w:hint="eastAsia" w:ascii="宋体" w:hAnsi="宋体" w:cs="宋体"/>
                <w:color w:val="0000FF"/>
                <w:sz w:val="24"/>
                <w:szCs w:val="24"/>
                <w:highlight w:val="none"/>
                <w:lang w:val="en-US" w:eastAsia="zh-CN"/>
              </w:rPr>
              <w:t>8</w:t>
            </w:r>
          </w:p>
        </w:tc>
      </w:tr>
      <w:tr w14:paraId="2AEA6D21">
        <w:tblPrEx>
          <w:tblCellMar>
            <w:top w:w="0" w:type="dxa"/>
            <w:left w:w="108" w:type="dxa"/>
            <w:bottom w:w="0" w:type="dxa"/>
            <w:right w:w="108" w:type="dxa"/>
          </w:tblCellMar>
        </w:tblPrEx>
        <w:trPr>
          <w:trHeight w:val="638" w:hRule="atLeast"/>
          <w:jc w:val="center"/>
        </w:trPr>
        <w:tc>
          <w:tcPr>
            <w:tcW w:w="0" w:type="auto"/>
            <w:tcBorders>
              <w:top w:val="nil"/>
              <w:left w:val="single" w:color="auto" w:sz="4" w:space="0"/>
              <w:bottom w:val="single" w:color="auto" w:sz="4" w:space="0"/>
              <w:right w:val="single" w:color="auto" w:sz="4" w:space="0"/>
            </w:tcBorders>
            <w:noWrap w:val="0"/>
            <w:vAlign w:val="center"/>
          </w:tcPr>
          <w:p w14:paraId="75AFD8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21</w:t>
            </w:r>
          </w:p>
        </w:tc>
        <w:tc>
          <w:tcPr>
            <w:tcW w:w="2911" w:type="dxa"/>
            <w:tcBorders>
              <w:top w:val="nil"/>
              <w:left w:val="nil"/>
              <w:bottom w:val="single" w:color="auto" w:sz="4" w:space="0"/>
              <w:right w:val="single" w:color="auto" w:sz="4" w:space="0"/>
            </w:tcBorders>
            <w:noWrap w:val="0"/>
            <w:vAlign w:val="center"/>
          </w:tcPr>
          <w:p w14:paraId="63BB7E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气象五参数单元（温度，湿度，大气压，风速，风向）</w:t>
            </w:r>
          </w:p>
        </w:tc>
        <w:tc>
          <w:tcPr>
            <w:tcW w:w="3964" w:type="dxa"/>
            <w:tcBorders>
              <w:top w:val="nil"/>
              <w:left w:val="single" w:color="auto" w:sz="4" w:space="0"/>
              <w:bottom w:val="single" w:color="auto" w:sz="4" w:space="0"/>
              <w:right w:val="single" w:color="auto" w:sz="4" w:space="0"/>
            </w:tcBorders>
            <w:noWrap w:val="0"/>
            <w:vAlign w:val="center"/>
          </w:tcPr>
          <w:p w14:paraId="6F9375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lang w:val="en-US"/>
              </w:rPr>
            </w:pPr>
            <w:r>
              <w:rPr>
                <w:rFonts w:hint="eastAsia" w:ascii="宋体" w:hAnsi="宋体" w:cs="宋体"/>
                <w:color w:val="0000FF"/>
                <w:sz w:val="24"/>
                <w:szCs w:val="24"/>
                <w:highlight w:val="none"/>
                <w:lang w:val="en-US" w:eastAsia="zh-CN"/>
              </w:rPr>
              <w:t>安徽皖仪科技股份有限公司、AQ7100</w:t>
            </w:r>
          </w:p>
        </w:tc>
        <w:tc>
          <w:tcPr>
            <w:tcW w:w="0" w:type="auto"/>
            <w:tcBorders>
              <w:top w:val="nil"/>
              <w:left w:val="nil"/>
              <w:bottom w:val="single" w:color="auto" w:sz="4" w:space="0"/>
              <w:right w:val="single" w:color="auto" w:sz="4" w:space="0"/>
            </w:tcBorders>
            <w:noWrap w:val="0"/>
            <w:vAlign w:val="center"/>
          </w:tcPr>
          <w:p w14:paraId="743F03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套</w:t>
            </w:r>
          </w:p>
        </w:tc>
        <w:tc>
          <w:tcPr>
            <w:tcW w:w="0" w:type="auto"/>
            <w:tcBorders>
              <w:top w:val="nil"/>
              <w:left w:val="nil"/>
              <w:bottom w:val="single" w:color="auto" w:sz="4" w:space="0"/>
              <w:right w:val="single" w:color="auto" w:sz="4" w:space="0"/>
            </w:tcBorders>
            <w:noWrap w:val="0"/>
            <w:vAlign w:val="center"/>
          </w:tcPr>
          <w:p w14:paraId="7621A1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ascii="宋体" w:hAnsi="宋体" w:eastAsia="宋体" w:cs="宋体"/>
                <w:color w:val="0000FF"/>
                <w:sz w:val="24"/>
                <w:szCs w:val="24"/>
                <w:highlight w:val="none"/>
                <w:lang w:val="en-US" w:eastAsia="zh-CN"/>
              </w:rPr>
            </w:pPr>
            <w:r>
              <w:rPr>
                <w:rFonts w:hint="eastAsia" w:ascii="宋体" w:hAnsi="宋体" w:cs="宋体"/>
                <w:color w:val="0000FF"/>
                <w:sz w:val="24"/>
                <w:szCs w:val="24"/>
                <w:highlight w:val="none"/>
              </w:rPr>
              <w:t>3</w:t>
            </w:r>
            <w:r>
              <w:rPr>
                <w:rFonts w:hint="eastAsia" w:ascii="宋体" w:hAnsi="宋体" w:cs="宋体"/>
                <w:color w:val="0000FF"/>
                <w:sz w:val="24"/>
                <w:szCs w:val="24"/>
                <w:highlight w:val="none"/>
                <w:lang w:val="en-US" w:eastAsia="zh-CN"/>
              </w:rPr>
              <w:t>8</w:t>
            </w:r>
          </w:p>
        </w:tc>
      </w:tr>
      <w:tr w14:paraId="5FDF6EA4">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5D6259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22</w:t>
            </w:r>
          </w:p>
        </w:tc>
        <w:tc>
          <w:tcPr>
            <w:tcW w:w="2911" w:type="dxa"/>
            <w:tcBorders>
              <w:top w:val="nil"/>
              <w:left w:val="nil"/>
              <w:bottom w:val="single" w:color="auto" w:sz="4" w:space="0"/>
              <w:right w:val="single" w:color="auto" w:sz="4" w:space="0"/>
            </w:tcBorders>
            <w:noWrap w:val="0"/>
            <w:vAlign w:val="center"/>
          </w:tcPr>
          <w:p w14:paraId="0EEF58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立杆</w:t>
            </w:r>
          </w:p>
        </w:tc>
        <w:tc>
          <w:tcPr>
            <w:tcW w:w="3964" w:type="dxa"/>
            <w:tcBorders>
              <w:top w:val="nil"/>
              <w:left w:val="single" w:color="auto" w:sz="4" w:space="0"/>
              <w:bottom w:val="single" w:color="auto" w:sz="4" w:space="0"/>
              <w:right w:val="single" w:color="auto" w:sz="4" w:space="0"/>
            </w:tcBorders>
            <w:noWrap w:val="0"/>
            <w:vAlign w:val="center"/>
          </w:tcPr>
          <w:p w14:paraId="63AA12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ascii="宋体" w:hAnsi="宋体" w:eastAsia="宋体" w:cs="宋体"/>
                <w:color w:val="0000FF"/>
                <w:sz w:val="24"/>
                <w:szCs w:val="24"/>
                <w:highlight w:val="none"/>
                <w:lang w:eastAsia="zh-CN"/>
              </w:rPr>
            </w:pPr>
            <w:r>
              <w:rPr>
                <w:rFonts w:hint="eastAsia" w:ascii="宋体" w:hAnsi="宋体" w:cs="宋体"/>
                <w:color w:val="0000FF"/>
                <w:sz w:val="24"/>
                <w:szCs w:val="24"/>
                <w:highlight w:val="none"/>
                <w:lang w:val="en-US" w:eastAsia="zh-CN"/>
              </w:rPr>
              <w:t>/</w:t>
            </w:r>
          </w:p>
        </w:tc>
        <w:tc>
          <w:tcPr>
            <w:tcW w:w="0" w:type="auto"/>
            <w:tcBorders>
              <w:top w:val="nil"/>
              <w:left w:val="nil"/>
              <w:bottom w:val="single" w:color="auto" w:sz="4" w:space="0"/>
              <w:right w:val="single" w:color="auto" w:sz="4" w:space="0"/>
            </w:tcBorders>
            <w:noWrap w:val="0"/>
            <w:vAlign w:val="center"/>
          </w:tcPr>
          <w:p w14:paraId="12E7A2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个</w:t>
            </w:r>
          </w:p>
        </w:tc>
        <w:tc>
          <w:tcPr>
            <w:tcW w:w="0" w:type="auto"/>
            <w:tcBorders>
              <w:top w:val="nil"/>
              <w:left w:val="nil"/>
              <w:bottom w:val="single" w:color="auto" w:sz="4" w:space="0"/>
              <w:right w:val="single" w:color="auto" w:sz="4" w:space="0"/>
            </w:tcBorders>
            <w:noWrap w:val="0"/>
            <w:vAlign w:val="center"/>
          </w:tcPr>
          <w:p w14:paraId="4A72AB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ascii="宋体" w:hAnsi="宋体" w:eastAsia="宋体" w:cs="宋体"/>
                <w:color w:val="0000FF"/>
                <w:sz w:val="24"/>
                <w:szCs w:val="24"/>
                <w:highlight w:val="none"/>
                <w:lang w:val="en-US" w:eastAsia="zh-CN"/>
              </w:rPr>
            </w:pPr>
            <w:r>
              <w:rPr>
                <w:rFonts w:hint="eastAsia" w:ascii="宋体" w:hAnsi="宋体" w:cs="宋体"/>
                <w:color w:val="0000FF"/>
                <w:sz w:val="24"/>
                <w:szCs w:val="24"/>
                <w:highlight w:val="none"/>
              </w:rPr>
              <w:t>3</w:t>
            </w:r>
            <w:r>
              <w:rPr>
                <w:rFonts w:hint="eastAsia" w:ascii="宋体" w:hAnsi="宋体" w:cs="宋体"/>
                <w:color w:val="0000FF"/>
                <w:sz w:val="24"/>
                <w:szCs w:val="24"/>
                <w:highlight w:val="none"/>
                <w:lang w:val="en-US" w:eastAsia="zh-CN"/>
              </w:rPr>
              <w:t>8</w:t>
            </w:r>
          </w:p>
        </w:tc>
      </w:tr>
      <w:tr w14:paraId="0143507B">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4C8828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23</w:t>
            </w:r>
          </w:p>
        </w:tc>
        <w:tc>
          <w:tcPr>
            <w:tcW w:w="2911" w:type="dxa"/>
            <w:tcBorders>
              <w:top w:val="nil"/>
              <w:left w:val="nil"/>
              <w:bottom w:val="single" w:color="auto" w:sz="4" w:space="0"/>
              <w:right w:val="single" w:color="auto" w:sz="4" w:space="0"/>
            </w:tcBorders>
            <w:noWrap w:val="0"/>
            <w:vAlign w:val="center"/>
          </w:tcPr>
          <w:p w14:paraId="0F1079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数据传输</w:t>
            </w:r>
          </w:p>
        </w:tc>
        <w:tc>
          <w:tcPr>
            <w:tcW w:w="3964" w:type="dxa"/>
            <w:tcBorders>
              <w:top w:val="nil"/>
              <w:left w:val="single" w:color="auto" w:sz="4" w:space="0"/>
              <w:bottom w:val="single" w:color="auto" w:sz="4" w:space="0"/>
              <w:right w:val="single" w:color="auto" w:sz="4" w:space="0"/>
            </w:tcBorders>
            <w:noWrap w:val="0"/>
            <w:vAlign w:val="center"/>
          </w:tcPr>
          <w:p w14:paraId="249CD4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w:t>
            </w:r>
          </w:p>
        </w:tc>
        <w:tc>
          <w:tcPr>
            <w:tcW w:w="0" w:type="auto"/>
            <w:tcBorders>
              <w:top w:val="nil"/>
              <w:left w:val="nil"/>
              <w:bottom w:val="single" w:color="auto" w:sz="4" w:space="0"/>
              <w:right w:val="single" w:color="auto" w:sz="4" w:space="0"/>
            </w:tcBorders>
            <w:noWrap w:val="0"/>
            <w:vAlign w:val="center"/>
          </w:tcPr>
          <w:p w14:paraId="1D1F58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套</w:t>
            </w:r>
          </w:p>
        </w:tc>
        <w:tc>
          <w:tcPr>
            <w:tcW w:w="0" w:type="auto"/>
            <w:tcBorders>
              <w:top w:val="nil"/>
              <w:left w:val="nil"/>
              <w:bottom w:val="single" w:color="auto" w:sz="4" w:space="0"/>
              <w:right w:val="single" w:color="auto" w:sz="4" w:space="0"/>
            </w:tcBorders>
            <w:noWrap w:val="0"/>
            <w:vAlign w:val="center"/>
          </w:tcPr>
          <w:p w14:paraId="408304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ascii="宋体" w:hAnsi="宋体" w:eastAsia="宋体" w:cs="宋体"/>
                <w:color w:val="0000FF"/>
                <w:sz w:val="24"/>
                <w:szCs w:val="24"/>
                <w:highlight w:val="none"/>
                <w:lang w:val="en-US" w:eastAsia="zh-CN"/>
              </w:rPr>
            </w:pPr>
            <w:r>
              <w:rPr>
                <w:rFonts w:hint="eastAsia" w:ascii="宋体" w:hAnsi="宋体" w:cs="宋体"/>
                <w:color w:val="0000FF"/>
                <w:sz w:val="24"/>
                <w:szCs w:val="24"/>
                <w:highlight w:val="none"/>
              </w:rPr>
              <w:t>3</w:t>
            </w:r>
            <w:r>
              <w:rPr>
                <w:rFonts w:hint="eastAsia" w:ascii="宋体" w:hAnsi="宋体" w:cs="宋体"/>
                <w:color w:val="0000FF"/>
                <w:sz w:val="24"/>
                <w:szCs w:val="24"/>
                <w:highlight w:val="none"/>
                <w:lang w:val="en-US" w:eastAsia="zh-CN"/>
              </w:rPr>
              <w:t>8</w:t>
            </w:r>
          </w:p>
        </w:tc>
      </w:tr>
      <w:tr w14:paraId="734D317A">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2A513E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24</w:t>
            </w:r>
          </w:p>
        </w:tc>
        <w:tc>
          <w:tcPr>
            <w:tcW w:w="2911" w:type="dxa"/>
            <w:tcBorders>
              <w:top w:val="nil"/>
              <w:left w:val="nil"/>
              <w:bottom w:val="single" w:color="auto" w:sz="4" w:space="0"/>
              <w:right w:val="single" w:color="auto" w:sz="4" w:space="0"/>
            </w:tcBorders>
            <w:noWrap w:val="0"/>
            <w:vAlign w:val="center"/>
          </w:tcPr>
          <w:p w14:paraId="0A4EBB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安装辅件</w:t>
            </w:r>
          </w:p>
        </w:tc>
        <w:tc>
          <w:tcPr>
            <w:tcW w:w="3964" w:type="dxa"/>
            <w:tcBorders>
              <w:top w:val="nil"/>
              <w:left w:val="single" w:color="auto" w:sz="4" w:space="0"/>
              <w:bottom w:val="single" w:color="auto" w:sz="4" w:space="0"/>
              <w:right w:val="single" w:color="auto" w:sz="4" w:space="0"/>
            </w:tcBorders>
            <w:noWrap w:val="0"/>
            <w:vAlign w:val="center"/>
          </w:tcPr>
          <w:p w14:paraId="2E632B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w:t>
            </w:r>
          </w:p>
        </w:tc>
        <w:tc>
          <w:tcPr>
            <w:tcW w:w="0" w:type="auto"/>
            <w:tcBorders>
              <w:top w:val="nil"/>
              <w:left w:val="nil"/>
              <w:bottom w:val="single" w:color="auto" w:sz="4" w:space="0"/>
              <w:right w:val="single" w:color="auto" w:sz="4" w:space="0"/>
            </w:tcBorders>
            <w:noWrap w:val="0"/>
            <w:vAlign w:val="center"/>
          </w:tcPr>
          <w:p w14:paraId="780E5B5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套</w:t>
            </w:r>
          </w:p>
        </w:tc>
        <w:tc>
          <w:tcPr>
            <w:tcW w:w="0" w:type="auto"/>
            <w:tcBorders>
              <w:top w:val="nil"/>
              <w:left w:val="nil"/>
              <w:bottom w:val="single" w:color="auto" w:sz="4" w:space="0"/>
              <w:right w:val="single" w:color="auto" w:sz="4" w:space="0"/>
            </w:tcBorders>
            <w:noWrap w:val="0"/>
            <w:vAlign w:val="center"/>
          </w:tcPr>
          <w:p w14:paraId="50DE34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ascii="宋体" w:hAnsi="宋体" w:eastAsia="宋体" w:cs="宋体"/>
                <w:color w:val="0000FF"/>
                <w:sz w:val="24"/>
                <w:szCs w:val="24"/>
                <w:highlight w:val="none"/>
                <w:lang w:val="en-US" w:eastAsia="zh-CN"/>
              </w:rPr>
            </w:pPr>
            <w:r>
              <w:rPr>
                <w:rFonts w:hint="eastAsia" w:ascii="宋体" w:hAnsi="宋体" w:cs="宋体"/>
                <w:color w:val="0000FF"/>
                <w:sz w:val="24"/>
                <w:szCs w:val="24"/>
                <w:highlight w:val="none"/>
              </w:rPr>
              <w:t>3</w:t>
            </w:r>
            <w:r>
              <w:rPr>
                <w:rFonts w:hint="eastAsia" w:ascii="宋体" w:hAnsi="宋体" w:cs="宋体"/>
                <w:color w:val="0000FF"/>
                <w:sz w:val="24"/>
                <w:szCs w:val="24"/>
                <w:highlight w:val="none"/>
                <w:lang w:val="en-US" w:eastAsia="zh-CN"/>
              </w:rPr>
              <w:t>8</w:t>
            </w:r>
          </w:p>
        </w:tc>
      </w:tr>
      <w:tr w14:paraId="7AF16F35">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75947F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25</w:t>
            </w:r>
          </w:p>
        </w:tc>
        <w:tc>
          <w:tcPr>
            <w:tcW w:w="2911" w:type="dxa"/>
            <w:tcBorders>
              <w:top w:val="nil"/>
              <w:left w:val="nil"/>
              <w:bottom w:val="single" w:color="auto" w:sz="4" w:space="0"/>
              <w:right w:val="single" w:color="auto" w:sz="4" w:space="0"/>
            </w:tcBorders>
            <w:noWrap w:val="0"/>
            <w:vAlign w:val="center"/>
          </w:tcPr>
          <w:p w14:paraId="4C8B1E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基建和电力建设</w:t>
            </w:r>
          </w:p>
        </w:tc>
        <w:tc>
          <w:tcPr>
            <w:tcW w:w="3964" w:type="dxa"/>
            <w:tcBorders>
              <w:top w:val="nil"/>
              <w:left w:val="single" w:color="auto" w:sz="4" w:space="0"/>
              <w:bottom w:val="single" w:color="auto" w:sz="4" w:space="0"/>
              <w:right w:val="single" w:color="auto" w:sz="4" w:space="0"/>
            </w:tcBorders>
            <w:noWrap w:val="0"/>
            <w:vAlign w:val="center"/>
          </w:tcPr>
          <w:p w14:paraId="3A5756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w:t>
            </w:r>
          </w:p>
        </w:tc>
        <w:tc>
          <w:tcPr>
            <w:tcW w:w="0" w:type="auto"/>
            <w:tcBorders>
              <w:top w:val="nil"/>
              <w:left w:val="nil"/>
              <w:bottom w:val="single" w:color="auto" w:sz="4" w:space="0"/>
              <w:right w:val="single" w:color="auto" w:sz="4" w:space="0"/>
            </w:tcBorders>
            <w:noWrap w:val="0"/>
            <w:vAlign w:val="center"/>
          </w:tcPr>
          <w:p w14:paraId="55AF59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套</w:t>
            </w:r>
          </w:p>
        </w:tc>
        <w:tc>
          <w:tcPr>
            <w:tcW w:w="0" w:type="auto"/>
            <w:tcBorders>
              <w:top w:val="nil"/>
              <w:left w:val="nil"/>
              <w:bottom w:val="single" w:color="auto" w:sz="4" w:space="0"/>
              <w:right w:val="single" w:color="auto" w:sz="4" w:space="0"/>
            </w:tcBorders>
            <w:noWrap w:val="0"/>
            <w:vAlign w:val="center"/>
          </w:tcPr>
          <w:p w14:paraId="727AAD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ascii="宋体" w:hAnsi="宋体" w:eastAsia="宋体" w:cs="宋体"/>
                <w:color w:val="0000FF"/>
                <w:sz w:val="24"/>
                <w:szCs w:val="24"/>
                <w:highlight w:val="none"/>
                <w:lang w:val="en-US" w:eastAsia="zh-CN"/>
              </w:rPr>
            </w:pPr>
            <w:r>
              <w:rPr>
                <w:rFonts w:hint="eastAsia" w:ascii="宋体" w:hAnsi="宋体" w:cs="宋体"/>
                <w:color w:val="0000FF"/>
                <w:sz w:val="24"/>
                <w:szCs w:val="24"/>
                <w:highlight w:val="none"/>
              </w:rPr>
              <w:t>3</w:t>
            </w:r>
            <w:r>
              <w:rPr>
                <w:rFonts w:hint="eastAsia" w:ascii="宋体" w:hAnsi="宋体" w:cs="宋体"/>
                <w:color w:val="0000FF"/>
                <w:sz w:val="24"/>
                <w:szCs w:val="24"/>
                <w:highlight w:val="none"/>
                <w:lang w:val="en-US" w:eastAsia="zh-CN"/>
              </w:rPr>
              <w:t>8</w:t>
            </w:r>
          </w:p>
        </w:tc>
      </w:tr>
      <w:tr w14:paraId="58061234">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7A8C4B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26</w:t>
            </w:r>
          </w:p>
        </w:tc>
        <w:tc>
          <w:tcPr>
            <w:tcW w:w="2911" w:type="dxa"/>
            <w:tcBorders>
              <w:top w:val="nil"/>
              <w:left w:val="nil"/>
              <w:bottom w:val="single" w:color="auto" w:sz="4" w:space="0"/>
              <w:right w:val="single" w:color="auto" w:sz="4" w:space="0"/>
            </w:tcBorders>
            <w:noWrap w:val="0"/>
            <w:vAlign w:val="center"/>
          </w:tcPr>
          <w:p w14:paraId="40424A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安装调试</w:t>
            </w:r>
          </w:p>
        </w:tc>
        <w:tc>
          <w:tcPr>
            <w:tcW w:w="3964" w:type="dxa"/>
            <w:tcBorders>
              <w:top w:val="nil"/>
              <w:left w:val="single" w:color="auto" w:sz="4" w:space="0"/>
              <w:bottom w:val="single" w:color="auto" w:sz="4" w:space="0"/>
              <w:right w:val="single" w:color="auto" w:sz="4" w:space="0"/>
            </w:tcBorders>
            <w:noWrap w:val="0"/>
            <w:vAlign w:val="center"/>
          </w:tcPr>
          <w:p w14:paraId="5C2192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w:t>
            </w:r>
          </w:p>
        </w:tc>
        <w:tc>
          <w:tcPr>
            <w:tcW w:w="0" w:type="auto"/>
            <w:tcBorders>
              <w:top w:val="nil"/>
              <w:left w:val="nil"/>
              <w:bottom w:val="single" w:color="auto" w:sz="4" w:space="0"/>
              <w:right w:val="single" w:color="auto" w:sz="4" w:space="0"/>
            </w:tcBorders>
            <w:noWrap w:val="0"/>
            <w:vAlign w:val="center"/>
          </w:tcPr>
          <w:p w14:paraId="499B33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套</w:t>
            </w:r>
          </w:p>
        </w:tc>
        <w:tc>
          <w:tcPr>
            <w:tcW w:w="0" w:type="auto"/>
            <w:tcBorders>
              <w:top w:val="nil"/>
              <w:left w:val="nil"/>
              <w:bottom w:val="single" w:color="auto" w:sz="4" w:space="0"/>
              <w:right w:val="single" w:color="auto" w:sz="4" w:space="0"/>
            </w:tcBorders>
            <w:noWrap w:val="0"/>
            <w:vAlign w:val="center"/>
          </w:tcPr>
          <w:p w14:paraId="4CDF78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ascii="宋体" w:hAnsi="宋体" w:eastAsia="宋体" w:cs="宋体"/>
                <w:color w:val="0000FF"/>
                <w:sz w:val="24"/>
                <w:szCs w:val="24"/>
                <w:highlight w:val="none"/>
                <w:lang w:val="en-US" w:eastAsia="zh-CN"/>
              </w:rPr>
            </w:pPr>
            <w:r>
              <w:rPr>
                <w:rFonts w:hint="eastAsia" w:ascii="宋体" w:hAnsi="宋体" w:cs="宋体"/>
                <w:color w:val="0000FF"/>
                <w:sz w:val="24"/>
                <w:szCs w:val="24"/>
                <w:highlight w:val="none"/>
              </w:rPr>
              <w:t>3</w:t>
            </w:r>
            <w:r>
              <w:rPr>
                <w:rFonts w:hint="eastAsia" w:ascii="宋体" w:hAnsi="宋体" w:cs="宋体"/>
                <w:color w:val="0000FF"/>
                <w:sz w:val="24"/>
                <w:szCs w:val="24"/>
                <w:highlight w:val="none"/>
                <w:lang w:val="en-US" w:eastAsia="zh-CN"/>
              </w:rPr>
              <w:t>8</w:t>
            </w:r>
          </w:p>
        </w:tc>
      </w:tr>
      <w:tr w14:paraId="0DB9986D">
        <w:tblPrEx>
          <w:tblCellMar>
            <w:top w:w="0" w:type="dxa"/>
            <w:left w:w="108" w:type="dxa"/>
            <w:bottom w:w="0" w:type="dxa"/>
            <w:right w:w="108" w:type="dxa"/>
          </w:tblCellMar>
        </w:tblPrEx>
        <w:trPr>
          <w:trHeight w:val="90" w:hRule="atLeast"/>
          <w:jc w:val="center"/>
        </w:trPr>
        <w:tc>
          <w:tcPr>
            <w:tcW w:w="0" w:type="auto"/>
            <w:tcBorders>
              <w:top w:val="nil"/>
              <w:left w:val="single" w:color="auto" w:sz="4" w:space="0"/>
              <w:bottom w:val="single" w:color="auto" w:sz="4" w:space="0"/>
              <w:right w:val="single" w:color="auto" w:sz="4" w:space="0"/>
            </w:tcBorders>
            <w:noWrap w:val="0"/>
            <w:vAlign w:val="center"/>
          </w:tcPr>
          <w:p w14:paraId="325CE9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27</w:t>
            </w:r>
          </w:p>
        </w:tc>
        <w:tc>
          <w:tcPr>
            <w:tcW w:w="2911" w:type="dxa"/>
            <w:tcBorders>
              <w:top w:val="nil"/>
              <w:left w:val="nil"/>
              <w:bottom w:val="single" w:color="auto" w:sz="4" w:space="0"/>
              <w:right w:val="single" w:color="auto" w:sz="4" w:space="0"/>
            </w:tcBorders>
            <w:noWrap w:val="0"/>
            <w:vAlign w:val="center"/>
          </w:tcPr>
          <w:p w14:paraId="3A6B2E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氨氮在线分析仪</w:t>
            </w:r>
          </w:p>
        </w:tc>
        <w:tc>
          <w:tcPr>
            <w:tcW w:w="3964" w:type="dxa"/>
            <w:tcBorders>
              <w:top w:val="nil"/>
              <w:left w:val="single" w:color="auto" w:sz="4" w:space="0"/>
              <w:bottom w:val="single" w:color="auto" w:sz="4" w:space="0"/>
              <w:right w:val="single" w:color="auto" w:sz="4" w:space="0"/>
            </w:tcBorders>
            <w:noWrap w:val="0"/>
            <w:vAlign w:val="center"/>
          </w:tcPr>
          <w:p w14:paraId="75E098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lang w:val="en-US"/>
              </w:rPr>
            </w:pPr>
            <w:r>
              <w:rPr>
                <w:rFonts w:hint="eastAsia" w:ascii="宋体" w:hAnsi="宋体" w:cs="宋体"/>
                <w:color w:val="0000FF"/>
                <w:sz w:val="24"/>
                <w:szCs w:val="24"/>
                <w:highlight w:val="none"/>
                <w:lang w:val="en-US" w:eastAsia="zh-CN"/>
              </w:rPr>
              <w:t>安徽皖仪科技股份有限公司、WS1503</w:t>
            </w:r>
          </w:p>
        </w:tc>
        <w:tc>
          <w:tcPr>
            <w:tcW w:w="0" w:type="auto"/>
            <w:tcBorders>
              <w:top w:val="nil"/>
              <w:left w:val="nil"/>
              <w:bottom w:val="single" w:color="auto" w:sz="4" w:space="0"/>
              <w:right w:val="single" w:color="auto" w:sz="4" w:space="0"/>
            </w:tcBorders>
            <w:noWrap w:val="0"/>
            <w:vAlign w:val="center"/>
          </w:tcPr>
          <w:p w14:paraId="266487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台</w:t>
            </w:r>
          </w:p>
        </w:tc>
        <w:tc>
          <w:tcPr>
            <w:tcW w:w="0" w:type="auto"/>
            <w:tcBorders>
              <w:top w:val="nil"/>
              <w:left w:val="nil"/>
              <w:bottom w:val="single" w:color="auto" w:sz="4" w:space="0"/>
              <w:right w:val="single" w:color="auto" w:sz="4" w:space="0"/>
            </w:tcBorders>
            <w:noWrap w:val="0"/>
            <w:vAlign w:val="center"/>
          </w:tcPr>
          <w:p w14:paraId="0E0373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4234780A">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74D7C1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28</w:t>
            </w:r>
          </w:p>
        </w:tc>
        <w:tc>
          <w:tcPr>
            <w:tcW w:w="2911" w:type="dxa"/>
            <w:tcBorders>
              <w:top w:val="nil"/>
              <w:left w:val="nil"/>
              <w:bottom w:val="single" w:color="auto" w:sz="4" w:space="0"/>
              <w:right w:val="single" w:color="auto" w:sz="4" w:space="0"/>
            </w:tcBorders>
            <w:noWrap w:val="0"/>
            <w:vAlign w:val="center"/>
          </w:tcPr>
          <w:p w14:paraId="4F4DAB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总磷在线分析仪</w:t>
            </w:r>
          </w:p>
        </w:tc>
        <w:tc>
          <w:tcPr>
            <w:tcW w:w="3964" w:type="dxa"/>
            <w:tcBorders>
              <w:top w:val="nil"/>
              <w:left w:val="single" w:color="auto" w:sz="4" w:space="0"/>
              <w:bottom w:val="single" w:color="auto" w:sz="4" w:space="0"/>
              <w:right w:val="single" w:color="auto" w:sz="4" w:space="0"/>
            </w:tcBorders>
            <w:noWrap w:val="0"/>
            <w:vAlign w:val="center"/>
          </w:tcPr>
          <w:p w14:paraId="77E118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lang w:val="en-US"/>
              </w:rPr>
            </w:pPr>
            <w:r>
              <w:rPr>
                <w:rFonts w:hint="eastAsia" w:ascii="宋体" w:hAnsi="宋体" w:cs="宋体"/>
                <w:color w:val="0000FF"/>
                <w:sz w:val="24"/>
                <w:szCs w:val="24"/>
                <w:highlight w:val="none"/>
                <w:lang w:val="en-US" w:eastAsia="zh-CN"/>
              </w:rPr>
              <w:t>安徽皖仪科技股份有限公司、WS1504</w:t>
            </w:r>
          </w:p>
        </w:tc>
        <w:tc>
          <w:tcPr>
            <w:tcW w:w="0" w:type="auto"/>
            <w:tcBorders>
              <w:top w:val="nil"/>
              <w:left w:val="nil"/>
              <w:bottom w:val="single" w:color="auto" w:sz="4" w:space="0"/>
              <w:right w:val="single" w:color="auto" w:sz="4" w:space="0"/>
            </w:tcBorders>
            <w:noWrap w:val="0"/>
            <w:vAlign w:val="center"/>
          </w:tcPr>
          <w:p w14:paraId="3D487E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台</w:t>
            </w:r>
          </w:p>
        </w:tc>
        <w:tc>
          <w:tcPr>
            <w:tcW w:w="0" w:type="auto"/>
            <w:tcBorders>
              <w:top w:val="nil"/>
              <w:left w:val="nil"/>
              <w:bottom w:val="single" w:color="auto" w:sz="4" w:space="0"/>
              <w:right w:val="single" w:color="auto" w:sz="4" w:space="0"/>
            </w:tcBorders>
            <w:noWrap w:val="0"/>
            <w:vAlign w:val="center"/>
          </w:tcPr>
          <w:p w14:paraId="1C770B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464C7CC6">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781FD4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29</w:t>
            </w:r>
          </w:p>
        </w:tc>
        <w:tc>
          <w:tcPr>
            <w:tcW w:w="2911" w:type="dxa"/>
            <w:tcBorders>
              <w:top w:val="nil"/>
              <w:left w:val="nil"/>
              <w:bottom w:val="single" w:color="auto" w:sz="4" w:space="0"/>
              <w:right w:val="single" w:color="auto" w:sz="4" w:space="0"/>
            </w:tcBorders>
            <w:noWrap w:val="0"/>
            <w:vAlign w:val="center"/>
          </w:tcPr>
          <w:p w14:paraId="16E54A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总氮在线分析仪</w:t>
            </w:r>
          </w:p>
        </w:tc>
        <w:tc>
          <w:tcPr>
            <w:tcW w:w="3964" w:type="dxa"/>
            <w:tcBorders>
              <w:top w:val="nil"/>
              <w:left w:val="single" w:color="auto" w:sz="4" w:space="0"/>
              <w:bottom w:val="single" w:color="auto" w:sz="4" w:space="0"/>
              <w:right w:val="single" w:color="auto" w:sz="4" w:space="0"/>
            </w:tcBorders>
            <w:noWrap w:val="0"/>
            <w:vAlign w:val="center"/>
          </w:tcPr>
          <w:p w14:paraId="38D68A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lang w:val="en-US"/>
              </w:rPr>
            </w:pPr>
            <w:r>
              <w:rPr>
                <w:rFonts w:hint="eastAsia" w:ascii="宋体" w:hAnsi="宋体" w:cs="宋体"/>
                <w:color w:val="0000FF"/>
                <w:sz w:val="24"/>
                <w:szCs w:val="24"/>
                <w:highlight w:val="none"/>
                <w:lang w:val="en-US" w:eastAsia="zh-CN"/>
              </w:rPr>
              <w:t>安徽皖仪科技股份有限公司、WS1505</w:t>
            </w:r>
          </w:p>
        </w:tc>
        <w:tc>
          <w:tcPr>
            <w:tcW w:w="0" w:type="auto"/>
            <w:tcBorders>
              <w:top w:val="nil"/>
              <w:left w:val="nil"/>
              <w:bottom w:val="single" w:color="auto" w:sz="4" w:space="0"/>
              <w:right w:val="single" w:color="auto" w:sz="4" w:space="0"/>
            </w:tcBorders>
            <w:noWrap w:val="0"/>
            <w:vAlign w:val="center"/>
          </w:tcPr>
          <w:p w14:paraId="06BA5C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台</w:t>
            </w:r>
          </w:p>
        </w:tc>
        <w:tc>
          <w:tcPr>
            <w:tcW w:w="0" w:type="auto"/>
            <w:tcBorders>
              <w:top w:val="nil"/>
              <w:left w:val="nil"/>
              <w:bottom w:val="single" w:color="auto" w:sz="4" w:space="0"/>
              <w:right w:val="single" w:color="auto" w:sz="4" w:space="0"/>
            </w:tcBorders>
            <w:noWrap w:val="0"/>
            <w:vAlign w:val="center"/>
          </w:tcPr>
          <w:p w14:paraId="6E72F0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4269F678">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72A234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30</w:t>
            </w:r>
          </w:p>
        </w:tc>
        <w:tc>
          <w:tcPr>
            <w:tcW w:w="2911" w:type="dxa"/>
            <w:tcBorders>
              <w:top w:val="nil"/>
              <w:left w:val="nil"/>
              <w:bottom w:val="single" w:color="auto" w:sz="4" w:space="0"/>
              <w:right w:val="single" w:color="auto" w:sz="4" w:space="0"/>
            </w:tcBorders>
            <w:noWrap w:val="0"/>
            <w:vAlign w:val="center"/>
          </w:tcPr>
          <w:p w14:paraId="7F4B1B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高锰酸盐指数分析仪</w:t>
            </w:r>
          </w:p>
        </w:tc>
        <w:tc>
          <w:tcPr>
            <w:tcW w:w="3964" w:type="dxa"/>
            <w:tcBorders>
              <w:top w:val="nil"/>
              <w:left w:val="single" w:color="auto" w:sz="4" w:space="0"/>
              <w:bottom w:val="single" w:color="auto" w:sz="4" w:space="0"/>
              <w:right w:val="single" w:color="auto" w:sz="4" w:space="0"/>
            </w:tcBorders>
            <w:noWrap w:val="0"/>
            <w:vAlign w:val="center"/>
          </w:tcPr>
          <w:p w14:paraId="780647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lang w:val="en-US"/>
              </w:rPr>
            </w:pPr>
            <w:r>
              <w:rPr>
                <w:rFonts w:hint="eastAsia" w:ascii="宋体" w:hAnsi="宋体" w:cs="宋体"/>
                <w:color w:val="0000FF"/>
                <w:sz w:val="24"/>
                <w:szCs w:val="24"/>
                <w:highlight w:val="none"/>
                <w:lang w:val="en-US" w:eastAsia="zh-CN"/>
              </w:rPr>
              <w:t>安徽皖仪科技股份有限公司、WS1506</w:t>
            </w:r>
          </w:p>
        </w:tc>
        <w:tc>
          <w:tcPr>
            <w:tcW w:w="0" w:type="auto"/>
            <w:tcBorders>
              <w:top w:val="nil"/>
              <w:left w:val="nil"/>
              <w:bottom w:val="single" w:color="auto" w:sz="4" w:space="0"/>
              <w:right w:val="single" w:color="auto" w:sz="4" w:space="0"/>
            </w:tcBorders>
            <w:noWrap w:val="0"/>
            <w:vAlign w:val="center"/>
          </w:tcPr>
          <w:p w14:paraId="7ADC9F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台</w:t>
            </w:r>
          </w:p>
        </w:tc>
        <w:tc>
          <w:tcPr>
            <w:tcW w:w="0" w:type="auto"/>
            <w:tcBorders>
              <w:top w:val="nil"/>
              <w:left w:val="nil"/>
              <w:bottom w:val="single" w:color="auto" w:sz="4" w:space="0"/>
              <w:right w:val="single" w:color="auto" w:sz="4" w:space="0"/>
            </w:tcBorders>
            <w:noWrap w:val="0"/>
            <w:vAlign w:val="center"/>
          </w:tcPr>
          <w:p w14:paraId="65F64A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712ACEB5">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25D524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31</w:t>
            </w:r>
          </w:p>
        </w:tc>
        <w:tc>
          <w:tcPr>
            <w:tcW w:w="2911" w:type="dxa"/>
            <w:tcBorders>
              <w:top w:val="nil"/>
              <w:left w:val="nil"/>
              <w:bottom w:val="single" w:color="auto" w:sz="4" w:space="0"/>
              <w:right w:val="single" w:color="auto" w:sz="4" w:space="0"/>
            </w:tcBorders>
            <w:noWrap w:val="0"/>
            <w:vAlign w:val="center"/>
          </w:tcPr>
          <w:p w14:paraId="79FAE2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水质五参分析仪</w:t>
            </w:r>
          </w:p>
        </w:tc>
        <w:tc>
          <w:tcPr>
            <w:tcW w:w="3964" w:type="dxa"/>
            <w:tcBorders>
              <w:top w:val="nil"/>
              <w:left w:val="single" w:color="auto" w:sz="4" w:space="0"/>
              <w:bottom w:val="single" w:color="auto" w:sz="4" w:space="0"/>
              <w:right w:val="single" w:color="auto" w:sz="4" w:space="0"/>
            </w:tcBorders>
            <w:noWrap w:val="0"/>
            <w:vAlign w:val="center"/>
          </w:tcPr>
          <w:p w14:paraId="464CA0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lang w:val="en-US"/>
              </w:rPr>
            </w:pPr>
            <w:r>
              <w:rPr>
                <w:rFonts w:hint="eastAsia" w:ascii="宋体" w:hAnsi="宋体" w:cs="宋体"/>
                <w:color w:val="0000FF"/>
                <w:sz w:val="24"/>
                <w:szCs w:val="24"/>
                <w:highlight w:val="none"/>
                <w:lang w:val="en-US" w:eastAsia="zh-CN"/>
              </w:rPr>
              <w:t>安徽皖仪科技股份有限公司、WS1806</w:t>
            </w:r>
          </w:p>
        </w:tc>
        <w:tc>
          <w:tcPr>
            <w:tcW w:w="0" w:type="auto"/>
            <w:tcBorders>
              <w:top w:val="nil"/>
              <w:left w:val="nil"/>
              <w:bottom w:val="single" w:color="auto" w:sz="4" w:space="0"/>
              <w:right w:val="single" w:color="auto" w:sz="4" w:space="0"/>
            </w:tcBorders>
            <w:noWrap w:val="0"/>
            <w:vAlign w:val="center"/>
          </w:tcPr>
          <w:p w14:paraId="16FCC7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台</w:t>
            </w:r>
          </w:p>
        </w:tc>
        <w:tc>
          <w:tcPr>
            <w:tcW w:w="0" w:type="auto"/>
            <w:tcBorders>
              <w:top w:val="nil"/>
              <w:left w:val="nil"/>
              <w:bottom w:val="single" w:color="auto" w:sz="4" w:space="0"/>
              <w:right w:val="single" w:color="auto" w:sz="4" w:space="0"/>
            </w:tcBorders>
            <w:noWrap w:val="0"/>
            <w:vAlign w:val="center"/>
          </w:tcPr>
          <w:p w14:paraId="4D5758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5FFE5313">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4CB044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32</w:t>
            </w:r>
          </w:p>
        </w:tc>
        <w:tc>
          <w:tcPr>
            <w:tcW w:w="2911" w:type="dxa"/>
            <w:tcBorders>
              <w:top w:val="nil"/>
              <w:left w:val="nil"/>
              <w:bottom w:val="single" w:color="auto" w:sz="4" w:space="0"/>
              <w:right w:val="single" w:color="auto" w:sz="4" w:space="0"/>
            </w:tcBorders>
            <w:noWrap w:val="0"/>
            <w:vAlign w:val="center"/>
          </w:tcPr>
          <w:p w14:paraId="55CA7B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河道流量计</w:t>
            </w:r>
          </w:p>
        </w:tc>
        <w:tc>
          <w:tcPr>
            <w:tcW w:w="3964" w:type="dxa"/>
            <w:tcBorders>
              <w:top w:val="nil"/>
              <w:left w:val="single" w:color="auto" w:sz="4" w:space="0"/>
              <w:bottom w:val="single" w:color="auto" w:sz="4" w:space="0"/>
              <w:right w:val="single" w:color="auto" w:sz="4" w:space="0"/>
            </w:tcBorders>
            <w:noWrap w:val="0"/>
            <w:vAlign w:val="center"/>
          </w:tcPr>
          <w:p w14:paraId="18F6EC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lang w:val="en-US"/>
              </w:rPr>
            </w:pPr>
            <w:r>
              <w:rPr>
                <w:rFonts w:hint="eastAsia" w:ascii="宋体" w:hAnsi="宋体" w:cs="宋体"/>
                <w:color w:val="0000FF"/>
                <w:sz w:val="24"/>
                <w:szCs w:val="24"/>
                <w:highlight w:val="none"/>
                <w:lang w:val="en-US" w:eastAsia="zh-CN"/>
              </w:rPr>
              <w:t xml:space="preserve">北京格乐普高新技术有限公司 GLP660-2M-2000H    </w:t>
            </w:r>
          </w:p>
        </w:tc>
        <w:tc>
          <w:tcPr>
            <w:tcW w:w="0" w:type="auto"/>
            <w:tcBorders>
              <w:top w:val="nil"/>
              <w:left w:val="nil"/>
              <w:bottom w:val="single" w:color="auto" w:sz="4" w:space="0"/>
              <w:right w:val="single" w:color="auto" w:sz="4" w:space="0"/>
            </w:tcBorders>
            <w:noWrap w:val="0"/>
            <w:vAlign w:val="center"/>
          </w:tcPr>
          <w:p w14:paraId="783DE7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台</w:t>
            </w:r>
          </w:p>
        </w:tc>
        <w:tc>
          <w:tcPr>
            <w:tcW w:w="0" w:type="auto"/>
            <w:tcBorders>
              <w:top w:val="nil"/>
              <w:left w:val="nil"/>
              <w:bottom w:val="single" w:color="auto" w:sz="4" w:space="0"/>
              <w:right w:val="single" w:color="auto" w:sz="4" w:space="0"/>
            </w:tcBorders>
            <w:noWrap w:val="0"/>
            <w:vAlign w:val="center"/>
          </w:tcPr>
          <w:p w14:paraId="6E1CA5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556683A0">
        <w:tblPrEx>
          <w:tblCellMar>
            <w:top w:w="0" w:type="dxa"/>
            <w:left w:w="108" w:type="dxa"/>
            <w:bottom w:w="0" w:type="dxa"/>
            <w:right w:w="108" w:type="dxa"/>
          </w:tblCellMar>
        </w:tblPrEx>
        <w:trPr>
          <w:trHeight w:val="380" w:hRule="atLeast"/>
          <w:jc w:val="center"/>
        </w:trPr>
        <w:tc>
          <w:tcPr>
            <w:tcW w:w="0" w:type="auto"/>
            <w:tcBorders>
              <w:top w:val="nil"/>
              <w:left w:val="single" w:color="auto" w:sz="4" w:space="0"/>
              <w:bottom w:val="single" w:color="auto" w:sz="4" w:space="0"/>
              <w:right w:val="single" w:color="auto" w:sz="4" w:space="0"/>
            </w:tcBorders>
            <w:noWrap w:val="0"/>
            <w:vAlign w:val="center"/>
          </w:tcPr>
          <w:p w14:paraId="12F782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33</w:t>
            </w:r>
          </w:p>
        </w:tc>
        <w:tc>
          <w:tcPr>
            <w:tcW w:w="2911" w:type="dxa"/>
            <w:tcBorders>
              <w:top w:val="nil"/>
              <w:left w:val="nil"/>
              <w:bottom w:val="single" w:color="auto" w:sz="4" w:space="0"/>
              <w:right w:val="single" w:color="auto" w:sz="4" w:space="0"/>
            </w:tcBorders>
            <w:noWrap w:val="0"/>
            <w:vAlign w:val="center"/>
          </w:tcPr>
          <w:p w14:paraId="7F5906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采水单元</w:t>
            </w:r>
          </w:p>
        </w:tc>
        <w:tc>
          <w:tcPr>
            <w:tcW w:w="3964" w:type="dxa"/>
            <w:tcBorders>
              <w:top w:val="nil"/>
              <w:left w:val="single" w:color="auto" w:sz="4" w:space="0"/>
              <w:bottom w:val="single" w:color="auto" w:sz="4" w:space="0"/>
              <w:right w:val="single" w:color="auto" w:sz="4" w:space="0"/>
            </w:tcBorders>
            <w:noWrap w:val="0"/>
            <w:vAlign w:val="center"/>
          </w:tcPr>
          <w:p w14:paraId="1161CE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ascii="宋体" w:hAnsi="宋体" w:eastAsia="宋体" w:cs="宋体"/>
                <w:color w:val="0000FF"/>
                <w:sz w:val="24"/>
                <w:szCs w:val="24"/>
                <w:highlight w:val="none"/>
                <w:lang w:eastAsia="zh-CN"/>
              </w:rPr>
            </w:pPr>
            <w:r>
              <w:rPr>
                <w:rFonts w:hint="eastAsia" w:ascii="宋体" w:hAnsi="宋体" w:cs="宋体"/>
                <w:color w:val="0000FF"/>
                <w:sz w:val="24"/>
                <w:szCs w:val="24"/>
                <w:highlight w:val="none"/>
                <w:lang w:val="en-US" w:eastAsia="zh-CN"/>
              </w:rPr>
              <w:t>/</w:t>
            </w:r>
          </w:p>
        </w:tc>
        <w:tc>
          <w:tcPr>
            <w:tcW w:w="0" w:type="auto"/>
            <w:tcBorders>
              <w:top w:val="nil"/>
              <w:left w:val="nil"/>
              <w:bottom w:val="single" w:color="auto" w:sz="4" w:space="0"/>
              <w:right w:val="single" w:color="auto" w:sz="4" w:space="0"/>
            </w:tcBorders>
            <w:noWrap w:val="0"/>
            <w:vAlign w:val="center"/>
          </w:tcPr>
          <w:p w14:paraId="68EC33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套</w:t>
            </w:r>
          </w:p>
        </w:tc>
        <w:tc>
          <w:tcPr>
            <w:tcW w:w="0" w:type="auto"/>
            <w:tcBorders>
              <w:top w:val="nil"/>
              <w:left w:val="nil"/>
              <w:bottom w:val="single" w:color="auto" w:sz="4" w:space="0"/>
              <w:right w:val="single" w:color="auto" w:sz="4" w:space="0"/>
            </w:tcBorders>
            <w:noWrap w:val="0"/>
            <w:vAlign w:val="center"/>
          </w:tcPr>
          <w:p w14:paraId="029548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21D2270D">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27DBDF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34</w:t>
            </w:r>
          </w:p>
        </w:tc>
        <w:tc>
          <w:tcPr>
            <w:tcW w:w="2911" w:type="dxa"/>
            <w:tcBorders>
              <w:top w:val="nil"/>
              <w:left w:val="nil"/>
              <w:bottom w:val="single" w:color="auto" w:sz="4" w:space="0"/>
              <w:right w:val="single" w:color="auto" w:sz="4" w:space="0"/>
            </w:tcBorders>
            <w:noWrap w:val="0"/>
            <w:vAlign w:val="center"/>
          </w:tcPr>
          <w:p w14:paraId="33BF98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配水及预处理单元</w:t>
            </w:r>
          </w:p>
        </w:tc>
        <w:tc>
          <w:tcPr>
            <w:tcW w:w="3964" w:type="dxa"/>
            <w:tcBorders>
              <w:top w:val="nil"/>
              <w:left w:val="single" w:color="auto" w:sz="4" w:space="0"/>
              <w:bottom w:val="single" w:color="auto" w:sz="4" w:space="0"/>
              <w:right w:val="single" w:color="auto" w:sz="4" w:space="0"/>
            </w:tcBorders>
            <w:noWrap w:val="0"/>
            <w:vAlign w:val="center"/>
          </w:tcPr>
          <w:p w14:paraId="3B3870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ascii="宋体" w:hAnsi="宋体" w:eastAsia="宋体" w:cs="宋体"/>
                <w:color w:val="0000FF"/>
                <w:sz w:val="24"/>
                <w:szCs w:val="24"/>
                <w:highlight w:val="none"/>
                <w:lang w:eastAsia="zh-CN"/>
              </w:rPr>
            </w:pPr>
            <w:r>
              <w:rPr>
                <w:rFonts w:hint="eastAsia" w:ascii="宋体" w:hAnsi="宋体" w:cs="宋体"/>
                <w:color w:val="0000FF"/>
                <w:sz w:val="24"/>
                <w:szCs w:val="24"/>
                <w:highlight w:val="none"/>
                <w:lang w:val="en-US" w:eastAsia="zh-CN"/>
              </w:rPr>
              <w:t>/</w:t>
            </w:r>
          </w:p>
        </w:tc>
        <w:tc>
          <w:tcPr>
            <w:tcW w:w="0" w:type="auto"/>
            <w:tcBorders>
              <w:top w:val="nil"/>
              <w:left w:val="nil"/>
              <w:bottom w:val="single" w:color="auto" w:sz="4" w:space="0"/>
              <w:right w:val="single" w:color="auto" w:sz="4" w:space="0"/>
            </w:tcBorders>
            <w:noWrap w:val="0"/>
            <w:vAlign w:val="center"/>
          </w:tcPr>
          <w:p w14:paraId="15A628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套</w:t>
            </w:r>
          </w:p>
        </w:tc>
        <w:tc>
          <w:tcPr>
            <w:tcW w:w="0" w:type="auto"/>
            <w:tcBorders>
              <w:top w:val="nil"/>
              <w:left w:val="nil"/>
              <w:bottom w:val="single" w:color="auto" w:sz="4" w:space="0"/>
              <w:right w:val="single" w:color="auto" w:sz="4" w:space="0"/>
            </w:tcBorders>
            <w:noWrap w:val="0"/>
            <w:vAlign w:val="center"/>
          </w:tcPr>
          <w:p w14:paraId="5AF576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1AA81581">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49E9BF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35</w:t>
            </w:r>
          </w:p>
        </w:tc>
        <w:tc>
          <w:tcPr>
            <w:tcW w:w="2911" w:type="dxa"/>
            <w:tcBorders>
              <w:top w:val="nil"/>
              <w:left w:val="nil"/>
              <w:bottom w:val="single" w:color="auto" w:sz="4" w:space="0"/>
              <w:right w:val="single" w:color="auto" w:sz="4" w:space="0"/>
            </w:tcBorders>
            <w:noWrap w:val="0"/>
            <w:vAlign w:val="center"/>
          </w:tcPr>
          <w:p w14:paraId="66DF1D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控制、数据采集传输单元</w:t>
            </w:r>
          </w:p>
        </w:tc>
        <w:tc>
          <w:tcPr>
            <w:tcW w:w="3964" w:type="dxa"/>
            <w:tcBorders>
              <w:top w:val="nil"/>
              <w:left w:val="single" w:color="auto" w:sz="4" w:space="0"/>
              <w:bottom w:val="single" w:color="auto" w:sz="4" w:space="0"/>
              <w:right w:val="single" w:color="auto" w:sz="4" w:space="0"/>
            </w:tcBorders>
            <w:noWrap w:val="0"/>
            <w:vAlign w:val="center"/>
          </w:tcPr>
          <w:p w14:paraId="57EE7A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ascii="宋体" w:hAnsi="宋体" w:eastAsia="宋体" w:cs="宋体"/>
                <w:color w:val="0000FF"/>
                <w:sz w:val="24"/>
                <w:szCs w:val="24"/>
                <w:highlight w:val="none"/>
                <w:lang w:eastAsia="zh-CN"/>
              </w:rPr>
            </w:pPr>
            <w:r>
              <w:rPr>
                <w:rFonts w:hint="eastAsia" w:ascii="宋体" w:hAnsi="宋体" w:cs="宋体"/>
                <w:color w:val="0000FF"/>
                <w:sz w:val="24"/>
                <w:szCs w:val="24"/>
                <w:highlight w:val="none"/>
                <w:lang w:val="en-US" w:eastAsia="zh-CN"/>
              </w:rPr>
              <w:t>/</w:t>
            </w:r>
          </w:p>
        </w:tc>
        <w:tc>
          <w:tcPr>
            <w:tcW w:w="0" w:type="auto"/>
            <w:tcBorders>
              <w:top w:val="nil"/>
              <w:left w:val="nil"/>
              <w:bottom w:val="single" w:color="auto" w:sz="4" w:space="0"/>
              <w:right w:val="single" w:color="auto" w:sz="4" w:space="0"/>
            </w:tcBorders>
            <w:noWrap w:val="0"/>
            <w:vAlign w:val="center"/>
          </w:tcPr>
          <w:p w14:paraId="4B5EB4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套</w:t>
            </w:r>
          </w:p>
        </w:tc>
        <w:tc>
          <w:tcPr>
            <w:tcW w:w="0" w:type="auto"/>
            <w:tcBorders>
              <w:top w:val="nil"/>
              <w:left w:val="nil"/>
              <w:bottom w:val="single" w:color="auto" w:sz="4" w:space="0"/>
              <w:right w:val="single" w:color="auto" w:sz="4" w:space="0"/>
            </w:tcBorders>
            <w:noWrap w:val="0"/>
            <w:vAlign w:val="center"/>
          </w:tcPr>
          <w:p w14:paraId="29E8BE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50CD315D">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3B2D61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36</w:t>
            </w:r>
          </w:p>
        </w:tc>
        <w:tc>
          <w:tcPr>
            <w:tcW w:w="2911" w:type="dxa"/>
            <w:tcBorders>
              <w:top w:val="nil"/>
              <w:left w:val="nil"/>
              <w:bottom w:val="single" w:color="auto" w:sz="4" w:space="0"/>
              <w:right w:val="single" w:color="auto" w:sz="4" w:space="0"/>
            </w:tcBorders>
            <w:noWrap w:val="0"/>
            <w:vAlign w:val="center"/>
          </w:tcPr>
          <w:p w14:paraId="7ABE04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自动留样单元</w:t>
            </w:r>
          </w:p>
        </w:tc>
        <w:tc>
          <w:tcPr>
            <w:tcW w:w="3964" w:type="dxa"/>
            <w:tcBorders>
              <w:top w:val="nil"/>
              <w:left w:val="single" w:color="auto" w:sz="4" w:space="0"/>
              <w:bottom w:val="single" w:color="auto" w:sz="4" w:space="0"/>
              <w:right w:val="single" w:color="auto" w:sz="4" w:space="0"/>
            </w:tcBorders>
            <w:noWrap w:val="0"/>
            <w:vAlign w:val="center"/>
          </w:tcPr>
          <w:p w14:paraId="3C8EA8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lang w:val="en-US"/>
              </w:rPr>
            </w:pPr>
            <w:r>
              <w:rPr>
                <w:rFonts w:hint="eastAsia" w:ascii="宋体" w:hAnsi="宋体" w:cs="宋体"/>
                <w:color w:val="0000FF"/>
                <w:sz w:val="24"/>
                <w:szCs w:val="24"/>
                <w:highlight w:val="none"/>
                <w:lang w:val="en-US" w:eastAsia="zh-CN"/>
              </w:rPr>
              <w:t>安徽皖仪科技股份有限公司、WS1801</w:t>
            </w:r>
          </w:p>
        </w:tc>
        <w:tc>
          <w:tcPr>
            <w:tcW w:w="0" w:type="auto"/>
            <w:tcBorders>
              <w:top w:val="nil"/>
              <w:left w:val="nil"/>
              <w:bottom w:val="single" w:color="auto" w:sz="4" w:space="0"/>
              <w:right w:val="single" w:color="auto" w:sz="4" w:space="0"/>
            </w:tcBorders>
            <w:noWrap w:val="0"/>
            <w:vAlign w:val="center"/>
          </w:tcPr>
          <w:p w14:paraId="14ED01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套</w:t>
            </w:r>
          </w:p>
        </w:tc>
        <w:tc>
          <w:tcPr>
            <w:tcW w:w="0" w:type="auto"/>
            <w:tcBorders>
              <w:top w:val="nil"/>
              <w:left w:val="nil"/>
              <w:bottom w:val="single" w:color="auto" w:sz="4" w:space="0"/>
              <w:right w:val="single" w:color="auto" w:sz="4" w:space="0"/>
            </w:tcBorders>
            <w:noWrap w:val="0"/>
            <w:vAlign w:val="center"/>
          </w:tcPr>
          <w:p w14:paraId="526D2C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385CF16A">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6BE852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37</w:t>
            </w:r>
          </w:p>
        </w:tc>
        <w:tc>
          <w:tcPr>
            <w:tcW w:w="2911" w:type="dxa"/>
            <w:tcBorders>
              <w:top w:val="nil"/>
              <w:left w:val="nil"/>
              <w:bottom w:val="single" w:color="auto" w:sz="4" w:space="0"/>
              <w:right w:val="single" w:color="auto" w:sz="4" w:space="0"/>
            </w:tcBorders>
            <w:noWrap w:val="0"/>
            <w:vAlign w:val="center"/>
          </w:tcPr>
          <w:p w14:paraId="5FD7CE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质控单元</w:t>
            </w:r>
          </w:p>
        </w:tc>
        <w:tc>
          <w:tcPr>
            <w:tcW w:w="3964" w:type="dxa"/>
            <w:tcBorders>
              <w:top w:val="nil"/>
              <w:left w:val="single" w:color="auto" w:sz="4" w:space="0"/>
              <w:bottom w:val="single" w:color="auto" w:sz="4" w:space="0"/>
              <w:right w:val="single" w:color="auto" w:sz="4" w:space="0"/>
            </w:tcBorders>
            <w:noWrap w:val="0"/>
            <w:vAlign w:val="center"/>
          </w:tcPr>
          <w:p w14:paraId="7EC35F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lang w:val="en-US"/>
              </w:rPr>
            </w:pPr>
            <w:r>
              <w:rPr>
                <w:rFonts w:hint="eastAsia" w:ascii="宋体" w:hAnsi="宋体" w:cs="宋体"/>
                <w:color w:val="0000FF"/>
                <w:sz w:val="24"/>
                <w:szCs w:val="24"/>
                <w:highlight w:val="none"/>
                <w:lang w:val="en-US" w:eastAsia="zh-CN"/>
              </w:rPr>
              <w:t>安徽皖仪科技股份有限公司、WMS1810</w:t>
            </w:r>
          </w:p>
        </w:tc>
        <w:tc>
          <w:tcPr>
            <w:tcW w:w="0" w:type="auto"/>
            <w:tcBorders>
              <w:top w:val="nil"/>
              <w:left w:val="nil"/>
              <w:bottom w:val="single" w:color="auto" w:sz="4" w:space="0"/>
              <w:right w:val="single" w:color="auto" w:sz="4" w:space="0"/>
            </w:tcBorders>
            <w:noWrap w:val="0"/>
            <w:vAlign w:val="center"/>
          </w:tcPr>
          <w:p w14:paraId="3E1DCB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台</w:t>
            </w:r>
          </w:p>
        </w:tc>
        <w:tc>
          <w:tcPr>
            <w:tcW w:w="0" w:type="auto"/>
            <w:tcBorders>
              <w:top w:val="nil"/>
              <w:left w:val="nil"/>
              <w:bottom w:val="single" w:color="auto" w:sz="4" w:space="0"/>
              <w:right w:val="single" w:color="auto" w:sz="4" w:space="0"/>
            </w:tcBorders>
            <w:noWrap w:val="0"/>
            <w:vAlign w:val="center"/>
          </w:tcPr>
          <w:p w14:paraId="43BD39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8</w:t>
            </w:r>
          </w:p>
        </w:tc>
      </w:tr>
      <w:tr w14:paraId="540A22F8">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41456C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38</w:t>
            </w:r>
          </w:p>
        </w:tc>
        <w:tc>
          <w:tcPr>
            <w:tcW w:w="2911" w:type="dxa"/>
            <w:tcBorders>
              <w:top w:val="nil"/>
              <w:left w:val="nil"/>
              <w:bottom w:val="single" w:color="auto" w:sz="4" w:space="0"/>
              <w:right w:val="single" w:color="auto" w:sz="4" w:space="0"/>
            </w:tcBorders>
            <w:noWrap w:val="0"/>
            <w:vAlign w:val="center"/>
          </w:tcPr>
          <w:p w14:paraId="4339F7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辅助单元（电源稳压、UPS备用电源、防雷器、温湿度传感器、烟雾传感器等）</w:t>
            </w:r>
          </w:p>
        </w:tc>
        <w:tc>
          <w:tcPr>
            <w:tcW w:w="3964" w:type="dxa"/>
            <w:tcBorders>
              <w:top w:val="nil"/>
              <w:left w:val="single" w:color="auto" w:sz="4" w:space="0"/>
              <w:bottom w:val="single" w:color="auto" w:sz="4" w:space="0"/>
              <w:right w:val="single" w:color="auto" w:sz="4" w:space="0"/>
            </w:tcBorders>
            <w:noWrap w:val="0"/>
            <w:vAlign w:val="center"/>
          </w:tcPr>
          <w:p w14:paraId="0EEE89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ascii="宋体" w:hAnsi="宋体" w:eastAsia="宋体" w:cs="宋体"/>
                <w:color w:val="0000FF"/>
                <w:sz w:val="24"/>
                <w:szCs w:val="24"/>
                <w:highlight w:val="none"/>
                <w:lang w:eastAsia="zh-CN"/>
              </w:rPr>
            </w:pPr>
            <w:r>
              <w:rPr>
                <w:rFonts w:hint="eastAsia" w:ascii="宋体" w:hAnsi="宋体" w:cs="宋体"/>
                <w:color w:val="0000FF"/>
                <w:sz w:val="24"/>
                <w:szCs w:val="24"/>
                <w:highlight w:val="none"/>
                <w:lang w:val="en-US" w:eastAsia="zh-CN"/>
              </w:rPr>
              <w:t>/</w:t>
            </w:r>
          </w:p>
        </w:tc>
        <w:tc>
          <w:tcPr>
            <w:tcW w:w="0" w:type="auto"/>
            <w:tcBorders>
              <w:top w:val="nil"/>
              <w:left w:val="nil"/>
              <w:bottom w:val="single" w:color="auto" w:sz="4" w:space="0"/>
              <w:right w:val="single" w:color="auto" w:sz="4" w:space="0"/>
            </w:tcBorders>
            <w:noWrap w:val="0"/>
            <w:vAlign w:val="center"/>
          </w:tcPr>
          <w:p w14:paraId="499635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套</w:t>
            </w:r>
          </w:p>
        </w:tc>
        <w:tc>
          <w:tcPr>
            <w:tcW w:w="0" w:type="auto"/>
            <w:tcBorders>
              <w:top w:val="nil"/>
              <w:left w:val="nil"/>
              <w:bottom w:val="single" w:color="auto" w:sz="4" w:space="0"/>
              <w:right w:val="single" w:color="auto" w:sz="4" w:space="0"/>
            </w:tcBorders>
            <w:noWrap w:val="0"/>
            <w:vAlign w:val="center"/>
          </w:tcPr>
          <w:p w14:paraId="438611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309EAD41">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76C2F1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39</w:t>
            </w:r>
          </w:p>
        </w:tc>
        <w:tc>
          <w:tcPr>
            <w:tcW w:w="2911" w:type="dxa"/>
            <w:tcBorders>
              <w:top w:val="nil"/>
              <w:left w:val="nil"/>
              <w:bottom w:val="single" w:color="auto" w:sz="4" w:space="0"/>
              <w:right w:val="single" w:color="auto" w:sz="4" w:space="0"/>
            </w:tcBorders>
            <w:noWrap w:val="0"/>
            <w:vAlign w:val="center"/>
          </w:tcPr>
          <w:p w14:paraId="7335C5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视频监控单元</w:t>
            </w:r>
          </w:p>
        </w:tc>
        <w:tc>
          <w:tcPr>
            <w:tcW w:w="3964" w:type="dxa"/>
            <w:tcBorders>
              <w:top w:val="nil"/>
              <w:left w:val="single" w:color="auto" w:sz="4" w:space="0"/>
              <w:bottom w:val="single" w:color="auto" w:sz="4" w:space="0"/>
              <w:right w:val="single" w:color="auto" w:sz="4" w:space="0"/>
            </w:tcBorders>
            <w:noWrap w:val="0"/>
            <w:vAlign w:val="center"/>
          </w:tcPr>
          <w:p w14:paraId="414E4E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ascii="宋体" w:hAnsi="宋体" w:eastAsia="宋体" w:cs="宋体"/>
                <w:color w:val="0000FF"/>
                <w:sz w:val="24"/>
                <w:szCs w:val="24"/>
                <w:highlight w:val="none"/>
                <w:lang w:eastAsia="zh-CN"/>
              </w:rPr>
            </w:pPr>
            <w:r>
              <w:rPr>
                <w:rFonts w:hint="eastAsia" w:ascii="宋体" w:hAnsi="宋体" w:cs="宋体"/>
                <w:color w:val="0000FF"/>
                <w:sz w:val="24"/>
                <w:szCs w:val="24"/>
                <w:highlight w:val="none"/>
                <w:lang w:val="en-US" w:eastAsia="zh-CN"/>
              </w:rPr>
              <w:t>/</w:t>
            </w:r>
          </w:p>
        </w:tc>
        <w:tc>
          <w:tcPr>
            <w:tcW w:w="0" w:type="auto"/>
            <w:tcBorders>
              <w:top w:val="nil"/>
              <w:left w:val="nil"/>
              <w:bottom w:val="single" w:color="auto" w:sz="4" w:space="0"/>
              <w:right w:val="single" w:color="auto" w:sz="4" w:space="0"/>
            </w:tcBorders>
            <w:noWrap w:val="0"/>
            <w:vAlign w:val="center"/>
          </w:tcPr>
          <w:p w14:paraId="48F03E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套</w:t>
            </w:r>
          </w:p>
        </w:tc>
        <w:tc>
          <w:tcPr>
            <w:tcW w:w="0" w:type="auto"/>
            <w:tcBorders>
              <w:top w:val="nil"/>
              <w:left w:val="nil"/>
              <w:bottom w:val="single" w:color="auto" w:sz="4" w:space="0"/>
              <w:right w:val="single" w:color="auto" w:sz="4" w:space="0"/>
            </w:tcBorders>
            <w:noWrap w:val="0"/>
            <w:vAlign w:val="center"/>
          </w:tcPr>
          <w:p w14:paraId="227A29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5661813D">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1C6C8C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40</w:t>
            </w:r>
          </w:p>
        </w:tc>
        <w:tc>
          <w:tcPr>
            <w:tcW w:w="2911" w:type="dxa"/>
            <w:tcBorders>
              <w:top w:val="nil"/>
              <w:left w:val="nil"/>
              <w:bottom w:val="single" w:color="auto" w:sz="4" w:space="0"/>
              <w:right w:val="single" w:color="auto" w:sz="4" w:space="0"/>
            </w:tcBorders>
            <w:noWrap w:val="0"/>
            <w:vAlign w:val="center"/>
          </w:tcPr>
          <w:p w14:paraId="50FCCF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一体化机柜（含空调）</w:t>
            </w:r>
          </w:p>
        </w:tc>
        <w:tc>
          <w:tcPr>
            <w:tcW w:w="3964" w:type="dxa"/>
            <w:tcBorders>
              <w:top w:val="nil"/>
              <w:left w:val="single" w:color="auto" w:sz="4" w:space="0"/>
              <w:bottom w:val="single" w:color="auto" w:sz="4" w:space="0"/>
              <w:right w:val="single" w:color="auto" w:sz="4" w:space="0"/>
            </w:tcBorders>
            <w:noWrap w:val="0"/>
            <w:vAlign w:val="center"/>
          </w:tcPr>
          <w:p w14:paraId="7D7A58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w:t>
            </w:r>
          </w:p>
        </w:tc>
        <w:tc>
          <w:tcPr>
            <w:tcW w:w="0" w:type="auto"/>
            <w:tcBorders>
              <w:top w:val="nil"/>
              <w:left w:val="nil"/>
              <w:bottom w:val="single" w:color="auto" w:sz="4" w:space="0"/>
              <w:right w:val="single" w:color="auto" w:sz="4" w:space="0"/>
            </w:tcBorders>
            <w:noWrap w:val="0"/>
            <w:vAlign w:val="center"/>
          </w:tcPr>
          <w:p w14:paraId="6E27CA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套</w:t>
            </w:r>
          </w:p>
        </w:tc>
        <w:tc>
          <w:tcPr>
            <w:tcW w:w="0" w:type="auto"/>
            <w:tcBorders>
              <w:top w:val="nil"/>
              <w:left w:val="nil"/>
              <w:bottom w:val="single" w:color="auto" w:sz="4" w:space="0"/>
              <w:right w:val="single" w:color="auto" w:sz="4" w:space="0"/>
            </w:tcBorders>
            <w:noWrap w:val="0"/>
            <w:vAlign w:val="center"/>
          </w:tcPr>
          <w:p w14:paraId="56BD03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0AF2DF7E">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4DA5BB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41</w:t>
            </w:r>
          </w:p>
        </w:tc>
        <w:tc>
          <w:tcPr>
            <w:tcW w:w="2911" w:type="dxa"/>
            <w:tcBorders>
              <w:top w:val="nil"/>
              <w:left w:val="nil"/>
              <w:bottom w:val="single" w:color="auto" w:sz="4" w:space="0"/>
              <w:right w:val="single" w:color="auto" w:sz="4" w:space="0"/>
            </w:tcBorders>
            <w:noWrap w:val="0"/>
            <w:vAlign w:val="center"/>
          </w:tcPr>
          <w:p w14:paraId="33F81E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传输网络</w:t>
            </w:r>
          </w:p>
        </w:tc>
        <w:tc>
          <w:tcPr>
            <w:tcW w:w="3964" w:type="dxa"/>
            <w:tcBorders>
              <w:top w:val="nil"/>
              <w:left w:val="single" w:color="auto" w:sz="4" w:space="0"/>
              <w:bottom w:val="single" w:color="auto" w:sz="4" w:space="0"/>
              <w:right w:val="single" w:color="auto" w:sz="4" w:space="0"/>
            </w:tcBorders>
            <w:noWrap w:val="0"/>
            <w:vAlign w:val="center"/>
          </w:tcPr>
          <w:p w14:paraId="78C99C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w:t>
            </w:r>
          </w:p>
        </w:tc>
        <w:tc>
          <w:tcPr>
            <w:tcW w:w="0" w:type="auto"/>
            <w:tcBorders>
              <w:top w:val="nil"/>
              <w:left w:val="nil"/>
              <w:bottom w:val="single" w:color="auto" w:sz="4" w:space="0"/>
              <w:right w:val="single" w:color="auto" w:sz="4" w:space="0"/>
            </w:tcBorders>
            <w:noWrap w:val="0"/>
            <w:vAlign w:val="center"/>
          </w:tcPr>
          <w:p w14:paraId="4ED4CE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套</w:t>
            </w:r>
          </w:p>
        </w:tc>
        <w:tc>
          <w:tcPr>
            <w:tcW w:w="0" w:type="auto"/>
            <w:tcBorders>
              <w:top w:val="nil"/>
              <w:left w:val="nil"/>
              <w:bottom w:val="single" w:color="auto" w:sz="4" w:space="0"/>
              <w:right w:val="single" w:color="auto" w:sz="4" w:space="0"/>
            </w:tcBorders>
            <w:noWrap w:val="0"/>
            <w:vAlign w:val="center"/>
          </w:tcPr>
          <w:p w14:paraId="7337A4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2</w:t>
            </w:r>
          </w:p>
        </w:tc>
      </w:tr>
      <w:tr w14:paraId="60363922">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45EF63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ascii="宋体" w:hAnsi="宋体" w:eastAsia="宋体" w:cs="宋体"/>
                <w:color w:val="0000FF"/>
                <w:sz w:val="24"/>
                <w:szCs w:val="24"/>
                <w:highlight w:val="none"/>
                <w:lang w:eastAsia="zh-CN"/>
              </w:rPr>
            </w:pPr>
            <w:r>
              <w:rPr>
                <w:rFonts w:hint="eastAsia" w:ascii="宋体" w:hAnsi="宋体" w:cs="宋体"/>
                <w:color w:val="0000FF"/>
                <w:sz w:val="24"/>
                <w:szCs w:val="24"/>
                <w:highlight w:val="none"/>
              </w:rPr>
              <w:t>4</w:t>
            </w:r>
            <w:r>
              <w:rPr>
                <w:rFonts w:hint="eastAsia" w:ascii="宋体" w:hAnsi="宋体" w:cs="宋体"/>
                <w:color w:val="0000FF"/>
                <w:sz w:val="24"/>
                <w:szCs w:val="24"/>
                <w:highlight w:val="none"/>
                <w:lang w:val="en-US" w:eastAsia="zh-CN"/>
              </w:rPr>
              <w:t>2</w:t>
            </w:r>
          </w:p>
        </w:tc>
        <w:tc>
          <w:tcPr>
            <w:tcW w:w="2911" w:type="dxa"/>
            <w:tcBorders>
              <w:top w:val="nil"/>
              <w:left w:val="nil"/>
              <w:bottom w:val="single" w:color="auto" w:sz="4" w:space="0"/>
              <w:right w:val="single" w:color="auto" w:sz="4" w:space="0"/>
            </w:tcBorders>
            <w:noWrap w:val="0"/>
            <w:vAlign w:val="center"/>
          </w:tcPr>
          <w:p w14:paraId="1C0ECF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留样器</w:t>
            </w:r>
          </w:p>
        </w:tc>
        <w:tc>
          <w:tcPr>
            <w:tcW w:w="3964" w:type="dxa"/>
            <w:tcBorders>
              <w:top w:val="nil"/>
              <w:left w:val="single" w:color="auto" w:sz="4" w:space="0"/>
              <w:bottom w:val="single" w:color="auto" w:sz="4" w:space="0"/>
              <w:right w:val="single" w:color="auto" w:sz="4" w:space="0"/>
            </w:tcBorders>
            <w:noWrap w:val="0"/>
            <w:vAlign w:val="center"/>
          </w:tcPr>
          <w:p w14:paraId="210A4D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lang w:val="en-US" w:eastAsia="zh-CN"/>
              </w:rPr>
              <w:t>/</w:t>
            </w:r>
          </w:p>
        </w:tc>
        <w:tc>
          <w:tcPr>
            <w:tcW w:w="0" w:type="auto"/>
            <w:tcBorders>
              <w:top w:val="nil"/>
              <w:left w:val="nil"/>
              <w:bottom w:val="single" w:color="auto" w:sz="4" w:space="0"/>
              <w:right w:val="single" w:color="auto" w:sz="4" w:space="0"/>
            </w:tcBorders>
            <w:noWrap w:val="0"/>
            <w:vAlign w:val="center"/>
          </w:tcPr>
          <w:p w14:paraId="731FA4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套</w:t>
            </w:r>
          </w:p>
        </w:tc>
        <w:tc>
          <w:tcPr>
            <w:tcW w:w="0" w:type="auto"/>
            <w:tcBorders>
              <w:top w:val="nil"/>
              <w:left w:val="nil"/>
              <w:bottom w:val="single" w:color="auto" w:sz="4" w:space="0"/>
              <w:right w:val="single" w:color="auto" w:sz="4" w:space="0"/>
            </w:tcBorders>
            <w:noWrap w:val="0"/>
            <w:vAlign w:val="center"/>
          </w:tcPr>
          <w:p w14:paraId="354894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1</w:t>
            </w:r>
          </w:p>
        </w:tc>
      </w:tr>
      <w:tr w14:paraId="16F38264">
        <w:tblPrEx>
          <w:tblCellMar>
            <w:top w:w="0" w:type="dxa"/>
            <w:left w:w="108" w:type="dxa"/>
            <w:bottom w:w="0" w:type="dxa"/>
            <w:right w:w="108" w:type="dxa"/>
          </w:tblCellMar>
        </w:tblPrEx>
        <w:trPr>
          <w:trHeight w:val="280" w:hRule="atLeast"/>
          <w:jc w:val="center"/>
        </w:trPr>
        <w:tc>
          <w:tcPr>
            <w:tcW w:w="0" w:type="auto"/>
            <w:tcBorders>
              <w:top w:val="nil"/>
              <w:left w:val="single" w:color="auto" w:sz="4" w:space="0"/>
              <w:bottom w:val="single" w:color="auto" w:sz="4" w:space="0"/>
              <w:right w:val="single" w:color="auto" w:sz="4" w:space="0"/>
            </w:tcBorders>
            <w:noWrap w:val="0"/>
            <w:vAlign w:val="center"/>
          </w:tcPr>
          <w:p w14:paraId="15691A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ascii="宋体" w:hAnsi="宋体" w:eastAsia="宋体" w:cs="宋体"/>
                <w:color w:val="0000FF"/>
                <w:sz w:val="24"/>
                <w:szCs w:val="24"/>
                <w:highlight w:val="none"/>
                <w:lang w:eastAsia="zh-CN"/>
              </w:rPr>
            </w:pPr>
            <w:r>
              <w:rPr>
                <w:rFonts w:hint="eastAsia" w:ascii="宋体" w:hAnsi="宋体" w:cs="宋体"/>
                <w:color w:val="0000FF"/>
                <w:sz w:val="24"/>
                <w:szCs w:val="24"/>
                <w:highlight w:val="none"/>
              </w:rPr>
              <w:t>4</w:t>
            </w:r>
            <w:r>
              <w:rPr>
                <w:rFonts w:hint="eastAsia" w:ascii="宋体" w:hAnsi="宋体" w:cs="宋体"/>
                <w:color w:val="0000FF"/>
                <w:sz w:val="24"/>
                <w:szCs w:val="24"/>
                <w:highlight w:val="none"/>
                <w:lang w:val="en-US" w:eastAsia="zh-CN"/>
              </w:rPr>
              <w:t>3</w:t>
            </w:r>
          </w:p>
        </w:tc>
        <w:tc>
          <w:tcPr>
            <w:tcW w:w="2911" w:type="dxa"/>
            <w:tcBorders>
              <w:top w:val="nil"/>
              <w:left w:val="nil"/>
              <w:bottom w:val="single" w:color="auto" w:sz="4" w:space="0"/>
              <w:right w:val="single" w:color="auto" w:sz="4" w:space="0"/>
            </w:tcBorders>
            <w:noWrap w:val="0"/>
            <w:vAlign w:val="center"/>
          </w:tcPr>
          <w:p w14:paraId="77EC0B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自控阀门</w:t>
            </w:r>
          </w:p>
        </w:tc>
        <w:tc>
          <w:tcPr>
            <w:tcW w:w="3964" w:type="dxa"/>
            <w:tcBorders>
              <w:top w:val="nil"/>
              <w:left w:val="single" w:color="auto" w:sz="4" w:space="0"/>
              <w:bottom w:val="single" w:color="auto" w:sz="4" w:space="0"/>
              <w:right w:val="single" w:color="auto" w:sz="4" w:space="0"/>
            </w:tcBorders>
            <w:noWrap w:val="0"/>
            <w:vAlign w:val="center"/>
          </w:tcPr>
          <w:p w14:paraId="7EABC7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ascii="宋体" w:hAnsi="宋体" w:eastAsia="宋体" w:cs="宋体"/>
                <w:color w:val="0000FF"/>
                <w:sz w:val="24"/>
                <w:szCs w:val="24"/>
                <w:highlight w:val="none"/>
                <w:lang w:eastAsia="zh-CN"/>
              </w:rPr>
            </w:pPr>
            <w:r>
              <w:rPr>
                <w:rFonts w:hint="eastAsia" w:ascii="宋体" w:hAnsi="宋体" w:cs="宋体"/>
                <w:color w:val="0000FF"/>
                <w:sz w:val="24"/>
                <w:szCs w:val="24"/>
                <w:highlight w:val="none"/>
                <w:lang w:val="en-US" w:eastAsia="zh-CN"/>
              </w:rPr>
              <w:t>/</w:t>
            </w:r>
          </w:p>
        </w:tc>
        <w:tc>
          <w:tcPr>
            <w:tcW w:w="0" w:type="auto"/>
            <w:tcBorders>
              <w:top w:val="nil"/>
              <w:left w:val="nil"/>
              <w:bottom w:val="single" w:color="auto" w:sz="4" w:space="0"/>
              <w:right w:val="single" w:color="auto" w:sz="4" w:space="0"/>
            </w:tcBorders>
            <w:noWrap w:val="0"/>
            <w:vAlign w:val="center"/>
          </w:tcPr>
          <w:p w14:paraId="5CB9E1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套</w:t>
            </w:r>
          </w:p>
        </w:tc>
        <w:tc>
          <w:tcPr>
            <w:tcW w:w="0" w:type="auto"/>
            <w:tcBorders>
              <w:top w:val="nil"/>
              <w:left w:val="nil"/>
              <w:bottom w:val="single" w:color="auto" w:sz="4" w:space="0"/>
              <w:right w:val="single" w:color="auto" w:sz="4" w:space="0"/>
            </w:tcBorders>
            <w:noWrap w:val="0"/>
            <w:vAlign w:val="center"/>
          </w:tcPr>
          <w:p w14:paraId="2BB557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1</w:t>
            </w:r>
          </w:p>
        </w:tc>
      </w:tr>
      <w:tr w14:paraId="4AEB2563">
        <w:tblPrEx>
          <w:tblCellMar>
            <w:top w:w="0" w:type="dxa"/>
            <w:left w:w="108" w:type="dxa"/>
            <w:bottom w:w="0" w:type="dxa"/>
            <w:right w:w="108" w:type="dxa"/>
          </w:tblCellMar>
        </w:tblPrEx>
        <w:trPr>
          <w:trHeight w:val="28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562C95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ascii="宋体" w:hAnsi="宋体" w:eastAsia="宋体" w:cs="宋体"/>
                <w:color w:val="0000FF"/>
                <w:sz w:val="24"/>
                <w:szCs w:val="24"/>
                <w:highlight w:val="none"/>
                <w:lang w:eastAsia="zh-CN"/>
              </w:rPr>
            </w:pPr>
            <w:r>
              <w:rPr>
                <w:rFonts w:hint="eastAsia" w:ascii="宋体" w:hAnsi="宋体" w:cs="宋体"/>
                <w:color w:val="0000FF"/>
                <w:sz w:val="24"/>
                <w:szCs w:val="24"/>
                <w:highlight w:val="none"/>
              </w:rPr>
              <w:t>4</w:t>
            </w:r>
            <w:r>
              <w:rPr>
                <w:rFonts w:hint="eastAsia" w:ascii="宋体" w:hAnsi="宋体" w:cs="宋体"/>
                <w:color w:val="0000FF"/>
                <w:sz w:val="24"/>
                <w:szCs w:val="24"/>
                <w:highlight w:val="none"/>
                <w:lang w:val="en-US" w:eastAsia="zh-CN"/>
              </w:rPr>
              <w:t>4</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20BF77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监控平台</w:t>
            </w:r>
          </w:p>
        </w:tc>
        <w:tc>
          <w:tcPr>
            <w:tcW w:w="3964" w:type="dxa"/>
            <w:tcBorders>
              <w:top w:val="single" w:color="auto" w:sz="4" w:space="0"/>
              <w:left w:val="single" w:color="auto" w:sz="4" w:space="0"/>
              <w:bottom w:val="single" w:color="auto" w:sz="4" w:space="0"/>
              <w:right w:val="single" w:color="auto" w:sz="4" w:space="0"/>
            </w:tcBorders>
            <w:noWrap w:val="0"/>
            <w:vAlign w:val="center"/>
          </w:tcPr>
          <w:p w14:paraId="4BC342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ascii="宋体" w:hAnsi="宋体" w:eastAsia="宋体" w:cs="宋体"/>
                <w:color w:val="0000FF"/>
                <w:sz w:val="24"/>
                <w:szCs w:val="24"/>
                <w:highlight w:val="none"/>
                <w:lang w:eastAsia="zh-CN"/>
              </w:rPr>
            </w:pPr>
            <w:r>
              <w:rPr>
                <w:rFonts w:hint="eastAsia" w:ascii="宋体" w:hAnsi="宋体" w:cs="宋体"/>
                <w:color w:val="0000FF"/>
                <w:sz w:val="24"/>
                <w:szCs w:val="24"/>
                <w:highlight w:val="none"/>
                <w:lang w:val="en-US" w:eastAsia="zh-CN"/>
              </w:rPr>
              <w:t>/</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9042D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套</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A24AF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1</w:t>
            </w:r>
          </w:p>
        </w:tc>
      </w:tr>
      <w:tr w14:paraId="31EED7AF">
        <w:tblPrEx>
          <w:tblCellMar>
            <w:top w:w="0" w:type="dxa"/>
            <w:left w:w="108" w:type="dxa"/>
            <w:bottom w:w="0" w:type="dxa"/>
            <w:right w:w="108" w:type="dxa"/>
          </w:tblCellMar>
        </w:tblPrEx>
        <w:trPr>
          <w:trHeight w:val="28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2A8AE2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ascii="宋体" w:hAnsi="宋体" w:eastAsia="宋体" w:cs="宋体"/>
                <w:color w:val="0000FF"/>
                <w:sz w:val="24"/>
                <w:szCs w:val="24"/>
                <w:highlight w:val="none"/>
                <w:lang w:eastAsia="zh-CN"/>
              </w:rPr>
            </w:pPr>
            <w:r>
              <w:rPr>
                <w:rFonts w:hint="eastAsia" w:ascii="宋体" w:hAnsi="宋体" w:cs="宋体"/>
                <w:color w:val="0000FF"/>
                <w:sz w:val="24"/>
                <w:szCs w:val="24"/>
                <w:highlight w:val="none"/>
              </w:rPr>
              <w:t>4</w:t>
            </w:r>
            <w:r>
              <w:rPr>
                <w:rFonts w:hint="eastAsia" w:ascii="宋体" w:hAnsi="宋体" w:cs="宋体"/>
                <w:color w:val="0000FF"/>
                <w:sz w:val="24"/>
                <w:szCs w:val="24"/>
                <w:highlight w:val="none"/>
                <w:lang w:val="en-US" w:eastAsia="zh-CN"/>
              </w:rPr>
              <w:t>5</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6187D1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监控大屏和服务器</w:t>
            </w:r>
          </w:p>
        </w:tc>
        <w:tc>
          <w:tcPr>
            <w:tcW w:w="3964" w:type="dxa"/>
            <w:tcBorders>
              <w:top w:val="single" w:color="auto" w:sz="4" w:space="0"/>
              <w:left w:val="single" w:color="auto" w:sz="4" w:space="0"/>
              <w:bottom w:val="single" w:color="auto" w:sz="4" w:space="0"/>
              <w:right w:val="single" w:color="auto" w:sz="4" w:space="0"/>
            </w:tcBorders>
            <w:noWrap w:val="0"/>
            <w:vAlign w:val="center"/>
          </w:tcPr>
          <w:p w14:paraId="11CB7D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ascii="宋体" w:hAnsi="宋体" w:eastAsia="宋体" w:cs="宋体"/>
                <w:color w:val="0000FF"/>
                <w:sz w:val="24"/>
                <w:szCs w:val="24"/>
                <w:highlight w:val="none"/>
                <w:lang w:eastAsia="zh-CN"/>
              </w:rPr>
            </w:pPr>
            <w:r>
              <w:rPr>
                <w:rFonts w:hint="eastAsia" w:ascii="宋体" w:hAnsi="宋体" w:cs="宋体"/>
                <w:color w:val="0000FF"/>
                <w:sz w:val="24"/>
                <w:szCs w:val="24"/>
                <w:highlight w:val="none"/>
                <w:lang w:val="en-US" w:eastAsia="zh-CN"/>
              </w:rPr>
              <w:t>/</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A7245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套</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42537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1</w:t>
            </w:r>
          </w:p>
        </w:tc>
      </w:tr>
      <w:tr w14:paraId="2CC2DA1A">
        <w:tblPrEx>
          <w:tblCellMar>
            <w:top w:w="0" w:type="dxa"/>
            <w:left w:w="108" w:type="dxa"/>
            <w:bottom w:w="0" w:type="dxa"/>
            <w:right w:w="108" w:type="dxa"/>
          </w:tblCellMar>
        </w:tblPrEx>
        <w:trPr>
          <w:trHeight w:val="28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4EFC71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ascii="宋体" w:hAnsi="宋体" w:eastAsia="宋体" w:cs="宋体"/>
                <w:color w:val="0000FF"/>
                <w:sz w:val="24"/>
                <w:szCs w:val="24"/>
                <w:highlight w:val="none"/>
                <w:lang w:eastAsia="zh-CN"/>
              </w:rPr>
            </w:pPr>
            <w:r>
              <w:rPr>
                <w:rFonts w:hint="eastAsia" w:ascii="宋体" w:hAnsi="宋体" w:cs="宋体"/>
                <w:color w:val="0000FF"/>
                <w:sz w:val="24"/>
                <w:szCs w:val="24"/>
                <w:highlight w:val="none"/>
              </w:rPr>
              <w:t>4</w:t>
            </w:r>
            <w:r>
              <w:rPr>
                <w:rFonts w:hint="eastAsia" w:ascii="宋体" w:hAnsi="宋体" w:cs="宋体"/>
                <w:color w:val="0000FF"/>
                <w:sz w:val="24"/>
                <w:szCs w:val="24"/>
                <w:highlight w:val="none"/>
                <w:lang w:val="en-US" w:eastAsia="zh-CN"/>
              </w:rPr>
              <w:t>6</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54879E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运维服务</w:t>
            </w:r>
          </w:p>
        </w:tc>
        <w:tc>
          <w:tcPr>
            <w:tcW w:w="3964" w:type="dxa"/>
            <w:tcBorders>
              <w:top w:val="single" w:color="auto" w:sz="4" w:space="0"/>
              <w:left w:val="single" w:color="auto" w:sz="4" w:space="0"/>
              <w:bottom w:val="single" w:color="auto" w:sz="4" w:space="0"/>
              <w:right w:val="single" w:color="auto" w:sz="4" w:space="0"/>
            </w:tcBorders>
            <w:noWrap w:val="0"/>
            <w:vAlign w:val="center"/>
          </w:tcPr>
          <w:p w14:paraId="02BDE6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eastAsia="宋体" w:cs="宋体"/>
                <w:color w:val="0000FF"/>
                <w:sz w:val="24"/>
                <w:szCs w:val="24"/>
                <w:highlight w:val="none"/>
                <w:lang w:val="en-US" w:eastAsia="zh-CN"/>
              </w:rPr>
            </w:pPr>
            <w:r>
              <w:rPr>
                <w:rFonts w:hint="eastAsia" w:ascii="宋体" w:hAnsi="宋体" w:cs="宋体"/>
                <w:color w:val="0000FF"/>
                <w:sz w:val="24"/>
                <w:szCs w:val="24"/>
                <w:highlight w:val="none"/>
                <w:lang w:val="en-US" w:eastAsia="zh-CN"/>
              </w:rPr>
              <w:t>含水、电、网络、危险废物处置</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276AE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年</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EE7B3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宋体" w:cs="宋体"/>
                <w:color w:val="0000FF"/>
                <w:sz w:val="24"/>
                <w:szCs w:val="24"/>
                <w:highlight w:val="none"/>
              </w:rPr>
            </w:pPr>
            <w:r>
              <w:rPr>
                <w:rFonts w:hint="eastAsia" w:ascii="宋体" w:hAnsi="宋体" w:cs="宋体"/>
                <w:color w:val="0000FF"/>
                <w:sz w:val="24"/>
                <w:szCs w:val="24"/>
                <w:highlight w:val="none"/>
              </w:rPr>
              <w:t>1</w:t>
            </w:r>
          </w:p>
        </w:tc>
      </w:tr>
    </w:tbl>
    <w:p w14:paraId="6DFFB37A">
      <w:pPr>
        <w:keepNext w:val="0"/>
        <w:keepLines w:val="0"/>
        <w:pageBreakBefore w:val="0"/>
        <w:widowControl w:val="0"/>
        <w:kinsoku/>
        <w:wordWrap/>
        <w:overflowPunct/>
        <w:topLinePunct w:val="0"/>
        <w:autoSpaceDE/>
        <w:autoSpaceDN/>
        <w:bidi w:val="0"/>
        <w:adjustRightInd/>
        <w:snapToGrid/>
        <w:spacing w:line="348" w:lineRule="auto"/>
        <w:ind w:left="0" w:leftChars="0" w:firstLine="482" w:firstLineChars="200"/>
        <w:textAlignment w:val="auto"/>
        <w:rPr>
          <w:rFonts w:hint="default" w:ascii="宋体" w:hAnsi="宋体" w:eastAsia="宋体" w:cs="宋体"/>
          <w:b/>
          <w:sz w:val="24"/>
          <w:lang w:val="en-US" w:eastAsia="zh-CN"/>
        </w:rPr>
      </w:pPr>
      <w:r>
        <w:rPr>
          <w:rFonts w:hint="eastAsia" w:ascii="宋体" w:hAnsi="宋体" w:eastAsia="宋体" w:cs="宋体"/>
          <w:b/>
          <w:sz w:val="24"/>
          <w:lang w:val="en-US" w:eastAsia="zh-CN"/>
        </w:rPr>
        <w:t>三、项目内容</w:t>
      </w:r>
    </w:p>
    <w:p w14:paraId="12509956">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b/>
          <w:bCs/>
          <w:szCs w:val="24"/>
          <w:lang w:val="en-US" w:eastAsia="zh-CN"/>
        </w:rPr>
      </w:pPr>
      <w:r>
        <w:rPr>
          <w:rFonts w:hint="default" w:ascii="Times New Roman" w:hAnsi="Times New Roman" w:eastAsia="宋体" w:cs="Times New Roman"/>
          <w:b w:val="0"/>
          <w:bCs/>
          <w:szCs w:val="24"/>
          <w:lang w:val="en-US" w:eastAsia="zh-CN"/>
        </w:rPr>
        <w:t>1、</w:t>
      </w:r>
      <w:r>
        <w:rPr>
          <w:rFonts w:hint="eastAsia" w:ascii="宋体" w:hAnsi="宋体" w:eastAsia="宋体" w:cs="宋体"/>
          <w:b/>
          <w:bCs/>
          <w:szCs w:val="24"/>
          <w:lang w:val="en-US" w:eastAsia="zh-CN"/>
        </w:rPr>
        <w:t>环境空气质量自动监测站</w:t>
      </w:r>
      <w:r>
        <w:rPr>
          <w:rFonts w:hint="eastAsia" w:cs="宋体"/>
          <w:b/>
          <w:bCs/>
          <w:szCs w:val="24"/>
          <w:lang w:val="en-US" w:eastAsia="zh-CN"/>
        </w:rPr>
        <w:t>（含V</w:t>
      </w:r>
      <w:r>
        <w:rPr>
          <w:rFonts w:hint="eastAsia" w:ascii="Times New Roman" w:hAnsi="Times New Roman" w:eastAsia="宋体" w:cs="Times New Roman"/>
          <w:b w:val="0"/>
          <w:bCs/>
          <w:szCs w:val="24"/>
          <w:lang w:val="en-US" w:eastAsia="zh-CN"/>
        </w:rPr>
        <w:t>OC</w:t>
      </w:r>
      <w:r>
        <w:rPr>
          <w:rFonts w:hint="eastAsia" w:cs="宋体"/>
          <w:b/>
          <w:bCs/>
          <w:szCs w:val="24"/>
          <w:lang w:val="en-US" w:eastAsia="zh-CN"/>
        </w:rPr>
        <w:t>在线监测系统）</w:t>
      </w:r>
    </w:p>
    <w:p w14:paraId="6F4BB88C">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default" w:ascii="宋体" w:hAnsi="宋体" w:eastAsia="宋体" w:cs="宋体"/>
          <w:szCs w:val="24"/>
          <w:lang w:val="en-US" w:eastAsia="zh-CN"/>
        </w:rPr>
      </w:pPr>
      <w:r>
        <w:rPr>
          <w:rFonts w:hint="eastAsia" w:cs="宋体"/>
          <w:szCs w:val="24"/>
          <w:lang w:val="en-US" w:eastAsia="zh-CN"/>
        </w:rPr>
        <w:t>乙方</w:t>
      </w:r>
      <w:r>
        <w:rPr>
          <w:rFonts w:hint="default" w:ascii="宋体" w:hAnsi="宋体" w:eastAsia="宋体" w:cs="宋体"/>
          <w:szCs w:val="24"/>
          <w:lang w:val="en-US" w:eastAsia="zh-CN"/>
        </w:rPr>
        <w:t>负责运维的设备主要包括监测设备、质控设备、气象设备、数据采集与传输设备和辅助设备设施五部分。其中，监测设备主要包括</w:t>
      </w:r>
      <w:r>
        <w:rPr>
          <w:rFonts w:hint="default" w:ascii="Times New Roman" w:hAnsi="Times New Roman" w:eastAsia="宋体" w:cs="Times New Roman"/>
          <w:kern w:val="2"/>
          <w:sz w:val="24"/>
          <w:szCs w:val="24"/>
          <w:lang w:val="en-US" w:eastAsia="zh-CN" w:bidi="ar-SA"/>
        </w:rPr>
        <w:t>SO</w:t>
      </w:r>
      <w:r>
        <w:rPr>
          <w:rFonts w:hint="default" w:ascii="Times New Roman" w:hAnsi="Times New Roman" w:eastAsia="宋体" w:cs="Times New Roman"/>
          <w:kern w:val="2"/>
          <w:sz w:val="24"/>
          <w:szCs w:val="24"/>
          <w:vertAlign w:val="subscript"/>
          <w:lang w:val="en-US" w:eastAsia="zh-CN" w:bidi="ar-SA"/>
        </w:rPr>
        <w:t>2</w:t>
      </w:r>
      <w:r>
        <w:rPr>
          <w:rFonts w:hint="default" w:ascii="Times New Roman" w:hAnsi="Times New Roman" w:eastAsia="宋体" w:cs="Times New Roman"/>
          <w:kern w:val="2"/>
          <w:sz w:val="24"/>
          <w:szCs w:val="24"/>
          <w:lang w:val="en-US" w:eastAsia="zh-CN" w:bidi="ar-SA"/>
        </w:rPr>
        <w:t>、NOx、CO、O</w:t>
      </w:r>
      <w:r>
        <w:rPr>
          <w:rFonts w:hint="default" w:ascii="Times New Roman" w:hAnsi="Times New Roman" w:eastAsia="宋体" w:cs="Times New Roman"/>
          <w:kern w:val="2"/>
          <w:sz w:val="24"/>
          <w:szCs w:val="24"/>
          <w:vertAlign w:val="subscript"/>
          <w:lang w:val="en-US" w:eastAsia="zh-CN" w:bidi="ar-SA"/>
        </w:rPr>
        <w:t>3</w:t>
      </w:r>
      <w:r>
        <w:rPr>
          <w:rFonts w:hint="default" w:ascii="Times New Roman" w:hAnsi="Times New Roman" w:eastAsia="宋体" w:cs="Times New Roman"/>
          <w:kern w:val="2"/>
          <w:sz w:val="24"/>
          <w:szCs w:val="24"/>
          <w:lang w:val="en-US" w:eastAsia="zh-CN" w:bidi="ar-SA"/>
        </w:rPr>
        <w:t>、PM</w:t>
      </w:r>
      <w:r>
        <w:rPr>
          <w:rFonts w:hint="default" w:ascii="Times New Roman" w:hAnsi="Times New Roman" w:eastAsia="宋体" w:cs="Times New Roman"/>
          <w:kern w:val="2"/>
          <w:sz w:val="24"/>
          <w:szCs w:val="24"/>
          <w:vertAlign w:val="subscript"/>
          <w:lang w:val="en-US" w:eastAsia="zh-CN" w:bidi="ar-SA"/>
        </w:rPr>
        <w:t>2.5</w:t>
      </w:r>
      <w:r>
        <w:rPr>
          <w:rFonts w:hint="default" w:ascii="Times New Roman" w:hAnsi="Times New Roman" w:eastAsia="宋体" w:cs="Times New Roman"/>
          <w:kern w:val="2"/>
          <w:sz w:val="24"/>
          <w:szCs w:val="24"/>
          <w:lang w:val="en-US" w:eastAsia="zh-CN" w:bidi="ar-SA"/>
        </w:rPr>
        <w:t>、PM</w:t>
      </w:r>
      <w:r>
        <w:rPr>
          <w:rFonts w:hint="default" w:ascii="Times New Roman" w:hAnsi="Times New Roman" w:eastAsia="宋体" w:cs="Times New Roman"/>
          <w:kern w:val="2"/>
          <w:sz w:val="24"/>
          <w:szCs w:val="24"/>
          <w:vertAlign w:val="subscript"/>
          <w:lang w:val="en-US" w:eastAsia="zh-CN" w:bidi="ar-SA"/>
        </w:rPr>
        <w:t>10</w:t>
      </w:r>
      <w:r>
        <w:rPr>
          <w:rFonts w:hint="default" w:ascii="宋体" w:hAnsi="宋体" w:eastAsia="宋体" w:cs="宋体"/>
          <w:szCs w:val="24"/>
          <w:lang w:val="en-US" w:eastAsia="zh-CN"/>
        </w:rPr>
        <w:t>六项指标监测仪</w:t>
      </w:r>
      <w:r>
        <w:rPr>
          <w:rFonts w:hint="eastAsia" w:cs="宋体"/>
          <w:szCs w:val="24"/>
          <w:lang w:val="en-US" w:eastAsia="zh-CN"/>
        </w:rPr>
        <w:t>以及VOC分析仪</w:t>
      </w:r>
      <w:r>
        <w:rPr>
          <w:rFonts w:hint="default" w:ascii="宋体" w:hAnsi="宋体" w:eastAsia="宋体" w:cs="宋体"/>
          <w:szCs w:val="24"/>
          <w:lang w:val="en-US" w:eastAsia="zh-CN"/>
        </w:rPr>
        <w:t>。质控设备主要包括零气发生器、动态校准仪。气象设备主要包括风速、风向、温度、湿度、气压等气象五参数监测设备。数据采集与传输设备主要包括工控机及其配备的软件系统</w:t>
      </w:r>
      <w:r>
        <w:rPr>
          <w:rFonts w:hint="eastAsia" w:ascii="宋体" w:hAnsi="宋体" w:eastAsia="宋体" w:cs="宋体"/>
          <w:szCs w:val="24"/>
          <w:lang w:val="en-US" w:eastAsia="zh-CN"/>
        </w:rPr>
        <w:t>（含</w:t>
      </w:r>
      <w:r>
        <w:rPr>
          <w:rFonts w:hint="eastAsia" w:cs="宋体"/>
          <w:szCs w:val="24"/>
          <w:lang w:val="en-US" w:eastAsia="zh-CN"/>
        </w:rPr>
        <w:t>江苏省工业园区污染物排放限值限量系统平台</w:t>
      </w:r>
      <w:r>
        <w:rPr>
          <w:rFonts w:hint="eastAsia" w:ascii="宋体" w:hAnsi="宋体" w:eastAsia="宋体" w:cs="宋体"/>
          <w:szCs w:val="24"/>
          <w:lang w:val="en-US" w:eastAsia="zh-CN"/>
        </w:rPr>
        <w:t>）</w:t>
      </w:r>
      <w:r>
        <w:rPr>
          <w:rFonts w:hint="default" w:ascii="宋体" w:hAnsi="宋体" w:eastAsia="宋体" w:cs="宋体"/>
          <w:szCs w:val="24"/>
          <w:lang w:val="en-US" w:eastAsia="zh-CN"/>
        </w:rPr>
        <w:t>。辅助设备设施主要包括 UPS、</w:t>
      </w:r>
      <w:r>
        <w:rPr>
          <w:rFonts w:hint="eastAsia" w:ascii="宋体" w:hAnsi="宋体" w:eastAsia="宋体" w:cs="宋体"/>
          <w:szCs w:val="24"/>
          <w:lang w:val="en-US" w:eastAsia="zh-CN"/>
        </w:rPr>
        <w:t>空调</w:t>
      </w:r>
      <w:r>
        <w:rPr>
          <w:rFonts w:hint="default" w:ascii="宋体" w:hAnsi="宋体" w:eastAsia="宋体" w:cs="宋体"/>
          <w:szCs w:val="24"/>
          <w:lang w:val="en-US" w:eastAsia="zh-CN"/>
        </w:rPr>
        <w:t>、供电系统、消防系统、通讯系统、防雷系统、视频监控系统、子站站房主体、安防设施等。各站点均监测</w:t>
      </w:r>
      <w:r>
        <w:rPr>
          <w:rFonts w:hint="default" w:ascii="Times New Roman" w:hAnsi="Times New Roman" w:eastAsia="宋体" w:cs="Times New Roman"/>
          <w:kern w:val="2"/>
          <w:sz w:val="24"/>
          <w:szCs w:val="24"/>
          <w:lang w:val="en-US" w:eastAsia="zh-CN" w:bidi="ar-SA"/>
        </w:rPr>
        <w:t>SO</w:t>
      </w:r>
      <w:r>
        <w:rPr>
          <w:rFonts w:hint="default" w:ascii="Times New Roman" w:hAnsi="Times New Roman" w:eastAsia="宋体" w:cs="Times New Roman"/>
          <w:kern w:val="2"/>
          <w:sz w:val="24"/>
          <w:szCs w:val="24"/>
          <w:vertAlign w:val="subscript"/>
          <w:lang w:val="en-US" w:eastAsia="zh-CN" w:bidi="ar-SA"/>
        </w:rPr>
        <w:t>2</w:t>
      </w:r>
      <w:r>
        <w:rPr>
          <w:rFonts w:hint="default" w:ascii="Times New Roman" w:hAnsi="Times New Roman" w:eastAsia="宋体" w:cs="Times New Roman"/>
          <w:kern w:val="2"/>
          <w:sz w:val="24"/>
          <w:szCs w:val="24"/>
          <w:lang w:val="en-US" w:eastAsia="zh-CN" w:bidi="ar-SA"/>
        </w:rPr>
        <w:t>、NOx、CO、O</w:t>
      </w:r>
      <w:r>
        <w:rPr>
          <w:rFonts w:hint="default" w:ascii="Times New Roman" w:hAnsi="Times New Roman" w:eastAsia="宋体" w:cs="Times New Roman"/>
          <w:kern w:val="2"/>
          <w:sz w:val="24"/>
          <w:szCs w:val="24"/>
          <w:vertAlign w:val="subscript"/>
          <w:lang w:val="en-US" w:eastAsia="zh-CN" w:bidi="ar-SA"/>
        </w:rPr>
        <w:t>3</w:t>
      </w:r>
      <w:r>
        <w:rPr>
          <w:rFonts w:hint="default" w:ascii="Times New Roman" w:hAnsi="Times New Roman" w:eastAsia="宋体" w:cs="Times New Roman"/>
          <w:kern w:val="2"/>
          <w:sz w:val="24"/>
          <w:szCs w:val="24"/>
          <w:lang w:val="en-US" w:eastAsia="zh-CN" w:bidi="ar-SA"/>
        </w:rPr>
        <w:t>、PM</w:t>
      </w:r>
      <w:r>
        <w:rPr>
          <w:rFonts w:hint="default" w:ascii="Times New Roman" w:hAnsi="Times New Roman" w:eastAsia="宋体" w:cs="Times New Roman"/>
          <w:kern w:val="2"/>
          <w:sz w:val="24"/>
          <w:szCs w:val="24"/>
          <w:vertAlign w:val="subscript"/>
          <w:lang w:val="en-US" w:eastAsia="zh-CN" w:bidi="ar-SA"/>
        </w:rPr>
        <w:t>2.5</w:t>
      </w:r>
      <w:r>
        <w:rPr>
          <w:rFonts w:hint="default" w:ascii="Times New Roman" w:hAnsi="Times New Roman" w:eastAsia="宋体" w:cs="Times New Roman"/>
          <w:kern w:val="2"/>
          <w:sz w:val="24"/>
          <w:szCs w:val="24"/>
          <w:lang w:val="en-US" w:eastAsia="zh-CN" w:bidi="ar-SA"/>
        </w:rPr>
        <w:t>、PM</w:t>
      </w:r>
      <w:r>
        <w:rPr>
          <w:rFonts w:hint="default" w:ascii="Times New Roman" w:hAnsi="Times New Roman" w:eastAsia="宋体" w:cs="Times New Roman"/>
          <w:kern w:val="2"/>
          <w:sz w:val="24"/>
          <w:szCs w:val="24"/>
          <w:vertAlign w:val="subscript"/>
          <w:lang w:val="en-US" w:eastAsia="zh-CN" w:bidi="ar-SA"/>
        </w:rPr>
        <w:t>10</w:t>
      </w:r>
      <w:r>
        <w:rPr>
          <w:rFonts w:hint="default" w:ascii="宋体" w:hAnsi="宋体" w:eastAsia="宋体" w:cs="宋体"/>
          <w:szCs w:val="24"/>
          <w:lang w:val="en-US" w:eastAsia="zh-CN"/>
        </w:rPr>
        <w:t>六项指标，以及气象五参数（风速、风向、温度、湿度、气压）。监测工作方式为24小时不间断连续自动监测，通过网络向</w:t>
      </w:r>
      <w:r>
        <w:rPr>
          <w:rFonts w:hint="eastAsia" w:ascii="宋体" w:hAnsi="宋体" w:eastAsia="宋体" w:cs="宋体"/>
          <w:szCs w:val="24"/>
          <w:lang w:val="en-US" w:eastAsia="zh-CN"/>
        </w:rPr>
        <w:t>省、市、县各平台</w:t>
      </w:r>
      <w:r>
        <w:rPr>
          <w:rFonts w:hint="default" w:ascii="宋体" w:hAnsi="宋体" w:eastAsia="宋体" w:cs="宋体"/>
          <w:szCs w:val="24"/>
          <w:lang w:val="en-US" w:eastAsia="zh-CN"/>
        </w:rPr>
        <w:t>实时上传监测数据，上传数据包括站点各监测设备的实时监测分钟值、小时值。</w:t>
      </w:r>
    </w:p>
    <w:p w14:paraId="6108C9C4">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2、</w:t>
      </w:r>
      <w:r>
        <w:rPr>
          <w:rFonts w:hint="eastAsia" w:ascii="Times New Roman" w:hAnsi="Times New Roman" w:eastAsia="宋体" w:cs="Times New Roman"/>
          <w:b/>
          <w:bCs/>
          <w:color w:val="000000"/>
          <w:sz w:val="24"/>
          <w:szCs w:val="24"/>
          <w:lang w:val="en-US" w:eastAsia="zh-CN" w:bidi="ar-SA"/>
        </w:rPr>
        <w:t>水质自动在线监测站</w:t>
      </w:r>
    </w:p>
    <w:p w14:paraId="20ABBF06">
      <w:pPr>
        <w:pStyle w:val="238"/>
        <w:pageBreakBefore w:val="0"/>
        <w:kinsoku/>
        <w:wordWrap/>
        <w:overflowPunct/>
        <w:topLinePunct w:val="0"/>
        <w:autoSpaceDE/>
        <w:autoSpaceDN/>
        <w:bidi w:val="0"/>
        <w:adjustRightInd/>
        <w:snapToGrid/>
        <w:spacing w:line="348" w:lineRule="auto"/>
        <w:ind w:firstLine="480"/>
        <w:textAlignment w:val="auto"/>
        <w:rPr>
          <w:rFonts w:ascii="宋体" w:hAnsi="宋体"/>
          <w:color w:val="000000"/>
          <w:sz w:val="24"/>
          <w:szCs w:val="24"/>
          <w:lang w:val="zh-CN"/>
        </w:rPr>
      </w:pPr>
      <w:r>
        <w:rPr>
          <w:rFonts w:hint="eastAsia" w:ascii="宋体" w:hAnsi="宋体"/>
          <w:color w:val="000000"/>
          <w:sz w:val="24"/>
          <w:szCs w:val="24"/>
          <w:lang w:val="en-US" w:eastAsia="zh-CN"/>
        </w:rPr>
        <w:t>乙方</w:t>
      </w:r>
      <w:r>
        <w:rPr>
          <w:rFonts w:hint="eastAsia" w:ascii="宋体" w:hAnsi="宋体"/>
          <w:color w:val="000000"/>
          <w:sz w:val="24"/>
          <w:szCs w:val="24"/>
          <w:lang w:val="zh-CN"/>
        </w:rPr>
        <w:t>须按照</w:t>
      </w:r>
      <w:r>
        <w:rPr>
          <w:rFonts w:hint="eastAsia" w:ascii="宋体" w:hAnsi="宋体"/>
          <w:color w:val="000000"/>
          <w:sz w:val="24"/>
          <w:szCs w:val="24"/>
          <w:lang w:val="en-US" w:eastAsia="zh-CN"/>
        </w:rPr>
        <w:t>甲方</w:t>
      </w:r>
      <w:r>
        <w:rPr>
          <w:rFonts w:hint="eastAsia" w:ascii="宋体" w:hAnsi="宋体"/>
          <w:color w:val="000000"/>
          <w:sz w:val="24"/>
          <w:szCs w:val="24"/>
          <w:lang w:val="zh-CN"/>
        </w:rPr>
        <w:t>的技术要求和质量控制要求，全面负责水站（站房、采水、所有仪器设备等）的日常运行维护。当</w:t>
      </w:r>
      <w:r>
        <w:rPr>
          <w:rFonts w:hint="eastAsia" w:ascii="宋体" w:hAnsi="宋体"/>
          <w:color w:val="000000"/>
          <w:sz w:val="24"/>
          <w:szCs w:val="24"/>
          <w:lang w:val="en-US" w:eastAsia="zh-CN"/>
        </w:rPr>
        <w:t>甲方</w:t>
      </w:r>
      <w:r>
        <w:rPr>
          <w:rFonts w:hint="eastAsia" w:ascii="宋体" w:hAnsi="宋体"/>
          <w:color w:val="000000"/>
          <w:sz w:val="24"/>
          <w:szCs w:val="24"/>
          <w:lang w:val="zh-CN"/>
        </w:rPr>
        <w:t>依据国家有关规定和技术要求出台新的运维要求时，以新要求为准。</w:t>
      </w:r>
    </w:p>
    <w:p w14:paraId="569A65DE">
      <w:pPr>
        <w:pStyle w:val="238"/>
        <w:pageBreakBefore w:val="0"/>
        <w:kinsoku/>
        <w:wordWrap/>
        <w:overflowPunct/>
        <w:topLinePunct w:val="0"/>
        <w:autoSpaceDE/>
        <w:autoSpaceDN/>
        <w:bidi w:val="0"/>
        <w:adjustRightInd/>
        <w:snapToGrid/>
        <w:spacing w:line="348" w:lineRule="auto"/>
        <w:ind w:firstLine="480"/>
        <w:textAlignment w:val="auto"/>
        <w:rPr>
          <w:rFonts w:ascii="宋体" w:hAnsi="宋体"/>
          <w:color w:val="000000"/>
          <w:sz w:val="24"/>
          <w:szCs w:val="24"/>
          <w:lang w:val="zh-CN"/>
        </w:rPr>
      </w:pPr>
      <w:r>
        <w:rPr>
          <w:rFonts w:hint="default" w:ascii="Times New Roman" w:hAnsi="Times New Roman" w:cs="Times New Roman"/>
          <w:color w:val="000000"/>
          <w:sz w:val="24"/>
          <w:szCs w:val="24"/>
          <w:lang w:val="en-US" w:eastAsia="zh-CN"/>
        </w:rPr>
        <w:t>2.1</w:t>
      </w:r>
      <w:r>
        <w:rPr>
          <w:rFonts w:hint="eastAsia" w:ascii="Times New Roman" w:hAnsi="Times New Roman" w:cs="Times New Roman"/>
          <w:color w:val="000000"/>
          <w:sz w:val="24"/>
          <w:szCs w:val="24"/>
          <w:lang w:val="en-US" w:eastAsia="zh-CN"/>
        </w:rPr>
        <w:t>、</w:t>
      </w:r>
      <w:r>
        <w:rPr>
          <w:rFonts w:hint="eastAsia" w:ascii="宋体" w:hAnsi="宋体"/>
          <w:color w:val="000000"/>
          <w:sz w:val="24"/>
          <w:szCs w:val="24"/>
          <w:lang w:val="en-US" w:eastAsia="zh-CN"/>
        </w:rPr>
        <w:t>乙方</w:t>
      </w:r>
      <w:r>
        <w:rPr>
          <w:rFonts w:hint="eastAsia" w:ascii="宋体" w:hAnsi="宋体"/>
          <w:color w:val="000000"/>
          <w:sz w:val="24"/>
          <w:szCs w:val="24"/>
          <w:lang w:val="zh-CN"/>
        </w:rPr>
        <w:t>运行维护期间必须遵守国家的有关法律、法规及其他规定，依照有关规范和技术要求，使水站的运行结果达到甲方的考核指标要求，充分发挥水质自动监测系统的效能；</w:t>
      </w:r>
    </w:p>
    <w:p w14:paraId="48D46812">
      <w:pPr>
        <w:pStyle w:val="238"/>
        <w:pageBreakBefore w:val="0"/>
        <w:kinsoku/>
        <w:wordWrap/>
        <w:overflowPunct/>
        <w:topLinePunct w:val="0"/>
        <w:autoSpaceDE/>
        <w:autoSpaceDN/>
        <w:bidi w:val="0"/>
        <w:adjustRightInd/>
        <w:snapToGrid/>
        <w:spacing w:line="348" w:lineRule="auto"/>
        <w:ind w:firstLine="480"/>
        <w:textAlignment w:val="auto"/>
        <w:rPr>
          <w:rFonts w:ascii="宋体" w:hAnsi="宋体"/>
          <w:color w:val="000000"/>
          <w:sz w:val="24"/>
          <w:szCs w:val="24"/>
          <w:lang w:val="zh-CN"/>
        </w:rPr>
      </w:pPr>
      <w:r>
        <w:rPr>
          <w:rFonts w:hint="eastAsia" w:ascii="Times New Roman" w:hAnsi="Times New Roman" w:eastAsia="宋体" w:cs="Times New Roman"/>
          <w:color w:val="000000"/>
          <w:sz w:val="24"/>
          <w:szCs w:val="24"/>
          <w:lang w:val="en-US" w:eastAsia="zh-CN"/>
        </w:rPr>
        <w:t>2.2、</w:t>
      </w:r>
      <w:r>
        <w:rPr>
          <w:rFonts w:hint="eastAsia" w:ascii="宋体" w:hAnsi="宋体"/>
          <w:color w:val="000000"/>
          <w:sz w:val="24"/>
          <w:szCs w:val="24"/>
          <w:lang w:val="zh-CN"/>
        </w:rPr>
        <w:t>运行维护期间，值守人员的相关费用以及采水、供水、供电、通讯、采暖、试剂耗材、仪器设备维修、设施设备的年检保养和水站安全保障所发生的费用等均由</w:t>
      </w:r>
      <w:r>
        <w:rPr>
          <w:rFonts w:hint="eastAsia" w:ascii="宋体" w:hAnsi="宋体"/>
          <w:color w:val="000000"/>
          <w:sz w:val="24"/>
          <w:szCs w:val="24"/>
          <w:lang w:val="en-US" w:eastAsia="zh-CN"/>
        </w:rPr>
        <w:t>乙方</w:t>
      </w:r>
      <w:r>
        <w:rPr>
          <w:rFonts w:hint="eastAsia" w:ascii="宋体" w:hAnsi="宋体"/>
          <w:color w:val="000000"/>
          <w:sz w:val="24"/>
          <w:szCs w:val="24"/>
          <w:lang w:val="zh-CN"/>
        </w:rPr>
        <w:t>支付；</w:t>
      </w:r>
    </w:p>
    <w:p w14:paraId="397FF011">
      <w:pPr>
        <w:pStyle w:val="238"/>
        <w:pageBreakBefore w:val="0"/>
        <w:kinsoku/>
        <w:wordWrap/>
        <w:overflowPunct/>
        <w:topLinePunct w:val="0"/>
        <w:autoSpaceDE/>
        <w:autoSpaceDN/>
        <w:bidi w:val="0"/>
        <w:adjustRightInd/>
        <w:snapToGrid/>
        <w:spacing w:line="348" w:lineRule="auto"/>
        <w:ind w:firstLine="480"/>
        <w:textAlignment w:val="auto"/>
        <w:rPr>
          <w:rFonts w:ascii="宋体" w:hAnsi="宋体"/>
          <w:color w:val="000000"/>
          <w:sz w:val="24"/>
          <w:szCs w:val="24"/>
          <w:lang w:val="zh-CN"/>
        </w:rPr>
      </w:pPr>
      <w:r>
        <w:rPr>
          <w:rFonts w:hint="eastAsia" w:ascii="Times New Roman" w:hAnsi="Times New Roman" w:eastAsia="宋体" w:cs="Times New Roman"/>
          <w:color w:val="000000"/>
          <w:sz w:val="24"/>
          <w:szCs w:val="24"/>
          <w:lang w:val="en-US" w:eastAsia="zh-CN"/>
        </w:rPr>
        <w:t>2.3、</w:t>
      </w:r>
      <w:r>
        <w:rPr>
          <w:rFonts w:hint="eastAsia" w:ascii="宋体" w:hAnsi="宋体"/>
          <w:color w:val="000000"/>
          <w:sz w:val="24"/>
          <w:szCs w:val="24"/>
          <w:lang w:val="en-US" w:eastAsia="zh-CN"/>
        </w:rPr>
        <w:t>乙方</w:t>
      </w:r>
      <w:r>
        <w:rPr>
          <w:rFonts w:hint="eastAsia" w:ascii="宋体" w:hAnsi="宋体"/>
          <w:color w:val="000000"/>
          <w:sz w:val="24"/>
          <w:szCs w:val="24"/>
          <w:lang w:val="zh-CN"/>
        </w:rPr>
        <w:t>须参加甲方组织的技术培训以及运维质量的相互监督检查，接受甲方或其委托相关机构的监管和考核；</w:t>
      </w:r>
    </w:p>
    <w:p w14:paraId="33DEB76A">
      <w:pPr>
        <w:pStyle w:val="238"/>
        <w:pageBreakBefore w:val="0"/>
        <w:kinsoku/>
        <w:wordWrap/>
        <w:overflowPunct/>
        <w:topLinePunct w:val="0"/>
        <w:autoSpaceDE/>
        <w:autoSpaceDN/>
        <w:bidi w:val="0"/>
        <w:adjustRightInd/>
        <w:snapToGrid/>
        <w:spacing w:line="348" w:lineRule="auto"/>
        <w:ind w:firstLine="480"/>
        <w:textAlignment w:val="auto"/>
        <w:rPr>
          <w:rFonts w:ascii="宋体" w:hAnsi="宋体"/>
          <w:color w:val="000000"/>
          <w:sz w:val="24"/>
          <w:szCs w:val="24"/>
          <w:lang w:val="zh-CN"/>
        </w:rPr>
      </w:pPr>
      <w:r>
        <w:rPr>
          <w:rFonts w:hint="eastAsia" w:ascii="Times New Roman" w:hAnsi="Times New Roman" w:eastAsia="宋体" w:cs="Times New Roman"/>
          <w:color w:val="000000"/>
          <w:sz w:val="24"/>
          <w:szCs w:val="24"/>
          <w:lang w:val="en-US" w:eastAsia="zh-CN"/>
        </w:rPr>
        <w:t>2.4、</w:t>
      </w:r>
      <w:r>
        <w:rPr>
          <w:rFonts w:hint="eastAsia" w:ascii="宋体" w:hAnsi="宋体"/>
          <w:color w:val="000000"/>
          <w:sz w:val="24"/>
          <w:szCs w:val="24"/>
          <w:lang w:val="zh-CN"/>
        </w:rPr>
        <w:t>运行维护期间，如遇</w:t>
      </w:r>
      <w:r>
        <w:rPr>
          <w:rFonts w:hint="eastAsia" w:ascii="宋体" w:hAnsi="宋体"/>
          <w:color w:val="000000"/>
          <w:sz w:val="24"/>
          <w:szCs w:val="24"/>
          <w:lang w:val="en-US" w:eastAsia="zh-CN"/>
        </w:rPr>
        <w:t>甲方</w:t>
      </w:r>
      <w:r>
        <w:rPr>
          <w:rFonts w:hint="eastAsia" w:ascii="宋体" w:hAnsi="宋体"/>
          <w:color w:val="000000"/>
          <w:sz w:val="24"/>
          <w:szCs w:val="24"/>
          <w:lang w:val="zh-CN"/>
        </w:rPr>
        <w:t>为水站更换或新增仪器，</w:t>
      </w:r>
      <w:r>
        <w:rPr>
          <w:rFonts w:hint="eastAsia" w:ascii="宋体" w:hAnsi="宋体"/>
          <w:color w:val="000000"/>
          <w:sz w:val="24"/>
          <w:szCs w:val="24"/>
          <w:lang w:val="en-US" w:eastAsia="zh-CN"/>
        </w:rPr>
        <w:t>乙方</w:t>
      </w:r>
      <w:r>
        <w:rPr>
          <w:rFonts w:hint="eastAsia" w:ascii="宋体" w:hAnsi="宋体"/>
          <w:color w:val="000000"/>
          <w:sz w:val="24"/>
          <w:szCs w:val="24"/>
          <w:lang w:val="zh-CN"/>
        </w:rPr>
        <w:t>须配合做好新仪器的安装、调试和运行维护等工作，以及数据无缝对接到甲方指定的管理平台中；</w:t>
      </w:r>
    </w:p>
    <w:p w14:paraId="440DB8E0">
      <w:pPr>
        <w:pStyle w:val="238"/>
        <w:pageBreakBefore w:val="0"/>
        <w:kinsoku/>
        <w:wordWrap/>
        <w:overflowPunct/>
        <w:topLinePunct w:val="0"/>
        <w:autoSpaceDE/>
        <w:autoSpaceDN/>
        <w:bidi w:val="0"/>
        <w:adjustRightInd/>
        <w:snapToGrid/>
        <w:spacing w:line="348" w:lineRule="auto"/>
        <w:ind w:firstLine="480"/>
        <w:textAlignment w:val="auto"/>
        <w:rPr>
          <w:rFonts w:ascii="宋体" w:hAnsi="宋体"/>
          <w:color w:val="000000"/>
          <w:sz w:val="24"/>
          <w:szCs w:val="24"/>
          <w:lang w:val="zh-CN"/>
        </w:rPr>
      </w:pPr>
      <w:r>
        <w:rPr>
          <w:rFonts w:hint="eastAsia" w:ascii="Times New Roman" w:hAnsi="Times New Roman" w:eastAsia="宋体" w:cs="Times New Roman"/>
          <w:color w:val="000000"/>
          <w:sz w:val="24"/>
          <w:szCs w:val="24"/>
          <w:lang w:val="en-US" w:eastAsia="zh-CN"/>
        </w:rPr>
        <w:t>2.5、</w:t>
      </w:r>
      <w:r>
        <w:rPr>
          <w:rFonts w:hint="eastAsia" w:ascii="宋体" w:hAnsi="宋体"/>
          <w:color w:val="000000"/>
          <w:sz w:val="24"/>
          <w:szCs w:val="24"/>
          <w:lang w:val="zh-CN"/>
        </w:rPr>
        <w:t>运行维护期间，水站的全部资产（建筑物、设备、软件、配套设施、水质自动监测系统和配套监控系统产生的各类数据信息及相关文档资料等）属</w:t>
      </w:r>
      <w:r>
        <w:rPr>
          <w:rFonts w:hint="eastAsia" w:ascii="宋体" w:hAnsi="宋体"/>
          <w:color w:val="000000"/>
          <w:sz w:val="24"/>
          <w:szCs w:val="24"/>
          <w:lang w:val="en-US" w:eastAsia="zh-CN"/>
        </w:rPr>
        <w:t>甲方</w:t>
      </w:r>
      <w:r>
        <w:rPr>
          <w:rFonts w:hint="eastAsia" w:ascii="宋体" w:hAnsi="宋体"/>
          <w:color w:val="000000"/>
          <w:sz w:val="24"/>
          <w:szCs w:val="24"/>
          <w:lang w:val="zh-CN"/>
        </w:rPr>
        <w:t>所有。未经</w:t>
      </w:r>
      <w:r>
        <w:rPr>
          <w:rFonts w:hint="eastAsia" w:ascii="宋体" w:hAnsi="宋体"/>
          <w:color w:val="000000"/>
          <w:sz w:val="24"/>
          <w:szCs w:val="24"/>
          <w:lang w:val="en-US" w:eastAsia="zh-CN"/>
        </w:rPr>
        <w:t>甲方</w:t>
      </w:r>
      <w:r>
        <w:rPr>
          <w:rFonts w:hint="eastAsia" w:ascii="宋体" w:hAnsi="宋体"/>
          <w:color w:val="000000"/>
          <w:sz w:val="24"/>
          <w:szCs w:val="24"/>
          <w:lang w:val="zh-CN"/>
        </w:rPr>
        <w:t>同意，</w:t>
      </w:r>
      <w:r>
        <w:rPr>
          <w:rFonts w:hint="eastAsia" w:ascii="宋体" w:hAnsi="宋体"/>
          <w:color w:val="000000"/>
          <w:sz w:val="24"/>
          <w:szCs w:val="24"/>
          <w:lang w:val="en-US" w:eastAsia="zh-CN"/>
        </w:rPr>
        <w:t>乙方</w:t>
      </w:r>
      <w:r>
        <w:rPr>
          <w:rFonts w:hint="eastAsia" w:ascii="宋体" w:hAnsi="宋体"/>
          <w:color w:val="000000"/>
          <w:sz w:val="24"/>
          <w:szCs w:val="24"/>
          <w:lang w:val="zh-CN"/>
        </w:rPr>
        <w:t>不得以任何方式对各类财产进行出售、抵押或转移；</w:t>
      </w:r>
    </w:p>
    <w:p w14:paraId="7FAF128C">
      <w:pPr>
        <w:pStyle w:val="238"/>
        <w:pageBreakBefore w:val="0"/>
        <w:kinsoku/>
        <w:wordWrap/>
        <w:overflowPunct/>
        <w:topLinePunct w:val="0"/>
        <w:autoSpaceDE/>
        <w:autoSpaceDN/>
        <w:bidi w:val="0"/>
        <w:adjustRightInd/>
        <w:snapToGrid/>
        <w:spacing w:line="348" w:lineRule="auto"/>
        <w:ind w:firstLine="480"/>
        <w:textAlignment w:val="auto"/>
        <w:rPr>
          <w:rFonts w:ascii="宋体" w:hAnsi="宋体"/>
          <w:color w:val="000000"/>
          <w:sz w:val="24"/>
          <w:szCs w:val="24"/>
          <w:lang w:val="zh-CN"/>
        </w:rPr>
      </w:pPr>
      <w:r>
        <w:rPr>
          <w:rFonts w:hint="eastAsia" w:ascii="Times New Roman" w:hAnsi="Times New Roman" w:eastAsia="宋体" w:cs="Times New Roman"/>
          <w:color w:val="000000"/>
          <w:sz w:val="24"/>
          <w:szCs w:val="24"/>
          <w:lang w:val="en-US" w:eastAsia="zh-CN"/>
        </w:rPr>
        <w:t>2.6、</w:t>
      </w:r>
      <w:r>
        <w:rPr>
          <w:rFonts w:hint="eastAsia" w:ascii="宋体" w:hAnsi="宋体"/>
          <w:color w:val="000000"/>
          <w:sz w:val="24"/>
          <w:szCs w:val="24"/>
          <w:lang w:val="en-US" w:eastAsia="zh-CN"/>
        </w:rPr>
        <w:t>乙方</w:t>
      </w:r>
      <w:r>
        <w:rPr>
          <w:rFonts w:hint="eastAsia" w:ascii="宋体" w:hAnsi="宋体"/>
          <w:color w:val="000000"/>
          <w:sz w:val="24"/>
          <w:szCs w:val="24"/>
          <w:lang w:val="zh-CN"/>
        </w:rPr>
        <w:t>对水站的监测数据负有保密的责任，不得以任何方式和渠道向外界提供或用于商业用途；</w:t>
      </w:r>
    </w:p>
    <w:p w14:paraId="54DE3DE2">
      <w:pPr>
        <w:pStyle w:val="238"/>
        <w:pageBreakBefore w:val="0"/>
        <w:kinsoku/>
        <w:wordWrap/>
        <w:overflowPunct/>
        <w:topLinePunct w:val="0"/>
        <w:autoSpaceDE/>
        <w:autoSpaceDN/>
        <w:bidi w:val="0"/>
        <w:adjustRightInd/>
        <w:snapToGrid/>
        <w:spacing w:line="348" w:lineRule="auto"/>
        <w:ind w:firstLine="480"/>
        <w:textAlignment w:val="auto"/>
        <w:rPr>
          <w:rFonts w:ascii="宋体" w:hAnsi="宋体"/>
          <w:color w:val="000000"/>
          <w:sz w:val="24"/>
          <w:szCs w:val="24"/>
          <w:lang w:val="zh-CN"/>
        </w:rPr>
      </w:pPr>
      <w:r>
        <w:rPr>
          <w:rFonts w:hint="eastAsia" w:ascii="Times New Roman" w:hAnsi="Times New Roman" w:eastAsia="宋体" w:cs="Times New Roman"/>
          <w:color w:val="000000"/>
          <w:sz w:val="24"/>
          <w:szCs w:val="24"/>
          <w:lang w:val="en-US" w:eastAsia="zh-CN"/>
        </w:rPr>
        <w:t>2.7、</w:t>
      </w:r>
      <w:r>
        <w:rPr>
          <w:rFonts w:hint="eastAsia" w:ascii="宋体" w:hAnsi="宋体"/>
          <w:color w:val="000000"/>
          <w:sz w:val="24"/>
          <w:szCs w:val="24"/>
          <w:lang w:val="zh-CN"/>
        </w:rPr>
        <w:t>运行维护期间，</w:t>
      </w:r>
      <w:r>
        <w:rPr>
          <w:rFonts w:hint="eastAsia" w:ascii="宋体" w:hAnsi="宋体"/>
          <w:color w:val="000000"/>
          <w:sz w:val="24"/>
          <w:szCs w:val="24"/>
          <w:lang w:val="en-US" w:eastAsia="zh-CN"/>
        </w:rPr>
        <w:t>乙方</w:t>
      </w:r>
      <w:r>
        <w:rPr>
          <w:rFonts w:hint="eastAsia" w:ascii="宋体" w:hAnsi="宋体"/>
          <w:color w:val="000000"/>
          <w:sz w:val="24"/>
          <w:szCs w:val="24"/>
          <w:lang w:val="zh-CN"/>
        </w:rPr>
        <w:t>有责任保证水站全部资产的完整、安全并处于良好状态。如出现因乙方安保措施不当造成的水站资产丢失、破坏的情况，乙方须复原并尽快恢复运行，所发生的费用由</w:t>
      </w:r>
      <w:r>
        <w:rPr>
          <w:rFonts w:hint="eastAsia" w:ascii="宋体" w:hAnsi="宋体"/>
          <w:color w:val="000000"/>
          <w:sz w:val="24"/>
          <w:szCs w:val="24"/>
          <w:lang w:val="en-US" w:eastAsia="zh-CN"/>
        </w:rPr>
        <w:t>乙方</w:t>
      </w:r>
      <w:r>
        <w:rPr>
          <w:rFonts w:hint="eastAsia" w:ascii="宋体" w:hAnsi="宋体"/>
          <w:color w:val="000000"/>
          <w:sz w:val="24"/>
          <w:szCs w:val="24"/>
          <w:lang w:val="zh-CN"/>
        </w:rPr>
        <w:t>承担。</w:t>
      </w:r>
      <w:r>
        <w:rPr>
          <w:rFonts w:hint="eastAsia" w:ascii="宋体" w:hAnsi="宋体"/>
          <w:color w:val="000000"/>
          <w:sz w:val="24"/>
          <w:szCs w:val="24"/>
          <w:lang w:val="en-US" w:eastAsia="zh-CN"/>
        </w:rPr>
        <w:t>乙方</w:t>
      </w:r>
      <w:r>
        <w:rPr>
          <w:rFonts w:hint="eastAsia" w:ascii="宋体" w:hAnsi="宋体"/>
          <w:color w:val="000000"/>
          <w:sz w:val="24"/>
          <w:szCs w:val="24"/>
          <w:lang w:val="zh-CN"/>
        </w:rPr>
        <w:t>须协助</w:t>
      </w:r>
      <w:r>
        <w:rPr>
          <w:rFonts w:hint="eastAsia" w:ascii="宋体" w:hAnsi="宋体"/>
          <w:color w:val="000000"/>
          <w:sz w:val="24"/>
          <w:szCs w:val="24"/>
          <w:lang w:val="en-US" w:eastAsia="zh-CN"/>
        </w:rPr>
        <w:t>甲方</w:t>
      </w:r>
      <w:r>
        <w:rPr>
          <w:rFonts w:hint="eastAsia" w:ascii="宋体" w:hAnsi="宋体"/>
          <w:color w:val="000000"/>
          <w:sz w:val="24"/>
          <w:szCs w:val="24"/>
          <w:lang w:val="zh-CN"/>
        </w:rPr>
        <w:t>做好水站固定资产登记管理等工作；</w:t>
      </w:r>
    </w:p>
    <w:p w14:paraId="02D39BD2">
      <w:pPr>
        <w:pStyle w:val="238"/>
        <w:pageBreakBefore w:val="0"/>
        <w:kinsoku/>
        <w:wordWrap/>
        <w:overflowPunct/>
        <w:topLinePunct w:val="0"/>
        <w:autoSpaceDE/>
        <w:autoSpaceDN/>
        <w:bidi w:val="0"/>
        <w:adjustRightInd/>
        <w:snapToGrid/>
        <w:spacing w:line="348" w:lineRule="auto"/>
        <w:ind w:firstLine="480"/>
        <w:textAlignment w:val="auto"/>
        <w:rPr>
          <w:rFonts w:ascii="宋体" w:hAnsi="宋体"/>
          <w:color w:val="000000"/>
          <w:sz w:val="24"/>
          <w:szCs w:val="24"/>
          <w:lang w:val="zh-CN"/>
        </w:rPr>
      </w:pPr>
      <w:r>
        <w:rPr>
          <w:rFonts w:hint="eastAsia" w:ascii="Times New Roman" w:hAnsi="Times New Roman" w:eastAsia="宋体" w:cs="Times New Roman"/>
          <w:color w:val="000000"/>
          <w:sz w:val="24"/>
          <w:szCs w:val="24"/>
          <w:lang w:val="en-US" w:eastAsia="zh-CN"/>
        </w:rPr>
        <w:t>2.8、</w:t>
      </w:r>
      <w:r>
        <w:rPr>
          <w:rFonts w:hint="eastAsia" w:ascii="宋体" w:hAnsi="宋体"/>
          <w:color w:val="000000"/>
          <w:sz w:val="24"/>
          <w:szCs w:val="24"/>
          <w:lang w:val="en-US" w:eastAsia="zh-CN"/>
        </w:rPr>
        <w:t>乙方</w:t>
      </w:r>
      <w:r>
        <w:rPr>
          <w:rFonts w:hint="eastAsia" w:ascii="宋体" w:hAnsi="宋体"/>
          <w:color w:val="000000"/>
          <w:sz w:val="24"/>
          <w:szCs w:val="24"/>
          <w:lang w:val="zh-CN"/>
        </w:rPr>
        <w:t>应</w:t>
      </w:r>
      <w:r>
        <w:rPr>
          <w:rFonts w:hint="eastAsia" w:ascii="宋体" w:hAnsi="宋体"/>
          <w:color w:val="000000"/>
          <w:sz w:val="24"/>
          <w:szCs w:val="24"/>
          <w:lang w:val="en-US" w:eastAsia="zh-CN"/>
        </w:rPr>
        <w:t>配备相应的</w:t>
      </w:r>
      <w:r>
        <w:rPr>
          <w:rFonts w:hint="eastAsia" w:ascii="宋体" w:hAnsi="宋体"/>
          <w:color w:val="000000"/>
          <w:sz w:val="24"/>
          <w:szCs w:val="24"/>
          <w:lang w:val="zh-CN"/>
        </w:rPr>
        <w:t>运维车辆</w:t>
      </w:r>
      <w:r>
        <w:rPr>
          <w:rFonts w:hint="eastAsia" w:ascii="宋体" w:hAnsi="宋体"/>
          <w:color w:val="000000"/>
          <w:sz w:val="24"/>
          <w:szCs w:val="24"/>
          <w:lang w:val="en-US" w:eastAsia="zh-CN"/>
        </w:rPr>
        <w:t>和</w:t>
      </w:r>
      <w:r>
        <w:rPr>
          <w:rFonts w:hint="eastAsia" w:ascii="宋体" w:hAnsi="宋体"/>
          <w:color w:val="000000"/>
          <w:sz w:val="24"/>
          <w:szCs w:val="24"/>
          <w:lang w:val="zh-CN"/>
        </w:rPr>
        <w:t>运维人员。</w:t>
      </w:r>
    </w:p>
    <w:p w14:paraId="53780C9B">
      <w:pPr>
        <w:pStyle w:val="238"/>
        <w:pageBreakBefore w:val="0"/>
        <w:kinsoku/>
        <w:wordWrap/>
        <w:overflowPunct/>
        <w:topLinePunct w:val="0"/>
        <w:autoSpaceDE/>
        <w:autoSpaceDN/>
        <w:bidi w:val="0"/>
        <w:adjustRightInd/>
        <w:snapToGrid/>
        <w:spacing w:line="348" w:lineRule="auto"/>
        <w:ind w:firstLine="480"/>
        <w:textAlignment w:val="auto"/>
        <w:rPr>
          <w:rFonts w:ascii="宋体" w:hAnsi="宋体"/>
          <w:color w:val="000000"/>
          <w:sz w:val="24"/>
          <w:szCs w:val="24"/>
          <w:lang w:val="zh-CN"/>
        </w:rPr>
      </w:pPr>
      <w:r>
        <w:rPr>
          <w:rFonts w:hint="eastAsia" w:ascii="Times New Roman" w:hAnsi="Times New Roman" w:eastAsia="宋体" w:cs="Times New Roman"/>
          <w:color w:val="000000"/>
          <w:sz w:val="24"/>
          <w:szCs w:val="24"/>
          <w:lang w:val="en-US" w:eastAsia="zh-CN"/>
        </w:rPr>
        <w:t>2.9、</w:t>
      </w:r>
      <w:r>
        <w:rPr>
          <w:rFonts w:hint="eastAsia" w:ascii="宋体" w:hAnsi="宋体"/>
          <w:color w:val="000000"/>
          <w:sz w:val="24"/>
          <w:szCs w:val="24"/>
          <w:lang w:val="en-US" w:eastAsia="zh-CN"/>
        </w:rPr>
        <w:t>乙方</w:t>
      </w:r>
      <w:r>
        <w:rPr>
          <w:rFonts w:hint="eastAsia" w:ascii="宋体" w:hAnsi="宋体"/>
          <w:color w:val="000000"/>
          <w:sz w:val="24"/>
          <w:szCs w:val="24"/>
          <w:lang w:val="zh-CN"/>
        </w:rPr>
        <w:t xml:space="preserve">相关技术人员应持证上岗，具有相关的专业知识，能独立运行维护水站； </w:t>
      </w:r>
    </w:p>
    <w:p w14:paraId="61DF4445">
      <w:pPr>
        <w:pStyle w:val="238"/>
        <w:pageBreakBefore w:val="0"/>
        <w:kinsoku/>
        <w:wordWrap/>
        <w:overflowPunct/>
        <w:topLinePunct w:val="0"/>
        <w:autoSpaceDE/>
        <w:autoSpaceDN/>
        <w:bidi w:val="0"/>
        <w:adjustRightInd/>
        <w:snapToGrid/>
        <w:spacing w:line="348" w:lineRule="auto"/>
        <w:ind w:firstLine="480"/>
        <w:textAlignment w:val="auto"/>
        <w:rPr>
          <w:rFonts w:hint="eastAsia" w:ascii="宋体" w:hAnsi="宋体" w:eastAsia="宋体" w:cs="宋体"/>
          <w:b/>
          <w:bCs/>
          <w:szCs w:val="24"/>
          <w:lang w:val="en-US" w:eastAsia="zh-CN"/>
        </w:rPr>
      </w:pPr>
      <w:r>
        <w:rPr>
          <w:rFonts w:hint="eastAsia" w:ascii="Times New Roman" w:hAnsi="Times New Roman" w:eastAsia="宋体" w:cs="Times New Roman"/>
          <w:color w:val="000000"/>
          <w:sz w:val="24"/>
          <w:szCs w:val="24"/>
          <w:lang w:val="en-US" w:eastAsia="zh-CN"/>
        </w:rPr>
        <w:t>2.10、</w:t>
      </w:r>
      <w:r>
        <w:rPr>
          <w:rFonts w:hint="eastAsia" w:ascii="宋体" w:hAnsi="宋体"/>
          <w:color w:val="000000"/>
          <w:sz w:val="24"/>
          <w:szCs w:val="24"/>
          <w:lang w:val="en-US" w:eastAsia="zh-CN"/>
        </w:rPr>
        <w:t>乙方</w:t>
      </w:r>
      <w:r>
        <w:rPr>
          <w:rFonts w:hint="eastAsia" w:ascii="宋体" w:hAnsi="宋体"/>
          <w:color w:val="000000"/>
          <w:sz w:val="24"/>
          <w:szCs w:val="24"/>
          <w:lang w:val="zh-CN"/>
        </w:rPr>
        <w:t>运维期满后应保证资产完好，并做好资产交接，交接的仪器设备须满足本标书中的技术要求；</w:t>
      </w:r>
    </w:p>
    <w:p w14:paraId="1D513F63">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3、</w:t>
      </w:r>
      <w:r>
        <w:rPr>
          <w:rFonts w:hint="eastAsia" w:ascii="Times New Roman" w:hAnsi="Times New Roman" w:eastAsia="宋体" w:cs="Times New Roman"/>
          <w:b/>
          <w:bCs/>
          <w:color w:val="000000"/>
          <w:sz w:val="24"/>
          <w:szCs w:val="24"/>
          <w:lang w:val="en-US" w:eastAsia="zh-CN" w:bidi="ar-SA"/>
        </w:rPr>
        <w:t>环保管家工作</w:t>
      </w:r>
    </w:p>
    <w:p w14:paraId="3FD486A1">
      <w:pPr>
        <w:pageBreakBefore w:val="0"/>
        <w:kinsoku/>
        <w:wordWrap/>
        <w:overflowPunct/>
        <w:topLinePunct w:val="0"/>
        <w:autoSpaceDE/>
        <w:autoSpaceDN/>
        <w:bidi w:val="0"/>
        <w:adjustRightInd/>
        <w:snapToGrid/>
        <w:spacing w:line="348" w:lineRule="auto"/>
        <w:ind w:firstLine="480"/>
        <w:textAlignment w:val="auto"/>
        <w:rPr>
          <w:rFonts w:hint="eastAsia" w:ascii="宋体" w:hAnsi="宋体" w:eastAsia="宋体"/>
          <w:color w:val="auto"/>
          <w:sz w:val="24"/>
          <w:highlight w:val="none"/>
        </w:rPr>
      </w:pPr>
      <w:r>
        <w:rPr>
          <w:rFonts w:hint="eastAsia" w:ascii="Times New Roman" w:hAnsi="Times New Roman" w:eastAsia="宋体" w:cs="Times New Roman"/>
          <w:color w:val="000000"/>
          <w:kern w:val="0"/>
          <w:sz w:val="24"/>
          <w:szCs w:val="24"/>
          <w:lang w:val="en-US" w:eastAsia="zh-CN" w:bidi="ar-SA"/>
        </w:rPr>
        <w:t>3.1、</w:t>
      </w:r>
      <w:r>
        <w:rPr>
          <w:rFonts w:hint="eastAsia" w:ascii="宋体" w:hAnsi="宋体" w:eastAsia="宋体"/>
          <w:color w:val="auto"/>
          <w:sz w:val="24"/>
          <w:highlight w:val="none"/>
        </w:rPr>
        <w:t>企业业务培训，按照</w:t>
      </w:r>
      <w:r>
        <w:rPr>
          <w:rFonts w:hint="eastAsia" w:ascii="宋体" w:hAnsi="宋体"/>
          <w:color w:val="auto"/>
          <w:sz w:val="24"/>
          <w:highlight w:val="none"/>
          <w:lang w:val="en-US" w:eastAsia="zh-CN"/>
        </w:rPr>
        <w:t>甲方需求</w:t>
      </w:r>
      <w:r>
        <w:rPr>
          <w:rFonts w:hint="eastAsia" w:ascii="宋体" w:hAnsi="宋体" w:eastAsia="宋体"/>
          <w:color w:val="auto"/>
          <w:sz w:val="24"/>
          <w:highlight w:val="none"/>
        </w:rPr>
        <w:t>，乙方组织专家对经济区管理机构、区内企业开展法律法规、环境污染防治、环评技术规范、环保技术管理、排污许可执行等专业知识培训。</w:t>
      </w:r>
    </w:p>
    <w:p w14:paraId="0466A45C">
      <w:pPr>
        <w:pageBreakBefore w:val="0"/>
        <w:kinsoku/>
        <w:wordWrap/>
        <w:overflowPunct/>
        <w:topLinePunct w:val="0"/>
        <w:autoSpaceDE/>
        <w:autoSpaceDN/>
        <w:bidi w:val="0"/>
        <w:adjustRightInd/>
        <w:snapToGrid/>
        <w:spacing w:line="348" w:lineRule="auto"/>
        <w:ind w:firstLine="480"/>
        <w:textAlignment w:val="auto"/>
        <w:rPr>
          <w:rFonts w:hint="eastAsia" w:ascii="宋体" w:hAnsi="宋体" w:eastAsia="宋体"/>
          <w:color w:val="auto"/>
          <w:sz w:val="24"/>
          <w:highlight w:val="none"/>
        </w:rPr>
      </w:pPr>
      <w:r>
        <w:rPr>
          <w:rFonts w:hint="eastAsia" w:ascii="Times New Roman" w:hAnsi="Times New Roman" w:eastAsia="宋体" w:cs="Times New Roman"/>
          <w:color w:val="000000"/>
          <w:kern w:val="0"/>
          <w:sz w:val="24"/>
          <w:szCs w:val="24"/>
          <w:lang w:val="en-US" w:eastAsia="zh-CN" w:bidi="ar-SA"/>
        </w:rPr>
        <w:t>3.2、</w:t>
      </w:r>
      <w:r>
        <w:rPr>
          <w:rFonts w:hint="eastAsia" w:ascii="宋体" w:hAnsi="宋体" w:eastAsia="宋体"/>
          <w:color w:val="auto"/>
          <w:sz w:val="24"/>
          <w:highlight w:val="none"/>
        </w:rPr>
        <w:t>企业环境问题排查：结合下述检查内容对重点工业企业开展检查工作，将检查结果形成书面报告，并跟踪整改结果。</w:t>
      </w:r>
    </w:p>
    <w:p w14:paraId="2E4BDCCE">
      <w:pPr>
        <w:pageBreakBefore w:val="0"/>
        <w:kinsoku/>
        <w:wordWrap/>
        <w:overflowPunct/>
        <w:topLinePunct w:val="0"/>
        <w:autoSpaceDE/>
        <w:autoSpaceDN/>
        <w:bidi w:val="0"/>
        <w:adjustRightInd/>
        <w:snapToGrid/>
        <w:spacing w:line="348" w:lineRule="auto"/>
        <w:ind w:firstLine="480"/>
        <w:textAlignment w:val="auto"/>
        <w:rPr>
          <w:rFonts w:hint="eastAsia" w:ascii="宋体" w:hAnsi="宋体" w:eastAsia="宋体"/>
          <w:color w:val="auto"/>
          <w:sz w:val="24"/>
          <w:highlight w:val="none"/>
          <w:lang w:val="en-US" w:eastAsia="zh-CN"/>
        </w:rPr>
      </w:pPr>
      <w:r>
        <w:rPr>
          <w:rFonts w:hint="eastAsia"/>
        </w:rPr>
        <w:t>·</w:t>
      </w:r>
      <w:r>
        <w:rPr>
          <w:rFonts w:hint="eastAsia" w:ascii="宋体" w:hAnsi="宋体" w:eastAsia="宋体"/>
          <w:color w:val="auto"/>
          <w:sz w:val="24"/>
          <w:highlight w:val="none"/>
          <w:lang w:val="en-US" w:eastAsia="zh-CN"/>
        </w:rPr>
        <w:t>环境影响评价、“三同时”验收、排污许可等相关手续完善情况及执行情况；</w:t>
      </w:r>
    </w:p>
    <w:p w14:paraId="7E6881DF">
      <w:pPr>
        <w:pageBreakBefore w:val="0"/>
        <w:kinsoku/>
        <w:wordWrap/>
        <w:overflowPunct/>
        <w:topLinePunct w:val="0"/>
        <w:autoSpaceDE/>
        <w:autoSpaceDN/>
        <w:bidi w:val="0"/>
        <w:adjustRightInd/>
        <w:snapToGrid/>
        <w:spacing w:line="348" w:lineRule="auto"/>
        <w:ind w:firstLine="480"/>
        <w:textAlignment w:val="auto"/>
        <w:rPr>
          <w:rFonts w:hint="eastAsia" w:ascii="宋体" w:hAnsi="宋体" w:eastAsia="宋体"/>
          <w:color w:val="auto"/>
          <w:sz w:val="24"/>
          <w:highlight w:val="none"/>
          <w:lang w:val="en-US" w:eastAsia="zh-CN"/>
        </w:rPr>
      </w:pPr>
      <w:r>
        <w:rPr>
          <w:rFonts w:hint="eastAsia"/>
        </w:rPr>
        <w:t>·</w:t>
      </w:r>
      <w:r>
        <w:rPr>
          <w:rFonts w:hint="eastAsia" w:ascii="宋体" w:hAnsi="宋体" w:eastAsia="宋体"/>
          <w:color w:val="auto"/>
          <w:sz w:val="24"/>
          <w:highlight w:val="none"/>
          <w:lang w:val="en-US" w:eastAsia="zh-CN"/>
        </w:rPr>
        <w:t>废水、废气、噪声等污染防治设施建设运行及达标情况；</w:t>
      </w:r>
    </w:p>
    <w:p w14:paraId="15DBFF37">
      <w:pPr>
        <w:pageBreakBefore w:val="0"/>
        <w:kinsoku/>
        <w:wordWrap/>
        <w:overflowPunct/>
        <w:topLinePunct w:val="0"/>
        <w:autoSpaceDE/>
        <w:autoSpaceDN/>
        <w:bidi w:val="0"/>
        <w:adjustRightInd/>
        <w:snapToGrid/>
        <w:spacing w:line="348" w:lineRule="auto"/>
        <w:ind w:firstLine="480"/>
        <w:textAlignment w:val="auto"/>
        <w:rPr>
          <w:rFonts w:hint="eastAsia" w:ascii="宋体" w:hAnsi="宋体" w:eastAsia="宋体"/>
          <w:color w:val="auto"/>
          <w:sz w:val="24"/>
          <w:highlight w:val="none"/>
          <w:lang w:val="en-US" w:eastAsia="zh-CN"/>
        </w:rPr>
      </w:pPr>
      <w:r>
        <w:rPr>
          <w:rFonts w:hint="eastAsia"/>
        </w:rPr>
        <w:t>·</w:t>
      </w:r>
      <w:r>
        <w:rPr>
          <w:rFonts w:hint="eastAsia" w:ascii="宋体" w:hAnsi="宋体" w:eastAsia="宋体"/>
          <w:color w:val="auto"/>
          <w:sz w:val="24"/>
          <w:highlight w:val="none"/>
          <w:lang w:val="en-US" w:eastAsia="zh-CN"/>
        </w:rPr>
        <w:t>清污分流、雨污分流改造情况；</w:t>
      </w:r>
    </w:p>
    <w:p w14:paraId="1FB03E4C">
      <w:pPr>
        <w:pageBreakBefore w:val="0"/>
        <w:kinsoku/>
        <w:wordWrap/>
        <w:overflowPunct/>
        <w:topLinePunct w:val="0"/>
        <w:autoSpaceDE/>
        <w:autoSpaceDN/>
        <w:bidi w:val="0"/>
        <w:adjustRightInd/>
        <w:snapToGrid/>
        <w:spacing w:line="348" w:lineRule="auto"/>
        <w:ind w:firstLine="480"/>
        <w:textAlignment w:val="auto"/>
        <w:rPr>
          <w:rFonts w:hint="eastAsia" w:ascii="宋体" w:hAnsi="宋体" w:eastAsia="宋体"/>
          <w:color w:val="auto"/>
          <w:sz w:val="24"/>
          <w:highlight w:val="none"/>
          <w:lang w:val="en-US" w:eastAsia="zh-CN"/>
        </w:rPr>
      </w:pPr>
      <w:r>
        <w:rPr>
          <w:rFonts w:hint="eastAsia"/>
        </w:rPr>
        <w:t>·</w:t>
      </w:r>
      <w:r>
        <w:rPr>
          <w:rFonts w:hint="eastAsia" w:ascii="宋体" w:hAnsi="宋体" w:eastAsia="宋体"/>
          <w:color w:val="auto"/>
          <w:sz w:val="24"/>
          <w:highlight w:val="none"/>
          <w:lang w:val="en-US" w:eastAsia="zh-CN"/>
        </w:rPr>
        <w:t>危险废物产生、贮存及处置情况；</w:t>
      </w:r>
    </w:p>
    <w:p w14:paraId="15511624">
      <w:pPr>
        <w:pageBreakBefore w:val="0"/>
        <w:kinsoku/>
        <w:wordWrap/>
        <w:overflowPunct/>
        <w:topLinePunct w:val="0"/>
        <w:autoSpaceDE/>
        <w:autoSpaceDN/>
        <w:bidi w:val="0"/>
        <w:adjustRightInd/>
        <w:snapToGrid/>
        <w:spacing w:line="348" w:lineRule="auto"/>
        <w:ind w:firstLine="480"/>
        <w:textAlignment w:val="auto"/>
        <w:rPr>
          <w:rFonts w:hint="eastAsia" w:ascii="宋体" w:hAnsi="宋体" w:eastAsia="宋体"/>
          <w:color w:val="auto"/>
          <w:sz w:val="24"/>
          <w:highlight w:val="none"/>
          <w:lang w:val="en-US" w:eastAsia="zh-CN"/>
        </w:rPr>
      </w:pPr>
      <w:r>
        <w:rPr>
          <w:rFonts w:hint="eastAsia"/>
        </w:rPr>
        <w:t>·</w:t>
      </w:r>
      <w:r>
        <w:rPr>
          <w:rFonts w:hint="eastAsia" w:ascii="宋体" w:hAnsi="宋体" w:eastAsia="宋体"/>
          <w:color w:val="auto"/>
          <w:sz w:val="24"/>
          <w:highlight w:val="none"/>
          <w:lang w:val="en-US" w:eastAsia="zh-CN"/>
        </w:rPr>
        <w:t>自动监测设施安装、联网及运行情况；</w:t>
      </w:r>
    </w:p>
    <w:p w14:paraId="103F866C">
      <w:pPr>
        <w:pageBreakBefore w:val="0"/>
        <w:kinsoku/>
        <w:wordWrap/>
        <w:overflowPunct/>
        <w:topLinePunct w:val="0"/>
        <w:autoSpaceDE/>
        <w:autoSpaceDN/>
        <w:bidi w:val="0"/>
        <w:adjustRightInd/>
        <w:snapToGrid/>
        <w:spacing w:line="348" w:lineRule="auto"/>
        <w:ind w:firstLine="480"/>
        <w:textAlignment w:val="auto"/>
        <w:rPr>
          <w:rFonts w:hint="eastAsia" w:ascii="宋体" w:hAnsi="宋体" w:eastAsia="宋体"/>
          <w:color w:val="auto"/>
          <w:sz w:val="24"/>
          <w:highlight w:val="none"/>
          <w:lang w:val="en-US" w:eastAsia="zh-CN"/>
        </w:rPr>
      </w:pPr>
      <w:r>
        <w:rPr>
          <w:rFonts w:hint="eastAsia"/>
        </w:rPr>
        <w:t>·</w:t>
      </w:r>
      <w:r>
        <w:rPr>
          <w:rFonts w:hint="eastAsia" w:ascii="宋体" w:hAnsi="宋体" w:eastAsia="宋体"/>
          <w:color w:val="auto"/>
          <w:sz w:val="24"/>
          <w:highlight w:val="none"/>
          <w:lang w:val="en-US" w:eastAsia="zh-CN"/>
        </w:rPr>
        <w:t>环境风险评估及应急预案编制情况；</w:t>
      </w:r>
    </w:p>
    <w:p w14:paraId="1EDA0E37">
      <w:pPr>
        <w:pageBreakBefore w:val="0"/>
        <w:kinsoku/>
        <w:wordWrap/>
        <w:overflowPunct/>
        <w:topLinePunct w:val="0"/>
        <w:autoSpaceDE/>
        <w:autoSpaceDN/>
        <w:bidi w:val="0"/>
        <w:adjustRightInd/>
        <w:snapToGrid/>
        <w:spacing w:line="348" w:lineRule="auto"/>
        <w:ind w:firstLine="480"/>
        <w:textAlignment w:val="auto"/>
        <w:rPr>
          <w:rFonts w:hint="eastAsia" w:ascii="宋体" w:hAnsi="宋体" w:eastAsia="宋体"/>
          <w:color w:val="auto"/>
          <w:sz w:val="24"/>
          <w:highlight w:val="none"/>
          <w:lang w:val="en-US" w:eastAsia="zh-CN"/>
        </w:rPr>
      </w:pPr>
      <w:r>
        <w:rPr>
          <w:rFonts w:hint="eastAsia"/>
        </w:rPr>
        <w:t>·</w:t>
      </w:r>
      <w:r>
        <w:rPr>
          <w:rFonts w:hint="eastAsia" w:ascii="宋体" w:hAnsi="宋体" w:eastAsia="宋体"/>
          <w:color w:val="auto"/>
          <w:sz w:val="24"/>
          <w:highlight w:val="none"/>
          <w:lang w:val="en-US" w:eastAsia="zh-CN"/>
        </w:rPr>
        <w:t>环境应急监测预警措施落实情况；</w:t>
      </w:r>
    </w:p>
    <w:p w14:paraId="7BA296B0">
      <w:pPr>
        <w:pageBreakBefore w:val="0"/>
        <w:kinsoku/>
        <w:wordWrap/>
        <w:overflowPunct/>
        <w:topLinePunct w:val="0"/>
        <w:autoSpaceDE/>
        <w:autoSpaceDN/>
        <w:bidi w:val="0"/>
        <w:adjustRightInd/>
        <w:snapToGrid/>
        <w:spacing w:line="348" w:lineRule="auto"/>
        <w:ind w:firstLine="480"/>
        <w:textAlignment w:val="auto"/>
        <w:rPr>
          <w:rFonts w:hint="eastAsia" w:ascii="宋体" w:hAnsi="宋体" w:eastAsia="宋体"/>
          <w:color w:val="auto"/>
          <w:sz w:val="24"/>
          <w:highlight w:val="none"/>
          <w:lang w:val="en-US" w:eastAsia="zh-CN"/>
        </w:rPr>
      </w:pPr>
      <w:r>
        <w:rPr>
          <w:rFonts w:hint="eastAsia"/>
        </w:rPr>
        <w:t>·</w:t>
      </w:r>
      <w:r>
        <w:rPr>
          <w:rFonts w:hint="eastAsia" w:ascii="宋体" w:hAnsi="宋体" w:eastAsia="宋体"/>
          <w:color w:val="auto"/>
          <w:sz w:val="24"/>
          <w:highlight w:val="none"/>
          <w:lang w:val="en-US" w:eastAsia="zh-CN"/>
        </w:rPr>
        <w:t>环境应急防范设施措施落实情况；</w:t>
      </w:r>
    </w:p>
    <w:p w14:paraId="4B837A40">
      <w:pPr>
        <w:pageBreakBefore w:val="0"/>
        <w:kinsoku/>
        <w:wordWrap/>
        <w:overflowPunct/>
        <w:topLinePunct w:val="0"/>
        <w:autoSpaceDE/>
        <w:autoSpaceDN/>
        <w:bidi w:val="0"/>
        <w:adjustRightInd/>
        <w:snapToGrid/>
        <w:spacing w:line="348" w:lineRule="auto"/>
        <w:ind w:firstLine="480"/>
        <w:textAlignment w:val="auto"/>
        <w:rPr>
          <w:rFonts w:hint="eastAsia" w:ascii="宋体" w:hAnsi="宋体" w:eastAsia="宋体"/>
          <w:color w:val="auto"/>
          <w:sz w:val="24"/>
          <w:highlight w:val="none"/>
          <w:lang w:val="en-US" w:eastAsia="zh-CN"/>
        </w:rPr>
      </w:pPr>
      <w:r>
        <w:rPr>
          <w:rFonts w:hint="eastAsia"/>
        </w:rPr>
        <w:t>·</w:t>
      </w:r>
      <w:r>
        <w:rPr>
          <w:rFonts w:hint="eastAsia" w:ascii="宋体" w:hAnsi="宋体" w:eastAsia="宋体"/>
          <w:color w:val="auto"/>
          <w:sz w:val="24"/>
          <w:highlight w:val="none"/>
          <w:lang w:val="en-US" w:eastAsia="zh-CN"/>
        </w:rPr>
        <w:t>依法应当监督检查的其他情况；</w:t>
      </w:r>
    </w:p>
    <w:p w14:paraId="43CB50D6">
      <w:pPr>
        <w:pageBreakBefore w:val="0"/>
        <w:kinsoku/>
        <w:wordWrap/>
        <w:overflowPunct/>
        <w:topLinePunct w:val="0"/>
        <w:autoSpaceDE/>
        <w:autoSpaceDN/>
        <w:bidi w:val="0"/>
        <w:adjustRightInd/>
        <w:snapToGrid/>
        <w:spacing w:line="348" w:lineRule="auto"/>
        <w:ind w:firstLine="480"/>
        <w:textAlignment w:val="auto"/>
        <w:rPr>
          <w:rFonts w:hint="eastAsia" w:ascii="宋体" w:hAnsi="宋体" w:eastAsia="宋体"/>
          <w:color w:val="auto"/>
          <w:sz w:val="24"/>
          <w:highlight w:val="none"/>
        </w:rPr>
      </w:pPr>
      <w:r>
        <w:rPr>
          <w:rFonts w:hint="eastAsia"/>
        </w:rPr>
        <w:t>·</w:t>
      </w:r>
      <w:r>
        <w:rPr>
          <w:rFonts w:hint="eastAsia" w:ascii="宋体" w:hAnsi="宋体" w:eastAsia="宋体"/>
          <w:color w:val="auto"/>
          <w:sz w:val="24"/>
          <w:highlight w:val="none"/>
          <w:lang w:val="en-US" w:eastAsia="zh-CN"/>
        </w:rPr>
        <w:t>重点时段应予以关注的环境监管重点。</w:t>
      </w:r>
    </w:p>
    <w:p w14:paraId="6AD77FA5">
      <w:pPr>
        <w:pageBreakBefore w:val="0"/>
        <w:kinsoku/>
        <w:wordWrap/>
        <w:overflowPunct/>
        <w:topLinePunct w:val="0"/>
        <w:autoSpaceDE/>
        <w:autoSpaceDN/>
        <w:bidi w:val="0"/>
        <w:adjustRightInd/>
        <w:snapToGrid/>
        <w:spacing w:line="348" w:lineRule="auto"/>
        <w:ind w:firstLine="480"/>
        <w:textAlignment w:val="auto"/>
        <w:rPr>
          <w:rFonts w:hint="eastAsia" w:ascii="宋体" w:hAnsi="宋体"/>
          <w:color w:val="auto"/>
          <w:sz w:val="24"/>
          <w:highlight w:val="none"/>
          <w:lang w:eastAsia="zh-CN"/>
        </w:rPr>
      </w:pPr>
      <w:r>
        <w:rPr>
          <w:rFonts w:hint="eastAsia" w:ascii="Times New Roman" w:hAnsi="Times New Roman" w:eastAsia="宋体" w:cs="Times New Roman"/>
          <w:color w:val="000000"/>
          <w:kern w:val="0"/>
          <w:sz w:val="24"/>
          <w:szCs w:val="24"/>
          <w:lang w:val="en-US" w:eastAsia="zh-CN" w:bidi="ar-SA"/>
        </w:rPr>
        <w:t>3.3、</w:t>
      </w:r>
      <w:r>
        <w:rPr>
          <w:rFonts w:hint="eastAsia" w:ascii="宋体" w:hAnsi="宋体" w:eastAsia="宋体"/>
          <w:color w:val="auto"/>
          <w:sz w:val="24"/>
          <w:highlight w:val="none"/>
        </w:rPr>
        <w:t>做好园区</w:t>
      </w:r>
      <w:r>
        <w:rPr>
          <w:rFonts w:hint="eastAsia" w:ascii="宋体" w:hAnsi="宋体" w:eastAsia="宋体"/>
          <w:color w:val="auto"/>
          <w:sz w:val="24"/>
          <w:highlight w:val="none"/>
          <w:lang w:eastAsia="zh-CN"/>
        </w:rPr>
        <w:t>2026年</w:t>
      </w:r>
      <w:r>
        <w:rPr>
          <w:rFonts w:hint="eastAsia" w:ascii="宋体" w:hAnsi="宋体" w:eastAsia="宋体"/>
          <w:color w:val="auto"/>
          <w:sz w:val="24"/>
          <w:highlight w:val="none"/>
        </w:rPr>
        <w:t>限值限量</w:t>
      </w:r>
      <w:r>
        <w:rPr>
          <w:rFonts w:hint="eastAsia" w:ascii="宋体" w:hAnsi="宋体" w:eastAsia="宋体"/>
          <w:color w:val="auto"/>
          <w:sz w:val="24"/>
          <w:highlight w:val="none"/>
          <w:lang w:val="en-US" w:eastAsia="zh-CN"/>
        </w:rPr>
        <w:t>报表填报</w:t>
      </w:r>
      <w:r>
        <w:rPr>
          <w:rFonts w:hint="eastAsia" w:ascii="宋体" w:hAnsi="宋体" w:eastAsia="宋体"/>
          <w:color w:val="auto"/>
          <w:sz w:val="24"/>
          <w:highlight w:val="none"/>
        </w:rPr>
        <w:t>工作</w:t>
      </w:r>
      <w:r>
        <w:rPr>
          <w:rFonts w:hint="eastAsia" w:ascii="宋体" w:hAnsi="宋体"/>
          <w:color w:val="auto"/>
          <w:sz w:val="24"/>
          <w:highlight w:val="none"/>
          <w:lang w:eastAsia="zh-CN"/>
        </w:rPr>
        <w:t>。</w:t>
      </w:r>
    </w:p>
    <w:p w14:paraId="6AEB6F94">
      <w:pPr>
        <w:pageBreakBefore w:val="0"/>
        <w:kinsoku/>
        <w:wordWrap/>
        <w:overflowPunct/>
        <w:topLinePunct w:val="0"/>
        <w:autoSpaceDE/>
        <w:autoSpaceDN/>
        <w:bidi w:val="0"/>
        <w:adjustRightInd/>
        <w:snapToGrid/>
        <w:spacing w:line="348" w:lineRule="auto"/>
        <w:ind w:firstLine="480"/>
        <w:textAlignment w:val="auto"/>
        <w:rPr>
          <w:rFonts w:hint="eastAsia" w:ascii="宋体" w:hAnsi="宋体" w:eastAsia="宋体"/>
          <w:color w:val="auto"/>
          <w:sz w:val="24"/>
          <w:highlight w:val="none"/>
          <w:lang w:val="en-US" w:eastAsia="zh-CN"/>
        </w:rPr>
      </w:pPr>
      <w:r>
        <w:rPr>
          <w:rFonts w:hint="eastAsia" w:ascii="Times New Roman" w:hAnsi="Times New Roman" w:eastAsia="宋体" w:cs="Times New Roman"/>
          <w:color w:val="000000"/>
          <w:kern w:val="0"/>
          <w:sz w:val="24"/>
          <w:szCs w:val="24"/>
          <w:lang w:val="en-US" w:eastAsia="zh-CN" w:bidi="ar-SA"/>
        </w:rPr>
        <w:t>3.4、</w:t>
      </w:r>
      <w:r>
        <w:rPr>
          <w:rFonts w:hint="eastAsia" w:ascii="宋体" w:hAnsi="宋体" w:eastAsia="宋体"/>
          <w:color w:val="auto"/>
          <w:sz w:val="24"/>
          <w:highlight w:val="none"/>
          <w:lang w:val="en-US" w:eastAsia="zh-CN"/>
        </w:rPr>
        <w:t>为园区</w:t>
      </w:r>
      <w:r>
        <w:rPr>
          <w:rFonts w:hint="eastAsia" w:ascii="宋体" w:hAnsi="宋体" w:eastAsia="宋体"/>
          <w:color w:val="auto"/>
          <w:sz w:val="24"/>
          <w:highlight w:val="none"/>
        </w:rPr>
        <w:t>项目准入咨询</w:t>
      </w:r>
      <w:r>
        <w:rPr>
          <w:rFonts w:hint="eastAsia" w:ascii="宋体" w:hAnsi="宋体" w:eastAsia="宋体"/>
          <w:color w:val="auto"/>
          <w:sz w:val="24"/>
          <w:highlight w:val="none"/>
          <w:lang w:eastAsia="zh-CN"/>
        </w:rPr>
        <w:t>：为</w:t>
      </w:r>
      <w:r>
        <w:rPr>
          <w:rFonts w:hint="eastAsia" w:ascii="宋体" w:hAnsi="宋体" w:eastAsia="宋体"/>
          <w:color w:val="auto"/>
          <w:sz w:val="24"/>
          <w:highlight w:val="none"/>
          <w:lang w:val="en-US" w:eastAsia="zh-CN"/>
        </w:rPr>
        <w:t>园区</w:t>
      </w:r>
      <w:r>
        <w:rPr>
          <w:rFonts w:hint="eastAsia" w:ascii="宋体" w:hAnsi="宋体" w:eastAsia="宋体"/>
          <w:color w:val="auto"/>
          <w:sz w:val="24"/>
          <w:highlight w:val="none"/>
          <w:lang w:eastAsia="zh-CN"/>
        </w:rPr>
        <w:t>重大招商项目提出前期环保准入政策咨询，预</w:t>
      </w:r>
      <w:r>
        <w:rPr>
          <w:rFonts w:hint="eastAsia" w:ascii="宋体" w:hAnsi="宋体" w:eastAsia="宋体"/>
          <w:color w:val="auto"/>
          <w:sz w:val="24"/>
          <w:highlight w:val="none"/>
          <w:lang w:val="en-US" w:eastAsia="zh-CN"/>
        </w:rPr>
        <w:t>判项目环境风险，提出解决方案和环境风险诊断预估。为园区规划环评、生态环境治理，以及土壤、水、气、固废等现状调查和污染治理修复等提出建议。参与园区基础设施类环保项目建设，提出前期技术建议方案。</w:t>
      </w:r>
    </w:p>
    <w:p w14:paraId="33EE5A8B">
      <w:pPr>
        <w:pageBreakBefore w:val="0"/>
        <w:kinsoku/>
        <w:wordWrap/>
        <w:overflowPunct/>
        <w:topLinePunct w:val="0"/>
        <w:autoSpaceDE/>
        <w:autoSpaceDN/>
        <w:bidi w:val="0"/>
        <w:adjustRightInd/>
        <w:snapToGrid/>
        <w:spacing w:line="348" w:lineRule="auto"/>
        <w:ind w:firstLine="480"/>
        <w:textAlignment w:val="auto"/>
        <w:rPr>
          <w:rFonts w:hint="default" w:ascii="宋体" w:hAnsi="宋体" w:eastAsia="宋体"/>
          <w:color w:val="auto"/>
          <w:sz w:val="24"/>
          <w:highlight w:val="none"/>
          <w:lang w:val="en-US" w:eastAsia="zh-CN"/>
        </w:rPr>
      </w:pPr>
      <w:r>
        <w:rPr>
          <w:rFonts w:hint="eastAsia" w:ascii="Times New Roman" w:hAnsi="Times New Roman" w:eastAsia="宋体" w:cs="Times New Roman"/>
          <w:color w:val="000000"/>
          <w:kern w:val="0"/>
          <w:sz w:val="24"/>
          <w:szCs w:val="24"/>
          <w:lang w:val="en-US" w:eastAsia="zh-CN" w:bidi="ar-SA"/>
        </w:rPr>
        <w:t>3.5、</w:t>
      </w:r>
      <w:r>
        <w:rPr>
          <w:rFonts w:hint="eastAsia" w:ascii="宋体" w:hAnsi="宋体"/>
          <w:color w:val="auto"/>
          <w:sz w:val="24"/>
          <w:highlight w:val="none"/>
          <w:lang w:val="en-US" w:eastAsia="zh-CN"/>
        </w:rPr>
        <w:t>环保管家人员要求：乙方担任环保管家岗位的人员须</w:t>
      </w:r>
      <w:r>
        <w:rPr>
          <w:rFonts w:hint="eastAsia" w:ascii="宋体" w:hAnsi="宋体" w:eastAsia="宋体" w:cs="宋体"/>
          <w:color w:val="auto"/>
          <w:sz w:val="24"/>
          <w:highlight w:val="none"/>
          <w:lang w:val="en-US" w:eastAsia="zh-CN"/>
        </w:rPr>
        <w:t>具有注册环评工程师或注册环保工程师证书至少一项</w:t>
      </w:r>
      <w:r>
        <w:rPr>
          <w:rFonts w:hint="eastAsia" w:ascii="宋体" w:hAnsi="宋体" w:eastAsia="宋体" w:cs="宋体"/>
          <w:kern w:val="2"/>
          <w:sz w:val="24"/>
          <w:szCs w:val="24"/>
          <w:lang w:val="en-US" w:eastAsia="zh-CN" w:bidi="ar-SA"/>
        </w:rPr>
        <w:t>。</w:t>
      </w:r>
    </w:p>
    <w:p w14:paraId="6F6F4766">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2" w:firstLineChars="200"/>
        <w:jc w:val="both"/>
        <w:textAlignment w:val="auto"/>
        <w:rPr>
          <w:rFonts w:hint="eastAsia" w:ascii="宋体" w:hAnsi="宋体" w:eastAsia="宋体" w:cs="宋体"/>
          <w:b/>
          <w:bCs/>
          <w:szCs w:val="24"/>
          <w:lang w:val="en-US" w:eastAsia="zh-CN"/>
        </w:rPr>
      </w:pPr>
      <w:r>
        <w:rPr>
          <w:rFonts w:hint="eastAsia" w:ascii="宋体" w:hAnsi="宋体" w:eastAsia="宋体" w:cs="宋体"/>
          <w:b/>
          <w:bCs/>
          <w:szCs w:val="24"/>
          <w:lang w:val="en-US" w:eastAsia="zh-CN"/>
        </w:rPr>
        <w:t>四、环境空气质量自动监测站技术要求</w:t>
      </w:r>
    </w:p>
    <w:p w14:paraId="799544AB">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b/>
          <w:bCs/>
          <w:szCs w:val="24"/>
          <w:lang w:val="en-US" w:eastAsia="zh-CN"/>
        </w:rPr>
      </w:pPr>
      <w:r>
        <w:rPr>
          <w:rFonts w:hint="eastAsia" w:ascii="Times New Roman" w:hAnsi="Times New Roman" w:eastAsia="宋体" w:cs="Times New Roman"/>
          <w:color w:val="000000"/>
          <w:sz w:val="24"/>
          <w:szCs w:val="24"/>
          <w:lang w:val="en-US" w:eastAsia="zh-CN" w:bidi="ar-SA"/>
        </w:rPr>
        <w:t>1、</w:t>
      </w:r>
      <w:r>
        <w:rPr>
          <w:rFonts w:hint="eastAsia" w:ascii="宋体" w:hAnsi="宋体" w:eastAsia="宋体" w:cs="宋体"/>
          <w:b/>
          <w:bCs/>
          <w:szCs w:val="24"/>
        </w:rPr>
        <w:t>总</w:t>
      </w:r>
      <w:r>
        <w:rPr>
          <w:rFonts w:hint="eastAsia" w:cs="宋体"/>
          <w:b/>
          <w:bCs/>
          <w:szCs w:val="24"/>
          <w:lang w:val="en-US" w:eastAsia="zh-CN"/>
        </w:rPr>
        <w:t>则</w:t>
      </w:r>
    </w:p>
    <w:p w14:paraId="1DBF3202">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本技术要求适用于环境质量自动监测站（包含环境空气质量自动监测站与地表水水质自动监测站）的运行维护服务。乙方须依据国家、省相关法律法规、技术规范及本办法开展运维工作，确保监测站点正常稳定运行，获取及时、准确、有效的监测数据。</w:t>
      </w:r>
    </w:p>
    <w:p w14:paraId="572B5572">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ascii="Times New Roman" w:hAnsi="Times New Roman" w:eastAsia="宋体" w:cs="Times New Roman"/>
          <w:color w:val="000000"/>
          <w:sz w:val="24"/>
          <w:szCs w:val="24"/>
          <w:lang w:val="en-US" w:eastAsia="zh-CN" w:bidi="ar-SA"/>
        </w:rPr>
        <w:t>1.1、</w:t>
      </w:r>
      <w:r>
        <w:rPr>
          <w:rFonts w:hint="eastAsia" w:ascii="宋体" w:hAnsi="宋体" w:eastAsia="宋体" w:cs="宋体"/>
          <w:b/>
          <w:bCs/>
          <w:szCs w:val="24"/>
          <w:lang w:val="en-US" w:eastAsia="zh-CN"/>
        </w:rPr>
        <w:t>运维交接与管理</w:t>
      </w:r>
    </w:p>
    <w:p w14:paraId="5AF9EADB">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进场交接：乙方中标后，在合同签订后15个自然日内，按照甲方要求完成相关站点运维交接工作并接手运维。须制定交接实施方案（包括人员安排、职责分工、时间安排、交接内容、流程等），经甲方审核确认后执行。交接内容包括对文档、资料、系统、设备形成清单，进行设备性能测试及基础设施情况确认。确认工作全部完成后，向甲方提交完整交接记录。</w:t>
      </w:r>
    </w:p>
    <w:p w14:paraId="6512FC77">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退场交接：在服务周期结束时或合同终止执行时，按照甲方要求与新运维单位完成交接工作。</w:t>
      </w:r>
    </w:p>
    <w:p w14:paraId="78C45CC1">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交接延误责任：因乙方原因导致交接工作未能按时完成的，应由乙方承担站点运行产生的相关费用。</w:t>
      </w:r>
    </w:p>
    <w:p w14:paraId="554DF889">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cs="宋体"/>
          <w:szCs w:val="24"/>
          <w:lang w:val="en-US" w:eastAsia="zh-CN"/>
        </w:rPr>
      </w:pPr>
      <w:r>
        <w:rPr>
          <w:rFonts w:hint="eastAsia" w:ascii="Times New Roman" w:hAnsi="Times New Roman" w:eastAsia="宋体" w:cs="Times New Roman"/>
          <w:color w:val="000000"/>
          <w:sz w:val="24"/>
          <w:szCs w:val="24"/>
          <w:lang w:val="en-US" w:eastAsia="zh-CN" w:bidi="ar-SA"/>
        </w:rPr>
        <w:t>1.2、</w:t>
      </w:r>
      <w:r>
        <w:rPr>
          <w:rFonts w:hint="eastAsia" w:ascii="宋体" w:hAnsi="宋体" w:eastAsia="宋体" w:cs="宋体"/>
          <w:b/>
          <w:bCs/>
          <w:szCs w:val="24"/>
          <w:lang w:val="en-US" w:eastAsia="zh-CN"/>
        </w:rPr>
        <w:t>费用责任</w:t>
      </w:r>
    </w:p>
    <w:p w14:paraId="482B63C6">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szCs w:val="24"/>
        </w:rPr>
      </w:pPr>
      <w:r>
        <w:rPr>
          <w:rFonts w:hint="eastAsia"/>
        </w:rPr>
        <w:t>相关站点的电费、通讯费、网络平台运维费，以及站房基础设施、电力设施、通讯设施和防雷设施的日常维护费全部由乙方承担，并包含在本项目投标报价中。</w:t>
      </w:r>
    </w:p>
    <w:p w14:paraId="519DA12C">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1.3、</w:t>
      </w:r>
      <w:r>
        <w:rPr>
          <w:rFonts w:hint="eastAsia" w:ascii="宋体" w:hAnsi="宋体" w:eastAsia="宋体" w:cs="宋体"/>
          <w:b/>
          <w:bCs/>
          <w:kern w:val="2"/>
          <w:sz w:val="24"/>
          <w:szCs w:val="24"/>
          <w:lang w:val="en-US" w:eastAsia="zh-CN" w:bidi="ar-SA"/>
        </w:rPr>
        <w:t>资产管理</w:t>
      </w:r>
    </w:p>
    <w:p w14:paraId="2145B3D9">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乙方应保证本项目各类国有资产安全，配合甲方开展资产清点和管理工作。乙方蓄意破坏或私自外借、出租、抵押国有资产的，将交由相关机构处理，出现国有资产损失或流失的，相关责任人要按原价赔偿，并追究法律责任。</w:t>
      </w:r>
    </w:p>
    <w:p w14:paraId="159AA340">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1.4、</w:t>
      </w:r>
      <w:r>
        <w:rPr>
          <w:rFonts w:hint="eastAsia" w:ascii="宋体" w:hAnsi="宋体" w:eastAsia="宋体" w:cs="宋体"/>
          <w:b/>
          <w:bCs/>
          <w:kern w:val="2"/>
          <w:sz w:val="24"/>
          <w:szCs w:val="24"/>
          <w:lang w:val="en-US" w:eastAsia="zh-CN" w:bidi="ar-SA"/>
        </w:rPr>
        <w:t>规范遵循</w:t>
      </w:r>
    </w:p>
    <w:p w14:paraId="01E318CD">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乙方应遵守国家、省关于环境质量自动监测站点运行管理的各项技术规范和相关规定，如运维期间出台新的技术规范和运行管理规定，则运维工作按最新技术规范和规定执行。</w:t>
      </w:r>
    </w:p>
    <w:p w14:paraId="33A7FEBE">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1.5、</w:t>
      </w:r>
      <w:r>
        <w:rPr>
          <w:rFonts w:hint="eastAsia" w:ascii="宋体" w:hAnsi="宋体" w:eastAsia="宋体" w:cs="宋体"/>
          <w:b/>
          <w:bCs/>
          <w:szCs w:val="24"/>
          <w:lang w:val="en-US" w:eastAsia="zh-CN"/>
        </w:rPr>
        <w:t>考核与监督</w:t>
      </w:r>
    </w:p>
    <w:p w14:paraId="104FD90D">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szCs w:val="24"/>
        </w:rPr>
      </w:pPr>
      <w:r>
        <w:rPr>
          <w:rFonts w:hint="eastAsia"/>
        </w:rPr>
        <w:t>在自动监测系统运维及管理期间，乙方应严格按照相关技术规范要求，对所管理的系统及仪器设备进行规范操作、精心维护及必要维修，保证系统及仪器设备的正常运行。同时乙方必须接受甲方和第三方质控核查单位的定期、不定期检查和考核。</w:t>
      </w:r>
    </w:p>
    <w:p w14:paraId="1F3BC5BC">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ascii="Times New Roman" w:hAnsi="Times New Roman" w:eastAsia="宋体" w:cs="Times New Roman"/>
          <w:color w:val="000000"/>
          <w:kern w:val="2"/>
          <w:sz w:val="24"/>
          <w:szCs w:val="24"/>
          <w:lang w:val="en-US" w:eastAsia="zh-CN" w:bidi="ar-SA"/>
        </w:rPr>
        <w:t>1.6、</w:t>
      </w:r>
      <w:r>
        <w:rPr>
          <w:rFonts w:hint="eastAsia" w:ascii="宋体" w:hAnsi="宋体" w:eastAsia="宋体" w:cs="宋体"/>
          <w:b/>
          <w:bCs/>
          <w:szCs w:val="24"/>
          <w:lang w:val="en-US" w:eastAsia="zh-CN"/>
        </w:rPr>
        <w:t>数据与资料产权</w:t>
      </w:r>
    </w:p>
    <w:p w14:paraId="2654DABB">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szCs w:val="24"/>
        </w:rPr>
      </w:pPr>
      <w:r>
        <w:rPr>
          <w:rFonts w:hint="eastAsia"/>
        </w:rPr>
        <w:t>本项目所形成各类数据信息及相关文档资料归甲方所有，未经甲方授权，任何人无权使用、公开或泄漏给第三方。</w:t>
      </w:r>
    </w:p>
    <w:p w14:paraId="57970F51">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default" w:ascii="宋体" w:hAnsi="宋体" w:eastAsia="宋体" w:cs="宋体"/>
          <w:b/>
          <w:bCs/>
          <w:szCs w:val="24"/>
          <w:lang w:val="en-US" w:eastAsia="zh-CN"/>
        </w:rPr>
      </w:pPr>
      <w:r>
        <w:rPr>
          <w:rFonts w:hint="eastAsia" w:ascii="Times New Roman" w:hAnsi="Times New Roman" w:eastAsia="宋体" w:cs="Times New Roman"/>
          <w:color w:val="000000"/>
          <w:kern w:val="2"/>
          <w:sz w:val="24"/>
          <w:szCs w:val="24"/>
          <w:lang w:val="en-US" w:eastAsia="zh-CN" w:bidi="ar-SA"/>
        </w:rPr>
        <w:t>2、</w:t>
      </w:r>
      <w:r>
        <w:rPr>
          <w:rFonts w:hint="eastAsia" w:ascii="宋体" w:hAnsi="宋体" w:eastAsia="宋体" w:cs="宋体"/>
          <w:b/>
          <w:bCs/>
          <w:szCs w:val="24"/>
          <w:lang w:val="en-US" w:eastAsia="zh-CN"/>
        </w:rPr>
        <w:t>人员、设备与耗材要求</w:t>
      </w:r>
    </w:p>
    <w:p w14:paraId="5331F096">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default" w:ascii="宋体" w:hAnsi="宋体" w:eastAsia="宋体" w:cs="宋体"/>
          <w:b/>
          <w:bCs/>
          <w:szCs w:val="24"/>
          <w:lang w:val="en-US" w:eastAsia="zh-CN"/>
        </w:rPr>
      </w:pPr>
      <w:r>
        <w:rPr>
          <w:rFonts w:hint="eastAsia" w:ascii="Times New Roman" w:hAnsi="Times New Roman" w:eastAsia="宋体" w:cs="Times New Roman"/>
          <w:color w:val="000000"/>
          <w:kern w:val="2"/>
          <w:sz w:val="24"/>
          <w:szCs w:val="24"/>
          <w:lang w:val="en-US" w:eastAsia="zh-CN" w:bidi="ar-SA"/>
        </w:rPr>
        <w:t>2.1、</w:t>
      </w:r>
      <w:r>
        <w:rPr>
          <w:rFonts w:hint="eastAsia" w:cs="宋体"/>
          <w:b/>
          <w:bCs/>
          <w:szCs w:val="24"/>
          <w:lang w:val="en-US" w:eastAsia="zh-CN"/>
        </w:rPr>
        <w:t>人员要求</w:t>
      </w:r>
    </w:p>
    <w:p w14:paraId="5441D66E">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项目负责人：须具备环保或仪器仪表类中级及以上技术职称证书和省级及以上生态环境部门颁发的上岗证（空气质量自动监测运维上岗证或相关领域上岗证），且有1年及以上环境自动监测站运维经验。在项目期限内需专职投入本项目，在履约期间未经甲方许可不得更换。</w:t>
      </w:r>
    </w:p>
    <w:p w14:paraId="62ADF08D">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技术人员：乙方应保证配备足够的专业技术人员，包括现场运维人员、运维质控人员、运维技术支持人员、数据审核及分析人员。现场运维人员须取得省级及以上生态环境部门颁发的上岗证，且有1年及以上环境自动监测站运维经验，需专职投入本项目，未经甲方许可不得更换；其他专业技术人员可兼职。</w:t>
      </w:r>
    </w:p>
    <w:p w14:paraId="1BBB3131">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default" w:ascii="宋体" w:hAnsi="宋体" w:eastAsia="宋体" w:cs="宋体"/>
          <w:b/>
          <w:bCs/>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2.2、</w:t>
      </w:r>
      <w:r>
        <w:rPr>
          <w:rFonts w:hint="eastAsia" w:ascii="宋体" w:hAnsi="宋体" w:cs="宋体"/>
          <w:b/>
          <w:bCs/>
          <w:kern w:val="2"/>
          <w:sz w:val="24"/>
          <w:szCs w:val="24"/>
          <w:lang w:val="en-US" w:eastAsia="zh-CN" w:bidi="ar-SA"/>
        </w:rPr>
        <w:t>备机保障</w:t>
      </w:r>
    </w:p>
    <w:p w14:paraId="592C44A2">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乙方无需在投标或中标后预先购置备机。合同期内，若空气站或水站监测设备出现故障且预计修复时间超过</w:t>
      </w:r>
      <w:r>
        <w:rPr>
          <w:rFonts w:hint="eastAsia" w:ascii="Times New Roman" w:hAnsi="Times New Roman" w:eastAsia="宋体" w:cs="Times New Roman"/>
          <w:kern w:val="2"/>
          <w:sz w:val="24"/>
          <w:szCs w:val="24"/>
          <w:lang w:val="en-US" w:eastAsia="zh-CN" w:bidi="ar-SA"/>
        </w:rPr>
        <w:t>48</w:t>
      </w:r>
      <w:r>
        <w:rPr>
          <w:rFonts w:hint="eastAsia" w:ascii="宋体" w:hAnsi="宋体" w:cs="宋体"/>
          <w:kern w:val="2"/>
          <w:sz w:val="24"/>
          <w:szCs w:val="24"/>
          <w:lang w:val="en-US" w:eastAsia="zh-CN" w:bidi="ar-SA"/>
        </w:rPr>
        <w:t>小时，乙方须立即提供满足技术要求的临时备机替换，确保监测数据连续；原设备修复并连续稳定运行后，甲方将临时备机归还乙方，乙方负责装回原设备并恢复正常。若经双方书面确认原设备已无修复价值或无法修复，则该备机所有权自确认之日起无偿转移至甲方，甲方无需另行支付任何费用。该备机所有权自交付之日起无偿转移至甲方，甲方无需另行支付任何费用。临时备机及买断备机原则上应与原设备同品牌，若非同品牌则监测原理须匹配，性能及功能满足相应国家标准和省内技术规范；其中空气站六参数自动监测仪、</w:t>
      </w:r>
      <w:r>
        <w:rPr>
          <w:rFonts w:hint="eastAsia" w:ascii="Times New Roman" w:hAnsi="Times New Roman" w:eastAsia="宋体" w:cs="Times New Roman"/>
          <w:kern w:val="2"/>
          <w:sz w:val="24"/>
          <w:szCs w:val="24"/>
          <w:lang w:val="en-US" w:eastAsia="zh-CN" w:bidi="ar-SA"/>
        </w:rPr>
        <w:t>VOC</w:t>
      </w:r>
      <w:r>
        <w:rPr>
          <w:rFonts w:hint="eastAsia" w:ascii="宋体" w:hAnsi="宋体" w:cs="宋体"/>
          <w:kern w:val="2"/>
          <w:sz w:val="24"/>
          <w:szCs w:val="24"/>
          <w:lang w:val="en-US" w:eastAsia="zh-CN" w:bidi="ar-SA"/>
        </w:rPr>
        <w:t>分析仪及微站备机交付时须提供适用性检测证书，水站备机需满足省内及国内广泛应用要求并提供相关证明材料。</w:t>
      </w:r>
    </w:p>
    <w:p w14:paraId="198D7B3C">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宋体" w:hAnsi="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注：供应商在响应文件中须提交《备机应急供应与买断承诺函》原件，承诺完全响应上述内容，并载明拟提供备机的品牌、型号及主要技术参数。</w:t>
      </w:r>
    </w:p>
    <w:p w14:paraId="3E0A140F">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default" w:ascii="宋体" w:hAnsi="宋体" w:eastAsia="宋体" w:cs="宋体"/>
          <w:b/>
          <w:bCs/>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2.3、</w:t>
      </w:r>
      <w:r>
        <w:rPr>
          <w:rFonts w:hint="eastAsia" w:ascii="宋体" w:hAnsi="宋体" w:cs="宋体"/>
          <w:b/>
          <w:bCs/>
          <w:kern w:val="2"/>
          <w:sz w:val="24"/>
          <w:szCs w:val="24"/>
          <w:lang w:val="en-US" w:eastAsia="zh-CN" w:bidi="ar-SA"/>
        </w:rPr>
        <w:t>质控设备与标准物质</w:t>
      </w:r>
    </w:p>
    <w:p w14:paraId="023B4C33">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空气站：乙方须为本项目配备流量计（高、低流量各</w:t>
      </w:r>
      <w:r>
        <w:rPr>
          <w:rFonts w:hint="eastAsia" w:ascii="Times New Roman" w:hAnsi="Times New Roman" w:eastAsia="宋体" w:cs="Times New Roman"/>
          <w:color w:val="000000"/>
          <w:kern w:val="2"/>
          <w:sz w:val="24"/>
          <w:szCs w:val="24"/>
          <w:lang w:val="en-US" w:eastAsia="zh-CN" w:bidi="ar-SA"/>
        </w:rPr>
        <w:t>1</w:t>
      </w:r>
      <w:r>
        <w:rPr>
          <w:rFonts w:hint="eastAsia" w:ascii="宋体" w:hAnsi="宋体" w:cs="宋体"/>
          <w:kern w:val="2"/>
          <w:sz w:val="24"/>
          <w:szCs w:val="24"/>
          <w:lang w:val="en-US" w:eastAsia="zh-CN" w:bidi="ar-SA"/>
        </w:rPr>
        <w:t>套）、标准气压计、标准温湿度计至少各</w:t>
      </w:r>
      <w:r>
        <w:rPr>
          <w:rFonts w:hint="eastAsia" w:ascii="Times New Roman" w:hAnsi="Times New Roman" w:eastAsia="宋体" w:cs="Times New Roman"/>
          <w:color w:val="000000"/>
          <w:kern w:val="2"/>
          <w:sz w:val="24"/>
          <w:szCs w:val="24"/>
          <w:lang w:val="en-US" w:eastAsia="zh-CN" w:bidi="ar-SA"/>
        </w:rPr>
        <w:t>1</w:t>
      </w:r>
      <w:r>
        <w:rPr>
          <w:rFonts w:hint="eastAsia" w:ascii="宋体" w:hAnsi="宋体" w:cs="宋体"/>
          <w:kern w:val="2"/>
          <w:sz w:val="24"/>
          <w:szCs w:val="24"/>
          <w:lang w:val="en-US" w:eastAsia="zh-CN" w:bidi="ar-SA"/>
        </w:rPr>
        <w:t>套。每个站点配备标准气体，须为国家一级标准物质或国家标准样品。投标时须提供相关采购发票、采购合同、有效期内的检定校准证书及标准物质证书。</w:t>
      </w:r>
    </w:p>
    <w:p w14:paraId="586DB803">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水站：用于校准监测仪器的标准样品，采用有证标准样品或标准物质配制。用于量值传递的计量器具（分析天平、台秤、温度计、移液管、容量瓶等），按照相关规定定期送检。</w:t>
      </w:r>
    </w:p>
    <w:p w14:paraId="10F3AF55">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宋体" w:hAnsi="宋体" w:eastAsia="宋体" w:cs="宋体"/>
          <w:b/>
          <w:bCs/>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2.4、</w:t>
      </w:r>
      <w:r>
        <w:rPr>
          <w:rFonts w:hint="eastAsia" w:ascii="宋体" w:hAnsi="宋体" w:eastAsia="宋体" w:cs="宋体"/>
          <w:b/>
          <w:bCs/>
          <w:kern w:val="2"/>
          <w:sz w:val="24"/>
          <w:szCs w:val="24"/>
          <w:lang w:val="en-US" w:eastAsia="zh-CN" w:bidi="ar-SA"/>
        </w:rPr>
        <w:t>耗材与备件</w:t>
      </w:r>
    </w:p>
    <w:p w14:paraId="244A3F3F">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乙方须承诺中标后1个月内配齐本项目需求中所涉及设备的耗材和备件。空气质量自动监测耗材按不少于半年消耗量配置，备件按1年使用量配置；水质自动监测须制定更换周期，保证到期前完成更换。必须使用原厂生产的备品备件和耗材，使用非原厂备品备件须提供达到或高于原厂备品备件的性能测试报告，严禁使用劣质品。</w:t>
      </w:r>
    </w:p>
    <w:p w14:paraId="16C0258E">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宋体" w:hAnsi="宋体" w:eastAsia="宋体" w:cs="宋体"/>
          <w:b/>
          <w:bCs/>
          <w:kern w:val="2"/>
          <w:sz w:val="24"/>
          <w:szCs w:val="24"/>
          <w:lang w:val="en-US" w:eastAsia="zh-CN" w:bidi="ar-SA"/>
        </w:rPr>
      </w:pPr>
      <w:r>
        <w:rPr>
          <w:rFonts w:hint="eastAsia" w:ascii="Times New Roman" w:hAnsi="Times New Roman" w:eastAsia="宋体" w:cs="Times New Roman"/>
          <w:color w:val="000000"/>
          <w:kern w:val="2"/>
          <w:sz w:val="24"/>
          <w:szCs w:val="24"/>
          <w:lang w:val="en-US" w:eastAsia="zh-CN" w:bidi="ar-SA"/>
        </w:rPr>
        <w:t>2.5、</w:t>
      </w:r>
      <w:r>
        <w:rPr>
          <w:rFonts w:hint="eastAsia" w:ascii="宋体" w:hAnsi="宋体" w:eastAsia="宋体" w:cs="宋体"/>
          <w:b/>
          <w:bCs/>
          <w:kern w:val="2"/>
          <w:sz w:val="24"/>
          <w:szCs w:val="24"/>
          <w:lang w:val="en-US" w:eastAsia="zh-CN" w:bidi="ar-SA"/>
        </w:rPr>
        <w:t>车辆与工具</w:t>
      </w:r>
    </w:p>
    <w:p w14:paraId="5F00373A">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乙方应保证配备足够的专用运维车辆，数量不少于</w:t>
      </w:r>
      <w:r>
        <w:rPr>
          <w:rFonts w:hint="eastAsia" w:ascii="Times New Roman" w:hAnsi="Times New Roman" w:eastAsia="宋体" w:cs="Times New Roman"/>
          <w:color w:val="000000"/>
          <w:kern w:val="2"/>
          <w:sz w:val="24"/>
          <w:szCs w:val="24"/>
          <w:lang w:val="en-US" w:eastAsia="zh-CN" w:bidi="ar-SA"/>
        </w:rPr>
        <w:t>1</w:t>
      </w:r>
      <w:r>
        <w:rPr>
          <w:rFonts w:hint="eastAsia" w:ascii="宋体" w:hAnsi="宋体" w:eastAsia="宋体" w:cs="宋体"/>
          <w:kern w:val="2"/>
          <w:sz w:val="24"/>
          <w:szCs w:val="24"/>
          <w:lang w:val="en-US" w:eastAsia="zh-CN" w:bidi="ar-SA"/>
        </w:rPr>
        <w:t>台（可为自有或租赁）。应至少配备</w:t>
      </w:r>
      <w:r>
        <w:rPr>
          <w:rFonts w:hint="eastAsia" w:ascii="Times New Roman" w:hAnsi="Times New Roman" w:eastAsia="宋体" w:cs="Times New Roman"/>
          <w:color w:val="000000"/>
          <w:kern w:val="2"/>
          <w:sz w:val="24"/>
          <w:szCs w:val="24"/>
          <w:lang w:val="en-US" w:eastAsia="zh-CN" w:bidi="ar-SA"/>
        </w:rPr>
        <w:t>1</w:t>
      </w:r>
      <w:r>
        <w:rPr>
          <w:rFonts w:hint="eastAsia" w:ascii="宋体" w:hAnsi="宋体" w:eastAsia="宋体" w:cs="宋体"/>
          <w:kern w:val="2"/>
          <w:sz w:val="24"/>
          <w:szCs w:val="24"/>
          <w:lang w:val="en-US" w:eastAsia="zh-CN" w:bidi="ar-SA"/>
        </w:rPr>
        <w:t>套专用仪器维护维修工具。</w:t>
      </w:r>
    </w:p>
    <w:p w14:paraId="0B78564C">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3、</w:t>
      </w:r>
      <w:r>
        <w:rPr>
          <w:rFonts w:hint="eastAsia" w:ascii="宋体" w:hAnsi="宋体" w:eastAsia="宋体" w:cs="宋体"/>
          <w:b/>
          <w:bCs/>
          <w:szCs w:val="24"/>
          <w:lang w:val="en-US" w:eastAsia="zh-CN"/>
        </w:rPr>
        <w:t>日常运行维护工作内容</w:t>
      </w:r>
    </w:p>
    <w:p w14:paraId="7C2C92EA">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b/>
          <w:bCs/>
          <w:szCs w:val="24"/>
          <w:lang w:val="en-US" w:eastAsia="zh-CN"/>
        </w:rPr>
      </w:pPr>
      <w:r>
        <w:rPr>
          <w:rFonts w:hint="eastAsia" w:ascii="Times New Roman" w:hAnsi="Times New Roman" w:eastAsia="宋体" w:cs="Times New Roman"/>
          <w:color w:val="000000"/>
          <w:sz w:val="24"/>
          <w:szCs w:val="24"/>
          <w:lang w:val="en-US" w:eastAsia="zh-CN" w:bidi="ar-SA"/>
        </w:rPr>
        <w:t>3.1、</w:t>
      </w:r>
      <w:r>
        <w:rPr>
          <w:rFonts w:hint="eastAsia" w:ascii="宋体" w:hAnsi="宋体" w:eastAsia="宋体" w:cs="宋体"/>
          <w:b/>
          <w:bCs/>
          <w:szCs w:val="24"/>
          <w:lang w:val="en-US" w:eastAsia="zh-CN"/>
        </w:rPr>
        <w:t>运维工作总览</w:t>
      </w:r>
    </w:p>
    <w:p w14:paraId="4F2A970F">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运维过程中主要完成：日常运行维护、日常质量管理、日常安全管理、监测数据的日常审核与上报、仪器设备及辅助设备设施的维护保养及故障维修、根据工作需要开展手工比对、仪器故障时24小时内使用备机开展监测、仪器报废后先行使用备机监测并报告业主、点位迁移时的仪器检查工作、相关数据系统平台的日常运维及安全管理。</w:t>
      </w:r>
    </w:p>
    <w:p w14:paraId="78A5ED5A">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b/>
          <w:bCs/>
          <w:szCs w:val="24"/>
          <w:lang w:val="en-US" w:eastAsia="zh-CN"/>
        </w:rPr>
      </w:pPr>
      <w:r>
        <w:rPr>
          <w:rFonts w:hint="eastAsia" w:ascii="Times New Roman" w:hAnsi="Times New Roman" w:eastAsia="宋体" w:cs="Times New Roman"/>
          <w:color w:val="000000"/>
          <w:sz w:val="24"/>
          <w:szCs w:val="24"/>
          <w:lang w:val="en-US" w:eastAsia="zh-CN" w:bidi="ar-SA"/>
        </w:rPr>
        <w:t>3.2、</w:t>
      </w:r>
      <w:r>
        <w:rPr>
          <w:rFonts w:hint="eastAsia" w:ascii="宋体" w:hAnsi="宋体" w:eastAsia="宋体" w:cs="宋体"/>
          <w:b/>
          <w:bCs/>
          <w:szCs w:val="24"/>
          <w:lang w:val="en-US" w:eastAsia="zh-CN"/>
        </w:rPr>
        <w:t>运维一般要求</w:t>
      </w:r>
    </w:p>
    <w:p w14:paraId="4D0D6A30">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保持站房内部环境清洁，布置整齐，各仪器设备干净清洁，标识清楚。</w:t>
      </w:r>
    </w:p>
    <w:p w14:paraId="2987D770">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保持站房外围环境清洁（空气质量自动监测要求站房外20m以内），及时清除周围杂草和积水。</w:t>
      </w:r>
    </w:p>
    <w:p w14:paraId="1F40E5F3">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检查供电和网络通讯情况，保证系统正常运行。</w:t>
      </w:r>
    </w:p>
    <w:p w14:paraId="5BBC93A7">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指派专人维护，设备固定牢固，门窗关闭良好，人走关门，非工作人员未经许可不得入内。</w:t>
      </w:r>
    </w:p>
    <w:p w14:paraId="3BE6DA7A">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定期检查消防和安全设施。</w:t>
      </w:r>
    </w:p>
    <w:p w14:paraId="7630F4F1">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检查避雷设施是否可靠，站房是否有漏雨、锈蚀现象，外围设施是否有损坏，如遇问题及时处理。</w:t>
      </w:r>
    </w:p>
    <w:p w14:paraId="25D3CA8B">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每次维护后做好系统运行维护记录。</w:t>
      </w:r>
    </w:p>
    <w:p w14:paraId="13D92392">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b/>
          <w:bCs/>
          <w:szCs w:val="24"/>
          <w:lang w:val="en-US" w:eastAsia="zh-CN"/>
        </w:rPr>
      </w:pPr>
      <w:r>
        <w:rPr>
          <w:rFonts w:hint="eastAsia" w:ascii="Times New Roman" w:hAnsi="Times New Roman" w:eastAsia="宋体" w:cs="Times New Roman"/>
          <w:color w:val="000000"/>
          <w:sz w:val="24"/>
          <w:szCs w:val="24"/>
          <w:lang w:val="en-US" w:eastAsia="zh-CN" w:bidi="ar-SA"/>
        </w:rPr>
        <w:t>3.3、</w:t>
      </w:r>
      <w:r>
        <w:rPr>
          <w:rFonts w:hint="eastAsia" w:ascii="宋体" w:hAnsi="宋体" w:eastAsia="宋体" w:cs="宋体"/>
          <w:b/>
          <w:bCs/>
          <w:szCs w:val="24"/>
          <w:lang w:val="en-US" w:eastAsia="zh-CN"/>
        </w:rPr>
        <w:t>每日工作</w:t>
      </w:r>
    </w:p>
    <w:p w14:paraId="58CA44C3">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远程查看：每天上午和下午两次远程查看监测数据并形成记录，分析监测数据，对站点运行情况进行远程诊断和运行管理。</w:t>
      </w:r>
    </w:p>
    <w:p w14:paraId="588F92CB">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数据与传输检查：判断系统数据采集与传输情况；每日检查数据是否及时审核上传并正常发布，发现数据断网及时恢复。</w:t>
      </w:r>
    </w:p>
    <w:p w14:paraId="69D4F7DA">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异常处理：发现监测数据异常，应立即通知业主。在每日</w:t>
      </w:r>
      <w:r>
        <w:rPr>
          <w:rFonts w:hint="eastAsia" w:ascii="Times New Roman" w:hAnsi="Times New Roman" w:eastAsia="宋体" w:cs="Times New Roman"/>
          <w:color w:val="000000"/>
          <w:sz w:val="24"/>
          <w:szCs w:val="24"/>
          <w:lang w:val="en-US" w:eastAsia="zh-CN" w:bidi="ar-SA"/>
        </w:rPr>
        <w:t>6</w:t>
      </w:r>
      <w:r>
        <w:rPr>
          <w:rFonts w:hint="eastAsia"/>
        </w:rPr>
        <w:t>时</w:t>
      </w:r>
      <w:r>
        <w:rPr>
          <w:rFonts w:hint="eastAsia" w:ascii="Times New Roman" w:hAnsi="Times New Roman" w:eastAsia="宋体" w:cs="Times New Roman"/>
          <w:color w:val="000000"/>
          <w:sz w:val="24"/>
          <w:szCs w:val="24"/>
          <w:lang w:val="en-US" w:eastAsia="zh-CN" w:bidi="ar-SA"/>
        </w:rPr>
        <w:t>～23</w:t>
      </w:r>
      <w:r>
        <w:rPr>
          <w:rFonts w:hint="eastAsia"/>
        </w:rPr>
        <w:t>时出现的异常，应在</w:t>
      </w:r>
      <w:r>
        <w:rPr>
          <w:rFonts w:hint="eastAsia" w:ascii="Times New Roman" w:hAnsi="Times New Roman" w:eastAsia="宋体" w:cs="Times New Roman"/>
          <w:color w:val="000000"/>
          <w:sz w:val="24"/>
          <w:szCs w:val="24"/>
          <w:lang w:val="en-US" w:eastAsia="zh-CN" w:bidi="ar-SA"/>
        </w:rPr>
        <w:t>4</w:t>
      </w:r>
      <w:r>
        <w:rPr>
          <w:rFonts w:hint="eastAsia"/>
        </w:rPr>
        <w:t>小时内解决（通信、电力线路故障除外，但应及时联系解决）；</w:t>
      </w:r>
      <w:r>
        <w:rPr>
          <w:rFonts w:hint="eastAsia" w:ascii="Times New Roman" w:hAnsi="Times New Roman" w:eastAsia="宋体" w:cs="Times New Roman"/>
          <w:color w:val="000000"/>
          <w:sz w:val="24"/>
          <w:szCs w:val="24"/>
          <w:lang w:val="en-US" w:eastAsia="zh-CN" w:bidi="ar-SA"/>
        </w:rPr>
        <w:t>0</w:t>
      </w:r>
      <w:r>
        <w:rPr>
          <w:rFonts w:hint="eastAsia"/>
          <w:lang w:val="en-US" w:eastAsia="zh-CN"/>
        </w:rPr>
        <w:t>时</w:t>
      </w:r>
      <w:r>
        <w:rPr>
          <w:rFonts w:hint="eastAsia" w:ascii="Times New Roman" w:hAnsi="Times New Roman" w:eastAsia="宋体" w:cs="Times New Roman"/>
          <w:color w:val="000000"/>
          <w:sz w:val="24"/>
          <w:szCs w:val="24"/>
          <w:lang w:val="en-US" w:eastAsia="zh-CN" w:bidi="ar-SA"/>
        </w:rPr>
        <w:t>～6</w:t>
      </w:r>
      <w:r>
        <w:rPr>
          <w:rFonts w:hint="eastAsia"/>
        </w:rPr>
        <w:t>时出现的异常，应在次日上午</w:t>
      </w:r>
      <w:r>
        <w:rPr>
          <w:rFonts w:hint="eastAsia" w:ascii="Times New Roman" w:hAnsi="Times New Roman" w:eastAsia="宋体" w:cs="Times New Roman"/>
          <w:color w:val="000000"/>
          <w:sz w:val="24"/>
          <w:szCs w:val="24"/>
          <w:lang w:val="en-US" w:eastAsia="zh-CN" w:bidi="ar-SA"/>
        </w:rPr>
        <w:t>10</w:t>
      </w:r>
      <w:r>
        <w:rPr>
          <w:rFonts w:hint="eastAsia"/>
        </w:rPr>
        <w:t>时前解决。</w:t>
      </w:r>
    </w:p>
    <w:p w14:paraId="11D4EA92">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环境与状态判断：根据电源电压、站房温湿度等参数判断站房内部情况；根据数据、设备状态参数和报警信号判断仪器运行情况。</w:t>
      </w:r>
    </w:p>
    <w:p w14:paraId="588AE674">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特殊情况应对：发生重污染天气等特殊情况后，应在</w:t>
      </w:r>
      <w:r>
        <w:rPr>
          <w:rFonts w:hint="eastAsia" w:ascii="Times New Roman" w:hAnsi="Times New Roman" w:eastAsia="宋体" w:cs="Times New Roman"/>
          <w:color w:val="000000"/>
          <w:sz w:val="24"/>
          <w:szCs w:val="24"/>
          <w:lang w:val="en-US" w:eastAsia="zh-CN" w:bidi="ar-SA"/>
        </w:rPr>
        <w:t>4</w:t>
      </w:r>
      <w:r>
        <w:rPr>
          <w:rFonts w:hint="eastAsia"/>
        </w:rPr>
        <w:t>小时内开展相应的运维工作。</w:t>
      </w:r>
    </w:p>
    <w:p w14:paraId="2D794CC1">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b/>
          <w:bCs/>
          <w:szCs w:val="24"/>
          <w:lang w:val="en-US" w:eastAsia="zh-CN"/>
        </w:rPr>
      </w:pPr>
      <w:r>
        <w:rPr>
          <w:rFonts w:hint="eastAsia" w:ascii="Times New Roman" w:hAnsi="Times New Roman" w:eastAsia="宋体" w:cs="Times New Roman"/>
          <w:color w:val="000000"/>
          <w:sz w:val="24"/>
          <w:szCs w:val="24"/>
          <w:lang w:val="en-US" w:eastAsia="zh-CN" w:bidi="ar-SA"/>
        </w:rPr>
        <w:t>3.4、</w:t>
      </w:r>
      <w:r>
        <w:rPr>
          <w:rFonts w:hint="eastAsia" w:ascii="宋体" w:hAnsi="宋体" w:eastAsia="宋体" w:cs="宋体"/>
          <w:b/>
          <w:bCs/>
          <w:szCs w:val="24"/>
          <w:lang w:val="en-US" w:eastAsia="zh-CN"/>
        </w:rPr>
        <w:t>每周工作</w:t>
      </w:r>
      <w:r>
        <w:rPr>
          <w:rFonts w:hint="default" w:ascii="Times New Roman" w:hAnsi="Times New Roman" w:eastAsia="宋体" w:cs="Times New Roman"/>
          <w:b w:val="0"/>
          <w:bCs/>
          <w:szCs w:val="24"/>
          <w:lang w:val="en-US" w:eastAsia="zh-CN"/>
        </w:rPr>
        <w:t>（</w:t>
      </w:r>
      <w:r>
        <w:rPr>
          <w:rFonts w:hint="eastAsia" w:ascii="宋体" w:hAnsi="宋体" w:eastAsia="宋体" w:cs="宋体"/>
          <w:b/>
          <w:bCs/>
          <w:szCs w:val="24"/>
          <w:lang w:val="en-US" w:eastAsia="zh-CN"/>
        </w:rPr>
        <w:t>或每次巡检</w:t>
      </w:r>
      <w:r>
        <w:rPr>
          <w:rFonts w:hint="default" w:ascii="Times New Roman" w:hAnsi="Times New Roman" w:eastAsia="宋体" w:cs="Times New Roman"/>
          <w:b w:val="0"/>
          <w:bCs/>
          <w:szCs w:val="24"/>
          <w:lang w:val="en-US" w:eastAsia="zh-CN"/>
        </w:rPr>
        <w:t>）</w:t>
      </w:r>
    </w:p>
    <w:p w14:paraId="040FC5AC">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每周至少巡检</w:t>
      </w:r>
      <w:r>
        <w:rPr>
          <w:rFonts w:hint="eastAsia" w:ascii="Times New Roman" w:hAnsi="Times New Roman" w:eastAsia="宋体" w:cs="Times New Roman"/>
          <w:color w:val="000000"/>
          <w:sz w:val="24"/>
          <w:szCs w:val="24"/>
          <w:lang w:val="en-US" w:eastAsia="zh-CN" w:bidi="ar-SA"/>
        </w:rPr>
        <w:t>1</w:t>
      </w:r>
      <w:r>
        <w:rPr>
          <w:rFonts w:hint="eastAsia"/>
        </w:rPr>
        <w:t>次</w:t>
      </w:r>
      <w:r>
        <w:rPr>
          <w:rFonts w:hint="eastAsia" w:ascii="Times New Roman" w:hAnsi="Times New Roman" w:eastAsia="宋体" w:cs="Times New Roman"/>
          <w:color w:val="000000"/>
          <w:sz w:val="24"/>
          <w:szCs w:val="24"/>
          <w:lang w:val="en-US" w:eastAsia="zh-CN" w:bidi="ar-SA"/>
        </w:rPr>
        <w:t>（</w:t>
      </w:r>
      <w:r>
        <w:rPr>
          <w:rFonts w:hint="eastAsia"/>
        </w:rPr>
        <w:t>要求最大间隔期不得超过</w:t>
      </w:r>
      <w:r>
        <w:rPr>
          <w:rFonts w:hint="eastAsia" w:ascii="Times New Roman" w:hAnsi="Times New Roman" w:eastAsia="宋体" w:cs="Times New Roman"/>
          <w:color w:val="000000"/>
          <w:sz w:val="24"/>
          <w:szCs w:val="24"/>
          <w:lang w:val="en-US" w:eastAsia="zh-CN" w:bidi="ar-SA"/>
        </w:rPr>
        <w:t>8</w:t>
      </w:r>
      <w:r>
        <w:rPr>
          <w:rFonts w:hint="eastAsia"/>
        </w:rPr>
        <w:t>天，且</w:t>
      </w:r>
      <w:r>
        <w:rPr>
          <w:rFonts w:hint="eastAsia" w:ascii="Times New Roman" w:hAnsi="Times New Roman" w:eastAsia="宋体" w:cs="Times New Roman"/>
          <w:color w:val="000000"/>
          <w:sz w:val="24"/>
          <w:szCs w:val="24"/>
          <w:lang w:val="en-US" w:eastAsia="zh-CN" w:bidi="ar-SA"/>
        </w:rPr>
        <w:t>14</w:t>
      </w:r>
      <w:r>
        <w:rPr>
          <w:rFonts w:hint="eastAsia"/>
        </w:rPr>
        <w:t>天内必须完成</w:t>
      </w:r>
      <w:r>
        <w:rPr>
          <w:rFonts w:hint="eastAsia" w:ascii="Times New Roman" w:hAnsi="Times New Roman" w:eastAsia="宋体" w:cs="Times New Roman"/>
          <w:color w:val="000000"/>
          <w:sz w:val="24"/>
          <w:szCs w:val="24"/>
          <w:lang w:val="en-US" w:eastAsia="zh-CN" w:bidi="ar-SA"/>
        </w:rPr>
        <w:t>2</w:t>
      </w:r>
      <w:r>
        <w:rPr>
          <w:rFonts w:hint="eastAsia"/>
        </w:rPr>
        <w:t>次维护</w:t>
      </w:r>
      <w:r>
        <w:rPr>
          <w:rFonts w:hint="eastAsia" w:ascii="Times New Roman" w:hAnsi="Times New Roman" w:eastAsia="宋体" w:cs="Times New Roman"/>
          <w:color w:val="000000"/>
          <w:sz w:val="24"/>
          <w:szCs w:val="24"/>
          <w:lang w:val="en-US" w:eastAsia="zh-CN" w:bidi="ar-SA"/>
        </w:rPr>
        <w:t>）</w:t>
      </w:r>
      <w:r>
        <w:rPr>
          <w:rFonts w:hint="eastAsia"/>
        </w:rPr>
        <w:t>，并做好巡查记录，内容包括：</w:t>
      </w:r>
    </w:p>
    <w:p w14:paraId="4F0406CC">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设备与环境检查</w:t>
      </w:r>
      <w:r>
        <w:rPr>
          <w:rFonts w:hint="eastAsia" w:ascii="Times New Roman" w:hAnsi="Times New Roman" w:cs="Times New Roman"/>
          <w:lang w:eastAsia="zh-CN"/>
        </w:rPr>
        <w:t>：</w:t>
      </w:r>
      <w:r>
        <w:rPr>
          <w:rFonts w:hint="eastAsia"/>
        </w:rPr>
        <w:t>查看站房设备是否齐备，无丢失损坏；检查接地线路、排风排气装置、标准气钢瓶阀门及消耗情况、采样和管路的漏气或堵塞现象、仪器采样流量、运行状况和工作参数、动态加热装置及采样总管加热装置、</w:t>
      </w:r>
      <w:r>
        <w:rPr>
          <w:rFonts w:hint="default" w:ascii="Times New Roman" w:hAnsi="Times New Roman" w:eastAsia="宋体" w:cs="Times New Roman"/>
          <w:kern w:val="2"/>
          <w:sz w:val="24"/>
          <w:szCs w:val="24"/>
          <w:lang w:val="en-US" w:eastAsia="zh-CN" w:bidi="ar-SA"/>
        </w:rPr>
        <w:t>PM</w:t>
      </w:r>
      <w:r>
        <w:rPr>
          <w:rFonts w:hint="default" w:ascii="Times New Roman" w:hAnsi="Times New Roman" w:eastAsia="宋体" w:cs="Times New Roman"/>
          <w:kern w:val="2"/>
          <w:sz w:val="24"/>
          <w:szCs w:val="24"/>
          <w:vertAlign w:val="subscript"/>
          <w:lang w:val="en-US" w:eastAsia="zh-CN" w:bidi="ar-SA"/>
        </w:rPr>
        <w:t>2.5</w:t>
      </w:r>
      <w:r>
        <w:rPr>
          <w:rFonts w:hint="eastAsia"/>
        </w:rPr>
        <w:t>与</w:t>
      </w:r>
      <w:r>
        <w:rPr>
          <w:rFonts w:hint="default" w:ascii="Times New Roman" w:hAnsi="Times New Roman" w:eastAsia="宋体" w:cs="Times New Roman"/>
          <w:kern w:val="2"/>
          <w:sz w:val="24"/>
          <w:szCs w:val="24"/>
          <w:lang w:val="en-US" w:eastAsia="zh-CN" w:bidi="ar-SA"/>
        </w:rPr>
        <w:t>PM</w:t>
      </w:r>
      <w:r>
        <w:rPr>
          <w:rFonts w:hint="default" w:ascii="Times New Roman" w:hAnsi="Times New Roman" w:eastAsia="宋体" w:cs="Times New Roman"/>
          <w:kern w:val="2"/>
          <w:sz w:val="24"/>
          <w:szCs w:val="24"/>
          <w:vertAlign w:val="subscript"/>
          <w:lang w:val="en-US" w:eastAsia="zh-CN" w:bidi="ar-SA"/>
        </w:rPr>
        <w:t>10</w:t>
      </w:r>
      <w:r>
        <w:rPr>
          <w:rFonts w:hint="eastAsia"/>
        </w:rPr>
        <w:t>纸带或滤膜余量、视频监控系统。</w:t>
      </w:r>
    </w:p>
    <w:p w14:paraId="3064DEFD">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仪器校准与维护：对</w:t>
      </w:r>
      <w:r>
        <w:rPr>
          <w:rFonts w:hint="default" w:ascii="Times New Roman" w:hAnsi="Times New Roman" w:eastAsia="宋体" w:cs="Times New Roman"/>
          <w:kern w:val="2"/>
          <w:sz w:val="24"/>
          <w:szCs w:val="24"/>
          <w:lang w:val="en-US" w:eastAsia="zh-CN" w:bidi="ar-SA"/>
        </w:rPr>
        <w:t>SO</w:t>
      </w:r>
      <w:r>
        <w:rPr>
          <w:rFonts w:hint="default" w:ascii="Times New Roman" w:hAnsi="Times New Roman" w:eastAsia="宋体" w:cs="Times New Roman"/>
          <w:kern w:val="2"/>
          <w:sz w:val="24"/>
          <w:szCs w:val="24"/>
          <w:vertAlign w:val="subscript"/>
          <w:lang w:val="en-US" w:eastAsia="zh-CN" w:bidi="ar-SA"/>
        </w:rPr>
        <w:t>2</w:t>
      </w:r>
      <w:r>
        <w:rPr>
          <w:rFonts w:hint="default" w:ascii="Times New Roman" w:hAnsi="Times New Roman" w:eastAsia="宋体" w:cs="Times New Roman"/>
          <w:kern w:val="2"/>
          <w:sz w:val="24"/>
          <w:szCs w:val="24"/>
          <w:lang w:val="en-US" w:eastAsia="zh-CN" w:bidi="ar-SA"/>
        </w:rPr>
        <w:t>、NOx、CO、O</w:t>
      </w:r>
      <w:r>
        <w:rPr>
          <w:rFonts w:hint="default" w:ascii="Times New Roman" w:hAnsi="Times New Roman" w:eastAsia="宋体" w:cs="Times New Roman"/>
          <w:kern w:val="2"/>
          <w:sz w:val="24"/>
          <w:szCs w:val="24"/>
          <w:vertAlign w:val="subscript"/>
          <w:lang w:val="en-US" w:eastAsia="zh-CN" w:bidi="ar-SA"/>
        </w:rPr>
        <w:t>3</w:t>
      </w:r>
      <w:r>
        <w:rPr>
          <w:rFonts w:hint="eastAsia"/>
        </w:rPr>
        <w:t>监测仪进行零点、跨度检查；对仪器显示数据、时间与数据采集仪的一致性进行检查和校准；检查并更换采样过滤膜，清洗散热风扇；维护零气发生器。</w:t>
      </w:r>
    </w:p>
    <w:p w14:paraId="7769F337">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外部环境与安全：检查是否存在影响测定的污染源、站房内外温差防止冷凝、避雷设施、房屋漏雨、设施损坏等；检查站房安全，做好防火防盗。</w:t>
      </w:r>
    </w:p>
    <w:p w14:paraId="6AF8833D">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水质自动监测专项：检查各台分析仪器及辅助设备的运行状态和主要技术参数；检查有无漏液、管路气泡等；检查试剂状况；检查采水、配水系统是否正常（采水浮筒、自吸泵、管路等</w:t>
      </w:r>
      <w:r>
        <w:rPr>
          <w:rFonts w:hint="eastAsia" w:ascii="Times New Roman" w:hAnsi="Times New Roman" w:eastAsia="宋体" w:cs="Times New Roman"/>
          <w:kern w:val="2"/>
          <w:sz w:val="24"/>
          <w:szCs w:val="24"/>
          <w:lang w:val="en-US" w:eastAsia="zh-CN" w:bidi="ar-SA"/>
        </w:rPr>
        <w:t>）</w:t>
      </w:r>
      <w:r>
        <w:rPr>
          <w:rFonts w:hint="eastAsia"/>
        </w:rPr>
        <w:t>；检查工控机运行状态，有无中毒现象。</w:t>
      </w:r>
    </w:p>
    <w:p w14:paraId="1A9CA581">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记录：做好日常例行维护工作记录，重要工作内容拍照存档。</w:t>
      </w:r>
    </w:p>
    <w:p w14:paraId="26A6F767">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b/>
          <w:bCs/>
          <w:szCs w:val="24"/>
          <w:lang w:val="en-US" w:eastAsia="zh-CN"/>
        </w:rPr>
      </w:pPr>
      <w:r>
        <w:rPr>
          <w:rFonts w:hint="eastAsia" w:ascii="Times New Roman" w:hAnsi="Times New Roman" w:eastAsia="宋体" w:cs="Times New Roman"/>
          <w:color w:val="000000"/>
          <w:sz w:val="24"/>
          <w:szCs w:val="24"/>
          <w:lang w:val="en-US" w:eastAsia="zh-CN" w:bidi="ar-SA"/>
        </w:rPr>
        <w:t>3.5、</w:t>
      </w:r>
      <w:r>
        <w:rPr>
          <w:rFonts w:hint="eastAsia" w:ascii="宋体" w:hAnsi="宋体" w:eastAsia="宋体" w:cs="宋体"/>
          <w:b/>
          <w:bCs/>
          <w:szCs w:val="24"/>
          <w:lang w:val="en-US" w:eastAsia="zh-CN"/>
        </w:rPr>
        <w:t>每月工作</w:t>
      </w:r>
    </w:p>
    <w:p w14:paraId="180A7C4E">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ascii="宋体" w:hAnsi="宋体" w:eastAsia="宋体" w:cs="宋体"/>
          <w:lang w:val="en-US" w:eastAsia="zh-CN"/>
        </w:rPr>
        <w:t>空气站：</w:t>
      </w:r>
      <w:r>
        <w:rPr>
          <w:rFonts w:hint="eastAsia"/>
        </w:rPr>
        <w:t>每月更换尘过滤膜</w:t>
      </w:r>
      <w:r>
        <w:rPr>
          <w:rFonts w:hint="default" w:ascii="Times New Roman" w:hAnsi="Times New Roman" w:cs="Times New Roman"/>
        </w:rPr>
        <w:t>2</w:t>
      </w:r>
      <w:r>
        <w:rPr>
          <w:rFonts w:hint="default" w:ascii="Times New Roman" w:hAnsi="Times New Roman" w:cs="Times New Roman"/>
          <w:lang w:eastAsia="zh-CN"/>
        </w:rPr>
        <w:t>～</w:t>
      </w:r>
      <w:r>
        <w:rPr>
          <w:rFonts w:hint="default" w:ascii="Times New Roman" w:hAnsi="Times New Roman" w:cs="Times New Roman"/>
        </w:rPr>
        <w:t>3</w:t>
      </w:r>
      <w:r>
        <w:rPr>
          <w:rFonts w:hint="eastAsia"/>
        </w:rPr>
        <w:t>次，清洗防尘罩</w:t>
      </w:r>
      <w:r>
        <w:rPr>
          <w:rFonts w:hint="eastAsia" w:ascii="Times New Roman" w:hAnsi="Times New Roman" w:eastAsia="宋体" w:cs="Times New Roman"/>
          <w:color w:val="000000"/>
          <w:sz w:val="24"/>
          <w:szCs w:val="24"/>
          <w:lang w:val="en-US" w:eastAsia="zh-CN" w:bidi="ar-SA"/>
        </w:rPr>
        <w:t>1～2</w:t>
      </w:r>
      <w:r>
        <w:rPr>
          <w:rFonts w:hint="eastAsia"/>
        </w:rPr>
        <w:t>次，更换干燥剂；清洗</w:t>
      </w:r>
      <w:r>
        <w:rPr>
          <w:rFonts w:hint="default" w:ascii="Times New Roman" w:hAnsi="Times New Roman" w:eastAsia="宋体" w:cs="Times New Roman"/>
          <w:kern w:val="2"/>
          <w:sz w:val="24"/>
          <w:szCs w:val="24"/>
          <w:lang w:val="en-US" w:eastAsia="zh-CN" w:bidi="ar-SA"/>
        </w:rPr>
        <w:t>PM</w:t>
      </w:r>
      <w:r>
        <w:rPr>
          <w:rFonts w:hint="default" w:ascii="Times New Roman" w:hAnsi="Times New Roman" w:eastAsia="宋体" w:cs="Times New Roman"/>
          <w:kern w:val="2"/>
          <w:sz w:val="24"/>
          <w:szCs w:val="24"/>
          <w:vertAlign w:val="subscript"/>
          <w:lang w:val="en-US" w:eastAsia="zh-CN" w:bidi="ar-SA"/>
        </w:rPr>
        <w:t>2.5</w:t>
      </w:r>
      <w:r>
        <w:rPr>
          <w:rFonts w:hint="eastAsia"/>
        </w:rPr>
        <w:t>及</w:t>
      </w:r>
      <w:r>
        <w:rPr>
          <w:rFonts w:hint="default" w:ascii="Times New Roman" w:hAnsi="Times New Roman" w:eastAsia="宋体" w:cs="Times New Roman"/>
          <w:kern w:val="2"/>
          <w:sz w:val="24"/>
          <w:szCs w:val="24"/>
          <w:lang w:val="en-US" w:eastAsia="zh-CN" w:bidi="ar-SA"/>
        </w:rPr>
        <w:t>PM</w:t>
      </w:r>
      <w:r>
        <w:rPr>
          <w:rFonts w:hint="default" w:ascii="Times New Roman" w:hAnsi="Times New Roman" w:eastAsia="宋体" w:cs="Times New Roman"/>
          <w:kern w:val="2"/>
          <w:sz w:val="24"/>
          <w:szCs w:val="24"/>
          <w:vertAlign w:val="subscript"/>
          <w:lang w:val="en-US" w:eastAsia="zh-CN" w:bidi="ar-SA"/>
        </w:rPr>
        <w:t>10</w:t>
      </w:r>
      <w:r>
        <w:rPr>
          <w:rFonts w:hint="eastAsia"/>
        </w:rPr>
        <w:t>切割器，检查</w:t>
      </w:r>
      <w:r>
        <w:rPr>
          <w:rFonts w:hint="default" w:ascii="Times New Roman" w:hAnsi="Times New Roman" w:cs="Times New Roman"/>
        </w:rPr>
        <w:t>β</w:t>
      </w:r>
      <w:r>
        <w:rPr>
          <w:rFonts w:hint="eastAsia"/>
        </w:rPr>
        <w:t>法颗粒物分析仪部件；检查</w:t>
      </w:r>
      <w:r>
        <w:rPr>
          <w:rFonts w:hint="default" w:ascii="Times New Roman" w:hAnsi="Times New Roman" w:eastAsia="宋体" w:cs="Times New Roman"/>
          <w:kern w:val="2"/>
          <w:sz w:val="24"/>
          <w:szCs w:val="24"/>
          <w:lang w:val="en-US" w:eastAsia="zh-CN" w:bidi="ar-SA"/>
        </w:rPr>
        <w:t>PM</w:t>
      </w:r>
      <w:r>
        <w:rPr>
          <w:rFonts w:hint="default" w:ascii="Times New Roman" w:hAnsi="Times New Roman" w:eastAsia="宋体" w:cs="Times New Roman"/>
          <w:kern w:val="2"/>
          <w:sz w:val="24"/>
          <w:szCs w:val="24"/>
          <w:vertAlign w:val="subscript"/>
          <w:lang w:val="en-US" w:eastAsia="zh-CN" w:bidi="ar-SA"/>
        </w:rPr>
        <w:t>2.5</w:t>
      </w:r>
      <w:r>
        <w:rPr>
          <w:rFonts w:hint="eastAsia"/>
        </w:rPr>
        <w:t>、</w:t>
      </w:r>
      <w:r>
        <w:rPr>
          <w:rFonts w:hint="default" w:ascii="Times New Roman" w:hAnsi="Times New Roman" w:eastAsia="宋体" w:cs="Times New Roman"/>
          <w:kern w:val="2"/>
          <w:sz w:val="24"/>
          <w:szCs w:val="24"/>
          <w:lang w:val="en-US" w:eastAsia="zh-CN" w:bidi="ar-SA"/>
        </w:rPr>
        <w:t>PM</w:t>
      </w:r>
      <w:r>
        <w:rPr>
          <w:rFonts w:hint="default" w:ascii="Times New Roman" w:hAnsi="Times New Roman" w:eastAsia="宋体" w:cs="Times New Roman"/>
          <w:kern w:val="2"/>
          <w:sz w:val="24"/>
          <w:szCs w:val="24"/>
          <w:vertAlign w:val="subscript"/>
          <w:lang w:val="en-US" w:eastAsia="zh-CN" w:bidi="ar-SA"/>
        </w:rPr>
        <w:t>10</w:t>
      </w:r>
      <w:r>
        <w:rPr>
          <w:rFonts w:hint="eastAsia"/>
        </w:rPr>
        <w:t>、气态分析仪、动态气体校准仪流量；进行光电法监测仪器精密度测试和测尘仪流量校准；检查仪器显示数据与数据采集仪一致性；进行数据备份。</w:t>
      </w:r>
    </w:p>
    <w:p w14:paraId="54679398">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lang w:val="en-US" w:eastAsia="zh-CN"/>
        </w:rPr>
        <w:t>水站：</w:t>
      </w:r>
      <w:r>
        <w:rPr>
          <w:rFonts w:hint="eastAsia"/>
        </w:rPr>
        <w:t>至少每月进行一次仪器校准工作</w:t>
      </w:r>
      <w:r>
        <w:rPr>
          <w:rFonts w:hint="eastAsia"/>
          <w:lang w:eastAsia="zh-CN"/>
        </w:rPr>
        <w:t>；</w:t>
      </w:r>
      <w:r>
        <w:rPr>
          <w:rFonts w:hint="eastAsia"/>
        </w:rPr>
        <w:t>每月至少开展一次实际水样比对工作。站房内各仪器保持干净整洁，及时整理，完成废液收集并按规处置留档。</w:t>
      </w:r>
    </w:p>
    <w:p w14:paraId="334F69F7">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b/>
          <w:bCs/>
          <w:szCs w:val="24"/>
          <w:lang w:val="en-US" w:eastAsia="zh-CN"/>
        </w:rPr>
      </w:pPr>
      <w:r>
        <w:rPr>
          <w:rFonts w:hint="eastAsia" w:ascii="Times New Roman" w:hAnsi="Times New Roman" w:eastAsia="宋体" w:cs="Times New Roman"/>
          <w:color w:val="000000"/>
          <w:sz w:val="24"/>
          <w:szCs w:val="24"/>
          <w:lang w:val="en-US" w:eastAsia="zh-CN" w:bidi="ar-SA"/>
        </w:rPr>
        <w:t>3.6、</w:t>
      </w:r>
      <w:r>
        <w:rPr>
          <w:rFonts w:hint="eastAsia" w:ascii="宋体" w:hAnsi="宋体" w:eastAsia="宋体" w:cs="宋体"/>
          <w:b/>
          <w:bCs/>
          <w:szCs w:val="24"/>
          <w:lang w:val="en-US" w:eastAsia="zh-CN"/>
        </w:rPr>
        <w:t>每季度工作</w:t>
      </w:r>
    </w:p>
    <w:p w14:paraId="58ED9380">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空气</w:t>
      </w:r>
      <w:r>
        <w:rPr>
          <w:rFonts w:hint="eastAsia"/>
          <w:lang w:val="en-US" w:eastAsia="zh-CN"/>
        </w:rPr>
        <w:t>站</w:t>
      </w:r>
      <w:r>
        <w:rPr>
          <w:rFonts w:hint="eastAsia"/>
        </w:rPr>
        <w:t>：光电法监测仪器进行多点校准；测尘仪进行标准膜校准和气密性检查；清洗采样总管及采样风机；对</w:t>
      </w:r>
      <w:r>
        <w:rPr>
          <w:rFonts w:hint="default" w:ascii="Times New Roman" w:hAnsi="Times New Roman" w:eastAsia="宋体" w:cs="Times New Roman"/>
          <w:kern w:val="2"/>
          <w:sz w:val="24"/>
          <w:szCs w:val="24"/>
          <w:lang w:val="en-US" w:eastAsia="zh-CN" w:bidi="ar-SA"/>
        </w:rPr>
        <w:t>PM</w:t>
      </w:r>
      <w:r>
        <w:rPr>
          <w:rFonts w:hint="default" w:ascii="Times New Roman" w:hAnsi="Times New Roman" w:eastAsia="宋体" w:cs="Times New Roman"/>
          <w:kern w:val="2"/>
          <w:sz w:val="24"/>
          <w:szCs w:val="24"/>
          <w:vertAlign w:val="subscript"/>
          <w:lang w:val="en-US" w:eastAsia="zh-CN" w:bidi="ar-SA"/>
        </w:rPr>
        <w:t>2.5</w:t>
      </w:r>
      <w:r>
        <w:rPr>
          <w:rFonts w:hint="eastAsia"/>
        </w:rPr>
        <w:t>和</w:t>
      </w:r>
      <w:r>
        <w:rPr>
          <w:rFonts w:hint="default" w:ascii="Times New Roman" w:hAnsi="Times New Roman" w:eastAsia="宋体" w:cs="Times New Roman"/>
          <w:kern w:val="2"/>
          <w:sz w:val="24"/>
          <w:szCs w:val="24"/>
          <w:lang w:val="en-US" w:eastAsia="zh-CN" w:bidi="ar-SA"/>
        </w:rPr>
        <w:t>PM</w:t>
      </w:r>
      <w:r>
        <w:rPr>
          <w:rFonts w:hint="default" w:ascii="Times New Roman" w:hAnsi="Times New Roman" w:eastAsia="宋体" w:cs="Times New Roman"/>
          <w:kern w:val="2"/>
          <w:sz w:val="24"/>
          <w:szCs w:val="24"/>
          <w:vertAlign w:val="subscript"/>
          <w:lang w:val="en-US" w:eastAsia="zh-CN" w:bidi="ar-SA"/>
        </w:rPr>
        <w:t>10</w:t>
      </w:r>
      <w:r>
        <w:rPr>
          <w:rFonts w:hint="eastAsia"/>
        </w:rPr>
        <w:t>监测仪器进行标准膜校准或</w:t>
      </w:r>
      <w:r>
        <w:rPr>
          <w:rFonts w:hint="default" w:ascii="Times New Roman" w:hAnsi="Times New Roman" w:cs="Times New Roman"/>
        </w:rPr>
        <w:t>K0</w:t>
      </w:r>
      <w:r>
        <w:rPr>
          <w:rFonts w:hint="eastAsia"/>
        </w:rPr>
        <w:t>值检查；进行校准器光度计及臭氧发生器校准传递。</w:t>
      </w:r>
    </w:p>
    <w:p w14:paraId="682CF0C3">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lang w:eastAsia="zh-CN"/>
        </w:rPr>
      </w:pPr>
      <w:r>
        <w:rPr>
          <w:rFonts w:hint="eastAsia"/>
          <w:lang w:val="en-US" w:eastAsia="zh-CN"/>
        </w:rPr>
        <w:t>水站：</w:t>
      </w:r>
      <w:r>
        <w:rPr>
          <w:rFonts w:hint="eastAsia"/>
        </w:rPr>
        <w:t>至少每季度备份一次现场数据及控制软件</w:t>
      </w:r>
      <w:r>
        <w:rPr>
          <w:rFonts w:hint="eastAsia"/>
          <w:lang w:eastAsia="zh-CN"/>
        </w:rPr>
        <w:t>。</w:t>
      </w:r>
    </w:p>
    <w:p w14:paraId="73F5118B">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b/>
          <w:bCs/>
          <w:szCs w:val="24"/>
          <w:lang w:val="en-US" w:eastAsia="zh-CN"/>
        </w:rPr>
      </w:pPr>
      <w:r>
        <w:rPr>
          <w:rFonts w:hint="eastAsia" w:ascii="Times New Roman" w:hAnsi="Times New Roman" w:eastAsia="宋体" w:cs="Times New Roman"/>
          <w:color w:val="000000"/>
          <w:sz w:val="24"/>
          <w:szCs w:val="24"/>
          <w:lang w:val="en-US" w:eastAsia="zh-CN" w:bidi="ar-SA"/>
        </w:rPr>
        <w:t>3.7、</w:t>
      </w:r>
      <w:r>
        <w:rPr>
          <w:rFonts w:hint="eastAsia" w:ascii="宋体" w:hAnsi="宋体" w:eastAsia="宋体" w:cs="宋体"/>
          <w:b/>
          <w:bCs/>
          <w:szCs w:val="24"/>
          <w:lang w:val="en-US" w:eastAsia="zh-CN"/>
        </w:rPr>
        <w:t>每半年工作</w:t>
      </w:r>
    </w:p>
    <w:p w14:paraId="6EE9EDD8">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空气</w:t>
      </w:r>
      <w:r>
        <w:rPr>
          <w:rFonts w:hint="eastAsia"/>
          <w:lang w:val="en-US" w:eastAsia="zh-CN"/>
        </w:rPr>
        <w:t>站</w:t>
      </w:r>
      <w:r>
        <w:rPr>
          <w:rFonts w:hint="eastAsia"/>
        </w:rPr>
        <w:t>：清洗采样总管及支管；更换零气源活性炭、</w:t>
      </w:r>
      <w:r>
        <w:rPr>
          <w:rFonts w:hint="default" w:ascii="Times New Roman" w:hAnsi="Times New Roman" w:eastAsia="宋体" w:cs="Times New Roman"/>
          <w:kern w:val="2"/>
          <w:sz w:val="24"/>
          <w:szCs w:val="24"/>
          <w:lang w:val="en-US" w:eastAsia="zh-CN" w:bidi="ar-SA"/>
        </w:rPr>
        <w:t>NOx</w:t>
      </w:r>
      <w:r>
        <w:rPr>
          <w:rFonts w:hint="eastAsia"/>
        </w:rPr>
        <w:t>仪辅助进气口活性炭和氧化剂、泵前吸臭氧活性炭；检查</w:t>
      </w:r>
      <w:r>
        <w:rPr>
          <w:rFonts w:hint="default" w:ascii="Times New Roman" w:hAnsi="Times New Roman" w:eastAsia="宋体" w:cs="Times New Roman"/>
          <w:kern w:val="2"/>
          <w:sz w:val="24"/>
          <w:szCs w:val="24"/>
          <w:lang w:val="en-US" w:eastAsia="zh-CN" w:bidi="ar-SA"/>
        </w:rPr>
        <w:t>PM</w:t>
      </w:r>
      <w:r>
        <w:rPr>
          <w:rFonts w:hint="default" w:ascii="Times New Roman" w:hAnsi="Times New Roman" w:eastAsia="宋体" w:cs="Times New Roman"/>
          <w:kern w:val="2"/>
          <w:sz w:val="24"/>
          <w:szCs w:val="24"/>
          <w:vertAlign w:val="subscript"/>
          <w:lang w:val="en-US" w:eastAsia="zh-CN" w:bidi="ar-SA"/>
        </w:rPr>
        <w:t>2.5</w:t>
      </w:r>
      <w:r>
        <w:rPr>
          <w:rFonts w:hint="eastAsia"/>
        </w:rPr>
        <w:t>、</w:t>
      </w:r>
      <w:r>
        <w:rPr>
          <w:rFonts w:hint="default" w:ascii="Times New Roman" w:hAnsi="Times New Roman" w:eastAsia="宋体" w:cs="Times New Roman"/>
          <w:kern w:val="2"/>
          <w:sz w:val="24"/>
          <w:szCs w:val="24"/>
          <w:lang w:val="en-US" w:eastAsia="zh-CN" w:bidi="ar-SA"/>
        </w:rPr>
        <w:t>PM</w:t>
      </w:r>
      <w:r>
        <w:rPr>
          <w:rFonts w:hint="default" w:ascii="Times New Roman" w:hAnsi="Times New Roman" w:eastAsia="宋体" w:cs="Times New Roman"/>
          <w:kern w:val="2"/>
          <w:sz w:val="24"/>
          <w:szCs w:val="24"/>
          <w:vertAlign w:val="subscript"/>
          <w:lang w:val="en-US" w:eastAsia="zh-CN" w:bidi="ar-SA"/>
        </w:rPr>
        <w:t>10</w:t>
      </w:r>
      <w:r>
        <w:rPr>
          <w:rFonts w:hint="eastAsia"/>
        </w:rPr>
        <w:t>分析仪相对湿度、温度传感器和动态加热装置；对气态污染物监测仪进行多点校准；动态气体校准仪流量进行</w:t>
      </w:r>
      <w:r>
        <w:rPr>
          <w:rFonts w:hint="default" w:ascii="Times New Roman" w:hAnsi="Times New Roman" w:cs="Times New Roman"/>
        </w:rPr>
        <w:t>20</w:t>
      </w:r>
      <w:r>
        <w:rPr>
          <w:rFonts w:hint="eastAsia"/>
        </w:rPr>
        <w:t>点检查；采用臭氧传递标准进行标准传递；更换零气源净化剂和氧化剂并检查零气性能；检查氮氧化物分析仪钼炉转化率。</w:t>
      </w:r>
    </w:p>
    <w:p w14:paraId="445D43B6">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lang w:val="en-US" w:eastAsia="zh-CN"/>
        </w:rPr>
        <w:t>水站：</w:t>
      </w:r>
      <w:r>
        <w:rPr>
          <w:rFonts w:hint="eastAsia"/>
        </w:rPr>
        <w:t>至少每半年进行一次准确度、精密度、检出限、标准曲线、加标回收率、零点漂移和量程漂移检查。更新检测器后，需进行一次标准曲线和精密度检查。</w:t>
      </w:r>
    </w:p>
    <w:p w14:paraId="787A7EC7">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4、</w:t>
      </w:r>
      <w:r>
        <w:rPr>
          <w:rFonts w:hint="eastAsia" w:ascii="宋体" w:hAnsi="宋体" w:eastAsia="宋体" w:cs="宋体"/>
          <w:b/>
          <w:bCs/>
          <w:szCs w:val="24"/>
          <w:lang w:val="en-US" w:eastAsia="zh-CN"/>
        </w:rPr>
        <w:t>质量控制与质量保证</w:t>
      </w:r>
    </w:p>
    <w:p w14:paraId="28D2A5C2">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b/>
          <w:bCs/>
          <w:szCs w:val="24"/>
          <w:lang w:val="en-US" w:eastAsia="zh-CN"/>
        </w:rPr>
      </w:pPr>
      <w:r>
        <w:rPr>
          <w:rFonts w:hint="eastAsia" w:ascii="Times New Roman" w:hAnsi="Times New Roman" w:eastAsia="宋体" w:cs="Times New Roman"/>
          <w:color w:val="000000"/>
          <w:sz w:val="24"/>
          <w:szCs w:val="24"/>
          <w:lang w:val="en-US" w:eastAsia="zh-CN" w:bidi="ar-SA"/>
        </w:rPr>
        <w:t>4.1、</w:t>
      </w:r>
      <w:r>
        <w:rPr>
          <w:rFonts w:hint="eastAsia" w:ascii="宋体" w:hAnsi="宋体" w:eastAsia="宋体" w:cs="宋体"/>
          <w:b/>
          <w:bCs/>
          <w:szCs w:val="24"/>
          <w:lang w:val="en-US" w:eastAsia="zh-CN"/>
        </w:rPr>
        <w:t>量值溯源</w:t>
      </w:r>
    </w:p>
    <w:p w14:paraId="15EA5738">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lang w:val="en-US" w:eastAsia="zh-CN"/>
        </w:rPr>
      </w:pPr>
      <w:r>
        <w:rPr>
          <w:rFonts w:hint="eastAsia" w:ascii="宋体" w:hAnsi="宋体" w:eastAsia="宋体" w:cs="宋体"/>
          <w:lang w:val="en-US" w:eastAsia="zh-CN"/>
        </w:rPr>
        <w:t>空气站：每个站点配备的标准气体须为国家一级有证标准样品或物质，新购标气需做验证实验。钢瓶压力低于</w:t>
      </w:r>
      <w:r>
        <w:rPr>
          <w:rFonts w:hint="default" w:ascii="Times New Roman" w:hAnsi="Times New Roman" w:eastAsia="宋体" w:cs="Times New Roman"/>
          <w:lang w:val="en-US" w:eastAsia="zh-CN"/>
        </w:rPr>
        <w:t>1.5MPa</w:t>
      </w:r>
      <w:r>
        <w:rPr>
          <w:rFonts w:hint="eastAsia" w:ascii="宋体" w:hAnsi="宋体" w:eastAsia="宋体" w:cs="宋体"/>
          <w:lang w:val="en-US" w:eastAsia="zh-CN"/>
        </w:rPr>
        <w:t>时停用，新标气阀应老化</w:t>
      </w:r>
      <w:r>
        <w:rPr>
          <w:rFonts w:hint="default" w:ascii="Times New Roman" w:hAnsi="Times New Roman" w:eastAsia="宋体" w:cs="Times New Roman"/>
          <w:lang w:val="en-US" w:eastAsia="zh-CN"/>
        </w:rPr>
        <w:t>3</w:t>
      </w:r>
      <w:r>
        <w:rPr>
          <w:rFonts w:hint="eastAsia" w:ascii="宋体" w:hAnsi="宋体" w:eastAsia="宋体" w:cs="宋体"/>
          <w:lang w:val="en-US" w:eastAsia="zh-CN"/>
        </w:rPr>
        <w:t>次以上后方可使用。每年将流量计、温湿度计等质控设备送检，并定期送业主核查。每年将臭氧标准向业主提供的标准设备溯源。</w:t>
      </w:r>
    </w:p>
    <w:p w14:paraId="54504D0C">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水</w:t>
      </w:r>
      <w:r>
        <w:rPr>
          <w:rFonts w:hint="eastAsia"/>
          <w:lang w:val="en-US" w:eastAsia="zh-CN"/>
        </w:rPr>
        <w:t>站</w:t>
      </w:r>
      <w:r>
        <w:rPr>
          <w:rFonts w:hint="eastAsia"/>
        </w:rPr>
        <w:t>：定期将用于量值传递的计量器具送检。试剂配制由有资质的实验室完成，提供来源证明并张贴标签。所用纯水和试剂须达到相关技术要求。</w:t>
      </w:r>
    </w:p>
    <w:p w14:paraId="07339CED">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b/>
          <w:bCs/>
          <w:szCs w:val="24"/>
          <w:lang w:val="en-US" w:eastAsia="zh-CN"/>
        </w:rPr>
      </w:pPr>
      <w:r>
        <w:rPr>
          <w:rFonts w:hint="eastAsia" w:ascii="Times New Roman" w:hAnsi="Times New Roman" w:eastAsia="宋体" w:cs="Times New Roman"/>
          <w:color w:val="000000"/>
          <w:sz w:val="24"/>
          <w:szCs w:val="24"/>
          <w:lang w:val="en-US" w:eastAsia="zh-CN" w:bidi="ar-SA"/>
        </w:rPr>
        <w:t>4.2、</w:t>
      </w:r>
      <w:r>
        <w:rPr>
          <w:rFonts w:hint="eastAsia" w:ascii="宋体" w:hAnsi="宋体" w:eastAsia="宋体" w:cs="宋体"/>
          <w:b/>
          <w:bCs/>
          <w:szCs w:val="24"/>
          <w:lang w:val="en-US" w:eastAsia="zh-CN"/>
        </w:rPr>
        <w:t>校准</w:t>
      </w:r>
    </w:p>
    <w:p w14:paraId="3AF74525">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监测仪在以下情况下需进行校准：安装时、移动位置后、进行可能影响校准的维修维护后、暂停工作一段时间后、有迹象表明工作不正常或校准结果出现变化、超过国家规范或本文件要求的校准周期时。</w:t>
      </w:r>
    </w:p>
    <w:p w14:paraId="0D95DC41">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b/>
          <w:bCs/>
          <w:szCs w:val="24"/>
          <w:lang w:val="en-US" w:eastAsia="zh-CN"/>
        </w:rPr>
      </w:pPr>
      <w:r>
        <w:rPr>
          <w:rFonts w:hint="eastAsia" w:ascii="Times New Roman" w:hAnsi="Times New Roman" w:eastAsia="宋体" w:cs="Times New Roman"/>
          <w:color w:val="000000"/>
          <w:sz w:val="24"/>
          <w:szCs w:val="24"/>
          <w:lang w:val="en-US" w:eastAsia="zh-CN" w:bidi="ar-SA"/>
        </w:rPr>
        <w:t>4.3、</w:t>
      </w:r>
      <w:r>
        <w:rPr>
          <w:rFonts w:hint="eastAsia" w:ascii="宋体" w:hAnsi="宋体" w:eastAsia="宋体" w:cs="宋体"/>
          <w:b/>
          <w:bCs/>
          <w:szCs w:val="24"/>
          <w:lang w:val="en-US" w:eastAsia="zh-CN"/>
        </w:rPr>
        <w:t>仪器性能核查与检修后质控</w:t>
      </w:r>
    </w:p>
    <w:p w14:paraId="531A0304">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lang w:val="en-US" w:eastAsia="zh-CN"/>
        </w:rPr>
      </w:pPr>
      <w:r>
        <w:rPr>
          <w:rFonts w:hint="eastAsia" w:ascii="宋体" w:hAnsi="宋体" w:eastAsia="宋体" w:cs="宋体"/>
          <w:lang w:val="en-US" w:eastAsia="zh-CN"/>
        </w:rPr>
        <w:t>水站仪器性能核查：核查内容包含准确度、精密度、检出限、标准曲线、加标回收率、零点漂移、量程漂移等。</w:t>
      </w:r>
    </w:p>
    <w:p w14:paraId="09DAEE28">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lang w:val="en-US" w:eastAsia="zh-CN"/>
        </w:rPr>
      </w:pPr>
      <w:r>
        <w:rPr>
          <w:rFonts w:hint="eastAsia"/>
        </w:rPr>
        <w:t>维修后质控：仪器修复后，当其监测性能受到影响时，采用关键参数检查、标样测试等方法进行测试。空气</w:t>
      </w:r>
      <w:r>
        <w:rPr>
          <w:rFonts w:hint="eastAsia"/>
          <w:lang w:val="en-US" w:eastAsia="zh-CN"/>
        </w:rPr>
        <w:t>站</w:t>
      </w:r>
      <w:r>
        <w:rPr>
          <w:rFonts w:hint="eastAsia"/>
        </w:rPr>
        <w:t>仪器大修后，气态污染监测设备应按顺序开展漂移、精密度、准确度、多点线性测试；颗粒物监测设备应开展手工比对测试。</w:t>
      </w:r>
      <w:r>
        <w:rPr>
          <w:rFonts w:hint="eastAsia"/>
          <w:lang w:val="en-US" w:eastAsia="zh-CN"/>
        </w:rPr>
        <w:t>水站</w:t>
      </w:r>
      <w:r>
        <w:rPr>
          <w:rFonts w:hint="eastAsia"/>
        </w:rPr>
        <w:t>对于关键部件维修后，按规范进行标准曲线和精密度检查。</w:t>
      </w:r>
    </w:p>
    <w:p w14:paraId="1D29894B">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b/>
          <w:bCs/>
          <w:szCs w:val="24"/>
          <w:lang w:val="en-US" w:eastAsia="zh-CN"/>
        </w:rPr>
      </w:pPr>
      <w:r>
        <w:rPr>
          <w:rFonts w:hint="eastAsia" w:ascii="Times New Roman" w:hAnsi="Times New Roman" w:eastAsia="宋体" w:cs="Times New Roman"/>
          <w:color w:val="000000"/>
          <w:sz w:val="24"/>
          <w:szCs w:val="24"/>
          <w:lang w:val="en-US" w:eastAsia="zh-CN" w:bidi="ar-SA"/>
        </w:rPr>
        <w:t>5、</w:t>
      </w:r>
      <w:r>
        <w:rPr>
          <w:rFonts w:hint="eastAsia" w:ascii="宋体" w:hAnsi="宋体" w:eastAsia="宋体" w:cs="宋体"/>
          <w:b/>
          <w:bCs/>
          <w:szCs w:val="24"/>
          <w:lang w:val="en-US" w:eastAsia="zh-CN"/>
        </w:rPr>
        <w:t>故障应急与系统设备维修</w:t>
      </w:r>
    </w:p>
    <w:p w14:paraId="4B191FDA">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b/>
          <w:bCs/>
          <w:szCs w:val="24"/>
          <w:lang w:val="en-US" w:eastAsia="zh-CN"/>
        </w:rPr>
      </w:pPr>
      <w:r>
        <w:rPr>
          <w:rFonts w:hint="eastAsia" w:ascii="Times New Roman" w:hAnsi="Times New Roman" w:eastAsia="宋体" w:cs="Times New Roman"/>
          <w:color w:val="000000"/>
          <w:sz w:val="24"/>
          <w:szCs w:val="24"/>
          <w:lang w:val="en-US" w:eastAsia="zh-CN" w:bidi="ar-SA"/>
        </w:rPr>
        <w:t>5.1、</w:t>
      </w:r>
      <w:r>
        <w:rPr>
          <w:rFonts w:hint="eastAsia" w:ascii="宋体" w:hAnsi="宋体" w:eastAsia="宋体" w:cs="宋体"/>
          <w:b/>
          <w:bCs/>
          <w:szCs w:val="24"/>
          <w:lang w:val="en-US" w:eastAsia="zh-CN"/>
        </w:rPr>
        <w:t>应急措施方案</w:t>
      </w:r>
    </w:p>
    <w:p w14:paraId="407780D6">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b/>
          <w:bCs/>
          <w:szCs w:val="24"/>
          <w:lang w:val="en-US" w:eastAsia="zh-CN"/>
        </w:rPr>
      </w:pPr>
      <w:r>
        <w:rPr>
          <w:rFonts w:hint="eastAsia"/>
        </w:rPr>
        <w:t>乙方应制定应急事故处理方案，内容涵盖突发性污染、特殊时期、自然灾害、水电检修、临时停电、重大活动或破坏情况。</w:t>
      </w:r>
    </w:p>
    <w:p w14:paraId="145C486D">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b/>
          <w:bCs/>
          <w:szCs w:val="24"/>
          <w:lang w:val="en-US" w:eastAsia="zh-CN"/>
        </w:rPr>
      </w:pPr>
      <w:r>
        <w:rPr>
          <w:rFonts w:hint="eastAsia" w:ascii="Times New Roman" w:hAnsi="Times New Roman" w:eastAsia="宋体" w:cs="Times New Roman"/>
          <w:color w:val="000000"/>
          <w:sz w:val="24"/>
          <w:szCs w:val="24"/>
          <w:lang w:val="en-US" w:eastAsia="zh-CN" w:bidi="ar-SA"/>
        </w:rPr>
        <w:t>5.2、</w:t>
      </w:r>
      <w:r>
        <w:rPr>
          <w:rFonts w:hint="eastAsia" w:ascii="宋体" w:hAnsi="宋体" w:eastAsia="宋体" w:cs="宋体"/>
          <w:b/>
          <w:bCs/>
          <w:szCs w:val="24"/>
          <w:lang w:val="en-US" w:eastAsia="zh-CN"/>
        </w:rPr>
        <w:t>故障与异常响应时效</w:t>
      </w:r>
    </w:p>
    <w:p w14:paraId="55080A41">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响应与到场：空气</w:t>
      </w:r>
      <w:r>
        <w:rPr>
          <w:rFonts w:hint="eastAsia"/>
          <w:lang w:val="en-US" w:eastAsia="zh-CN"/>
        </w:rPr>
        <w:t>站</w:t>
      </w:r>
      <w:r>
        <w:rPr>
          <w:rFonts w:hint="eastAsia"/>
        </w:rPr>
        <w:t>每日</w:t>
      </w:r>
      <w:r>
        <w:rPr>
          <w:rFonts w:hint="eastAsia" w:ascii="Times New Roman" w:hAnsi="Times New Roman" w:eastAsia="宋体" w:cs="Times New Roman"/>
          <w:color w:val="000000"/>
          <w:sz w:val="24"/>
          <w:szCs w:val="24"/>
          <w:lang w:val="en-US" w:eastAsia="zh-CN" w:bidi="ar-SA"/>
        </w:rPr>
        <w:t>6</w:t>
      </w:r>
      <w:r>
        <w:rPr>
          <w:rFonts w:hint="eastAsia"/>
        </w:rPr>
        <w:t>时</w:t>
      </w:r>
      <w:r>
        <w:rPr>
          <w:rFonts w:hint="eastAsia" w:ascii="Times New Roman" w:hAnsi="Times New Roman" w:eastAsia="宋体" w:cs="Times New Roman"/>
          <w:color w:val="000000"/>
          <w:sz w:val="24"/>
          <w:szCs w:val="24"/>
          <w:lang w:val="en-US" w:eastAsia="zh-CN" w:bidi="ar-SA"/>
        </w:rPr>
        <w:t>～23</w:t>
      </w:r>
      <w:r>
        <w:rPr>
          <w:rFonts w:hint="eastAsia"/>
        </w:rPr>
        <w:t>时出现故障，应在</w:t>
      </w:r>
      <w:r>
        <w:rPr>
          <w:rFonts w:hint="eastAsia" w:ascii="Times New Roman" w:hAnsi="Times New Roman" w:eastAsia="宋体" w:cs="Times New Roman"/>
          <w:color w:val="000000"/>
          <w:sz w:val="24"/>
          <w:szCs w:val="24"/>
          <w:lang w:val="en-US" w:eastAsia="zh-CN" w:bidi="ar-SA"/>
        </w:rPr>
        <w:t>1</w:t>
      </w:r>
      <w:r>
        <w:rPr>
          <w:rFonts w:hint="eastAsia"/>
        </w:rPr>
        <w:t>小时内响应，</w:t>
      </w:r>
      <w:r>
        <w:rPr>
          <w:rFonts w:hint="eastAsia" w:ascii="Times New Roman" w:hAnsi="Times New Roman" w:eastAsia="宋体" w:cs="Times New Roman"/>
          <w:color w:val="000000"/>
          <w:sz w:val="24"/>
          <w:szCs w:val="24"/>
          <w:lang w:val="en-US" w:eastAsia="zh-CN" w:bidi="ar-SA"/>
        </w:rPr>
        <w:t>4</w:t>
      </w:r>
      <w:r>
        <w:rPr>
          <w:rFonts w:hint="eastAsia"/>
        </w:rPr>
        <w:t>小时内到达现场解决；</w:t>
      </w:r>
      <w:r>
        <w:rPr>
          <w:rFonts w:hint="eastAsia"/>
          <w:lang w:val="en-US" w:eastAsia="zh-CN"/>
        </w:rPr>
        <w:t>水站</w:t>
      </w:r>
      <w:r>
        <w:rPr>
          <w:rFonts w:hint="eastAsia"/>
        </w:rPr>
        <w:t>异常或发生污染事故时，须</w:t>
      </w:r>
      <w:r>
        <w:rPr>
          <w:rFonts w:hint="eastAsia" w:ascii="Times New Roman" w:hAnsi="Times New Roman" w:eastAsia="宋体" w:cs="Times New Roman"/>
          <w:color w:val="000000"/>
          <w:sz w:val="24"/>
          <w:szCs w:val="24"/>
          <w:lang w:val="en-US" w:eastAsia="zh-CN" w:bidi="ar-SA"/>
        </w:rPr>
        <w:t>2</w:t>
      </w:r>
      <w:r>
        <w:rPr>
          <w:rFonts w:hint="eastAsia"/>
        </w:rPr>
        <w:t>小时内到达站点核查。</w:t>
      </w:r>
    </w:p>
    <w:p w14:paraId="4B4F61A4">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备机更换：仪器故障无法及时修复时，空气</w:t>
      </w:r>
      <w:r>
        <w:rPr>
          <w:rFonts w:hint="eastAsia"/>
          <w:lang w:val="en-US" w:eastAsia="zh-CN"/>
        </w:rPr>
        <w:t>站</w:t>
      </w:r>
      <w:r>
        <w:rPr>
          <w:rFonts w:hint="eastAsia"/>
        </w:rPr>
        <w:t>须在</w:t>
      </w:r>
      <w:r>
        <w:rPr>
          <w:rFonts w:hint="eastAsia" w:ascii="Times New Roman" w:hAnsi="Times New Roman" w:eastAsia="宋体" w:cs="Times New Roman"/>
          <w:color w:val="000000"/>
          <w:sz w:val="24"/>
          <w:szCs w:val="24"/>
          <w:lang w:val="en-US" w:eastAsia="zh-CN" w:bidi="ar-SA"/>
        </w:rPr>
        <w:t>24</w:t>
      </w:r>
      <w:r>
        <w:rPr>
          <w:rFonts w:hint="eastAsia"/>
        </w:rPr>
        <w:t>小时内提供并更换备机；</w:t>
      </w:r>
      <w:r>
        <w:rPr>
          <w:rFonts w:hint="eastAsia"/>
          <w:lang w:val="en-US" w:eastAsia="zh-CN"/>
        </w:rPr>
        <w:t>水站</w:t>
      </w:r>
      <w:r>
        <w:rPr>
          <w:rFonts w:hint="eastAsia"/>
        </w:rPr>
        <w:t>若</w:t>
      </w:r>
      <w:r>
        <w:rPr>
          <w:rFonts w:hint="eastAsia" w:ascii="Times New Roman" w:hAnsi="Times New Roman" w:eastAsia="宋体" w:cs="Times New Roman"/>
          <w:color w:val="000000"/>
          <w:sz w:val="24"/>
          <w:szCs w:val="24"/>
          <w:lang w:val="en-US" w:eastAsia="zh-CN" w:bidi="ar-SA"/>
        </w:rPr>
        <w:t>24</w:t>
      </w:r>
      <w:r>
        <w:rPr>
          <w:rFonts w:hint="eastAsia"/>
        </w:rPr>
        <w:t>小时内无法排除故障，导致主要指标无法监测，须在</w:t>
      </w:r>
      <w:r>
        <w:rPr>
          <w:rFonts w:hint="eastAsia" w:ascii="Times New Roman" w:hAnsi="Times New Roman" w:eastAsia="宋体" w:cs="Times New Roman"/>
          <w:color w:val="000000"/>
          <w:sz w:val="24"/>
          <w:szCs w:val="24"/>
          <w:lang w:val="en-US" w:eastAsia="zh-CN" w:bidi="ar-SA"/>
        </w:rPr>
        <w:t>48</w:t>
      </w:r>
      <w:r>
        <w:rPr>
          <w:rFonts w:hint="eastAsia"/>
        </w:rPr>
        <w:t>小时内更换备机。</w:t>
      </w:r>
    </w:p>
    <w:p w14:paraId="12012255">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b/>
          <w:bCs/>
          <w:szCs w:val="24"/>
          <w:lang w:val="en-US" w:eastAsia="zh-CN"/>
        </w:rPr>
      </w:pPr>
      <w:r>
        <w:rPr>
          <w:rFonts w:hint="eastAsia" w:ascii="Times New Roman" w:hAnsi="Times New Roman" w:eastAsia="宋体" w:cs="Times New Roman"/>
          <w:color w:val="000000"/>
          <w:sz w:val="24"/>
          <w:szCs w:val="24"/>
          <w:lang w:val="en-US" w:eastAsia="zh-CN" w:bidi="ar-SA"/>
        </w:rPr>
        <w:t>5.3、</w:t>
      </w:r>
      <w:r>
        <w:rPr>
          <w:rFonts w:hint="eastAsia" w:ascii="宋体" w:hAnsi="宋体" w:eastAsia="宋体" w:cs="宋体"/>
          <w:b/>
          <w:bCs/>
          <w:szCs w:val="24"/>
          <w:lang w:val="en-US" w:eastAsia="zh-CN"/>
        </w:rPr>
        <w:t>系统设备维修</w:t>
      </w:r>
    </w:p>
    <w:p w14:paraId="2ACA1A0F">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lang w:val="en-US" w:eastAsia="zh-CN"/>
        </w:rPr>
      </w:pPr>
      <w:r>
        <w:rPr>
          <w:rFonts w:hint="eastAsia"/>
          <w:lang w:val="en-US" w:eastAsia="zh-CN"/>
        </w:rPr>
        <w:t>乙方负责系统所有设备和仪器的维护、维修和部件更换（含空调等附属设施），费用包含在报价中。同样包括因外部原因意外丢失和损坏设备的更换或维修。维修分现场检修（如泵管破裂、液路堵塞等）和送修（不易诊断的故障）。所有检修内容均需按要求做好记录备查。</w:t>
      </w:r>
    </w:p>
    <w:p w14:paraId="6CE601EA">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b/>
          <w:bCs/>
          <w:szCs w:val="24"/>
          <w:lang w:val="en-US" w:eastAsia="zh-CN"/>
        </w:rPr>
      </w:pPr>
      <w:r>
        <w:rPr>
          <w:rFonts w:hint="eastAsia" w:ascii="Times New Roman" w:hAnsi="Times New Roman" w:eastAsia="宋体" w:cs="Times New Roman"/>
          <w:color w:val="000000"/>
          <w:sz w:val="24"/>
          <w:szCs w:val="24"/>
          <w:lang w:val="en-US" w:eastAsia="zh-CN" w:bidi="ar-SA"/>
        </w:rPr>
        <w:t>6、</w:t>
      </w:r>
      <w:r>
        <w:rPr>
          <w:rFonts w:hint="eastAsia" w:ascii="宋体" w:hAnsi="宋体" w:eastAsia="宋体" w:cs="宋体"/>
          <w:b/>
          <w:bCs/>
          <w:szCs w:val="24"/>
          <w:lang w:val="en-US" w:eastAsia="zh-CN"/>
        </w:rPr>
        <w:t>数据、平台与报告管理</w:t>
      </w:r>
    </w:p>
    <w:p w14:paraId="1DF8D01F">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b/>
          <w:bCs/>
          <w:szCs w:val="24"/>
          <w:lang w:val="en-US" w:eastAsia="zh-CN"/>
        </w:rPr>
      </w:pPr>
      <w:r>
        <w:rPr>
          <w:rFonts w:hint="eastAsia" w:ascii="Times New Roman" w:hAnsi="Times New Roman" w:eastAsia="宋体" w:cs="Times New Roman"/>
          <w:color w:val="000000"/>
          <w:sz w:val="24"/>
          <w:szCs w:val="24"/>
          <w:lang w:val="en-US" w:eastAsia="zh-CN" w:bidi="ar-SA"/>
        </w:rPr>
        <w:t>6.1、</w:t>
      </w:r>
      <w:r>
        <w:rPr>
          <w:rFonts w:hint="eastAsia" w:ascii="宋体" w:hAnsi="宋体" w:eastAsia="宋体" w:cs="宋体"/>
          <w:b/>
          <w:bCs/>
          <w:szCs w:val="24"/>
          <w:lang w:val="en-US" w:eastAsia="zh-CN"/>
        </w:rPr>
        <w:t>数据质量目标与要求</w:t>
      </w:r>
    </w:p>
    <w:p w14:paraId="3BEC865C">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数据完整性：采取有效措施保证监测数据的准确性、连续性和完整性，不得选择性舍弃数据或人为干预结果。监测仪器应全年连续运行。</w:t>
      </w:r>
    </w:p>
    <w:p w14:paraId="42C85279">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每月数据联网率</w:t>
      </w:r>
      <w:r>
        <w:rPr>
          <w:rFonts w:hint="default" w:ascii="Times New Roman" w:hAnsi="Times New Roman" w:cs="Times New Roman"/>
        </w:rPr>
        <w:t>≥98%</w:t>
      </w:r>
      <w:r>
        <w:rPr>
          <w:rFonts w:hint="eastAsia"/>
        </w:rPr>
        <w:t>，每月实时数据和审核后有效数据入库率</w:t>
      </w:r>
      <w:r>
        <w:rPr>
          <w:rFonts w:hint="eastAsia" w:ascii="Times New Roman" w:hAnsi="Times New Roman" w:eastAsia="宋体" w:cs="Times New Roman"/>
        </w:rPr>
        <w:t>≥95%</w:t>
      </w:r>
      <w:r>
        <w:rPr>
          <w:rFonts w:hint="eastAsia"/>
        </w:rPr>
        <w:t>。每天因校准、故障等原因导致数据无效或缺失时间不超过</w:t>
      </w:r>
      <w:r>
        <w:rPr>
          <w:rFonts w:hint="eastAsia" w:ascii="Times New Roman" w:hAnsi="Times New Roman" w:eastAsia="宋体" w:cs="Times New Roman"/>
        </w:rPr>
        <w:t>3</w:t>
      </w:r>
      <w:r>
        <w:rPr>
          <w:rFonts w:hint="eastAsia"/>
        </w:rPr>
        <w:t>小时，夜间或特殊情况不超过</w:t>
      </w:r>
      <w:r>
        <w:rPr>
          <w:rFonts w:hint="eastAsia" w:ascii="Times New Roman" w:hAnsi="Times New Roman" w:eastAsia="宋体" w:cs="Times New Roman"/>
        </w:rPr>
        <w:t>12</w:t>
      </w:r>
      <w:r>
        <w:rPr>
          <w:rFonts w:hint="eastAsia"/>
        </w:rPr>
        <w:t>小时。</w:t>
      </w:r>
    </w:p>
    <w:p w14:paraId="51EE7FDF">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b/>
          <w:bCs/>
          <w:szCs w:val="24"/>
          <w:lang w:val="en-US" w:eastAsia="zh-CN"/>
        </w:rPr>
      </w:pPr>
      <w:r>
        <w:rPr>
          <w:rFonts w:hint="eastAsia" w:ascii="Times New Roman" w:hAnsi="Times New Roman" w:eastAsia="宋体" w:cs="Times New Roman"/>
          <w:color w:val="000000"/>
          <w:sz w:val="24"/>
          <w:szCs w:val="24"/>
          <w:lang w:val="en-US" w:eastAsia="zh-CN" w:bidi="ar-SA"/>
        </w:rPr>
        <w:t>6.2、</w:t>
      </w:r>
      <w:r>
        <w:rPr>
          <w:rFonts w:hint="eastAsia" w:ascii="宋体" w:hAnsi="宋体" w:eastAsia="宋体" w:cs="宋体"/>
          <w:b/>
          <w:bCs/>
          <w:szCs w:val="24"/>
          <w:lang w:val="en-US" w:eastAsia="zh-CN"/>
        </w:rPr>
        <w:t>数据审核与处理</w:t>
      </w:r>
    </w:p>
    <w:p w14:paraId="5A695AF7">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lang w:val="en-US" w:eastAsia="zh-CN"/>
        </w:rPr>
        <w:t>空气站</w:t>
      </w:r>
      <w:r>
        <w:rPr>
          <w:rFonts w:hint="eastAsia"/>
        </w:rPr>
        <w:t>异常值判定参照国家或省级相关技术规定</w:t>
      </w:r>
      <w:r>
        <w:rPr>
          <w:rFonts w:hint="eastAsia"/>
          <w:lang w:eastAsia="zh-CN"/>
        </w:rPr>
        <w:t>；</w:t>
      </w:r>
      <w:r>
        <w:rPr>
          <w:rFonts w:hint="eastAsia"/>
          <w:lang w:val="en-US" w:eastAsia="zh-CN"/>
        </w:rPr>
        <w:t>水站</w:t>
      </w:r>
      <w:r>
        <w:rPr>
          <w:rFonts w:hint="eastAsia"/>
        </w:rPr>
        <w:t>每天中午</w:t>
      </w:r>
      <w:r>
        <w:rPr>
          <w:rFonts w:hint="eastAsia" w:ascii="Times New Roman" w:hAnsi="Times New Roman" w:eastAsia="宋体" w:cs="Times New Roman"/>
        </w:rPr>
        <w:t>12</w:t>
      </w:r>
      <w:r>
        <w:rPr>
          <w:rFonts w:hint="eastAsia"/>
        </w:rPr>
        <w:t>时前对前一天水站数据进行审核。发现持续异常值时，立即安排人员现场调查，必要时采集实际水样进行人工分析</w:t>
      </w:r>
    </w:p>
    <w:p w14:paraId="4A56D66E">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b/>
          <w:bCs/>
          <w:szCs w:val="24"/>
          <w:lang w:val="en-US" w:eastAsia="zh-CN"/>
        </w:rPr>
      </w:pPr>
      <w:r>
        <w:rPr>
          <w:rFonts w:hint="eastAsia" w:ascii="Times New Roman" w:hAnsi="Times New Roman" w:eastAsia="宋体" w:cs="Times New Roman"/>
          <w:color w:val="000000"/>
          <w:sz w:val="24"/>
          <w:szCs w:val="24"/>
          <w:lang w:val="en-US" w:eastAsia="zh-CN" w:bidi="ar-SA"/>
        </w:rPr>
        <w:t>6.3、</w:t>
      </w:r>
      <w:r>
        <w:rPr>
          <w:rFonts w:hint="eastAsia" w:ascii="宋体" w:hAnsi="宋体" w:eastAsia="宋体" w:cs="宋体"/>
          <w:b/>
          <w:bCs/>
          <w:szCs w:val="24"/>
          <w:lang w:val="en-US" w:eastAsia="zh-CN"/>
        </w:rPr>
        <w:t>数据平台管理</w:t>
      </w:r>
    </w:p>
    <w:p w14:paraId="3D85C048">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空气</w:t>
      </w:r>
      <w:r>
        <w:rPr>
          <w:rFonts w:hint="eastAsia"/>
          <w:lang w:val="en-US" w:eastAsia="zh-CN"/>
        </w:rPr>
        <w:t>站</w:t>
      </w:r>
      <w:r>
        <w:rPr>
          <w:rFonts w:hint="eastAsia"/>
        </w:rPr>
        <w:t>：定期对江苏省工业园区污染物排放限值限量系统平台运行情况进行分析，进行漏洞扫描与修复，确保安全稳定运行；配合整改各部门提出的平台整改问题；配合第三方开展信息系统数据安全风险评估、等保测评等工作。</w:t>
      </w:r>
    </w:p>
    <w:p w14:paraId="0FE27313">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rPr>
        <w:t>水</w:t>
      </w:r>
      <w:r>
        <w:rPr>
          <w:rFonts w:hint="eastAsia"/>
          <w:lang w:val="en-US" w:eastAsia="zh-CN"/>
        </w:rPr>
        <w:t>站</w:t>
      </w:r>
      <w:r>
        <w:rPr>
          <w:rFonts w:hint="eastAsia"/>
        </w:rPr>
        <w:t>：每天上午和下午通过数据平台软件远程调看监测数据各</w:t>
      </w:r>
      <w:r>
        <w:rPr>
          <w:rFonts w:hint="default" w:ascii="Times New Roman" w:hAnsi="Times New Roman" w:cs="Times New Roman"/>
        </w:rPr>
        <w:t>1</w:t>
      </w:r>
      <w:r>
        <w:rPr>
          <w:rFonts w:hint="eastAsia"/>
        </w:rPr>
        <w:t>次；检查各水站数据传输、仪器及系统参数数据情况，发现问题及时处理。</w:t>
      </w:r>
    </w:p>
    <w:p w14:paraId="19FF6BC1">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ascii="宋体" w:hAnsi="宋体" w:eastAsia="宋体" w:cs="宋体"/>
          <w:b/>
          <w:bCs/>
          <w:szCs w:val="24"/>
          <w:lang w:val="en-US" w:eastAsia="zh-CN"/>
        </w:rPr>
      </w:pPr>
      <w:r>
        <w:rPr>
          <w:rFonts w:hint="eastAsia" w:ascii="Times New Roman" w:hAnsi="Times New Roman" w:eastAsia="宋体" w:cs="Times New Roman"/>
          <w:color w:val="000000"/>
          <w:sz w:val="24"/>
          <w:szCs w:val="24"/>
          <w:lang w:val="en-US" w:eastAsia="zh-CN" w:bidi="ar-SA"/>
        </w:rPr>
        <w:t>7、</w:t>
      </w:r>
      <w:r>
        <w:rPr>
          <w:rFonts w:hint="eastAsia" w:ascii="宋体" w:hAnsi="宋体" w:eastAsia="宋体" w:cs="宋体"/>
          <w:b/>
          <w:bCs/>
          <w:szCs w:val="24"/>
          <w:lang w:val="en-US" w:eastAsia="zh-CN"/>
        </w:rPr>
        <w:t>附则</w:t>
      </w:r>
    </w:p>
    <w:p w14:paraId="51FD6920">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default" w:ascii="宋体" w:hAnsi="宋体" w:eastAsia="宋体" w:cs="宋体"/>
          <w:lang w:val="en-US" w:eastAsia="zh-CN"/>
        </w:rPr>
      </w:pPr>
      <w:r>
        <w:rPr>
          <w:rFonts w:hint="eastAsia" w:ascii="Times New Roman" w:hAnsi="Times New Roman" w:eastAsia="宋体" w:cs="Times New Roman"/>
          <w:color w:val="000000"/>
          <w:sz w:val="24"/>
          <w:szCs w:val="24"/>
          <w:lang w:val="en-US" w:eastAsia="zh-CN" w:bidi="ar-SA"/>
        </w:rPr>
        <w:t>7.1、</w:t>
      </w:r>
      <w:r>
        <w:rPr>
          <w:rFonts w:hint="default" w:ascii="宋体" w:hAnsi="宋体" w:eastAsia="宋体" w:cs="宋体"/>
          <w:lang w:val="en-US" w:eastAsia="zh-CN"/>
        </w:rPr>
        <w:t>安全管理：乙方在运维期间应规范操作，注意安全，防止意外发生。对站房安全设施（消防、防盗）进行定期检查。</w:t>
      </w:r>
    </w:p>
    <w:p w14:paraId="0555F25C">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eastAsia"/>
        </w:rPr>
      </w:pPr>
      <w:r>
        <w:rPr>
          <w:rFonts w:hint="eastAsia" w:ascii="Times New Roman" w:hAnsi="Times New Roman" w:eastAsia="宋体" w:cs="Times New Roman"/>
          <w:color w:val="000000"/>
          <w:sz w:val="24"/>
          <w:szCs w:val="24"/>
          <w:lang w:val="en-US" w:eastAsia="zh-CN" w:bidi="ar-SA"/>
        </w:rPr>
        <w:t>7.2、</w:t>
      </w:r>
      <w:r>
        <w:rPr>
          <w:rFonts w:hint="eastAsia"/>
        </w:rPr>
        <w:t>纪律要求：严禁擅自改变采样管路连接方式和更改仪器参数设置。空气质量自动监测严禁安装远程控制软件。</w:t>
      </w:r>
    </w:p>
    <w:p w14:paraId="54E857A9">
      <w:pPr>
        <w:pStyle w:val="27"/>
        <w:keepNext w:val="0"/>
        <w:keepLines w:val="0"/>
        <w:pageBreakBefore w:val="0"/>
        <w:widowControl w:val="0"/>
        <w:kinsoku/>
        <w:wordWrap/>
        <w:overflowPunct/>
        <w:topLinePunct w:val="0"/>
        <w:autoSpaceDE/>
        <w:autoSpaceDN/>
        <w:bidi w:val="0"/>
        <w:adjustRightInd/>
        <w:snapToGrid/>
        <w:spacing w:before="0" w:beforeAutospacing="0" w:after="0" w:afterAutospacing="0" w:line="348" w:lineRule="auto"/>
        <w:ind w:firstLine="480" w:firstLineChars="200"/>
        <w:jc w:val="both"/>
        <w:textAlignment w:val="auto"/>
        <w:rPr>
          <w:rFonts w:hint="default"/>
          <w:lang w:val="en-US" w:eastAsia="zh-CN"/>
        </w:rPr>
      </w:pPr>
      <w:r>
        <w:rPr>
          <w:rFonts w:hint="eastAsia" w:ascii="Times New Roman" w:hAnsi="Times New Roman" w:eastAsia="宋体" w:cs="Times New Roman"/>
          <w:color w:val="000000"/>
          <w:sz w:val="24"/>
          <w:szCs w:val="24"/>
          <w:lang w:val="en-US" w:eastAsia="zh-CN" w:bidi="ar-SA"/>
        </w:rPr>
        <w:t>7.3、</w:t>
      </w:r>
      <w:r>
        <w:rPr>
          <w:rFonts w:hint="eastAsia"/>
        </w:rPr>
        <w:t>记录归档：所有运行维护、质量管理、故障检修等工作均须按要求做好记录并留档备查。空气质量自动监测要求及时制定每月工作计划并上报业主备案，严格执行，若有变更及时报备。</w:t>
      </w:r>
    </w:p>
    <w:p w14:paraId="57DE9576">
      <w:pPr>
        <w:pageBreakBefore w:val="0"/>
        <w:widowControl/>
        <w:kinsoku/>
        <w:wordWrap/>
        <w:overflowPunct/>
        <w:topLinePunct w:val="0"/>
        <w:autoSpaceDE/>
        <w:autoSpaceDN/>
        <w:bidi w:val="0"/>
        <w:adjustRightInd/>
        <w:snapToGrid/>
        <w:spacing w:line="375" w:lineRule="auto"/>
        <w:jc w:val="left"/>
        <w:textAlignment w:val="auto"/>
        <w:rPr>
          <w:color w:val="auto"/>
          <w:sz w:val="28"/>
          <w:szCs w:val="28"/>
          <w:highlight w:val="none"/>
        </w:rPr>
      </w:pPr>
      <w:r>
        <w:rPr>
          <w:rFonts w:hint="eastAsia" w:ascii="宋体" w:hAnsi="宋体" w:eastAsia="宋体" w:cs="宋体"/>
          <w:b/>
          <w:bCs/>
          <w:szCs w:val="24"/>
          <w:lang w:val="en-US" w:eastAsia="zh-CN"/>
        </w:rPr>
        <w:br w:type="page"/>
      </w:r>
      <w:r>
        <w:rPr>
          <w:rFonts w:hint="eastAsia" w:ascii="宋体" w:hAnsi="宋体" w:eastAsia="宋体" w:cs="宋体"/>
          <w:b/>
          <w:bCs/>
          <w:szCs w:val="24"/>
          <w:lang w:val="en-US" w:eastAsia="zh-CN"/>
        </w:rPr>
        <w:t xml:space="preserve">                              </w:t>
      </w:r>
      <w:r>
        <w:rPr>
          <w:rFonts w:hint="eastAsia"/>
          <w:b/>
          <w:bCs/>
          <w:color w:val="auto"/>
          <w:sz w:val="28"/>
          <w:szCs w:val="28"/>
          <w:highlight w:val="none"/>
        </w:rPr>
        <w:t>第五章  评审方法与评审标准</w:t>
      </w:r>
      <w:bookmarkEnd w:id="168"/>
      <w:bookmarkEnd w:id="169"/>
    </w:p>
    <w:p w14:paraId="0190F84F">
      <w:pPr>
        <w:keepNext w:val="0"/>
        <w:keepLines w:val="0"/>
        <w:pageBreakBefore w:val="0"/>
        <w:widowControl w:val="0"/>
        <w:kinsoku/>
        <w:wordWrap/>
        <w:overflowPunct/>
        <w:topLinePunct w:val="0"/>
        <w:autoSpaceDE/>
        <w:autoSpaceDN/>
        <w:bidi w:val="0"/>
        <w:adjustRightInd/>
        <w:snapToGrid/>
        <w:spacing w:line="348" w:lineRule="auto"/>
        <w:ind w:left="0" w:firstLine="482"/>
        <w:textAlignment w:val="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一、定标原则</w:t>
      </w:r>
    </w:p>
    <w:p w14:paraId="1961BA14">
      <w:pPr>
        <w:pStyle w:val="208"/>
        <w:keepNext w:val="0"/>
        <w:keepLines w:val="0"/>
        <w:pageBreakBefore w:val="0"/>
        <w:widowControl w:val="0"/>
        <w:kinsoku/>
        <w:wordWrap/>
        <w:overflowPunct/>
        <w:topLinePunct w:val="0"/>
        <w:autoSpaceDE/>
        <w:autoSpaceDN/>
        <w:bidi w:val="0"/>
        <w:adjustRightInd/>
        <w:snapToGrid/>
        <w:spacing w:before="0" w:after="0" w:line="348" w:lineRule="auto"/>
        <w:ind w:left="0" w:firstLine="480"/>
        <w:textAlignment w:val="auto"/>
        <w:rPr>
          <w:rFonts w:hint="eastAsia" w:ascii="宋体" w:hAnsi="宋体" w:eastAsia="宋体" w:cs="宋体"/>
          <w:b w:val="0"/>
          <w:bCs w:val="0"/>
          <w:i w:val="0"/>
          <w:iCs w:val="0"/>
          <w:caps w:val="0"/>
          <w:color w:val="333333"/>
          <w:spacing w:val="0"/>
          <w:sz w:val="24"/>
          <w:szCs w:val="24"/>
          <w:shd w:val="clear" w:color="auto" w:fill="FFFFFF"/>
          <w:lang w:val="en-US" w:eastAsia="zh-CN" w:bidi="ar-SA"/>
        </w:rPr>
      </w:pPr>
      <w:r>
        <w:rPr>
          <w:rFonts w:hint="eastAsia" w:ascii="宋体" w:hAnsi="宋体" w:eastAsia="宋体" w:cs="宋体"/>
          <w:b w:val="0"/>
          <w:bCs w:val="0"/>
          <w:i w:val="0"/>
          <w:iCs w:val="0"/>
          <w:caps w:val="0"/>
          <w:color w:val="333333"/>
          <w:spacing w:val="0"/>
          <w:sz w:val="24"/>
          <w:szCs w:val="24"/>
          <w:shd w:val="clear" w:color="auto" w:fill="FFFFFF"/>
          <w:lang w:val="en-US" w:eastAsia="zh-CN" w:bidi="ar-SA"/>
        </w:rPr>
        <w:t>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0DBA50FE">
      <w:pPr>
        <w:pStyle w:val="27"/>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firstLine="482"/>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二、</w:t>
      </w:r>
      <w:r>
        <w:rPr>
          <w:rFonts w:hint="eastAsia" w:ascii="宋体" w:hAnsi="宋体" w:eastAsia="宋体" w:cs="宋体"/>
          <w:b/>
          <w:color w:val="auto"/>
          <w:sz w:val="24"/>
          <w:szCs w:val="24"/>
          <w:highlight w:val="none"/>
          <w:shd w:val="clear" w:color="auto" w:fill="auto"/>
        </w:rPr>
        <w:t>政府采购政策功能落实</w:t>
      </w:r>
    </w:p>
    <w:p w14:paraId="2B242BB9">
      <w:pPr>
        <w:pStyle w:val="27"/>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firstLine="48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1、小微型企业价格扣除</w:t>
      </w:r>
    </w:p>
    <w:p w14:paraId="531EA983">
      <w:pPr>
        <w:pStyle w:val="208"/>
        <w:keepNext w:val="0"/>
        <w:keepLines w:val="0"/>
        <w:pageBreakBefore w:val="0"/>
        <w:widowControl w:val="0"/>
        <w:kinsoku/>
        <w:wordWrap/>
        <w:overflowPunct/>
        <w:topLinePunct w:val="0"/>
        <w:autoSpaceDE/>
        <w:autoSpaceDN/>
        <w:bidi w:val="0"/>
        <w:adjustRightInd/>
        <w:snapToGrid/>
        <w:spacing w:before="0" w:after="0" w:line="348" w:lineRule="auto"/>
        <w:ind w:left="0" w:firstLine="48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（1）本项目专门面向中小企业采购，不再对小型和微型企业</w:t>
      </w:r>
      <w:r>
        <w:rPr>
          <w:rFonts w:hint="eastAsia" w:ascii="宋体" w:hAnsi="宋体" w:eastAsia="宋体" w:cs="宋体"/>
          <w:color w:val="auto"/>
          <w:sz w:val="24"/>
          <w:szCs w:val="24"/>
          <w:highlight w:val="none"/>
          <w:shd w:val="clear" w:color="auto" w:fill="auto"/>
          <w:lang w:val="en-US" w:eastAsia="zh-CN"/>
        </w:rPr>
        <w:t>报价</w:t>
      </w:r>
      <w:r>
        <w:rPr>
          <w:rFonts w:hint="eastAsia" w:ascii="宋体" w:hAnsi="宋体" w:eastAsia="宋体" w:cs="宋体"/>
          <w:color w:val="auto"/>
          <w:sz w:val="24"/>
          <w:szCs w:val="24"/>
          <w:highlight w:val="none"/>
          <w:shd w:val="clear" w:color="auto" w:fill="auto"/>
        </w:rPr>
        <w:t>给予价格扣除。</w:t>
      </w:r>
    </w:p>
    <w:p w14:paraId="49F2678D">
      <w:pPr>
        <w:pStyle w:val="27"/>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firstLine="48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（2）供应商需按照</w:t>
      </w:r>
      <w:r>
        <w:rPr>
          <w:rFonts w:hint="eastAsia" w:ascii="宋体" w:hAnsi="宋体" w:eastAsia="宋体" w:cs="宋体"/>
          <w:i w:val="0"/>
          <w:iCs w:val="0"/>
          <w:caps w:val="0"/>
          <w:color w:val="auto"/>
          <w:spacing w:val="0"/>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文件的要求提供相应的《</w:t>
      </w:r>
      <w:r>
        <w:rPr>
          <w:rFonts w:hint="eastAsia" w:ascii="宋体" w:hAnsi="宋体" w:eastAsia="宋体" w:cs="宋体"/>
          <w:color w:val="auto"/>
          <w:sz w:val="24"/>
          <w:szCs w:val="24"/>
          <w:highlight w:val="none"/>
          <w:lang w:val="en-US" w:eastAsia="zh-CN"/>
        </w:rPr>
        <w:t>中小</w:t>
      </w:r>
      <w:r>
        <w:rPr>
          <w:rFonts w:hint="eastAsia" w:ascii="宋体" w:hAnsi="宋体" w:eastAsia="宋体" w:cs="宋体"/>
          <w:color w:val="auto"/>
          <w:sz w:val="24"/>
          <w:szCs w:val="24"/>
          <w:highlight w:val="none"/>
        </w:rPr>
        <w:t>企业声明函</w:t>
      </w:r>
      <w:r>
        <w:rPr>
          <w:rFonts w:hint="eastAsia" w:ascii="宋体" w:hAnsi="宋体" w:eastAsia="宋体" w:cs="宋体"/>
          <w:color w:val="auto"/>
          <w:sz w:val="24"/>
          <w:szCs w:val="24"/>
          <w:highlight w:val="none"/>
          <w:shd w:val="clear" w:color="auto" w:fill="auto"/>
        </w:rPr>
        <w:t>》。</w:t>
      </w:r>
    </w:p>
    <w:p w14:paraId="1B45E244">
      <w:pPr>
        <w:pStyle w:val="27"/>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firstLine="48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（3）企业标准请参照《关于印发中小企业划型标准规定的通知》（工信部联企业</w:t>
      </w:r>
      <w:r>
        <w:rPr>
          <w:rFonts w:hint="eastAsia" w:ascii="宋体" w:hAnsi="宋体" w:eastAsia="宋体" w:cs="宋体"/>
          <w:color w:val="auto"/>
          <w:sz w:val="24"/>
          <w:szCs w:val="24"/>
          <w:highlight w:val="none"/>
          <w:shd w:val="clear" w:color="auto" w:fill="auto"/>
          <w:lang w:eastAsia="zh-CN"/>
        </w:rPr>
        <w:t>〔2011〕300号</w:t>
      </w:r>
      <w:r>
        <w:rPr>
          <w:rFonts w:hint="eastAsia" w:ascii="宋体" w:hAnsi="宋体" w:eastAsia="宋体" w:cs="宋体"/>
          <w:color w:val="auto"/>
          <w:sz w:val="24"/>
          <w:szCs w:val="24"/>
          <w:highlight w:val="none"/>
          <w:shd w:val="clear" w:color="auto" w:fill="auto"/>
        </w:rPr>
        <w:t>）文件规定自行填写。</w:t>
      </w:r>
    </w:p>
    <w:p w14:paraId="4D360983">
      <w:pPr>
        <w:pStyle w:val="27"/>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firstLine="48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2、残疾人福利单位价格扣除</w:t>
      </w:r>
    </w:p>
    <w:p w14:paraId="1A331F58">
      <w:pPr>
        <w:pStyle w:val="27"/>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firstLine="48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（1）本项目对残疾人福利性单位视同小型、微型企业。</w:t>
      </w:r>
    </w:p>
    <w:p w14:paraId="381CF9DB">
      <w:pPr>
        <w:pStyle w:val="27"/>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firstLine="48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（2）残疾人福利单位需按照</w:t>
      </w:r>
      <w:r>
        <w:rPr>
          <w:rFonts w:hint="eastAsia" w:ascii="宋体" w:hAnsi="宋体" w:eastAsia="宋体" w:cs="宋体"/>
          <w:i w:val="0"/>
          <w:iCs w:val="0"/>
          <w:caps w:val="0"/>
          <w:color w:val="auto"/>
          <w:spacing w:val="0"/>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文件的要求提供《残疾人福利性单位声明函》。</w:t>
      </w:r>
    </w:p>
    <w:p w14:paraId="66DD0F82">
      <w:pPr>
        <w:pStyle w:val="27"/>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firstLine="48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（3）残疾人福利单位标准请参照《关于促进残疾人就业政府采购政策的通知》（财库〔2017〕141号）。</w:t>
      </w:r>
    </w:p>
    <w:p w14:paraId="5B4C2318">
      <w:pPr>
        <w:pStyle w:val="27"/>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firstLine="48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3、监狱和戒毒企业价格扣除</w:t>
      </w:r>
    </w:p>
    <w:p w14:paraId="22B37849">
      <w:pPr>
        <w:pStyle w:val="27"/>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firstLine="48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（1）本项目对监狱和戒毒企业（简称监狱企业）视同小型、微型企业。</w:t>
      </w:r>
    </w:p>
    <w:p w14:paraId="2EC4D44E">
      <w:pPr>
        <w:pStyle w:val="27"/>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firstLine="48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（2）监狱企业参加政府采购活动时，需提供由省级以上监狱管理局、戒毒管理局(含新疆生产建设兵团)出具的属于监狱企业的证明文件。供应商如不提供上述证明文件，价格将不做相应扣除。</w:t>
      </w:r>
    </w:p>
    <w:p w14:paraId="0378F439">
      <w:pPr>
        <w:pStyle w:val="27"/>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firstLine="48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（3）监狱企业标准请参照《关于政府采购支持监狱企业发展有关问题的通知》（财库</w:t>
      </w:r>
      <w:r>
        <w:rPr>
          <w:rFonts w:hint="eastAsia" w:ascii="宋体" w:hAnsi="宋体" w:eastAsia="宋体" w:cs="宋体"/>
          <w:color w:val="auto"/>
          <w:sz w:val="24"/>
          <w:szCs w:val="24"/>
          <w:highlight w:val="none"/>
          <w:shd w:val="clear" w:color="auto" w:fill="auto"/>
          <w:lang w:eastAsia="zh-CN"/>
        </w:rPr>
        <w:t>〔2014〕68号</w:t>
      </w:r>
      <w:r>
        <w:rPr>
          <w:rFonts w:hint="eastAsia" w:ascii="宋体" w:hAnsi="宋体" w:eastAsia="宋体" w:cs="宋体"/>
          <w:color w:val="auto"/>
          <w:sz w:val="24"/>
          <w:szCs w:val="24"/>
          <w:highlight w:val="none"/>
          <w:shd w:val="clear" w:color="auto" w:fill="auto"/>
        </w:rPr>
        <w:t>）。</w:t>
      </w:r>
    </w:p>
    <w:p w14:paraId="3DDEF93D">
      <w:pPr>
        <w:pStyle w:val="27"/>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firstLine="48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4、残疾人福利单位、监狱企业属于小型、微型企业的，不重复享受政策。</w:t>
      </w:r>
    </w:p>
    <w:p w14:paraId="313AE18F">
      <w:pPr>
        <w:pStyle w:val="27"/>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firstLine="48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shd w:val="clear" w:color="auto" w:fill="auto"/>
        </w:rPr>
        <w:t>6%</w:t>
      </w:r>
      <w:r>
        <w:rPr>
          <w:rFonts w:hint="eastAsia" w:ascii="宋体" w:hAnsi="宋体" w:eastAsia="宋体" w:cs="宋体"/>
          <w:color w:val="auto"/>
          <w:sz w:val="24"/>
          <w:szCs w:val="24"/>
          <w:highlight w:val="none"/>
          <w:shd w:val="clear" w:color="auto" w:fill="auto"/>
        </w:rPr>
        <w:t>的价格扣除，用扣除后的价格参与评审。</w:t>
      </w:r>
    </w:p>
    <w:p w14:paraId="36E340C6">
      <w:pPr>
        <w:pStyle w:val="27"/>
        <w:keepNext w:val="0"/>
        <w:keepLines w:val="0"/>
        <w:pageBreakBefore w:val="0"/>
        <w:widowControl w:val="0"/>
        <w:kinsoku/>
        <w:wordWrap/>
        <w:overflowPunct/>
        <w:topLinePunct w:val="0"/>
        <w:autoSpaceDE/>
        <w:autoSpaceDN/>
        <w:bidi w:val="0"/>
        <w:adjustRightInd/>
        <w:snapToGrid/>
        <w:spacing w:beforeAutospacing="0" w:afterAutospacing="0" w:line="348" w:lineRule="auto"/>
        <w:ind w:left="0" w:firstLine="48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6、联合体各方均为小型、微型企业（残疾人福利单位、监狱企业）的，联合体享受</w:t>
      </w:r>
      <w:r>
        <w:rPr>
          <w:rFonts w:hint="eastAsia" w:ascii="宋体" w:hAnsi="宋体" w:eastAsia="宋体" w:cs="宋体"/>
          <w:color w:val="auto"/>
          <w:sz w:val="24"/>
          <w:szCs w:val="24"/>
          <w:highlight w:val="none"/>
          <w:u w:val="single"/>
          <w:shd w:val="clear" w:color="auto" w:fill="auto"/>
        </w:rPr>
        <w:t>20%</w:t>
      </w:r>
      <w:r>
        <w:rPr>
          <w:rFonts w:hint="eastAsia" w:ascii="宋体" w:hAnsi="宋体" w:eastAsia="宋体" w:cs="宋体"/>
          <w:color w:val="auto"/>
          <w:sz w:val="24"/>
          <w:szCs w:val="24"/>
          <w:highlight w:val="none"/>
          <w:shd w:val="clear" w:color="auto" w:fill="auto"/>
        </w:rPr>
        <w:t>价格扣除，用扣除后的价格参与评审。</w:t>
      </w:r>
    </w:p>
    <w:p w14:paraId="5AEEC7F7">
      <w:pPr>
        <w:keepNext w:val="0"/>
        <w:keepLines w:val="0"/>
        <w:pageBreakBefore w:val="0"/>
        <w:widowControl w:val="0"/>
        <w:kinsoku/>
        <w:wordWrap/>
        <w:overflowPunct/>
        <w:topLinePunct w:val="0"/>
        <w:autoSpaceDE/>
        <w:autoSpaceDN/>
        <w:bidi w:val="0"/>
        <w:adjustRightInd/>
        <w:snapToGrid/>
        <w:spacing w:line="348" w:lineRule="auto"/>
        <w:ind w:left="0" w:firstLine="48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7</w:t>
      </w:r>
      <w:r>
        <w:rPr>
          <w:rFonts w:hint="eastAsia" w:ascii="宋体" w:hAnsi="宋体" w:eastAsia="宋体" w:cs="宋体"/>
          <w:color w:val="auto"/>
          <w:sz w:val="24"/>
          <w:szCs w:val="24"/>
          <w:highlight w:val="none"/>
          <w:shd w:val="clear" w:color="auto" w:fill="auto"/>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其他条件相同情况下，应当优先采购节能产品、环境标志产品。</w:t>
      </w:r>
    </w:p>
    <w:p w14:paraId="601240E8">
      <w:pPr>
        <w:keepNext w:val="0"/>
        <w:keepLines w:val="0"/>
        <w:pageBreakBefore w:val="0"/>
        <w:widowControl w:val="0"/>
        <w:kinsoku/>
        <w:wordWrap/>
        <w:overflowPunct/>
        <w:topLinePunct w:val="0"/>
        <w:autoSpaceDE/>
        <w:autoSpaceDN/>
        <w:bidi w:val="0"/>
        <w:adjustRightInd/>
        <w:snapToGrid/>
        <w:spacing w:line="348" w:lineRule="auto"/>
        <w:textAlignment w:val="auto"/>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rPr>
        <w:t>二、评审方法与评审标准（100分 ）</w:t>
      </w:r>
    </w:p>
    <w:tbl>
      <w:tblPr>
        <w:tblStyle w:val="32"/>
        <w:tblW w:w="100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1362"/>
        <w:gridCol w:w="7935"/>
      </w:tblGrid>
      <w:tr w14:paraId="015B3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748" w:type="dxa"/>
            <w:tcBorders>
              <w:top w:val="single" w:color="auto" w:sz="4" w:space="0"/>
            </w:tcBorders>
            <w:noWrap/>
            <w:vAlign w:val="center"/>
          </w:tcPr>
          <w:p w14:paraId="2B0BF11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序号</w:t>
            </w:r>
          </w:p>
        </w:tc>
        <w:tc>
          <w:tcPr>
            <w:tcW w:w="1362" w:type="dxa"/>
            <w:tcBorders>
              <w:top w:val="single" w:color="auto" w:sz="4" w:space="0"/>
            </w:tcBorders>
            <w:noWrap/>
            <w:vAlign w:val="center"/>
          </w:tcPr>
          <w:p w14:paraId="711EA0B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评分项目</w:t>
            </w:r>
          </w:p>
        </w:tc>
        <w:tc>
          <w:tcPr>
            <w:tcW w:w="7935" w:type="dxa"/>
            <w:tcBorders>
              <w:top w:val="single" w:color="auto" w:sz="4" w:space="0"/>
            </w:tcBorders>
            <w:noWrap/>
            <w:vAlign w:val="center"/>
          </w:tcPr>
          <w:p w14:paraId="312918B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3422" w:firstLineChars="1426"/>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评分细则</w:t>
            </w:r>
          </w:p>
        </w:tc>
      </w:tr>
      <w:tr w14:paraId="2A0A0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32" w:hRule="atLeast"/>
          <w:jc w:val="center"/>
        </w:trPr>
        <w:tc>
          <w:tcPr>
            <w:tcW w:w="748" w:type="dxa"/>
            <w:noWrap/>
            <w:vAlign w:val="center"/>
          </w:tcPr>
          <w:p w14:paraId="4AB1EC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240" w:firstLineChars="1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p>
        </w:tc>
        <w:tc>
          <w:tcPr>
            <w:tcW w:w="1362" w:type="dxa"/>
            <w:noWrap/>
            <w:vAlign w:val="center"/>
          </w:tcPr>
          <w:p w14:paraId="02FB45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投标报价</w:t>
            </w:r>
          </w:p>
          <w:p w14:paraId="3AE403C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20</w:t>
            </w:r>
            <w:r>
              <w:rPr>
                <w:rFonts w:hint="eastAsia" w:ascii="宋体" w:hAnsi="宋体" w:eastAsia="宋体" w:cs="宋体"/>
                <w:color w:val="auto"/>
                <w:sz w:val="24"/>
                <w:szCs w:val="24"/>
                <w:highlight w:val="none"/>
                <w:shd w:val="clear" w:color="auto" w:fill="auto"/>
              </w:rPr>
              <w:t>分)</w:t>
            </w:r>
          </w:p>
        </w:tc>
        <w:tc>
          <w:tcPr>
            <w:tcW w:w="7935" w:type="dxa"/>
            <w:noWrap/>
            <w:vAlign w:val="center"/>
          </w:tcPr>
          <w:p w14:paraId="68084AC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采用低价优先法计算，即满足招标文件要求的有效最低投标价格为评标基准价，其价格分为满分</w:t>
            </w:r>
            <w:r>
              <w:rPr>
                <w:rFonts w:hint="eastAsia" w:ascii="宋体" w:hAnsi="宋体" w:eastAsia="宋体" w:cs="宋体"/>
                <w:color w:val="auto"/>
                <w:sz w:val="24"/>
                <w:szCs w:val="24"/>
                <w:highlight w:val="none"/>
                <w:shd w:val="clear" w:color="auto" w:fill="auto"/>
                <w:lang w:val="en-US" w:eastAsia="zh-CN"/>
              </w:rPr>
              <w:t>20</w:t>
            </w:r>
            <w:r>
              <w:rPr>
                <w:rFonts w:hint="eastAsia" w:ascii="宋体" w:hAnsi="宋体" w:eastAsia="宋体" w:cs="宋体"/>
                <w:color w:val="auto"/>
                <w:sz w:val="24"/>
                <w:szCs w:val="24"/>
                <w:highlight w:val="none"/>
                <w:shd w:val="clear" w:color="auto" w:fill="auto"/>
              </w:rPr>
              <w:t>分，其他投标单位的价格分统一按照下列公式计算:投标报价得分=(评标基准价/投标报价)x</w:t>
            </w:r>
            <w:r>
              <w:rPr>
                <w:rFonts w:hint="eastAsia" w:ascii="宋体" w:hAnsi="宋体" w:eastAsia="宋体" w:cs="宋体"/>
                <w:color w:val="auto"/>
                <w:sz w:val="24"/>
                <w:szCs w:val="24"/>
                <w:highlight w:val="none"/>
                <w:shd w:val="clear" w:color="auto" w:fill="auto"/>
                <w:lang w:val="en-US" w:eastAsia="zh-CN"/>
              </w:rPr>
              <w:t>20</w:t>
            </w:r>
            <w:r>
              <w:rPr>
                <w:rFonts w:hint="eastAsia" w:ascii="宋体" w:hAnsi="宋体" w:eastAsia="宋体" w:cs="宋体"/>
                <w:color w:val="auto"/>
                <w:sz w:val="24"/>
                <w:szCs w:val="24"/>
                <w:highlight w:val="none"/>
                <w:shd w:val="clear" w:color="auto" w:fill="auto"/>
              </w:rPr>
              <w:t>。价格分值小数点后保留两位小数，第三位不论大小一律不计。</w:t>
            </w:r>
          </w:p>
        </w:tc>
      </w:tr>
      <w:tr w14:paraId="4973E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748" w:type="dxa"/>
            <w:noWrap/>
            <w:vAlign w:val="center"/>
          </w:tcPr>
          <w:p w14:paraId="1CE07A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jc w:val="both"/>
              <w:textAlignment w:val="auto"/>
              <w:rPr>
                <w:rFonts w:hint="eastAsia" w:ascii="宋体" w:hAnsi="宋体" w:eastAsia="宋体" w:cs="宋体"/>
                <w:color w:val="auto"/>
                <w:sz w:val="24"/>
                <w:szCs w:val="24"/>
                <w:highlight w:val="none"/>
                <w:shd w:val="clear" w:color="auto" w:fill="auto"/>
              </w:rPr>
            </w:pPr>
          </w:p>
          <w:p w14:paraId="1587EAF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jc w:val="both"/>
              <w:textAlignment w:val="auto"/>
              <w:rPr>
                <w:rFonts w:hint="eastAsia" w:ascii="宋体" w:hAnsi="宋体" w:eastAsia="宋体" w:cs="宋体"/>
                <w:color w:val="auto"/>
                <w:sz w:val="24"/>
                <w:szCs w:val="24"/>
                <w:highlight w:val="none"/>
                <w:shd w:val="clear" w:color="auto" w:fill="auto"/>
              </w:rPr>
            </w:pPr>
          </w:p>
          <w:p w14:paraId="69DD852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jc w:val="both"/>
              <w:textAlignment w:val="auto"/>
              <w:rPr>
                <w:rFonts w:hint="eastAsia" w:ascii="宋体" w:hAnsi="宋体" w:eastAsia="宋体" w:cs="宋体"/>
                <w:color w:val="auto"/>
                <w:sz w:val="24"/>
                <w:szCs w:val="24"/>
                <w:highlight w:val="none"/>
                <w:shd w:val="clear" w:color="auto" w:fill="auto"/>
              </w:rPr>
            </w:pPr>
          </w:p>
          <w:p w14:paraId="0FC0626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jc w:val="both"/>
              <w:textAlignment w:val="auto"/>
              <w:rPr>
                <w:rFonts w:hint="eastAsia" w:ascii="宋体" w:hAnsi="宋体" w:eastAsia="宋体" w:cs="宋体"/>
                <w:color w:val="auto"/>
                <w:sz w:val="24"/>
                <w:szCs w:val="24"/>
                <w:highlight w:val="none"/>
                <w:shd w:val="clear" w:color="auto" w:fill="auto"/>
              </w:rPr>
            </w:pPr>
          </w:p>
          <w:p w14:paraId="48FD1E9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jc w:val="both"/>
              <w:textAlignment w:val="auto"/>
              <w:rPr>
                <w:rFonts w:hint="eastAsia" w:ascii="宋体" w:hAnsi="宋体" w:eastAsia="宋体" w:cs="宋体"/>
                <w:color w:val="auto"/>
                <w:sz w:val="24"/>
                <w:szCs w:val="24"/>
                <w:highlight w:val="none"/>
                <w:shd w:val="clear" w:color="auto" w:fill="auto"/>
              </w:rPr>
            </w:pPr>
          </w:p>
          <w:p w14:paraId="720BA56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jc w:val="both"/>
              <w:textAlignment w:val="auto"/>
              <w:rPr>
                <w:rFonts w:hint="eastAsia" w:ascii="宋体" w:hAnsi="宋体" w:eastAsia="宋体" w:cs="宋体"/>
                <w:color w:val="auto"/>
                <w:sz w:val="24"/>
                <w:szCs w:val="24"/>
                <w:highlight w:val="none"/>
                <w:shd w:val="clear" w:color="auto" w:fill="auto"/>
              </w:rPr>
            </w:pPr>
          </w:p>
          <w:p w14:paraId="5F05A25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jc w:val="both"/>
              <w:textAlignment w:val="auto"/>
              <w:rPr>
                <w:rFonts w:hint="eastAsia" w:ascii="宋体" w:hAnsi="宋体" w:eastAsia="宋体" w:cs="宋体"/>
                <w:color w:val="auto"/>
                <w:sz w:val="24"/>
                <w:szCs w:val="24"/>
                <w:highlight w:val="none"/>
                <w:shd w:val="clear" w:color="auto" w:fill="auto"/>
              </w:rPr>
            </w:pPr>
          </w:p>
          <w:p w14:paraId="44C6F6B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jc w:val="both"/>
              <w:textAlignment w:val="auto"/>
              <w:rPr>
                <w:rFonts w:hint="eastAsia" w:ascii="宋体" w:hAnsi="宋体" w:eastAsia="宋体" w:cs="宋体"/>
                <w:color w:val="auto"/>
                <w:sz w:val="24"/>
                <w:szCs w:val="24"/>
                <w:highlight w:val="none"/>
                <w:shd w:val="clear" w:color="auto" w:fill="auto"/>
              </w:rPr>
            </w:pPr>
          </w:p>
          <w:p w14:paraId="2258C6D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jc w:val="both"/>
              <w:textAlignment w:val="auto"/>
              <w:rPr>
                <w:rFonts w:hint="eastAsia" w:ascii="宋体" w:hAnsi="宋体" w:eastAsia="宋体" w:cs="宋体"/>
                <w:color w:val="auto"/>
                <w:sz w:val="24"/>
                <w:szCs w:val="24"/>
                <w:highlight w:val="none"/>
                <w:shd w:val="clear" w:color="auto" w:fill="auto"/>
              </w:rPr>
            </w:pPr>
          </w:p>
          <w:p w14:paraId="0EF0D1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jc w:val="both"/>
              <w:textAlignment w:val="auto"/>
              <w:rPr>
                <w:rFonts w:hint="eastAsia" w:ascii="宋体" w:hAnsi="宋体" w:eastAsia="宋体" w:cs="宋体"/>
                <w:color w:val="auto"/>
                <w:sz w:val="24"/>
                <w:szCs w:val="24"/>
                <w:highlight w:val="none"/>
                <w:shd w:val="clear" w:color="auto" w:fill="auto"/>
              </w:rPr>
            </w:pPr>
          </w:p>
          <w:p w14:paraId="060F4BB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jc w:val="both"/>
              <w:textAlignment w:val="auto"/>
              <w:rPr>
                <w:rFonts w:hint="eastAsia" w:ascii="宋体" w:hAnsi="宋体" w:eastAsia="宋体" w:cs="宋体"/>
                <w:color w:val="auto"/>
                <w:sz w:val="24"/>
                <w:szCs w:val="24"/>
                <w:highlight w:val="none"/>
                <w:shd w:val="clear" w:color="auto" w:fill="auto"/>
              </w:rPr>
            </w:pPr>
          </w:p>
          <w:p w14:paraId="153049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jc w:val="both"/>
              <w:textAlignment w:val="auto"/>
              <w:rPr>
                <w:rFonts w:hint="eastAsia" w:ascii="宋体" w:hAnsi="宋体" w:eastAsia="宋体" w:cs="宋体"/>
                <w:color w:val="auto"/>
                <w:sz w:val="24"/>
                <w:szCs w:val="24"/>
                <w:highlight w:val="none"/>
                <w:shd w:val="clear" w:color="auto" w:fill="auto"/>
              </w:rPr>
            </w:pPr>
          </w:p>
          <w:p w14:paraId="238598A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240" w:firstLineChars="1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p>
        </w:tc>
        <w:tc>
          <w:tcPr>
            <w:tcW w:w="1362" w:type="dxa"/>
            <w:noWrap/>
            <w:vAlign w:val="center"/>
          </w:tcPr>
          <w:p w14:paraId="30FDAED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rPr>
            </w:pPr>
          </w:p>
          <w:p w14:paraId="4ECE7E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rPr>
            </w:pPr>
          </w:p>
          <w:p w14:paraId="3A3A494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rPr>
            </w:pPr>
          </w:p>
          <w:p w14:paraId="2AE9724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rPr>
            </w:pPr>
          </w:p>
          <w:p w14:paraId="23A66BA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rPr>
            </w:pPr>
          </w:p>
          <w:p w14:paraId="198C31E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rPr>
            </w:pPr>
          </w:p>
          <w:p w14:paraId="3D5ED34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rPr>
            </w:pPr>
          </w:p>
          <w:p w14:paraId="6558F3F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rPr>
            </w:pPr>
          </w:p>
          <w:p w14:paraId="726FBBF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rPr>
            </w:pPr>
          </w:p>
          <w:p w14:paraId="45FDF39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rPr>
            </w:pPr>
          </w:p>
          <w:p w14:paraId="48503AE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rPr>
            </w:pPr>
          </w:p>
          <w:p w14:paraId="6CDC682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rPr>
            </w:pPr>
          </w:p>
          <w:p w14:paraId="2B0EE81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rPr>
            </w:pPr>
          </w:p>
          <w:p w14:paraId="32B686B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项目实施方案（</w:t>
            </w:r>
            <w:r>
              <w:rPr>
                <w:rFonts w:hint="eastAsia" w:ascii="宋体" w:hAnsi="宋体" w:eastAsia="宋体" w:cs="宋体"/>
                <w:color w:val="auto"/>
                <w:sz w:val="24"/>
                <w:szCs w:val="24"/>
                <w:highlight w:val="none"/>
                <w:shd w:val="clear" w:color="auto" w:fill="auto"/>
                <w:lang w:val="en-US" w:eastAsia="zh-CN"/>
              </w:rPr>
              <w:t>35</w:t>
            </w:r>
            <w:r>
              <w:rPr>
                <w:rFonts w:hint="eastAsia" w:ascii="宋体" w:hAnsi="宋体" w:eastAsia="宋体" w:cs="宋体"/>
                <w:color w:val="auto"/>
                <w:sz w:val="24"/>
                <w:szCs w:val="24"/>
                <w:highlight w:val="none"/>
                <w:shd w:val="clear" w:color="auto" w:fill="auto"/>
              </w:rPr>
              <w:t>分）</w:t>
            </w:r>
          </w:p>
        </w:tc>
        <w:tc>
          <w:tcPr>
            <w:tcW w:w="7935" w:type="dxa"/>
            <w:noWrap/>
            <w:vAlign w:val="center"/>
          </w:tcPr>
          <w:p w14:paraId="5F502F5B">
            <w:pPr>
              <w:keepNext w:val="0"/>
              <w:keepLines w:val="0"/>
              <w:pageBreakBefore w:val="0"/>
              <w:widowControl w:val="0"/>
              <w:numPr>
                <w:ilvl w:val="0"/>
                <w:numId w:val="0"/>
              </w:numPr>
              <w:suppressLineNumbers w:val="0"/>
              <w:kinsoku/>
              <w:wordWrap w:val="0"/>
              <w:overflowPunct/>
              <w:topLinePunct/>
              <w:autoSpaceDE/>
              <w:autoSpaceDN/>
              <w:bidi w:val="0"/>
              <w:spacing w:before="0" w:beforeAutospacing="0" w:after="0" w:afterAutospacing="0" w:line="320" w:lineRule="exact"/>
              <w:ind w:left="0" w:right="0"/>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rPr>
              <w:t>1、运维管理方案:投标人根据项目建设需求，建立相应的保障制度，包括:人员岗位职责、水站</w:t>
            </w:r>
            <w:r>
              <w:rPr>
                <w:rFonts w:hint="eastAsia" w:ascii="宋体" w:hAnsi="宋体" w:eastAsia="宋体" w:cs="宋体"/>
                <w:color w:val="auto"/>
                <w:sz w:val="24"/>
                <w:szCs w:val="24"/>
                <w:highlight w:val="none"/>
                <w:shd w:val="clear" w:color="auto" w:fill="auto"/>
                <w:lang w:eastAsia="zh-CN"/>
              </w:rPr>
              <w:t>、气站和微站</w:t>
            </w:r>
            <w:r>
              <w:rPr>
                <w:rFonts w:hint="eastAsia" w:ascii="宋体" w:hAnsi="宋体" w:eastAsia="宋体" w:cs="宋体"/>
                <w:color w:val="auto"/>
                <w:sz w:val="24"/>
                <w:szCs w:val="24"/>
                <w:highlight w:val="none"/>
                <w:shd w:val="clear" w:color="auto" w:fill="auto"/>
              </w:rPr>
              <w:t>资产管理制度、运行管理制度、质量保障制度、数据及台账管理制度、考核制度</w:t>
            </w:r>
            <w:r>
              <w:rPr>
                <w:rFonts w:hint="eastAsia" w:ascii="宋体" w:hAnsi="宋体" w:eastAsia="宋体" w:cs="宋体"/>
                <w:color w:val="auto"/>
                <w:sz w:val="24"/>
                <w:szCs w:val="24"/>
                <w:highlight w:val="none"/>
                <w:shd w:val="clear" w:color="auto" w:fill="auto"/>
                <w:lang w:val="en-US" w:eastAsia="zh-CN"/>
              </w:rPr>
              <w:t>等方案</w:t>
            </w:r>
            <w:r>
              <w:rPr>
                <w:rFonts w:hint="eastAsia" w:ascii="宋体" w:hAnsi="宋体" w:eastAsia="宋体" w:cs="宋体"/>
                <w:color w:val="auto"/>
                <w:sz w:val="24"/>
                <w:szCs w:val="24"/>
                <w:highlight w:val="none"/>
                <w:shd w:val="clear" w:color="auto" w:fill="auto"/>
              </w:rPr>
              <w:t>。</w:t>
            </w:r>
            <w:r>
              <w:rPr>
                <w:rFonts w:hint="eastAsia" w:ascii="宋体" w:hAnsi="宋体" w:eastAsia="宋体" w:cs="Times New Roman"/>
                <w:color w:val="auto"/>
                <w:sz w:val="24"/>
                <w:szCs w:val="24"/>
                <w:highlight w:val="none"/>
                <w:lang w:val="en-US" w:eastAsia="zh-CN" w:bidi="ar-SA"/>
              </w:rPr>
              <w:t>由评委根据投标人提供方案的完整性、针对性、可操作性等情况进行综合评分：</w:t>
            </w:r>
          </w:p>
          <w:p w14:paraId="1F153E03">
            <w:pPr>
              <w:keepNext w:val="0"/>
              <w:keepLines w:val="0"/>
              <w:pageBreakBefore w:val="0"/>
              <w:widowControl w:val="0"/>
              <w:numPr>
                <w:ilvl w:val="0"/>
                <w:numId w:val="0"/>
              </w:numPr>
              <w:suppressLineNumbers w:val="0"/>
              <w:kinsoku/>
              <w:wordWrap w:val="0"/>
              <w:overflowPunct/>
              <w:topLinePunct/>
              <w:autoSpaceDE/>
              <w:autoSpaceDN/>
              <w:bidi w:val="0"/>
              <w:spacing w:before="0" w:beforeAutospacing="0" w:after="0" w:afterAutospacing="0" w:line="320" w:lineRule="exact"/>
              <w:ind w:left="0" w:right="0"/>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方案内容全面，切合实际，可操作性强，完全满足项目需求的得7分；</w:t>
            </w:r>
          </w:p>
          <w:p w14:paraId="65F4AD4E">
            <w:pPr>
              <w:keepNext w:val="0"/>
              <w:keepLines w:val="0"/>
              <w:pageBreakBefore w:val="0"/>
              <w:widowControl w:val="0"/>
              <w:numPr>
                <w:ilvl w:val="0"/>
                <w:numId w:val="0"/>
              </w:numPr>
              <w:suppressLineNumbers w:val="0"/>
              <w:kinsoku/>
              <w:wordWrap w:val="0"/>
              <w:overflowPunct/>
              <w:topLinePunct/>
              <w:autoSpaceDE/>
              <w:autoSpaceDN/>
              <w:bidi w:val="0"/>
              <w:spacing w:before="0" w:beforeAutospacing="0" w:after="0" w:afterAutospacing="0" w:line="320" w:lineRule="exact"/>
              <w:ind w:left="0" w:right="0"/>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每有一项内容缺失的扣2分；</w:t>
            </w:r>
          </w:p>
          <w:p w14:paraId="049BDC33">
            <w:pPr>
              <w:keepNext w:val="0"/>
              <w:keepLines w:val="0"/>
              <w:pageBreakBefore w:val="0"/>
              <w:widowControl w:val="0"/>
              <w:numPr>
                <w:ilvl w:val="0"/>
                <w:numId w:val="0"/>
              </w:numPr>
              <w:suppressLineNumbers w:val="0"/>
              <w:kinsoku/>
              <w:wordWrap w:val="0"/>
              <w:overflowPunct/>
              <w:topLinePunct/>
              <w:autoSpaceDE/>
              <w:autoSpaceDN/>
              <w:bidi w:val="0"/>
              <w:spacing w:before="0" w:beforeAutospacing="0" w:after="0" w:afterAutospacing="0" w:line="320" w:lineRule="exact"/>
              <w:ind w:left="0" w:right="0"/>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每有一处内容存在缺陷或不满足要求的扣0.5分，扣完为止；</w:t>
            </w:r>
          </w:p>
          <w:p w14:paraId="1F8F2422">
            <w:pPr>
              <w:keepNext w:val="0"/>
              <w:keepLines w:val="0"/>
              <w:pageBreakBefore w:val="0"/>
              <w:widowControl w:val="0"/>
              <w:numPr>
                <w:ilvl w:val="0"/>
                <w:numId w:val="0"/>
              </w:numPr>
              <w:suppressLineNumbers w:val="0"/>
              <w:kinsoku/>
              <w:wordWrap w:val="0"/>
              <w:overflowPunct/>
              <w:topLinePunct/>
              <w:autoSpaceDE/>
              <w:autoSpaceDN/>
              <w:bidi w:val="0"/>
              <w:spacing w:before="0" w:beforeAutospacing="0" w:after="0" w:afterAutospacing="0" w:line="320" w:lineRule="exact"/>
              <w:ind w:left="0" w:right="0"/>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未提供方案不得分。</w:t>
            </w:r>
          </w:p>
          <w:p w14:paraId="7376195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rPr>
              <w:t>2、日常运维方案:投标人提供满足项目需求的日常运维方案，包括:日常维护内容、</w:t>
            </w:r>
            <w:r>
              <w:rPr>
                <w:rFonts w:hint="eastAsia" w:ascii="宋体" w:hAnsi="宋体" w:eastAsia="宋体" w:cs="宋体"/>
                <w:color w:val="auto"/>
                <w:sz w:val="24"/>
                <w:szCs w:val="24"/>
                <w:highlight w:val="none"/>
                <w:shd w:val="clear" w:color="auto" w:fill="auto"/>
                <w:lang w:eastAsia="zh-CN"/>
              </w:rPr>
              <w:t>制定监测设备操作规程、制定规章制度、故障维护、</w:t>
            </w:r>
            <w:r>
              <w:rPr>
                <w:rFonts w:hint="eastAsia" w:ascii="宋体" w:hAnsi="宋体" w:eastAsia="宋体" w:cs="宋体"/>
                <w:color w:val="auto"/>
                <w:sz w:val="24"/>
                <w:szCs w:val="24"/>
                <w:highlight w:val="none"/>
                <w:shd w:val="clear" w:color="auto" w:fill="auto"/>
              </w:rPr>
              <w:t>维护频次、废液收集处置、耗材和备用配件供应、常见故障处理流程及相关台账资料的管理等。</w:t>
            </w:r>
            <w:r>
              <w:rPr>
                <w:rFonts w:hint="eastAsia" w:ascii="宋体" w:hAnsi="宋体" w:eastAsia="宋体" w:cs="宋体"/>
                <w:color w:val="auto"/>
                <w:sz w:val="24"/>
                <w:szCs w:val="24"/>
                <w:highlight w:val="none"/>
                <w:shd w:val="clear" w:color="auto" w:fill="auto"/>
                <w:lang w:val="en-US" w:eastAsia="zh-CN"/>
              </w:rPr>
              <w:t>由评委根据投标人提供方案的完整性、针对性、可操作性等情况进行综合评分：</w:t>
            </w:r>
          </w:p>
          <w:p w14:paraId="2BD23B41">
            <w:pPr>
              <w:keepNext w:val="0"/>
              <w:keepLines w:val="0"/>
              <w:pageBreakBefore w:val="0"/>
              <w:widowControl w:val="0"/>
              <w:numPr>
                <w:ilvl w:val="0"/>
                <w:numId w:val="0"/>
              </w:numPr>
              <w:suppressLineNumbers w:val="0"/>
              <w:kinsoku/>
              <w:wordWrap w:val="0"/>
              <w:overflowPunct/>
              <w:topLinePunct/>
              <w:autoSpaceDE/>
              <w:autoSpaceDN/>
              <w:bidi w:val="0"/>
              <w:spacing w:before="0" w:beforeAutospacing="0" w:after="0" w:afterAutospacing="0" w:line="320" w:lineRule="exact"/>
              <w:ind w:left="0" w:right="0"/>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方案内容全面，切合实际，可操作性强，完全满足项目需求的得7分；</w:t>
            </w:r>
          </w:p>
          <w:p w14:paraId="5BA25D74">
            <w:pPr>
              <w:keepNext w:val="0"/>
              <w:keepLines w:val="0"/>
              <w:pageBreakBefore w:val="0"/>
              <w:widowControl w:val="0"/>
              <w:numPr>
                <w:ilvl w:val="0"/>
                <w:numId w:val="0"/>
              </w:numPr>
              <w:suppressLineNumbers w:val="0"/>
              <w:kinsoku/>
              <w:wordWrap w:val="0"/>
              <w:overflowPunct/>
              <w:topLinePunct/>
              <w:autoSpaceDE/>
              <w:autoSpaceDN/>
              <w:bidi w:val="0"/>
              <w:spacing w:before="0" w:beforeAutospacing="0" w:after="0" w:afterAutospacing="0" w:line="320" w:lineRule="exact"/>
              <w:ind w:left="0" w:right="0"/>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每有一项内容缺失的扣2分；</w:t>
            </w:r>
          </w:p>
          <w:p w14:paraId="1DDA795B">
            <w:pPr>
              <w:keepNext w:val="0"/>
              <w:keepLines w:val="0"/>
              <w:pageBreakBefore w:val="0"/>
              <w:widowControl w:val="0"/>
              <w:numPr>
                <w:ilvl w:val="0"/>
                <w:numId w:val="0"/>
              </w:numPr>
              <w:suppressLineNumbers w:val="0"/>
              <w:kinsoku/>
              <w:wordWrap w:val="0"/>
              <w:overflowPunct/>
              <w:topLinePunct/>
              <w:autoSpaceDE/>
              <w:autoSpaceDN/>
              <w:bidi w:val="0"/>
              <w:spacing w:before="0" w:beforeAutospacing="0" w:after="0" w:afterAutospacing="0" w:line="320" w:lineRule="exact"/>
              <w:ind w:left="0" w:right="0"/>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每有一处内容存在缺陷或不满足要求的扣0.5分，扣完为止；</w:t>
            </w:r>
          </w:p>
          <w:p w14:paraId="3DE6063C">
            <w:pPr>
              <w:keepNext w:val="0"/>
              <w:keepLines w:val="0"/>
              <w:pageBreakBefore w:val="0"/>
              <w:widowControl w:val="0"/>
              <w:numPr>
                <w:ilvl w:val="0"/>
                <w:numId w:val="0"/>
              </w:numPr>
              <w:suppressLineNumbers w:val="0"/>
              <w:kinsoku/>
              <w:wordWrap w:val="0"/>
              <w:overflowPunct/>
              <w:topLinePunct/>
              <w:autoSpaceDE/>
              <w:autoSpaceDN/>
              <w:bidi w:val="0"/>
              <w:spacing w:before="0" w:beforeAutospacing="0" w:after="0" w:afterAutospacing="0" w:line="320" w:lineRule="exact"/>
              <w:ind w:left="0" w:right="0"/>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未提供方案不得分。</w:t>
            </w:r>
          </w:p>
          <w:p w14:paraId="6488FA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rPr>
              <w:t>3、质控方案:投标人提供满足项目需求的质控方案，包括:质控计划</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质控措施的实施与要求</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运维质控技术培训</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质量监督措施等。</w:t>
            </w:r>
            <w:r>
              <w:rPr>
                <w:rFonts w:hint="eastAsia" w:ascii="宋体" w:hAnsi="宋体" w:eastAsia="宋体" w:cs="Times New Roman"/>
                <w:color w:val="auto"/>
                <w:sz w:val="24"/>
                <w:szCs w:val="24"/>
                <w:highlight w:val="none"/>
                <w:lang w:val="en-US" w:eastAsia="zh-CN" w:bidi="ar-SA"/>
              </w:rPr>
              <w:t>由评委根据投标人提供方案的完整性、针对性、可操作性等情况进行综合评分：</w:t>
            </w:r>
          </w:p>
          <w:p w14:paraId="2F402939">
            <w:pPr>
              <w:keepNext w:val="0"/>
              <w:keepLines w:val="0"/>
              <w:pageBreakBefore w:val="0"/>
              <w:widowControl w:val="0"/>
              <w:numPr>
                <w:ilvl w:val="0"/>
                <w:numId w:val="0"/>
              </w:numPr>
              <w:suppressLineNumbers w:val="0"/>
              <w:kinsoku/>
              <w:wordWrap w:val="0"/>
              <w:overflowPunct/>
              <w:topLinePunct/>
              <w:autoSpaceDE/>
              <w:autoSpaceDN/>
              <w:bidi w:val="0"/>
              <w:spacing w:before="0" w:beforeAutospacing="0" w:after="0" w:afterAutospacing="0" w:line="320" w:lineRule="exact"/>
              <w:ind w:left="0" w:right="0"/>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方案内容全面，切合实际，可操作性强，完全满足项目需求的得7分；</w:t>
            </w:r>
          </w:p>
          <w:p w14:paraId="66FD5444">
            <w:pPr>
              <w:keepNext w:val="0"/>
              <w:keepLines w:val="0"/>
              <w:pageBreakBefore w:val="0"/>
              <w:widowControl w:val="0"/>
              <w:numPr>
                <w:ilvl w:val="0"/>
                <w:numId w:val="0"/>
              </w:numPr>
              <w:suppressLineNumbers w:val="0"/>
              <w:kinsoku/>
              <w:wordWrap w:val="0"/>
              <w:overflowPunct/>
              <w:topLinePunct/>
              <w:autoSpaceDE/>
              <w:autoSpaceDN/>
              <w:bidi w:val="0"/>
              <w:spacing w:before="0" w:beforeAutospacing="0" w:after="0" w:afterAutospacing="0" w:line="320" w:lineRule="exact"/>
              <w:ind w:left="0" w:right="0"/>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每有一项内容缺失的扣2分；</w:t>
            </w:r>
          </w:p>
          <w:p w14:paraId="140F92F6">
            <w:pPr>
              <w:keepNext w:val="0"/>
              <w:keepLines w:val="0"/>
              <w:pageBreakBefore w:val="0"/>
              <w:widowControl w:val="0"/>
              <w:numPr>
                <w:ilvl w:val="0"/>
                <w:numId w:val="0"/>
              </w:numPr>
              <w:suppressLineNumbers w:val="0"/>
              <w:kinsoku/>
              <w:wordWrap w:val="0"/>
              <w:overflowPunct/>
              <w:topLinePunct/>
              <w:autoSpaceDE/>
              <w:autoSpaceDN/>
              <w:bidi w:val="0"/>
              <w:spacing w:before="0" w:beforeAutospacing="0" w:after="0" w:afterAutospacing="0" w:line="320" w:lineRule="exact"/>
              <w:ind w:left="0" w:right="0"/>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每有一处内容存在缺陷或不满足要求的扣0.5分，扣完为止；</w:t>
            </w:r>
          </w:p>
          <w:p w14:paraId="576B2473">
            <w:pPr>
              <w:keepNext w:val="0"/>
              <w:keepLines w:val="0"/>
              <w:pageBreakBefore w:val="0"/>
              <w:widowControl w:val="0"/>
              <w:numPr>
                <w:ilvl w:val="0"/>
                <w:numId w:val="0"/>
              </w:numPr>
              <w:suppressLineNumbers w:val="0"/>
              <w:kinsoku/>
              <w:wordWrap w:val="0"/>
              <w:overflowPunct/>
              <w:topLinePunct/>
              <w:autoSpaceDE/>
              <w:autoSpaceDN/>
              <w:bidi w:val="0"/>
              <w:spacing w:before="0" w:beforeAutospacing="0" w:after="0" w:afterAutospacing="0" w:line="320" w:lineRule="exact"/>
              <w:ind w:left="0" w:right="0"/>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未提供方案不得分。</w:t>
            </w:r>
          </w:p>
          <w:p w14:paraId="0FA4B689">
            <w:pPr>
              <w:keepNext w:val="0"/>
              <w:keepLines w:val="0"/>
              <w:pageBreakBefore w:val="0"/>
              <w:widowControl w:val="0"/>
              <w:numPr>
                <w:ilvl w:val="0"/>
                <w:numId w:val="3"/>
              </w:numPr>
              <w:suppressLineNumbers w:val="0"/>
              <w:kinsoku/>
              <w:wordWrap w:val="0"/>
              <w:overflowPunct/>
              <w:topLinePunct/>
              <w:autoSpaceDE/>
              <w:autoSpaceDN/>
              <w:bidi w:val="0"/>
              <w:spacing w:before="0" w:beforeAutospacing="0" w:after="0" w:afterAutospacing="0" w:line="320" w:lineRule="exact"/>
              <w:ind w:left="0" w:right="0"/>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rPr>
              <w:t>运维应急预案:投标人提供满足项目需求的运维应急方案,包括:突发性水质</w:t>
            </w:r>
            <w:r>
              <w:rPr>
                <w:rFonts w:hint="eastAsia" w:ascii="宋体" w:hAnsi="宋体" w:eastAsia="宋体" w:cs="宋体"/>
                <w:color w:val="auto"/>
                <w:sz w:val="24"/>
                <w:szCs w:val="24"/>
                <w:highlight w:val="none"/>
                <w:shd w:val="clear" w:color="auto" w:fill="auto"/>
                <w:lang w:eastAsia="zh-CN"/>
              </w:rPr>
              <w:t>或大气</w:t>
            </w:r>
            <w:r>
              <w:rPr>
                <w:rFonts w:hint="eastAsia" w:ascii="宋体" w:hAnsi="宋体" w:eastAsia="宋体" w:cs="宋体"/>
                <w:color w:val="auto"/>
                <w:sz w:val="24"/>
                <w:szCs w:val="24"/>
                <w:highlight w:val="none"/>
                <w:shd w:val="clear" w:color="auto" w:fill="auto"/>
              </w:rPr>
              <w:t>污染、特殊时期(丰水期、枯水期</w:t>
            </w:r>
            <w:r>
              <w:rPr>
                <w:rFonts w:hint="eastAsia" w:ascii="宋体" w:hAnsi="宋体" w:eastAsia="宋体" w:cs="宋体"/>
                <w:color w:val="auto"/>
                <w:sz w:val="24"/>
                <w:szCs w:val="24"/>
                <w:highlight w:val="none"/>
                <w:shd w:val="clear" w:color="auto" w:fill="auto"/>
                <w:lang w:eastAsia="zh-CN"/>
              </w:rPr>
              <w:t>、秸秆禁烧期</w:t>
            </w:r>
            <w:r>
              <w:rPr>
                <w:rFonts w:hint="eastAsia" w:ascii="宋体" w:hAnsi="宋体" w:eastAsia="宋体" w:cs="宋体"/>
                <w:color w:val="auto"/>
                <w:sz w:val="24"/>
                <w:szCs w:val="24"/>
                <w:highlight w:val="none"/>
                <w:shd w:val="clear" w:color="auto" w:fill="auto"/>
              </w:rPr>
              <w:t>等)、自然灾害、临时停电或节假日、重大活动或被偷盗破坏等情况的预防和应急措施等。</w:t>
            </w:r>
            <w:r>
              <w:rPr>
                <w:rFonts w:hint="eastAsia" w:ascii="宋体" w:hAnsi="宋体" w:eastAsia="宋体" w:cs="Times New Roman"/>
                <w:color w:val="auto"/>
                <w:sz w:val="24"/>
                <w:szCs w:val="24"/>
                <w:highlight w:val="none"/>
                <w:lang w:val="en-US" w:eastAsia="zh-CN" w:bidi="ar-SA"/>
              </w:rPr>
              <w:t>由评委根据投标人提供方案的完整性、针对性、可操作性等情况进行综合评分：</w:t>
            </w:r>
          </w:p>
          <w:p w14:paraId="01EFD5CA">
            <w:pPr>
              <w:keepNext w:val="0"/>
              <w:keepLines w:val="0"/>
              <w:pageBreakBefore w:val="0"/>
              <w:widowControl w:val="0"/>
              <w:numPr>
                <w:ilvl w:val="0"/>
                <w:numId w:val="0"/>
              </w:numPr>
              <w:suppressLineNumbers w:val="0"/>
              <w:kinsoku/>
              <w:wordWrap w:val="0"/>
              <w:overflowPunct/>
              <w:topLinePunct/>
              <w:autoSpaceDE/>
              <w:autoSpaceDN/>
              <w:bidi w:val="0"/>
              <w:spacing w:before="0" w:beforeAutospacing="0" w:after="0" w:afterAutospacing="0" w:line="320" w:lineRule="exact"/>
              <w:ind w:left="0" w:right="0"/>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方案内容全面，切合实际，可操作性强，完全满足项目需求的得7分；</w:t>
            </w:r>
          </w:p>
          <w:p w14:paraId="3CBE0BF1">
            <w:pPr>
              <w:keepNext w:val="0"/>
              <w:keepLines w:val="0"/>
              <w:pageBreakBefore w:val="0"/>
              <w:widowControl w:val="0"/>
              <w:numPr>
                <w:ilvl w:val="0"/>
                <w:numId w:val="0"/>
              </w:numPr>
              <w:suppressLineNumbers w:val="0"/>
              <w:kinsoku/>
              <w:wordWrap w:val="0"/>
              <w:overflowPunct/>
              <w:topLinePunct/>
              <w:autoSpaceDE/>
              <w:autoSpaceDN/>
              <w:bidi w:val="0"/>
              <w:spacing w:before="0" w:beforeAutospacing="0" w:after="0" w:afterAutospacing="0" w:line="320" w:lineRule="exact"/>
              <w:ind w:left="0" w:right="0"/>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每有一项内容缺失的扣2分；</w:t>
            </w:r>
          </w:p>
          <w:p w14:paraId="3D2CCBD0">
            <w:pPr>
              <w:keepNext w:val="0"/>
              <w:keepLines w:val="0"/>
              <w:pageBreakBefore w:val="0"/>
              <w:widowControl w:val="0"/>
              <w:numPr>
                <w:ilvl w:val="0"/>
                <w:numId w:val="0"/>
              </w:numPr>
              <w:suppressLineNumbers w:val="0"/>
              <w:kinsoku/>
              <w:wordWrap w:val="0"/>
              <w:overflowPunct/>
              <w:topLinePunct/>
              <w:autoSpaceDE/>
              <w:autoSpaceDN/>
              <w:bidi w:val="0"/>
              <w:spacing w:before="0" w:beforeAutospacing="0" w:after="0" w:afterAutospacing="0" w:line="320" w:lineRule="exact"/>
              <w:ind w:left="0" w:right="0"/>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每有一处内容存在缺陷或不满足要求的扣0.5分，扣完为止；</w:t>
            </w:r>
          </w:p>
          <w:p w14:paraId="7AC91153">
            <w:pPr>
              <w:keepNext w:val="0"/>
              <w:keepLines w:val="0"/>
              <w:pageBreakBefore w:val="0"/>
              <w:widowControl w:val="0"/>
              <w:numPr>
                <w:ilvl w:val="0"/>
                <w:numId w:val="0"/>
              </w:numPr>
              <w:suppressLineNumbers w:val="0"/>
              <w:kinsoku/>
              <w:wordWrap w:val="0"/>
              <w:overflowPunct/>
              <w:topLinePunct/>
              <w:autoSpaceDE/>
              <w:autoSpaceDN/>
              <w:bidi w:val="0"/>
              <w:spacing w:before="0" w:beforeAutospacing="0" w:after="0" w:afterAutospacing="0" w:line="320" w:lineRule="exact"/>
              <w:ind w:left="0" w:right="0"/>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未提供方案不得分。</w:t>
            </w:r>
          </w:p>
          <w:p w14:paraId="741D9560">
            <w:pPr>
              <w:keepNext w:val="0"/>
              <w:keepLines w:val="0"/>
              <w:pageBreakBefore w:val="0"/>
              <w:widowControl w:val="0"/>
              <w:numPr>
                <w:ilvl w:val="0"/>
                <w:numId w:val="3"/>
              </w:numPr>
              <w:suppressLineNumbers w:val="0"/>
              <w:kinsoku/>
              <w:wordWrap w:val="0"/>
              <w:overflowPunct/>
              <w:topLinePunct/>
              <w:autoSpaceDE/>
              <w:autoSpaceDN/>
              <w:bidi w:val="0"/>
              <w:spacing w:before="0" w:beforeAutospacing="0" w:after="0" w:afterAutospacing="0" w:line="320" w:lineRule="exact"/>
              <w:ind w:left="0" w:leftChars="0" w:right="0" w:firstLine="0" w:firstLineChars="0"/>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rPr>
              <w:t>运维工作信息化管理：供应商针对本项目的运维工作提供切实可行的运维信息化管理方案与软件，包括：资产管理，服务管理，系统监控，自动化运维，数据分析与报表等</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Times New Roman"/>
                <w:color w:val="auto"/>
                <w:sz w:val="24"/>
                <w:szCs w:val="24"/>
                <w:highlight w:val="none"/>
                <w:lang w:val="en-US" w:eastAsia="zh-CN" w:bidi="ar-SA"/>
              </w:rPr>
              <w:t>由评委根据投标人提供方案的完整性、针对性、可操作性等情况进行综合评分：</w:t>
            </w:r>
          </w:p>
          <w:p w14:paraId="5B7F0DEF">
            <w:pPr>
              <w:keepNext w:val="0"/>
              <w:keepLines w:val="0"/>
              <w:pageBreakBefore w:val="0"/>
              <w:widowControl w:val="0"/>
              <w:numPr>
                <w:ilvl w:val="0"/>
                <w:numId w:val="0"/>
              </w:numPr>
              <w:suppressLineNumbers w:val="0"/>
              <w:kinsoku/>
              <w:wordWrap w:val="0"/>
              <w:overflowPunct/>
              <w:topLinePunct/>
              <w:autoSpaceDE/>
              <w:autoSpaceDN/>
              <w:bidi w:val="0"/>
              <w:spacing w:before="0" w:beforeAutospacing="0" w:after="0" w:afterAutospacing="0" w:line="320" w:lineRule="exact"/>
              <w:ind w:left="0" w:right="0"/>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方案内容全面，切合实际，可操作性强，完全满足项目需求的得7分；</w:t>
            </w:r>
          </w:p>
          <w:p w14:paraId="6D301F92">
            <w:pPr>
              <w:keepNext w:val="0"/>
              <w:keepLines w:val="0"/>
              <w:pageBreakBefore w:val="0"/>
              <w:widowControl w:val="0"/>
              <w:numPr>
                <w:ilvl w:val="0"/>
                <w:numId w:val="0"/>
              </w:numPr>
              <w:suppressLineNumbers w:val="0"/>
              <w:kinsoku/>
              <w:wordWrap w:val="0"/>
              <w:overflowPunct/>
              <w:topLinePunct/>
              <w:autoSpaceDE/>
              <w:autoSpaceDN/>
              <w:bidi w:val="0"/>
              <w:spacing w:before="0" w:beforeAutospacing="0" w:after="0" w:afterAutospacing="0" w:line="320" w:lineRule="exact"/>
              <w:ind w:left="0" w:right="0"/>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每有一项内容缺失的扣2分；</w:t>
            </w:r>
          </w:p>
          <w:p w14:paraId="53A96495">
            <w:pPr>
              <w:keepNext w:val="0"/>
              <w:keepLines w:val="0"/>
              <w:pageBreakBefore w:val="0"/>
              <w:widowControl w:val="0"/>
              <w:numPr>
                <w:ilvl w:val="0"/>
                <w:numId w:val="0"/>
              </w:numPr>
              <w:suppressLineNumbers w:val="0"/>
              <w:kinsoku/>
              <w:wordWrap w:val="0"/>
              <w:overflowPunct/>
              <w:topLinePunct/>
              <w:autoSpaceDE/>
              <w:autoSpaceDN/>
              <w:bidi w:val="0"/>
              <w:spacing w:before="0" w:beforeAutospacing="0" w:after="0" w:afterAutospacing="0" w:line="320" w:lineRule="exact"/>
              <w:ind w:left="0" w:right="0"/>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每有一处内容存在缺陷或不满足要求的扣0.5分，扣完为止；</w:t>
            </w:r>
          </w:p>
          <w:p w14:paraId="2DC31CB8">
            <w:pPr>
              <w:keepNext w:val="0"/>
              <w:keepLines w:val="0"/>
              <w:pageBreakBefore w:val="0"/>
              <w:widowControl w:val="0"/>
              <w:numPr>
                <w:ilvl w:val="0"/>
                <w:numId w:val="0"/>
              </w:numPr>
              <w:suppressLineNumbers w:val="0"/>
              <w:kinsoku/>
              <w:wordWrap w:val="0"/>
              <w:overflowPunct/>
              <w:topLinePunct/>
              <w:autoSpaceDE/>
              <w:autoSpaceDN/>
              <w:bidi w:val="0"/>
              <w:spacing w:before="0" w:beforeAutospacing="0" w:after="0" w:afterAutospacing="0" w:line="320" w:lineRule="exact"/>
              <w:ind w:left="0" w:right="0"/>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未提供方案不得分。</w:t>
            </w:r>
          </w:p>
          <w:p w14:paraId="3346448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Times New Roman"/>
                <w:b/>
                <w:bCs/>
                <w:color w:val="auto"/>
                <w:sz w:val="24"/>
                <w:szCs w:val="24"/>
                <w:highlight w:val="none"/>
                <w:lang w:val="en-US" w:eastAsia="zh-CN" w:bidi="ar-SA"/>
              </w:rPr>
              <w:t>注：</w:t>
            </w:r>
            <w:r>
              <w:rPr>
                <w:rFonts w:hint="eastAsia" w:ascii="宋体" w:hAnsi="宋体" w:eastAsia="宋体" w:cs="宋体"/>
                <w:color w:val="auto"/>
                <w:kern w:val="0"/>
                <w:sz w:val="24"/>
                <w:szCs w:val="24"/>
                <w:lang w:val="en-US" w:eastAsia="zh-CN" w:bidi="ar"/>
              </w:rPr>
              <w:t>缺陷或不满足指：内容不全面、不清晰或交叉混乱、与实际需求不符、表述前后不一致或内容矛盾、语句有歧义、有规范性或常识性错误、套用其他项目方案、存在无关的事项、凭空编造、存在不可能实现的夸大情形等任意一种情形。</w:t>
            </w:r>
          </w:p>
        </w:tc>
      </w:tr>
      <w:tr w14:paraId="71159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18" w:hRule="atLeast"/>
          <w:jc w:val="center"/>
        </w:trPr>
        <w:tc>
          <w:tcPr>
            <w:tcW w:w="748" w:type="dxa"/>
            <w:noWrap/>
            <w:vAlign w:val="center"/>
          </w:tcPr>
          <w:p w14:paraId="50D32A7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jc w:val="both"/>
              <w:textAlignment w:val="auto"/>
              <w:rPr>
                <w:rFonts w:hint="eastAsia" w:ascii="宋体" w:hAnsi="宋体" w:eastAsia="宋体" w:cs="宋体"/>
                <w:color w:val="auto"/>
                <w:sz w:val="24"/>
                <w:szCs w:val="24"/>
                <w:highlight w:val="none"/>
                <w:shd w:val="clear" w:color="auto" w:fill="auto"/>
              </w:rPr>
            </w:pPr>
          </w:p>
          <w:p w14:paraId="7F881FD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jc w:val="both"/>
              <w:textAlignment w:val="auto"/>
              <w:rPr>
                <w:rFonts w:hint="eastAsia" w:ascii="宋体" w:hAnsi="宋体" w:eastAsia="宋体" w:cs="宋体"/>
                <w:color w:val="auto"/>
                <w:sz w:val="24"/>
                <w:szCs w:val="24"/>
                <w:highlight w:val="none"/>
                <w:shd w:val="clear" w:color="auto" w:fill="auto"/>
              </w:rPr>
            </w:pPr>
          </w:p>
          <w:p w14:paraId="745294D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jc w:val="both"/>
              <w:textAlignment w:val="auto"/>
              <w:rPr>
                <w:rFonts w:hint="eastAsia" w:ascii="宋体" w:hAnsi="宋体" w:eastAsia="宋体" w:cs="宋体"/>
                <w:color w:val="auto"/>
                <w:sz w:val="24"/>
                <w:szCs w:val="24"/>
                <w:highlight w:val="none"/>
                <w:shd w:val="clear" w:color="auto" w:fill="auto"/>
              </w:rPr>
            </w:pPr>
          </w:p>
          <w:p w14:paraId="6122D82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jc w:val="both"/>
              <w:textAlignment w:val="auto"/>
              <w:rPr>
                <w:rFonts w:hint="eastAsia" w:ascii="宋体" w:hAnsi="宋体" w:eastAsia="宋体" w:cs="宋体"/>
                <w:color w:val="auto"/>
                <w:sz w:val="24"/>
                <w:szCs w:val="24"/>
                <w:highlight w:val="none"/>
                <w:shd w:val="clear" w:color="auto" w:fill="auto"/>
              </w:rPr>
            </w:pPr>
          </w:p>
          <w:p w14:paraId="139DC35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jc w:val="both"/>
              <w:textAlignment w:val="auto"/>
              <w:rPr>
                <w:rFonts w:hint="eastAsia" w:ascii="宋体" w:hAnsi="宋体" w:eastAsia="宋体" w:cs="宋体"/>
                <w:color w:val="auto"/>
                <w:sz w:val="24"/>
                <w:szCs w:val="24"/>
                <w:highlight w:val="none"/>
                <w:shd w:val="clear" w:color="auto" w:fill="auto"/>
              </w:rPr>
            </w:pPr>
          </w:p>
          <w:p w14:paraId="5AB90C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jc w:val="both"/>
              <w:textAlignment w:val="auto"/>
              <w:rPr>
                <w:rFonts w:hint="eastAsia" w:ascii="宋体" w:hAnsi="宋体" w:eastAsia="宋体" w:cs="宋体"/>
                <w:color w:val="auto"/>
                <w:sz w:val="24"/>
                <w:szCs w:val="24"/>
                <w:highlight w:val="none"/>
                <w:shd w:val="clear" w:color="auto" w:fill="auto"/>
              </w:rPr>
            </w:pPr>
          </w:p>
          <w:p w14:paraId="6A7A184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jc w:val="both"/>
              <w:textAlignment w:val="auto"/>
              <w:rPr>
                <w:rFonts w:hint="eastAsia" w:ascii="宋体" w:hAnsi="宋体" w:eastAsia="宋体" w:cs="宋体"/>
                <w:color w:val="auto"/>
                <w:sz w:val="24"/>
                <w:szCs w:val="24"/>
                <w:highlight w:val="none"/>
                <w:shd w:val="clear" w:color="auto" w:fill="auto"/>
              </w:rPr>
            </w:pPr>
          </w:p>
          <w:p w14:paraId="448083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jc w:val="both"/>
              <w:textAlignment w:val="auto"/>
              <w:rPr>
                <w:rFonts w:hint="eastAsia" w:ascii="宋体" w:hAnsi="宋体" w:eastAsia="宋体" w:cs="宋体"/>
                <w:color w:val="auto"/>
                <w:sz w:val="24"/>
                <w:szCs w:val="24"/>
                <w:highlight w:val="none"/>
                <w:shd w:val="clear" w:color="auto" w:fill="auto"/>
              </w:rPr>
            </w:pPr>
          </w:p>
          <w:p w14:paraId="797AFFD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240" w:firstLineChars="1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p>
        </w:tc>
        <w:tc>
          <w:tcPr>
            <w:tcW w:w="1362" w:type="dxa"/>
            <w:noWrap/>
            <w:vAlign w:val="center"/>
          </w:tcPr>
          <w:p w14:paraId="23CDE93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textAlignment w:val="auto"/>
              <w:rPr>
                <w:rFonts w:hint="eastAsia" w:ascii="宋体" w:hAnsi="宋体" w:eastAsia="宋体" w:cs="宋体"/>
                <w:color w:val="auto"/>
                <w:sz w:val="24"/>
                <w:szCs w:val="24"/>
                <w:highlight w:val="none"/>
                <w:shd w:val="clear" w:color="auto" w:fill="auto"/>
                <w:lang w:val="en-US" w:eastAsia="zh-CN"/>
              </w:rPr>
            </w:pPr>
          </w:p>
          <w:p w14:paraId="3BD0CE7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textAlignment w:val="auto"/>
              <w:rPr>
                <w:rFonts w:hint="eastAsia" w:ascii="宋体" w:hAnsi="宋体" w:eastAsia="宋体" w:cs="宋体"/>
                <w:color w:val="auto"/>
                <w:sz w:val="24"/>
                <w:szCs w:val="24"/>
                <w:highlight w:val="none"/>
                <w:shd w:val="clear" w:color="auto" w:fill="auto"/>
                <w:lang w:val="en-US" w:eastAsia="zh-CN"/>
              </w:rPr>
            </w:pPr>
          </w:p>
          <w:p w14:paraId="2EEEC45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textAlignment w:val="auto"/>
              <w:rPr>
                <w:rFonts w:hint="eastAsia" w:ascii="宋体" w:hAnsi="宋体" w:eastAsia="宋体" w:cs="宋体"/>
                <w:color w:val="auto"/>
                <w:sz w:val="24"/>
                <w:szCs w:val="24"/>
                <w:highlight w:val="none"/>
                <w:shd w:val="clear" w:color="auto" w:fill="auto"/>
                <w:lang w:val="en-US" w:eastAsia="zh-CN"/>
              </w:rPr>
            </w:pPr>
          </w:p>
          <w:p w14:paraId="31A7834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textAlignment w:val="auto"/>
              <w:rPr>
                <w:rFonts w:hint="eastAsia" w:ascii="宋体" w:hAnsi="宋体" w:eastAsia="宋体" w:cs="宋体"/>
                <w:color w:val="auto"/>
                <w:sz w:val="24"/>
                <w:szCs w:val="24"/>
                <w:highlight w:val="none"/>
                <w:shd w:val="clear" w:color="auto" w:fill="auto"/>
                <w:lang w:val="en-US" w:eastAsia="zh-CN"/>
              </w:rPr>
            </w:pPr>
          </w:p>
          <w:p w14:paraId="2589F62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textAlignment w:val="auto"/>
              <w:rPr>
                <w:rFonts w:hint="eastAsia" w:ascii="宋体" w:hAnsi="宋体" w:eastAsia="宋体" w:cs="宋体"/>
                <w:color w:val="auto"/>
                <w:sz w:val="24"/>
                <w:szCs w:val="24"/>
                <w:highlight w:val="none"/>
                <w:shd w:val="clear" w:color="auto" w:fill="auto"/>
                <w:lang w:val="en-US" w:eastAsia="zh-CN"/>
              </w:rPr>
            </w:pPr>
          </w:p>
          <w:p w14:paraId="66CFF0B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textAlignment w:val="auto"/>
              <w:rPr>
                <w:rFonts w:hint="eastAsia" w:ascii="宋体" w:hAnsi="宋体" w:eastAsia="宋体" w:cs="宋体"/>
                <w:color w:val="auto"/>
                <w:sz w:val="24"/>
                <w:szCs w:val="24"/>
                <w:highlight w:val="none"/>
                <w:shd w:val="clear" w:color="auto" w:fill="auto"/>
                <w:lang w:val="en-US" w:eastAsia="zh-CN"/>
              </w:rPr>
            </w:pPr>
          </w:p>
          <w:p w14:paraId="20CB4E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textAlignment w:val="auto"/>
              <w:rPr>
                <w:rFonts w:hint="eastAsia" w:ascii="宋体" w:hAnsi="宋体" w:eastAsia="宋体" w:cs="宋体"/>
                <w:color w:val="auto"/>
                <w:sz w:val="24"/>
                <w:szCs w:val="24"/>
                <w:highlight w:val="none"/>
                <w:shd w:val="clear" w:color="auto" w:fill="auto"/>
                <w:lang w:val="en-US" w:eastAsia="zh-CN"/>
              </w:rPr>
            </w:pPr>
          </w:p>
          <w:p w14:paraId="0C42240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lang w:val="en-US" w:eastAsia="zh-CN"/>
              </w:rPr>
            </w:pPr>
          </w:p>
          <w:p w14:paraId="4DAAD80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综合实力（25分）</w:t>
            </w:r>
          </w:p>
        </w:tc>
        <w:tc>
          <w:tcPr>
            <w:tcW w:w="7935" w:type="dxa"/>
            <w:noWrap/>
            <w:vAlign w:val="center"/>
          </w:tcPr>
          <w:p w14:paraId="7928478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1、投标人为本项目派遣的项目负责人，具有环保类或仪器仪表类高级技术职称证书的，得5分;具有环保类中级技术职称证书的，得3分；该项最高得 5 分。未提供的不得分。</w:t>
            </w:r>
          </w:p>
          <w:p w14:paraId="655F8FF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textAlignment w:val="auto"/>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auto"/>
                <w:sz w:val="24"/>
                <w:szCs w:val="24"/>
                <w:highlight w:val="none"/>
                <w:shd w:val="clear" w:color="auto" w:fill="auto"/>
                <w:lang w:val="en-US" w:eastAsia="zh-CN"/>
              </w:rPr>
              <w:t>注：投标人须</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提供项目负责人相关证书原件彩色扫描件和投标人为其发放的近期工资流水证明材料复印件加盖投标人公章，否则不得分。</w:t>
            </w:r>
          </w:p>
          <w:p w14:paraId="685E6FB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2、投标人为本项目派遣现场运维人员不少于 2 人，须同时具备环境空气自动监测运维工、地表水环境质量自动监测运维工培训合格证书的，每人得 2 分，该项最高得6 分；未提供对应有效证书的相应分项不得分。</w:t>
            </w:r>
          </w:p>
          <w:p w14:paraId="3E33FE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注：投标人须提供现场运维人员相关证书原件彩色扫描件和投标人为其发放的近期工资流水证明材料</w:t>
            </w:r>
            <w:r>
              <w:rPr>
                <w:rFonts w:hint="eastAsia" w:ascii="宋体" w:hAnsi="宋体" w:eastAsia="宋体" w:cs="宋体"/>
                <w:color w:val="auto"/>
                <w:sz w:val="24"/>
                <w:szCs w:val="24"/>
                <w:highlight w:val="none"/>
                <w:shd w:val="clear" w:color="auto" w:fill="auto"/>
                <w:lang w:val="en-US" w:eastAsia="zh-CN"/>
              </w:rPr>
              <w:t>复印件加盖投标人公章，否则不得分。</w:t>
            </w:r>
          </w:p>
          <w:p w14:paraId="056B99B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3、投标人为本项目配备1辆专用车辆的得1分；多配备1辆加1分。本项最高得3分。</w:t>
            </w:r>
          </w:p>
          <w:p w14:paraId="3B228F8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注:投标人须提供车辆行驶证、车辆登记证书原件彩色扫描件并加盖投标人公章。</w:t>
            </w:r>
          </w:p>
          <w:p w14:paraId="6F361E21">
            <w:pPr>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投标人自有(或控股或委托)的用于质量控制的CMA认证实验室且认证范围至少包含:地表水中五参数(pH、溶解、电导率、浊度、水温)、高锰酸盐指数、氨氮、总磷、总氮；环境空气中SO2、NOx、CO、O3、PM2.5、PM10指标。每缺一项扣1分;本项最高得5分。</w:t>
            </w:r>
          </w:p>
          <w:p w14:paraId="2726C38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备注：投标人须提供计量证书和计量确认证明原件彩色扫描件及有效相关证明材料并加盖投标人公章，否则不得分</w:t>
            </w:r>
          </w:p>
          <w:p w14:paraId="58FDFC4A">
            <w:pPr>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348" w:lineRule="auto"/>
              <w:ind w:left="0" w:leftChars="0" w:right="0" w:firstLine="0" w:firstLineChars="0"/>
              <w:textAlignment w:val="auto"/>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在本项目运维服务中，投标时须提供</w:t>
            </w:r>
            <w:r>
              <w:rPr>
                <w:rFonts w:hint="eastAsia" w:ascii="宋体" w:hAnsi="宋体" w:cs="宋体"/>
                <w:color w:val="000000" w:themeColor="text1"/>
                <w:kern w:val="2"/>
                <w:sz w:val="24"/>
                <w:szCs w:val="24"/>
                <w:lang w:val="en-US" w:eastAsia="zh-CN" w:bidi="ar-SA"/>
                <w14:textFill>
                  <w14:solidFill>
                    <w14:schemeClr w14:val="tx1"/>
                  </w14:solidFill>
                </w14:textFill>
              </w:rPr>
              <w:t>《备机应急供应与买断承诺函》</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：SO2、NOx、CO、O3、PM2.5、PM10自动监测仪器、VOC分析仪、微站设备、COD、氨氮、总磷、总氮的得6分，本项最高得6分。</w:t>
            </w:r>
          </w:p>
          <w:p w14:paraId="2CEF40BA">
            <w:pPr>
              <w:pStyle w:val="2"/>
              <w:keepNext w:val="0"/>
              <w:keepLines w:val="0"/>
              <w:numPr>
                <w:ilvl w:val="0"/>
                <w:numId w:val="0"/>
              </w:numPr>
              <w:suppressLineNumbers w:val="0"/>
              <w:spacing w:before="0" w:beforeAutospacing="0" w:after="0" w:afterAutospacing="0"/>
              <w:ind w:left="0" w:leftChars="0" w:right="0"/>
              <w:rPr>
                <w:rFonts w:hint="default"/>
                <w:lang w:val="en-US" w:eastAsia="zh-CN"/>
              </w:rPr>
            </w:pPr>
            <w:r>
              <w:rPr>
                <w:rFonts w:hint="eastAsia"/>
                <w:color w:val="000000" w:themeColor="text1"/>
                <w:lang w:val="en-US" w:eastAsia="zh-CN"/>
                <w14:textFill>
                  <w14:solidFill>
                    <w14:schemeClr w14:val="tx1"/>
                  </w14:solidFill>
                </w14:textFill>
              </w:rPr>
              <w:t>注：</w:t>
            </w:r>
            <w:r>
              <w:rPr>
                <w:rFonts w:hint="eastAsia" w:ascii="宋体" w:hAnsi="宋体" w:cs="宋体"/>
                <w:color w:val="000000" w:themeColor="text1"/>
                <w:kern w:val="2"/>
                <w:sz w:val="24"/>
                <w:szCs w:val="24"/>
                <w:lang w:val="en-US" w:eastAsia="zh-CN" w:bidi="ar-SA"/>
                <w14:textFill>
                  <w14:solidFill>
                    <w14:schemeClr w14:val="tx1"/>
                  </w14:solidFill>
                </w14:textFill>
              </w:rPr>
              <w:t>《备机应急供应与买断承诺函》</w:t>
            </w:r>
            <w:r>
              <w:rPr>
                <w:rFonts w:hint="eastAsia" w:hAnsi="宋体" w:cs="宋体"/>
                <w:color w:val="000000" w:themeColor="text1"/>
                <w:kern w:val="2"/>
                <w:sz w:val="24"/>
                <w:szCs w:val="24"/>
                <w:lang w:val="en-US" w:eastAsia="zh-CN" w:bidi="ar-SA"/>
                <w14:textFill>
                  <w14:solidFill>
                    <w14:schemeClr w14:val="tx1"/>
                  </w14:solidFill>
                </w14:textFill>
              </w:rPr>
              <w:t>格式由</w:t>
            </w:r>
            <w:r>
              <w:rPr>
                <w:rFonts w:hint="eastAsia" w:ascii="宋体" w:hAnsi="宋体" w:eastAsia="宋体" w:cs="宋体"/>
                <w:color w:val="auto"/>
                <w:sz w:val="24"/>
                <w:szCs w:val="24"/>
                <w:highlight w:val="none"/>
                <w:shd w:val="clear" w:color="auto" w:fill="auto"/>
                <w:lang w:val="en-US" w:eastAsia="zh-CN"/>
              </w:rPr>
              <w:t>供应商</w:t>
            </w:r>
            <w:r>
              <w:rPr>
                <w:rFonts w:hint="eastAsia" w:hAnsi="宋体" w:cs="宋体"/>
                <w:color w:val="000000" w:themeColor="text1"/>
                <w:kern w:val="2"/>
                <w:sz w:val="24"/>
                <w:szCs w:val="24"/>
                <w:lang w:val="en-US" w:eastAsia="zh-CN" w:bidi="ar-SA"/>
                <w14:textFill>
                  <w14:solidFill>
                    <w14:schemeClr w14:val="tx1"/>
                  </w14:solidFill>
                </w14:textFill>
              </w:rPr>
              <w:t>自拟。</w:t>
            </w:r>
          </w:p>
        </w:tc>
      </w:tr>
      <w:tr w14:paraId="3D836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atLeast"/>
          <w:jc w:val="center"/>
        </w:trPr>
        <w:tc>
          <w:tcPr>
            <w:tcW w:w="748" w:type="dxa"/>
            <w:noWrap/>
            <w:vAlign w:val="center"/>
          </w:tcPr>
          <w:p w14:paraId="334332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240" w:firstLineChars="1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4</w:t>
            </w:r>
          </w:p>
        </w:tc>
        <w:tc>
          <w:tcPr>
            <w:tcW w:w="1362" w:type="dxa"/>
            <w:noWrap/>
            <w:vAlign w:val="center"/>
          </w:tcPr>
          <w:p w14:paraId="6E13CEB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环保管家(12分)</w:t>
            </w:r>
          </w:p>
        </w:tc>
        <w:tc>
          <w:tcPr>
            <w:tcW w:w="7935" w:type="dxa"/>
            <w:noWrap/>
            <w:vAlign w:val="center"/>
          </w:tcPr>
          <w:p w14:paraId="413C5EC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人员要求：乙方担任环保管家岗位的人员须具有注册环评工程师或注册环保工程师证书至少一项，每提供1个证书得3分，该项最高得6 分;未提供的不得分。</w:t>
            </w:r>
          </w:p>
          <w:p w14:paraId="50C837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供应商根据磋商文件具体要求，制定详细工作计划，对工作重点进行深度分析，确保工作进度要求</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本项最高得6分，具体评分情况如下：</w:t>
            </w:r>
            <w:r>
              <w:rPr>
                <w:rFonts w:hint="eastAsia" w:ascii="宋体" w:hAnsi="宋体" w:eastAsia="宋体" w:cs="宋体"/>
                <w:color w:val="auto"/>
                <w:sz w:val="24"/>
                <w:szCs w:val="24"/>
                <w:highlight w:val="none"/>
                <w:shd w:val="clear" w:color="auto" w:fill="auto"/>
                <w:lang w:val="en-US" w:eastAsia="zh-CN"/>
              </w:rPr>
              <w:br w:type="textWrapping"/>
            </w:r>
            <w:r>
              <w:rPr>
                <w:rFonts w:hint="eastAsia" w:ascii="宋体" w:hAnsi="宋体" w:eastAsia="宋体" w:cs="宋体"/>
                <w:color w:val="auto"/>
                <w:sz w:val="24"/>
                <w:szCs w:val="24"/>
                <w:highlight w:val="none"/>
                <w:shd w:val="clear" w:color="auto" w:fill="auto"/>
                <w:lang w:val="en-US" w:eastAsia="zh-CN"/>
              </w:rPr>
              <w:t>（1）能够按照磋商文件关于成果报告提交时间完成、工作重点分析深入、计划科学可行、进度安排合理的得6分；</w:t>
            </w:r>
            <w:r>
              <w:rPr>
                <w:rFonts w:hint="eastAsia" w:ascii="宋体" w:hAnsi="宋体" w:eastAsia="宋体" w:cs="宋体"/>
                <w:color w:val="auto"/>
                <w:sz w:val="24"/>
                <w:szCs w:val="24"/>
                <w:highlight w:val="none"/>
                <w:shd w:val="clear" w:color="auto" w:fill="auto"/>
                <w:lang w:val="en-US" w:eastAsia="zh-CN"/>
              </w:rPr>
              <w:br w:type="textWrapping"/>
            </w:r>
            <w:r>
              <w:rPr>
                <w:rFonts w:hint="eastAsia" w:ascii="宋体" w:hAnsi="宋体" w:eastAsia="宋体" w:cs="宋体"/>
                <w:color w:val="auto"/>
                <w:sz w:val="24"/>
                <w:szCs w:val="24"/>
                <w:highlight w:val="none"/>
                <w:shd w:val="clear" w:color="auto" w:fill="auto"/>
                <w:lang w:val="en-US" w:eastAsia="zh-CN"/>
              </w:rPr>
              <w:t>（2）能够按照磋商文件关于成果报告提交时间完成、工作重点分析深入、计划描述基本清晰、基本具有可行性的得4分；</w:t>
            </w:r>
            <w:r>
              <w:rPr>
                <w:rFonts w:hint="eastAsia" w:ascii="宋体" w:hAnsi="宋体" w:eastAsia="宋体" w:cs="宋体"/>
                <w:color w:val="auto"/>
                <w:sz w:val="24"/>
                <w:szCs w:val="24"/>
                <w:highlight w:val="none"/>
                <w:shd w:val="clear" w:color="auto" w:fill="auto"/>
                <w:lang w:val="en-US" w:eastAsia="zh-CN"/>
              </w:rPr>
              <w:br w:type="textWrapping"/>
            </w:r>
            <w:r>
              <w:rPr>
                <w:rFonts w:hint="eastAsia" w:ascii="宋体" w:hAnsi="宋体" w:eastAsia="宋体" w:cs="宋体"/>
                <w:color w:val="auto"/>
                <w:sz w:val="24"/>
                <w:szCs w:val="24"/>
                <w:highlight w:val="none"/>
                <w:shd w:val="clear" w:color="auto" w:fill="auto"/>
                <w:lang w:val="en-US" w:eastAsia="zh-CN"/>
              </w:rPr>
              <w:t>（3）可行性差的得2分；</w:t>
            </w:r>
          </w:p>
        </w:tc>
      </w:tr>
      <w:tr w14:paraId="31C2B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74" w:hRule="atLeast"/>
          <w:jc w:val="center"/>
        </w:trPr>
        <w:tc>
          <w:tcPr>
            <w:tcW w:w="748" w:type="dxa"/>
            <w:noWrap/>
            <w:vAlign w:val="center"/>
          </w:tcPr>
          <w:p w14:paraId="7C87B14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240" w:firstLineChars="1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w:t>
            </w:r>
          </w:p>
        </w:tc>
        <w:tc>
          <w:tcPr>
            <w:tcW w:w="1362" w:type="dxa"/>
            <w:noWrap/>
            <w:vAlign w:val="center"/>
          </w:tcPr>
          <w:p w14:paraId="34236D1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投标人业绩(</w:t>
            </w:r>
            <w:r>
              <w:rPr>
                <w:rFonts w:hint="eastAsia" w:ascii="宋体" w:hAnsi="宋体" w:eastAsia="宋体" w:cs="宋体"/>
                <w:color w:val="auto"/>
                <w:sz w:val="24"/>
                <w:szCs w:val="24"/>
                <w:highlight w:val="none"/>
                <w:shd w:val="clear" w:color="auto" w:fill="auto"/>
                <w:lang w:val="en-US" w:eastAsia="zh-CN"/>
              </w:rPr>
              <w:t>5</w:t>
            </w:r>
            <w:r>
              <w:rPr>
                <w:rFonts w:hint="eastAsia" w:ascii="宋体" w:hAnsi="宋体" w:eastAsia="宋体" w:cs="宋体"/>
                <w:color w:val="auto"/>
                <w:sz w:val="24"/>
                <w:szCs w:val="24"/>
                <w:highlight w:val="none"/>
                <w:shd w:val="clear" w:color="auto" w:fill="auto"/>
              </w:rPr>
              <w:t>分)</w:t>
            </w:r>
          </w:p>
        </w:tc>
        <w:tc>
          <w:tcPr>
            <w:tcW w:w="7935" w:type="dxa"/>
            <w:noWrap/>
            <w:vAlign w:val="center"/>
          </w:tcPr>
          <w:p w14:paraId="200876E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供应商提供自2021年1月1日起至今（以合同签署日期为准）自动监测建设、运维服务类似业绩，每提供一份得4分，本项最高得4分。</w:t>
            </w:r>
          </w:p>
          <w:p w14:paraId="5C3BE8E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供应商提供自2021年1月1日（含）至今（以合同签订日期为准）承担过省级开发区或园区环保管家业务业绩或相关类似业绩，每一项得1分，本项最多得1分。</w:t>
            </w:r>
          </w:p>
          <w:p w14:paraId="63D821A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注:请列表汇总，</w:t>
            </w:r>
            <w:r>
              <w:rPr>
                <w:rFonts w:hint="eastAsia" w:ascii="宋体" w:hAnsi="宋体" w:eastAsia="宋体" w:cs="宋体"/>
                <w:color w:val="auto"/>
                <w:sz w:val="24"/>
                <w:szCs w:val="24"/>
                <w:highlight w:val="none"/>
                <w:shd w:val="clear" w:color="auto" w:fill="auto"/>
                <w:lang w:val="en-US" w:eastAsia="zh-CN"/>
              </w:rPr>
              <w:t>须</w:t>
            </w:r>
            <w:r>
              <w:rPr>
                <w:rFonts w:hint="eastAsia" w:ascii="宋体" w:hAnsi="宋体" w:eastAsia="宋体" w:cs="宋体"/>
                <w:color w:val="auto"/>
                <w:sz w:val="24"/>
                <w:szCs w:val="24"/>
                <w:highlight w:val="none"/>
                <w:shd w:val="clear" w:color="auto" w:fill="auto"/>
              </w:rPr>
              <w:t>提供合同原件</w:t>
            </w:r>
            <w:r>
              <w:rPr>
                <w:rFonts w:hint="eastAsia" w:ascii="宋体" w:hAnsi="宋体" w:eastAsia="宋体" w:cs="宋体"/>
                <w:color w:val="auto"/>
                <w:sz w:val="24"/>
                <w:szCs w:val="24"/>
                <w:highlight w:val="none"/>
                <w:shd w:val="clear" w:color="auto" w:fill="auto"/>
                <w:lang w:eastAsia="zh-CN"/>
              </w:rPr>
              <w:t>（转包、分包合同除外）</w:t>
            </w:r>
            <w:r>
              <w:rPr>
                <w:rFonts w:hint="eastAsia" w:ascii="宋体" w:hAnsi="宋体" w:eastAsia="宋体" w:cs="宋体"/>
                <w:color w:val="auto"/>
                <w:sz w:val="24"/>
                <w:szCs w:val="24"/>
                <w:highlight w:val="none"/>
                <w:shd w:val="clear" w:color="auto" w:fill="auto"/>
              </w:rPr>
              <w:t>彩色扫件加盖投标人公章，未提供不得分。</w:t>
            </w:r>
          </w:p>
        </w:tc>
      </w:tr>
      <w:tr w14:paraId="5C4E0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748" w:type="dxa"/>
            <w:noWrap/>
            <w:vAlign w:val="center"/>
          </w:tcPr>
          <w:p w14:paraId="7B53944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240" w:firstLineChars="1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w:t>
            </w:r>
          </w:p>
        </w:tc>
        <w:tc>
          <w:tcPr>
            <w:tcW w:w="1362" w:type="dxa"/>
            <w:noWrap/>
            <w:vAlign w:val="center"/>
          </w:tcPr>
          <w:p w14:paraId="6B10A44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服务承诺（</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分）</w:t>
            </w:r>
          </w:p>
        </w:tc>
        <w:tc>
          <w:tcPr>
            <w:tcW w:w="7935" w:type="dxa"/>
            <w:noWrap/>
            <w:vAlign w:val="center"/>
          </w:tcPr>
          <w:p w14:paraId="0505F7C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投标人提供书面承诺书，承诺在中标后按时保质保量完成服务内容，若不能按序时完成或服务质量达不到要求的，扣除项目总价的10%-15%(视情况而定)。</w:t>
            </w:r>
          </w:p>
          <w:p w14:paraId="175C10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备注:须提供完整内容的承诺书加盖投标人公章，否则不得分。本项最高得</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分。</w:t>
            </w:r>
          </w:p>
        </w:tc>
      </w:tr>
    </w:tbl>
    <w:p w14:paraId="63A8EEBF">
      <w:pPr>
        <w:rPr>
          <w:rFonts w:hint="eastAsia" w:ascii="宋体" w:hAnsi="宋体" w:eastAsia="宋体" w:cs="宋体"/>
          <w:b/>
          <w:bCs/>
          <w:szCs w:val="24"/>
          <w:lang w:val="en-US" w:eastAsia="zh-CN"/>
        </w:rPr>
      </w:pPr>
    </w:p>
    <w:p w14:paraId="287A63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备注：</w:t>
      </w:r>
    </w:p>
    <w:p w14:paraId="095B072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评分标准中要求提供的证明材料均以原件扫描加盖所要求的公章在响应文件中反映，相关证明材料须按要求完整提供且不得涂改，本项目所须提供的证明材料均应原件扫描（如原件是彩色件，则扫描件须是彩色），否则不能得分。</w:t>
      </w:r>
    </w:p>
    <w:p w14:paraId="06CC11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p>
    <w:p w14:paraId="745F199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3、评分中涉及的证书/检测报告等文件应在有效期内。</w:t>
      </w:r>
    </w:p>
    <w:p w14:paraId="3B44D77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4、如发现有通过提供虚假证明文件获得分值，将取消中标资格，并提请监督机构按照政府采购相关法规处理。</w:t>
      </w:r>
    </w:p>
    <w:p w14:paraId="038CA42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highlight w:val="none"/>
          <w:lang w:val="en-US" w:eastAsia="zh-CN"/>
        </w:rPr>
      </w:pPr>
    </w:p>
    <w:p w14:paraId="31D8DE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highlight w:val="none"/>
          <w:lang w:val="en-US" w:eastAsia="zh-CN"/>
        </w:rPr>
      </w:pPr>
    </w:p>
    <w:p w14:paraId="015379A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4"/>
          <w:highlight w:val="none"/>
          <w:lang w:val="en-US" w:eastAsia="zh-CN"/>
        </w:rPr>
      </w:pPr>
    </w:p>
    <w:p w14:paraId="47C7D51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8"/>
          <w:szCs w:val="28"/>
          <w:highlight w:val="none"/>
          <w:lang w:val="en-US" w:eastAsia="zh-CN"/>
        </w:rPr>
      </w:pPr>
    </w:p>
    <w:p w14:paraId="54A234E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8"/>
          <w:szCs w:val="28"/>
          <w:highlight w:val="none"/>
          <w:lang w:val="en-US" w:eastAsia="zh-CN"/>
        </w:rPr>
      </w:pPr>
    </w:p>
    <w:p w14:paraId="1DBEB58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8"/>
          <w:szCs w:val="28"/>
          <w:highlight w:val="none"/>
          <w:lang w:val="en-US" w:eastAsia="zh-CN"/>
        </w:rPr>
      </w:pPr>
    </w:p>
    <w:p w14:paraId="0C521EC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8"/>
          <w:szCs w:val="28"/>
          <w:highlight w:val="none"/>
          <w:lang w:val="en-US" w:eastAsia="zh-CN"/>
        </w:rPr>
      </w:pPr>
    </w:p>
    <w:p w14:paraId="09B7810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8"/>
          <w:szCs w:val="28"/>
          <w:highlight w:val="none"/>
          <w:lang w:val="en-US" w:eastAsia="zh-CN"/>
        </w:rPr>
      </w:pPr>
    </w:p>
    <w:p w14:paraId="0A161E2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8"/>
          <w:szCs w:val="28"/>
          <w:highlight w:val="none"/>
          <w:lang w:val="en-US" w:eastAsia="zh-CN"/>
        </w:rPr>
      </w:pPr>
    </w:p>
    <w:p w14:paraId="1F6075B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8"/>
          <w:szCs w:val="28"/>
          <w:highlight w:val="none"/>
          <w:lang w:val="en-US" w:eastAsia="zh-CN"/>
        </w:rPr>
      </w:pPr>
    </w:p>
    <w:p w14:paraId="3611E4C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8"/>
          <w:szCs w:val="28"/>
          <w:highlight w:val="none"/>
          <w:lang w:val="en-US" w:eastAsia="zh-CN"/>
        </w:rPr>
      </w:pPr>
    </w:p>
    <w:p w14:paraId="5571979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eastAsia" w:ascii="宋体" w:hAnsi="宋体" w:eastAsia="宋体" w:cs="宋体"/>
          <w:color w:val="auto"/>
          <w:sz w:val="28"/>
          <w:szCs w:val="28"/>
          <w:highlight w:val="none"/>
          <w:lang w:val="en-US" w:eastAsia="zh-CN"/>
        </w:rPr>
      </w:pPr>
    </w:p>
    <w:p w14:paraId="4D34BD80">
      <w:pPr>
        <w:pageBreakBefore w:val="0"/>
        <w:widowControl/>
        <w:kinsoku/>
        <w:wordWrap/>
        <w:overflowPunct/>
        <w:topLinePunct w:val="0"/>
        <w:autoSpaceDE/>
        <w:autoSpaceDN/>
        <w:bidi w:val="0"/>
        <w:adjustRightInd/>
        <w:snapToGrid/>
        <w:spacing w:line="348" w:lineRule="auto"/>
        <w:ind w:firstLine="2891" w:firstLineChars="900"/>
        <w:jc w:val="left"/>
        <w:textAlignment w:val="auto"/>
        <w:rPr>
          <w:rFonts w:hint="eastAsia" w:ascii="宋体" w:hAnsi="宋体" w:eastAsia="宋体" w:cs="宋体"/>
          <w:b/>
          <w:color w:val="auto"/>
          <w:sz w:val="32"/>
          <w:szCs w:val="32"/>
          <w:highlight w:val="none"/>
          <w:lang w:val="en-US" w:eastAsia="zh-CN" w:bidi="ar-SA"/>
        </w:rPr>
      </w:pPr>
      <w:bookmarkStart w:id="170" w:name="_Toc198284259"/>
      <w:r>
        <w:rPr>
          <w:rFonts w:hint="eastAsia" w:ascii="宋体" w:hAnsi="宋体" w:eastAsia="宋体" w:cs="宋体"/>
          <w:b/>
          <w:color w:val="auto"/>
          <w:sz w:val="32"/>
          <w:szCs w:val="32"/>
          <w:highlight w:val="none"/>
          <w:lang w:val="en-US" w:eastAsia="zh-CN" w:bidi="ar-SA"/>
        </w:rPr>
        <w:t>第六章  响应文件格式</w:t>
      </w:r>
      <w:bookmarkEnd w:id="170"/>
    </w:p>
    <w:p w14:paraId="0E887B1D">
      <w:pPr>
        <w:pStyle w:val="27"/>
        <w:pageBreakBefore w:val="0"/>
        <w:kinsoku/>
        <w:wordWrap/>
        <w:overflowPunct/>
        <w:topLinePunct w:val="0"/>
        <w:autoSpaceDE/>
        <w:autoSpaceDN/>
        <w:bidi w:val="0"/>
        <w:adjustRightInd/>
        <w:snapToGrid/>
        <w:spacing w:beforeAutospacing="0" w:afterAutospacing="0" w:line="348" w:lineRule="auto"/>
        <w:jc w:val="center"/>
        <w:textAlignment w:val="auto"/>
        <w:rPr>
          <w:rFonts w:hint="eastAsia" w:ascii="宋体" w:hAnsi="宋体" w:eastAsia="宋体" w:cs="宋体"/>
          <w:b/>
          <w:color w:val="auto"/>
          <w:sz w:val="72"/>
          <w:szCs w:val="72"/>
          <w:highlight w:val="none"/>
        </w:rPr>
      </w:pPr>
      <w:bookmarkStart w:id="171" w:name="_Toc49090576"/>
      <w:bookmarkEnd w:id="171"/>
      <w:bookmarkStart w:id="172" w:name="_Toc120614282"/>
      <w:bookmarkEnd w:id="172"/>
      <w:bookmarkStart w:id="173" w:name="_Hlt26671244"/>
      <w:bookmarkStart w:id="174" w:name="_Hlt26955039"/>
      <w:bookmarkStart w:id="175" w:name="_Toc26554094"/>
    </w:p>
    <w:p w14:paraId="1E90C1A9">
      <w:pPr>
        <w:pStyle w:val="27"/>
        <w:pageBreakBefore w:val="0"/>
        <w:kinsoku/>
        <w:wordWrap/>
        <w:overflowPunct/>
        <w:topLinePunct w:val="0"/>
        <w:autoSpaceDE/>
        <w:autoSpaceDN/>
        <w:bidi w:val="0"/>
        <w:adjustRightInd/>
        <w:snapToGrid/>
        <w:spacing w:beforeAutospacing="0" w:afterAutospacing="0" w:line="348" w:lineRule="auto"/>
        <w:jc w:val="center"/>
        <w:textAlignment w:val="auto"/>
        <w:rPr>
          <w:rFonts w:hint="eastAsia" w:ascii="宋体" w:hAnsi="宋体" w:eastAsia="宋体" w:cs="宋体"/>
          <w:b/>
          <w:color w:val="auto"/>
          <w:sz w:val="72"/>
          <w:szCs w:val="72"/>
          <w:highlight w:val="none"/>
        </w:rPr>
      </w:pPr>
    </w:p>
    <w:p w14:paraId="09CCF213">
      <w:pPr>
        <w:pStyle w:val="27"/>
        <w:pageBreakBefore w:val="0"/>
        <w:kinsoku/>
        <w:wordWrap/>
        <w:overflowPunct/>
        <w:topLinePunct w:val="0"/>
        <w:autoSpaceDE/>
        <w:autoSpaceDN/>
        <w:bidi w:val="0"/>
        <w:adjustRightInd/>
        <w:snapToGrid/>
        <w:spacing w:beforeAutospacing="0" w:afterAutospacing="0" w:line="348" w:lineRule="auto"/>
        <w:jc w:val="center"/>
        <w:textAlignment w:val="auto"/>
        <w:rPr>
          <w:color w:val="auto"/>
          <w:highlight w:val="none"/>
        </w:rPr>
      </w:pPr>
      <w:r>
        <w:rPr>
          <w:rFonts w:hint="eastAsia" w:ascii="宋体" w:hAnsi="宋体" w:eastAsia="宋体" w:cs="宋体"/>
          <w:b/>
          <w:color w:val="auto"/>
          <w:sz w:val="72"/>
          <w:szCs w:val="72"/>
          <w:highlight w:val="none"/>
        </w:rPr>
        <w:t>响  应  文  件</w:t>
      </w:r>
    </w:p>
    <w:p w14:paraId="20633A7E">
      <w:pPr>
        <w:pStyle w:val="27"/>
        <w:pageBreakBefore w:val="0"/>
        <w:kinsoku/>
        <w:wordWrap/>
        <w:overflowPunct/>
        <w:topLinePunct w:val="0"/>
        <w:autoSpaceDE/>
        <w:autoSpaceDN/>
        <w:bidi w:val="0"/>
        <w:adjustRightInd/>
        <w:snapToGrid/>
        <w:spacing w:beforeAutospacing="0" w:afterAutospacing="0" w:line="348" w:lineRule="auto"/>
        <w:jc w:val="center"/>
        <w:textAlignment w:val="auto"/>
        <w:rPr>
          <w:color w:val="auto"/>
          <w:highlight w:val="none"/>
        </w:rPr>
      </w:pPr>
      <w:r>
        <w:rPr>
          <w:color w:val="auto"/>
          <w:highlight w:val="none"/>
        </w:rPr>
        <w:t> </w:t>
      </w:r>
    </w:p>
    <w:p w14:paraId="02D7704D">
      <w:pPr>
        <w:pStyle w:val="27"/>
        <w:pageBreakBefore w:val="0"/>
        <w:kinsoku/>
        <w:wordWrap/>
        <w:overflowPunct/>
        <w:topLinePunct w:val="0"/>
        <w:autoSpaceDE/>
        <w:autoSpaceDN/>
        <w:bidi w:val="0"/>
        <w:adjustRightInd/>
        <w:snapToGrid/>
        <w:spacing w:beforeAutospacing="0" w:afterAutospacing="0" w:line="348" w:lineRule="auto"/>
        <w:jc w:val="center"/>
        <w:textAlignment w:val="auto"/>
        <w:rPr>
          <w:color w:val="auto"/>
          <w:highlight w:val="none"/>
        </w:rPr>
      </w:pPr>
      <w:r>
        <w:rPr>
          <w:color w:val="auto"/>
          <w:highlight w:val="none"/>
        </w:rPr>
        <w:t> </w:t>
      </w:r>
    </w:p>
    <w:p w14:paraId="05E6A968">
      <w:pPr>
        <w:pStyle w:val="27"/>
        <w:pageBreakBefore w:val="0"/>
        <w:kinsoku/>
        <w:wordWrap/>
        <w:overflowPunct/>
        <w:topLinePunct w:val="0"/>
        <w:autoSpaceDE/>
        <w:autoSpaceDN/>
        <w:bidi w:val="0"/>
        <w:adjustRightInd/>
        <w:snapToGrid/>
        <w:spacing w:beforeAutospacing="0" w:afterAutospacing="0" w:line="348" w:lineRule="auto"/>
        <w:jc w:val="center"/>
        <w:textAlignment w:val="auto"/>
        <w:rPr>
          <w:color w:val="auto"/>
          <w:highlight w:val="none"/>
        </w:rPr>
      </w:pPr>
      <w:r>
        <w:rPr>
          <w:color w:val="auto"/>
          <w:highlight w:val="none"/>
        </w:rPr>
        <w:t> </w:t>
      </w:r>
    </w:p>
    <w:p w14:paraId="4A007BD8">
      <w:pPr>
        <w:pStyle w:val="27"/>
        <w:pageBreakBefore w:val="0"/>
        <w:kinsoku/>
        <w:wordWrap/>
        <w:overflowPunct/>
        <w:topLinePunct w:val="0"/>
        <w:autoSpaceDE/>
        <w:autoSpaceDN/>
        <w:bidi w:val="0"/>
        <w:adjustRightInd/>
        <w:snapToGrid/>
        <w:spacing w:beforeAutospacing="0" w:afterAutospacing="0" w:line="348" w:lineRule="auto"/>
        <w:jc w:val="center"/>
        <w:textAlignment w:val="auto"/>
        <w:rPr>
          <w:color w:val="auto"/>
          <w:highlight w:val="none"/>
        </w:rPr>
      </w:pPr>
      <w:r>
        <w:rPr>
          <w:color w:val="auto"/>
          <w:highlight w:val="none"/>
        </w:rPr>
        <w:t> </w:t>
      </w:r>
    </w:p>
    <w:p w14:paraId="3DF4B7F9">
      <w:pPr>
        <w:pStyle w:val="27"/>
        <w:pageBreakBefore w:val="0"/>
        <w:kinsoku/>
        <w:wordWrap/>
        <w:overflowPunct/>
        <w:topLinePunct w:val="0"/>
        <w:autoSpaceDE/>
        <w:autoSpaceDN/>
        <w:bidi w:val="0"/>
        <w:adjustRightInd/>
        <w:snapToGrid/>
        <w:spacing w:beforeAutospacing="0" w:afterAutospacing="0" w:line="348" w:lineRule="auto"/>
        <w:jc w:val="center"/>
        <w:textAlignment w:val="auto"/>
        <w:rPr>
          <w:color w:val="auto"/>
          <w:highlight w:val="none"/>
        </w:rPr>
      </w:pPr>
      <w:r>
        <w:rPr>
          <w:color w:val="auto"/>
          <w:highlight w:val="none"/>
        </w:rPr>
        <w:t> </w:t>
      </w:r>
    </w:p>
    <w:p w14:paraId="591D56CB">
      <w:pPr>
        <w:pStyle w:val="27"/>
        <w:pageBreakBefore w:val="0"/>
        <w:kinsoku/>
        <w:wordWrap/>
        <w:overflowPunct/>
        <w:topLinePunct w:val="0"/>
        <w:autoSpaceDE/>
        <w:autoSpaceDN/>
        <w:bidi w:val="0"/>
        <w:adjustRightInd/>
        <w:snapToGrid/>
        <w:spacing w:beforeAutospacing="0" w:afterAutospacing="0" w:line="348" w:lineRule="auto"/>
        <w:ind w:firstLine="1084"/>
        <w:jc w:val="both"/>
        <w:textAlignment w:val="auto"/>
        <w:rPr>
          <w:color w:val="auto"/>
          <w:highlight w:val="none"/>
        </w:rPr>
      </w:pPr>
      <w:r>
        <w:rPr>
          <w:rFonts w:hint="eastAsia" w:ascii="宋体" w:hAnsi="宋体" w:eastAsia="宋体" w:cs="宋体"/>
          <w:b/>
          <w:color w:val="auto"/>
          <w:sz w:val="36"/>
          <w:szCs w:val="36"/>
          <w:highlight w:val="none"/>
        </w:rPr>
        <w:t>项目名 称：</w:t>
      </w:r>
      <w:r>
        <w:rPr>
          <w:rFonts w:hint="eastAsia" w:ascii="宋体" w:hAnsi="宋体" w:eastAsia="宋体" w:cs="宋体"/>
          <w:b/>
          <w:color w:val="auto"/>
          <w:sz w:val="36"/>
          <w:szCs w:val="36"/>
          <w:highlight w:val="none"/>
          <w:u w:val="single"/>
        </w:rPr>
        <w:t xml:space="preserve">               </w:t>
      </w:r>
    </w:p>
    <w:p w14:paraId="0F967BF7">
      <w:pPr>
        <w:pStyle w:val="27"/>
        <w:pageBreakBefore w:val="0"/>
        <w:kinsoku/>
        <w:wordWrap/>
        <w:overflowPunct/>
        <w:topLinePunct w:val="0"/>
        <w:autoSpaceDE/>
        <w:autoSpaceDN/>
        <w:bidi w:val="0"/>
        <w:adjustRightInd/>
        <w:snapToGrid/>
        <w:spacing w:beforeAutospacing="0" w:afterAutospacing="0" w:line="348" w:lineRule="auto"/>
        <w:ind w:firstLine="1084"/>
        <w:jc w:val="both"/>
        <w:textAlignment w:val="auto"/>
        <w:rPr>
          <w:color w:val="auto"/>
          <w:highlight w:val="none"/>
        </w:rPr>
      </w:pPr>
      <w:r>
        <w:rPr>
          <w:rFonts w:hint="eastAsia" w:ascii="宋体" w:hAnsi="宋体" w:eastAsia="宋体" w:cs="宋体"/>
          <w:b/>
          <w:color w:val="auto"/>
          <w:sz w:val="36"/>
          <w:szCs w:val="36"/>
          <w:highlight w:val="none"/>
        </w:rPr>
        <w:t>项目编 号：</w:t>
      </w:r>
      <w:r>
        <w:rPr>
          <w:rFonts w:hint="eastAsia" w:ascii="宋体" w:hAnsi="宋体" w:eastAsia="宋体" w:cs="宋体"/>
          <w:b/>
          <w:color w:val="auto"/>
          <w:sz w:val="36"/>
          <w:szCs w:val="36"/>
          <w:highlight w:val="none"/>
          <w:u w:val="single"/>
        </w:rPr>
        <w:t xml:space="preserve">               </w:t>
      </w:r>
    </w:p>
    <w:p w14:paraId="09365CDF">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eastAsia="宋体"/>
          <w:color w:val="auto"/>
          <w:highlight w:val="none"/>
        </w:rPr>
      </w:pPr>
      <w:r>
        <w:rPr>
          <w:rFonts w:hint="eastAsia" w:ascii="宋体" w:hAnsi="宋体" w:eastAsia="宋体" w:cs="宋体"/>
          <w:b/>
          <w:color w:val="auto"/>
          <w:sz w:val="36"/>
          <w:szCs w:val="36"/>
          <w:highlight w:val="none"/>
        </w:rPr>
        <w:t>   供应商名称 ：</w:t>
      </w:r>
      <w:r>
        <w:rPr>
          <w:rFonts w:hint="eastAsia" w:ascii="宋体" w:hAnsi="宋体" w:eastAsia="宋体" w:cs="宋体"/>
          <w:b/>
          <w:color w:val="auto"/>
          <w:sz w:val="36"/>
          <w:szCs w:val="36"/>
          <w:highlight w:val="none"/>
          <w:u w:val="single"/>
        </w:rPr>
        <w:t>（加盖CA电子公章）</w:t>
      </w:r>
    </w:p>
    <w:p w14:paraId="6F572E32">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eastAsia="宋体"/>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23502427">
      <w:pPr>
        <w:pStyle w:val="27"/>
        <w:pageBreakBefore w:val="0"/>
        <w:kinsoku/>
        <w:wordWrap/>
        <w:overflowPunct/>
        <w:topLinePunct w:val="0"/>
        <w:autoSpaceDE/>
        <w:autoSpaceDN/>
        <w:bidi w:val="0"/>
        <w:adjustRightInd/>
        <w:snapToGrid/>
        <w:spacing w:beforeAutospacing="0" w:afterAutospacing="0" w:line="348" w:lineRule="auto"/>
        <w:jc w:val="center"/>
        <w:textAlignment w:val="auto"/>
        <w:rPr>
          <w:color w:val="auto"/>
          <w:highlight w:val="none"/>
        </w:rPr>
      </w:pPr>
      <w:r>
        <w:rPr>
          <w:color w:val="auto"/>
          <w:highlight w:val="none"/>
        </w:rPr>
        <w:t> </w:t>
      </w:r>
    </w:p>
    <w:p w14:paraId="298A804A">
      <w:pPr>
        <w:pStyle w:val="27"/>
        <w:pageBreakBefore w:val="0"/>
        <w:kinsoku/>
        <w:wordWrap/>
        <w:overflowPunct/>
        <w:topLinePunct w:val="0"/>
        <w:autoSpaceDE/>
        <w:autoSpaceDN/>
        <w:bidi w:val="0"/>
        <w:adjustRightInd/>
        <w:snapToGrid/>
        <w:spacing w:beforeAutospacing="0" w:afterAutospacing="0" w:line="348" w:lineRule="auto"/>
        <w:jc w:val="center"/>
        <w:textAlignment w:val="auto"/>
        <w:rPr>
          <w:rFonts w:ascii="宋体" w:hAnsi="宋体" w:eastAsia="宋体" w:cs="宋体"/>
          <w:b/>
          <w:color w:val="auto"/>
          <w:sz w:val="32"/>
          <w:szCs w:val="32"/>
          <w:highlight w:val="none"/>
        </w:rPr>
      </w:pPr>
    </w:p>
    <w:p w14:paraId="16252B04">
      <w:pPr>
        <w:pStyle w:val="27"/>
        <w:pageBreakBefore w:val="0"/>
        <w:kinsoku/>
        <w:wordWrap/>
        <w:overflowPunct/>
        <w:topLinePunct w:val="0"/>
        <w:autoSpaceDE/>
        <w:autoSpaceDN/>
        <w:bidi w:val="0"/>
        <w:adjustRightInd/>
        <w:snapToGrid/>
        <w:spacing w:beforeAutospacing="0" w:afterAutospacing="0" w:line="348" w:lineRule="auto"/>
        <w:jc w:val="center"/>
        <w:textAlignment w:val="auto"/>
        <w:rPr>
          <w:rFonts w:ascii="宋体" w:hAnsi="宋体" w:eastAsia="宋体" w:cs="宋体"/>
          <w:b/>
          <w:color w:val="auto"/>
          <w:sz w:val="32"/>
          <w:szCs w:val="32"/>
          <w:highlight w:val="none"/>
        </w:rPr>
      </w:pPr>
    </w:p>
    <w:p w14:paraId="76D8BEDA">
      <w:pPr>
        <w:pStyle w:val="27"/>
        <w:pageBreakBefore w:val="0"/>
        <w:kinsoku/>
        <w:wordWrap/>
        <w:overflowPunct/>
        <w:topLinePunct w:val="0"/>
        <w:autoSpaceDE/>
        <w:autoSpaceDN/>
        <w:bidi w:val="0"/>
        <w:adjustRightInd/>
        <w:snapToGrid/>
        <w:spacing w:beforeAutospacing="0" w:afterAutospacing="0" w:line="348" w:lineRule="auto"/>
        <w:jc w:val="center"/>
        <w:textAlignment w:val="auto"/>
        <w:rPr>
          <w:rFonts w:ascii="宋体" w:hAnsi="宋体" w:eastAsia="宋体" w:cs="宋体"/>
          <w:b/>
          <w:color w:val="auto"/>
          <w:sz w:val="32"/>
          <w:szCs w:val="32"/>
          <w:highlight w:val="none"/>
        </w:rPr>
      </w:pPr>
    </w:p>
    <w:p w14:paraId="19550F6C">
      <w:pPr>
        <w:pStyle w:val="27"/>
        <w:pageBreakBefore w:val="0"/>
        <w:kinsoku/>
        <w:wordWrap/>
        <w:overflowPunct/>
        <w:topLinePunct w:val="0"/>
        <w:autoSpaceDE/>
        <w:autoSpaceDN/>
        <w:bidi w:val="0"/>
        <w:adjustRightInd/>
        <w:snapToGrid/>
        <w:spacing w:beforeAutospacing="0" w:afterAutospacing="0" w:line="348" w:lineRule="auto"/>
        <w:jc w:val="center"/>
        <w:textAlignment w:val="auto"/>
        <w:rPr>
          <w:rFonts w:ascii="宋体" w:hAnsi="宋体" w:eastAsia="宋体" w:cs="宋体"/>
          <w:b/>
          <w:color w:val="auto"/>
          <w:sz w:val="32"/>
          <w:szCs w:val="32"/>
          <w:highlight w:val="none"/>
        </w:rPr>
      </w:pPr>
    </w:p>
    <w:p w14:paraId="4C3F6BFE">
      <w:pPr>
        <w:pStyle w:val="27"/>
        <w:pageBreakBefore w:val="0"/>
        <w:kinsoku/>
        <w:wordWrap/>
        <w:overflowPunct/>
        <w:topLinePunct w:val="0"/>
        <w:autoSpaceDE/>
        <w:autoSpaceDN/>
        <w:bidi w:val="0"/>
        <w:adjustRightInd/>
        <w:snapToGrid/>
        <w:spacing w:beforeAutospacing="0" w:afterAutospacing="0" w:line="348" w:lineRule="auto"/>
        <w:jc w:val="center"/>
        <w:textAlignment w:val="auto"/>
        <w:rPr>
          <w:rFonts w:ascii="宋体" w:hAnsi="宋体" w:eastAsia="宋体" w:cs="宋体"/>
          <w:b/>
          <w:color w:val="auto"/>
          <w:sz w:val="32"/>
          <w:szCs w:val="32"/>
          <w:highlight w:val="none"/>
        </w:rPr>
      </w:pPr>
    </w:p>
    <w:p w14:paraId="58336028">
      <w:pPr>
        <w:pStyle w:val="27"/>
        <w:pageBreakBefore w:val="0"/>
        <w:kinsoku/>
        <w:wordWrap/>
        <w:overflowPunct/>
        <w:topLinePunct w:val="0"/>
        <w:autoSpaceDE/>
        <w:autoSpaceDN/>
        <w:bidi w:val="0"/>
        <w:adjustRightInd/>
        <w:snapToGrid/>
        <w:spacing w:beforeAutospacing="0" w:afterAutospacing="0" w:line="348" w:lineRule="auto"/>
        <w:jc w:val="center"/>
        <w:textAlignment w:val="auto"/>
        <w:rPr>
          <w:rFonts w:ascii="宋体" w:hAnsi="宋体" w:eastAsia="宋体" w:cs="宋体"/>
          <w:b/>
          <w:color w:val="auto"/>
          <w:sz w:val="32"/>
          <w:szCs w:val="32"/>
          <w:highlight w:val="none"/>
        </w:rPr>
      </w:pPr>
    </w:p>
    <w:p w14:paraId="2863AD2E">
      <w:pPr>
        <w:pStyle w:val="27"/>
        <w:pageBreakBefore w:val="0"/>
        <w:kinsoku/>
        <w:wordWrap/>
        <w:overflowPunct/>
        <w:topLinePunct w:val="0"/>
        <w:autoSpaceDE/>
        <w:autoSpaceDN/>
        <w:bidi w:val="0"/>
        <w:adjustRightInd/>
        <w:snapToGrid/>
        <w:spacing w:beforeAutospacing="0" w:afterAutospacing="0" w:line="348" w:lineRule="auto"/>
        <w:jc w:val="center"/>
        <w:textAlignment w:val="auto"/>
        <w:rPr>
          <w:rFonts w:ascii="宋体" w:hAnsi="宋体" w:eastAsia="宋体" w:cs="宋体"/>
          <w:b/>
          <w:color w:val="auto"/>
          <w:sz w:val="32"/>
          <w:szCs w:val="32"/>
          <w:highlight w:val="none"/>
        </w:rPr>
      </w:pPr>
    </w:p>
    <w:bookmarkEnd w:id="7"/>
    <w:bookmarkEnd w:id="42"/>
    <w:bookmarkEnd w:id="89"/>
    <w:bookmarkEnd w:id="90"/>
    <w:bookmarkEnd w:id="91"/>
    <w:bookmarkEnd w:id="92"/>
    <w:bookmarkEnd w:id="93"/>
    <w:bookmarkEnd w:id="94"/>
    <w:bookmarkEnd w:id="95"/>
    <w:bookmarkEnd w:id="96"/>
    <w:bookmarkEnd w:id="105"/>
    <w:bookmarkEnd w:id="106"/>
    <w:bookmarkEnd w:id="113"/>
    <w:bookmarkEnd w:id="164"/>
    <w:bookmarkEnd w:id="165"/>
    <w:bookmarkEnd w:id="173"/>
    <w:bookmarkEnd w:id="174"/>
    <w:bookmarkEnd w:id="175"/>
    <w:p w14:paraId="2EFAD1D3">
      <w:pPr>
        <w:pStyle w:val="27"/>
        <w:pageBreakBefore w:val="0"/>
        <w:kinsoku/>
        <w:wordWrap/>
        <w:overflowPunct/>
        <w:topLinePunct w:val="0"/>
        <w:autoSpaceDE/>
        <w:autoSpaceDN/>
        <w:bidi w:val="0"/>
        <w:adjustRightInd/>
        <w:snapToGrid/>
        <w:spacing w:beforeAutospacing="0" w:afterAutospacing="0" w:line="348" w:lineRule="auto"/>
        <w:jc w:val="center"/>
        <w:textAlignment w:val="auto"/>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响应文件目录</w:t>
      </w:r>
    </w:p>
    <w:p w14:paraId="781C0ACA">
      <w:pPr>
        <w:pStyle w:val="27"/>
        <w:pageBreakBefore w:val="0"/>
        <w:kinsoku/>
        <w:wordWrap/>
        <w:overflowPunct/>
        <w:topLinePunct w:val="0"/>
        <w:autoSpaceDE/>
        <w:autoSpaceDN/>
        <w:bidi w:val="0"/>
        <w:adjustRightInd/>
        <w:snapToGrid/>
        <w:spacing w:beforeAutospacing="0" w:afterAutospacing="0" w:line="348" w:lineRule="auto"/>
        <w:jc w:val="center"/>
        <w:textAlignment w:val="auto"/>
        <w:rPr>
          <w:rFonts w:ascii="宋体" w:hAnsi="宋体" w:eastAsia="宋体" w:cs="宋体"/>
          <w:b/>
          <w:color w:val="auto"/>
          <w:sz w:val="32"/>
          <w:szCs w:val="32"/>
          <w:highlight w:val="none"/>
        </w:rPr>
      </w:pPr>
      <w:r>
        <w:rPr>
          <w:rFonts w:hint="eastAsia"/>
          <w:color w:val="auto"/>
          <w:highlight w:val="none"/>
        </w:rPr>
        <w:t>（此目录仅供参考，投标供应商可以按系统需上传材料要求编辑目录上传）</w:t>
      </w:r>
    </w:p>
    <w:p w14:paraId="026126D7">
      <w:pPr>
        <w:pStyle w:val="27"/>
        <w:pageBreakBefore w:val="0"/>
        <w:kinsoku/>
        <w:wordWrap/>
        <w:overflowPunct/>
        <w:topLinePunct w:val="0"/>
        <w:autoSpaceDE/>
        <w:autoSpaceDN/>
        <w:bidi w:val="0"/>
        <w:adjustRightInd/>
        <w:snapToGrid/>
        <w:spacing w:beforeAutospacing="0" w:afterAutospacing="0" w:line="348" w:lineRule="auto"/>
        <w:jc w:val="center"/>
        <w:textAlignment w:val="auto"/>
        <w:rPr>
          <w:color w:val="auto"/>
          <w:highlight w:val="none"/>
        </w:rPr>
      </w:pPr>
      <w:r>
        <w:rPr>
          <w:color w:val="auto"/>
          <w:highlight w:val="none"/>
        </w:rPr>
        <w:t> </w:t>
      </w:r>
    </w:p>
    <w:p w14:paraId="7929341B">
      <w:pPr>
        <w:pStyle w:val="27"/>
        <w:pageBreakBefore w:val="0"/>
        <w:kinsoku/>
        <w:wordWrap/>
        <w:overflowPunct/>
        <w:topLinePunct w:val="0"/>
        <w:autoSpaceDE/>
        <w:autoSpaceDN/>
        <w:bidi w:val="0"/>
        <w:adjustRightInd/>
        <w:snapToGrid/>
        <w:spacing w:beforeAutospacing="0" w:afterAutospacing="0" w:line="348" w:lineRule="auto"/>
        <w:ind w:left="480"/>
        <w:jc w:val="both"/>
        <w:textAlignment w:val="auto"/>
        <w:rPr>
          <w:rFonts w:asciiTheme="minorEastAsia" w:hAnsiTheme="minorEastAsia" w:cstheme="minorEastAsia"/>
          <w:color w:val="auto"/>
          <w:highlight w:val="none"/>
          <w:u w:val="none"/>
        </w:rPr>
      </w:pPr>
      <w:r>
        <w:rPr>
          <w:rFonts w:hint="eastAsia" w:asciiTheme="minorEastAsia" w:hAnsiTheme="minorEastAsia" w:cstheme="minorEastAsia"/>
          <w:color w:val="auto"/>
          <w:highlight w:val="none"/>
          <w:u w:val="none"/>
        </w:rPr>
        <w:t>一、法人或者其他组织的营业执照等证明文件，自然人的身份证明</w:t>
      </w:r>
    </w:p>
    <w:p w14:paraId="4AD9876E">
      <w:pPr>
        <w:pStyle w:val="27"/>
        <w:pageBreakBefore w:val="0"/>
        <w:kinsoku/>
        <w:wordWrap/>
        <w:overflowPunct/>
        <w:topLinePunct w:val="0"/>
        <w:autoSpaceDE/>
        <w:autoSpaceDN/>
        <w:bidi w:val="0"/>
        <w:adjustRightInd/>
        <w:snapToGrid/>
        <w:spacing w:beforeAutospacing="0" w:afterAutospacing="0" w:line="348" w:lineRule="auto"/>
        <w:ind w:left="0" w:firstLine="480"/>
        <w:jc w:val="both"/>
        <w:textAlignment w:val="auto"/>
        <w:rPr>
          <w:rFonts w:asciiTheme="minorEastAsia" w:hAnsiTheme="minorEastAsia" w:cstheme="minorEastAsia"/>
          <w:color w:val="auto"/>
          <w:highlight w:val="none"/>
          <w:u w:val="none"/>
        </w:rPr>
      </w:pPr>
      <w:r>
        <w:rPr>
          <w:rFonts w:hint="eastAsia" w:asciiTheme="minorEastAsia" w:hAnsiTheme="minorEastAsia" w:cstheme="minorEastAsia"/>
          <w:color w:val="auto"/>
          <w:highlight w:val="none"/>
          <w:u w:val="none"/>
        </w:rPr>
        <w:t>二、上一年度的财务状况报表（</w:t>
      </w:r>
      <w:r>
        <w:rPr>
          <w:rFonts w:hint="eastAsia" w:ascii="宋体" w:hAnsi="宋体" w:eastAsia="宋体" w:cs="宋体"/>
          <w:i w:val="0"/>
          <w:iCs/>
          <w:color w:val="auto"/>
          <w:kern w:val="0"/>
          <w:sz w:val="24"/>
          <w:szCs w:val="24"/>
          <w:highlight w:val="none"/>
          <w:u w:val="none"/>
          <w:lang w:val="en-US" w:eastAsia="zh-CN" w:bidi="ar-SA"/>
        </w:rPr>
        <w:t>投标人成立不满一年无需提供</w:t>
      </w:r>
      <w:r>
        <w:rPr>
          <w:rFonts w:hint="eastAsia" w:asciiTheme="minorEastAsia" w:hAnsiTheme="minorEastAsia" w:cstheme="minorEastAsia"/>
          <w:color w:val="auto"/>
          <w:highlight w:val="none"/>
          <w:u w:val="none"/>
        </w:rPr>
        <w:t>）</w:t>
      </w:r>
    </w:p>
    <w:p w14:paraId="7376B015">
      <w:pPr>
        <w:pStyle w:val="27"/>
        <w:pageBreakBefore w:val="0"/>
        <w:kinsoku/>
        <w:wordWrap/>
        <w:overflowPunct/>
        <w:topLinePunct w:val="0"/>
        <w:autoSpaceDE/>
        <w:autoSpaceDN/>
        <w:bidi w:val="0"/>
        <w:adjustRightInd/>
        <w:snapToGrid/>
        <w:spacing w:beforeAutospacing="0" w:afterAutospacing="0" w:line="348" w:lineRule="auto"/>
        <w:ind w:left="480"/>
        <w:jc w:val="both"/>
        <w:textAlignment w:val="auto"/>
        <w:rPr>
          <w:rFonts w:asciiTheme="minorEastAsia" w:hAnsiTheme="minorEastAsia" w:cstheme="minorEastAsia"/>
          <w:color w:val="auto"/>
          <w:highlight w:val="none"/>
          <w:u w:val="none"/>
        </w:rPr>
      </w:pPr>
      <w:r>
        <w:rPr>
          <w:rFonts w:hint="eastAsia" w:asciiTheme="minorEastAsia" w:hAnsiTheme="minorEastAsia" w:cstheme="minorEastAsia"/>
          <w:color w:val="auto"/>
          <w:highlight w:val="none"/>
          <w:u w:val="none"/>
        </w:rPr>
        <w:t>三、具备履行合同所必需的设备和专业技术能力的书面声明</w:t>
      </w:r>
    </w:p>
    <w:p w14:paraId="38E99F68">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48" w:lineRule="auto"/>
        <w:ind w:firstLine="480"/>
        <w:textAlignment w:val="auto"/>
        <w:rPr>
          <w:color w:val="auto"/>
          <w:highlight w:val="none"/>
          <w:u w:val="none"/>
        </w:rPr>
      </w:pPr>
      <w:r>
        <w:rPr>
          <w:rFonts w:hint="eastAsia" w:asciiTheme="minorEastAsia" w:hAnsiTheme="minorEastAsia" w:cstheme="minorEastAsia"/>
          <w:color w:val="auto"/>
          <w:sz w:val="24"/>
          <w:highlight w:val="none"/>
          <w:u w:val="none"/>
        </w:rPr>
        <w:t>四、依法缴纳税收和社会保障资金的相关材料</w:t>
      </w:r>
      <w:r>
        <w:rPr>
          <w:rFonts w:hint="eastAsia" w:asciiTheme="minorEastAsia" w:hAnsiTheme="minorEastAsia" w:eastAsiaTheme="minorEastAsia" w:cstheme="minorEastAsia"/>
          <w:i w:val="0"/>
          <w:iCs/>
          <w:color w:val="auto"/>
          <w:sz w:val="24"/>
          <w:szCs w:val="24"/>
          <w:highlight w:val="none"/>
          <w:u w:val="none"/>
        </w:rPr>
        <w:t>（提供提交磋商响应文件截止时间前一年内至少一个月依法缴纳税收及缴纳社会保障资金的证明材料。磋商供应商依法享受缓缴、免缴税收、社会保障资金的提供证明材料。）</w:t>
      </w:r>
    </w:p>
    <w:p w14:paraId="38314679">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Theme="minorEastAsia" w:hAnsiTheme="minorEastAsia" w:cstheme="minorEastAsia"/>
          <w:color w:val="auto"/>
          <w:highlight w:val="none"/>
          <w:u w:val="none"/>
        </w:rPr>
      </w:pPr>
      <w:r>
        <w:rPr>
          <w:rFonts w:hint="eastAsia" w:asciiTheme="minorEastAsia" w:hAnsiTheme="minorEastAsia" w:cstheme="minorEastAsia"/>
          <w:color w:val="auto"/>
          <w:highlight w:val="none"/>
          <w:u w:val="none"/>
        </w:rPr>
        <w:t>五、参加政府采购活动前 3 年内在经营活动中没有重大违法记录的书面声明</w:t>
      </w:r>
    </w:p>
    <w:p w14:paraId="2ACDD7BD">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Theme="minorEastAsia" w:hAnsiTheme="minorEastAsia" w:cstheme="minorEastAsia"/>
          <w:color w:val="auto"/>
          <w:highlight w:val="none"/>
          <w:u w:val="none"/>
        </w:rPr>
      </w:pPr>
      <w:r>
        <w:rPr>
          <w:rFonts w:hint="eastAsia" w:asciiTheme="minorEastAsia" w:hAnsiTheme="minorEastAsia" w:cstheme="minorEastAsia"/>
          <w:color w:val="auto"/>
          <w:highlight w:val="none"/>
          <w:u w:val="none"/>
        </w:rPr>
        <w:t>六、</w:t>
      </w:r>
      <w:r>
        <w:rPr>
          <w:rFonts w:hint="eastAsia" w:asciiTheme="minorEastAsia" w:hAnsiTheme="minorEastAsia" w:eastAsiaTheme="minorEastAsia" w:cstheme="minorEastAsia"/>
          <w:i w:val="0"/>
          <w:iCs/>
          <w:color w:val="auto"/>
          <w:sz w:val="24"/>
          <w:szCs w:val="24"/>
          <w:highlight w:val="none"/>
          <w:u w:val="none"/>
        </w:rPr>
        <w:t>特定资格要求的证明文件（如果本项目设置特定资格要求，则需要提供）</w:t>
      </w:r>
    </w:p>
    <w:p w14:paraId="2946E5C0">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Theme="minorEastAsia" w:hAnsiTheme="minorEastAsia" w:cstheme="minorEastAsia"/>
          <w:color w:val="auto"/>
          <w:highlight w:val="none"/>
          <w:u w:val="none"/>
        </w:rPr>
      </w:pPr>
      <w:r>
        <w:rPr>
          <w:rFonts w:hint="eastAsia" w:asciiTheme="minorEastAsia" w:hAnsiTheme="minorEastAsia" w:cstheme="minorEastAsia"/>
          <w:color w:val="auto"/>
          <w:highlight w:val="none"/>
          <w:u w:val="none"/>
          <w:lang w:val="en-US" w:eastAsia="zh-CN"/>
        </w:rPr>
        <w:t>七</w:t>
      </w:r>
      <w:r>
        <w:rPr>
          <w:rFonts w:hint="eastAsia" w:asciiTheme="minorEastAsia" w:hAnsiTheme="minorEastAsia" w:cstheme="minorEastAsia"/>
          <w:color w:val="auto"/>
          <w:highlight w:val="none"/>
          <w:u w:val="none"/>
        </w:rPr>
        <w:t>、法人授权书</w:t>
      </w:r>
    </w:p>
    <w:p w14:paraId="492398B1">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Theme="minorEastAsia" w:hAnsiTheme="minorEastAsia" w:cstheme="minorEastAsia"/>
          <w:color w:val="auto"/>
          <w:highlight w:val="none"/>
          <w:u w:val="none"/>
        </w:rPr>
      </w:pPr>
      <w:r>
        <w:rPr>
          <w:rFonts w:hint="eastAsia" w:asciiTheme="minorEastAsia" w:hAnsiTheme="minorEastAsia" w:cstheme="minorEastAsia"/>
          <w:color w:val="auto"/>
          <w:highlight w:val="none"/>
          <w:u w:val="none"/>
          <w:lang w:val="en-US" w:eastAsia="zh-CN"/>
        </w:rPr>
        <w:t>八</w:t>
      </w:r>
      <w:r>
        <w:rPr>
          <w:rFonts w:hint="eastAsia" w:asciiTheme="minorEastAsia" w:hAnsiTheme="minorEastAsia" w:cstheme="minorEastAsia"/>
          <w:color w:val="auto"/>
          <w:highlight w:val="none"/>
          <w:u w:val="none"/>
        </w:rPr>
        <w:t>、磋商响应函</w:t>
      </w:r>
    </w:p>
    <w:p w14:paraId="0EAACEF9">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Theme="minorEastAsia" w:hAnsiTheme="minorEastAsia" w:cstheme="minorEastAsia"/>
          <w:color w:val="auto"/>
          <w:highlight w:val="none"/>
          <w:u w:val="none"/>
        </w:rPr>
      </w:pPr>
      <w:r>
        <w:rPr>
          <w:rFonts w:hint="eastAsia" w:asciiTheme="minorEastAsia" w:hAnsiTheme="minorEastAsia" w:cstheme="minorEastAsia"/>
          <w:color w:val="auto"/>
          <w:highlight w:val="none"/>
          <w:u w:val="none"/>
        </w:rPr>
        <w:t>九、</w:t>
      </w:r>
      <w:r>
        <w:rPr>
          <w:rFonts w:hint="eastAsia" w:asciiTheme="minorEastAsia" w:hAnsiTheme="minorEastAsia" w:cstheme="minorEastAsia"/>
          <w:color w:val="auto"/>
          <w:highlight w:val="none"/>
          <w:u w:val="none"/>
          <w:lang w:val="en-US" w:eastAsia="zh-CN"/>
        </w:rPr>
        <w:t>中小</w:t>
      </w:r>
      <w:r>
        <w:rPr>
          <w:rFonts w:hint="eastAsia" w:asciiTheme="minorEastAsia" w:hAnsiTheme="minorEastAsia" w:cstheme="minorEastAsia"/>
          <w:color w:val="auto"/>
          <w:highlight w:val="none"/>
          <w:u w:val="none"/>
        </w:rPr>
        <w:t>企业声明函</w:t>
      </w:r>
    </w:p>
    <w:p w14:paraId="093B44BA">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Theme="minorEastAsia" w:hAnsiTheme="minorEastAsia" w:cstheme="minorEastAsia"/>
          <w:color w:val="auto"/>
          <w:highlight w:val="none"/>
          <w:u w:val="none"/>
        </w:rPr>
      </w:pPr>
      <w:r>
        <w:rPr>
          <w:rFonts w:hint="eastAsia" w:asciiTheme="minorEastAsia" w:hAnsiTheme="minorEastAsia" w:cstheme="minorEastAsia"/>
          <w:color w:val="auto"/>
          <w:highlight w:val="none"/>
          <w:u w:val="none"/>
        </w:rPr>
        <w:t>十、残疾人福利性单位声明函</w:t>
      </w:r>
    </w:p>
    <w:p w14:paraId="0C74E98A">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Theme="minorEastAsia" w:hAnsiTheme="minorEastAsia" w:cstheme="minorEastAsia"/>
          <w:color w:val="auto"/>
          <w:highlight w:val="none"/>
          <w:u w:val="none"/>
        </w:rPr>
      </w:pPr>
      <w:r>
        <w:rPr>
          <w:rFonts w:hint="eastAsia" w:asciiTheme="minorEastAsia" w:hAnsiTheme="minorEastAsia" w:cstheme="minorEastAsia"/>
          <w:color w:val="auto"/>
          <w:highlight w:val="none"/>
          <w:u w:val="none"/>
        </w:rPr>
        <w:t>十</w:t>
      </w:r>
      <w:r>
        <w:rPr>
          <w:rFonts w:hint="eastAsia" w:asciiTheme="minorEastAsia" w:hAnsiTheme="minorEastAsia" w:cstheme="minorEastAsia"/>
          <w:color w:val="auto"/>
          <w:highlight w:val="none"/>
          <w:u w:val="none"/>
          <w:lang w:val="en-US" w:eastAsia="zh-CN"/>
        </w:rPr>
        <w:t>一</w:t>
      </w:r>
      <w:r>
        <w:rPr>
          <w:rFonts w:hint="eastAsia" w:asciiTheme="minorEastAsia" w:hAnsiTheme="minorEastAsia" w:cstheme="minorEastAsia"/>
          <w:color w:val="auto"/>
          <w:highlight w:val="none"/>
          <w:u w:val="none"/>
        </w:rPr>
        <w:t>、分项报价表</w:t>
      </w:r>
    </w:p>
    <w:p w14:paraId="2D755699">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Theme="minorEastAsia" w:hAnsiTheme="minorEastAsia" w:cstheme="minorEastAsia"/>
          <w:color w:val="auto"/>
          <w:highlight w:val="none"/>
          <w:u w:val="none"/>
        </w:rPr>
      </w:pPr>
      <w:r>
        <w:rPr>
          <w:rFonts w:hint="eastAsia" w:asciiTheme="minorEastAsia" w:hAnsiTheme="minorEastAsia" w:cstheme="minorEastAsia"/>
          <w:color w:val="auto"/>
          <w:highlight w:val="none"/>
          <w:u w:val="none"/>
        </w:rPr>
        <w:t>十</w:t>
      </w:r>
      <w:r>
        <w:rPr>
          <w:rFonts w:hint="eastAsia" w:asciiTheme="minorEastAsia" w:hAnsiTheme="minorEastAsia" w:cstheme="minorEastAsia"/>
          <w:color w:val="auto"/>
          <w:highlight w:val="none"/>
          <w:u w:val="none"/>
          <w:lang w:val="en-US" w:eastAsia="zh-CN"/>
        </w:rPr>
        <w:t>二</w:t>
      </w:r>
      <w:r>
        <w:rPr>
          <w:rFonts w:hint="eastAsia" w:asciiTheme="minorEastAsia" w:hAnsiTheme="minorEastAsia" w:cstheme="minorEastAsia"/>
          <w:color w:val="auto"/>
          <w:highlight w:val="none"/>
          <w:u w:val="none"/>
        </w:rPr>
        <w:t>、技术要求响应及偏离表</w:t>
      </w:r>
    </w:p>
    <w:p w14:paraId="3B4E8310">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Theme="minorEastAsia" w:hAnsiTheme="minorEastAsia" w:cstheme="minorEastAsia"/>
          <w:color w:val="auto"/>
          <w:highlight w:val="none"/>
          <w:u w:val="none"/>
        </w:rPr>
      </w:pPr>
      <w:r>
        <w:rPr>
          <w:rFonts w:hint="eastAsia" w:asciiTheme="minorEastAsia" w:hAnsiTheme="minorEastAsia" w:cstheme="minorEastAsia"/>
          <w:color w:val="auto"/>
          <w:highlight w:val="none"/>
          <w:u w:val="none"/>
        </w:rPr>
        <w:t>十</w:t>
      </w:r>
      <w:r>
        <w:rPr>
          <w:rFonts w:hint="eastAsia" w:asciiTheme="minorEastAsia" w:hAnsiTheme="minorEastAsia" w:cstheme="minorEastAsia"/>
          <w:color w:val="auto"/>
          <w:highlight w:val="none"/>
          <w:u w:val="none"/>
          <w:lang w:val="en-US" w:eastAsia="zh-CN"/>
        </w:rPr>
        <w:t>三</w:t>
      </w:r>
      <w:r>
        <w:rPr>
          <w:rFonts w:hint="eastAsia" w:asciiTheme="minorEastAsia" w:hAnsiTheme="minorEastAsia" w:cstheme="minorEastAsia"/>
          <w:color w:val="auto"/>
          <w:highlight w:val="none"/>
          <w:u w:val="none"/>
        </w:rPr>
        <w:t>、商务要求响应及偏离表</w:t>
      </w:r>
    </w:p>
    <w:p w14:paraId="713AF2CD">
      <w:pPr>
        <w:pStyle w:val="27"/>
        <w:pageBreakBefore w:val="0"/>
        <w:kinsoku/>
        <w:wordWrap/>
        <w:overflowPunct/>
        <w:topLinePunct w:val="0"/>
        <w:autoSpaceDE/>
        <w:autoSpaceDN/>
        <w:bidi w:val="0"/>
        <w:adjustRightInd/>
        <w:snapToGrid/>
        <w:spacing w:beforeAutospacing="0" w:afterAutospacing="0" w:line="348" w:lineRule="auto"/>
        <w:ind w:left="480"/>
        <w:jc w:val="both"/>
        <w:textAlignment w:val="auto"/>
        <w:rPr>
          <w:rFonts w:asciiTheme="minorEastAsia" w:hAnsiTheme="minorEastAsia" w:cstheme="minorEastAsia"/>
          <w:color w:val="auto"/>
          <w:highlight w:val="none"/>
          <w:u w:val="none"/>
        </w:rPr>
      </w:pPr>
      <w:r>
        <w:rPr>
          <w:rFonts w:hint="eastAsia" w:asciiTheme="minorEastAsia" w:hAnsiTheme="minorEastAsia" w:cstheme="minorEastAsia"/>
          <w:color w:val="auto"/>
          <w:highlight w:val="none"/>
          <w:u w:val="none"/>
        </w:rPr>
        <w:t>十</w:t>
      </w:r>
      <w:r>
        <w:rPr>
          <w:rFonts w:hint="eastAsia" w:asciiTheme="minorEastAsia" w:hAnsiTheme="minorEastAsia" w:cstheme="minorEastAsia"/>
          <w:color w:val="auto"/>
          <w:highlight w:val="none"/>
          <w:u w:val="none"/>
          <w:lang w:val="en-US" w:eastAsia="zh-CN"/>
        </w:rPr>
        <w:t>四</w:t>
      </w:r>
      <w:r>
        <w:rPr>
          <w:rFonts w:hint="eastAsia" w:asciiTheme="minorEastAsia" w:hAnsiTheme="minorEastAsia" w:cstheme="minorEastAsia"/>
          <w:color w:val="auto"/>
          <w:highlight w:val="none"/>
          <w:u w:val="none"/>
        </w:rPr>
        <w:t>、开标一览表</w:t>
      </w:r>
    </w:p>
    <w:p w14:paraId="752935F6">
      <w:pPr>
        <w:pageBreakBefore w:val="0"/>
        <w:widowControl/>
        <w:kinsoku/>
        <w:wordWrap/>
        <w:overflowPunct/>
        <w:topLinePunct w:val="0"/>
        <w:autoSpaceDE/>
        <w:autoSpaceDN/>
        <w:bidi w:val="0"/>
        <w:adjustRightInd/>
        <w:snapToGrid/>
        <w:spacing w:before="50" w:after="50" w:line="348" w:lineRule="auto"/>
        <w:ind w:firstLine="480"/>
        <w:textAlignment w:val="auto"/>
        <w:rPr>
          <w:rFonts w:hint="eastAsia" w:asciiTheme="minorEastAsia" w:hAnsiTheme="minorEastAsia" w:cstheme="minorEastAsia"/>
          <w:color w:val="auto"/>
          <w:sz w:val="24"/>
          <w:highlight w:val="none"/>
          <w:u w:val="none"/>
        </w:rPr>
      </w:pPr>
      <w:r>
        <w:rPr>
          <w:rFonts w:hint="eastAsia" w:asciiTheme="minorEastAsia" w:hAnsiTheme="minorEastAsia" w:cstheme="minorEastAsia"/>
          <w:color w:val="auto"/>
          <w:sz w:val="24"/>
          <w:highlight w:val="none"/>
          <w:u w:val="none"/>
        </w:rPr>
        <w:t>十</w:t>
      </w:r>
      <w:r>
        <w:rPr>
          <w:rFonts w:hint="eastAsia" w:asciiTheme="minorEastAsia" w:hAnsiTheme="minorEastAsia" w:cstheme="minorEastAsia"/>
          <w:color w:val="auto"/>
          <w:sz w:val="24"/>
          <w:highlight w:val="none"/>
          <w:u w:val="none"/>
          <w:lang w:val="en-US" w:eastAsia="zh-CN"/>
        </w:rPr>
        <w:t>五</w:t>
      </w:r>
      <w:r>
        <w:rPr>
          <w:rFonts w:hint="eastAsia" w:asciiTheme="minorEastAsia" w:hAnsiTheme="minorEastAsia" w:cstheme="minorEastAsia"/>
          <w:color w:val="auto"/>
          <w:sz w:val="24"/>
          <w:highlight w:val="none"/>
          <w:u w:val="none"/>
        </w:rPr>
        <w:t>、其他材料</w:t>
      </w:r>
    </w:p>
    <w:p w14:paraId="1276D4AA">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Theme="minorEastAsia" w:hAnsiTheme="minorEastAsia" w:cstheme="minorEastAsia"/>
          <w:color w:val="auto"/>
          <w:highlight w:val="none"/>
          <w:u w:val="none"/>
        </w:rPr>
      </w:pPr>
      <w:r>
        <w:rPr>
          <w:rFonts w:hint="eastAsia" w:asciiTheme="minorEastAsia" w:hAnsiTheme="minorEastAsia" w:cstheme="minorEastAsia"/>
          <w:color w:val="auto"/>
          <w:sz w:val="24"/>
          <w:highlight w:val="none"/>
          <w:u w:val="none"/>
        </w:rPr>
        <w:t>十</w:t>
      </w:r>
      <w:r>
        <w:rPr>
          <w:rFonts w:hint="eastAsia" w:asciiTheme="minorEastAsia" w:hAnsiTheme="minorEastAsia" w:cstheme="minorEastAsia"/>
          <w:color w:val="auto"/>
          <w:sz w:val="24"/>
          <w:highlight w:val="none"/>
          <w:u w:val="none"/>
          <w:lang w:val="en-US" w:eastAsia="zh-CN"/>
        </w:rPr>
        <w:t>六</w:t>
      </w:r>
      <w:r>
        <w:rPr>
          <w:rFonts w:hint="eastAsia" w:asciiTheme="minorEastAsia" w:hAnsiTheme="minorEastAsia" w:cstheme="minorEastAsia"/>
          <w:color w:val="auto"/>
          <w:sz w:val="24"/>
          <w:highlight w:val="none"/>
          <w:u w:val="none"/>
        </w:rPr>
        <w:t>、</w:t>
      </w:r>
      <w:r>
        <w:rPr>
          <w:rFonts w:hint="eastAsia" w:asciiTheme="minorEastAsia" w:hAnsiTheme="minorEastAsia" w:cstheme="minorEastAsia"/>
          <w:color w:val="auto"/>
          <w:highlight w:val="none"/>
          <w:u w:val="none"/>
        </w:rPr>
        <w:t>盐城市政府采购事前信用承诺书</w:t>
      </w:r>
    </w:p>
    <w:p w14:paraId="5654C402">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color w:val="auto"/>
          <w:highlight w:val="none"/>
        </w:rPr>
      </w:pPr>
    </w:p>
    <w:p w14:paraId="4930105F">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color w:val="auto"/>
          <w:highlight w:val="none"/>
        </w:rPr>
      </w:pPr>
      <w:r>
        <w:rPr>
          <w:color w:val="auto"/>
          <w:highlight w:val="none"/>
        </w:rPr>
        <w:t> </w:t>
      </w:r>
    </w:p>
    <w:p w14:paraId="7C25E52B">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color w:val="auto"/>
          <w:highlight w:val="none"/>
        </w:rPr>
      </w:pPr>
    </w:p>
    <w:p w14:paraId="67A20531">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color w:val="auto"/>
          <w:highlight w:val="none"/>
        </w:rPr>
      </w:pPr>
    </w:p>
    <w:p w14:paraId="7937584A">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color w:val="auto"/>
          <w:highlight w:val="none"/>
        </w:rPr>
      </w:pPr>
    </w:p>
    <w:p w14:paraId="7118F189">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color w:val="auto"/>
          <w:highlight w:val="none"/>
        </w:rPr>
      </w:pPr>
      <w:r>
        <w:rPr>
          <w:color w:val="auto"/>
          <w:highlight w:val="none"/>
        </w:rPr>
        <w:t> </w:t>
      </w:r>
    </w:p>
    <w:p w14:paraId="1F95B418">
      <w:pPr>
        <w:pageBreakBefore w:val="0"/>
        <w:kinsoku/>
        <w:wordWrap/>
        <w:overflowPunct/>
        <w:topLinePunct w:val="0"/>
        <w:autoSpaceDE/>
        <w:autoSpaceDN/>
        <w:bidi w:val="0"/>
        <w:adjustRightInd/>
        <w:snapToGrid/>
        <w:spacing w:line="348" w:lineRule="auto"/>
        <w:textAlignment w:val="auto"/>
        <w:rPr>
          <w:color w:val="auto"/>
          <w:highlight w:val="none"/>
        </w:rPr>
      </w:pPr>
      <w:r>
        <w:rPr>
          <w:color w:val="auto"/>
          <w:highlight w:val="none"/>
        </w:rPr>
        <w:br w:type="page" w:clear="all"/>
      </w:r>
    </w:p>
    <w:p w14:paraId="468A6BF8">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t>一、法人或者其他组织的营业执照等证明文件，自然人的身份证明</w:t>
      </w:r>
    </w:p>
    <w:p w14:paraId="36817157">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color w:val="auto"/>
          <w:highlight w:val="none"/>
        </w:rPr>
      </w:pPr>
      <w:r>
        <w:rPr>
          <w:color w:val="auto"/>
          <w:highlight w:val="none"/>
        </w:rPr>
        <w:t> </w:t>
      </w:r>
    </w:p>
    <w:p w14:paraId="5A3D4B68">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t>二、上一年度的财务状况报表</w:t>
      </w:r>
      <w:r>
        <w:rPr>
          <w:rFonts w:hint="eastAsia" w:asciiTheme="minorEastAsia" w:hAnsiTheme="minorEastAsia" w:cstheme="minorEastAsia"/>
          <w:color w:val="auto"/>
          <w:highlight w:val="none"/>
          <w:u w:val="none"/>
        </w:rPr>
        <w:t>（</w:t>
      </w:r>
      <w:r>
        <w:rPr>
          <w:rFonts w:hint="eastAsia" w:ascii="宋体" w:hAnsi="宋体" w:eastAsia="宋体" w:cs="宋体"/>
          <w:i w:val="0"/>
          <w:iCs/>
          <w:color w:val="auto"/>
          <w:kern w:val="0"/>
          <w:sz w:val="24"/>
          <w:szCs w:val="24"/>
          <w:highlight w:val="none"/>
          <w:u w:val="none"/>
          <w:lang w:val="en-US" w:eastAsia="zh-CN" w:bidi="ar-SA"/>
        </w:rPr>
        <w:t>投标人成立不满一年无需提供</w:t>
      </w:r>
      <w:r>
        <w:rPr>
          <w:rFonts w:hint="eastAsia" w:asciiTheme="minorEastAsia" w:hAnsiTheme="minorEastAsia" w:cstheme="minorEastAsia"/>
          <w:color w:val="auto"/>
          <w:highlight w:val="none"/>
          <w:u w:val="none"/>
        </w:rPr>
        <w:t>）</w:t>
      </w:r>
    </w:p>
    <w:p w14:paraId="76E2CEE1">
      <w:pPr>
        <w:pStyle w:val="27"/>
        <w:pageBreakBefore w:val="0"/>
        <w:kinsoku/>
        <w:wordWrap/>
        <w:overflowPunct/>
        <w:topLinePunct w:val="0"/>
        <w:autoSpaceDE/>
        <w:autoSpaceDN/>
        <w:bidi w:val="0"/>
        <w:adjustRightInd/>
        <w:snapToGrid/>
        <w:spacing w:beforeAutospacing="0" w:afterAutospacing="0" w:line="348" w:lineRule="auto"/>
        <w:jc w:val="both"/>
        <w:textAlignment w:val="auto"/>
        <w:rPr>
          <w:color w:val="auto"/>
          <w:highlight w:val="none"/>
        </w:rPr>
      </w:pPr>
      <w:r>
        <w:rPr>
          <w:color w:val="auto"/>
          <w:highlight w:val="none"/>
        </w:rPr>
        <w:t> </w:t>
      </w:r>
    </w:p>
    <w:p w14:paraId="00763322">
      <w:pPr>
        <w:pStyle w:val="27"/>
        <w:pageBreakBefore w:val="0"/>
        <w:kinsoku/>
        <w:wordWrap/>
        <w:overflowPunct/>
        <w:topLinePunct w:val="0"/>
        <w:autoSpaceDE/>
        <w:autoSpaceDN/>
        <w:bidi w:val="0"/>
        <w:adjustRightInd/>
        <w:snapToGrid/>
        <w:spacing w:beforeAutospacing="0" w:afterAutospacing="0" w:line="348" w:lineRule="auto"/>
        <w:jc w:val="both"/>
        <w:textAlignment w:val="auto"/>
        <w:rPr>
          <w:color w:val="auto"/>
          <w:sz w:val="24"/>
          <w:szCs w:val="24"/>
          <w:highlight w:val="none"/>
        </w:rPr>
      </w:pPr>
      <w:r>
        <w:rPr>
          <w:rFonts w:hint="eastAsia" w:ascii="黑体" w:hAnsi="宋体" w:eastAsia="黑体" w:cs="黑体"/>
          <w:color w:val="auto"/>
          <w:sz w:val="24"/>
          <w:szCs w:val="24"/>
          <w:highlight w:val="none"/>
        </w:rPr>
        <w:t>三、具备履行合同所必需的设备和专业技术能力的书面声明</w:t>
      </w:r>
    </w:p>
    <w:p w14:paraId="44AB7C83">
      <w:pPr>
        <w:pStyle w:val="27"/>
        <w:pageBreakBefore w:val="0"/>
        <w:kinsoku/>
        <w:wordWrap/>
        <w:overflowPunct/>
        <w:topLinePunct w:val="0"/>
        <w:autoSpaceDE/>
        <w:autoSpaceDN/>
        <w:bidi w:val="0"/>
        <w:adjustRightInd/>
        <w:snapToGrid/>
        <w:spacing w:beforeAutospacing="0" w:afterAutospacing="0" w:line="348" w:lineRule="auto"/>
        <w:ind w:firstLine="492"/>
        <w:jc w:val="both"/>
        <w:textAlignment w:val="auto"/>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0095F97A">
      <w:pPr>
        <w:pStyle w:val="27"/>
        <w:pageBreakBefore w:val="0"/>
        <w:kinsoku/>
        <w:wordWrap/>
        <w:overflowPunct/>
        <w:topLinePunct w:val="0"/>
        <w:autoSpaceDE/>
        <w:autoSpaceDN/>
        <w:bidi w:val="0"/>
        <w:adjustRightInd/>
        <w:snapToGrid/>
        <w:spacing w:beforeAutospacing="0" w:afterAutospacing="0" w:line="348" w:lineRule="auto"/>
        <w:ind w:firstLine="492"/>
        <w:jc w:val="both"/>
        <w:textAlignment w:val="auto"/>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w:t>
      </w:r>
      <w:r>
        <w:rPr>
          <w:rFonts w:hint="eastAsia" w:ascii="宋体" w:hAnsi="宋体" w:eastAsia="宋体" w:cs="宋体"/>
          <w:color w:val="auto"/>
          <w:highlight w:val="none"/>
        </w:rPr>
        <w:t>。</w:t>
      </w:r>
    </w:p>
    <w:p w14:paraId="51A0C98E">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6C9B6295">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ascii="宋体" w:hAnsi="宋体" w:eastAsia="宋体" w:cs="宋体"/>
          <w:color w:val="auto"/>
          <w:highlight w:val="none"/>
        </w:rPr>
      </w:pPr>
    </w:p>
    <w:p w14:paraId="5659F35A">
      <w:pPr>
        <w:pageBreakBefore w:val="0"/>
        <w:kinsoku/>
        <w:wordWrap/>
        <w:overflowPunct/>
        <w:topLinePunct w:val="0"/>
        <w:autoSpaceDE/>
        <w:autoSpaceDN/>
        <w:bidi w:val="0"/>
        <w:adjustRightInd/>
        <w:snapToGrid/>
        <w:spacing w:line="348" w:lineRule="auto"/>
        <w:ind w:left="5760" w:hanging="5760"/>
        <w:jc w:val="right"/>
        <w:textAlignment w:val="auto"/>
        <w:rPr>
          <w:rFonts w:ascii="宋体" w:hAnsi="宋体" w:eastAsia="仿宋" w:cs="Times New Roman"/>
          <w:bCs/>
          <w:color w:val="auto"/>
          <w:sz w:val="24"/>
          <w:szCs w:val="21"/>
          <w:highlight w:val="none"/>
        </w:rPr>
      </w:pPr>
      <w:r>
        <w:rPr>
          <w:rFonts w:hint="eastAsia" w:ascii="宋体" w:hAnsi="宋体" w:eastAsia="宋体" w:cs="宋体"/>
          <w:bCs/>
          <w:color w:val="auto"/>
          <w:sz w:val="24"/>
          <w:szCs w:val="21"/>
          <w:highlight w:val="none"/>
        </w:rPr>
        <w:t>供应商名称（公章）</w:t>
      </w:r>
      <w:r>
        <w:rPr>
          <w:rFonts w:hint="eastAsia" w:ascii="宋体" w:hAnsi="宋体" w:eastAsia="仿宋" w:cs="Times New Roman"/>
          <w:bCs/>
          <w:color w:val="auto"/>
          <w:sz w:val="24"/>
          <w:szCs w:val="21"/>
          <w:highlight w:val="none"/>
        </w:rPr>
        <w:t>：</w:t>
      </w:r>
      <w:r>
        <w:rPr>
          <w:rFonts w:hint="eastAsia" w:ascii="宋体" w:hAnsi="宋体" w:eastAsia="宋体" w:cs="宋体"/>
          <w:b/>
          <w:iCs/>
          <w:color w:val="auto"/>
          <w:sz w:val="24"/>
          <w:szCs w:val="21"/>
          <w:highlight w:val="none"/>
          <w:u w:val="single"/>
        </w:rPr>
        <w:t>（加盖CA电子公章）</w:t>
      </w:r>
    </w:p>
    <w:p w14:paraId="6C1F5514">
      <w:pPr>
        <w:pageBreakBefore w:val="0"/>
        <w:kinsoku/>
        <w:wordWrap/>
        <w:overflowPunct/>
        <w:topLinePunct w:val="0"/>
        <w:autoSpaceDE/>
        <w:autoSpaceDN/>
        <w:bidi w:val="0"/>
        <w:adjustRightInd/>
        <w:snapToGrid/>
        <w:spacing w:line="348" w:lineRule="auto"/>
        <w:ind w:left="4588"/>
        <w:textAlignment w:val="auto"/>
        <w:rPr>
          <w:rFonts w:ascii="宋体" w:hAnsi="宋体" w:eastAsia="仿宋" w:cs="Times New Roman"/>
          <w:color w:val="auto"/>
          <w:sz w:val="28"/>
          <w:szCs w:val="21"/>
          <w:highlight w:val="none"/>
        </w:rPr>
      </w:pPr>
      <w:r>
        <w:rPr>
          <w:rFonts w:hint="eastAsia" w:ascii="宋体" w:hAnsi="宋体" w:eastAsia="宋体" w:cs="宋体"/>
          <w:bCs/>
          <w:color w:val="auto"/>
          <w:sz w:val="24"/>
          <w:szCs w:val="21"/>
          <w:highlight w:val="none"/>
        </w:rPr>
        <w:t>日    期：   年   月   日</w:t>
      </w:r>
    </w:p>
    <w:p w14:paraId="151906AE">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t>四、依法缴纳税收和社会保障资金的相关材料</w:t>
      </w:r>
    </w:p>
    <w:p w14:paraId="2FAEEEE8">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                     </w:t>
      </w:r>
    </w:p>
    <w:p w14:paraId="36CF6DAF">
      <w:pPr>
        <w:pStyle w:val="27"/>
        <w:pageBreakBefore w:val="0"/>
        <w:kinsoku/>
        <w:wordWrap/>
        <w:overflowPunct/>
        <w:topLinePunct w:val="0"/>
        <w:autoSpaceDE/>
        <w:autoSpaceDN/>
        <w:bidi w:val="0"/>
        <w:adjustRightInd/>
        <w:snapToGrid/>
        <w:spacing w:beforeAutospacing="0" w:afterAutospacing="0" w:line="348" w:lineRule="auto"/>
        <w:jc w:val="both"/>
        <w:textAlignment w:val="auto"/>
        <w:rPr>
          <w:color w:val="auto"/>
          <w:highlight w:val="none"/>
        </w:rPr>
      </w:pPr>
      <w:r>
        <w:rPr>
          <w:color w:val="auto"/>
          <w:highlight w:val="none"/>
        </w:rPr>
        <w:t> </w:t>
      </w:r>
    </w:p>
    <w:p w14:paraId="4A80D228">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t>五、参加政府采购活动前 3 年内在经营活动中没有重大违法记录的书面声明</w:t>
      </w:r>
    </w:p>
    <w:p w14:paraId="4DA0540D">
      <w:pPr>
        <w:pageBreakBefore w:val="0"/>
        <w:kinsoku/>
        <w:wordWrap/>
        <w:overflowPunct/>
        <w:topLinePunct w:val="0"/>
        <w:autoSpaceDE/>
        <w:autoSpaceDN/>
        <w:bidi w:val="0"/>
        <w:adjustRightInd/>
        <w:snapToGrid/>
        <w:spacing w:line="348" w:lineRule="auto"/>
        <w:jc w:val="center"/>
        <w:textAlignment w:val="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声  明</w:t>
      </w:r>
    </w:p>
    <w:p w14:paraId="7B32CACF">
      <w:pPr>
        <w:pStyle w:val="27"/>
        <w:pageBreakBefore w:val="0"/>
        <w:kinsoku/>
        <w:wordWrap/>
        <w:overflowPunct/>
        <w:topLinePunct w:val="0"/>
        <w:autoSpaceDE/>
        <w:autoSpaceDN/>
        <w:bidi w:val="0"/>
        <w:adjustRightInd/>
        <w:snapToGrid/>
        <w:spacing w:beforeAutospacing="0" w:afterAutospacing="0" w:line="348" w:lineRule="auto"/>
        <w:ind w:firstLine="86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54C9AF09">
      <w:pPr>
        <w:pStyle w:val="27"/>
        <w:pageBreakBefore w:val="0"/>
        <w:kinsoku/>
        <w:wordWrap/>
        <w:overflowPunct/>
        <w:topLinePunct w:val="0"/>
        <w:autoSpaceDE/>
        <w:autoSpaceDN/>
        <w:bidi w:val="0"/>
        <w:adjustRightInd/>
        <w:snapToGrid/>
        <w:spacing w:beforeAutospacing="0" w:afterAutospacing="0" w:line="348" w:lineRule="auto"/>
        <w:ind w:firstLine="86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我单位负责人为同一人或存在控股、管理关系的不同单位，不同时参加本项目投标，否则相关投标均无效。</w:t>
      </w:r>
    </w:p>
    <w:p w14:paraId="34865B92">
      <w:pPr>
        <w:pStyle w:val="27"/>
        <w:pageBreakBefore w:val="0"/>
        <w:kinsoku/>
        <w:wordWrap/>
        <w:overflowPunct/>
        <w:topLinePunct w:val="0"/>
        <w:autoSpaceDE/>
        <w:autoSpaceDN/>
        <w:bidi w:val="0"/>
        <w:adjustRightInd/>
        <w:snapToGrid/>
        <w:spacing w:beforeAutospacing="0" w:afterAutospacing="0" w:line="348" w:lineRule="auto"/>
        <w:ind w:firstLine="86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我单位承诺未被列入“信用中国”网(www.creditchina.gov.cn)、中国政府采购网(www.ccgp.gov.cn)渠道信用记录失信被执行人、重大税收违法案件当事人名单、政府采购严重违法失信行为记录名单。</w:t>
      </w:r>
    </w:p>
    <w:p w14:paraId="47F9FFBB">
      <w:pPr>
        <w:pageBreakBefore w:val="0"/>
        <w:kinsoku/>
        <w:wordWrap/>
        <w:overflowPunct/>
        <w:topLinePunct w:val="0"/>
        <w:autoSpaceDE/>
        <w:autoSpaceDN/>
        <w:bidi w:val="0"/>
        <w:adjustRightInd/>
        <w:snapToGrid/>
        <w:spacing w:line="348" w:lineRule="auto"/>
        <w:jc w:val="center"/>
        <w:textAlignment w:val="auto"/>
        <w:rPr>
          <w:rFonts w:ascii="宋体" w:hAnsi="宋体" w:eastAsia="宋体" w:cs="宋体"/>
          <w:bCs/>
          <w:color w:val="auto"/>
          <w:sz w:val="24"/>
          <w:highlight w:val="none"/>
        </w:rPr>
      </w:pPr>
      <w:r>
        <w:rPr>
          <w:color w:val="auto"/>
          <w:highlight w:val="none"/>
        </w:rPr>
        <w:t> </w:t>
      </w: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供应商名称（公章）：</w:t>
      </w:r>
      <w:r>
        <w:rPr>
          <w:rFonts w:hint="eastAsia" w:ascii="宋体" w:hAnsi="宋体" w:eastAsia="宋体" w:cs="宋体"/>
          <w:b/>
          <w:i/>
          <w:iCs/>
          <w:color w:val="auto"/>
          <w:sz w:val="24"/>
          <w:highlight w:val="none"/>
          <w:u w:val="single"/>
        </w:rPr>
        <w:t>（加盖CA电子公章）</w:t>
      </w:r>
    </w:p>
    <w:p w14:paraId="075A4A3A">
      <w:pPr>
        <w:pageBreakBefore w:val="0"/>
        <w:kinsoku/>
        <w:wordWrap/>
        <w:overflowPunct/>
        <w:topLinePunct w:val="0"/>
        <w:autoSpaceDE/>
        <w:autoSpaceDN/>
        <w:bidi w:val="0"/>
        <w:adjustRightInd/>
        <w:snapToGrid/>
        <w:spacing w:line="348" w:lineRule="auto"/>
        <w:textAlignment w:val="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val="en-US" w:eastAsia="zh-CN"/>
        </w:rPr>
        <w:t xml:space="preserve">                       </w:t>
      </w:r>
      <w:r>
        <w:rPr>
          <w:rFonts w:hint="eastAsia" w:ascii="宋体" w:hAnsi="宋体" w:cs="宋体"/>
          <w:bCs/>
          <w:color w:val="auto"/>
          <w:sz w:val="24"/>
          <w:highlight w:val="none"/>
        </w:rPr>
        <w:t>法定代表人或授权委托人（签字或盖章）</w:t>
      </w:r>
      <w:r>
        <w:rPr>
          <w:rFonts w:hint="eastAsia" w:ascii="宋体" w:hAnsi="宋体" w:eastAsia="宋体" w:cs="宋体"/>
          <w:bCs/>
          <w:color w:val="auto"/>
          <w:sz w:val="24"/>
          <w:highlight w:val="none"/>
        </w:rPr>
        <w:t>：</w:t>
      </w:r>
    </w:p>
    <w:p w14:paraId="388F689E">
      <w:pPr>
        <w:pageBreakBefore w:val="0"/>
        <w:kinsoku/>
        <w:wordWrap/>
        <w:overflowPunct/>
        <w:topLinePunct w:val="0"/>
        <w:autoSpaceDE/>
        <w:autoSpaceDN/>
        <w:bidi w:val="0"/>
        <w:adjustRightInd/>
        <w:snapToGrid/>
        <w:spacing w:line="348" w:lineRule="auto"/>
        <w:jc w:val="center"/>
        <w:textAlignment w:val="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日</w:t>
      </w:r>
    </w:p>
    <w:p w14:paraId="7104B74D">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hint="eastAsia" w:ascii="黑体" w:hAnsi="宋体" w:eastAsia="黑体" w:cs="黑体"/>
          <w:color w:val="auto"/>
          <w:sz w:val="32"/>
          <w:szCs w:val="32"/>
          <w:highlight w:val="none"/>
          <w:u w:val="single"/>
        </w:rPr>
      </w:pPr>
    </w:p>
    <w:p w14:paraId="49E23B48">
      <w:pPr>
        <w:pageBreakBefore w:val="0"/>
        <w:kinsoku/>
        <w:wordWrap/>
        <w:overflowPunct/>
        <w:topLinePunct w:val="0"/>
        <w:autoSpaceDE/>
        <w:autoSpaceDN/>
        <w:bidi w:val="0"/>
        <w:adjustRightInd/>
        <w:snapToGrid/>
        <w:spacing w:line="348" w:lineRule="auto"/>
        <w:jc w:val="both"/>
        <w:textAlignment w:val="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六、特定资格要求的证明文件</w:t>
      </w:r>
    </w:p>
    <w:p w14:paraId="5B77585C">
      <w:pPr>
        <w:pageBreakBefore w:val="0"/>
        <w:kinsoku/>
        <w:wordWrap/>
        <w:overflowPunct/>
        <w:topLinePunct w:val="0"/>
        <w:autoSpaceDE/>
        <w:autoSpaceDN/>
        <w:bidi w:val="0"/>
        <w:adjustRightInd/>
        <w:snapToGrid/>
        <w:spacing w:line="348" w:lineRule="auto"/>
        <w:ind w:firstLine="480" w:firstLineChars="200"/>
        <w:jc w:val="both"/>
        <w:textAlignment w:val="auto"/>
        <w:rPr>
          <w:rFonts w:hint="default" w:ascii="Times New Roman" w:hAnsi="Times New Roman" w:cs="Times New Roman" w:eastAsiaTheme="minorEastAsia"/>
          <w:color w:val="auto"/>
          <w:sz w:val="24"/>
          <w:szCs w:val="24"/>
          <w:highlight w:val="none"/>
          <w:lang w:val="en-US" w:eastAsia="zh-CN" w:bidi="ar-SA"/>
        </w:rPr>
      </w:pPr>
      <w:r>
        <w:rPr>
          <w:rFonts w:hint="eastAsia" w:ascii="Times New Roman" w:hAnsi="Times New Roman" w:cs="Times New Roman" w:eastAsiaTheme="minorEastAsia"/>
          <w:color w:val="auto"/>
          <w:sz w:val="24"/>
          <w:szCs w:val="24"/>
          <w:highlight w:val="none"/>
          <w:lang w:val="en-US" w:eastAsia="zh-CN" w:bidi="ar-SA"/>
        </w:rPr>
        <w:t>  如果本项目申请人的特定资格要求中要求提供的，必须提供。</w:t>
      </w:r>
    </w:p>
    <w:p w14:paraId="1950BCBA">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hint="eastAsia" w:ascii="宋体" w:hAnsi="宋体" w:eastAsia="宋体" w:cs="宋体"/>
          <w:color w:val="auto"/>
          <w:highlight w:val="none"/>
        </w:rPr>
      </w:pPr>
    </w:p>
    <w:p w14:paraId="472D5FF0">
      <w:pPr>
        <w:pageBreakBefore w:val="0"/>
        <w:kinsoku/>
        <w:wordWrap/>
        <w:overflowPunct/>
        <w:topLinePunct w:val="0"/>
        <w:autoSpaceDE/>
        <w:autoSpaceDN/>
        <w:bidi w:val="0"/>
        <w:adjustRightInd/>
        <w:snapToGrid/>
        <w:spacing w:line="348" w:lineRule="auto"/>
        <w:jc w:val="both"/>
        <w:textAlignment w:val="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七、法人授权书</w:t>
      </w:r>
    </w:p>
    <w:p w14:paraId="0837C8FB">
      <w:pPr>
        <w:pStyle w:val="27"/>
        <w:pageBreakBefore w:val="0"/>
        <w:tabs>
          <w:tab w:val="left" w:pos="360"/>
        </w:tabs>
        <w:kinsoku/>
        <w:wordWrap/>
        <w:overflowPunct/>
        <w:topLinePunct w:val="0"/>
        <w:autoSpaceDE/>
        <w:autoSpaceDN/>
        <w:bidi w:val="0"/>
        <w:adjustRightInd/>
        <w:snapToGrid/>
        <w:spacing w:beforeAutospacing="0" w:afterAutospacing="0" w:line="348" w:lineRule="auto"/>
        <w:ind w:firstLine="480"/>
        <w:jc w:val="both"/>
        <w:textAlignment w:val="auto"/>
        <w:rPr>
          <w:rFonts w:ascii="Times New Roman" w:hAnsi="Times New Roman"/>
          <w:color w:val="auto"/>
          <w:highlight w:val="none"/>
        </w:rPr>
      </w:pPr>
    </w:p>
    <w:p w14:paraId="74CCC243">
      <w:pPr>
        <w:pStyle w:val="27"/>
        <w:pageBreakBefore w:val="0"/>
        <w:tabs>
          <w:tab w:val="left" w:pos="360"/>
        </w:tabs>
        <w:kinsoku/>
        <w:wordWrap/>
        <w:overflowPunct/>
        <w:topLinePunct w:val="0"/>
        <w:autoSpaceDE/>
        <w:autoSpaceDN/>
        <w:bidi w:val="0"/>
        <w:adjustRightInd/>
        <w:snapToGrid/>
        <w:spacing w:beforeAutospacing="0" w:afterAutospacing="0" w:line="348" w:lineRule="auto"/>
        <w:ind w:firstLine="480"/>
        <w:jc w:val="both"/>
        <w:textAlignment w:val="auto"/>
        <w:rPr>
          <w:color w:val="auto"/>
          <w:highlight w:val="none"/>
        </w:rPr>
      </w:pPr>
      <w:r>
        <w:rPr>
          <w:rFonts w:ascii="Times New Roman" w:hAnsi="Times New Roman"/>
          <w:color w:val="auto"/>
          <w:highlight w:val="none"/>
        </w:rPr>
        <w:t>本授权书声明：____________（供应商名称）授权________________（被授权人的姓名）为我方就</w:t>
      </w:r>
      <w:r>
        <w:rPr>
          <w:rFonts w:ascii="Times New Roman" w:hAnsi="Times New Roman"/>
          <w:color w:val="auto"/>
          <w:highlight w:val="none"/>
          <w:u w:val="single"/>
        </w:rPr>
        <w:t>JSZC-</w:t>
      </w:r>
      <w:r>
        <w:rPr>
          <w:rFonts w:hint="eastAsia" w:ascii="Times New Roman" w:hAnsi="Times New Roman"/>
          <w:color w:val="auto"/>
          <w:highlight w:val="none"/>
          <w:u w:val="single"/>
          <w:lang w:val="en-US" w:eastAsia="zh-CN"/>
        </w:rPr>
        <w:t xml:space="preserve">         </w:t>
      </w:r>
      <w:r>
        <w:rPr>
          <w:rFonts w:ascii="Times New Roman" w:hAnsi="Times New Roman"/>
          <w:color w:val="auto"/>
          <w:highlight w:val="none"/>
        </w:rPr>
        <w:t>号项目采购活动的合法代理人，以本单位名义全权处理一切与该项目采购有关的事务。</w:t>
      </w:r>
    </w:p>
    <w:p w14:paraId="1F86FE23">
      <w:pPr>
        <w:pStyle w:val="27"/>
        <w:pageBreakBefore w:val="0"/>
        <w:tabs>
          <w:tab w:val="left" w:pos="360"/>
        </w:tabs>
        <w:kinsoku/>
        <w:wordWrap/>
        <w:overflowPunct/>
        <w:topLinePunct w:val="0"/>
        <w:autoSpaceDE/>
        <w:autoSpaceDN/>
        <w:bidi w:val="0"/>
        <w:adjustRightInd/>
        <w:snapToGrid/>
        <w:spacing w:beforeAutospacing="0" w:afterAutospacing="0" w:line="348" w:lineRule="auto"/>
        <w:ind w:firstLine="480"/>
        <w:jc w:val="both"/>
        <w:textAlignment w:val="auto"/>
        <w:rPr>
          <w:color w:val="auto"/>
          <w:highlight w:val="none"/>
        </w:rPr>
      </w:pPr>
      <w:r>
        <w:rPr>
          <w:rFonts w:ascii="Times New Roman" w:hAnsi="Times New Roman"/>
          <w:color w:val="auto"/>
          <w:highlight w:val="none"/>
        </w:rPr>
        <w:t>本授权书于______年____月____日起生效，特此声明。</w:t>
      </w:r>
    </w:p>
    <w:p w14:paraId="4BAB7A7C">
      <w:pPr>
        <w:pStyle w:val="27"/>
        <w:pageBreakBefore w:val="0"/>
        <w:tabs>
          <w:tab w:val="left" w:pos="360"/>
        </w:tabs>
        <w:kinsoku/>
        <w:wordWrap/>
        <w:overflowPunct/>
        <w:topLinePunct w:val="0"/>
        <w:autoSpaceDE/>
        <w:autoSpaceDN/>
        <w:bidi w:val="0"/>
        <w:adjustRightInd/>
        <w:snapToGrid/>
        <w:spacing w:beforeAutospacing="0" w:afterAutospacing="0" w:line="348" w:lineRule="auto"/>
        <w:jc w:val="both"/>
        <w:textAlignment w:val="auto"/>
        <w:rPr>
          <w:color w:val="auto"/>
          <w:highlight w:val="none"/>
        </w:rPr>
      </w:pPr>
      <w:r>
        <w:rPr>
          <w:rFonts w:ascii="Times New Roman" w:hAnsi="Times New Roman"/>
          <w:color w:val="auto"/>
          <w:highlight w:val="none"/>
        </w:rPr>
        <w:t xml:space="preserve">          </w:t>
      </w:r>
      <w:r>
        <w:rPr>
          <w:rFonts w:hint="eastAsia" w:ascii="Times New Roman" w:hAnsi="Times New Roman"/>
          <w:color w:val="auto"/>
          <w:highlight w:val="none"/>
        </w:rPr>
        <w:t xml:space="preserve">    </w:t>
      </w:r>
      <w:r>
        <w:rPr>
          <w:rFonts w:ascii="Times New Roman" w:hAnsi="Times New Roman"/>
          <w:color w:val="auto"/>
          <w:highlight w:val="none"/>
        </w:rPr>
        <w:t>被授权人身份证号码：</w:t>
      </w:r>
      <w:r>
        <w:rPr>
          <w:rFonts w:ascii="Times New Roman" w:hAnsi="Times New Roman"/>
          <w:color w:val="auto"/>
          <w:highlight w:val="none"/>
          <w:u w:val="single"/>
        </w:rPr>
        <w:t xml:space="preserve">                              </w:t>
      </w:r>
    </w:p>
    <w:p w14:paraId="361819A4">
      <w:pPr>
        <w:pStyle w:val="27"/>
        <w:pageBreakBefore w:val="0"/>
        <w:tabs>
          <w:tab w:val="left" w:pos="360"/>
        </w:tabs>
        <w:kinsoku/>
        <w:wordWrap/>
        <w:overflowPunct/>
        <w:topLinePunct w:val="0"/>
        <w:autoSpaceDE/>
        <w:autoSpaceDN/>
        <w:bidi w:val="0"/>
        <w:adjustRightInd/>
        <w:snapToGrid/>
        <w:spacing w:beforeAutospacing="0" w:afterAutospacing="0" w:line="348" w:lineRule="auto"/>
        <w:jc w:val="both"/>
        <w:textAlignment w:val="auto"/>
        <w:rPr>
          <w:rFonts w:ascii="Times New Roman" w:hAnsi="Times New Roman"/>
          <w:color w:val="auto"/>
          <w:highlight w:val="none"/>
          <w:u w:val="single"/>
        </w:rPr>
      </w:pPr>
      <w:r>
        <w:rPr>
          <w:rFonts w:ascii="Times New Roman" w:hAnsi="Times New Roman"/>
          <w:color w:val="auto"/>
          <w:highlight w:val="none"/>
        </w:rPr>
        <w:t>        </w:t>
      </w:r>
      <w:r>
        <w:rPr>
          <w:rFonts w:hint="eastAsia" w:ascii="Times New Roman" w:hAnsi="Times New Roman"/>
          <w:color w:val="auto"/>
          <w:highlight w:val="none"/>
        </w:rPr>
        <w:t xml:space="preserve">    </w:t>
      </w: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4E19FA65">
      <w:pPr>
        <w:pStyle w:val="27"/>
        <w:pageBreakBefore w:val="0"/>
        <w:tabs>
          <w:tab w:val="left" w:pos="360"/>
        </w:tabs>
        <w:kinsoku/>
        <w:wordWrap/>
        <w:overflowPunct/>
        <w:topLinePunct w:val="0"/>
        <w:autoSpaceDE/>
        <w:autoSpaceDN/>
        <w:bidi w:val="0"/>
        <w:adjustRightInd/>
        <w:snapToGrid/>
        <w:spacing w:beforeAutospacing="0" w:afterAutospacing="0" w:line="348" w:lineRule="auto"/>
        <w:ind w:right="480" w:firstLine="1080"/>
        <w:textAlignment w:val="auto"/>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078699F8">
      <w:pPr>
        <w:pStyle w:val="27"/>
        <w:pageBreakBefore w:val="0"/>
        <w:tabs>
          <w:tab w:val="left" w:pos="360"/>
        </w:tabs>
        <w:kinsoku/>
        <w:wordWrap/>
        <w:overflowPunct/>
        <w:topLinePunct w:val="0"/>
        <w:autoSpaceDE/>
        <w:autoSpaceDN/>
        <w:bidi w:val="0"/>
        <w:adjustRightInd/>
        <w:snapToGrid/>
        <w:spacing w:beforeAutospacing="0" w:afterAutospacing="0" w:line="348" w:lineRule="auto"/>
        <w:ind w:right="480" w:firstLine="1080"/>
        <w:textAlignment w:val="auto"/>
        <w:rPr>
          <w:color w:val="auto"/>
          <w:highlight w:val="none"/>
        </w:rPr>
      </w:pPr>
      <w:r>
        <w:rPr>
          <w:rFonts w:ascii="Times New Roman" w:hAnsi="Times New Roman"/>
          <w:color w:val="auto"/>
          <w:highlight w:val="none"/>
        </w:rPr>
        <w:t>单位地址：</w:t>
      </w:r>
      <w:r>
        <w:rPr>
          <w:rFonts w:ascii="Times New Roman" w:hAnsi="Times New Roman"/>
          <w:color w:val="auto"/>
          <w:highlight w:val="none"/>
          <w:u w:val="single"/>
        </w:rPr>
        <w:t xml:space="preserve">                                         </w:t>
      </w:r>
    </w:p>
    <w:p w14:paraId="40A8E494">
      <w:pPr>
        <w:pStyle w:val="27"/>
        <w:pageBreakBefore w:val="0"/>
        <w:tabs>
          <w:tab w:val="left" w:pos="360"/>
        </w:tabs>
        <w:kinsoku/>
        <w:wordWrap/>
        <w:overflowPunct/>
        <w:topLinePunct w:val="0"/>
        <w:autoSpaceDE/>
        <w:autoSpaceDN/>
        <w:bidi w:val="0"/>
        <w:adjustRightInd/>
        <w:snapToGrid/>
        <w:spacing w:beforeAutospacing="0" w:afterAutospacing="0" w:line="348" w:lineRule="auto"/>
        <w:ind w:right="480" w:firstLine="1080"/>
        <w:textAlignment w:val="auto"/>
        <w:rPr>
          <w:color w:val="auto"/>
          <w:highlight w:val="none"/>
        </w:rPr>
      </w:pPr>
      <w:r>
        <w:rPr>
          <w:rFonts w:ascii="Times New Roman" w:hAnsi="Times New Roman"/>
          <w:color w:val="auto"/>
          <w:highlight w:val="none"/>
        </w:rPr>
        <w:t>日</w:t>
      </w:r>
      <w:r>
        <w:rPr>
          <w:rFonts w:hint="eastAsia" w:ascii="Times New Roman" w:hAnsi="Times New Roman"/>
          <w:color w:val="auto"/>
          <w:highlight w:val="none"/>
        </w:rPr>
        <w:t xml:space="preserve">    </w:t>
      </w:r>
      <w:r>
        <w:rPr>
          <w:rFonts w:ascii="Times New Roman" w:hAnsi="Times New Roman"/>
          <w:color w:val="auto"/>
          <w:highlight w:val="none"/>
        </w:rPr>
        <w:t>期：</w:t>
      </w:r>
      <w:r>
        <w:rPr>
          <w:rFonts w:ascii="Times New Roman" w:hAnsi="Times New Roman"/>
          <w:color w:val="auto"/>
          <w:highlight w:val="none"/>
          <w:u w:val="single"/>
        </w:rPr>
        <w:t xml:space="preserve">                                         </w:t>
      </w:r>
    </w:p>
    <w:p w14:paraId="6D381A4D">
      <w:pPr>
        <w:pStyle w:val="27"/>
        <w:pageBreakBefore w:val="0"/>
        <w:tabs>
          <w:tab w:val="left" w:pos="360"/>
        </w:tabs>
        <w:kinsoku/>
        <w:wordWrap/>
        <w:overflowPunct/>
        <w:topLinePunct w:val="0"/>
        <w:autoSpaceDE/>
        <w:autoSpaceDN/>
        <w:bidi w:val="0"/>
        <w:adjustRightInd/>
        <w:snapToGrid/>
        <w:spacing w:beforeAutospacing="0" w:afterAutospacing="0" w:line="348" w:lineRule="auto"/>
        <w:ind w:firstLine="480"/>
        <w:jc w:val="right"/>
        <w:textAlignment w:val="auto"/>
        <w:rPr>
          <w:color w:val="auto"/>
          <w:highlight w:val="none"/>
        </w:rPr>
      </w:pPr>
      <w:r>
        <w:rPr>
          <w:color w:val="auto"/>
          <w:highlight w:val="none"/>
        </w:rPr>
        <w:t> </w:t>
      </w:r>
    </w:p>
    <w:p w14:paraId="5CF18214">
      <w:pPr>
        <w:pStyle w:val="27"/>
        <w:pageBreakBefore w:val="0"/>
        <w:kinsoku/>
        <w:wordWrap/>
        <w:overflowPunct/>
        <w:topLinePunct w:val="0"/>
        <w:autoSpaceDE/>
        <w:autoSpaceDN/>
        <w:bidi w:val="0"/>
        <w:adjustRightInd/>
        <w:snapToGrid/>
        <w:spacing w:beforeAutospacing="0" w:afterAutospacing="0" w:line="348" w:lineRule="auto"/>
        <w:ind w:firstLine="420"/>
        <w:jc w:val="right"/>
        <w:textAlignment w:val="auto"/>
        <w:rPr>
          <w:color w:val="auto"/>
          <w:highlight w:val="none"/>
        </w:rPr>
      </w:pPr>
      <w:r>
        <w:rPr>
          <w:color w:val="auto"/>
          <w:highlight w:val="none"/>
        </w:rPr>
        <w:t> </w:t>
      </w:r>
    </w:p>
    <w:p w14:paraId="6A1C6805">
      <w:pPr>
        <w:pStyle w:val="27"/>
        <w:pageBreakBefore w:val="0"/>
        <w:kinsoku/>
        <w:wordWrap/>
        <w:overflowPunct/>
        <w:topLinePunct w:val="0"/>
        <w:autoSpaceDE/>
        <w:autoSpaceDN/>
        <w:bidi w:val="0"/>
        <w:adjustRightInd/>
        <w:snapToGrid/>
        <w:spacing w:beforeAutospacing="0" w:afterAutospacing="0" w:line="348" w:lineRule="auto"/>
        <w:jc w:val="both"/>
        <w:textAlignment w:val="auto"/>
        <w:rPr>
          <w:color w:val="auto"/>
          <w:highlight w:val="none"/>
        </w:rPr>
      </w:pPr>
      <w:r>
        <w:rPr>
          <w:color w:val="auto"/>
          <w:highlight w:val="none"/>
        </w:rPr>
        <w:t> </w:t>
      </w:r>
    </w:p>
    <w:tbl>
      <w:tblPr>
        <w:tblStyle w:val="32"/>
        <w:tblW w:w="8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04"/>
        <w:gridCol w:w="4104"/>
      </w:tblGrid>
      <w:tr w14:paraId="591BF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 w:hRule="atLeast"/>
          <w:jc w:val="center"/>
        </w:trPr>
        <w:tc>
          <w:tcPr>
            <w:tcW w:w="4104" w:type="dxa"/>
            <w:tcBorders>
              <w:top w:val="single" w:color="auto" w:sz="4" w:space="0"/>
              <w:left w:val="single" w:color="auto" w:sz="4" w:space="0"/>
              <w:bottom w:val="single" w:color="auto" w:sz="4" w:space="0"/>
              <w:right w:val="single" w:color="auto" w:sz="4" w:space="0"/>
            </w:tcBorders>
            <w:noWrap w:val="0"/>
            <w:vAlign w:val="center"/>
          </w:tcPr>
          <w:p w14:paraId="1A500A4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Times New Roman" w:eastAsia="仿宋" w:cs="Times New Roman"/>
                <w:color w:val="auto"/>
                <w:sz w:val="24"/>
                <w:highlight w:val="none"/>
              </w:rPr>
            </w:pPr>
            <w:r>
              <w:rPr>
                <w:rFonts w:hint="eastAsia" w:ascii="宋体" w:hAnsi="Times New Roman" w:eastAsia="仿宋" w:cs="Times New Roman"/>
                <w:color w:val="auto"/>
                <w:sz w:val="24"/>
                <w:highlight w:val="none"/>
              </w:rPr>
              <w:t>法定代表人有效身份证明</w:t>
            </w:r>
          </w:p>
        </w:tc>
        <w:tc>
          <w:tcPr>
            <w:tcW w:w="4104" w:type="dxa"/>
            <w:tcBorders>
              <w:top w:val="single" w:color="auto" w:sz="4" w:space="0"/>
              <w:left w:val="single" w:color="auto" w:sz="4" w:space="0"/>
              <w:bottom w:val="single" w:color="auto" w:sz="4" w:space="0"/>
              <w:right w:val="single" w:color="auto" w:sz="4" w:space="0"/>
            </w:tcBorders>
            <w:noWrap w:val="0"/>
            <w:vAlign w:val="center"/>
          </w:tcPr>
          <w:p w14:paraId="7ED16D5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Times New Roman" w:eastAsia="仿宋" w:cs="Times New Roman"/>
                <w:color w:val="auto"/>
                <w:sz w:val="24"/>
                <w:highlight w:val="none"/>
              </w:rPr>
            </w:pPr>
            <w:r>
              <w:rPr>
                <w:rFonts w:hint="eastAsia" w:ascii="宋体" w:hAnsi="Times New Roman" w:eastAsia="仿宋" w:cs="Times New Roman"/>
                <w:color w:val="auto"/>
                <w:sz w:val="24"/>
                <w:highlight w:val="none"/>
              </w:rPr>
              <w:t>委托代理人（被授权人）有效身份证明</w:t>
            </w:r>
          </w:p>
        </w:tc>
      </w:tr>
      <w:tr w14:paraId="55090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0" w:hRule="atLeast"/>
          <w:jc w:val="center"/>
        </w:trPr>
        <w:tc>
          <w:tcPr>
            <w:tcW w:w="4104" w:type="dxa"/>
            <w:tcBorders>
              <w:top w:val="single" w:color="auto" w:sz="4" w:space="0"/>
              <w:left w:val="single" w:color="auto" w:sz="4" w:space="0"/>
              <w:bottom w:val="single" w:color="auto" w:sz="4" w:space="0"/>
              <w:right w:val="single" w:color="auto" w:sz="4" w:space="0"/>
            </w:tcBorders>
            <w:noWrap w:val="0"/>
            <w:vAlign w:val="center"/>
          </w:tcPr>
          <w:p w14:paraId="7EFB037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Times New Roman" w:eastAsia="仿宋" w:cs="Times New Roman"/>
                <w:color w:val="auto"/>
                <w:sz w:val="24"/>
                <w:highlight w:val="none"/>
              </w:rPr>
            </w:pPr>
            <w:r>
              <w:rPr>
                <w:rFonts w:hint="eastAsia" w:ascii="宋体" w:hAnsi="Times New Roman" w:eastAsia="仿宋" w:cs="Times New Roman"/>
                <w:color w:val="auto"/>
                <w:sz w:val="24"/>
                <w:highlight w:val="none"/>
              </w:rPr>
              <w:t>身份证原件彩色扫描件粘贴处</w:t>
            </w:r>
          </w:p>
          <w:p w14:paraId="0560FD1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Times New Roman" w:eastAsia="仿宋" w:cs="Times New Roman"/>
                <w:color w:val="auto"/>
                <w:sz w:val="24"/>
                <w:highlight w:val="none"/>
              </w:rPr>
            </w:pPr>
            <w:r>
              <w:rPr>
                <w:rFonts w:hint="eastAsia" w:ascii="宋体" w:hAnsi="Times New Roman" w:eastAsia="仿宋" w:cs="Times New Roman"/>
                <w:color w:val="auto"/>
                <w:sz w:val="24"/>
                <w:highlight w:val="none"/>
              </w:rPr>
              <w:t>（可电子粘贴）</w:t>
            </w:r>
          </w:p>
        </w:tc>
        <w:tc>
          <w:tcPr>
            <w:tcW w:w="4104" w:type="dxa"/>
            <w:tcBorders>
              <w:top w:val="single" w:color="auto" w:sz="4" w:space="0"/>
              <w:left w:val="single" w:color="auto" w:sz="4" w:space="0"/>
              <w:bottom w:val="single" w:color="auto" w:sz="4" w:space="0"/>
              <w:right w:val="single" w:color="auto" w:sz="4" w:space="0"/>
            </w:tcBorders>
            <w:noWrap w:val="0"/>
            <w:vAlign w:val="center"/>
          </w:tcPr>
          <w:p w14:paraId="761B985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Times New Roman" w:eastAsia="仿宋" w:cs="Times New Roman"/>
                <w:color w:val="auto"/>
                <w:sz w:val="24"/>
                <w:highlight w:val="none"/>
              </w:rPr>
            </w:pPr>
            <w:r>
              <w:rPr>
                <w:rFonts w:hint="eastAsia" w:ascii="宋体" w:hAnsi="Times New Roman" w:eastAsia="仿宋" w:cs="Times New Roman"/>
                <w:color w:val="auto"/>
                <w:sz w:val="24"/>
                <w:highlight w:val="none"/>
              </w:rPr>
              <w:t>身份证原件彩色扫描件粘贴处</w:t>
            </w:r>
          </w:p>
          <w:p w14:paraId="0E77D38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ascii="宋体" w:hAnsi="Times New Roman" w:eastAsia="仿宋" w:cs="Times New Roman"/>
                <w:color w:val="auto"/>
                <w:sz w:val="24"/>
                <w:highlight w:val="none"/>
              </w:rPr>
            </w:pPr>
            <w:r>
              <w:rPr>
                <w:rFonts w:hint="eastAsia" w:ascii="宋体" w:hAnsi="Times New Roman" w:eastAsia="仿宋" w:cs="Times New Roman"/>
                <w:color w:val="auto"/>
                <w:sz w:val="24"/>
                <w:highlight w:val="none"/>
              </w:rPr>
              <w:t>（可电子粘贴）</w:t>
            </w:r>
          </w:p>
        </w:tc>
      </w:tr>
    </w:tbl>
    <w:p w14:paraId="41E53FC3">
      <w:pPr>
        <w:pStyle w:val="27"/>
        <w:pageBreakBefore w:val="0"/>
        <w:kinsoku/>
        <w:wordWrap/>
        <w:overflowPunct/>
        <w:topLinePunct w:val="0"/>
        <w:autoSpaceDE/>
        <w:autoSpaceDN/>
        <w:bidi w:val="0"/>
        <w:adjustRightInd/>
        <w:snapToGrid/>
        <w:spacing w:beforeAutospacing="0" w:afterAutospacing="0" w:line="348" w:lineRule="auto"/>
        <w:jc w:val="both"/>
        <w:textAlignment w:val="auto"/>
        <w:rPr>
          <w:color w:val="auto"/>
          <w:highlight w:val="none"/>
        </w:rPr>
      </w:pPr>
    </w:p>
    <w:p w14:paraId="121FBF28">
      <w:pPr>
        <w:pageBreakBefore w:val="0"/>
        <w:kinsoku/>
        <w:wordWrap/>
        <w:overflowPunct/>
        <w:topLinePunct w:val="0"/>
        <w:autoSpaceDE/>
        <w:autoSpaceDN/>
        <w:bidi w:val="0"/>
        <w:adjustRightInd/>
        <w:snapToGrid/>
        <w:spacing w:line="348" w:lineRule="auto"/>
        <w:jc w:val="both"/>
        <w:textAlignment w:val="auto"/>
        <w:rPr>
          <w:rFonts w:ascii="宋体" w:hAnsi="宋体" w:eastAsia="宋体" w:cs="宋体"/>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lang w:val="en-US" w:eastAsia="zh-CN"/>
        </w:rPr>
        <w:t xml:space="preserve">                                 </w:t>
      </w:r>
      <w:r>
        <w:rPr>
          <w:rFonts w:hint="eastAsia" w:ascii="宋体" w:hAnsi="宋体" w:eastAsia="宋体" w:cs="宋体"/>
          <w:b/>
          <w:bCs w:val="0"/>
          <w:color w:val="auto"/>
          <w:sz w:val="24"/>
          <w:highlight w:val="none"/>
          <w:lang w:val="en-US" w:eastAsia="zh-CN"/>
        </w:rPr>
        <w:t>八、磋商响应函</w:t>
      </w:r>
    </w:p>
    <w:p w14:paraId="58B4A621">
      <w:pPr>
        <w:pStyle w:val="27"/>
        <w:pageBreakBefore w:val="0"/>
        <w:kinsoku/>
        <w:wordWrap/>
        <w:overflowPunct/>
        <w:topLinePunct w:val="0"/>
        <w:autoSpaceDE/>
        <w:autoSpaceDN/>
        <w:bidi w:val="0"/>
        <w:adjustRightInd/>
        <w:snapToGrid/>
        <w:spacing w:beforeAutospacing="0" w:afterAutospacing="0" w:line="348" w:lineRule="auto"/>
        <w:textAlignment w:val="auto"/>
        <w:rPr>
          <w:rFonts w:hint="eastAsia" w:ascii="宋体" w:hAnsi="宋体" w:eastAsia="宋体" w:cs="宋体"/>
          <w:color w:val="auto"/>
          <w:highlight w:val="none"/>
        </w:rPr>
      </w:pPr>
    </w:p>
    <w:p w14:paraId="7716FF37">
      <w:pPr>
        <w:pStyle w:val="27"/>
        <w:pageBreakBefore w:val="0"/>
        <w:kinsoku/>
        <w:wordWrap/>
        <w:overflowPunct/>
        <w:topLinePunct w:val="0"/>
        <w:autoSpaceDE/>
        <w:autoSpaceDN/>
        <w:bidi w:val="0"/>
        <w:adjustRightInd/>
        <w:snapToGrid/>
        <w:spacing w:beforeAutospacing="0" w:afterAutospacing="0" w:line="348" w:lineRule="auto"/>
        <w:textAlignment w:val="auto"/>
        <w:rPr>
          <w:rFonts w:eastAsia="宋体"/>
          <w:color w:val="auto"/>
          <w:highlight w:val="none"/>
        </w:rPr>
      </w:pPr>
      <w:r>
        <w:rPr>
          <w:rFonts w:hint="eastAsia" w:ascii="宋体" w:hAnsi="宋体" w:eastAsia="宋体" w:cs="宋体"/>
          <w:color w:val="auto"/>
          <w:highlight w:val="none"/>
        </w:rPr>
        <w:t>致：城市政府采购中心</w:t>
      </w:r>
    </w:p>
    <w:p w14:paraId="3D6EAFEA">
      <w:pPr>
        <w:pStyle w:val="27"/>
        <w:pageBreakBefore w:val="0"/>
        <w:kinsoku/>
        <w:wordWrap/>
        <w:overflowPunct/>
        <w:topLinePunct w:val="0"/>
        <w:autoSpaceDE/>
        <w:autoSpaceDN/>
        <w:bidi w:val="0"/>
        <w:adjustRightInd/>
        <w:snapToGrid/>
        <w:spacing w:beforeAutospacing="0" w:afterAutospacing="0" w:line="348" w:lineRule="auto"/>
        <w:ind w:firstLine="480"/>
        <w:textAlignment w:val="auto"/>
        <w:rPr>
          <w:color w:val="auto"/>
          <w:highlight w:val="none"/>
        </w:rPr>
      </w:pPr>
      <w:r>
        <w:rPr>
          <w:rFonts w:hint="eastAsia" w:ascii="宋体" w:hAnsi="宋体" w:eastAsia="宋体" w:cs="宋体"/>
          <w:color w:val="auto"/>
          <w:highlight w:val="none"/>
        </w:rPr>
        <w:t>根据贵方的</w:t>
      </w:r>
      <w:r>
        <w:rPr>
          <w:rFonts w:hint="eastAsia" w:ascii="宋体" w:hAnsi="宋体" w:eastAsia="宋体" w:cs="宋体"/>
          <w:color w:val="auto"/>
          <w:highlight w:val="none"/>
          <w:u w:val="single"/>
        </w:rPr>
        <w:t>JSZC-</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号磋商文件，正式授权下述签字人_____(姓名)代表我方_________（供应商的名称），全权处理本次项目磋商的有关事宜。</w:t>
      </w:r>
    </w:p>
    <w:p w14:paraId="315C8A24">
      <w:pPr>
        <w:pStyle w:val="27"/>
        <w:pageBreakBefore w:val="0"/>
        <w:kinsoku/>
        <w:wordWrap/>
        <w:overflowPunct/>
        <w:topLinePunct w:val="0"/>
        <w:autoSpaceDE/>
        <w:autoSpaceDN/>
        <w:bidi w:val="0"/>
        <w:adjustRightInd/>
        <w:snapToGrid/>
        <w:spacing w:beforeAutospacing="0" w:afterAutospacing="0" w:line="348" w:lineRule="auto"/>
        <w:ind w:firstLine="480"/>
        <w:textAlignment w:val="auto"/>
        <w:rPr>
          <w:color w:val="auto"/>
          <w:highlight w:val="none"/>
        </w:rPr>
      </w:pPr>
      <w:r>
        <w:rPr>
          <w:rFonts w:hint="eastAsia" w:ascii="宋体" w:hAnsi="宋体" w:eastAsia="宋体" w:cs="宋体"/>
          <w:color w:val="auto"/>
          <w:highlight w:val="none"/>
        </w:rPr>
        <w:t>据此函，__________签字人兹宣布同意如下：</w:t>
      </w:r>
    </w:p>
    <w:p w14:paraId="52373966">
      <w:pPr>
        <w:pStyle w:val="27"/>
        <w:pageBreakBefore w:val="0"/>
        <w:kinsoku/>
        <w:wordWrap/>
        <w:overflowPunct/>
        <w:topLinePunct w:val="0"/>
        <w:autoSpaceDE/>
        <w:autoSpaceDN/>
        <w:bidi w:val="0"/>
        <w:adjustRightInd/>
        <w:snapToGrid/>
        <w:spacing w:beforeAutospacing="0" w:afterAutospacing="0" w:line="348" w:lineRule="auto"/>
        <w:ind w:firstLine="480"/>
        <w:textAlignment w:val="auto"/>
        <w:rPr>
          <w:color w:val="auto"/>
          <w:highlight w:val="none"/>
        </w:rPr>
      </w:pPr>
      <w:r>
        <w:rPr>
          <w:rFonts w:hint="eastAsia" w:ascii="宋体" w:hAnsi="宋体" w:eastAsia="宋体" w:cs="宋体"/>
          <w:color w:val="auto"/>
          <w:highlight w:val="none"/>
        </w:rPr>
        <w:t>1.按磋商文件规定的各项要求，向买方提供所需货物、服务（包含与货物相关的服务及与服务相关的货物）。</w:t>
      </w:r>
    </w:p>
    <w:p w14:paraId="5177A469">
      <w:pPr>
        <w:pStyle w:val="27"/>
        <w:pageBreakBefore w:val="0"/>
        <w:kinsoku/>
        <w:wordWrap/>
        <w:overflowPunct/>
        <w:topLinePunct w:val="0"/>
        <w:autoSpaceDE/>
        <w:autoSpaceDN/>
        <w:bidi w:val="0"/>
        <w:adjustRightInd/>
        <w:snapToGrid/>
        <w:spacing w:beforeAutospacing="0" w:afterAutospacing="0" w:line="348" w:lineRule="auto"/>
        <w:ind w:firstLine="480"/>
        <w:textAlignment w:val="auto"/>
        <w:rPr>
          <w:color w:val="auto"/>
          <w:highlight w:val="none"/>
        </w:rPr>
      </w:pPr>
      <w:r>
        <w:rPr>
          <w:rFonts w:hint="eastAsia" w:ascii="宋体" w:hAnsi="宋体" w:eastAsia="宋体" w:cs="宋体"/>
          <w:color w:val="auto"/>
          <w:highlight w:val="none"/>
        </w:rPr>
        <w:t>2.我们完全理解贵方不一定将合同授予最低报价的供应商。</w:t>
      </w:r>
    </w:p>
    <w:p w14:paraId="614F2F2B">
      <w:pPr>
        <w:pStyle w:val="27"/>
        <w:pageBreakBefore w:val="0"/>
        <w:kinsoku/>
        <w:wordWrap/>
        <w:overflowPunct/>
        <w:topLinePunct w:val="0"/>
        <w:autoSpaceDE/>
        <w:autoSpaceDN/>
        <w:bidi w:val="0"/>
        <w:adjustRightInd/>
        <w:snapToGrid/>
        <w:spacing w:beforeAutospacing="0" w:afterAutospacing="0" w:line="348" w:lineRule="auto"/>
        <w:ind w:firstLine="480"/>
        <w:textAlignment w:val="auto"/>
        <w:rPr>
          <w:color w:val="auto"/>
          <w:highlight w:val="none"/>
        </w:rPr>
      </w:pPr>
      <w:r>
        <w:rPr>
          <w:rFonts w:hint="eastAsia" w:ascii="宋体" w:hAnsi="宋体" w:eastAsia="宋体" w:cs="宋体"/>
          <w:color w:val="auto"/>
          <w:highlight w:val="none"/>
        </w:rPr>
        <w:t>3.我们已详细审核全部磋商文件及其有效补充文件，我们知道必须放弃提出含糊不清或误解问题的权利。</w:t>
      </w:r>
    </w:p>
    <w:p w14:paraId="2B7C9A02">
      <w:pPr>
        <w:pStyle w:val="27"/>
        <w:pageBreakBefore w:val="0"/>
        <w:kinsoku/>
        <w:wordWrap/>
        <w:overflowPunct/>
        <w:topLinePunct w:val="0"/>
        <w:autoSpaceDE/>
        <w:autoSpaceDN/>
        <w:bidi w:val="0"/>
        <w:adjustRightInd/>
        <w:snapToGrid/>
        <w:spacing w:beforeAutospacing="0" w:afterAutospacing="0" w:line="348" w:lineRule="auto"/>
        <w:ind w:firstLine="480"/>
        <w:textAlignment w:val="auto"/>
        <w:rPr>
          <w:color w:val="auto"/>
          <w:highlight w:val="none"/>
        </w:rPr>
      </w:pPr>
      <w:r>
        <w:rPr>
          <w:rFonts w:hint="eastAsia" w:ascii="宋体" w:hAnsi="宋体" w:eastAsia="宋体" w:cs="宋体"/>
          <w:color w:val="auto"/>
          <w:highlight w:val="none"/>
        </w:rPr>
        <w:t>4.我们同意从规定的开标日期起遵循本响应文件，并在规定的磋商有效期期满之前均具有约束力。</w:t>
      </w:r>
    </w:p>
    <w:p w14:paraId="432C8E95">
      <w:pPr>
        <w:pStyle w:val="27"/>
        <w:pageBreakBefore w:val="0"/>
        <w:kinsoku/>
        <w:wordWrap/>
        <w:overflowPunct/>
        <w:topLinePunct w:val="0"/>
        <w:autoSpaceDE/>
        <w:autoSpaceDN/>
        <w:bidi w:val="0"/>
        <w:adjustRightInd/>
        <w:snapToGrid/>
        <w:spacing w:beforeAutospacing="0" w:afterAutospacing="0" w:line="348" w:lineRule="auto"/>
        <w:ind w:firstLine="480"/>
        <w:textAlignment w:val="auto"/>
        <w:rPr>
          <w:color w:val="auto"/>
          <w:highlight w:val="none"/>
        </w:rPr>
      </w:pPr>
      <w:r>
        <w:rPr>
          <w:rFonts w:hint="eastAsia" w:ascii="宋体" w:hAnsi="宋体" w:eastAsia="宋体" w:cs="宋体"/>
          <w:color w:val="auto"/>
          <w:highlight w:val="none"/>
        </w:rPr>
        <w:t>5.同意向贵方提供贵方可能另外要求的与磋商有关的任何证据或资料，并保证我方已提供和将要提供的文件是真实的、准确的。</w:t>
      </w:r>
    </w:p>
    <w:p w14:paraId="4B85D1A1">
      <w:pPr>
        <w:pStyle w:val="27"/>
        <w:pageBreakBefore w:val="0"/>
        <w:kinsoku/>
        <w:wordWrap/>
        <w:overflowPunct/>
        <w:topLinePunct w:val="0"/>
        <w:autoSpaceDE/>
        <w:autoSpaceDN/>
        <w:bidi w:val="0"/>
        <w:adjustRightInd/>
        <w:snapToGrid/>
        <w:spacing w:beforeAutospacing="0" w:afterAutospacing="0" w:line="348" w:lineRule="auto"/>
        <w:ind w:firstLine="480"/>
        <w:textAlignment w:val="auto"/>
        <w:rPr>
          <w:color w:val="auto"/>
          <w:highlight w:val="none"/>
        </w:rPr>
      </w:pPr>
      <w:r>
        <w:rPr>
          <w:rFonts w:hint="eastAsia" w:ascii="宋体" w:hAnsi="宋体" w:eastAsia="宋体" w:cs="宋体"/>
          <w:color w:val="auto"/>
          <w:highlight w:val="none"/>
        </w:rPr>
        <w:t>6.一旦我方成交,我方将根据磋商文件的规定，严格履行合同的责任和义务,并保证在磋商文件规定的时间完成项目，交付买方验收、使用。</w:t>
      </w:r>
    </w:p>
    <w:p w14:paraId="5241EE1B">
      <w:pPr>
        <w:pStyle w:val="27"/>
        <w:pageBreakBefore w:val="0"/>
        <w:kinsoku/>
        <w:wordWrap/>
        <w:overflowPunct/>
        <w:topLinePunct w:val="0"/>
        <w:autoSpaceDE/>
        <w:autoSpaceDN/>
        <w:bidi w:val="0"/>
        <w:adjustRightInd/>
        <w:snapToGrid/>
        <w:spacing w:beforeAutospacing="0" w:afterAutospacing="0" w:line="348" w:lineRule="auto"/>
        <w:ind w:left="425"/>
        <w:textAlignment w:val="auto"/>
        <w:rPr>
          <w:color w:val="auto"/>
          <w:highlight w:val="none"/>
        </w:rPr>
      </w:pPr>
      <w:r>
        <w:rPr>
          <w:rFonts w:hint="eastAsia" w:ascii="宋体" w:hAnsi="宋体" w:eastAsia="宋体" w:cs="宋体"/>
          <w:color w:val="auto"/>
          <w:highlight w:val="none"/>
        </w:rPr>
        <w:t>7.我方与本磋商有关的正式通讯地址为：</w:t>
      </w:r>
    </w:p>
    <w:p w14:paraId="5BA87EBE">
      <w:pPr>
        <w:pStyle w:val="27"/>
        <w:pageBreakBefore w:val="0"/>
        <w:kinsoku/>
        <w:wordWrap/>
        <w:overflowPunct/>
        <w:topLinePunct w:val="0"/>
        <w:autoSpaceDE/>
        <w:autoSpaceDN/>
        <w:bidi w:val="0"/>
        <w:adjustRightInd/>
        <w:snapToGrid/>
        <w:spacing w:beforeAutospacing="0" w:afterAutospacing="0" w:line="348" w:lineRule="auto"/>
        <w:ind w:left="425"/>
        <w:textAlignment w:val="auto"/>
        <w:rPr>
          <w:color w:val="auto"/>
          <w:highlight w:val="none"/>
        </w:rPr>
      </w:pPr>
    </w:p>
    <w:p w14:paraId="5065B474">
      <w:pPr>
        <w:pStyle w:val="27"/>
        <w:pageBreakBefore w:val="0"/>
        <w:kinsoku/>
        <w:wordWrap/>
        <w:overflowPunct/>
        <w:topLinePunct w:val="0"/>
        <w:autoSpaceDE/>
        <w:autoSpaceDN/>
        <w:bidi w:val="0"/>
        <w:adjustRightInd/>
        <w:snapToGrid/>
        <w:spacing w:beforeAutospacing="0" w:afterAutospacing="0" w:line="348" w:lineRule="auto"/>
        <w:ind w:left="420" w:firstLine="480"/>
        <w:textAlignment w:val="auto"/>
        <w:rPr>
          <w:color w:val="auto"/>
          <w:highlight w:val="none"/>
        </w:rPr>
      </w:pPr>
      <w:r>
        <w:rPr>
          <w:rFonts w:hint="eastAsia" w:ascii="宋体" w:hAnsi="宋体" w:eastAsia="宋体" w:cs="宋体"/>
          <w:color w:val="auto"/>
          <w:highlight w:val="none"/>
        </w:rPr>
        <w:t>地          址：</w:t>
      </w:r>
    </w:p>
    <w:p w14:paraId="6735F8DB">
      <w:pPr>
        <w:pStyle w:val="27"/>
        <w:pageBreakBefore w:val="0"/>
        <w:kinsoku/>
        <w:wordWrap/>
        <w:overflowPunct/>
        <w:topLinePunct w:val="0"/>
        <w:autoSpaceDE/>
        <w:autoSpaceDN/>
        <w:bidi w:val="0"/>
        <w:adjustRightInd/>
        <w:snapToGrid/>
        <w:spacing w:beforeAutospacing="0" w:afterAutospacing="0" w:line="348" w:lineRule="auto"/>
        <w:ind w:left="420" w:firstLine="480"/>
        <w:textAlignment w:val="auto"/>
        <w:rPr>
          <w:color w:val="auto"/>
          <w:highlight w:val="none"/>
        </w:rPr>
      </w:pPr>
      <w:r>
        <w:rPr>
          <w:rFonts w:hint="eastAsia" w:ascii="宋体" w:hAnsi="宋体" w:eastAsia="宋体" w:cs="宋体"/>
          <w:color w:val="auto"/>
          <w:highlight w:val="none"/>
        </w:rPr>
        <w:t>邮          编：</w:t>
      </w:r>
    </w:p>
    <w:p w14:paraId="212B3AB5">
      <w:pPr>
        <w:pStyle w:val="27"/>
        <w:pageBreakBefore w:val="0"/>
        <w:kinsoku/>
        <w:wordWrap/>
        <w:overflowPunct/>
        <w:topLinePunct w:val="0"/>
        <w:autoSpaceDE/>
        <w:autoSpaceDN/>
        <w:bidi w:val="0"/>
        <w:adjustRightInd/>
        <w:snapToGrid/>
        <w:spacing w:beforeAutospacing="0" w:afterAutospacing="0" w:line="348" w:lineRule="auto"/>
        <w:ind w:left="420" w:firstLine="480"/>
        <w:textAlignment w:val="auto"/>
        <w:rPr>
          <w:color w:val="auto"/>
          <w:highlight w:val="none"/>
        </w:rPr>
      </w:pPr>
      <w:r>
        <w:rPr>
          <w:rFonts w:hint="eastAsia" w:ascii="宋体" w:hAnsi="宋体" w:eastAsia="宋体" w:cs="宋体"/>
          <w:color w:val="auto"/>
          <w:highlight w:val="none"/>
        </w:rPr>
        <w:t>电          话：</w:t>
      </w:r>
    </w:p>
    <w:p w14:paraId="1BA5FCFD">
      <w:pPr>
        <w:pStyle w:val="27"/>
        <w:pageBreakBefore w:val="0"/>
        <w:kinsoku/>
        <w:wordWrap/>
        <w:overflowPunct/>
        <w:topLinePunct w:val="0"/>
        <w:autoSpaceDE/>
        <w:autoSpaceDN/>
        <w:bidi w:val="0"/>
        <w:adjustRightInd/>
        <w:snapToGrid/>
        <w:spacing w:beforeAutospacing="0" w:afterAutospacing="0" w:line="348" w:lineRule="auto"/>
        <w:ind w:left="420" w:firstLine="480"/>
        <w:textAlignment w:val="auto"/>
        <w:rPr>
          <w:color w:val="auto"/>
          <w:highlight w:val="none"/>
        </w:rPr>
      </w:pPr>
      <w:r>
        <w:rPr>
          <w:rFonts w:hint="eastAsia" w:ascii="宋体" w:hAnsi="宋体" w:eastAsia="宋体" w:cs="宋体"/>
          <w:color w:val="auto"/>
          <w:highlight w:val="none"/>
        </w:rPr>
        <w:t>传          真：</w:t>
      </w:r>
    </w:p>
    <w:p w14:paraId="21E921E5">
      <w:pPr>
        <w:pStyle w:val="27"/>
        <w:pageBreakBefore w:val="0"/>
        <w:kinsoku/>
        <w:wordWrap/>
        <w:overflowPunct/>
        <w:topLinePunct w:val="0"/>
        <w:autoSpaceDE/>
        <w:autoSpaceDN/>
        <w:bidi w:val="0"/>
        <w:adjustRightInd/>
        <w:snapToGrid/>
        <w:spacing w:beforeAutospacing="0" w:afterAutospacing="0" w:line="348" w:lineRule="auto"/>
        <w:ind w:left="420" w:firstLine="480"/>
        <w:textAlignment w:val="auto"/>
        <w:rPr>
          <w:color w:val="auto"/>
          <w:highlight w:val="none"/>
        </w:rPr>
      </w:pPr>
      <w:r>
        <w:rPr>
          <w:rFonts w:hint="eastAsia" w:ascii="宋体" w:hAnsi="宋体" w:eastAsia="宋体" w:cs="宋体"/>
          <w:color w:val="auto"/>
          <w:highlight w:val="none"/>
        </w:rPr>
        <w:t>供应商开户行：</w:t>
      </w:r>
    </w:p>
    <w:p w14:paraId="276B33E1">
      <w:pPr>
        <w:pStyle w:val="27"/>
        <w:pageBreakBefore w:val="0"/>
        <w:kinsoku/>
        <w:wordWrap/>
        <w:overflowPunct/>
        <w:topLinePunct w:val="0"/>
        <w:autoSpaceDE/>
        <w:autoSpaceDN/>
        <w:bidi w:val="0"/>
        <w:adjustRightInd/>
        <w:snapToGrid/>
        <w:spacing w:beforeAutospacing="0" w:afterAutospacing="0" w:line="348" w:lineRule="auto"/>
        <w:ind w:left="420" w:firstLine="480"/>
        <w:textAlignment w:val="auto"/>
        <w:rPr>
          <w:color w:val="auto"/>
          <w:highlight w:val="none"/>
        </w:rPr>
      </w:pPr>
      <w:r>
        <w:rPr>
          <w:rFonts w:hint="eastAsia" w:ascii="宋体" w:hAnsi="宋体" w:eastAsia="宋体" w:cs="宋体"/>
          <w:color w:val="auto"/>
          <w:highlight w:val="none"/>
        </w:rPr>
        <w:t xml:space="preserve">账          号： </w:t>
      </w:r>
    </w:p>
    <w:p w14:paraId="605E2A4B">
      <w:pPr>
        <w:pStyle w:val="27"/>
        <w:pageBreakBefore w:val="0"/>
        <w:kinsoku/>
        <w:wordWrap/>
        <w:overflowPunct/>
        <w:topLinePunct w:val="0"/>
        <w:autoSpaceDE/>
        <w:autoSpaceDN/>
        <w:bidi w:val="0"/>
        <w:adjustRightInd/>
        <w:snapToGrid/>
        <w:spacing w:beforeAutospacing="0" w:afterAutospacing="0" w:line="348" w:lineRule="auto"/>
        <w:ind w:firstLine="240"/>
        <w:jc w:val="center"/>
        <w:textAlignment w:val="auto"/>
        <w:rPr>
          <w:color w:val="auto"/>
          <w:highlight w:val="none"/>
        </w:rPr>
      </w:pPr>
    </w:p>
    <w:p w14:paraId="73B32041">
      <w:pPr>
        <w:pStyle w:val="27"/>
        <w:pageBreakBefore w:val="0"/>
        <w:kinsoku/>
        <w:wordWrap/>
        <w:overflowPunct/>
        <w:topLinePunct w:val="0"/>
        <w:autoSpaceDE/>
        <w:autoSpaceDN/>
        <w:bidi w:val="0"/>
        <w:adjustRightInd/>
        <w:snapToGrid/>
        <w:spacing w:beforeAutospacing="0" w:afterAutospacing="0" w:line="348" w:lineRule="auto"/>
        <w:ind w:firstLine="240"/>
        <w:jc w:val="center"/>
        <w:textAlignment w:val="auto"/>
        <w:rPr>
          <w:color w:val="auto"/>
          <w:highlight w:val="none"/>
        </w:rPr>
      </w:pPr>
    </w:p>
    <w:p w14:paraId="30A3FB4D">
      <w:pPr>
        <w:pStyle w:val="27"/>
        <w:pageBreakBefore w:val="0"/>
        <w:kinsoku/>
        <w:wordWrap/>
        <w:overflowPunct/>
        <w:topLinePunct w:val="0"/>
        <w:autoSpaceDE/>
        <w:autoSpaceDN/>
        <w:bidi w:val="0"/>
        <w:adjustRightInd/>
        <w:snapToGrid/>
        <w:spacing w:beforeAutospacing="0" w:afterAutospacing="0" w:line="348" w:lineRule="auto"/>
        <w:ind w:firstLine="240"/>
        <w:jc w:val="center"/>
        <w:textAlignment w:val="auto"/>
        <w:rPr>
          <w:color w:val="auto"/>
          <w:highlight w:val="none"/>
        </w:rPr>
      </w:pPr>
    </w:p>
    <w:p w14:paraId="01936560">
      <w:pPr>
        <w:pStyle w:val="27"/>
        <w:pageBreakBefore w:val="0"/>
        <w:kinsoku/>
        <w:wordWrap/>
        <w:overflowPunct/>
        <w:topLinePunct w:val="0"/>
        <w:autoSpaceDE/>
        <w:autoSpaceDN/>
        <w:bidi w:val="0"/>
        <w:adjustRightInd/>
        <w:snapToGrid/>
        <w:spacing w:beforeAutospacing="0" w:afterAutospacing="0" w:line="348" w:lineRule="auto"/>
        <w:jc w:val="right"/>
        <w:textAlignment w:val="auto"/>
        <w:rPr>
          <w:color w:val="auto"/>
          <w:highlight w:val="none"/>
        </w:rPr>
      </w:pPr>
      <w:r>
        <w:rPr>
          <w:rFonts w:hint="eastAsia"/>
          <w:color w:val="auto"/>
          <w:highlight w:val="none"/>
        </w:rPr>
        <w:t>投标人（加盖CA电子签章）：</w:t>
      </w:r>
    </w:p>
    <w:p w14:paraId="61DA909B">
      <w:pPr>
        <w:pStyle w:val="27"/>
        <w:pageBreakBefore w:val="0"/>
        <w:kinsoku/>
        <w:wordWrap/>
        <w:overflowPunct/>
        <w:topLinePunct w:val="0"/>
        <w:autoSpaceDE/>
        <w:autoSpaceDN/>
        <w:bidi w:val="0"/>
        <w:adjustRightInd/>
        <w:snapToGrid/>
        <w:spacing w:beforeAutospacing="0" w:afterAutospacing="0" w:line="348" w:lineRule="auto"/>
        <w:jc w:val="right"/>
        <w:textAlignment w:val="auto"/>
        <w:rPr>
          <w:color w:val="auto"/>
          <w:highlight w:val="none"/>
        </w:rPr>
      </w:pPr>
      <w:r>
        <w:rPr>
          <w:rFonts w:hint="eastAsia"/>
          <w:color w:val="auto"/>
          <w:highlight w:val="none"/>
        </w:rPr>
        <w:t>日期： 年 月 日</w:t>
      </w:r>
    </w:p>
    <w:p w14:paraId="21F1F375">
      <w:pPr>
        <w:pStyle w:val="27"/>
        <w:pageBreakBefore w:val="0"/>
        <w:kinsoku/>
        <w:wordWrap/>
        <w:overflowPunct/>
        <w:topLinePunct w:val="0"/>
        <w:autoSpaceDE/>
        <w:autoSpaceDN/>
        <w:bidi w:val="0"/>
        <w:adjustRightInd/>
        <w:snapToGrid/>
        <w:spacing w:beforeAutospacing="0" w:afterAutospacing="0" w:line="348" w:lineRule="auto"/>
        <w:ind w:firstLine="240"/>
        <w:jc w:val="center"/>
        <w:textAlignment w:val="auto"/>
        <w:rPr>
          <w:color w:val="auto"/>
          <w:highlight w:val="none"/>
        </w:rPr>
      </w:pPr>
    </w:p>
    <w:p w14:paraId="5D1EE235">
      <w:pPr>
        <w:pStyle w:val="27"/>
        <w:pageBreakBefore w:val="0"/>
        <w:kinsoku/>
        <w:wordWrap/>
        <w:overflowPunct/>
        <w:topLinePunct w:val="0"/>
        <w:autoSpaceDE/>
        <w:autoSpaceDN/>
        <w:bidi w:val="0"/>
        <w:adjustRightInd/>
        <w:snapToGrid/>
        <w:spacing w:beforeAutospacing="0" w:afterAutospacing="0" w:line="348" w:lineRule="auto"/>
        <w:jc w:val="left"/>
        <w:textAlignment w:val="auto"/>
        <w:rPr>
          <w:rFonts w:hint="eastAsia" w:ascii="黑体" w:hAnsi="宋体" w:eastAsia="黑体" w:cs="黑体"/>
          <w:color w:val="auto"/>
          <w:sz w:val="32"/>
          <w:szCs w:val="32"/>
          <w:highlight w:val="none"/>
          <w:u w:val="none"/>
        </w:rPr>
      </w:pPr>
      <w:r>
        <w:rPr>
          <w:color w:val="auto"/>
          <w:highlight w:val="none"/>
        </w:rPr>
        <w:t> </w:t>
      </w:r>
      <w:r>
        <w:rPr>
          <w:rFonts w:hint="eastAsia"/>
          <w:color w:val="auto"/>
          <w:highlight w:val="none"/>
          <w:lang w:val="en-US" w:eastAsia="zh-CN"/>
        </w:rPr>
        <w:t xml:space="preserve">                       </w:t>
      </w:r>
      <w:r>
        <w:rPr>
          <w:rFonts w:hint="eastAsia" w:cs="Times New Roman"/>
          <w:b/>
          <w:bCs/>
          <w:color w:val="auto"/>
          <w:highlight w:val="none"/>
          <w:lang w:val="en-US" w:eastAsia="zh-CN"/>
        </w:rPr>
        <w:t>九、中小企业声明函（服务）</w:t>
      </w:r>
    </w:p>
    <w:p w14:paraId="2B85DA3E">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本公司（联合体）郑重声明，根据《政府采购促进中小企业发展管理办法》(财库[2020]46号)的规定，本公司（联合体）参加</w:t>
      </w:r>
      <w:r>
        <w:rPr>
          <w:rFonts w:ascii="宋体" w:hAnsi="宋体" w:eastAsia="宋体" w:cs="宋体"/>
          <w:color w:val="000000"/>
          <w:sz w:val="24"/>
          <w:u w:val="single"/>
        </w:rPr>
        <w:t>（单位名称）</w:t>
      </w:r>
      <w:r>
        <w:rPr>
          <w:rFonts w:ascii="宋体" w:hAnsi="宋体" w:eastAsia="宋体" w:cs="宋体"/>
          <w:color w:val="000000"/>
          <w:sz w:val="24"/>
        </w:rPr>
        <w:t>采购编号为</w:t>
      </w:r>
      <w:r>
        <w:rPr>
          <w:rFonts w:ascii="宋体" w:hAnsi="宋体" w:eastAsia="宋体" w:cs="宋体"/>
          <w:color w:val="000000"/>
          <w:sz w:val="24"/>
          <w:u w:val="single"/>
        </w:rPr>
        <w:t>***</w:t>
      </w:r>
      <w:r>
        <w:rPr>
          <w:rFonts w:ascii="宋体" w:hAnsi="宋体" w:eastAsia="宋体" w:cs="宋体"/>
          <w:color w:val="000000"/>
          <w:sz w:val="24"/>
        </w:rPr>
        <w:t>，</w:t>
      </w:r>
      <w:r>
        <w:rPr>
          <w:rFonts w:ascii="宋体" w:hAnsi="宋体" w:eastAsia="宋体" w:cs="宋体"/>
          <w:color w:val="000000"/>
          <w:sz w:val="24"/>
          <w:u w:val="single"/>
        </w:rPr>
        <w:t>（项目名称）</w:t>
      </w:r>
      <w:r>
        <w:rPr>
          <w:rFonts w:ascii="宋体" w:hAnsi="宋体" w:eastAsia="宋体" w:cs="宋体"/>
          <w:color w:val="000000"/>
          <w:sz w:val="24"/>
        </w:rPr>
        <w:t>的采购活动，工程全部由符合政策的中小微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3C491350">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1.</w:t>
      </w:r>
      <w:r>
        <w:rPr>
          <w:rFonts w:ascii="宋体" w:hAnsi="宋体" w:eastAsia="宋体" w:cs="宋体"/>
          <w:color w:val="000000"/>
          <w:sz w:val="24"/>
          <w:u w:val="single"/>
        </w:rPr>
        <w:t>（标的名称）</w:t>
      </w:r>
      <w:r>
        <w:rPr>
          <w:rFonts w:ascii="宋体" w:hAnsi="宋体" w:eastAsia="宋体" w:cs="宋体"/>
          <w:i/>
          <w:color w:val="000000"/>
          <w:sz w:val="24"/>
        </w:rPr>
        <w:t>，</w:t>
      </w:r>
      <w:r>
        <w:rPr>
          <w:rFonts w:ascii="宋体" w:hAnsi="宋体" w:eastAsia="宋体" w:cs="宋体"/>
          <w:color w:val="000000"/>
          <w:sz w:val="24"/>
        </w:rPr>
        <w:t>属于</w:t>
      </w:r>
      <w:r>
        <w:rPr>
          <w:rFonts w:ascii="宋体" w:hAnsi="宋体" w:eastAsia="宋体" w:cs="宋体"/>
          <w:color w:val="000000"/>
          <w:sz w:val="24"/>
          <w:u w:val="single"/>
        </w:rPr>
        <w:t xml:space="preserve">       </w:t>
      </w:r>
      <w:r>
        <w:rPr>
          <w:rFonts w:ascii="宋体" w:hAnsi="宋体" w:eastAsia="宋体" w:cs="宋体"/>
          <w:color w:val="000000"/>
          <w:sz w:val="24"/>
        </w:rPr>
        <w:t>行业；承接企业为</w:t>
      </w:r>
      <w:r>
        <w:rPr>
          <w:rFonts w:ascii="宋体" w:hAnsi="宋体" w:eastAsia="宋体" w:cs="宋体"/>
          <w:color w:val="000000"/>
          <w:sz w:val="24"/>
          <w:u w:val="single"/>
        </w:rPr>
        <w:t>（企业名称）</w:t>
      </w:r>
      <w:r>
        <w:rPr>
          <w:rFonts w:ascii="宋体" w:hAnsi="宋体" w:eastAsia="宋体" w:cs="宋体"/>
          <w:color w:val="000000"/>
          <w:sz w:val="24"/>
        </w:rPr>
        <w:t>，从业人员</w:t>
      </w:r>
      <w:r>
        <w:rPr>
          <w:rFonts w:ascii="宋体" w:hAnsi="宋体" w:eastAsia="宋体" w:cs="宋体"/>
          <w:color w:val="000000"/>
          <w:sz w:val="24"/>
          <w:u w:val="single"/>
        </w:rPr>
        <w:t xml:space="preserve">      </w:t>
      </w:r>
      <w:r>
        <w:rPr>
          <w:rFonts w:ascii="宋体" w:hAnsi="宋体" w:eastAsia="宋体" w:cs="宋体"/>
          <w:color w:val="000000"/>
          <w:sz w:val="24"/>
        </w:rPr>
        <w:t>人，营业收入为</w:t>
      </w:r>
      <w:r>
        <w:rPr>
          <w:rFonts w:ascii="宋体" w:hAnsi="宋体" w:eastAsia="宋体" w:cs="宋体"/>
          <w:color w:val="000000"/>
          <w:sz w:val="24"/>
          <w:u w:val="single"/>
        </w:rPr>
        <w:t xml:space="preserve">     </w:t>
      </w:r>
      <w:r>
        <w:rPr>
          <w:rFonts w:ascii="宋体" w:hAnsi="宋体" w:eastAsia="宋体" w:cs="宋体"/>
          <w:color w:val="000000"/>
          <w:sz w:val="24"/>
        </w:rPr>
        <w:t>万元，资产总额为</w:t>
      </w:r>
      <w:r>
        <w:rPr>
          <w:rFonts w:ascii="宋体" w:hAnsi="宋体" w:eastAsia="宋体" w:cs="宋体"/>
          <w:color w:val="000000"/>
          <w:sz w:val="24"/>
          <w:u w:val="single"/>
        </w:rPr>
        <w:t xml:space="preserve">      </w:t>
      </w:r>
      <w:r>
        <w:rPr>
          <w:rFonts w:ascii="宋体" w:hAnsi="宋体" w:eastAsia="宋体" w:cs="宋体"/>
          <w:color w:val="000000"/>
          <w:sz w:val="24"/>
        </w:rPr>
        <w:t>万元</w:t>
      </w:r>
      <w:r>
        <w:rPr>
          <w:rFonts w:ascii="宋体" w:hAnsi="宋体" w:eastAsia="宋体" w:cs="宋体"/>
          <w:color w:val="000000"/>
          <w:sz w:val="24"/>
          <w:vertAlign w:val="superscript"/>
        </w:rPr>
        <w:t>1</w:t>
      </w:r>
      <w:r>
        <w:rPr>
          <w:rFonts w:ascii="宋体" w:hAnsi="宋体" w:eastAsia="宋体" w:cs="宋体"/>
          <w:color w:val="000000"/>
          <w:sz w:val="24"/>
        </w:rPr>
        <w:t>，属于（</w:t>
      </w:r>
      <w:r>
        <w:rPr>
          <w:rFonts w:ascii="宋体" w:hAnsi="宋体" w:eastAsia="宋体" w:cs="宋体"/>
          <w:i/>
          <w:color w:val="000000"/>
          <w:sz w:val="24"/>
          <w:u w:val="single"/>
        </w:rPr>
        <w:t>中型企业、小型企业、微型企业</w:t>
      </w:r>
      <w:r>
        <w:rPr>
          <w:rFonts w:ascii="宋体" w:hAnsi="宋体" w:eastAsia="宋体" w:cs="宋体"/>
          <w:color w:val="000000"/>
          <w:sz w:val="24"/>
        </w:rPr>
        <w:t>）；</w:t>
      </w:r>
    </w:p>
    <w:p w14:paraId="4AE3A950">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2.</w:t>
      </w:r>
      <w:r>
        <w:rPr>
          <w:rFonts w:ascii="宋体" w:hAnsi="宋体" w:eastAsia="宋体" w:cs="宋体"/>
          <w:color w:val="000000"/>
          <w:sz w:val="24"/>
          <w:u w:val="single"/>
        </w:rPr>
        <w:t>（标的名称）</w:t>
      </w:r>
      <w:r>
        <w:rPr>
          <w:rFonts w:ascii="宋体" w:hAnsi="宋体" w:eastAsia="宋体" w:cs="宋体"/>
          <w:i/>
          <w:color w:val="000000"/>
          <w:sz w:val="24"/>
        </w:rPr>
        <w:t>，</w:t>
      </w:r>
      <w:r>
        <w:rPr>
          <w:rFonts w:ascii="宋体" w:hAnsi="宋体" w:eastAsia="宋体" w:cs="宋体"/>
          <w:color w:val="000000"/>
          <w:sz w:val="24"/>
        </w:rPr>
        <w:t>属于</w:t>
      </w:r>
      <w:r>
        <w:rPr>
          <w:rFonts w:ascii="宋体" w:hAnsi="宋体" w:eastAsia="宋体" w:cs="宋体"/>
          <w:color w:val="000000"/>
          <w:sz w:val="24"/>
          <w:u w:val="single"/>
        </w:rPr>
        <w:t xml:space="preserve">       </w:t>
      </w:r>
      <w:r>
        <w:rPr>
          <w:rFonts w:ascii="宋体" w:hAnsi="宋体" w:eastAsia="宋体" w:cs="宋体"/>
          <w:color w:val="000000"/>
          <w:sz w:val="24"/>
        </w:rPr>
        <w:t>行业；承接企业为</w:t>
      </w:r>
      <w:r>
        <w:rPr>
          <w:rFonts w:ascii="宋体" w:hAnsi="宋体" w:eastAsia="宋体" w:cs="宋体"/>
          <w:color w:val="000000"/>
          <w:sz w:val="24"/>
          <w:u w:val="single"/>
        </w:rPr>
        <w:t>（企业名称）</w:t>
      </w:r>
      <w:r>
        <w:rPr>
          <w:rFonts w:ascii="宋体" w:hAnsi="宋体" w:eastAsia="宋体" w:cs="宋体"/>
          <w:color w:val="000000"/>
          <w:sz w:val="24"/>
        </w:rPr>
        <w:t>，从业人员</w:t>
      </w:r>
      <w:r>
        <w:rPr>
          <w:rFonts w:ascii="宋体" w:hAnsi="宋体" w:eastAsia="宋体" w:cs="宋体"/>
          <w:color w:val="000000"/>
          <w:sz w:val="24"/>
          <w:u w:val="single"/>
        </w:rPr>
        <w:t xml:space="preserve">      </w:t>
      </w:r>
      <w:r>
        <w:rPr>
          <w:rFonts w:ascii="宋体" w:hAnsi="宋体" w:eastAsia="宋体" w:cs="宋体"/>
          <w:color w:val="000000"/>
          <w:sz w:val="24"/>
        </w:rPr>
        <w:t>人，营业收入为</w:t>
      </w:r>
      <w:r>
        <w:rPr>
          <w:rFonts w:ascii="宋体" w:hAnsi="宋体" w:eastAsia="宋体" w:cs="宋体"/>
          <w:color w:val="000000"/>
          <w:sz w:val="24"/>
          <w:u w:val="single"/>
        </w:rPr>
        <w:t xml:space="preserve">     </w:t>
      </w:r>
      <w:r>
        <w:rPr>
          <w:rFonts w:ascii="宋体" w:hAnsi="宋体" w:eastAsia="宋体" w:cs="宋体"/>
          <w:color w:val="000000"/>
          <w:sz w:val="24"/>
        </w:rPr>
        <w:t>万元，资产总额为</w:t>
      </w:r>
      <w:r>
        <w:rPr>
          <w:rFonts w:ascii="宋体" w:hAnsi="宋体" w:eastAsia="宋体" w:cs="宋体"/>
          <w:color w:val="000000"/>
          <w:sz w:val="24"/>
          <w:u w:val="single"/>
        </w:rPr>
        <w:t xml:space="preserve">      </w:t>
      </w:r>
      <w:r>
        <w:rPr>
          <w:rFonts w:ascii="宋体" w:hAnsi="宋体" w:eastAsia="宋体" w:cs="宋体"/>
          <w:color w:val="000000"/>
          <w:sz w:val="24"/>
        </w:rPr>
        <w:t>万元</w:t>
      </w:r>
      <w:r>
        <w:rPr>
          <w:rFonts w:ascii="宋体" w:hAnsi="宋体" w:eastAsia="宋体" w:cs="宋体"/>
          <w:color w:val="000000"/>
          <w:sz w:val="24"/>
          <w:vertAlign w:val="superscript"/>
        </w:rPr>
        <w:t>1</w:t>
      </w:r>
      <w:r>
        <w:rPr>
          <w:rFonts w:ascii="宋体" w:hAnsi="宋体" w:eastAsia="宋体" w:cs="宋体"/>
          <w:color w:val="000000"/>
          <w:sz w:val="24"/>
        </w:rPr>
        <w:t>，属于（</w:t>
      </w:r>
      <w:r>
        <w:rPr>
          <w:rFonts w:ascii="宋体" w:hAnsi="宋体" w:eastAsia="宋体" w:cs="宋体"/>
          <w:i/>
          <w:color w:val="000000"/>
          <w:sz w:val="24"/>
          <w:u w:val="single"/>
        </w:rPr>
        <w:t>中型企业、小型企业、微型企业</w:t>
      </w:r>
      <w:r>
        <w:rPr>
          <w:rFonts w:ascii="宋体" w:hAnsi="宋体" w:eastAsia="宋体" w:cs="宋体"/>
          <w:color w:val="000000"/>
          <w:sz w:val="24"/>
        </w:rPr>
        <w:t>）；</w:t>
      </w:r>
    </w:p>
    <w:p w14:paraId="7B72397E">
      <w:pPr>
        <w:pBdr>
          <w:top w:val="none" w:color="000000" w:sz="0" w:space="0"/>
          <w:left w:val="none" w:color="000000" w:sz="0" w:space="0"/>
          <w:bottom w:val="none" w:color="000000" w:sz="0" w:space="0"/>
          <w:right w:val="none" w:color="000000" w:sz="0" w:space="0"/>
        </w:pBdr>
        <w:spacing w:before="0" w:after="0" w:line="460" w:lineRule="atLeast"/>
        <w:ind w:left="0" w:right="0" w:firstLine="360"/>
        <w:jc w:val="both"/>
      </w:pPr>
      <w:r>
        <w:rPr>
          <w:rFonts w:ascii="宋体" w:hAnsi="宋体" w:eastAsia="宋体" w:cs="宋体"/>
          <w:color w:val="000000"/>
          <w:sz w:val="24"/>
        </w:rPr>
        <w:t>……</w:t>
      </w:r>
    </w:p>
    <w:p w14:paraId="3FCA0946">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以上企业，不属于大企业的分支机构，不存在控股股东为大企业的情形，也不存在与大企业的负责人为同一人的情形。</w:t>
      </w:r>
    </w:p>
    <w:p w14:paraId="1FD8ED7D">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本企业对上述声明内容的真实性负责。如有虚假，将依法承担相应责任</w:t>
      </w:r>
    </w:p>
    <w:p w14:paraId="7FED56EC">
      <w:pPr>
        <w:pBdr>
          <w:top w:val="none" w:color="000000" w:sz="0" w:space="0"/>
          <w:left w:val="none" w:color="000000" w:sz="0" w:space="0"/>
          <w:bottom w:val="none" w:color="000000" w:sz="0" w:space="0"/>
          <w:right w:val="none" w:color="000000" w:sz="0" w:space="0"/>
        </w:pBdr>
        <w:spacing w:before="0" w:after="0" w:line="460" w:lineRule="atLeast"/>
        <w:ind w:left="0" w:right="720" w:firstLine="0"/>
        <w:jc w:val="both"/>
      </w:pPr>
      <w:r>
        <w:rPr>
          <w:rFonts w:ascii="宋体" w:hAnsi="宋体" w:eastAsia="宋体" w:cs="宋体"/>
          <w:color w:val="000000"/>
          <w:sz w:val="24"/>
        </w:rPr>
        <w:t> </w:t>
      </w:r>
    </w:p>
    <w:p w14:paraId="6265A23A">
      <w:pPr>
        <w:pBdr>
          <w:top w:val="none" w:color="000000" w:sz="0" w:space="0"/>
          <w:left w:val="none" w:color="000000" w:sz="0" w:space="0"/>
          <w:bottom w:val="none" w:color="000000" w:sz="0" w:space="0"/>
          <w:right w:val="none" w:color="000000" w:sz="0" w:space="0"/>
        </w:pBdr>
        <w:spacing w:before="0" w:after="0" w:line="460" w:lineRule="atLeast"/>
        <w:ind w:left="0" w:right="180" w:firstLine="360"/>
        <w:jc w:val="right"/>
      </w:pPr>
      <w:r>
        <w:rPr>
          <w:rFonts w:ascii="宋体" w:hAnsi="宋体" w:eastAsia="宋体" w:cs="宋体"/>
          <w:color w:val="000000"/>
          <w:sz w:val="24"/>
        </w:rPr>
        <w:t>企业名称（加盖CA电子公章）：</w:t>
      </w:r>
    </w:p>
    <w:p w14:paraId="4CD66E49">
      <w:pPr>
        <w:pBdr>
          <w:top w:val="none" w:color="000000" w:sz="0" w:space="0"/>
          <w:left w:val="none" w:color="000000" w:sz="0" w:space="0"/>
          <w:bottom w:val="none" w:color="000000" w:sz="0" w:space="0"/>
          <w:right w:val="none" w:color="000000" w:sz="0" w:space="0"/>
        </w:pBdr>
        <w:spacing w:before="0" w:after="0" w:line="460" w:lineRule="atLeast"/>
        <w:ind w:left="0" w:right="480" w:firstLine="5400"/>
        <w:jc w:val="both"/>
      </w:pPr>
      <w:r>
        <w:rPr>
          <w:rFonts w:ascii="宋体" w:hAnsi="宋体" w:eastAsia="宋体" w:cs="宋体"/>
          <w:color w:val="000000"/>
          <w:sz w:val="24"/>
        </w:rPr>
        <w:t>日  期：</w:t>
      </w:r>
    </w:p>
    <w:p w14:paraId="5B88B05B">
      <w:pPr>
        <w:pBdr>
          <w:top w:val="none" w:color="000000" w:sz="0" w:space="0"/>
          <w:left w:val="none" w:color="000000" w:sz="0" w:space="0"/>
          <w:bottom w:val="none" w:color="000000" w:sz="0" w:space="0"/>
          <w:right w:val="none" w:color="000000" w:sz="0" w:space="0"/>
        </w:pBdr>
        <w:spacing w:before="0" w:after="0" w:line="460" w:lineRule="atLeast"/>
        <w:ind w:left="0" w:right="0" w:firstLine="240"/>
        <w:jc w:val="both"/>
      </w:pPr>
      <w:r>
        <w:rPr>
          <w:rFonts w:ascii="宋体" w:hAnsi="宋体" w:eastAsia="宋体" w:cs="宋体"/>
          <w:color w:val="000000"/>
          <w:sz w:val="24"/>
        </w:rPr>
        <w:t> </w:t>
      </w:r>
    </w:p>
    <w:p w14:paraId="45F378AD">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备注1：从业人员、营业收入、资产总额填报上一年度数据，无上一年度数据的新成立企业可不填报。</w:t>
      </w:r>
    </w:p>
    <w:p w14:paraId="23DEB01E">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备注2：供应商如不提供此声明函，则资格审查不通过。</w:t>
      </w:r>
    </w:p>
    <w:p w14:paraId="17BCA476">
      <w:pPr>
        <w:pStyle w:val="27"/>
        <w:pageBreakBefore w:val="0"/>
        <w:numPr>
          <w:ilvl w:val="0"/>
          <w:numId w:val="0"/>
        </w:numPr>
        <w:kinsoku/>
        <w:wordWrap/>
        <w:overflowPunct/>
        <w:topLinePunct w:val="0"/>
        <w:autoSpaceDE/>
        <w:autoSpaceDN/>
        <w:bidi w:val="0"/>
        <w:adjustRightInd/>
        <w:snapToGrid/>
        <w:spacing w:beforeAutospacing="0" w:afterAutospacing="0" w:line="348" w:lineRule="auto"/>
        <w:jc w:val="center"/>
        <w:textAlignment w:val="auto"/>
        <w:rPr>
          <w:rFonts w:hint="eastAsia" w:ascii="黑体" w:hAnsi="宋体" w:eastAsia="黑体" w:cs="黑体"/>
          <w:color w:val="auto"/>
          <w:sz w:val="32"/>
          <w:szCs w:val="32"/>
          <w:highlight w:val="none"/>
          <w:u w:val="none"/>
          <w:lang w:val="en-US" w:eastAsia="zh-CN"/>
        </w:rPr>
      </w:pPr>
    </w:p>
    <w:p w14:paraId="434C5B05">
      <w:pPr>
        <w:pStyle w:val="27"/>
        <w:pageBreakBefore w:val="0"/>
        <w:numPr>
          <w:ilvl w:val="0"/>
          <w:numId w:val="0"/>
        </w:numPr>
        <w:kinsoku/>
        <w:wordWrap/>
        <w:overflowPunct/>
        <w:topLinePunct w:val="0"/>
        <w:autoSpaceDE/>
        <w:autoSpaceDN/>
        <w:bidi w:val="0"/>
        <w:adjustRightInd/>
        <w:snapToGrid/>
        <w:spacing w:beforeAutospacing="0" w:afterAutospacing="0" w:line="348" w:lineRule="auto"/>
        <w:jc w:val="center"/>
        <w:textAlignment w:val="auto"/>
        <w:rPr>
          <w:rFonts w:hint="eastAsia" w:ascii="黑体" w:hAnsi="宋体" w:eastAsia="黑体" w:cs="黑体"/>
          <w:color w:val="auto"/>
          <w:sz w:val="32"/>
          <w:szCs w:val="32"/>
          <w:highlight w:val="none"/>
          <w:u w:val="none"/>
          <w:lang w:val="en-US" w:eastAsia="zh-CN"/>
        </w:rPr>
      </w:pPr>
    </w:p>
    <w:p w14:paraId="3CA486DF">
      <w:pPr>
        <w:pStyle w:val="27"/>
        <w:pageBreakBefore w:val="0"/>
        <w:numPr>
          <w:ilvl w:val="0"/>
          <w:numId w:val="0"/>
        </w:numPr>
        <w:kinsoku/>
        <w:wordWrap/>
        <w:overflowPunct/>
        <w:topLinePunct w:val="0"/>
        <w:autoSpaceDE/>
        <w:autoSpaceDN/>
        <w:bidi w:val="0"/>
        <w:adjustRightInd/>
        <w:snapToGrid/>
        <w:spacing w:beforeAutospacing="0" w:afterAutospacing="0" w:line="348" w:lineRule="auto"/>
        <w:jc w:val="center"/>
        <w:textAlignment w:val="auto"/>
        <w:rPr>
          <w:rFonts w:hint="eastAsia" w:ascii="黑体" w:hAnsi="宋体" w:eastAsia="黑体" w:cs="黑体"/>
          <w:color w:val="auto"/>
          <w:sz w:val="32"/>
          <w:szCs w:val="32"/>
          <w:highlight w:val="none"/>
          <w:u w:val="none"/>
          <w:lang w:val="en-US" w:eastAsia="zh-CN"/>
        </w:rPr>
      </w:pPr>
    </w:p>
    <w:p w14:paraId="7F1AF088">
      <w:pPr>
        <w:pStyle w:val="27"/>
        <w:pageBreakBefore w:val="0"/>
        <w:numPr>
          <w:ilvl w:val="0"/>
          <w:numId w:val="0"/>
        </w:numPr>
        <w:kinsoku/>
        <w:wordWrap/>
        <w:overflowPunct/>
        <w:topLinePunct w:val="0"/>
        <w:autoSpaceDE/>
        <w:autoSpaceDN/>
        <w:bidi w:val="0"/>
        <w:adjustRightInd/>
        <w:snapToGrid/>
        <w:spacing w:beforeAutospacing="0" w:afterAutospacing="0" w:line="348" w:lineRule="auto"/>
        <w:jc w:val="center"/>
        <w:textAlignment w:val="auto"/>
        <w:rPr>
          <w:rFonts w:hint="eastAsia" w:ascii="黑体" w:hAnsi="宋体" w:eastAsia="黑体" w:cs="黑体"/>
          <w:color w:val="auto"/>
          <w:sz w:val="32"/>
          <w:szCs w:val="32"/>
          <w:highlight w:val="none"/>
          <w:u w:val="none"/>
          <w:lang w:val="en-US" w:eastAsia="zh-CN"/>
        </w:rPr>
      </w:pPr>
    </w:p>
    <w:p w14:paraId="31D1BBFD">
      <w:pPr>
        <w:pStyle w:val="27"/>
        <w:pageBreakBefore w:val="0"/>
        <w:numPr>
          <w:ilvl w:val="0"/>
          <w:numId w:val="0"/>
        </w:numPr>
        <w:kinsoku/>
        <w:wordWrap/>
        <w:overflowPunct/>
        <w:topLinePunct w:val="0"/>
        <w:autoSpaceDE/>
        <w:autoSpaceDN/>
        <w:bidi w:val="0"/>
        <w:adjustRightInd/>
        <w:snapToGrid/>
        <w:spacing w:beforeAutospacing="0" w:afterAutospacing="0" w:line="348" w:lineRule="auto"/>
        <w:jc w:val="center"/>
        <w:textAlignment w:val="auto"/>
        <w:rPr>
          <w:rFonts w:hint="eastAsia" w:ascii="黑体" w:hAnsi="宋体" w:eastAsia="黑体" w:cs="黑体"/>
          <w:color w:val="auto"/>
          <w:sz w:val="32"/>
          <w:szCs w:val="32"/>
          <w:highlight w:val="none"/>
          <w:u w:val="none"/>
          <w:lang w:val="en-US" w:eastAsia="zh-CN"/>
        </w:rPr>
      </w:pPr>
    </w:p>
    <w:p w14:paraId="0612232F">
      <w:pPr>
        <w:pStyle w:val="27"/>
        <w:pageBreakBefore w:val="0"/>
        <w:numPr>
          <w:ilvl w:val="0"/>
          <w:numId w:val="0"/>
        </w:numPr>
        <w:kinsoku/>
        <w:wordWrap/>
        <w:overflowPunct/>
        <w:topLinePunct w:val="0"/>
        <w:autoSpaceDE/>
        <w:autoSpaceDN/>
        <w:bidi w:val="0"/>
        <w:adjustRightInd/>
        <w:snapToGrid/>
        <w:spacing w:beforeAutospacing="0" w:afterAutospacing="0" w:line="348" w:lineRule="auto"/>
        <w:jc w:val="center"/>
        <w:textAlignment w:val="auto"/>
        <w:rPr>
          <w:rFonts w:hint="eastAsia" w:ascii="黑体" w:hAnsi="宋体" w:eastAsia="黑体" w:cs="黑体"/>
          <w:color w:val="auto"/>
          <w:sz w:val="24"/>
          <w:szCs w:val="24"/>
          <w:highlight w:val="none"/>
          <w:u w:val="none"/>
          <w:lang w:val="en-US" w:eastAsia="zh-CN"/>
        </w:rPr>
      </w:pPr>
      <w:r>
        <w:rPr>
          <w:rFonts w:hint="eastAsia" w:ascii="黑体" w:hAnsi="宋体" w:eastAsia="黑体" w:cs="黑体"/>
          <w:color w:val="auto"/>
          <w:sz w:val="24"/>
          <w:szCs w:val="24"/>
          <w:highlight w:val="none"/>
          <w:u w:val="none"/>
          <w:lang w:val="en-US" w:eastAsia="zh-CN"/>
        </w:rPr>
        <w:t>十、残疾人福利性单位声明函</w:t>
      </w:r>
    </w:p>
    <w:p w14:paraId="2C310C3F">
      <w:pPr>
        <w:pStyle w:val="232"/>
        <w:pageBreakBefore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highlight w:val="none"/>
        </w:rPr>
      </w:pPr>
    </w:p>
    <w:p w14:paraId="0C7C11AB">
      <w:pPr>
        <w:pStyle w:val="232"/>
        <w:pageBreakBefore w:val="0"/>
        <w:kinsoku/>
        <w:wordWrap/>
        <w:overflowPunct/>
        <w:topLinePunct w:val="0"/>
        <w:autoSpaceDE/>
        <w:autoSpaceDN/>
        <w:bidi w:val="0"/>
        <w:adjustRightInd/>
        <w:snapToGrid/>
        <w:spacing w:line="348"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 141号）的规定，本单位为符合条件的残疾人福利性单位，且本单位参加</w:t>
      </w:r>
      <w:r>
        <w:rPr>
          <w:rFonts w:ascii="宋体" w:hAnsi="宋体" w:eastAsia="宋体" w:cs="宋体"/>
          <w:color w:val="000000"/>
          <w:sz w:val="24"/>
          <w:u w:val="single"/>
        </w:rPr>
        <w:t>（单位名称）</w:t>
      </w:r>
      <w:r>
        <w:rPr>
          <w:rFonts w:hint="eastAsia" w:ascii="宋体" w:hAnsi="宋体" w:eastAsia="宋体" w:cs="宋体"/>
          <w:color w:val="auto"/>
          <w:sz w:val="24"/>
          <w:highlight w:val="none"/>
        </w:rPr>
        <w:t>的采购文件编号为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的</w:t>
      </w:r>
      <w:r>
        <w:rPr>
          <w:rFonts w:ascii="宋体" w:hAnsi="宋体" w:eastAsia="宋体" w:cs="宋体"/>
          <w:color w:val="000000"/>
          <w:sz w:val="24"/>
          <w:u w:val="single"/>
        </w:rPr>
        <w:t>（项目名称）</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项目采购活动提供本单位制造的货物，或者提供其他残疾人福利性单位制造的货物（不包括使用非残疾人福利性单位注册商标的货物）。</w:t>
      </w:r>
    </w:p>
    <w:p w14:paraId="41B3940B">
      <w:pPr>
        <w:pStyle w:val="232"/>
        <w:pageBreakBefore w:val="0"/>
        <w:kinsoku/>
        <w:wordWrap/>
        <w:overflowPunct/>
        <w:topLinePunct w:val="0"/>
        <w:autoSpaceDE/>
        <w:autoSpaceDN/>
        <w:bidi w:val="0"/>
        <w:adjustRightInd/>
        <w:snapToGrid/>
        <w:spacing w:line="348"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6150256E">
      <w:pPr>
        <w:pStyle w:val="232"/>
        <w:pageBreakBefore w:val="0"/>
        <w:kinsoku/>
        <w:wordWrap/>
        <w:overflowPunct/>
        <w:topLinePunct w:val="0"/>
        <w:autoSpaceDE/>
        <w:autoSpaceDN/>
        <w:bidi w:val="0"/>
        <w:adjustRightInd/>
        <w:snapToGrid/>
        <w:spacing w:line="348"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4B557B7F">
      <w:pPr>
        <w:pStyle w:val="232"/>
        <w:pageBreakBefore w:val="0"/>
        <w:kinsoku/>
        <w:wordWrap/>
        <w:overflowPunct/>
        <w:topLinePunct w:val="0"/>
        <w:autoSpaceDE/>
        <w:autoSpaceDN/>
        <w:bidi w:val="0"/>
        <w:adjustRightInd/>
        <w:snapToGrid/>
        <w:spacing w:line="348"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（备注：1、供应商如不提供此声明函，价格将不做相应扣除（如项目全面面向中小企业，则资格审查不通过）。2、成交供应商为残疾人福利单位的，此声明函将随成交结果同时公告，接受社会监督）</w:t>
      </w:r>
    </w:p>
    <w:p w14:paraId="47C9D344">
      <w:pPr>
        <w:pStyle w:val="232"/>
        <w:pageBreakBefore w:val="0"/>
        <w:kinsoku/>
        <w:wordWrap/>
        <w:overflowPunct/>
        <w:topLinePunct w:val="0"/>
        <w:autoSpaceDE/>
        <w:autoSpaceDN/>
        <w:bidi w:val="0"/>
        <w:adjustRightInd/>
        <w:snapToGrid/>
        <w:spacing w:line="348"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19EC9A7A">
      <w:pPr>
        <w:pStyle w:val="232"/>
        <w:pageBreakBefore w:val="0"/>
        <w:kinsoku/>
        <w:wordWrap/>
        <w:overflowPunct/>
        <w:topLinePunct w:val="0"/>
        <w:autoSpaceDE/>
        <w:autoSpaceDN/>
        <w:bidi w:val="0"/>
        <w:adjustRightInd/>
        <w:snapToGrid/>
        <w:spacing w:line="348"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供应商全称（加盖CA电子公章）：</w:t>
      </w:r>
    </w:p>
    <w:p w14:paraId="150C7B01">
      <w:pPr>
        <w:pStyle w:val="232"/>
        <w:pageBreakBefore w:val="0"/>
        <w:kinsoku/>
        <w:wordWrap/>
        <w:overflowPunct/>
        <w:topLinePunct w:val="0"/>
        <w:autoSpaceDE/>
        <w:autoSpaceDN/>
        <w:bidi w:val="0"/>
        <w:adjustRightInd/>
        <w:snapToGrid/>
        <w:spacing w:line="348" w:lineRule="auto"/>
        <w:ind w:firstLine="480"/>
        <w:textAlignment w:val="auto"/>
        <w:rPr>
          <w:rFonts w:hint="eastAsia" w:ascii="宋体" w:hAnsi="宋体"/>
          <w:b/>
          <w:bCs/>
          <w:color w:val="auto"/>
          <w:sz w:val="28"/>
          <w:szCs w:val="22"/>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日  期：</w:t>
      </w:r>
    </w:p>
    <w:p w14:paraId="33F0D67F">
      <w:pPr>
        <w:pStyle w:val="27"/>
        <w:pageBreakBefore w:val="0"/>
        <w:numPr>
          <w:ilvl w:val="0"/>
          <w:numId w:val="0"/>
        </w:numPr>
        <w:kinsoku/>
        <w:wordWrap/>
        <w:overflowPunct/>
        <w:topLinePunct w:val="0"/>
        <w:autoSpaceDE/>
        <w:autoSpaceDN/>
        <w:bidi w:val="0"/>
        <w:adjustRightInd/>
        <w:snapToGrid/>
        <w:spacing w:beforeAutospacing="0" w:afterAutospacing="0" w:line="348" w:lineRule="auto"/>
        <w:jc w:val="both"/>
        <w:textAlignment w:val="auto"/>
        <w:rPr>
          <w:rFonts w:hint="eastAsia" w:ascii="黑体" w:hAnsi="宋体" w:eastAsia="黑体" w:cs="黑体"/>
          <w:color w:val="auto"/>
          <w:sz w:val="32"/>
          <w:szCs w:val="32"/>
          <w:highlight w:val="none"/>
          <w:u w:val="none"/>
          <w:lang w:val="en-US" w:eastAsia="zh-CN"/>
        </w:rPr>
      </w:pPr>
    </w:p>
    <w:p w14:paraId="52F6F6AE">
      <w:pPr>
        <w:pStyle w:val="27"/>
        <w:pageBreakBefore w:val="0"/>
        <w:numPr>
          <w:ilvl w:val="0"/>
          <w:numId w:val="0"/>
        </w:numPr>
        <w:kinsoku/>
        <w:wordWrap/>
        <w:overflowPunct/>
        <w:topLinePunct w:val="0"/>
        <w:autoSpaceDE/>
        <w:autoSpaceDN/>
        <w:bidi w:val="0"/>
        <w:adjustRightInd/>
        <w:snapToGrid/>
        <w:spacing w:beforeAutospacing="0" w:afterAutospacing="0" w:line="348" w:lineRule="auto"/>
        <w:jc w:val="both"/>
        <w:textAlignment w:val="auto"/>
        <w:rPr>
          <w:rFonts w:hint="eastAsia" w:ascii="黑体" w:hAnsi="宋体" w:eastAsia="黑体" w:cs="黑体"/>
          <w:color w:val="auto"/>
          <w:sz w:val="32"/>
          <w:szCs w:val="32"/>
          <w:highlight w:val="none"/>
          <w:u w:val="none"/>
          <w:lang w:val="en-US" w:eastAsia="zh-CN"/>
        </w:rPr>
      </w:pPr>
    </w:p>
    <w:p w14:paraId="446682F4">
      <w:pPr>
        <w:pStyle w:val="27"/>
        <w:pageBreakBefore w:val="0"/>
        <w:numPr>
          <w:ilvl w:val="0"/>
          <w:numId w:val="0"/>
        </w:numPr>
        <w:kinsoku/>
        <w:wordWrap/>
        <w:overflowPunct/>
        <w:topLinePunct w:val="0"/>
        <w:autoSpaceDE/>
        <w:autoSpaceDN/>
        <w:bidi w:val="0"/>
        <w:adjustRightInd/>
        <w:snapToGrid/>
        <w:spacing w:beforeAutospacing="0" w:afterAutospacing="0" w:line="348" w:lineRule="auto"/>
        <w:jc w:val="both"/>
        <w:textAlignment w:val="auto"/>
        <w:rPr>
          <w:rFonts w:hint="eastAsia" w:ascii="黑体" w:hAnsi="宋体" w:eastAsia="黑体" w:cs="黑体"/>
          <w:color w:val="auto"/>
          <w:sz w:val="32"/>
          <w:szCs w:val="32"/>
          <w:highlight w:val="none"/>
          <w:u w:val="none"/>
          <w:lang w:val="en-US" w:eastAsia="zh-CN"/>
        </w:rPr>
      </w:pPr>
    </w:p>
    <w:p w14:paraId="3CCDDEA1">
      <w:pPr>
        <w:pStyle w:val="27"/>
        <w:pageBreakBefore w:val="0"/>
        <w:numPr>
          <w:ilvl w:val="0"/>
          <w:numId w:val="0"/>
        </w:numPr>
        <w:kinsoku/>
        <w:wordWrap/>
        <w:overflowPunct/>
        <w:topLinePunct w:val="0"/>
        <w:autoSpaceDE/>
        <w:autoSpaceDN/>
        <w:bidi w:val="0"/>
        <w:adjustRightInd/>
        <w:snapToGrid/>
        <w:spacing w:beforeAutospacing="0" w:afterAutospacing="0" w:line="348" w:lineRule="auto"/>
        <w:jc w:val="both"/>
        <w:textAlignment w:val="auto"/>
        <w:rPr>
          <w:rFonts w:hint="eastAsia" w:ascii="黑体" w:hAnsi="宋体" w:eastAsia="黑体" w:cs="黑体"/>
          <w:color w:val="auto"/>
          <w:sz w:val="32"/>
          <w:szCs w:val="32"/>
          <w:highlight w:val="none"/>
          <w:u w:val="none"/>
          <w:lang w:val="en-US" w:eastAsia="zh-CN"/>
        </w:rPr>
      </w:pPr>
    </w:p>
    <w:p w14:paraId="4FF4D997">
      <w:pPr>
        <w:pStyle w:val="27"/>
        <w:pageBreakBefore w:val="0"/>
        <w:numPr>
          <w:ilvl w:val="0"/>
          <w:numId w:val="0"/>
        </w:numPr>
        <w:kinsoku/>
        <w:wordWrap/>
        <w:overflowPunct/>
        <w:topLinePunct w:val="0"/>
        <w:autoSpaceDE/>
        <w:autoSpaceDN/>
        <w:bidi w:val="0"/>
        <w:adjustRightInd/>
        <w:snapToGrid/>
        <w:spacing w:beforeAutospacing="0" w:afterAutospacing="0" w:line="348" w:lineRule="auto"/>
        <w:jc w:val="both"/>
        <w:textAlignment w:val="auto"/>
        <w:rPr>
          <w:rFonts w:hint="eastAsia" w:ascii="黑体" w:hAnsi="宋体" w:eastAsia="黑体" w:cs="黑体"/>
          <w:color w:val="auto"/>
          <w:sz w:val="32"/>
          <w:szCs w:val="32"/>
          <w:highlight w:val="none"/>
          <w:u w:val="none"/>
          <w:lang w:val="en-US" w:eastAsia="zh-CN"/>
        </w:rPr>
      </w:pPr>
    </w:p>
    <w:p w14:paraId="1FCE84AC">
      <w:pPr>
        <w:pStyle w:val="27"/>
        <w:pageBreakBefore w:val="0"/>
        <w:numPr>
          <w:ilvl w:val="0"/>
          <w:numId w:val="0"/>
        </w:numPr>
        <w:kinsoku/>
        <w:wordWrap/>
        <w:overflowPunct/>
        <w:topLinePunct w:val="0"/>
        <w:autoSpaceDE/>
        <w:autoSpaceDN/>
        <w:bidi w:val="0"/>
        <w:adjustRightInd/>
        <w:snapToGrid/>
        <w:spacing w:beforeAutospacing="0" w:afterAutospacing="0" w:line="348" w:lineRule="auto"/>
        <w:jc w:val="both"/>
        <w:textAlignment w:val="auto"/>
        <w:rPr>
          <w:rFonts w:hint="eastAsia" w:ascii="黑体" w:hAnsi="宋体" w:eastAsia="黑体" w:cs="黑体"/>
          <w:color w:val="auto"/>
          <w:sz w:val="32"/>
          <w:szCs w:val="32"/>
          <w:highlight w:val="none"/>
          <w:u w:val="none"/>
          <w:lang w:val="en-US" w:eastAsia="zh-CN"/>
        </w:rPr>
      </w:pPr>
    </w:p>
    <w:p w14:paraId="75C22A2E">
      <w:pPr>
        <w:pStyle w:val="27"/>
        <w:pageBreakBefore w:val="0"/>
        <w:numPr>
          <w:ilvl w:val="0"/>
          <w:numId w:val="0"/>
        </w:numPr>
        <w:kinsoku/>
        <w:wordWrap/>
        <w:overflowPunct/>
        <w:topLinePunct w:val="0"/>
        <w:autoSpaceDE/>
        <w:autoSpaceDN/>
        <w:bidi w:val="0"/>
        <w:adjustRightInd/>
        <w:snapToGrid/>
        <w:spacing w:beforeAutospacing="0" w:afterAutospacing="0" w:line="348" w:lineRule="auto"/>
        <w:jc w:val="both"/>
        <w:textAlignment w:val="auto"/>
        <w:rPr>
          <w:rFonts w:hint="eastAsia" w:ascii="黑体" w:hAnsi="宋体" w:eastAsia="黑体" w:cs="黑体"/>
          <w:color w:val="auto"/>
          <w:sz w:val="32"/>
          <w:szCs w:val="32"/>
          <w:highlight w:val="none"/>
          <w:u w:val="none"/>
          <w:lang w:val="en-US" w:eastAsia="zh-CN"/>
        </w:rPr>
      </w:pPr>
    </w:p>
    <w:p w14:paraId="3DD56FC4">
      <w:pPr>
        <w:pStyle w:val="27"/>
        <w:pageBreakBefore w:val="0"/>
        <w:numPr>
          <w:ilvl w:val="0"/>
          <w:numId w:val="0"/>
        </w:numPr>
        <w:kinsoku/>
        <w:wordWrap/>
        <w:overflowPunct/>
        <w:topLinePunct w:val="0"/>
        <w:autoSpaceDE/>
        <w:autoSpaceDN/>
        <w:bidi w:val="0"/>
        <w:adjustRightInd/>
        <w:snapToGrid/>
        <w:spacing w:beforeAutospacing="0" w:afterAutospacing="0" w:line="348" w:lineRule="auto"/>
        <w:jc w:val="both"/>
        <w:textAlignment w:val="auto"/>
        <w:rPr>
          <w:rFonts w:hint="eastAsia" w:ascii="黑体" w:hAnsi="宋体" w:eastAsia="黑体" w:cs="黑体"/>
          <w:color w:val="auto"/>
          <w:sz w:val="32"/>
          <w:szCs w:val="32"/>
          <w:highlight w:val="none"/>
          <w:u w:val="none"/>
          <w:lang w:val="en-US" w:eastAsia="zh-CN"/>
        </w:rPr>
      </w:pPr>
    </w:p>
    <w:p w14:paraId="11376C4B">
      <w:pPr>
        <w:pStyle w:val="27"/>
        <w:pageBreakBefore w:val="0"/>
        <w:numPr>
          <w:ilvl w:val="0"/>
          <w:numId w:val="0"/>
        </w:numPr>
        <w:kinsoku/>
        <w:wordWrap/>
        <w:overflowPunct/>
        <w:topLinePunct w:val="0"/>
        <w:autoSpaceDE/>
        <w:autoSpaceDN/>
        <w:bidi w:val="0"/>
        <w:adjustRightInd/>
        <w:snapToGrid/>
        <w:spacing w:beforeAutospacing="0" w:afterAutospacing="0" w:line="348" w:lineRule="auto"/>
        <w:jc w:val="both"/>
        <w:textAlignment w:val="auto"/>
        <w:rPr>
          <w:rFonts w:hint="eastAsia" w:ascii="黑体" w:hAnsi="宋体" w:eastAsia="黑体" w:cs="黑体"/>
          <w:color w:val="auto"/>
          <w:sz w:val="32"/>
          <w:szCs w:val="32"/>
          <w:highlight w:val="none"/>
          <w:u w:val="none"/>
          <w:lang w:val="en-US" w:eastAsia="zh-CN"/>
        </w:rPr>
      </w:pPr>
    </w:p>
    <w:p w14:paraId="1DDD4978">
      <w:pPr>
        <w:pageBreakBefore w:val="0"/>
        <w:kinsoku/>
        <w:wordWrap/>
        <w:overflowPunct/>
        <w:topLinePunct w:val="0"/>
        <w:autoSpaceDE/>
        <w:autoSpaceDN/>
        <w:bidi w:val="0"/>
        <w:adjustRightInd/>
        <w:snapToGrid/>
        <w:spacing w:line="348" w:lineRule="auto"/>
        <w:textAlignment w:val="auto"/>
        <w:rPr>
          <w:rFonts w:hint="eastAsia" w:ascii="黑体" w:hAnsi="宋体" w:eastAsia="黑体" w:cs="黑体"/>
          <w:color w:val="auto"/>
          <w:sz w:val="32"/>
          <w:szCs w:val="32"/>
          <w:highlight w:val="none"/>
          <w:u w:val="none"/>
          <w:lang w:val="en-US" w:eastAsia="zh-CN"/>
        </w:rPr>
      </w:pPr>
    </w:p>
    <w:p w14:paraId="4F96BEFE">
      <w:pPr>
        <w:pStyle w:val="27"/>
        <w:pageBreakBefore w:val="0"/>
        <w:numPr>
          <w:ilvl w:val="0"/>
          <w:numId w:val="0"/>
        </w:numPr>
        <w:kinsoku/>
        <w:wordWrap/>
        <w:overflowPunct/>
        <w:topLinePunct w:val="0"/>
        <w:autoSpaceDE/>
        <w:autoSpaceDN/>
        <w:bidi w:val="0"/>
        <w:adjustRightInd/>
        <w:snapToGrid/>
        <w:spacing w:beforeAutospacing="0" w:afterAutospacing="0" w:line="348" w:lineRule="auto"/>
        <w:jc w:val="center"/>
        <w:textAlignment w:val="auto"/>
        <w:rPr>
          <w:rFonts w:hint="eastAsia" w:ascii="黑体" w:hAnsi="宋体" w:eastAsia="黑体" w:cs="黑体"/>
          <w:color w:val="auto"/>
          <w:sz w:val="24"/>
          <w:szCs w:val="24"/>
          <w:highlight w:val="none"/>
          <w:u w:val="none"/>
          <w:lang w:val="en-US" w:eastAsia="zh-CN"/>
        </w:rPr>
      </w:pPr>
      <w:r>
        <w:rPr>
          <w:rFonts w:hint="eastAsia" w:ascii="黑体" w:hAnsi="宋体" w:eastAsia="黑体" w:cs="黑体"/>
          <w:color w:val="auto"/>
          <w:sz w:val="32"/>
          <w:szCs w:val="32"/>
          <w:highlight w:val="none"/>
          <w:u w:val="none"/>
        </w:rPr>
        <w:br w:type="page" w:clear="all"/>
      </w:r>
      <w:r>
        <w:rPr>
          <w:rFonts w:hint="eastAsia" w:ascii="黑体" w:hAnsi="宋体" w:eastAsia="黑体" w:cs="黑体"/>
          <w:color w:val="auto"/>
          <w:sz w:val="24"/>
          <w:szCs w:val="24"/>
          <w:highlight w:val="none"/>
          <w:u w:val="none"/>
          <w:lang w:val="en-US" w:eastAsia="zh-CN"/>
        </w:rPr>
        <w:t>十一、分项报价表（服务类）</w:t>
      </w:r>
    </w:p>
    <w:tbl>
      <w:tblPr>
        <w:tblStyle w:val="32"/>
        <w:tblW w:w="9494" w:type="dxa"/>
        <w:tblCellSpacing w:w="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1466"/>
        <w:gridCol w:w="1145"/>
        <w:gridCol w:w="832"/>
        <w:gridCol w:w="832"/>
        <w:gridCol w:w="1295"/>
        <w:gridCol w:w="861"/>
        <w:gridCol w:w="1089"/>
        <w:gridCol w:w="1296"/>
      </w:tblGrid>
      <w:tr w14:paraId="7141D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blCellSpacing w:w="0" w:type="dxa"/>
        </w:trPr>
        <w:tc>
          <w:tcPr>
            <w:tcW w:w="678" w:type="dxa"/>
            <w:shd w:val="clear" w:color="auto" w:fill="auto"/>
            <w:noWrap w:val="0"/>
            <w:vAlign w:val="center"/>
          </w:tcPr>
          <w:p w14:paraId="64F5957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color w:val="auto"/>
                <w:highlight w:val="none"/>
                <w:lang w:val="en-US" w:eastAsia="zh-CN"/>
              </w:rPr>
            </w:pPr>
            <w:r>
              <w:rPr>
                <w:rFonts w:hint="eastAsia"/>
                <w:color w:val="auto"/>
                <w:highlight w:val="none"/>
                <w:lang w:val="en-US" w:eastAsia="zh-CN"/>
              </w:rPr>
              <w:t>序号</w:t>
            </w:r>
          </w:p>
        </w:tc>
        <w:tc>
          <w:tcPr>
            <w:tcW w:w="1466" w:type="dxa"/>
            <w:shd w:val="clear" w:color="auto" w:fill="auto"/>
            <w:noWrap w:val="0"/>
            <w:vAlign w:val="center"/>
          </w:tcPr>
          <w:p w14:paraId="7013219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eastAsia"/>
                <w:color w:val="auto"/>
                <w:highlight w:val="none"/>
              </w:rPr>
              <w:t>名称</w:t>
            </w:r>
          </w:p>
        </w:tc>
        <w:tc>
          <w:tcPr>
            <w:tcW w:w="1145" w:type="dxa"/>
            <w:shd w:val="clear" w:color="auto" w:fill="auto"/>
            <w:noWrap w:val="0"/>
            <w:vAlign w:val="center"/>
          </w:tcPr>
          <w:p w14:paraId="1228A92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lang w:val="en-US" w:eastAsia="zh-CN"/>
              </w:rPr>
            </w:pPr>
            <w:r>
              <w:rPr>
                <w:rFonts w:hint="eastAsia" w:ascii="宋体" w:hAnsi="宋体" w:eastAsia="宋体" w:cs="宋体"/>
                <w:color w:val="auto"/>
                <w:highlight w:val="none"/>
                <w:shd w:val="clear" w:color="auto" w:fill="auto"/>
              </w:rPr>
              <w:t>品牌</w:t>
            </w:r>
          </w:p>
        </w:tc>
        <w:tc>
          <w:tcPr>
            <w:tcW w:w="832" w:type="dxa"/>
            <w:shd w:val="clear" w:color="auto" w:fill="auto"/>
            <w:noWrap w:val="0"/>
            <w:vAlign w:val="center"/>
          </w:tcPr>
          <w:p w14:paraId="449A83A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color w:val="auto"/>
                <w:highlight w:val="none"/>
              </w:rPr>
            </w:pPr>
            <w:r>
              <w:rPr>
                <w:rFonts w:hint="eastAsia"/>
                <w:color w:val="auto"/>
                <w:highlight w:val="none"/>
              </w:rPr>
              <w:t>规格</w:t>
            </w:r>
          </w:p>
          <w:p w14:paraId="1B3F945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color w:val="auto"/>
                <w:highlight w:val="none"/>
              </w:rPr>
            </w:pPr>
            <w:r>
              <w:rPr>
                <w:rFonts w:hint="eastAsia"/>
                <w:color w:val="auto"/>
                <w:highlight w:val="none"/>
              </w:rPr>
              <w:t>型号</w:t>
            </w:r>
          </w:p>
        </w:tc>
        <w:tc>
          <w:tcPr>
            <w:tcW w:w="832" w:type="dxa"/>
            <w:shd w:val="clear" w:color="auto" w:fill="auto"/>
            <w:noWrap w:val="0"/>
            <w:vAlign w:val="center"/>
          </w:tcPr>
          <w:p w14:paraId="5C7D133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color w:val="auto"/>
                <w:highlight w:val="none"/>
              </w:rPr>
            </w:pPr>
            <w:r>
              <w:rPr>
                <w:rFonts w:hint="eastAsia"/>
                <w:color w:val="auto"/>
                <w:highlight w:val="none"/>
              </w:rPr>
              <w:t>单位</w:t>
            </w:r>
          </w:p>
        </w:tc>
        <w:tc>
          <w:tcPr>
            <w:tcW w:w="1295" w:type="dxa"/>
            <w:shd w:val="clear" w:color="auto" w:fill="auto"/>
            <w:noWrap w:val="0"/>
            <w:vAlign w:val="center"/>
          </w:tcPr>
          <w:p w14:paraId="6BA5492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lang w:val="en-US" w:eastAsia="zh-CN"/>
              </w:rPr>
            </w:pPr>
            <w:r>
              <w:rPr>
                <w:rFonts w:hint="eastAsia"/>
                <w:color w:val="auto"/>
                <w:highlight w:val="none"/>
              </w:rPr>
              <w:t>数量</w:t>
            </w:r>
          </w:p>
        </w:tc>
        <w:tc>
          <w:tcPr>
            <w:tcW w:w="861" w:type="dxa"/>
            <w:shd w:val="clear" w:color="auto" w:fill="auto"/>
            <w:noWrap w:val="0"/>
            <w:vAlign w:val="center"/>
          </w:tcPr>
          <w:p w14:paraId="4B2817C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lang w:val="en-US" w:eastAsia="zh-CN"/>
              </w:rPr>
            </w:pPr>
            <w:r>
              <w:rPr>
                <w:rFonts w:hint="eastAsia"/>
                <w:color w:val="auto"/>
                <w:highlight w:val="none"/>
              </w:rPr>
              <w:t>单价</w:t>
            </w:r>
          </w:p>
        </w:tc>
        <w:tc>
          <w:tcPr>
            <w:tcW w:w="1089" w:type="dxa"/>
            <w:shd w:val="clear" w:color="auto" w:fill="auto"/>
            <w:noWrap w:val="0"/>
            <w:vAlign w:val="center"/>
          </w:tcPr>
          <w:p w14:paraId="0910A38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lang w:val="en-US" w:eastAsia="zh-CN"/>
              </w:rPr>
            </w:pPr>
            <w:r>
              <w:rPr>
                <w:rFonts w:hint="eastAsia"/>
                <w:color w:val="auto"/>
                <w:highlight w:val="none"/>
              </w:rPr>
              <w:t>总价</w:t>
            </w:r>
          </w:p>
        </w:tc>
        <w:tc>
          <w:tcPr>
            <w:tcW w:w="1296" w:type="dxa"/>
            <w:shd w:val="clear" w:color="auto" w:fill="auto"/>
            <w:noWrap w:val="0"/>
            <w:vAlign w:val="center"/>
          </w:tcPr>
          <w:p w14:paraId="4EF65F2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color w:val="auto"/>
                <w:highlight w:val="none"/>
                <w:lang w:val="en-US" w:eastAsia="zh-CN"/>
              </w:rPr>
            </w:pPr>
            <w:r>
              <w:rPr>
                <w:rFonts w:hint="eastAsia"/>
                <w:color w:val="auto"/>
                <w:highlight w:val="none"/>
                <w:lang w:val="en-US" w:eastAsia="zh-CN"/>
              </w:rPr>
              <w:t>备注</w:t>
            </w:r>
          </w:p>
        </w:tc>
      </w:tr>
      <w:tr w14:paraId="6EF0B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678" w:type="dxa"/>
            <w:shd w:val="clear" w:color="auto" w:fill="auto"/>
            <w:noWrap w:val="0"/>
            <w:vAlign w:val="center"/>
          </w:tcPr>
          <w:p w14:paraId="541E8C9A">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eastAsia" w:ascii="宋体" w:hAnsi="宋体" w:eastAsia="宋体" w:cs="宋体"/>
                <w:color w:val="auto"/>
                <w:highlight w:val="none"/>
              </w:rPr>
              <w:t>1</w:t>
            </w:r>
          </w:p>
        </w:tc>
        <w:tc>
          <w:tcPr>
            <w:tcW w:w="1466" w:type="dxa"/>
            <w:shd w:val="clear" w:color="auto" w:fill="auto"/>
            <w:noWrap w:val="0"/>
            <w:vAlign w:val="center"/>
          </w:tcPr>
          <w:p w14:paraId="15079941">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1145" w:type="dxa"/>
            <w:shd w:val="clear" w:color="auto" w:fill="auto"/>
            <w:noWrap w:val="0"/>
            <w:vAlign w:val="center"/>
          </w:tcPr>
          <w:p w14:paraId="2E5A061E">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832" w:type="dxa"/>
            <w:shd w:val="clear" w:color="auto" w:fill="auto"/>
            <w:noWrap w:val="0"/>
            <w:vAlign w:val="center"/>
          </w:tcPr>
          <w:p w14:paraId="33B9075A">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p>
        </w:tc>
        <w:tc>
          <w:tcPr>
            <w:tcW w:w="832" w:type="dxa"/>
            <w:shd w:val="clear" w:color="auto" w:fill="auto"/>
            <w:noWrap w:val="0"/>
            <w:vAlign w:val="center"/>
          </w:tcPr>
          <w:p w14:paraId="4687F8A9">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p>
        </w:tc>
        <w:tc>
          <w:tcPr>
            <w:tcW w:w="1295" w:type="dxa"/>
            <w:shd w:val="clear" w:color="auto" w:fill="auto"/>
            <w:noWrap w:val="0"/>
            <w:vAlign w:val="center"/>
          </w:tcPr>
          <w:p w14:paraId="4B7E3B11">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861" w:type="dxa"/>
            <w:shd w:val="clear" w:color="auto" w:fill="auto"/>
            <w:noWrap w:val="0"/>
            <w:vAlign w:val="center"/>
          </w:tcPr>
          <w:p w14:paraId="6B7D0D01">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1089" w:type="dxa"/>
            <w:shd w:val="clear" w:color="auto" w:fill="auto"/>
            <w:noWrap w:val="0"/>
            <w:vAlign w:val="center"/>
          </w:tcPr>
          <w:p w14:paraId="0F1EC25F">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1296" w:type="dxa"/>
            <w:shd w:val="clear" w:color="auto" w:fill="auto"/>
            <w:noWrap w:val="0"/>
            <w:vAlign w:val="center"/>
          </w:tcPr>
          <w:p w14:paraId="5ADEBCA6">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r>
      <w:tr w14:paraId="183A8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678" w:type="dxa"/>
            <w:shd w:val="clear" w:color="auto" w:fill="auto"/>
            <w:noWrap w:val="0"/>
            <w:vAlign w:val="center"/>
          </w:tcPr>
          <w:p w14:paraId="6090E4E8">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eastAsia" w:ascii="宋体" w:hAnsi="宋体" w:eastAsia="宋体" w:cs="宋体"/>
                <w:color w:val="auto"/>
                <w:highlight w:val="none"/>
              </w:rPr>
              <w:t>2</w:t>
            </w:r>
          </w:p>
        </w:tc>
        <w:tc>
          <w:tcPr>
            <w:tcW w:w="1466" w:type="dxa"/>
            <w:shd w:val="clear" w:color="auto" w:fill="auto"/>
            <w:noWrap w:val="0"/>
            <w:vAlign w:val="center"/>
          </w:tcPr>
          <w:p w14:paraId="44573C09">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1145" w:type="dxa"/>
            <w:shd w:val="clear" w:color="auto" w:fill="auto"/>
            <w:noWrap w:val="0"/>
            <w:vAlign w:val="center"/>
          </w:tcPr>
          <w:p w14:paraId="29CB129E">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832" w:type="dxa"/>
            <w:shd w:val="clear" w:color="auto" w:fill="auto"/>
            <w:noWrap w:val="0"/>
            <w:vAlign w:val="center"/>
          </w:tcPr>
          <w:p w14:paraId="697BFAAE">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p>
        </w:tc>
        <w:tc>
          <w:tcPr>
            <w:tcW w:w="832" w:type="dxa"/>
            <w:shd w:val="clear" w:color="auto" w:fill="auto"/>
            <w:noWrap w:val="0"/>
            <w:vAlign w:val="center"/>
          </w:tcPr>
          <w:p w14:paraId="2C77403D">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p>
        </w:tc>
        <w:tc>
          <w:tcPr>
            <w:tcW w:w="1295" w:type="dxa"/>
            <w:shd w:val="clear" w:color="auto" w:fill="auto"/>
            <w:noWrap w:val="0"/>
            <w:vAlign w:val="center"/>
          </w:tcPr>
          <w:p w14:paraId="742B3D2A">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861" w:type="dxa"/>
            <w:shd w:val="clear" w:color="auto" w:fill="auto"/>
            <w:noWrap w:val="0"/>
            <w:vAlign w:val="center"/>
          </w:tcPr>
          <w:p w14:paraId="5BE0A029">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1089" w:type="dxa"/>
            <w:shd w:val="clear" w:color="auto" w:fill="auto"/>
            <w:noWrap w:val="0"/>
            <w:vAlign w:val="center"/>
          </w:tcPr>
          <w:p w14:paraId="095D99DE">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1296" w:type="dxa"/>
            <w:shd w:val="clear" w:color="auto" w:fill="auto"/>
            <w:noWrap w:val="0"/>
            <w:vAlign w:val="center"/>
          </w:tcPr>
          <w:p w14:paraId="3E3CF5CE">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r>
      <w:tr w14:paraId="2826C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678" w:type="dxa"/>
            <w:shd w:val="clear" w:color="auto" w:fill="auto"/>
            <w:noWrap w:val="0"/>
            <w:vAlign w:val="center"/>
          </w:tcPr>
          <w:p w14:paraId="44CB53FF">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eastAsia" w:ascii="宋体" w:hAnsi="宋体" w:eastAsia="宋体" w:cs="宋体"/>
                <w:color w:val="auto"/>
                <w:highlight w:val="none"/>
              </w:rPr>
              <w:t>3</w:t>
            </w:r>
          </w:p>
        </w:tc>
        <w:tc>
          <w:tcPr>
            <w:tcW w:w="1466" w:type="dxa"/>
            <w:shd w:val="clear" w:color="auto" w:fill="auto"/>
            <w:noWrap w:val="0"/>
            <w:vAlign w:val="center"/>
          </w:tcPr>
          <w:p w14:paraId="46002AB5">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1145" w:type="dxa"/>
            <w:shd w:val="clear" w:color="auto" w:fill="auto"/>
            <w:noWrap w:val="0"/>
            <w:vAlign w:val="center"/>
          </w:tcPr>
          <w:p w14:paraId="32E810B5">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832" w:type="dxa"/>
            <w:shd w:val="clear" w:color="auto" w:fill="auto"/>
            <w:noWrap w:val="0"/>
            <w:vAlign w:val="center"/>
          </w:tcPr>
          <w:p w14:paraId="6C020EF3">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p>
        </w:tc>
        <w:tc>
          <w:tcPr>
            <w:tcW w:w="832" w:type="dxa"/>
            <w:shd w:val="clear" w:color="auto" w:fill="auto"/>
            <w:noWrap w:val="0"/>
            <w:vAlign w:val="center"/>
          </w:tcPr>
          <w:p w14:paraId="5D604DFC">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p>
        </w:tc>
        <w:tc>
          <w:tcPr>
            <w:tcW w:w="1295" w:type="dxa"/>
            <w:shd w:val="clear" w:color="auto" w:fill="auto"/>
            <w:noWrap w:val="0"/>
            <w:vAlign w:val="center"/>
          </w:tcPr>
          <w:p w14:paraId="78F29581">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861" w:type="dxa"/>
            <w:shd w:val="clear" w:color="auto" w:fill="auto"/>
            <w:noWrap w:val="0"/>
            <w:vAlign w:val="center"/>
          </w:tcPr>
          <w:p w14:paraId="49B3EBCA">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1089" w:type="dxa"/>
            <w:shd w:val="clear" w:color="auto" w:fill="auto"/>
            <w:noWrap w:val="0"/>
            <w:vAlign w:val="center"/>
          </w:tcPr>
          <w:p w14:paraId="76F1F222">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1296" w:type="dxa"/>
            <w:shd w:val="clear" w:color="auto" w:fill="auto"/>
            <w:noWrap w:val="0"/>
            <w:vAlign w:val="center"/>
          </w:tcPr>
          <w:p w14:paraId="53F0D88B">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r>
      <w:tr w14:paraId="3D17B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678" w:type="dxa"/>
            <w:shd w:val="clear" w:color="auto" w:fill="auto"/>
            <w:noWrap w:val="0"/>
            <w:vAlign w:val="center"/>
          </w:tcPr>
          <w:p w14:paraId="693D0356">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eastAsia" w:ascii="宋体" w:hAnsi="宋体" w:eastAsia="宋体" w:cs="宋体"/>
                <w:color w:val="auto"/>
                <w:highlight w:val="none"/>
              </w:rPr>
              <w:t>…</w:t>
            </w:r>
          </w:p>
        </w:tc>
        <w:tc>
          <w:tcPr>
            <w:tcW w:w="1466" w:type="dxa"/>
            <w:shd w:val="clear" w:color="auto" w:fill="auto"/>
            <w:noWrap w:val="0"/>
            <w:vAlign w:val="center"/>
          </w:tcPr>
          <w:p w14:paraId="31376102">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eastAsia" w:ascii="宋体" w:hAnsi="宋体" w:eastAsia="宋体" w:cs="宋体"/>
                <w:color w:val="auto"/>
                <w:highlight w:val="none"/>
              </w:rPr>
              <w:t>……</w:t>
            </w:r>
          </w:p>
        </w:tc>
        <w:tc>
          <w:tcPr>
            <w:tcW w:w="1145" w:type="dxa"/>
            <w:shd w:val="clear" w:color="auto" w:fill="auto"/>
            <w:noWrap w:val="0"/>
            <w:vAlign w:val="center"/>
          </w:tcPr>
          <w:p w14:paraId="6766550C">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832" w:type="dxa"/>
            <w:shd w:val="clear" w:color="auto" w:fill="auto"/>
            <w:noWrap w:val="0"/>
            <w:vAlign w:val="center"/>
          </w:tcPr>
          <w:p w14:paraId="7BB2D6C8">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p>
        </w:tc>
        <w:tc>
          <w:tcPr>
            <w:tcW w:w="832" w:type="dxa"/>
            <w:shd w:val="clear" w:color="auto" w:fill="auto"/>
            <w:noWrap w:val="0"/>
            <w:vAlign w:val="center"/>
          </w:tcPr>
          <w:p w14:paraId="22A25860">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p>
        </w:tc>
        <w:tc>
          <w:tcPr>
            <w:tcW w:w="1295" w:type="dxa"/>
            <w:shd w:val="clear" w:color="auto" w:fill="auto"/>
            <w:noWrap w:val="0"/>
            <w:vAlign w:val="center"/>
          </w:tcPr>
          <w:p w14:paraId="321CDC39">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861" w:type="dxa"/>
            <w:shd w:val="clear" w:color="auto" w:fill="auto"/>
            <w:noWrap w:val="0"/>
            <w:vAlign w:val="center"/>
          </w:tcPr>
          <w:p w14:paraId="7D739A99">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1089" w:type="dxa"/>
            <w:shd w:val="clear" w:color="auto" w:fill="auto"/>
            <w:noWrap w:val="0"/>
            <w:vAlign w:val="center"/>
          </w:tcPr>
          <w:p w14:paraId="673FE4FF">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1296" w:type="dxa"/>
            <w:shd w:val="clear" w:color="auto" w:fill="auto"/>
            <w:noWrap w:val="0"/>
            <w:vAlign w:val="center"/>
          </w:tcPr>
          <w:p w14:paraId="503478F7">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r>
      <w:tr w14:paraId="1B6D6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blCellSpacing w:w="0" w:type="dxa"/>
        </w:trPr>
        <w:tc>
          <w:tcPr>
            <w:tcW w:w="8198" w:type="dxa"/>
            <w:gridSpan w:val="8"/>
            <w:shd w:val="clear" w:color="auto" w:fill="auto"/>
            <w:noWrap w:val="0"/>
            <w:vAlign w:val="center"/>
          </w:tcPr>
          <w:p w14:paraId="45BB2979">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总报价（人民币：</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元）</w:t>
            </w:r>
          </w:p>
        </w:tc>
        <w:tc>
          <w:tcPr>
            <w:tcW w:w="1296" w:type="dxa"/>
            <w:shd w:val="clear" w:color="auto" w:fill="auto"/>
            <w:noWrap w:val="0"/>
            <w:vAlign w:val="center"/>
          </w:tcPr>
          <w:p w14:paraId="1ABEAC76">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both"/>
              <w:textAlignment w:val="auto"/>
              <w:rPr>
                <w:rFonts w:hint="default"/>
                <w:color w:val="auto"/>
                <w:highlight w:val="none"/>
              </w:rPr>
            </w:pPr>
            <w:r>
              <w:rPr>
                <w:rFonts w:hint="default"/>
                <w:color w:val="auto"/>
                <w:highlight w:val="none"/>
              </w:rPr>
              <w:t> </w:t>
            </w:r>
          </w:p>
        </w:tc>
      </w:tr>
    </w:tbl>
    <w:p w14:paraId="4AEF9BFB">
      <w:pPr>
        <w:pageBreakBefore w:val="0"/>
        <w:kinsoku/>
        <w:wordWrap/>
        <w:overflowPunct/>
        <w:topLinePunct w:val="0"/>
        <w:autoSpaceDE/>
        <w:autoSpaceDN/>
        <w:bidi w:val="0"/>
        <w:adjustRightInd/>
        <w:snapToGrid/>
        <w:spacing w:line="348" w:lineRule="auto"/>
        <w:jc w:val="left"/>
        <w:textAlignment w:val="auto"/>
        <w:rPr>
          <w:rFonts w:hint="eastAsia" w:ascii="宋体" w:hAnsi="宋体" w:eastAsia="宋体" w:cs="宋体"/>
          <w:bCs/>
          <w:color w:val="auto"/>
          <w:sz w:val="24"/>
          <w:szCs w:val="24"/>
          <w:highlight w:val="none"/>
        </w:rPr>
      </w:pPr>
      <w:r>
        <w:rPr>
          <w:rFonts w:hint="eastAsia" w:ascii="宋体" w:hAnsi="宋体" w:eastAsia="宋体" w:cs="宋体"/>
          <w:color w:val="auto"/>
          <w:highlight w:val="none"/>
        </w:rPr>
        <w:t>备注</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1、行数不够，自行添加。</w:t>
      </w:r>
    </w:p>
    <w:p w14:paraId="59E3EC2E">
      <w:pPr>
        <w:pageBreakBefore w:val="0"/>
        <w:kinsoku/>
        <w:wordWrap/>
        <w:overflowPunct/>
        <w:topLinePunct w:val="0"/>
        <w:autoSpaceDE/>
        <w:autoSpaceDN/>
        <w:bidi w:val="0"/>
        <w:adjustRightInd/>
        <w:snapToGrid/>
        <w:spacing w:line="348" w:lineRule="auto"/>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2、报价含提供所有服务内容的费用</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的“总报价”应包括采购人需求的服务（包含与服务相关的产品）价格、质量保证费用、培训费用及售后服务费用，项目在指定地点、环境交付、安装、调试、验收所需费用和所有相关税金费用及为完成整个项目所产生的</w:t>
      </w:r>
      <w:r>
        <w:rPr>
          <w:rFonts w:hint="eastAsia" w:ascii="宋体" w:hAnsi="宋体" w:eastAsia="宋体" w:cs="宋体"/>
          <w:bCs/>
          <w:color w:val="auto"/>
          <w:sz w:val="24"/>
          <w:szCs w:val="24"/>
          <w:highlight w:val="none"/>
          <w:lang w:eastAsia="zh-CN"/>
        </w:rPr>
        <w:t>其他所有</w:t>
      </w:r>
      <w:r>
        <w:rPr>
          <w:rFonts w:hint="eastAsia" w:ascii="宋体" w:hAnsi="宋体" w:eastAsia="宋体" w:cs="宋体"/>
          <w:bCs/>
          <w:color w:val="auto"/>
          <w:sz w:val="24"/>
          <w:szCs w:val="24"/>
          <w:highlight w:val="none"/>
        </w:rPr>
        <w:t>费用。</w:t>
      </w:r>
    </w:p>
    <w:p w14:paraId="34E33810">
      <w:pPr>
        <w:pageBreakBefore w:val="0"/>
        <w:kinsoku/>
        <w:wordWrap/>
        <w:overflowPunct/>
        <w:topLinePunct w:val="0"/>
        <w:autoSpaceDE/>
        <w:autoSpaceDN/>
        <w:bidi w:val="0"/>
        <w:adjustRightInd/>
        <w:snapToGrid/>
        <w:spacing w:line="348" w:lineRule="auto"/>
        <w:jc w:val="left"/>
        <w:textAlignment w:val="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3、磋商小组认为供应商的报价明显低于其他通过符合性审查供应商的报价，有可能影响服务质量或者不能诚信履约的，应当要求其在评审时的合理时间内提供书面说明，必要时提交相关证明材料；供应商不能证明其报价合理性的，磋商小组会应当将其作为无效响应文件处理。</w:t>
      </w:r>
      <w:r>
        <w:rPr>
          <w:rFonts w:hint="eastAsia" w:ascii="宋体" w:hAnsi="宋体" w:eastAsia="宋体" w:cs="宋体"/>
          <w:b/>
          <w:bCs/>
          <w:color w:val="auto"/>
          <w:sz w:val="24"/>
          <w:szCs w:val="24"/>
          <w:highlight w:val="none"/>
        </w:rPr>
        <w:t xml:space="preserve"> </w:t>
      </w:r>
    </w:p>
    <w:p w14:paraId="3C7CBBE6">
      <w:pPr>
        <w:pageBreakBefore w:val="0"/>
        <w:kinsoku/>
        <w:wordWrap/>
        <w:overflowPunct/>
        <w:topLinePunct w:val="0"/>
        <w:autoSpaceDE/>
        <w:autoSpaceDN/>
        <w:bidi w:val="0"/>
        <w:adjustRightInd/>
        <w:snapToGrid/>
        <w:spacing w:line="348" w:lineRule="auto"/>
        <w:jc w:val="left"/>
        <w:textAlignment w:val="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4、分项报价表中合计价格与磋商报价表一致。如不一致以磋商报价表为准。</w:t>
      </w:r>
      <w:r>
        <w:rPr>
          <w:rFonts w:hint="eastAsia" w:ascii="宋体" w:hAnsi="宋体" w:eastAsia="宋体" w:cs="宋体"/>
          <w:color w:val="auto"/>
          <w:highlight w:val="none"/>
        </w:rPr>
        <w:t xml:space="preserve"> </w:t>
      </w:r>
    </w:p>
    <w:p w14:paraId="06F96222">
      <w:pPr>
        <w:pageBreakBefore w:val="0"/>
        <w:kinsoku/>
        <w:wordWrap/>
        <w:overflowPunct/>
        <w:topLinePunct w:val="0"/>
        <w:autoSpaceDE/>
        <w:autoSpaceDN/>
        <w:bidi w:val="0"/>
        <w:adjustRightInd/>
        <w:snapToGrid/>
        <w:spacing w:line="348" w:lineRule="auto"/>
        <w:textAlignment w:val="auto"/>
        <w:rPr>
          <w:rFonts w:hint="eastAsia" w:ascii="黑体" w:hAnsi="宋体" w:eastAsia="黑体" w:cs="黑体"/>
          <w:color w:val="auto"/>
          <w:sz w:val="32"/>
          <w:szCs w:val="32"/>
          <w:highlight w:val="none"/>
          <w:u w:val="none"/>
        </w:rPr>
      </w:pPr>
    </w:p>
    <w:p w14:paraId="3EE02EA5">
      <w:pPr>
        <w:pStyle w:val="27"/>
        <w:pageBreakBefore w:val="0"/>
        <w:tabs>
          <w:tab w:val="left" w:pos="4864"/>
        </w:tabs>
        <w:kinsoku/>
        <w:wordWrap/>
        <w:overflowPunct/>
        <w:topLinePunct w:val="0"/>
        <w:autoSpaceDE/>
        <w:autoSpaceDN/>
        <w:bidi w:val="0"/>
        <w:adjustRightInd/>
        <w:snapToGrid/>
        <w:spacing w:beforeAutospacing="0" w:afterAutospacing="0" w:line="348" w:lineRule="auto"/>
        <w:ind w:right="1560" w:firstLine="624"/>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供应商全称（加盖CA电子公章）：</w:t>
      </w:r>
    </w:p>
    <w:p w14:paraId="238ED8C9">
      <w:pPr>
        <w:pStyle w:val="27"/>
        <w:pageBreakBefore w:val="0"/>
        <w:tabs>
          <w:tab w:val="left" w:pos="4864"/>
        </w:tabs>
        <w:kinsoku/>
        <w:wordWrap/>
        <w:overflowPunct/>
        <w:topLinePunct w:val="0"/>
        <w:autoSpaceDE/>
        <w:autoSpaceDN/>
        <w:bidi w:val="0"/>
        <w:adjustRightInd/>
        <w:snapToGrid/>
        <w:spacing w:beforeAutospacing="0" w:afterAutospacing="0" w:line="348" w:lineRule="auto"/>
        <w:ind w:right="1560" w:firstLine="624"/>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p>
    <w:p w14:paraId="45A86FB0">
      <w:pPr>
        <w:pStyle w:val="27"/>
        <w:pageBreakBefore w:val="0"/>
        <w:tabs>
          <w:tab w:val="left" w:pos="4864"/>
        </w:tabs>
        <w:kinsoku/>
        <w:wordWrap/>
        <w:overflowPunct/>
        <w:topLinePunct w:val="0"/>
        <w:autoSpaceDE/>
        <w:autoSpaceDN/>
        <w:bidi w:val="0"/>
        <w:adjustRightInd/>
        <w:snapToGrid/>
        <w:spacing w:beforeAutospacing="0" w:afterAutospacing="0" w:line="348" w:lineRule="auto"/>
        <w:ind w:right="1560" w:firstLine="480"/>
        <w:jc w:val="center"/>
        <w:textAlignment w:val="auto"/>
        <w:rPr>
          <w:color w:val="auto"/>
          <w:sz w:val="24"/>
          <w:szCs w:val="24"/>
          <w:highlight w:val="none"/>
        </w:rPr>
      </w:pP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  期：</w:t>
      </w:r>
    </w:p>
    <w:p w14:paraId="64D5F4D5">
      <w:pPr>
        <w:pageBreakBefore w:val="0"/>
        <w:kinsoku/>
        <w:wordWrap/>
        <w:overflowPunct/>
        <w:topLinePunct w:val="0"/>
        <w:autoSpaceDE/>
        <w:autoSpaceDN/>
        <w:bidi w:val="0"/>
        <w:adjustRightInd/>
        <w:snapToGrid/>
        <w:spacing w:line="348" w:lineRule="auto"/>
        <w:textAlignment w:val="auto"/>
        <w:rPr>
          <w:rFonts w:hint="eastAsia" w:ascii="黑体" w:hAnsi="宋体" w:eastAsia="黑体" w:cs="黑体"/>
          <w:color w:val="auto"/>
          <w:sz w:val="32"/>
          <w:szCs w:val="32"/>
          <w:highlight w:val="none"/>
          <w:u w:val="none"/>
        </w:rPr>
      </w:pPr>
      <w:r>
        <w:rPr>
          <w:rFonts w:hint="eastAsia" w:ascii="黑体" w:hAnsi="宋体" w:eastAsia="黑体" w:cs="黑体"/>
          <w:color w:val="auto"/>
          <w:sz w:val="32"/>
          <w:szCs w:val="32"/>
          <w:highlight w:val="none"/>
          <w:u w:val="none"/>
        </w:rPr>
        <w:br w:type="page" w:clear="all"/>
      </w:r>
    </w:p>
    <w:p w14:paraId="0E3F6C7B">
      <w:pPr>
        <w:pStyle w:val="2"/>
        <w:pageBreakBefore w:val="0"/>
        <w:kinsoku/>
        <w:wordWrap/>
        <w:overflowPunct/>
        <w:topLinePunct w:val="0"/>
        <w:autoSpaceDE/>
        <w:autoSpaceDN/>
        <w:bidi w:val="0"/>
        <w:adjustRightInd/>
        <w:snapToGrid/>
        <w:spacing w:line="348" w:lineRule="auto"/>
        <w:textAlignment w:val="auto"/>
        <w:rPr>
          <w:rFonts w:hint="eastAsia"/>
          <w:color w:val="auto"/>
          <w:highlight w:val="none"/>
        </w:rPr>
      </w:pPr>
    </w:p>
    <w:p w14:paraId="0B9DD338">
      <w:pPr>
        <w:pageBreakBefore w:val="0"/>
        <w:kinsoku/>
        <w:wordWrap/>
        <w:overflowPunct/>
        <w:topLinePunct w:val="0"/>
        <w:autoSpaceDE/>
        <w:autoSpaceDN/>
        <w:bidi w:val="0"/>
        <w:adjustRightInd/>
        <w:snapToGrid/>
        <w:spacing w:line="348" w:lineRule="auto"/>
        <w:jc w:val="center"/>
        <w:textAlignment w:val="auto"/>
        <w:rPr>
          <w:rFonts w:hint="eastAsia" w:ascii="黑体" w:hAnsi="宋体" w:eastAsia="黑体" w:cs="黑体"/>
          <w:color w:val="auto"/>
          <w:sz w:val="24"/>
          <w:szCs w:val="24"/>
          <w:highlight w:val="none"/>
          <w:u w:val="none"/>
          <w:lang w:val="en-US" w:eastAsia="zh-CN" w:bidi="ar-SA"/>
        </w:rPr>
      </w:pPr>
      <w:r>
        <w:rPr>
          <w:rFonts w:hint="eastAsia" w:ascii="黑体" w:hAnsi="宋体" w:eastAsia="黑体" w:cs="黑体"/>
          <w:color w:val="auto"/>
          <w:sz w:val="24"/>
          <w:szCs w:val="24"/>
          <w:highlight w:val="none"/>
          <w:u w:val="none"/>
          <w:lang w:val="en-US" w:eastAsia="zh-CN" w:bidi="ar-SA"/>
        </w:rPr>
        <w:t>十二、技术要求响应及偏离表</w:t>
      </w:r>
    </w:p>
    <w:p w14:paraId="7CA2A6B1">
      <w:pPr>
        <w:pStyle w:val="27"/>
        <w:pageBreakBefore w:val="0"/>
        <w:numPr>
          <w:ilvl w:val="0"/>
          <w:numId w:val="0"/>
        </w:numPr>
        <w:kinsoku/>
        <w:wordWrap/>
        <w:overflowPunct/>
        <w:topLinePunct w:val="0"/>
        <w:autoSpaceDE/>
        <w:autoSpaceDN/>
        <w:bidi w:val="0"/>
        <w:adjustRightInd/>
        <w:snapToGrid/>
        <w:spacing w:beforeAutospacing="0" w:afterAutospacing="0" w:line="348" w:lineRule="auto"/>
        <w:jc w:val="center"/>
        <w:textAlignment w:val="auto"/>
        <w:rPr>
          <w:rFonts w:hint="eastAsia" w:ascii="黑体" w:hAnsi="宋体" w:eastAsia="黑体" w:cs="黑体"/>
          <w:color w:val="auto"/>
          <w:sz w:val="32"/>
          <w:szCs w:val="32"/>
          <w:highlight w:val="none"/>
          <w:u w:val="none"/>
        </w:rPr>
      </w:pPr>
    </w:p>
    <w:tbl>
      <w:tblPr>
        <w:tblStyle w:val="32"/>
        <w:tblW w:w="9027" w:type="dxa"/>
        <w:tblCellSpacing w:w="0" w:type="dxa"/>
        <w:tblInd w:w="6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9"/>
        <w:gridCol w:w="3518"/>
        <w:gridCol w:w="1363"/>
        <w:gridCol w:w="2837"/>
      </w:tblGrid>
      <w:tr w14:paraId="0B276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tblCellSpacing w:w="0" w:type="dxa"/>
        </w:trPr>
        <w:tc>
          <w:tcPr>
            <w:tcW w:w="1309" w:type="dxa"/>
            <w:shd w:val="clear" w:color="auto" w:fill="auto"/>
            <w:noWrap w:val="0"/>
            <w:vAlign w:val="center"/>
          </w:tcPr>
          <w:p w14:paraId="0EAC6101">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eastAsia" w:ascii="宋体" w:hAnsi="宋体" w:eastAsia="宋体" w:cs="宋体"/>
                <w:color w:val="auto"/>
                <w:highlight w:val="none"/>
              </w:rPr>
              <w:t>序号</w:t>
            </w:r>
          </w:p>
        </w:tc>
        <w:tc>
          <w:tcPr>
            <w:tcW w:w="3518" w:type="dxa"/>
            <w:shd w:val="clear" w:color="auto" w:fill="auto"/>
            <w:noWrap w:val="0"/>
            <w:vAlign w:val="center"/>
          </w:tcPr>
          <w:p w14:paraId="0BB4CB01">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eastAsia"/>
                <w:color w:val="auto"/>
                <w:highlight w:val="none"/>
              </w:rPr>
              <w:t>磋商文件要求标准</w:t>
            </w:r>
          </w:p>
        </w:tc>
        <w:tc>
          <w:tcPr>
            <w:tcW w:w="1363" w:type="dxa"/>
            <w:shd w:val="clear" w:color="auto" w:fill="auto"/>
            <w:noWrap w:val="0"/>
            <w:vAlign w:val="center"/>
          </w:tcPr>
          <w:p w14:paraId="2FD352AE">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eastAsia"/>
                <w:color w:val="auto"/>
                <w:highlight w:val="none"/>
              </w:rPr>
              <w:t>响应情况（填是或者否）</w:t>
            </w:r>
          </w:p>
        </w:tc>
        <w:tc>
          <w:tcPr>
            <w:tcW w:w="2837" w:type="dxa"/>
            <w:shd w:val="clear" w:color="auto" w:fill="auto"/>
            <w:noWrap w:val="0"/>
            <w:vAlign w:val="center"/>
          </w:tcPr>
          <w:p w14:paraId="28C8B364">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投标文件中的 页码位置</w:t>
            </w:r>
          </w:p>
        </w:tc>
      </w:tr>
      <w:tr w14:paraId="0092B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blCellSpacing w:w="0" w:type="dxa"/>
        </w:trPr>
        <w:tc>
          <w:tcPr>
            <w:tcW w:w="1309" w:type="dxa"/>
            <w:shd w:val="clear" w:color="auto" w:fill="auto"/>
            <w:noWrap w:val="0"/>
            <w:vAlign w:val="center"/>
          </w:tcPr>
          <w:p w14:paraId="09FF316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eastAsia="宋体"/>
                <w:color w:val="auto"/>
                <w:sz w:val="24"/>
                <w:highlight w:val="none"/>
              </w:rPr>
            </w:pPr>
            <w:r>
              <w:rPr>
                <w:rFonts w:hint="eastAsia" w:eastAsia="宋体"/>
                <w:color w:val="auto"/>
                <w:sz w:val="24"/>
                <w:highlight w:val="none"/>
              </w:rPr>
              <w:t>1</w:t>
            </w:r>
          </w:p>
        </w:tc>
        <w:tc>
          <w:tcPr>
            <w:tcW w:w="3518" w:type="dxa"/>
            <w:shd w:val="clear" w:color="auto" w:fill="auto"/>
            <w:noWrap w:val="0"/>
            <w:vAlign w:val="center"/>
          </w:tcPr>
          <w:p w14:paraId="57E4B66F">
            <w:pPr>
              <w:pStyle w:val="232"/>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left"/>
              <w:textAlignment w:val="auto"/>
              <w:rPr>
                <w:rFonts w:eastAsia="宋体"/>
                <w:color w:val="auto"/>
                <w:sz w:val="24"/>
                <w:highlight w:val="none"/>
              </w:rPr>
            </w:pPr>
          </w:p>
        </w:tc>
        <w:tc>
          <w:tcPr>
            <w:tcW w:w="1363" w:type="dxa"/>
            <w:shd w:val="clear" w:color="auto" w:fill="auto"/>
            <w:noWrap w:val="0"/>
            <w:vAlign w:val="center"/>
          </w:tcPr>
          <w:p w14:paraId="163DE6AE">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2837" w:type="dxa"/>
            <w:shd w:val="clear" w:color="auto" w:fill="auto"/>
            <w:noWrap w:val="0"/>
            <w:vAlign w:val="center"/>
          </w:tcPr>
          <w:p w14:paraId="57B0A1BD">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r>
      <w:tr w14:paraId="5D43E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blCellSpacing w:w="0" w:type="dxa"/>
        </w:trPr>
        <w:tc>
          <w:tcPr>
            <w:tcW w:w="1309" w:type="dxa"/>
            <w:shd w:val="clear" w:color="auto" w:fill="auto"/>
            <w:noWrap w:val="0"/>
            <w:vAlign w:val="center"/>
          </w:tcPr>
          <w:p w14:paraId="384D121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168"/>
              <w:jc w:val="center"/>
              <w:textAlignment w:val="auto"/>
              <w:rPr>
                <w:rFonts w:hint="default" w:eastAsia="宋体"/>
                <w:color w:val="auto"/>
                <w:sz w:val="24"/>
                <w:highlight w:val="none"/>
              </w:rPr>
            </w:pPr>
            <w:r>
              <w:rPr>
                <w:rFonts w:hint="eastAsia" w:eastAsia="宋体"/>
                <w:color w:val="auto"/>
                <w:sz w:val="24"/>
                <w:highlight w:val="none"/>
              </w:rPr>
              <w:t>2</w:t>
            </w:r>
          </w:p>
        </w:tc>
        <w:tc>
          <w:tcPr>
            <w:tcW w:w="3518" w:type="dxa"/>
            <w:shd w:val="clear" w:color="auto" w:fill="auto"/>
            <w:noWrap w:val="0"/>
            <w:vAlign w:val="center"/>
          </w:tcPr>
          <w:p w14:paraId="580C7F5D">
            <w:pPr>
              <w:pStyle w:val="232"/>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left"/>
              <w:textAlignment w:val="auto"/>
              <w:rPr>
                <w:rFonts w:eastAsia="宋体"/>
                <w:color w:val="auto"/>
                <w:sz w:val="24"/>
                <w:highlight w:val="none"/>
              </w:rPr>
            </w:pPr>
          </w:p>
        </w:tc>
        <w:tc>
          <w:tcPr>
            <w:tcW w:w="1363" w:type="dxa"/>
            <w:shd w:val="clear" w:color="auto" w:fill="auto"/>
            <w:noWrap w:val="0"/>
            <w:vAlign w:val="center"/>
          </w:tcPr>
          <w:p w14:paraId="1D77D147">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2837" w:type="dxa"/>
            <w:shd w:val="clear" w:color="auto" w:fill="auto"/>
            <w:noWrap w:val="0"/>
            <w:vAlign w:val="center"/>
          </w:tcPr>
          <w:p w14:paraId="006BD25D">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r>
      <w:tr w14:paraId="13BFD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blCellSpacing w:w="0" w:type="dxa"/>
        </w:trPr>
        <w:tc>
          <w:tcPr>
            <w:tcW w:w="1309" w:type="dxa"/>
            <w:shd w:val="clear" w:color="auto" w:fill="auto"/>
            <w:noWrap w:val="0"/>
            <w:vAlign w:val="center"/>
          </w:tcPr>
          <w:p w14:paraId="34D3E8A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168"/>
              <w:jc w:val="center"/>
              <w:textAlignment w:val="auto"/>
              <w:rPr>
                <w:rFonts w:hint="default" w:eastAsia="宋体"/>
                <w:color w:val="auto"/>
                <w:sz w:val="24"/>
                <w:highlight w:val="none"/>
              </w:rPr>
            </w:pPr>
            <w:r>
              <w:rPr>
                <w:rFonts w:hint="eastAsia" w:eastAsia="宋体"/>
                <w:color w:val="auto"/>
                <w:sz w:val="24"/>
                <w:highlight w:val="none"/>
              </w:rPr>
              <w:t>3</w:t>
            </w:r>
          </w:p>
        </w:tc>
        <w:tc>
          <w:tcPr>
            <w:tcW w:w="3518" w:type="dxa"/>
            <w:shd w:val="clear" w:color="auto" w:fill="auto"/>
            <w:noWrap w:val="0"/>
            <w:vAlign w:val="center"/>
          </w:tcPr>
          <w:p w14:paraId="567F5FB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168"/>
              <w:textAlignment w:val="auto"/>
              <w:rPr>
                <w:rFonts w:hint="default" w:eastAsia="宋体"/>
                <w:color w:val="auto"/>
                <w:sz w:val="24"/>
                <w:highlight w:val="none"/>
              </w:rPr>
            </w:pPr>
          </w:p>
        </w:tc>
        <w:tc>
          <w:tcPr>
            <w:tcW w:w="1363" w:type="dxa"/>
            <w:shd w:val="clear" w:color="auto" w:fill="auto"/>
            <w:noWrap w:val="0"/>
            <w:vAlign w:val="center"/>
          </w:tcPr>
          <w:p w14:paraId="17C82B4F">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2837" w:type="dxa"/>
            <w:shd w:val="clear" w:color="auto" w:fill="auto"/>
            <w:noWrap w:val="0"/>
            <w:vAlign w:val="center"/>
          </w:tcPr>
          <w:p w14:paraId="67425C8A">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r>
      <w:tr w14:paraId="1C032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blCellSpacing w:w="0" w:type="dxa"/>
        </w:trPr>
        <w:tc>
          <w:tcPr>
            <w:tcW w:w="1309" w:type="dxa"/>
            <w:shd w:val="clear" w:color="auto" w:fill="auto"/>
            <w:noWrap w:val="0"/>
            <w:vAlign w:val="center"/>
          </w:tcPr>
          <w:p w14:paraId="15C1C9C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168"/>
              <w:jc w:val="center"/>
              <w:textAlignment w:val="auto"/>
              <w:rPr>
                <w:rFonts w:hint="default" w:eastAsia="宋体"/>
                <w:color w:val="auto"/>
                <w:sz w:val="24"/>
                <w:highlight w:val="none"/>
              </w:rPr>
            </w:pPr>
            <w:r>
              <w:rPr>
                <w:rFonts w:hint="eastAsia" w:eastAsia="宋体"/>
                <w:color w:val="auto"/>
                <w:sz w:val="24"/>
                <w:highlight w:val="none"/>
              </w:rPr>
              <w:t>4</w:t>
            </w:r>
          </w:p>
        </w:tc>
        <w:tc>
          <w:tcPr>
            <w:tcW w:w="3518" w:type="dxa"/>
            <w:shd w:val="clear" w:color="auto" w:fill="auto"/>
            <w:noWrap w:val="0"/>
            <w:vAlign w:val="center"/>
          </w:tcPr>
          <w:p w14:paraId="0096359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168"/>
              <w:textAlignment w:val="auto"/>
              <w:rPr>
                <w:rFonts w:hint="default" w:eastAsia="宋体"/>
                <w:color w:val="auto"/>
                <w:sz w:val="24"/>
                <w:highlight w:val="none"/>
              </w:rPr>
            </w:pPr>
            <w:r>
              <w:rPr>
                <w:rFonts w:hint="eastAsia" w:ascii="宋体" w:hAnsi="宋体" w:eastAsia="宋体" w:cs="宋体"/>
                <w:color w:val="auto"/>
                <w:highlight w:val="none"/>
              </w:rPr>
              <w:t>……</w:t>
            </w:r>
          </w:p>
        </w:tc>
        <w:tc>
          <w:tcPr>
            <w:tcW w:w="1363" w:type="dxa"/>
            <w:shd w:val="clear" w:color="auto" w:fill="auto"/>
            <w:noWrap w:val="0"/>
            <w:vAlign w:val="center"/>
          </w:tcPr>
          <w:p w14:paraId="4F16657D">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2837" w:type="dxa"/>
            <w:shd w:val="clear" w:color="auto" w:fill="auto"/>
            <w:noWrap w:val="0"/>
            <w:vAlign w:val="center"/>
          </w:tcPr>
          <w:p w14:paraId="31296056">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r>
    </w:tbl>
    <w:p w14:paraId="32817210">
      <w:pPr>
        <w:pStyle w:val="27"/>
        <w:pageBreakBefore w:val="0"/>
        <w:kinsoku/>
        <w:wordWrap/>
        <w:overflowPunct/>
        <w:topLinePunct w:val="0"/>
        <w:autoSpaceDE/>
        <w:autoSpaceDN/>
        <w:bidi w:val="0"/>
        <w:adjustRightInd/>
        <w:snapToGrid/>
        <w:spacing w:beforeAutospacing="0" w:afterAutospacing="0" w:line="348" w:lineRule="auto"/>
        <w:jc w:val="both"/>
        <w:textAlignment w:val="auto"/>
        <w:rPr>
          <w:color w:val="auto"/>
          <w:highlight w:val="none"/>
        </w:rPr>
      </w:pPr>
      <w:r>
        <w:rPr>
          <w:rFonts w:hint="eastAsia" w:ascii="宋体" w:hAnsi="宋体" w:eastAsia="宋体" w:cs="宋体"/>
          <w:color w:val="auto"/>
          <w:highlight w:val="none"/>
        </w:rPr>
        <w:t>注： 行数不够，可自行添加。</w:t>
      </w:r>
    </w:p>
    <w:p w14:paraId="4EA1ACE4">
      <w:pPr>
        <w:pStyle w:val="27"/>
        <w:pageBreakBefore w:val="0"/>
        <w:kinsoku/>
        <w:wordWrap/>
        <w:overflowPunct/>
        <w:topLinePunct w:val="0"/>
        <w:autoSpaceDE/>
        <w:autoSpaceDN/>
        <w:bidi w:val="0"/>
        <w:adjustRightInd/>
        <w:snapToGrid/>
        <w:spacing w:beforeAutospacing="0" w:afterAutospacing="0" w:line="348" w:lineRule="auto"/>
        <w:jc w:val="center"/>
        <w:textAlignment w:val="auto"/>
        <w:rPr>
          <w:color w:val="auto"/>
          <w:highlight w:val="none"/>
        </w:rPr>
      </w:pPr>
      <w:r>
        <w:rPr>
          <w:color w:val="auto"/>
          <w:highlight w:val="none"/>
        </w:rPr>
        <w:t> </w:t>
      </w:r>
    </w:p>
    <w:p w14:paraId="6D861487">
      <w:pPr>
        <w:pageBreakBefore w:val="0"/>
        <w:kinsoku/>
        <w:wordWrap/>
        <w:overflowPunct/>
        <w:topLinePunct w:val="0"/>
        <w:autoSpaceDE/>
        <w:autoSpaceDN/>
        <w:bidi w:val="0"/>
        <w:adjustRightInd/>
        <w:snapToGrid/>
        <w:spacing w:line="348" w:lineRule="auto"/>
        <w:textAlignment w:val="auto"/>
        <w:rPr>
          <w:rFonts w:ascii="宋体" w:hAnsi="宋体" w:eastAsia="宋体" w:cs="宋体"/>
          <w:iCs/>
          <w:color w:val="auto"/>
          <w:sz w:val="24"/>
          <w:highlight w:val="none"/>
          <w:lang w:val="zh-CN"/>
        </w:rPr>
      </w:pPr>
    </w:p>
    <w:p w14:paraId="6909C449">
      <w:pPr>
        <w:pageBreakBefore w:val="0"/>
        <w:tabs>
          <w:tab w:val="left" w:pos="4864"/>
        </w:tabs>
        <w:kinsoku/>
        <w:wordWrap/>
        <w:overflowPunct/>
        <w:topLinePunct w:val="0"/>
        <w:autoSpaceDE/>
        <w:autoSpaceDN/>
        <w:bidi w:val="0"/>
        <w:adjustRightInd/>
        <w:snapToGrid/>
        <w:spacing w:line="348" w:lineRule="auto"/>
        <w:ind w:right="1560" w:firstLine="624"/>
        <w:jc w:val="right"/>
        <w:textAlignment w:val="auto"/>
        <w:rPr>
          <w:rFonts w:ascii="宋体" w:hAnsi="宋体" w:eastAsia="宋体" w:cs="宋体"/>
          <w:color w:val="auto"/>
          <w:sz w:val="28"/>
          <w:highlight w:val="none"/>
        </w:rPr>
      </w:pPr>
    </w:p>
    <w:p w14:paraId="5D905C5E">
      <w:pPr>
        <w:pageBreakBefore w:val="0"/>
        <w:tabs>
          <w:tab w:val="left" w:pos="4864"/>
        </w:tabs>
        <w:kinsoku/>
        <w:wordWrap/>
        <w:overflowPunct/>
        <w:topLinePunct w:val="0"/>
        <w:autoSpaceDE/>
        <w:autoSpaceDN/>
        <w:bidi w:val="0"/>
        <w:adjustRightInd/>
        <w:snapToGrid/>
        <w:spacing w:line="348" w:lineRule="auto"/>
        <w:ind w:right="1560" w:firstLine="624"/>
        <w:jc w:val="right"/>
        <w:textAlignment w:val="auto"/>
        <w:rPr>
          <w:rFonts w:ascii="Times New Roman" w:hAnsi="Times New Roman" w:eastAsia="仿宋" w:cs="Times New Roman"/>
          <w:color w:val="auto"/>
          <w:sz w:val="28"/>
          <w:highlight w:val="none"/>
        </w:rPr>
      </w:pPr>
      <w:r>
        <w:rPr>
          <w:rFonts w:hint="eastAsia" w:ascii="宋体" w:hAnsi="宋体" w:eastAsia="宋体" w:cs="宋体"/>
          <w:color w:val="auto"/>
          <w:sz w:val="28"/>
          <w:highlight w:val="none"/>
          <w:lang w:val="en-US" w:eastAsia="zh-CN"/>
        </w:rPr>
        <w:t xml:space="preserve">       </w:t>
      </w:r>
      <w:r>
        <w:rPr>
          <w:rFonts w:hint="eastAsia" w:ascii="宋体" w:hAnsi="宋体" w:eastAsia="宋体" w:cs="宋体"/>
          <w:color w:val="auto"/>
          <w:sz w:val="28"/>
          <w:highlight w:val="none"/>
        </w:rPr>
        <w:t>供应商全称（加盖CA电子公章）：</w:t>
      </w:r>
    </w:p>
    <w:p w14:paraId="192FE213">
      <w:pPr>
        <w:pageBreakBefore w:val="0"/>
        <w:tabs>
          <w:tab w:val="left" w:pos="4864"/>
        </w:tabs>
        <w:kinsoku/>
        <w:wordWrap/>
        <w:overflowPunct/>
        <w:topLinePunct w:val="0"/>
        <w:autoSpaceDE/>
        <w:autoSpaceDN/>
        <w:bidi w:val="0"/>
        <w:adjustRightInd/>
        <w:snapToGrid/>
        <w:spacing w:line="348" w:lineRule="auto"/>
        <w:ind w:right="1560"/>
        <w:textAlignment w:val="auto"/>
        <w:rPr>
          <w:rFonts w:ascii="宋体" w:hAnsi="宋体" w:eastAsia="宋体" w:cs="宋体"/>
          <w:color w:val="auto"/>
          <w:sz w:val="28"/>
          <w:highlight w:val="none"/>
        </w:rPr>
      </w:pPr>
    </w:p>
    <w:p w14:paraId="3980B85D">
      <w:pPr>
        <w:pageBreakBefore w:val="0"/>
        <w:tabs>
          <w:tab w:val="left" w:pos="4864"/>
        </w:tabs>
        <w:kinsoku/>
        <w:wordWrap/>
        <w:overflowPunct/>
        <w:topLinePunct w:val="0"/>
        <w:autoSpaceDE/>
        <w:autoSpaceDN/>
        <w:bidi w:val="0"/>
        <w:adjustRightInd/>
        <w:snapToGrid/>
        <w:spacing w:line="348" w:lineRule="auto"/>
        <w:ind w:right="1560" w:firstLine="480"/>
        <w:jc w:val="right"/>
        <w:textAlignment w:val="auto"/>
        <w:rPr>
          <w:rFonts w:ascii="宋体" w:hAnsi="宋体" w:eastAsia="宋体" w:cs="宋体"/>
          <w:color w:val="auto"/>
          <w:sz w:val="30"/>
          <w:szCs w:val="30"/>
          <w:highlight w:val="none"/>
        </w:rPr>
      </w:pPr>
      <w:r>
        <w:rPr>
          <w:rFonts w:hint="eastAsia" w:ascii="宋体" w:hAnsi="宋体" w:eastAsia="宋体" w:cs="宋体"/>
          <w:color w:val="auto"/>
          <w:sz w:val="28"/>
          <w:highlight w:val="none"/>
        </w:rPr>
        <w:t>        日  期：</w:t>
      </w:r>
    </w:p>
    <w:p w14:paraId="131162E1">
      <w:pPr>
        <w:pStyle w:val="27"/>
        <w:pageBreakBefore w:val="0"/>
        <w:kinsoku/>
        <w:wordWrap/>
        <w:overflowPunct/>
        <w:topLinePunct w:val="0"/>
        <w:autoSpaceDE/>
        <w:autoSpaceDN/>
        <w:bidi w:val="0"/>
        <w:adjustRightInd/>
        <w:snapToGrid/>
        <w:spacing w:beforeAutospacing="0" w:afterAutospacing="0" w:line="348" w:lineRule="auto"/>
        <w:jc w:val="both"/>
        <w:textAlignment w:val="auto"/>
        <w:rPr>
          <w:color w:val="auto"/>
          <w:highlight w:val="none"/>
        </w:rPr>
      </w:pPr>
      <w:r>
        <w:rPr>
          <w:color w:val="auto"/>
          <w:highlight w:val="none"/>
        </w:rPr>
        <w:t> </w:t>
      </w:r>
    </w:p>
    <w:p w14:paraId="658EF9ED">
      <w:pPr>
        <w:pageBreakBefore w:val="0"/>
        <w:kinsoku/>
        <w:wordWrap/>
        <w:overflowPunct/>
        <w:topLinePunct w:val="0"/>
        <w:autoSpaceDE/>
        <w:autoSpaceDN/>
        <w:bidi w:val="0"/>
        <w:adjustRightInd/>
        <w:snapToGrid/>
        <w:spacing w:line="348" w:lineRule="auto"/>
        <w:textAlignment w:val="auto"/>
        <w:rPr>
          <w:rFonts w:ascii="黑体" w:hAnsi="宋体" w:eastAsia="黑体" w:cs="黑体"/>
          <w:b/>
          <w:color w:val="auto"/>
          <w:sz w:val="32"/>
          <w:szCs w:val="32"/>
          <w:highlight w:val="none"/>
        </w:rPr>
      </w:pPr>
      <w:r>
        <w:rPr>
          <w:color w:val="auto"/>
          <w:highlight w:val="none"/>
        </w:rPr>
        <w:t> </w:t>
      </w:r>
    </w:p>
    <w:p w14:paraId="4720FA65">
      <w:pPr>
        <w:pageBreakBefore w:val="0"/>
        <w:widowControl/>
        <w:kinsoku/>
        <w:wordWrap/>
        <w:overflowPunct/>
        <w:topLinePunct w:val="0"/>
        <w:autoSpaceDE/>
        <w:autoSpaceDN/>
        <w:bidi w:val="0"/>
        <w:adjustRightInd/>
        <w:snapToGrid/>
        <w:spacing w:line="348" w:lineRule="auto"/>
        <w:jc w:val="left"/>
        <w:textAlignment w:val="auto"/>
        <w:rPr>
          <w:rFonts w:ascii="宋体" w:hAnsi="宋体" w:eastAsia="宋体" w:cs="宋体"/>
          <w:b/>
          <w:color w:val="auto"/>
          <w:sz w:val="28"/>
          <w:szCs w:val="28"/>
          <w:highlight w:val="none"/>
        </w:rPr>
      </w:pPr>
      <w:r>
        <w:rPr>
          <w:rFonts w:ascii="宋体" w:hAnsi="宋体" w:eastAsia="宋体" w:cs="宋体"/>
          <w:b/>
          <w:color w:val="auto"/>
          <w:sz w:val="28"/>
          <w:szCs w:val="28"/>
          <w:highlight w:val="none"/>
        </w:rPr>
        <w:br w:type="page" w:clear="all"/>
      </w:r>
    </w:p>
    <w:p w14:paraId="35680F39">
      <w:pPr>
        <w:pageBreakBefore w:val="0"/>
        <w:kinsoku/>
        <w:wordWrap/>
        <w:overflowPunct/>
        <w:topLinePunct w:val="0"/>
        <w:autoSpaceDE/>
        <w:autoSpaceDN/>
        <w:bidi w:val="0"/>
        <w:adjustRightInd/>
        <w:snapToGrid/>
        <w:spacing w:line="348" w:lineRule="auto"/>
        <w:jc w:val="center"/>
        <w:textAlignment w:val="auto"/>
        <w:rPr>
          <w:rFonts w:hint="eastAsia" w:ascii="黑体" w:hAnsi="宋体" w:eastAsia="黑体" w:cs="黑体"/>
          <w:color w:val="auto"/>
          <w:sz w:val="24"/>
          <w:szCs w:val="24"/>
          <w:highlight w:val="none"/>
          <w:u w:val="none"/>
          <w:lang w:val="en-US" w:eastAsia="zh-CN" w:bidi="ar-SA"/>
        </w:rPr>
      </w:pPr>
      <w:r>
        <w:rPr>
          <w:rFonts w:hint="eastAsia" w:ascii="黑体" w:hAnsi="宋体" w:eastAsia="黑体" w:cs="黑体"/>
          <w:color w:val="auto"/>
          <w:sz w:val="24"/>
          <w:szCs w:val="24"/>
          <w:highlight w:val="none"/>
          <w:u w:val="none"/>
          <w:lang w:val="en-US" w:eastAsia="zh-CN" w:bidi="ar-SA"/>
        </w:rPr>
        <w:t>十三、商务要求响应及偏离表</w:t>
      </w:r>
    </w:p>
    <w:tbl>
      <w:tblPr>
        <w:tblStyle w:val="32"/>
        <w:tblW w:w="9668" w:type="dxa"/>
        <w:tblCellSpacing w:w="0" w:type="dxa"/>
        <w:tblInd w:w="4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2"/>
        <w:gridCol w:w="3368"/>
        <w:gridCol w:w="1718"/>
        <w:gridCol w:w="3000"/>
      </w:tblGrid>
      <w:tr w14:paraId="7FCE0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blCellSpacing w:w="0" w:type="dxa"/>
        </w:trPr>
        <w:tc>
          <w:tcPr>
            <w:tcW w:w="1582" w:type="dxa"/>
            <w:shd w:val="clear" w:color="auto" w:fill="auto"/>
            <w:noWrap w:val="0"/>
            <w:vAlign w:val="center"/>
          </w:tcPr>
          <w:p w14:paraId="2068CFA7">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bookmarkStart w:id="176" w:name="_Hlt26580838"/>
            <w:bookmarkStart w:id="177" w:name="_Hlt26782999"/>
            <w:bookmarkStart w:id="178" w:name="_Hlt24879081"/>
            <w:bookmarkStart w:id="179" w:name="_Hlt26955064"/>
            <w:bookmarkStart w:id="180" w:name="_Hlt26955056"/>
            <w:bookmarkStart w:id="181" w:name="_Hlt26671372"/>
            <w:bookmarkStart w:id="182" w:name="_Hlt26609391"/>
            <w:bookmarkStart w:id="183" w:name="_Hlt26671343"/>
            <w:r>
              <w:rPr>
                <w:rFonts w:hint="eastAsia" w:ascii="宋体" w:hAnsi="宋体" w:eastAsia="宋体" w:cs="宋体"/>
                <w:color w:val="auto"/>
                <w:highlight w:val="none"/>
              </w:rPr>
              <w:t>序号</w:t>
            </w:r>
            <w:bookmarkEnd w:id="176"/>
            <w:bookmarkEnd w:id="177"/>
            <w:bookmarkEnd w:id="178"/>
            <w:bookmarkEnd w:id="179"/>
            <w:bookmarkEnd w:id="180"/>
            <w:bookmarkEnd w:id="181"/>
            <w:bookmarkEnd w:id="182"/>
            <w:bookmarkEnd w:id="183"/>
          </w:p>
        </w:tc>
        <w:tc>
          <w:tcPr>
            <w:tcW w:w="3368" w:type="dxa"/>
            <w:shd w:val="clear" w:color="auto" w:fill="auto"/>
            <w:noWrap w:val="0"/>
            <w:vAlign w:val="center"/>
          </w:tcPr>
          <w:p w14:paraId="20105BAC">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eastAsia"/>
                <w:color w:val="auto"/>
                <w:highlight w:val="none"/>
              </w:rPr>
              <w:t>磋商文件要求</w:t>
            </w:r>
          </w:p>
        </w:tc>
        <w:tc>
          <w:tcPr>
            <w:tcW w:w="1718" w:type="dxa"/>
            <w:shd w:val="clear" w:color="auto" w:fill="auto"/>
            <w:noWrap w:val="0"/>
            <w:vAlign w:val="center"/>
          </w:tcPr>
          <w:p w14:paraId="20A24C0B">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eastAsia"/>
                <w:color w:val="auto"/>
                <w:highlight w:val="none"/>
              </w:rPr>
              <w:t>响应情况（填是或者否）</w:t>
            </w:r>
          </w:p>
        </w:tc>
        <w:tc>
          <w:tcPr>
            <w:tcW w:w="3000" w:type="dxa"/>
            <w:shd w:val="clear" w:color="auto" w:fill="auto"/>
            <w:noWrap w:val="0"/>
            <w:vAlign w:val="center"/>
          </w:tcPr>
          <w:p w14:paraId="14F9304D">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投标文件中的 页码位置</w:t>
            </w:r>
          </w:p>
        </w:tc>
      </w:tr>
      <w:tr w14:paraId="0F888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blCellSpacing w:w="0" w:type="dxa"/>
        </w:trPr>
        <w:tc>
          <w:tcPr>
            <w:tcW w:w="1582" w:type="dxa"/>
            <w:shd w:val="clear" w:color="auto" w:fill="auto"/>
            <w:noWrap w:val="0"/>
            <w:vAlign w:val="center"/>
          </w:tcPr>
          <w:p w14:paraId="7033716A">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eastAsia"/>
                <w:color w:val="auto"/>
                <w:highlight w:val="none"/>
              </w:rPr>
              <w:t>1</w:t>
            </w:r>
            <w:r>
              <w:rPr>
                <w:rFonts w:hint="default"/>
                <w:color w:val="auto"/>
                <w:highlight w:val="none"/>
              </w:rPr>
              <w:t> </w:t>
            </w:r>
          </w:p>
        </w:tc>
        <w:tc>
          <w:tcPr>
            <w:tcW w:w="3368" w:type="dxa"/>
            <w:shd w:val="clear" w:color="auto" w:fill="auto"/>
            <w:noWrap w:val="0"/>
            <w:vAlign w:val="center"/>
          </w:tcPr>
          <w:p w14:paraId="4C79B005">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p>
        </w:tc>
        <w:tc>
          <w:tcPr>
            <w:tcW w:w="1718" w:type="dxa"/>
            <w:shd w:val="clear" w:color="auto" w:fill="auto"/>
            <w:noWrap w:val="0"/>
            <w:vAlign w:val="center"/>
          </w:tcPr>
          <w:p w14:paraId="5EFEFF09">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3000" w:type="dxa"/>
            <w:shd w:val="clear" w:color="auto" w:fill="auto"/>
            <w:noWrap w:val="0"/>
            <w:vAlign w:val="center"/>
          </w:tcPr>
          <w:p w14:paraId="5482D743">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r>
      <w:tr w14:paraId="64F67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blCellSpacing w:w="0" w:type="dxa"/>
        </w:trPr>
        <w:tc>
          <w:tcPr>
            <w:tcW w:w="1582" w:type="dxa"/>
            <w:shd w:val="clear" w:color="auto" w:fill="auto"/>
            <w:noWrap w:val="0"/>
            <w:vAlign w:val="center"/>
          </w:tcPr>
          <w:p w14:paraId="72503A53">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eastAsia"/>
                <w:color w:val="auto"/>
                <w:highlight w:val="none"/>
              </w:rPr>
              <w:t>2</w:t>
            </w:r>
          </w:p>
        </w:tc>
        <w:tc>
          <w:tcPr>
            <w:tcW w:w="3368" w:type="dxa"/>
            <w:shd w:val="clear" w:color="auto" w:fill="auto"/>
            <w:noWrap w:val="0"/>
            <w:vAlign w:val="center"/>
          </w:tcPr>
          <w:p w14:paraId="0D217EC7">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p>
        </w:tc>
        <w:tc>
          <w:tcPr>
            <w:tcW w:w="1718" w:type="dxa"/>
            <w:shd w:val="clear" w:color="auto" w:fill="auto"/>
            <w:noWrap w:val="0"/>
            <w:vAlign w:val="center"/>
          </w:tcPr>
          <w:p w14:paraId="74108A6E">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3000" w:type="dxa"/>
            <w:shd w:val="clear" w:color="auto" w:fill="auto"/>
            <w:noWrap w:val="0"/>
            <w:vAlign w:val="center"/>
          </w:tcPr>
          <w:p w14:paraId="7CBA6397">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r>
      <w:tr w14:paraId="16EDC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blCellSpacing w:w="0" w:type="dxa"/>
        </w:trPr>
        <w:tc>
          <w:tcPr>
            <w:tcW w:w="1582" w:type="dxa"/>
            <w:shd w:val="clear" w:color="auto" w:fill="auto"/>
            <w:noWrap w:val="0"/>
            <w:vAlign w:val="center"/>
          </w:tcPr>
          <w:p w14:paraId="26C165AC">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eastAsia"/>
                <w:color w:val="auto"/>
                <w:highlight w:val="none"/>
              </w:rPr>
              <w:t>3</w:t>
            </w:r>
          </w:p>
        </w:tc>
        <w:tc>
          <w:tcPr>
            <w:tcW w:w="3368" w:type="dxa"/>
            <w:shd w:val="clear" w:color="auto" w:fill="auto"/>
            <w:noWrap w:val="0"/>
            <w:vAlign w:val="center"/>
          </w:tcPr>
          <w:p w14:paraId="3452B0B3">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p>
        </w:tc>
        <w:tc>
          <w:tcPr>
            <w:tcW w:w="1718" w:type="dxa"/>
            <w:shd w:val="clear" w:color="auto" w:fill="auto"/>
            <w:noWrap w:val="0"/>
            <w:vAlign w:val="center"/>
          </w:tcPr>
          <w:p w14:paraId="59BD7131">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3000" w:type="dxa"/>
            <w:shd w:val="clear" w:color="auto" w:fill="auto"/>
            <w:noWrap w:val="0"/>
            <w:vAlign w:val="center"/>
          </w:tcPr>
          <w:p w14:paraId="7E39D1C6">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r>
      <w:tr w14:paraId="032E8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blCellSpacing w:w="0" w:type="dxa"/>
        </w:trPr>
        <w:tc>
          <w:tcPr>
            <w:tcW w:w="1582" w:type="dxa"/>
            <w:shd w:val="clear" w:color="auto" w:fill="auto"/>
            <w:noWrap w:val="0"/>
            <w:vAlign w:val="center"/>
          </w:tcPr>
          <w:p w14:paraId="2F1D5EB5">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r>
              <w:rPr>
                <w:rFonts w:hint="eastAsia"/>
                <w:color w:val="auto"/>
                <w:highlight w:val="none"/>
              </w:rPr>
              <w:t>4</w:t>
            </w:r>
          </w:p>
        </w:tc>
        <w:tc>
          <w:tcPr>
            <w:tcW w:w="3368" w:type="dxa"/>
            <w:shd w:val="clear" w:color="auto" w:fill="auto"/>
            <w:noWrap w:val="0"/>
            <w:vAlign w:val="center"/>
          </w:tcPr>
          <w:p w14:paraId="6AA9F976">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p>
        </w:tc>
        <w:tc>
          <w:tcPr>
            <w:tcW w:w="1718" w:type="dxa"/>
            <w:shd w:val="clear" w:color="auto" w:fill="auto"/>
            <w:noWrap w:val="0"/>
            <w:vAlign w:val="center"/>
          </w:tcPr>
          <w:p w14:paraId="6407639C">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3000" w:type="dxa"/>
            <w:shd w:val="clear" w:color="auto" w:fill="auto"/>
            <w:noWrap w:val="0"/>
            <w:vAlign w:val="center"/>
          </w:tcPr>
          <w:p w14:paraId="28F35666">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r>
      <w:tr w14:paraId="3985F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blCellSpacing w:w="0" w:type="dxa"/>
        </w:trPr>
        <w:tc>
          <w:tcPr>
            <w:tcW w:w="1582" w:type="dxa"/>
            <w:shd w:val="clear" w:color="auto" w:fill="auto"/>
            <w:noWrap w:val="0"/>
            <w:vAlign w:val="center"/>
          </w:tcPr>
          <w:p w14:paraId="76AE945B">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3368" w:type="dxa"/>
            <w:shd w:val="clear" w:color="auto" w:fill="auto"/>
            <w:noWrap w:val="0"/>
            <w:vAlign w:val="center"/>
          </w:tcPr>
          <w:p w14:paraId="35734290">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1718" w:type="dxa"/>
            <w:shd w:val="clear" w:color="auto" w:fill="auto"/>
            <w:noWrap w:val="0"/>
            <w:vAlign w:val="center"/>
          </w:tcPr>
          <w:p w14:paraId="247FE788">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3000" w:type="dxa"/>
            <w:shd w:val="clear" w:color="auto" w:fill="auto"/>
            <w:noWrap w:val="0"/>
            <w:vAlign w:val="center"/>
          </w:tcPr>
          <w:p w14:paraId="484D7BA6">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r>
      <w:tr w14:paraId="44CB3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blCellSpacing w:w="0" w:type="dxa"/>
        </w:trPr>
        <w:tc>
          <w:tcPr>
            <w:tcW w:w="1582" w:type="dxa"/>
            <w:shd w:val="clear" w:color="auto" w:fill="auto"/>
            <w:noWrap w:val="0"/>
            <w:vAlign w:val="center"/>
          </w:tcPr>
          <w:p w14:paraId="006AF584">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3368" w:type="dxa"/>
            <w:shd w:val="clear" w:color="auto" w:fill="auto"/>
            <w:noWrap w:val="0"/>
            <w:vAlign w:val="center"/>
          </w:tcPr>
          <w:p w14:paraId="0E04895D">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eastAsia" w:ascii="宋体" w:hAnsi="宋体" w:eastAsia="宋体" w:cs="宋体"/>
                <w:color w:val="auto"/>
                <w:highlight w:val="none"/>
              </w:rPr>
              <w:t>……</w:t>
            </w:r>
            <w:r>
              <w:rPr>
                <w:rFonts w:hint="default"/>
                <w:color w:val="auto"/>
                <w:highlight w:val="none"/>
              </w:rPr>
              <w:t> </w:t>
            </w:r>
          </w:p>
        </w:tc>
        <w:tc>
          <w:tcPr>
            <w:tcW w:w="1718" w:type="dxa"/>
            <w:shd w:val="clear" w:color="auto" w:fill="auto"/>
            <w:noWrap w:val="0"/>
            <w:vAlign w:val="center"/>
          </w:tcPr>
          <w:p w14:paraId="6C8C5090">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3000" w:type="dxa"/>
            <w:shd w:val="clear" w:color="auto" w:fill="auto"/>
            <w:noWrap w:val="0"/>
            <w:vAlign w:val="center"/>
          </w:tcPr>
          <w:p w14:paraId="28071AB5">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r>
      <w:tr w14:paraId="42023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blCellSpacing w:w="0" w:type="dxa"/>
        </w:trPr>
        <w:tc>
          <w:tcPr>
            <w:tcW w:w="1582" w:type="dxa"/>
            <w:shd w:val="clear" w:color="auto" w:fill="auto"/>
            <w:noWrap w:val="0"/>
            <w:vAlign w:val="center"/>
          </w:tcPr>
          <w:p w14:paraId="29245285">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3368" w:type="dxa"/>
            <w:shd w:val="clear" w:color="auto" w:fill="auto"/>
            <w:noWrap w:val="0"/>
            <w:vAlign w:val="center"/>
          </w:tcPr>
          <w:p w14:paraId="504CE852">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1718" w:type="dxa"/>
            <w:shd w:val="clear" w:color="auto" w:fill="auto"/>
            <w:noWrap w:val="0"/>
            <w:vAlign w:val="center"/>
          </w:tcPr>
          <w:p w14:paraId="36ED72FA">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3000" w:type="dxa"/>
            <w:shd w:val="clear" w:color="auto" w:fill="auto"/>
            <w:noWrap w:val="0"/>
            <w:vAlign w:val="center"/>
          </w:tcPr>
          <w:p w14:paraId="7BF71323">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r>
      <w:tr w14:paraId="3D3F0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blCellSpacing w:w="0" w:type="dxa"/>
        </w:trPr>
        <w:tc>
          <w:tcPr>
            <w:tcW w:w="1582" w:type="dxa"/>
            <w:shd w:val="clear" w:color="auto" w:fill="auto"/>
            <w:noWrap w:val="0"/>
            <w:vAlign w:val="center"/>
          </w:tcPr>
          <w:p w14:paraId="5250A1B5">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3368" w:type="dxa"/>
            <w:shd w:val="clear" w:color="auto" w:fill="auto"/>
            <w:noWrap w:val="0"/>
            <w:vAlign w:val="center"/>
          </w:tcPr>
          <w:p w14:paraId="1251054D">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1718" w:type="dxa"/>
            <w:shd w:val="clear" w:color="auto" w:fill="auto"/>
            <w:noWrap w:val="0"/>
            <w:vAlign w:val="center"/>
          </w:tcPr>
          <w:p w14:paraId="4E1E6036">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c>
          <w:tcPr>
            <w:tcW w:w="3000" w:type="dxa"/>
            <w:shd w:val="clear" w:color="auto" w:fill="auto"/>
            <w:noWrap w:val="0"/>
            <w:vAlign w:val="center"/>
          </w:tcPr>
          <w:p w14:paraId="16577994">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default"/>
                <w:color w:val="auto"/>
                <w:highlight w:val="none"/>
              </w:rPr>
              <w:t> </w:t>
            </w:r>
          </w:p>
        </w:tc>
      </w:tr>
    </w:tbl>
    <w:p w14:paraId="3A4900A7">
      <w:pPr>
        <w:pStyle w:val="27"/>
        <w:pageBreakBefore w:val="0"/>
        <w:kinsoku/>
        <w:wordWrap/>
        <w:overflowPunct/>
        <w:topLinePunct w:val="0"/>
        <w:autoSpaceDE/>
        <w:autoSpaceDN/>
        <w:bidi w:val="0"/>
        <w:adjustRightInd/>
        <w:snapToGrid/>
        <w:spacing w:beforeAutospacing="0" w:afterAutospacing="0" w:line="348" w:lineRule="auto"/>
        <w:jc w:val="both"/>
        <w:textAlignment w:val="auto"/>
        <w:rPr>
          <w:color w:val="auto"/>
          <w:highlight w:val="none"/>
        </w:rPr>
      </w:pPr>
      <w:r>
        <w:rPr>
          <w:rFonts w:hint="eastAsia" w:ascii="宋体" w:hAnsi="宋体" w:eastAsia="宋体" w:cs="宋体"/>
          <w:color w:val="auto"/>
          <w:highlight w:val="none"/>
        </w:rPr>
        <w:t>注： 行数不够，可自行添加。</w:t>
      </w:r>
    </w:p>
    <w:p w14:paraId="51D0A3BA">
      <w:pPr>
        <w:pageBreakBefore w:val="0"/>
        <w:tabs>
          <w:tab w:val="left" w:pos="4864"/>
        </w:tabs>
        <w:kinsoku/>
        <w:wordWrap/>
        <w:overflowPunct/>
        <w:topLinePunct w:val="0"/>
        <w:autoSpaceDE/>
        <w:autoSpaceDN/>
        <w:bidi w:val="0"/>
        <w:adjustRightInd/>
        <w:snapToGrid/>
        <w:spacing w:line="348" w:lineRule="auto"/>
        <w:ind w:right="1560" w:firstLine="624"/>
        <w:jc w:val="right"/>
        <w:textAlignment w:val="auto"/>
        <w:rPr>
          <w:rFonts w:hint="eastAsia"/>
          <w:color w:val="auto"/>
          <w:highlight w:val="none"/>
        </w:rPr>
      </w:pPr>
      <w:r>
        <w:rPr>
          <w:color w:val="auto"/>
          <w:highlight w:val="none"/>
        </w:rPr>
        <w:t> </w:t>
      </w:r>
    </w:p>
    <w:p w14:paraId="56ECB7BE">
      <w:pPr>
        <w:pageBreakBefore w:val="0"/>
        <w:tabs>
          <w:tab w:val="left" w:pos="4864"/>
        </w:tabs>
        <w:kinsoku/>
        <w:wordWrap/>
        <w:overflowPunct/>
        <w:topLinePunct w:val="0"/>
        <w:autoSpaceDE/>
        <w:autoSpaceDN/>
        <w:bidi w:val="0"/>
        <w:adjustRightInd/>
        <w:snapToGrid/>
        <w:spacing w:line="348" w:lineRule="auto"/>
        <w:ind w:right="1560" w:firstLine="624"/>
        <w:jc w:val="right"/>
        <w:textAlignment w:val="auto"/>
        <w:rPr>
          <w:rFonts w:hint="eastAsia"/>
          <w:color w:val="auto"/>
          <w:highlight w:val="none"/>
        </w:rPr>
      </w:pPr>
    </w:p>
    <w:p w14:paraId="04682904">
      <w:pPr>
        <w:pageBreakBefore w:val="0"/>
        <w:tabs>
          <w:tab w:val="left" w:pos="4864"/>
        </w:tabs>
        <w:kinsoku/>
        <w:wordWrap/>
        <w:overflowPunct/>
        <w:topLinePunct w:val="0"/>
        <w:autoSpaceDE/>
        <w:autoSpaceDN/>
        <w:bidi w:val="0"/>
        <w:adjustRightInd/>
        <w:snapToGrid/>
        <w:spacing w:line="348" w:lineRule="auto"/>
        <w:ind w:right="1560" w:firstLine="624"/>
        <w:jc w:val="right"/>
        <w:textAlignment w:val="auto"/>
        <w:rPr>
          <w:rFonts w:hint="eastAsia"/>
          <w:color w:val="auto"/>
          <w:highlight w:val="none"/>
        </w:rPr>
      </w:pPr>
    </w:p>
    <w:p w14:paraId="16AEDBED">
      <w:pPr>
        <w:pageBreakBefore w:val="0"/>
        <w:tabs>
          <w:tab w:val="left" w:pos="4864"/>
        </w:tabs>
        <w:kinsoku/>
        <w:wordWrap/>
        <w:overflowPunct/>
        <w:topLinePunct w:val="0"/>
        <w:autoSpaceDE/>
        <w:autoSpaceDN/>
        <w:bidi w:val="0"/>
        <w:adjustRightInd/>
        <w:snapToGrid/>
        <w:spacing w:line="348" w:lineRule="auto"/>
        <w:ind w:right="1560" w:firstLine="624"/>
        <w:jc w:val="right"/>
        <w:textAlignment w:val="auto"/>
        <w:rPr>
          <w:rFonts w:ascii="Times New Roman" w:hAnsi="Times New Roman" w:eastAsia="仿宋" w:cs="Times New Roman"/>
          <w:color w:val="auto"/>
          <w:sz w:val="28"/>
          <w:highlight w:val="none"/>
        </w:rPr>
      </w:pPr>
      <w:r>
        <w:rPr>
          <w:rFonts w:hint="eastAsia" w:ascii="宋体" w:hAnsi="宋体" w:eastAsia="宋体" w:cs="宋体"/>
          <w:color w:val="auto"/>
          <w:sz w:val="28"/>
          <w:highlight w:val="none"/>
        </w:rPr>
        <w:t>供应商全称（加盖CA电子公章）：</w:t>
      </w:r>
    </w:p>
    <w:p w14:paraId="68BE3EDC">
      <w:pPr>
        <w:pageBreakBefore w:val="0"/>
        <w:tabs>
          <w:tab w:val="left" w:pos="4864"/>
        </w:tabs>
        <w:kinsoku/>
        <w:wordWrap/>
        <w:overflowPunct/>
        <w:topLinePunct w:val="0"/>
        <w:autoSpaceDE/>
        <w:autoSpaceDN/>
        <w:bidi w:val="0"/>
        <w:adjustRightInd/>
        <w:snapToGrid/>
        <w:spacing w:line="348" w:lineRule="auto"/>
        <w:ind w:right="1560"/>
        <w:textAlignment w:val="auto"/>
        <w:rPr>
          <w:rFonts w:ascii="宋体" w:hAnsi="宋体" w:eastAsia="宋体" w:cs="宋体"/>
          <w:color w:val="auto"/>
          <w:sz w:val="28"/>
          <w:highlight w:val="none"/>
        </w:rPr>
      </w:pPr>
    </w:p>
    <w:p w14:paraId="70827848">
      <w:pPr>
        <w:pageBreakBefore w:val="0"/>
        <w:tabs>
          <w:tab w:val="left" w:pos="4864"/>
        </w:tabs>
        <w:kinsoku/>
        <w:wordWrap/>
        <w:overflowPunct/>
        <w:topLinePunct w:val="0"/>
        <w:autoSpaceDE/>
        <w:autoSpaceDN/>
        <w:bidi w:val="0"/>
        <w:adjustRightInd/>
        <w:snapToGrid/>
        <w:spacing w:line="348" w:lineRule="auto"/>
        <w:ind w:right="1560" w:firstLine="480"/>
        <w:jc w:val="right"/>
        <w:textAlignment w:val="auto"/>
        <w:rPr>
          <w:rFonts w:ascii="宋体" w:hAnsi="宋体" w:eastAsia="宋体" w:cs="宋体"/>
          <w:color w:val="auto"/>
          <w:sz w:val="30"/>
          <w:szCs w:val="30"/>
          <w:highlight w:val="none"/>
        </w:rPr>
      </w:pPr>
      <w:r>
        <w:rPr>
          <w:rFonts w:hint="eastAsia" w:ascii="宋体" w:hAnsi="宋体" w:eastAsia="宋体" w:cs="宋体"/>
          <w:color w:val="auto"/>
          <w:sz w:val="28"/>
          <w:highlight w:val="none"/>
        </w:rPr>
        <w:t>        日  期：</w:t>
      </w:r>
    </w:p>
    <w:p w14:paraId="358CDAAC">
      <w:pPr>
        <w:pStyle w:val="27"/>
        <w:pageBreakBefore w:val="0"/>
        <w:kinsoku/>
        <w:wordWrap/>
        <w:overflowPunct/>
        <w:topLinePunct w:val="0"/>
        <w:autoSpaceDE/>
        <w:autoSpaceDN/>
        <w:bidi w:val="0"/>
        <w:adjustRightInd/>
        <w:snapToGrid/>
        <w:spacing w:beforeAutospacing="0" w:afterAutospacing="0" w:line="348" w:lineRule="auto"/>
        <w:jc w:val="both"/>
        <w:textAlignment w:val="auto"/>
        <w:rPr>
          <w:color w:val="auto"/>
          <w:highlight w:val="none"/>
        </w:rPr>
      </w:pPr>
    </w:p>
    <w:p w14:paraId="3AF4FD00">
      <w:pPr>
        <w:pStyle w:val="27"/>
        <w:pageBreakBefore w:val="0"/>
        <w:kinsoku/>
        <w:wordWrap/>
        <w:overflowPunct/>
        <w:topLinePunct w:val="0"/>
        <w:autoSpaceDE/>
        <w:autoSpaceDN/>
        <w:bidi w:val="0"/>
        <w:adjustRightInd/>
        <w:snapToGrid/>
        <w:spacing w:beforeAutospacing="0" w:afterAutospacing="0" w:line="348" w:lineRule="auto"/>
        <w:jc w:val="both"/>
        <w:textAlignment w:val="auto"/>
        <w:rPr>
          <w:color w:val="auto"/>
          <w:highlight w:val="none"/>
        </w:rPr>
      </w:pPr>
      <w:r>
        <w:rPr>
          <w:color w:val="auto"/>
          <w:highlight w:val="none"/>
        </w:rPr>
        <w:t> </w:t>
      </w:r>
    </w:p>
    <w:p w14:paraId="629AB501">
      <w:pPr>
        <w:pageBreakBefore w:val="0"/>
        <w:widowControl/>
        <w:kinsoku/>
        <w:wordWrap/>
        <w:overflowPunct/>
        <w:topLinePunct w:val="0"/>
        <w:autoSpaceDE/>
        <w:autoSpaceDN/>
        <w:bidi w:val="0"/>
        <w:adjustRightInd/>
        <w:snapToGrid/>
        <w:spacing w:line="348" w:lineRule="auto"/>
        <w:jc w:val="left"/>
        <w:textAlignment w:val="auto"/>
        <w:rPr>
          <w:rFonts w:ascii="宋体" w:hAnsi="宋体" w:eastAsia="宋体" w:cs="宋体"/>
          <w:color w:val="auto"/>
          <w:sz w:val="32"/>
          <w:szCs w:val="32"/>
          <w:highlight w:val="none"/>
        </w:rPr>
      </w:pPr>
      <w:r>
        <w:rPr>
          <w:rFonts w:ascii="宋体" w:hAnsi="宋体" w:eastAsia="宋体" w:cs="宋体"/>
          <w:b/>
          <w:color w:val="auto"/>
          <w:sz w:val="28"/>
          <w:szCs w:val="28"/>
          <w:highlight w:val="none"/>
        </w:rPr>
        <w:br w:type="page" w:clear="all"/>
      </w:r>
    </w:p>
    <w:p w14:paraId="6032046D">
      <w:pPr>
        <w:pageBreakBefore w:val="0"/>
        <w:kinsoku/>
        <w:wordWrap/>
        <w:overflowPunct/>
        <w:topLinePunct w:val="0"/>
        <w:autoSpaceDE/>
        <w:autoSpaceDN/>
        <w:bidi w:val="0"/>
        <w:adjustRightInd/>
        <w:snapToGrid/>
        <w:spacing w:line="348" w:lineRule="auto"/>
        <w:jc w:val="center"/>
        <w:textAlignment w:val="auto"/>
        <w:rPr>
          <w:rFonts w:hint="eastAsia" w:ascii="黑体" w:hAnsi="宋体" w:eastAsia="黑体" w:cs="黑体"/>
          <w:color w:val="auto"/>
          <w:sz w:val="24"/>
          <w:szCs w:val="24"/>
          <w:highlight w:val="none"/>
          <w:u w:val="none"/>
          <w:lang w:val="en-US" w:eastAsia="zh-CN" w:bidi="ar-SA"/>
        </w:rPr>
      </w:pPr>
      <w:r>
        <w:rPr>
          <w:rFonts w:hint="eastAsia" w:ascii="黑体" w:hAnsi="宋体" w:eastAsia="黑体" w:cs="黑体"/>
          <w:color w:val="auto"/>
          <w:sz w:val="24"/>
          <w:szCs w:val="24"/>
          <w:highlight w:val="none"/>
          <w:u w:val="none"/>
          <w:lang w:val="en-US" w:eastAsia="zh-CN" w:bidi="ar-SA"/>
        </w:rPr>
        <w:t>十四、开标一览表</w:t>
      </w:r>
    </w:p>
    <w:p w14:paraId="370AAAF7">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color w:val="auto"/>
          <w:highlight w:val="none"/>
        </w:rPr>
      </w:pPr>
      <w:r>
        <w:rPr>
          <w:rFonts w:hint="eastAsia" w:ascii="宋体" w:hAnsi="宋体" w:eastAsia="宋体" w:cs="宋体"/>
          <w:color w:val="auto"/>
          <w:highlight w:val="none"/>
        </w:rPr>
        <w:t>投标人全称（加盖CA电子签章）：</w:t>
      </w:r>
    </w:p>
    <w:p w14:paraId="2BA97478">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color w:val="auto"/>
          <w:highlight w:val="none"/>
        </w:rPr>
      </w:pPr>
      <w:r>
        <w:rPr>
          <w:rFonts w:hint="eastAsia" w:ascii="宋体" w:hAnsi="宋体" w:eastAsia="宋体" w:cs="宋体"/>
          <w:color w:val="auto"/>
          <w:highlight w:val="none"/>
        </w:rPr>
        <w:t>项目名称：</w:t>
      </w:r>
    </w:p>
    <w:p w14:paraId="7641E2FB">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项目编号：</w:t>
      </w:r>
    </w:p>
    <w:p w14:paraId="7FF5A1CE">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rFonts w:hint="eastAsia" w:eastAsia="宋体"/>
          <w:color w:val="auto"/>
          <w:highlight w:val="none"/>
          <w:lang w:val="en-US" w:eastAsia="zh-CN"/>
        </w:rPr>
      </w:pPr>
      <w:r>
        <w:rPr>
          <w:rFonts w:hint="eastAsia" w:ascii="宋体" w:hAnsi="宋体" w:eastAsia="宋体" w:cs="宋体"/>
          <w:color w:val="auto"/>
          <w:highlight w:val="none"/>
        </w:rPr>
        <w:t>分包号：</w:t>
      </w:r>
      <w:r>
        <w:rPr>
          <w:rFonts w:hint="eastAsia" w:ascii="宋体" w:hAnsi="宋体" w:eastAsia="宋体" w:cs="宋体"/>
          <w:color w:val="auto"/>
          <w:highlight w:val="none"/>
          <w:lang w:val="en-US" w:eastAsia="zh-CN"/>
        </w:rPr>
        <w:t>/</w:t>
      </w:r>
    </w:p>
    <w:tbl>
      <w:tblPr>
        <w:tblStyle w:val="32"/>
        <w:tblW w:w="8687" w:type="dxa"/>
        <w:tblCellSpacing w:w="0" w:type="dxa"/>
        <w:tblInd w:w="804" w:type="dxa"/>
        <w:tblLayout w:type="fixed"/>
        <w:tblCellMar>
          <w:top w:w="0" w:type="dxa"/>
          <w:left w:w="108" w:type="dxa"/>
          <w:bottom w:w="0" w:type="dxa"/>
          <w:right w:w="108" w:type="dxa"/>
        </w:tblCellMar>
      </w:tblPr>
      <w:tblGrid>
        <w:gridCol w:w="8687"/>
      </w:tblGrid>
      <w:tr w14:paraId="54EE4E0F">
        <w:tblPrEx>
          <w:tblCellMar>
            <w:top w:w="0" w:type="dxa"/>
            <w:left w:w="108" w:type="dxa"/>
            <w:bottom w:w="0" w:type="dxa"/>
            <w:right w:w="108" w:type="dxa"/>
          </w:tblCellMar>
        </w:tblPrEx>
        <w:trPr>
          <w:trHeight w:val="725" w:hRule="atLeast"/>
          <w:tblCellSpacing w:w="0" w:type="dxa"/>
        </w:trPr>
        <w:tc>
          <w:tcPr>
            <w:tcW w:w="86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D55642">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jc w:val="center"/>
              <w:textAlignment w:val="auto"/>
              <w:rPr>
                <w:rFonts w:hint="default"/>
                <w:color w:val="auto"/>
                <w:highlight w:val="none"/>
              </w:rPr>
            </w:pPr>
            <w:r>
              <w:rPr>
                <w:rFonts w:hint="eastAsia" w:ascii="宋体" w:hAnsi="宋体" w:eastAsia="宋体" w:cs="宋体"/>
                <w:color w:val="auto"/>
                <w:highlight w:val="none"/>
              </w:rPr>
              <w:t>投标总报价</w:t>
            </w:r>
          </w:p>
        </w:tc>
      </w:tr>
      <w:tr w14:paraId="15B8E6FE">
        <w:tblPrEx>
          <w:tblCellMar>
            <w:top w:w="0" w:type="dxa"/>
            <w:left w:w="108" w:type="dxa"/>
            <w:bottom w:w="0" w:type="dxa"/>
            <w:right w:w="108" w:type="dxa"/>
          </w:tblCellMar>
        </w:tblPrEx>
        <w:trPr>
          <w:trHeight w:val="612" w:hRule="atLeast"/>
          <w:tblCellSpacing w:w="0" w:type="dxa"/>
        </w:trPr>
        <w:tc>
          <w:tcPr>
            <w:tcW w:w="86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BDA53C">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default" w:ascii="宋体" w:hAnsi="宋体" w:eastAsia="宋体" w:cs="宋体"/>
                <w:color w:val="auto"/>
                <w:highlight w:val="none"/>
              </w:rPr>
            </w:pPr>
            <w:r>
              <w:rPr>
                <w:rFonts w:hint="eastAsia" w:ascii="宋体" w:hAnsi="宋体" w:eastAsia="宋体" w:cs="宋体"/>
                <w:color w:val="auto"/>
                <w:highlight w:val="none"/>
              </w:rPr>
              <w:t>大写：</w:t>
            </w:r>
          </w:p>
        </w:tc>
      </w:tr>
      <w:tr w14:paraId="1126A5C8">
        <w:tblPrEx>
          <w:tblCellMar>
            <w:top w:w="0" w:type="dxa"/>
            <w:left w:w="108" w:type="dxa"/>
            <w:bottom w:w="0" w:type="dxa"/>
            <w:right w:w="108" w:type="dxa"/>
          </w:tblCellMar>
        </w:tblPrEx>
        <w:trPr>
          <w:trHeight w:val="612" w:hRule="atLeast"/>
          <w:tblCellSpacing w:w="0" w:type="dxa"/>
        </w:trPr>
        <w:tc>
          <w:tcPr>
            <w:tcW w:w="86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5CB25B">
            <w:pPr>
              <w:pStyle w:val="27"/>
              <w:keepNext w:val="0"/>
              <w:keepLines w:val="0"/>
              <w:pageBreakBefore w:val="0"/>
              <w:suppressLineNumbers w:val="0"/>
              <w:kinsoku/>
              <w:wordWrap/>
              <w:overflowPunct/>
              <w:topLinePunct w:val="0"/>
              <w:autoSpaceDE/>
              <w:autoSpaceDN/>
              <w:bidi w:val="0"/>
              <w:adjustRightInd/>
              <w:snapToGrid/>
              <w:spacing w:before="0" w:beforeAutospacing="0" w:after="0" w:afterAutospacing="0" w:line="348" w:lineRule="auto"/>
              <w:ind w:left="0" w:right="0"/>
              <w:textAlignment w:val="auto"/>
              <w:rPr>
                <w:rFonts w:hint="default"/>
                <w:color w:val="auto"/>
                <w:highlight w:val="none"/>
              </w:rPr>
            </w:pPr>
            <w:r>
              <w:rPr>
                <w:rFonts w:hint="eastAsia" w:ascii="宋体" w:hAnsi="宋体" w:eastAsia="宋体" w:cs="宋体"/>
                <w:color w:val="auto"/>
                <w:highlight w:val="none"/>
              </w:rPr>
              <w:t>小写：                  （人民币：元）</w:t>
            </w:r>
          </w:p>
        </w:tc>
      </w:tr>
    </w:tbl>
    <w:p w14:paraId="60B58D9C">
      <w:pPr>
        <w:pStyle w:val="27"/>
        <w:pageBreakBefore w:val="0"/>
        <w:kinsoku/>
        <w:wordWrap/>
        <w:overflowPunct/>
        <w:topLinePunct w:val="0"/>
        <w:autoSpaceDE/>
        <w:autoSpaceDN/>
        <w:bidi w:val="0"/>
        <w:adjustRightInd/>
        <w:snapToGrid/>
        <w:spacing w:beforeAutospacing="0" w:afterAutospacing="0" w:line="348" w:lineRule="auto"/>
        <w:jc w:val="both"/>
        <w:textAlignment w:val="auto"/>
        <w:rPr>
          <w:color w:val="auto"/>
          <w:highlight w:val="none"/>
        </w:rPr>
      </w:pPr>
      <w:r>
        <w:rPr>
          <w:color w:val="auto"/>
          <w:highlight w:val="none"/>
        </w:rPr>
        <w:t> </w:t>
      </w:r>
    </w:p>
    <w:p w14:paraId="1DDA9977">
      <w:pPr>
        <w:pStyle w:val="27"/>
        <w:pageBreakBefore w:val="0"/>
        <w:kinsoku/>
        <w:wordWrap/>
        <w:overflowPunct/>
        <w:topLinePunct w:val="0"/>
        <w:autoSpaceDE/>
        <w:autoSpaceDN/>
        <w:bidi w:val="0"/>
        <w:adjustRightInd/>
        <w:snapToGrid/>
        <w:spacing w:beforeAutospacing="0" w:afterAutospacing="0" w:line="348" w:lineRule="auto"/>
        <w:ind w:firstLine="480"/>
        <w:jc w:val="both"/>
        <w:textAlignment w:val="auto"/>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53C7BBF6">
      <w:pPr>
        <w:pStyle w:val="214"/>
        <w:pageBreakBefore w:val="0"/>
        <w:kinsoku/>
        <w:wordWrap/>
        <w:overflowPunct/>
        <w:topLinePunct w:val="0"/>
        <w:autoSpaceDE/>
        <w:autoSpaceDN/>
        <w:bidi w:val="0"/>
        <w:adjustRightInd/>
        <w:snapToGrid/>
        <w:spacing w:line="348" w:lineRule="auto"/>
        <w:ind w:firstLine="210"/>
        <w:textAlignment w:val="auto"/>
        <w:rPr>
          <w:color w:val="auto"/>
          <w:highlight w:val="none"/>
        </w:rPr>
      </w:pPr>
    </w:p>
    <w:p w14:paraId="496BC211">
      <w:pPr>
        <w:pStyle w:val="214"/>
        <w:pageBreakBefore w:val="0"/>
        <w:kinsoku/>
        <w:wordWrap/>
        <w:overflowPunct/>
        <w:topLinePunct w:val="0"/>
        <w:autoSpaceDE/>
        <w:autoSpaceDN/>
        <w:bidi w:val="0"/>
        <w:adjustRightInd/>
        <w:snapToGrid/>
        <w:spacing w:line="348" w:lineRule="auto"/>
        <w:ind w:firstLine="210"/>
        <w:textAlignment w:val="auto"/>
        <w:rPr>
          <w:color w:val="auto"/>
          <w:highlight w:val="none"/>
        </w:rPr>
      </w:pPr>
    </w:p>
    <w:p w14:paraId="015F36C1">
      <w:pPr>
        <w:pStyle w:val="214"/>
        <w:pageBreakBefore w:val="0"/>
        <w:kinsoku/>
        <w:wordWrap/>
        <w:overflowPunct/>
        <w:topLinePunct w:val="0"/>
        <w:autoSpaceDE/>
        <w:autoSpaceDN/>
        <w:bidi w:val="0"/>
        <w:adjustRightInd/>
        <w:snapToGrid/>
        <w:spacing w:line="348" w:lineRule="auto"/>
        <w:ind w:firstLine="210"/>
        <w:textAlignment w:val="auto"/>
        <w:rPr>
          <w:rFonts w:hAnsi="宋体" w:eastAsia="宋体"/>
          <w:color w:val="auto"/>
          <w:sz w:val="24"/>
          <w:highlight w:val="none"/>
        </w:rPr>
      </w:pPr>
      <w:r>
        <w:rPr>
          <w:color w:val="auto"/>
          <w:highlight w:val="none"/>
        </w:rPr>
        <w:t> </w:t>
      </w:r>
      <w:r>
        <w:rPr>
          <w:rFonts w:hAnsi="宋体"/>
          <w:color w:val="auto"/>
          <w:sz w:val="24"/>
          <w:highlight w:val="none"/>
        </w:rPr>
        <w:t>注：此文件表格仅供参考，投标人必须按系统生成的开标一览表中规定格式完整、清晰、正确填写。</w:t>
      </w:r>
    </w:p>
    <w:p w14:paraId="2B076AEE">
      <w:pPr>
        <w:pStyle w:val="27"/>
        <w:pageBreakBefore w:val="0"/>
        <w:kinsoku/>
        <w:wordWrap/>
        <w:overflowPunct/>
        <w:topLinePunct w:val="0"/>
        <w:autoSpaceDE/>
        <w:autoSpaceDN/>
        <w:bidi w:val="0"/>
        <w:adjustRightInd/>
        <w:snapToGrid/>
        <w:spacing w:beforeAutospacing="0" w:afterAutospacing="0" w:line="348" w:lineRule="auto"/>
        <w:jc w:val="both"/>
        <w:textAlignment w:val="auto"/>
        <w:rPr>
          <w:color w:val="auto"/>
          <w:highlight w:val="none"/>
        </w:rPr>
      </w:pPr>
    </w:p>
    <w:p w14:paraId="24BB9C7F">
      <w:pPr>
        <w:pageBreakBefore w:val="0"/>
        <w:widowControl/>
        <w:kinsoku/>
        <w:wordWrap/>
        <w:overflowPunct/>
        <w:topLinePunct w:val="0"/>
        <w:autoSpaceDE/>
        <w:autoSpaceDN/>
        <w:bidi w:val="0"/>
        <w:adjustRightInd/>
        <w:snapToGrid/>
        <w:spacing w:before="50" w:after="50" w:line="348" w:lineRule="auto"/>
        <w:jc w:val="center"/>
        <w:textAlignment w:val="auto"/>
        <w:rPr>
          <w:rFonts w:ascii="黑体" w:hAnsi="宋体" w:eastAsia="黑体" w:cs="黑体"/>
          <w:b/>
          <w:color w:val="auto"/>
          <w:sz w:val="32"/>
          <w:szCs w:val="32"/>
          <w:highlight w:val="none"/>
        </w:rPr>
      </w:pPr>
    </w:p>
    <w:p w14:paraId="1AE70C9C">
      <w:pPr>
        <w:pageBreakBefore w:val="0"/>
        <w:widowControl/>
        <w:kinsoku/>
        <w:wordWrap/>
        <w:overflowPunct/>
        <w:topLinePunct w:val="0"/>
        <w:autoSpaceDE/>
        <w:autoSpaceDN/>
        <w:bidi w:val="0"/>
        <w:adjustRightInd/>
        <w:snapToGrid/>
        <w:spacing w:before="50" w:after="50" w:line="348" w:lineRule="auto"/>
        <w:jc w:val="center"/>
        <w:textAlignment w:val="auto"/>
        <w:rPr>
          <w:rFonts w:ascii="黑体" w:hAnsi="宋体" w:eastAsia="黑体" w:cs="黑体"/>
          <w:b/>
          <w:color w:val="auto"/>
          <w:sz w:val="32"/>
          <w:szCs w:val="32"/>
          <w:highlight w:val="none"/>
        </w:rPr>
      </w:pPr>
    </w:p>
    <w:p w14:paraId="24C4CC5A">
      <w:pPr>
        <w:pageBreakBefore w:val="0"/>
        <w:widowControl/>
        <w:kinsoku/>
        <w:wordWrap/>
        <w:overflowPunct/>
        <w:topLinePunct w:val="0"/>
        <w:autoSpaceDE/>
        <w:autoSpaceDN/>
        <w:bidi w:val="0"/>
        <w:adjustRightInd/>
        <w:snapToGrid/>
        <w:spacing w:before="50" w:after="50" w:line="348" w:lineRule="auto"/>
        <w:jc w:val="center"/>
        <w:textAlignment w:val="auto"/>
        <w:rPr>
          <w:rFonts w:ascii="黑体" w:hAnsi="宋体" w:eastAsia="黑体" w:cs="黑体"/>
          <w:b/>
          <w:color w:val="auto"/>
          <w:sz w:val="32"/>
          <w:szCs w:val="32"/>
          <w:highlight w:val="none"/>
        </w:rPr>
      </w:pPr>
    </w:p>
    <w:p w14:paraId="46A87F11">
      <w:pPr>
        <w:pageBreakBefore w:val="0"/>
        <w:widowControl/>
        <w:kinsoku/>
        <w:wordWrap/>
        <w:overflowPunct/>
        <w:topLinePunct w:val="0"/>
        <w:autoSpaceDE/>
        <w:autoSpaceDN/>
        <w:bidi w:val="0"/>
        <w:adjustRightInd/>
        <w:snapToGrid/>
        <w:spacing w:before="50" w:after="50" w:line="348" w:lineRule="auto"/>
        <w:jc w:val="center"/>
        <w:textAlignment w:val="auto"/>
        <w:rPr>
          <w:rFonts w:ascii="黑体" w:hAnsi="宋体" w:eastAsia="黑体" w:cs="黑体"/>
          <w:b/>
          <w:color w:val="auto"/>
          <w:sz w:val="32"/>
          <w:szCs w:val="32"/>
          <w:highlight w:val="none"/>
        </w:rPr>
      </w:pPr>
    </w:p>
    <w:p w14:paraId="3FAF9A4F">
      <w:pPr>
        <w:pageBreakBefore w:val="0"/>
        <w:widowControl/>
        <w:kinsoku/>
        <w:wordWrap/>
        <w:overflowPunct/>
        <w:topLinePunct w:val="0"/>
        <w:autoSpaceDE/>
        <w:autoSpaceDN/>
        <w:bidi w:val="0"/>
        <w:adjustRightInd/>
        <w:snapToGrid/>
        <w:spacing w:before="50" w:after="50" w:line="348" w:lineRule="auto"/>
        <w:jc w:val="center"/>
        <w:textAlignment w:val="auto"/>
        <w:rPr>
          <w:rFonts w:ascii="黑体" w:hAnsi="宋体" w:eastAsia="黑体" w:cs="黑体"/>
          <w:b/>
          <w:color w:val="auto"/>
          <w:sz w:val="32"/>
          <w:szCs w:val="32"/>
          <w:highlight w:val="none"/>
        </w:rPr>
      </w:pPr>
    </w:p>
    <w:p w14:paraId="79A131B3">
      <w:pPr>
        <w:pageBreakBefore w:val="0"/>
        <w:widowControl/>
        <w:kinsoku/>
        <w:wordWrap/>
        <w:overflowPunct/>
        <w:topLinePunct w:val="0"/>
        <w:autoSpaceDE/>
        <w:autoSpaceDN/>
        <w:bidi w:val="0"/>
        <w:adjustRightInd/>
        <w:snapToGrid/>
        <w:spacing w:before="50" w:after="50" w:line="348" w:lineRule="auto"/>
        <w:jc w:val="center"/>
        <w:textAlignment w:val="auto"/>
        <w:rPr>
          <w:rFonts w:ascii="黑体" w:hAnsi="宋体" w:eastAsia="黑体" w:cs="黑体"/>
          <w:b/>
          <w:color w:val="auto"/>
          <w:sz w:val="32"/>
          <w:szCs w:val="32"/>
          <w:highlight w:val="none"/>
        </w:rPr>
      </w:pPr>
    </w:p>
    <w:p w14:paraId="1AE6A8CB">
      <w:pPr>
        <w:pageBreakBefore w:val="0"/>
        <w:widowControl/>
        <w:kinsoku/>
        <w:wordWrap/>
        <w:overflowPunct/>
        <w:topLinePunct w:val="0"/>
        <w:autoSpaceDE/>
        <w:autoSpaceDN/>
        <w:bidi w:val="0"/>
        <w:adjustRightInd/>
        <w:snapToGrid/>
        <w:spacing w:before="50" w:after="50" w:line="348" w:lineRule="auto"/>
        <w:jc w:val="center"/>
        <w:textAlignment w:val="auto"/>
        <w:rPr>
          <w:rFonts w:ascii="黑体" w:hAnsi="宋体" w:eastAsia="黑体" w:cs="黑体"/>
          <w:b/>
          <w:color w:val="auto"/>
          <w:sz w:val="32"/>
          <w:szCs w:val="32"/>
          <w:highlight w:val="none"/>
        </w:rPr>
      </w:pPr>
    </w:p>
    <w:p w14:paraId="2C5F1634">
      <w:pPr>
        <w:pageBreakBefore w:val="0"/>
        <w:widowControl/>
        <w:kinsoku/>
        <w:wordWrap/>
        <w:overflowPunct/>
        <w:topLinePunct w:val="0"/>
        <w:autoSpaceDE/>
        <w:autoSpaceDN/>
        <w:bidi w:val="0"/>
        <w:adjustRightInd/>
        <w:snapToGrid/>
        <w:spacing w:before="50" w:after="50" w:line="348" w:lineRule="auto"/>
        <w:jc w:val="center"/>
        <w:textAlignment w:val="auto"/>
        <w:rPr>
          <w:rFonts w:ascii="黑体" w:hAnsi="宋体" w:eastAsia="黑体" w:cs="黑体"/>
          <w:b/>
          <w:color w:val="auto"/>
          <w:sz w:val="32"/>
          <w:szCs w:val="32"/>
          <w:highlight w:val="none"/>
        </w:rPr>
      </w:pPr>
    </w:p>
    <w:p w14:paraId="75F9ADF6">
      <w:pPr>
        <w:pageBreakBefore w:val="0"/>
        <w:widowControl/>
        <w:kinsoku/>
        <w:wordWrap/>
        <w:overflowPunct/>
        <w:topLinePunct w:val="0"/>
        <w:autoSpaceDE/>
        <w:autoSpaceDN/>
        <w:bidi w:val="0"/>
        <w:adjustRightInd/>
        <w:snapToGrid/>
        <w:spacing w:before="50" w:after="50" w:line="348" w:lineRule="auto"/>
        <w:textAlignment w:val="auto"/>
        <w:rPr>
          <w:rFonts w:ascii="黑体" w:hAnsi="宋体" w:eastAsia="黑体" w:cs="黑体"/>
          <w:b/>
          <w:color w:val="auto"/>
          <w:sz w:val="32"/>
          <w:szCs w:val="32"/>
          <w:highlight w:val="none"/>
        </w:rPr>
      </w:pPr>
    </w:p>
    <w:p w14:paraId="53CEE5A0">
      <w:pPr>
        <w:pageBreakBefore w:val="0"/>
        <w:kinsoku/>
        <w:wordWrap/>
        <w:overflowPunct/>
        <w:topLinePunct w:val="0"/>
        <w:autoSpaceDE/>
        <w:autoSpaceDN/>
        <w:bidi w:val="0"/>
        <w:adjustRightInd/>
        <w:snapToGrid/>
        <w:spacing w:line="348" w:lineRule="auto"/>
        <w:jc w:val="center"/>
        <w:textAlignment w:val="auto"/>
        <w:rPr>
          <w:rFonts w:hint="eastAsia" w:ascii="黑体" w:hAnsi="宋体" w:eastAsia="黑体" w:cs="黑体"/>
          <w:color w:val="auto"/>
          <w:sz w:val="24"/>
          <w:szCs w:val="24"/>
          <w:highlight w:val="none"/>
          <w:u w:val="none"/>
          <w:lang w:val="en-US" w:eastAsia="zh-CN" w:bidi="ar-SA"/>
        </w:rPr>
      </w:pPr>
    </w:p>
    <w:p w14:paraId="110C8C31">
      <w:pPr>
        <w:pageBreakBefore w:val="0"/>
        <w:kinsoku/>
        <w:wordWrap/>
        <w:overflowPunct/>
        <w:topLinePunct w:val="0"/>
        <w:autoSpaceDE/>
        <w:autoSpaceDN/>
        <w:bidi w:val="0"/>
        <w:adjustRightInd/>
        <w:snapToGrid/>
        <w:spacing w:line="348" w:lineRule="auto"/>
        <w:jc w:val="center"/>
        <w:textAlignment w:val="auto"/>
        <w:rPr>
          <w:rFonts w:hint="eastAsia" w:ascii="黑体" w:hAnsi="宋体" w:eastAsia="黑体" w:cs="黑体"/>
          <w:color w:val="auto"/>
          <w:sz w:val="24"/>
          <w:szCs w:val="24"/>
          <w:highlight w:val="none"/>
          <w:u w:val="none"/>
          <w:lang w:val="en-US" w:eastAsia="zh-CN" w:bidi="ar-SA"/>
        </w:rPr>
      </w:pPr>
      <w:r>
        <w:rPr>
          <w:rFonts w:hint="eastAsia" w:ascii="黑体" w:hAnsi="宋体" w:eastAsia="黑体" w:cs="黑体"/>
          <w:color w:val="auto"/>
          <w:sz w:val="24"/>
          <w:szCs w:val="24"/>
          <w:highlight w:val="none"/>
          <w:u w:val="none"/>
          <w:lang w:val="en-US" w:eastAsia="zh-CN" w:bidi="ar-SA"/>
        </w:rPr>
        <w:t>十五、其他材料（投标人按评分标准要求分点表述，格式自拟）</w:t>
      </w:r>
    </w:p>
    <w:p w14:paraId="50C2DD17">
      <w:pPr>
        <w:pStyle w:val="27"/>
        <w:pageBreakBefore w:val="0"/>
        <w:tabs>
          <w:tab w:val="left" w:pos="2160"/>
        </w:tabs>
        <w:kinsoku/>
        <w:wordWrap/>
        <w:overflowPunct/>
        <w:topLinePunct w:val="0"/>
        <w:autoSpaceDE/>
        <w:autoSpaceDN/>
        <w:bidi w:val="0"/>
        <w:adjustRightInd/>
        <w:snapToGrid/>
        <w:spacing w:beforeAutospacing="0" w:afterAutospacing="0" w:line="348" w:lineRule="auto"/>
        <w:jc w:val="both"/>
        <w:textAlignment w:val="auto"/>
        <w:rPr>
          <w:color w:val="auto"/>
          <w:highlight w:val="none"/>
        </w:rPr>
      </w:pPr>
    </w:p>
    <w:p w14:paraId="13766FF3">
      <w:pPr>
        <w:pageBreakBefore w:val="0"/>
        <w:kinsoku/>
        <w:wordWrap/>
        <w:overflowPunct/>
        <w:topLinePunct w:val="0"/>
        <w:autoSpaceDE/>
        <w:autoSpaceDN/>
        <w:bidi w:val="0"/>
        <w:adjustRightInd/>
        <w:snapToGrid/>
        <w:spacing w:line="348" w:lineRule="auto"/>
        <w:textAlignment w:val="auto"/>
        <w:rPr>
          <w:rFonts w:ascii="宋体" w:hAnsi="宋体" w:eastAsia="宋体" w:cs="宋体"/>
          <w:color w:val="auto"/>
          <w:sz w:val="32"/>
          <w:szCs w:val="32"/>
          <w:highlight w:val="none"/>
        </w:rPr>
      </w:pPr>
      <w:r>
        <w:rPr>
          <w:rFonts w:ascii="宋体" w:hAnsi="宋体" w:eastAsia="宋体" w:cs="宋体"/>
          <w:color w:val="auto"/>
          <w:sz w:val="32"/>
          <w:szCs w:val="32"/>
          <w:highlight w:val="none"/>
        </w:rPr>
        <w:br w:type="page" w:clear="all"/>
      </w:r>
    </w:p>
    <w:p w14:paraId="2EA2C8C0">
      <w:pPr>
        <w:pStyle w:val="233"/>
        <w:pageBreakBefore w:val="0"/>
        <w:kinsoku/>
        <w:wordWrap/>
        <w:overflowPunct/>
        <w:topLinePunct w:val="0"/>
        <w:autoSpaceDE/>
        <w:autoSpaceDN/>
        <w:bidi w:val="0"/>
        <w:adjustRightInd/>
        <w:snapToGrid/>
        <w:spacing w:line="348" w:lineRule="auto"/>
        <w:textAlignment w:val="auto"/>
        <w:rPr>
          <w:color w:val="auto"/>
          <w:highlight w:val="none"/>
        </w:rPr>
      </w:pPr>
    </w:p>
    <w:p w14:paraId="5A9D3397">
      <w:pPr>
        <w:pStyle w:val="27"/>
        <w:pageBreakBefore w:val="0"/>
        <w:kinsoku/>
        <w:wordWrap/>
        <w:overflowPunct/>
        <w:topLinePunct w:val="0"/>
        <w:autoSpaceDE/>
        <w:autoSpaceDN/>
        <w:bidi w:val="0"/>
        <w:adjustRightInd/>
        <w:snapToGrid/>
        <w:spacing w:beforeAutospacing="0" w:afterAutospacing="0" w:line="348" w:lineRule="auto"/>
        <w:jc w:val="center"/>
        <w:textAlignment w:val="auto"/>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t xml:space="preserve"> </w:t>
      </w:r>
      <w:r>
        <w:rPr>
          <w:rFonts w:hint="eastAsia" w:ascii="黑体" w:hAnsi="宋体" w:eastAsia="黑体" w:cs="黑体"/>
          <w:color w:val="auto"/>
          <w:sz w:val="24"/>
          <w:szCs w:val="24"/>
          <w:highlight w:val="none"/>
          <w:u w:val="none"/>
          <w:lang w:val="en-US" w:eastAsia="zh-CN" w:bidi="ar-SA"/>
        </w:rPr>
        <w:t>十六、盐城市政府采购事前信用承诺书</w:t>
      </w:r>
    </w:p>
    <w:p w14:paraId="6FF3AB1A">
      <w:pPr>
        <w:pageBreakBefore w:val="0"/>
        <w:widowControl/>
        <w:kinsoku/>
        <w:wordWrap/>
        <w:overflowPunct/>
        <w:topLinePunct w:val="0"/>
        <w:autoSpaceDE/>
        <w:autoSpaceDN/>
        <w:bidi w:val="0"/>
        <w:adjustRightInd/>
        <w:snapToGrid/>
        <w:spacing w:line="348" w:lineRule="auto"/>
        <w:jc w:val="left"/>
        <w:textAlignment w:val="auto"/>
        <w:rPr>
          <w:rFonts w:ascii="宋体" w:hAnsi="宋体" w:eastAsia="宋体" w:cs="宋体"/>
          <w:color w:val="auto"/>
          <w:sz w:val="24"/>
          <w:highlight w:val="none"/>
        </w:rPr>
      </w:pPr>
    </w:p>
    <w:p w14:paraId="32FE940A">
      <w:pPr>
        <w:pageBreakBefore w:val="0"/>
        <w:widowControl/>
        <w:kinsoku/>
        <w:wordWrap/>
        <w:overflowPunct/>
        <w:topLinePunct w:val="0"/>
        <w:autoSpaceDE/>
        <w:autoSpaceDN/>
        <w:bidi w:val="0"/>
        <w:adjustRightInd/>
        <w:snapToGrid/>
        <w:spacing w:line="348" w:lineRule="auto"/>
        <w:ind w:firstLine="480"/>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117B555C">
      <w:pPr>
        <w:pageBreakBefore w:val="0"/>
        <w:widowControl/>
        <w:kinsoku/>
        <w:wordWrap/>
        <w:overflowPunct/>
        <w:topLinePunct w:val="0"/>
        <w:autoSpaceDE/>
        <w:autoSpaceDN/>
        <w:bidi w:val="0"/>
        <w:adjustRightInd/>
        <w:snapToGrid/>
        <w:spacing w:line="348" w:lineRule="auto"/>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0F238A60">
      <w:pPr>
        <w:pageBreakBefore w:val="0"/>
        <w:widowControl/>
        <w:kinsoku/>
        <w:wordWrap/>
        <w:overflowPunct/>
        <w:topLinePunct w:val="0"/>
        <w:autoSpaceDE/>
        <w:autoSpaceDN/>
        <w:bidi w:val="0"/>
        <w:adjustRightInd/>
        <w:snapToGrid/>
        <w:spacing w:line="348" w:lineRule="auto"/>
        <w:ind w:firstLine="480"/>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E699D55">
      <w:pPr>
        <w:pageBreakBefore w:val="0"/>
        <w:widowControl/>
        <w:kinsoku/>
        <w:wordWrap/>
        <w:overflowPunct/>
        <w:topLinePunct w:val="0"/>
        <w:autoSpaceDE/>
        <w:autoSpaceDN/>
        <w:bidi w:val="0"/>
        <w:adjustRightInd/>
        <w:snapToGrid/>
        <w:spacing w:line="348" w:lineRule="auto"/>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06139C0F">
      <w:pPr>
        <w:pageBreakBefore w:val="0"/>
        <w:widowControl/>
        <w:kinsoku/>
        <w:wordWrap/>
        <w:overflowPunct/>
        <w:topLinePunct w:val="0"/>
        <w:autoSpaceDE/>
        <w:autoSpaceDN/>
        <w:bidi w:val="0"/>
        <w:adjustRightInd/>
        <w:snapToGrid/>
        <w:spacing w:line="348" w:lineRule="auto"/>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（四）严格遵守即时信息公示规定，及时维护和更新维护和更新盐城市政府采购网中与本单位相关的信息；</w:t>
      </w:r>
    </w:p>
    <w:p w14:paraId="4F36D46A">
      <w:pPr>
        <w:pageBreakBefore w:val="0"/>
        <w:widowControl/>
        <w:kinsoku/>
        <w:wordWrap/>
        <w:overflowPunct/>
        <w:topLinePunct w:val="0"/>
        <w:autoSpaceDE/>
        <w:autoSpaceDN/>
        <w:bidi w:val="0"/>
        <w:adjustRightInd/>
        <w:snapToGrid/>
        <w:spacing w:line="348" w:lineRule="auto"/>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EA4028E">
      <w:pPr>
        <w:pageBreakBefore w:val="0"/>
        <w:widowControl/>
        <w:kinsoku/>
        <w:wordWrap/>
        <w:overflowPunct/>
        <w:topLinePunct w:val="0"/>
        <w:autoSpaceDE/>
        <w:autoSpaceDN/>
        <w:bidi w:val="0"/>
        <w:adjustRightInd/>
        <w:snapToGrid/>
        <w:spacing w:line="348" w:lineRule="auto"/>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（六）自觉接受政府、行业组织、社会公众、新闻舆论的监督；</w:t>
      </w:r>
    </w:p>
    <w:p w14:paraId="09EED393">
      <w:pPr>
        <w:pageBreakBefore w:val="0"/>
        <w:widowControl/>
        <w:kinsoku/>
        <w:wordWrap/>
        <w:overflowPunct/>
        <w:topLinePunct w:val="0"/>
        <w:autoSpaceDE/>
        <w:autoSpaceDN/>
        <w:bidi w:val="0"/>
        <w:adjustRightInd/>
        <w:snapToGrid/>
        <w:spacing w:line="348" w:lineRule="auto"/>
        <w:ind w:firstLine="480"/>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8EFD870">
      <w:pPr>
        <w:pageBreakBefore w:val="0"/>
        <w:widowControl/>
        <w:kinsoku/>
        <w:wordWrap/>
        <w:overflowPunct/>
        <w:topLinePunct w:val="0"/>
        <w:autoSpaceDE/>
        <w:autoSpaceDN/>
        <w:bidi w:val="0"/>
        <w:adjustRightInd/>
        <w:snapToGrid/>
        <w:spacing w:line="348" w:lineRule="auto"/>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1CCDE307">
      <w:pPr>
        <w:pageBreakBefore w:val="0"/>
        <w:widowControl/>
        <w:kinsoku/>
        <w:wordWrap/>
        <w:overflowPunct/>
        <w:topLinePunct w:val="0"/>
        <w:autoSpaceDE/>
        <w:autoSpaceDN/>
        <w:bidi w:val="0"/>
        <w:adjustRightInd/>
        <w:snapToGrid/>
        <w:spacing w:line="348" w:lineRule="auto"/>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2B785BD9">
      <w:pPr>
        <w:pageBreakBefore w:val="0"/>
        <w:widowControl/>
        <w:kinsoku/>
        <w:wordWrap/>
        <w:overflowPunct/>
        <w:topLinePunct w:val="0"/>
        <w:autoSpaceDE/>
        <w:autoSpaceDN/>
        <w:bidi w:val="0"/>
        <w:adjustRightInd/>
        <w:snapToGrid/>
        <w:spacing w:line="348" w:lineRule="auto"/>
        <w:jc w:val="center"/>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0821173F">
      <w:pPr>
        <w:pageBreakBefore w:val="0"/>
        <w:widowControl/>
        <w:kinsoku/>
        <w:wordWrap/>
        <w:overflowPunct/>
        <w:topLinePunct w:val="0"/>
        <w:autoSpaceDE/>
        <w:autoSpaceDN/>
        <w:bidi w:val="0"/>
        <w:adjustRightInd/>
        <w:snapToGrid/>
        <w:spacing w:line="348" w:lineRule="auto"/>
        <w:jc w:val="center"/>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                      年月日</w:t>
      </w:r>
    </w:p>
    <w:p w14:paraId="55F1B222">
      <w:pPr>
        <w:pageBreakBefore w:val="0"/>
        <w:widowControl/>
        <w:kinsoku/>
        <w:wordWrap/>
        <w:overflowPunct/>
        <w:topLinePunct w:val="0"/>
        <w:autoSpaceDE/>
        <w:autoSpaceDN/>
        <w:bidi w:val="0"/>
        <w:adjustRightInd/>
        <w:snapToGrid/>
        <w:spacing w:line="348" w:lineRule="auto"/>
        <w:jc w:val="center"/>
        <w:textAlignment w:val="auto"/>
        <w:rPr>
          <w:color w:val="auto"/>
          <w:highlight w:val="none"/>
        </w:rPr>
      </w:pPr>
    </w:p>
    <w:p w14:paraId="3ABCF036">
      <w:pPr>
        <w:pageBreakBefore w:val="0"/>
        <w:widowControl/>
        <w:kinsoku/>
        <w:wordWrap/>
        <w:overflowPunct/>
        <w:topLinePunct w:val="0"/>
        <w:autoSpaceDE/>
        <w:autoSpaceDN/>
        <w:bidi w:val="0"/>
        <w:adjustRightInd/>
        <w:snapToGrid/>
        <w:spacing w:line="348" w:lineRule="auto"/>
        <w:jc w:val="center"/>
        <w:textAlignment w:val="auto"/>
        <w:rPr>
          <w:color w:val="auto"/>
          <w:highlight w:val="none"/>
        </w:rPr>
      </w:pPr>
    </w:p>
    <w:p w14:paraId="7636B27A">
      <w:pPr>
        <w:pageBreakBefore w:val="0"/>
        <w:widowControl/>
        <w:kinsoku/>
        <w:wordWrap/>
        <w:overflowPunct/>
        <w:topLinePunct w:val="0"/>
        <w:autoSpaceDE/>
        <w:autoSpaceDN/>
        <w:bidi w:val="0"/>
        <w:adjustRightInd/>
        <w:snapToGrid/>
        <w:spacing w:line="348" w:lineRule="auto"/>
        <w:jc w:val="center"/>
        <w:textAlignment w:val="auto"/>
        <w:rPr>
          <w:color w:val="auto"/>
          <w:highlight w:val="none"/>
        </w:rPr>
      </w:pPr>
    </w:p>
    <w:p w14:paraId="00002BA8">
      <w:pPr>
        <w:pageBreakBefore w:val="0"/>
        <w:widowControl/>
        <w:kinsoku/>
        <w:wordWrap/>
        <w:overflowPunct/>
        <w:topLinePunct w:val="0"/>
        <w:autoSpaceDE/>
        <w:autoSpaceDN/>
        <w:bidi w:val="0"/>
        <w:adjustRightInd/>
        <w:snapToGrid/>
        <w:spacing w:line="348" w:lineRule="auto"/>
        <w:jc w:val="center"/>
        <w:textAlignment w:val="auto"/>
        <w:rPr>
          <w:color w:val="auto"/>
          <w:highlight w:val="none"/>
        </w:rPr>
      </w:pPr>
    </w:p>
    <w:p w14:paraId="10C15045">
      <w:pPr>
        <w:pageBreakBefore w:val="0"/>
        <w:widowControl/>
        <w:kinsoku/>
        <w:wordWrap/>
        <w:overflowPunct/>
        <w:topLinePunct w:val="0"/>
        <w:autoSpaceDE/>
        <w:autoSpaceDN/>
        <w:bidi w:val="0"/>
        <w:adjustRightInd/>
        <w:snapToGrid/>
        <w:spacing w:line="348" w:lineRule="auto"/>
        <w:jc w:val="center"/>
        <w:textAlignment w:val="auto"/>
        <w:rPr>
          <w:color w:val="auto"/>
          <w:highlight w:val="none"/>
        </w:rPr>
      </w:pPr>
    </w:p>
    <w:p w14:paraId="10B04687">
      <w:pPr>
        <w:pStyle w:val="27"/>
        <w:pageBreakBefore w:val="0"/>
        <w:kinsoku/>
        <w:wordWrap/>
        <w:overflowPunct/>
        <w:topLinePunct w:val="0"/>
        <w:autoSpaceDE/>
        <w:autoSpaceDN/>
        <w:bidi w:val="0"/>
        <w:adjustRightInd/>
        <w:snapToGrid/>
        <w:spacing w:beforeAutospacing="0" w:afterAutospacing="0" w:line="348" w:lineRule="auto"/>
        <w:jc w:val="center"/>
        <w:textAlignment w:val="auto"/>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1D1D45F9">
      <w:pPr>
        <w:pStyle w:val="27"/>
        <w:pageBreakBefore w:val="0"/>
        <w:kinsoku/>
        <w:wordWrap/>
        <w:overflowPunct/>
        <w:topLinePunct w:val="0"/>
        <w:autoSpaceDE/>
        <w:autoSpaceDN/>
        <w:bidi w:val="0"/>
        <w:adjustRightInd/>
        <w:snapToGrid/>
        <w:spacing w:before="290" w:beforeAutospacing="0" w:afterAutospacing="0" w:line="348"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132C8EDA">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E42A6B6">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77944CCB">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EA25A65">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461F28B">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40E78C81">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914010B">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C5D36C8">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9CC22CA">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5ECABE52">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2C7EC7BF">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4AE93155">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5951F4BA">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4183EFC">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0FC3A93F">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磋商文件获取日期：</w:t>
      </w:r>
      <w:r>
        <w:rPr>
          <w:rFonts w:hint="eastAsia" w:ascii="宋体" w:hAnsi="宋体" w:eastAsia="宋体" w:cs="宋体"/>
          <w:color w:val="auto"/>
          <w:highlight w:val="none"/>
          <w:u w:val="single"/>
        </w:rPr>
        <w:t xml:space="preserve">                             </w:t>
      </w:r>
    </w:p>
    <w:p w14:paraId="756A0309">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72793B9B">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6B08CB34">
      <w:pPr>
        <w:pStyle w:val="27"/>
        <w:pageBreakBefore w:val="0"/>
        <w:kinsoku/>
        <w:wordWrap/>
        <w:overflowPunct/>
        <w:topLinePunct w:val="0"/>
        <w:autoSpaceDE/>
        <w:autoSpaceDN/>
        <w:bidi w:val="0"/>
        <w:adjustRightInd/>
        <w:snapToGrid/>
        <w:spacing w:beforeAutospacing="0" w:afterAutospacing="0" w:line="348" w:lineRule="auto"/>
        <w:textAlignment w:val="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79A42BD2">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19704539">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质疑事项2</w:t>
      </w:r>
    </w:p>
    <w:p w14:paraId="2E2BBF6F">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w:t>
      </w:r>
    </w:p>
    <w:p w14:paraId="60C5A4C2">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7AD94D77">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651E3CE9">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1D6CD723">
      <w:pPr>
        <w:pStyle w:val="27"/>
        <w:pageBreakBefore w:val="0"/>
        <w:kinsoku/>
        <w:wordWrap/>
        <w:overflowPunct/>
        <w:topLinePunct w:val="0"/>
        <w:autoSpaceDE/>
        <w:autoSpaceDN/>
        <w:bidi w:val="0"/>
        <w:adjustRightInd/>
        <w:snapToGrid/>
        <w:spacing w:beforeAutospacing="0" w:afterAutospacing="0" w:line="348" w:lineRule="auto"/>
        <w:jc w:val="both"/>
        <w:textAlignment w:val="auto"/>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79FA00D0">
      <w:pPr>
        <w:pStyle w:val="27"/>
        <w:pageBreakBefore w:val="0"/>
        <w:widowControl/>
        <w:kinsoku/>
        <w:wordWrap/>
        <w:overflowPunct/>
        <w:topLinePunct w:val="0"/>
        <w:autoSpaceDE/>
        <w:autoSpaceDN/>
        <w:bidi w:val="0"/>
        <w:adjustRightInd/>
        <w:snapToGrid/>
        <w:spacing w:beforeAutospacing="0" w:afterAutospacing="0" w:line="348" w:lineRule="auto"/>
        <w:ind w:firstLine="480"/>
        <w:textAlignment w:val="auto"/>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21FABDE2">
      <w:pPr>
        <w:pStyle w:val="27"/>
        <w:pageBreakBefore w:val="0"/>
        <w:widowControl/>
        <w:kinsoku/>
        <w:wordWrap/>
        <w:overflowPunct/>
        <w:topLinePunct w:val="0"/>
        <w:autoSpaceDE/>
        <w:autoSpaceDN/>
        <w:bidi w:val="0"/>
        <w:adjustRightInd/>
        <w:snapToGrid/>
        <w:spacing w:beforeAutospacing="0" w:afterAutospacing="0" w:line="348" w:lineRule="auto"/>
        <w:ind w:firstLine="480"/>
        <w:textAlignment w:val="auto"/>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0753276">
      <w:pPr>
        <w:pStyle w:val="27"/>
        <w:pageBreakBefore w:val="0"/>
        <w:widowControl/>
        <w:kinsoku/>
        <w:wordWrap/>
        <w:overflowPunct/>
        <w:topLinePunct w:val="0"/>
        <w:autoSpaceDE/>
        <w:autoSpaceDN/>
        <w:bidi w:val="0"/>
        <w:adjustRightInd/>
        <w:snapToGrid/>
        <w:spacing w:beforeAutospacing="0" w:afterAutospacing="0" w:line="348" w:lineRule="auto"/>
        <w:ind w:firstLine="480"/>
        <w:textAlignment w:val="auto"/>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52FBFFB8">
      <w:pPr>
        <w:pStyle w:val="27"/>
        <w:pageBreakBefore w:val="0"/>
        <w:widowControl/>
        <w:kinsoku/>
        <w:wordWrap/>
        <w:overflowPunct/>
        <w:topLinePunct w:val="0"/>
        <w:autoSpaceDE/>
        <w:autoSpaceDN/>
        <w:bidi w:val="0"/>
        <w:adjustRightInd/>
        <w:snapToGrid/>
        <w:spacing w:beforeAutospacing="0" w:afterAutospacing="0" w:line="348" w:lineRule="auto"/>
        <w:ind w:firstLine="480"/>
        <w:textAlignment w:val="auto"/>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597E6165">
      <w:pPr>
        <w:pStyle w:val="27"/>
        <w:pageBreakBefore w:val="0"/>
        <w:widowControl/>
        <w:kinsoku/>
        <w:wordWrap/>
        <w:overflowPunct/>
        <w:topLinePunct w:val="0"/>
        <w:autoSpaceDE/>
        <w:autoSpaceDN/>
        <w:bidi w:val="0"/>
        <w:adjustRightInd/>
        <w:snapToGrid/>
        <w:spacing w:beforeAutospacing="0" w:afterAutospacing="0" w:line="348" w:lineRule="auto"/>
        <w:ind w:firstLine="480"/>
        <w:textAlignment w:val="auto"/>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6D59C75B">
      <w:pPr>
        <w:pStyle w:val="27"/>
        <w:pageBreakBefore w:val="0"/>
        <w:widowControl/>
        <w:kinsoku/>
        <w:wordWrap/>
        <w:overflowPunct/>
        <w:topLinePunct w:val="0"/>
        <w:autoSpaceDE/>
        <w:autoSpaceDN/>
        <w:bidi w:val="0"/>
        <w:adjustRightInd/>
        <w:snapToGrid/>
        <w:spacing w:beforeAutospacing="0" w:afterAutospacing="0" w:line="348" w:lineRule="auto"/>
        <w:ind w:firstLine="480"/>
        <w:textAlignment w:val="auto"/>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4F169800">
      <w:pPr>
        <w:pStyle w:val="27"/>
        <w:pageBreakBefore w:val="0"/>
        <w:kinsoku/>
        <w:wordWrap/>
        <w:overflowPunct/>
        <w:topLinePunct w:val="0"/>
        <w:autoSpaceDE/>
        <w:autoSpaceDN/>
        <w:bidi w:val="0"/>
        <w:adjustRightInd/>
        <w:snapToGrid/>
        <w:spacing w:beforeAutospacing="0" w:afterAutospacing="0" w:line="348"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 </w:t>
      </w:r>
    </w:p>
    <w:p w14:paraId="2239F0E3">
      <w:pPr>
        <w:rPr>
          <w:color w:val="auto"/>
          <w:highlight w:val="none"/>
        </w:rPr>
      </w:pPr>
    </w:p>
    <w:sectPr>
      <w:footerReference r:id="rId5" w:type="default"/>
      <w:pgSz w:w="11906" w:h="16838"/>
      <w:pgMar w:top="1440" w:right="1080" w:bottom="1440" w:left="108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宋体">
    <w:panose1 w:val="02010600030101010101"/>
    <w:charset w:val="86"/>
    <w:family w:val="auto"/>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D399CA">
    <w:pPr>
      <w:pStyle w:val="20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56CCEFAE">
                          <w:pPr>
                            <w:pStyle w:val="204"/>
                          </w:pPr>
                        </w:p>
                      </w:txbxContent>
                    </wps:txbx>
                    <wps:bodyPr wrap="square" lIns="0" tIns="0" rIns="0" bIns="0" upright="1"/>
                  </wps:wsp>
                </a:graphicData>
              </a:graphic>
            </wp:anchor>
          </w:drawing>
        </mc:Choice>
        <mc:Fallback>
          <w:pict>
            <v:shape id="_x0000_s1026" o:spid="_x0000_s1026" o:spt="202" type="#_x0000_t202"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rrAPI8wBAACZAwAADgAAAGRycy9lMm9Eb2MueG1srVNLjtswDN0X&#10;6B0E7RsnWRSBEWeAQTCDAv0B0x5AluVYgCSqlBw7F2hv0FU33fdcOUcpOU6LdDOLbgSKpB75Hqnt&#10;3WgNOyoMGlzFV4slZ8pJaLQ7VPzzp4dXG85CFK4RBpyq+EkFfrd7+WI7+FKtoQPTKGQE4kI5+Ip3&#10;MfqyKILslBVhAV45CraAVkS64qFoUAyEbk2xXi5fFwNg4xGkCoG8+ynIL4j4HEBoWy3VHmRvlYsT&#10;KiojIlEKnfaB73K3batk/NC2QUVmKk5MYz6pCNl1OovdVpQHFL7T8tKCeE4LN5ys0I6KXqH2IgrW&#10;o/4HymqJEKCNCwm2mIhkRYjFanmjzVMnvMpcSOrgr6KH/wcr3x8/ItMNbQJnTlga+Pn7t/OPX+ef&#10;X9kqyTP4UFLWk6e8ON7DmFIv/pCc9fAOGnon+ghZg7FFm7QgdoyySerTVWo1RiYTxGa92SwpJCk2&#10;Xwi1EOX83GOIjwosS0bFkWaZ4cXxbYhT6pySqjl40MaQX5TG3TisjgqnJylWJE6p94ldHOuRgslZ&#10;Q3MiSgMtRMXDl16g4sy8caR42p7ZwNmoZ6P3qA8dtZm1yQVoYpnPZbvSSvx9z238+VG7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Fmk9kDSAAAABQEAAA8AAAAAAAAAAQAgAAAAIgAAAGRycy9kb3du&#10;cmV2LnhtbFBLAQIUABQAAAAIAIdO4kCusA8jzAEAAJkDAAAOAAAAAAAAAAEAIAAAACEBAABkcnMv&#10;ZTJvRG9jLnhtbFBLBQYAAAAABgAGAFkBAABfBQAAAAA=&#10;">
              <v:fill on="f" focussize="0,0"/>
              <v:stroke on="f" joinstyle="miter"/>
              <v:imagedata o:title=""/>
              <o:lock v:ext="edit" aspectratio="f"/>
              <v:textbox inset="0mm,0mm,0mm,0mm">
                <w:txbxContent>
                  <w:p w14:paraId="56CCEFAE">
                    <w:pPr>
                      <w:pStyle w:val="204"/>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9FFBB">
    <w:pPr>
      <w:pStyle w:val="204"/>
    </w:pPr>
    <w:r>
      <mc:AlternateContent>
        <mc:Choice Requires="wps">
          <w:drawing>
            <wp:anchor distT="0" distB="0" distL="114300" distR="114300" simplePos="0" relativeHeight="251660288" behindDoc="0" locked="0" layoutInCell="1" allowOverlap="1">
              <wp:simplePos x="0" y="0"/>
              <wp:positionH relativeFrom="margin">
                <wp:posOffset>2575560</wp:posOffset>
              </wp:positionH>
              <wp:positionV relativeFrom="paragraph">
                <wp:posOffset>0</wp:posOffset>
              </wp:positionV>
              <wp:extent cx="177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77800" cy="1828800"/>
                      </a:xfrm>
                      <a:prstGeom prst="rect">
                        <a:avLst/>
                      </a:prstGeom>
                      <a:noFill/>
                      <a:ln>
                        <a:noFill/>
                        <a:miter/>
                      </a:ln>
                    </wps:spPr>
                    <wps:txbx>
                      <w:txbxContent>
                        <w:p w14:paraId="7B0A2B9E">
                          <w:pPr>
                            <w:pStyle w:val="204"/>
                          </w:pPr>
                          <w:r>
                            <w:fldChar w:fldCharType="begin"/>
                          </w:r>
                          <w:r>
                            <w:instrText xml:space="preserve"> PAGE  \* MERGEFORMAT </w:instrText>
                          </w:r>
                          <w:r>
                            <w:fldChar w:fldCharType="separate"/>
                          </w:r>
                          <w:r>
                            <w:t>43</w:t>
                          </w:r>
                          <w:r>
                            <w:fldChar w:fldCharType="end"/>
                          </w:r>
                        </w:p>
                      </w:txbxContent>
                    </wps:txbx>
                    <wps:bodyPr wrap="square" lIns="0" tIns="0" rIns="0" bIns="0" upright="1"/>
                  </wps:wsp>
                </a:graphicData>
              </a:graphic>
            </wp:anchor>
          </w:drawing>
        </mc:Choice>
        <mc:Fallback>
          <w:pict>
            <v:shape id="_x0000_s1026" o:spid="_x0000_s1026" o:spt="202" type="#_x0000_t202" style="position:absolute;left:0pt;margin-left:202.8pt;margin-top:0pt;height:144pt;width:14pt;mso-position-horizontal-relative:margin;z-index:251660288;mso-width-relative:page;mso-height-relative:page;" filled="f" stroked="f" coordsize="21600,21600" o:gfxdata="UEsDBAoAAAAAAIdO4kAAAAAAAAAAAAAAAAAEAAAAZHJzL1BLAwQUAAAACACHTuJAqPM0JdcAAAAI&#10;AQAADwAAAGRycy9kb3ducmV2LnhtbE2PS0/DMBCE70j8B2srcaN2H0QhjVMhBCckRBoOHJ14m0SN&#10;1yF2H/x7llM5jmY0802+vbhBnHAKvScNi7kCgdR421Or4bN6vU9BhGjImsETavjBANvi9iY3mfVn&#10;KvG0i63gEgqZ0dDFOGZShqZDZ8Lcj0js7f3kTGQ5tdJO5szlbpBLpRLpTE+80JkRnztsDruj0/D0&#10;ReVL//1ef5T7sq+qR0VvyUHru9lCbUBEvMRrGP7wGR0KZqr9kWwQg4a1ekg4qoEfsb1erVjWGpZp&#10;qkAWufx/oPgFUEsDBBQAAAAIAIdO4kDL8muGzwEAAJgDAAAOAAAAZHJzL2Uyb0RvYy54bWytU02u&#10;0zAQ3iNxB8t7mjQLXhU1fRKqHkLiT3pwAMdxGkuxx4ydJr0A3IAVG/acq+dg7DQFlc1bsLHGM+Nv&#10;5vtmvL2fTM+OCr0GW/H1KudMWQmNtoeKf/708GLDmQ/CNqIHqyp+Up7f754/246uVAV00DcKGYFY&#10;X46u4l0IrswyLztlhF+BU5aCLaARga54yBoUI6GbPivy/GU2AjYOQSrvybufg/yCiE8BhLbVUu1B&#10;DkbZMKOi6kUgSr7TzvNd6rZtlQwf2tarwPqKE9OQTipCdh3PbLcV5QGF67S8tCCe0sINJyO0paJX&#10;qL0Igg2o/4EyWiJ4aMNKgslmIkkRYrHOb7R57IRTiQtJ7d1VdP//YOX740dkuql4wZkVhgZ+/v7t&#10;/OPX+edXVkR5RudLynp0lBemVzDR0ix+H531+A4aeieGAEmDqUUTtSB2jLJJ6tNVajUFJiPE3d0m&#10;p4ik0HpTbOKFimWiXF479OG1AsOiUXGkUSZ0cXzrw5y6pMRiFh5036dx9vbGYXRQOD+JsSxSiq3P&#10;5MJUTxSMzhqaEzEaaR8q7r8MAhVn/RtLgsflWQxcjHoxBof60FGbSZpUgAaW+FyWK27E3/fUxp8P&#10;tfs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qPM0JdcAAAAIAQAADwAAAAAAAAABACAAAAAiAAAA&#10;ZHJzL2Rvd25yZXYueG1sUEsBAhQAFAAAAAgAh07iQMvya4bPAQAAmAMAAA4AAAAAAAAAAQAgAAAA&#10;JgEAAGRycy9lMm9Eb2MueG1sUEsFBgAAAAAGAAYAWQEAAGcFAAAAAA==&#10;">
              <v:fill on="f" focussize="0,0"/>
              <v:stroke on="f" joinstyle="miter"/>
              <v:imagedata o:title=""/>
              <o:lock v:ext="edit" aspectratio="f"/>
              <v:textbox inset="0mm,0mm,0mm,0mm">
                <w:txbxContent>
                  <w:p w14:paraId="7B0A2B9E">
                    <w:pPr>
                      <w:pStyle w:val="204"/>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27679">
    <w:pPr>
      <w:pStyle w:val="204"/>
    </w:pPr>
    <w:r>
      <mc:AlternateContent>
        <mc:Choice Requires="wps">
          <w:drawing>
            <wp:anchor distT="0" distB="0" distL="114300" distR="114300" simplePos="0" relativeHeight="251661312" behindDoc="0" locked="0" layoutInCell="1" allowOverlap="1">
              <wp:simplePos x="0" y="0"/>
              <wp:positionH relativeFrom="margin">
                <wp:posOffset>2575560</wp:posOffset>
              </wp:positionH>
              <wp:positionV relativeFrom="paragraph">
                <wp:posOffset>0</wp:posOffset>
              </wp:positionV>
              <wp:extent cx="177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77800" cy="1828800"/>
                      </a:xfrm>
                      <a:prstGeom prst="rect">
                        <a:avLst/>
                      </a:prstGeom>
                      <a:noFill/>
                      <a:ln>
                        <a:noFill/>
                        <a:miter/>
                      </a:ln>
                    </wps:spPr>
                    <wps:txbx>
                      <w:txbxContent>
                        <w:p w14:paraId="2E59F207">
                          <w:pPr>
                            <w:pStyle w:val="204"/>
                          </w:pPr>
                          <w:r>
                            <w:fldChar w:fldCharType="begin"/>
                          </w:r>
                          <w:r>
                            <w:instrText xml:space="preserve"> PAGE  \* MERGEFORMAT </w:instrText>
                          </w:r>
                          <w:r>
                            <w:fldChar w:fldCharType="separate"/>
                          </w:r>
                          <w:r>
                            <w:t>43</w:t>
                          </w:r>
                          <w:r>
                            <w:fldChar w:fldCharType="end"/>
                          </w:r>
                        </w:p>
                      </w:txbxContent>
                    </wps:txbx>
                    <wps:bodyPr wrap="square" lIns="0" tIns="0" rIns="0" bIns="0" upright="1"/>
                  </wps:wsp>
                </a:graphicData>
              </a:graphic>
            </wp:anchor>
          </w:drawing>
        </mc:Choice>
        <mc:Fallback>
          <w:pict>
            <v:shape id="_x0000_s1026" o:spid="_x0000_s1026" o:spt="202" type="#_x0000_t202" style="position:absolute;left:0pt;margin-left:202.8pt;margin-top:0pt;height:144pt;width:14pt;mso-position-horizontal-relative:margin;z-index:251661312;mso-width-relative:page;mso-height-relative:page;" filled="f" stroked="f" coordsize="21600,21600" o:gfxdata="UEsDBAoAAAAAAIdO4kAAAAAAAAAAAAAAAAAEAAAAZHJzL1BLAwQUAAAACACHTuJAqPM0JdcAAAAI&#10;AQAADwAAAGRycy9kb3ducmV2LnhtbE2PS0/DMBCE70j8B2srcaN2H0QhjVMhBCckRBoOHJ14m0SN&#10;1yF2H/x7llM5jmY0802+vbhBnHAKvScNi7kCgdR421Or4bN6vU9BhGjImsETavjBANvi9iY3mfVn&#10;KvG0i63gEgqZ0dDFOGZShqZDZ8Lcj0js7f3kTGQ5tdJO5szlbpBLpRLpTE+80JkRnztsDruj0/D0&#10;ReVL//1ef5T7sq+qR0VvyUHru9lCbUBEvMRrGP7wGR0KZqr9kWwQg4a1ekg4qoEfsb1erVjWGpZp&#10;qkAWufx/oPgFUEsDBBQAAAAIAIdO4kAg8jbp0AEAAJgDAAAOAAAAZHJzL2Uyb0RvYy54bWytU0uO&#10;2zAM3RfoHQTtGzsZoBMYcQYYBFMU6A+Y9gCyLMcCLFGl5Ni5QHuDrrrpvufKOUrJcVqkm1nMRqBI&#10;6pHvkdrcjaZjB4Vegy35cpFzpqyEWtt9yb98fni15swHYWvRgVUlPyrP77YvX2wGV6gVtNDVChmB&#10;WF8MruRtCK7IMi9bZYRfgFOWgg2gEYGuuM9qFAOhmy5b5fnrbACsHYJU3pN3NwX5GRGfAghNo6Xa&#10;geyNsmFCRdWJQJR8q53n29Rt0ygZPjaNV4F1JSemIZ1UhOwqntl2I4o9CtdqeW5BPKWFK05GaEtF&#10;L1A7EQTrUf8HZbRE8NCEhQSTTUSSIsRimV9p89gKpxIXktq7i+j++WDlh8MnZLou+Q1nVhga+OnH&#10;99PP36df39hNlGdwvqCsR0d5YbyHkZZm9vvorIb3UNM70QdIGowNmqgFsWOUTVIfL1KrMTAZIW5v&#10;1zlFJIWW69U6XqhYJor5tUMf3igwLBolRxplQheHdz5MqXNKLGbhQXddGmdnrxxGB4XTkxjLIqXY&#10;+kQujNVIweisoD4So4H2oeT+ay9Qcda9tSR4XJ7ZwNmoZqN3qPcttZmkSQVoYInPebniRvx7T238&#10;/VDb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KjzNCXXAAAACAEAAA8AAAAAAAAAAQAgAAAAIgAA&#10;AGRycy9kb3ducmV2LnhtbFBLAQIUABQAAAAIAIdO4kAg8jbp0AEAAJgDAAAOAAAAAAAAAAEAIAAA&#10;ACYBAABkcnMvZTJvRG9jLnhtbFBLBQYAAAAABgAGAFkBAABoBQAAAAA=&#10;">
              <v:fill on="f" focussize="0,0"/>
              <v:stroke on="f" joinstyle="miter"/>
              <v:imagedata o:title=""/>
              <o:lock v:ext="edit" aspectratio="f"/>
              <v:textbox inset="0mm,0mm,0mm,0mm">
                <w:txbxContent>
                  <w:p w14:paraId="2E59F207">
                    <w:pPr>
                      <w:pStyle w:val="204"/>
                    </w:pPr>
                    <w:r>
                      <w:fldChar w:fldCharType="begin"/>
                    </w:r>
                    <w:r>
                      <w:instrText xml:space="preserve"> PAGE  \* MERGEFORMAT </w:instrText>
                    </w:r>
                    <w:r>
                      <w:fldChar w:fldCharType="separate"/>
                    </w:r>
                    <w:r>
                      <w:t>43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609CDF"/>
    <w:multiLevelType w:val="singleLevel"/>
    <w:tmpl w:val="96609CDF"/>
    <w:lvl w:ilvl="0" w:tentative="0">
      <w:start w:val="27"/>
      <w:numFmt w:val="decimal"/>
      <w:suff w:val="nothing"/>
      <w:lvlText w:val="%1、"/>
      <w:lvlJc w:val="left"/>
    </w:lvl>
  </w:abstractNum>
  <w:abstractNum w:abstractNumId="1">
    <w:nsid w:val="B40541EE"/>
    <w:multiLevelType w:val="singleLevel"/>
    <w:tmpl w:val="B40541EE"/>
    <w:lvl w:ilvl="0" w:tentative="0">
      <w:start w:val="4"/>
      <w:numFmt w:val="decimal"/>
      <w:suff w:val="nothing"/>
      <w:lvlText w:val="%1、"/>
      <w:lvlJc w:val="left"/>
    </w:lvl>
  </w:abstractNum>
  <w:abstractNum w:abstractNumId="2">
    <w:nsid w:val="0053208E"/>
    <w:multiLevelType w:val="multilevel"/>
    <w:tmpl w:val="0053208E"/>
    <w:lvl w:ilvl="0" w:tentative="0">
      <w:start w:val="2"/>
      <w:numFmt w:val="decimal"/>
      <w:pStyle w:val="235"/>
      <w:lvlText w:val="%1."/>
      <w:lvlJc w:val="left"/>
      <w:pPr>
        <w:ind w:left="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abstractNum w:abstractNumId="3">
    <w:nsid w:val="252A519E"/>
    <w:multiLevelType w:val="singleLevel"/>
    <w:tmpl w:val="252A519E"/>
    <w:lvl w:ilvl="0" w:tentative="0">
      <w:start w:val="4"/>
      <w:numFmt w:val="decimal"/>
      <w:suff w:val="nothing"/>
      <w:lvlText w:val="%1、"/>
      <w:lvlJc w:val="left"/>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5442EC"/>
    <w:rsid w:val="0D781866"/>
    <w:rsid w:val="142C0513"/>
    <w:rsid w:val="20492DF0"/>
    <w:rsid w:val="24ED0AEF"/>
    <w:rsid w:val="2CAE6480"/>
    <w:rsid w:val="2D39592C"/>
    <w:rsid w:val="2E075A2A"/>
    <w:rsid w:val="2F2329E5"/>
    <w:rsid w:val="32AA3671"/>
    <w:rsid w:val="445C4FCD"/>
    <w:rsid w:val="45321187"/>
    <w:rsid w:val="489A665E"/>
    <w:rsid w:val="5F87183C"/>
    <w:rsid w:val="65F55254"/>
    <w:rsid w:val="71A56E8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0"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iPriority="99" w:name="header"/>
    <w:lsdException w:qFormat="1" w:uiPriority="99"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3">
    <w:name w:val="heading 1"/>
    <w:basedOn w:val="1"/>
    <w:next w:val="1"/>
    <w:link w:val="219"/>
    <w:qFormat/>
    <w:uiPriority w:val="9"/>
    <w:pPr>
      <w:keepNext/>
      <w:keepLines/>
      <w:spacing w:before="340" w:after="330" w:line="578" w:lineRule="auto"/>
      <w:outlineLvl w:val="0"/>
    </w:pPr>
    <w:rPr>
      <w:b/>
      <w:bCs/>
      <w:sz w:val="44"/>
      <w:szCs w:val="44"/>
    </w:rPr>
  </w:style>
  <w:style w:type="character" w:default="1" w:styleId="34">
    <w:name w:val="Default Paragraph Font"/>
    <w:semiHidden/>
    <w:unhideWhenUsed/>
    <w:qFormat/>
    <w:uiPriority w:val="1"/>
  </w:style>
  <w:style w:type="table" w:default="1" w:styleId="3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eastAsia="宋体" w:cs="Times New Roman"/>
      <w:sz w:val="21"/>
      <w:szCs w:val="22"/>
    </w:rPr>
    <w:tblPr>
      <w:tblCellMar>
        <w:top w:w="0" w:type="dxa"/>
        <w:left w:w="108" w:type="dxa"/>
        <w:bottom w:w="0" w:type="dxa"/>
        <w:right w:w="108" w:type="dxa"/>
      </w:tblCellMar>
    </w:tblPr>
  </w:style>
  <w:style w:type="paragraph" w:customStyle="1" w:styleId="2">
    <w:name w:val="Default"/>
    <w:basedOn w:val="1"/>
    <w:semiHidden/>
    <w:qFormat/>
    <w:uiPriority w:val="0"/>
    <w:pPr>
      <w:jc w:val="left"/>
    </w:pPr>
    <w:rPr>
      <w:rFonts w:ascii="宋体" w:hAnsi="Calibri" w:cs="宋体"/>
      <w:color w:val="000000"/>
      <w:sz w:val="24"/>
    </w:rPr>
  </w:style>
  <w:style w:type="paragraph" w:styleId="4">
    <w:name w:val="toc 7"/>
    <w:basedOn w:val="1"/>
    <w:next w:val="1"/>
    <w:unhideWhenUsed/>
    <w:qFormat/>
    <w:uiPriority w:val="39"/>
    <w:pPr>
      <w:spacing w:after="57"/>
      <w:ind w:left="1701"/>
    </w:pPr>
  </w:style>
  <w:style w:type="paragraph" w:styleId="5">
    <w:name w:val="Note Heading"/>
    <w:basedOn w:val="1"/>
    <w:next w:val="1"/>
    <w:qFormat/>
    <w:uiPriority w:val="0"/>
    <w:rPr>
      <w:rFonts w:ascii="Verdana" w:hAnsi="Verdana"/>
      <w:szCs w:val="20"/>
    </w:rPr>
  </w:style>
  <w:style w:type="paragraph" w:styleId="6">
    <w:name w:val="Normal Indent"/>
    <w:qFormat/>
    <w:uiPriority w:val="99"/>
    <w:pPr>
      <w:widowControl w:val="0"/>
      <w:ind w:firstLine="420"/>
      <w:jc w:val="both"/>
    </w:pPr>
    <w:rPr>
      <w:rFonts w:hint="default" w:ascii="Times New Roman" w:hAnsi="Times New Roman" w:eastAsia="宋体" w:cs="Times New Roman"/>
      <w:sz w:val="21"/>
      <w:szCs w:val="21"/>
      <w:lang w:val="en-US" w:eastAsia="zh-CN" w:bidi="ar-SA"/>
    </w:rPr>
  </w:style>
  <w:style w:type="paragraph" w:styleId="7">
    <w:name w:val="annotation text"/>
    <w:basedOn w:val="1"/>
    <w:link w:val="222"/>
    <w:qFormat/>
    <w:uiPriority w:val="0"/>
    <w:pPr>
      <w:jc w:val="left"/>
    </w:pPr>
  </w:style>
  <w:style w:type="paragraph" w:styleId="8">
    <w:name w:val="Body Text"/>
    <w:basedOn w:val="1"/>
    <w:qFormat/>
    <w:uiPriority w:val="0"/>
    <w:pPr>
      <w:spacing w:after="120"/>
    </w:pPr>
  </w:style>
  <w:style w:type="paragraph" w:styleId="9">
    <w:name w:val="Body Text Indent"/>
    <w:basedOn w:val="1"/>
    <w:link w:val="220"/>
    <w:qFormat/>
    <w:uiPriority w:val="0"/>
    <w:pPr>
      <w:spacing w:line="360" w:lineRule="auto"/>
      <w:ind w:firstLine="600"/>
    </w:pPr>
    <w:rPr>
      <w:rFonts w:ascii="仿宋_GB2312" w:eastAsia="仿宋_GB2312"/>
      <w:sz w:val="30"/>
    </w:rPr>
  </w:style>
  <w:style w:type="paragraph" w:styleId="10">
    <w:name w:val="Block Text"/>
    <w:basedOn w:val="1"/>
    <w:next w:val="1"/>
    <w:unhideWhenUsed/>
    <w:qFormat/>
    <w:uiPriority w:val="99"/>
    <w:rPr>
      <w:rFonts w:ascii="Times New Roman" w:eastAsia="宋体"/>
      <w:szCs w:val="22"/>
    </w:rPr>
  </w:style>
  <w:style w:type="paragraph" w:styleId="11">
    <w:name w:val="toc 5"/>
    <w:basedOn w:val="1"/>
    <w:next w:val="1"/>
    <w:unhideWhenUsed/>
    <w:qFormat/>
    <w:uiPriority w:val="39"/>
    <w:pPr>
      <w:spacing w:after="57"/>
      <w:ind w:left="1134"/>
    </w:pPr>
  </w:style>
  <w:style w:type="paragraph" w:styleId="12">
    <w:name w:val="toc 3"/>
    <w:basedOn w:val="1"/>
    <w:next w:val="1"/>
    <w:unhideWhenUsed/>
    <w:qFormat/>
    <w:uiPriority w:val="39"/>
    <w:pPr>
      <w:spacing w:after="57"/>
      <w:ind w:left="567"/>
    </w:pPr>
  </w:style>
  <w:style w:type="paragraph" w:styleId="13">
    <w:name w:val="toc 8"/>
    <w:basedOn w:val="1"/>
    <w:next w:val="1"/>
    <w:unhideWhenUsed/>
    <w:qFormat/>
    <w:uiPriority w:val="39"/>
    <w:pPr>
      <w:spacing w:after="57"/>
      <w:ind w:left="1984"/>
    </w:pPr>
  </w:style>
  <w:style w:type="paragraph" w:styleId="14">
    <w:name w:val="endnote text"/>
    <w:basedOn w:val="1"/>
    <w:link w:val="200"/>
    <w:semiHidden/>
    <w:unhideWhenUsed/>
    <w:qFormat/>
    <w:uiPriority w:val="99"/>
    <w:rPr>
      <w:sz w:val="20"/>
    </w:rPr>
  </w:style>
  <w:style w:type="paragraph" w:styleId="15">
    <w:name w:val="Balloon Text"/>
    <w:basedOn w:val="1"/>
    <w:link w:val="218"/>
    <w:semiHidden/>
    <w:unhideWhenUsed/>
    <w:qFormat/>
    <w:uiPriority w:val="99"/>
    <w:rPr>
      <w:sz w:val="18"/>
      <w:szCs w:val="18"/>
    </w:rPr>
  </w:style>
  <w:style w:type="paragraph" w:styleId="16">
    <w:name w:val="footer"/>
    <w:basedOn w:val="1"/>
    <w:link w:val="217"/>
    <w:semiHidden/>
    <w:unhideWhenUsed/>
    <w:qFormat/>
    <w:uiPriority w:val="99"/>
    <w:pPr>
      <w:tabs>
        <w:tab w:val="center" w:pos="4153"/>
        <w:tab w:val="right" w:pos="8306"/>
      </w:tabs>
      <w:jc w:val="left"/>
    </w:pPr>
    <w:rPr>
      <w:sz w:val="18"/>
      <w:szCs w:val="18"/>
    </w:rPr>
  </w:style>
  <w:style w:type="paragraph" w:styleId="17">
    <w:name w:val="envelope return"/>
    <w:basedOn w:val="1"/>
    <w:qFormat/>
    <w:uiPriority w:val="0"/>
    <w:rPr>
      <w:rFonts w:ascii="Arial" w:hAnsi="Arial"/>
    </w:rPr>
  </w:style>
  <w:style w:type="paragraph" w:styleId="18">
    <w:name w:val="header"/>
    <w:basedOn w:val="1"/>
    <w:link w:val="216"/>
    <w:semiHidden/>
    <w:unhideWhenUsed/>
    <w:qFormat/>
    <w:uiPriority w:val="99"/>
    <w:pPr>
      <w:pBdr>
        <w:bottom w:val="single" w:color="auto" w:sz="6" w:space="1"/>
      </w:pBdr>
      <w:tabs>
        <w:tab w:val="center" w:pos="4153"/>
        <w:tab w:val="right" w:pos="8306"/>
      </w:tabs>
      <w:jc w:val="center"/>
    </w:pPr>
    <w:rPr>
      <w:sz w:val="18"/>
      <w:szCs w:val="18"/>
    </w:rPr>
  </w:style>
  <w:style w:type="paragraph" w:styleId="19">
    <w:name w:val="toc 1"/>
    <w:basedOn w:val="1"/>
    <w:next w:val="1"/>
    <w:unhideWhenUsed/>
    <w:qFormat/>
    <w:uiPriority w:val="39"/>
    <w:pPr>
      <w:spacing w:after="57"/>
    </w:pPr>
  </w:style>
  <w:style w:type="paragraph" w:styleId="20">
    <w:name w:val="toc 4"/>
    <w:basedOn w:val="1"/>
    <w:next w:val="1"/>
    <w:unhideWhenUsed/>
    <w:qFormat/>
    <w:uiPriority w:val="39"/>
    <w:pPr>
      <w:spacing w:after="57"/>
      <w:ind w:left="850"/>
    </w:pPr>
  </w:style>
  <w:style w:type="paragraph" w:styleId="21">
    <w:name w:val="Subtitle"/>
    <w:basedOn w:val="1"/>
    <w:next w:val="1"/>
    <w:link w:val="65"/>
    <w:qFormat/>
    <w:uiPriority w:val="11"/>
    <w:pPr>
      <w:spacing w:before="200" w:after="200"/>
    </w:pPr>
    <w:rPr>
      <w:sz w:val="24"/>
    </w:rPr>
  </w:style>
  <w:style w:type="paragraph" w:styleId="22">
    <w:name w:val="footnote text"/>
    <w:basedOn w:val="1"/>
    <w:link w:val="199"/>
    <w:semiHidden/>
    <w:unhideWhenUsed/>
    <w:qFormat/>
    <w:uiPriority w:val="99"/>
    <w:pPr>
      <w:spacing w:after="40"/>
    </w:pPr>
    <w:rPr>
      <w:sz w:val="18"/>
    </w:rPr>
  </w:style>
  <w:style w:type="paragraph" w:styleId="23">
    <w:name w:val="toc 6"/>
    <w:basedOn w:val="1"/>
    <w:next w:val="1"/>
    <w:qFormat/>
    <w:uiPriority w:val="0"/>
    <w:pPr>
      <w:ind w:left="1200"/>
      <w:jc w:val="left"/>
    </w:pPr>
    <w:rPr>
      <w:rFonts w:ascii="Calibri" w:hAnsi="Calibri"/>
      <w:sz w:val="18"/>
      <w:szCs w:val="18"/>
    </w:rPr>
  </w:style>
  <w:style w:type="paragraph" w:styleId="24">
    <w:name w:val="table of figures"/>
    <w:basedOn w:val="1"/>
    <w:next w:val="1"/>
    <w:unhideWhenUsed/>
    <w:qFormat/>
    <w:uiPriority w:val="99"/>
  </w:style>
  <w:style w:type="paragraph" w:styleId="25">
    <w:name w:val="toc 2"/>
    <w:basedOn w:val="1"/>
    <w:next w:val="1"/>
    <w:unhideWhenUsed/>
    <w:qFormat/>
    <w:uiPriority w:val="39"/>
    <w:pPr>
      <w:spacing w:after="57"/>
      <w:ind w:left="283"/>
    </w:pPr>
  </w:style>
  <w:style w:type="paragraph" w:styleId="26">
    <w:name w:val="toc 9"/>
    <w:basedOn w:val="1"/>
    <w:next w:val="1"/>
    <w:unhideWhenUsed/>
    <w:qFormat/>
    <w:uiPriority w:val="39"/>
    <w:pPr>
      <w:spacing w:after="57"/>
      <w:ind w:left="2268"/>
    </w:pPr>
  </w:style>
  <w:style w:type="paragraph" w:styleId="27">
    <w:name w:val="Normal (Web)"/>
    <w:basedOn w:val="1"/>
    <w:qFormat/>
    <w:uiPriority w:val="0"/>
    <w:pPr>
      <w:spacing w:beforeAutospacing="1" w:afterAutospacing="1"/>
      <w:jc w:val="left"/>
    </w:pPr>
    <w:rPr>
      <w:rFonts w:cs="Times New Roman"/>
      <w:sz w:val="24"/>
    </w:rPr>
  </w:style>
  <w:style w:type="paragraph" w:styleId="28">
    <w:name w:val="Title"/>
    <w:basedOn w:val="1"/>
    <w:next w:val="1"/>
    <w:link w:val="64"/>
    <w:qFormat/>
    <w:uiPriority w:val="10"/>
    <w:pPr>
      <w:spacing w:before="300" w:after="200"/>
      <w:contextualSpacing/>
    </w:pPr>
    <w:rPr>
      <w:sz w:val="48"/>
      <w:szCs w:val="48"/>
    </w:rPr>
  </w:style>
  <w:style w:type="paragraph" w:styleId="29">
    <w:name w:val="annotation subject"/>
    <w:basedOn w:val="7"/>
    <w:next w:val="7"/>
    <w:link w:val="223"/>
    <w:semiHidden/>
    <w:unhideWhenUsed/>
    <w:qFormat/>
    <w:uiPriority w:val="99"/>
    <w:rPr>
      <w:b/>
      <w:bCs/>
    </w:rPr>
  </w:style>
  <w:style w:type="paragraph" w:styleId="30">
    <w:name w:val="Body Text First Indent"/>
    <w:basedOn w:val="8"/>
    <w:qFormat/>
    <w:uiPriority w:val="0"/>
    <w:pPr>
      <w:ind w:firstLine="420"/>
    </w:pPr>
    <w:rPr>
      <w:sz w:val="24"/>
    </w:rPr>
  </w:style>
  <w:style w:type="paragraph" w:styleId="31">
    <w:name w:val="Body Text First Indent 2"/>
    <w:basedOn w:val="9"/>
    <w:qFormat/>
    <w:uiPriority w:val="0"/>
    <w:pPr>
      <w:ind w:firstLine="420"/>
    </w:pPr>
  </w:style>
  <w:style w:type="table" w:styleId="33">
    <w:name w:val="Table Grid"/>
    <w:basedOn w:val="3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basedOn w:val="34"/>
    <w:semiHidden/>
    <w:unhideWhenUsed/>
    <w:qFormat/>
    <w:uiPriority w:val="99"/>
    <w:rPr>
      <w:vertAlign w:val="superscript"/>
    </w:rPr>
  </w:style>
  <w:style w:type="character" w:styleId="36">
    <w:name w:val="Hyperlink"/>
    <w:unhideWhenUsed/>
    <w:qFormat/>
    <w:uiPriority w:val="99"/>
    <w:rPr>
      <w:color w:val="0563C1" w:themeColor="hyperlink"/>
      <w:u w:val="single"/>
      <w14:textFill>
        <w14:solidFill>
          <w14:schemeClr w14:val="hlink"/>
        </w14:solidFill>
      </w14:textFill>
    </w:rPr>
  </w:style>
  <w:style w:type="character" w:styleId="37">
    <w:name w:val="annotation reference"/>
    <w:basedOn w:val="34"/>
    <w:semiHidden/>
    <w:unhideWhenUsed/>
    <w:qFormat/>
    <w:uiPriority w:val="99"/>
    <w:rPr>
      <w:sz w:val="21"/>
      <w:szCs w:val="21"/>
    </w:rPr>
  </w:style>
  <w:style w:type="character" w:styleId="38">
    <w:name w:val="footnote reference"/>
    <w:basedOn w:val="34"/>
    <w:unhideWhenUsed/>
    <w:qFormat/>
    <w:uiPriority w:val="99"/>
    <w:rPr>
      <w:vertAlign w:val="superscript"/>
    </w:rPr>
  </w:style>
  <w:style w:type="character" w:customStyle="1" w:styleId="39">
    <w:name w:val="Title Char"/>
    <w:basedOn w:val="34"/>
    <w:qFormat/>
    <w:uiPriority w:val="10"/>
    <w:rPr>
      <w:sz w:val="48"/>
      <w:szCs w:val="48"/>
    </w:rPr>
  </w:style>
  <w:style w:type="character" w:customStyle="1" w:styleId="40">
    <w:name w:val="Subtitle Char"/>
    <w:basedOn w:val="34"/>
    <w:qFormat/>
    <w:uiPriority w:val="11"/>
    <w:rPr>
      <w:sz w:val="24"/>
      <w:szCs w:val="24"/>
    </w:rPr>
  </w:style>
  <w:style w:type="character" w:customStyle="1" w:styleId="41">
    <w:name w:val="Quote Char"/>
    <w:qFormat/>
    <w:uiPriority w:val="29"/>
    <w:rPr>
      <w:i/>
    </w:rPr>
  </w:style>
  <w:style w:type="character" w:customStyle="1" w:styleId="42">
    <w:name w:val="Intense Quote Char"/>
    <w:qFormat/>
    <w:uiPriority w:val="30"/>
    <w:rPr>
      <w:i/>
    </w:rPr>
  </w:style>
  <w:style w:type="character" w:customStyle="1" w:styleId="43">
    <w:name w:val="Footnote Text Char"/>
    <w:qFormat/>
    <w:uiPriority w:val="99"/>
    <w:rPr>
      <w:sz w:val="18"/>
    </w:rPr>
  </w:style>
  <w:style w:type="character" w:customStyle="1" w:styleId="44">
    <w:name w:val="Endnote Text Char"/>
    <w:qFormat/>
    <w:uiPriority w:val="99"/>
    <w:rPr>
      <w:sz w:val="20"/>
    </w:rPr>
  </w:style>
  <w:style w:type="paragraph" w:customStyle="1" w:styleId="45">
    <w:name w:val="TOC Heading"/>
    <w:unhideWhenUsed/>
    <w:qFormat/>
    <w:uiPriority w:val="39"/>
    <w:rPr>
      <w:rFonts w:hint="default" w:ascii="Times New Roman" w:hAnsi="Times New Roman" w:eastAsia="宋体" w:cs="Times New Roman"/>
    </w:rPr>
  </w:style>
  <w:style w:type="character" w:customStyle="1" w:styleId="46">
    <w:name w:val="Heading 1 Char"/>
    <w:basedOn w:val="34"/>
    <w:qFormat/>
    <w:uiPriority w:val="9"/>
    <w:rPr>
      <w:rFonts w:ascii="Arial" w:hAnsi="Arial" w:eastAsia="Arial" w:cs="Arial"/>
      <w:sz w:val="40"/>
      <w:szCs w:val="40"/>
    </w:rPr>
  </w:style>
  <w:style w:type="character" w:customStyle="1" w:styleId="47">
    <w:name w:val="Heading 2 Char"/>
    <w:basedOn w:val="34"/>
    <w:qFormat/>
    <w:uiPriority w:val="9"/>
    <w:rPr>
      <w:rFonts w:ascii="Arial" w:hAnsi="Arial" w:eastAsia="Arial" w:cs="Arial"/>
      <w:sz w:val="34"/>
    </w:rPr>
  </w:style>
  <w:style w:type="character" w:customStyle="1" w:styleId="48">
    <w:name w:val="Heading 3 Char"/>
    <w:basedOn w:val="34"/>
    <w:link w:val="49"/>
    <w:qFormat/>
    <w:uiPriority w:val="9"/>
    <w:rPr>
      <w:rFonts w:ascii="Arial" w:hAnsi="Arial" w:eastAsia="Arial" w:cs="Arial"/>
      <w:sz w:val="30"/>
      <w:szCs w:val="30"/>
    </w:rPr>
  </w:style>
  <w:style w:type="paragraph" w:customStyle="1" w:styleId="49">
    <w:name w:val="Heading 3"/>
    <w:basedOn w:val="1"/>
    <w:next w:val="1"/>
    <w:link w:val="48"/>
    <w:unhideWhenUsed/>
    <w:qFormat/>
    <w:uiPriority w:val="0"/>
    <w:pPr>
      <w:keepNext/>
      <w:keepLines/>
      <w:spacing w:before="260" w:after="260" w:line="413" w:lineRule="auto"/>
      <w:outlineLvl w:val="2"/>
    </w:pPr>
    <w:rPr>
      <w:b/>
      <w:sz w:val="32"/>
    </w:rPr>
  </w:style>
  <w:style w:type="paragraph" w:customStyle="1" w:styleId="50">
    <w:name w:val="Heading 4"/>
    <w:basedOn w:val="1"/>
    <w:next w:val="1"/>
    <w:link w:val="51"/>
    <w:unhideWhenUsed/>
    <w:qFormat/>
    <w:uiPriority w:val="9"/>
    <w:pPr>
      <w:keepNext/>
      <w:keepLines/>
      <w:spacing w:before="320" w:after="200"/>
      <w:outlineLvl w:val="3"/>
    </w:pPr>
    <w:rPr>
      <w:rFonts w:ascii="Arial" w:hAnsi="Arial" w:eastAsia="Arial" w:cs="Arial"/>
      <w:b/>
      <w:bCs/>
      <w:sz w:val="26"/>
      <w:szCs w:val="26"/>
    </w:rPr>
  </w:style>
  <w:style w:type="character" w:customStyle="1" w:styleId="51">
    <w:name w:val="Heading 4 Char"/>
    <w:basedOn w:val="34"/>
    <w:link w:val="50"/>
    <w:qFormat/>
    <w:uiPriority w:val="9"/>
    <w:rPr>
      <w:rFonts w:ascii="Arial" w:hAnsi="Arial" w:eastAsia="Arial" w:cs="Arial"/>
      <w:b/>
      <w:bCs/>
      <w:sz w:val="26"/>
      <w:szCs w:val="26"/>
    </w:rPr>
  </w:style>
  <w:style w:type="paragraph" w:customStyle="1" w:styleId="52">
    <w:name w:val="Heading 5"/>
    <w:basedOn w:val="1"/>
    <w:next w:val="1"/>
    <w:link w:val="53"/>
    <w:unhideWhenUsed/>
    <w:qFormat/>
    <w:uiPriority w:val="9"/>
    <w:pPr>
      <w:keepNext/>
      <w:keepLines/>
      <w:spacing w:before="320" w:after="200"/>
      <w:outlineLvl w:val="4"/>
    </w:pPr>
    <w:rPr>
      <w:rFonts w:ascii="Arial" w:hAnsi="Arial" w:eastAsia="Arial" w:cs="Arial"/>
      <w:b/>
      <w:bCs/>
      <w:sz w:val="24"/>
    </w:rPr>
  </w:style>
  <w:style w:type="character" w:customStyle="1" w:styleId="53">
    <w:name w:val="Heading 5 Char"/>
    <w:basedOn w:val="34"/>
    <w:link w:val="52"/>
    <w:qFormat/>
    <w:uiPriority w:val="9"/>
    <w:rPr>
      <w:rFonts w:ascii="Arial" w:hAnsi="Arial" w:eastAsia="Arial" w:cs="Arial"/>
      <w:b/>
      <w:bCs/>
      <w:sz w:val="24"/>
      <w:szCs w:val="24"/>
    </w:rPr>
  </w:style>
  <w:style w:type="paragraph" w:customStyle="1" w:styleId="54">
    <w:name w:val="Heading 6"/>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character" w:customStyle="1" w:styleId="55">
    <w:name w:val="Heading 6 Char"/>
    <w:basedOn w:val="34"/>
    <w:link w:val="54"/>
    <w:qFormat/>
    <w:uiPriority w:val="9"/>
    <w:rPr>
      <w:rFonts w:ascii="Arial" w:hAnsi="Arial" w:eastAsia="Arial" w:cs="Arial"/>
      <w:b/>
      <w:bCs/>
      <w:sz w:val="22"/>
      <w:szCs w:val="22"/>
    </w:rPr>
  </w:style>
  <w:style w:type="paragraph" w:customStyle="1" w:styleId="56">
    <w:name w:val="Heading 7"/>
    <w:basedOn w:val="1"/>
    <w:next w:val="1"/>
    <w:link w:val="57"/>
    <w:unhideWhenUsed/>
    <w:qFormat/>
    <w:uiPriority w:val="9"/>
    <w:pPr>
      <w:keepNext/>
      <w:keepLines/>
      <w:spacing w:before="320" w:after="200"/>
      <w:outlineLvl w:val="6"/>
    </w:pPr>
    <w:rPr>
      <w:rFonts w:ascii="Arial" w:hAnsi="Arial" w:eastAsia="Arial" w:cs="Arial"/>
      <w:b/>
      <w:bCs/>
      <w:i/>
      <w:iCs/>
      <w:sz w:val="22"/>
      <w:szCs w:val="22"/>
    </w:rPr>
  </w:style>
  <w:style w:type="character" w:customStyle="1" w:styleId="57">
    <w:name w:val="Heading 7 Char"/>
    <w:basedOn w:val="34"/>
    <w:link w:val="56"/>
    <w:qFormat/>
    <w:uiPriority w:val="9"/>
    <w:rPr>
      <w:rFonts w:ascii="Arial" w:hAnsi="Arial" w:eastAsia="Arial" w:cs="Arial"/>
      <w:b/>
      <w:bCs/>
      <w:i/>
      <w:iCs/>
      <w:sz w:val="22"/>
      <w:szCs w:val="22"/>
    </w:rPr>
  </w:style>
  <w:style w:type="paragraph" w:customStyle="1" w:styleId="58">
    <w:name w:val="Heading 8"/>
    <w:basedOn w:val="1"/>
    <w:next w:val="1"/>
    <w:link w:val="59"/>
    <w:unhideWhenUsed/>
    <w:qFormat/>
    <w:uiPriority w:val="9"/>
    <w:pPr>
      <w:keepNext/>
      <w:keepLines/>
      <w:spacing w:before="320" w:after="200"/>
      <w:outlineLvl w:val="7"/>
    </w:pPr>
    <w:rPr>
      <w:rFonts w:ascii="Arial" w:hAnsi="Arial" w:eastAsia="Arial" w:cs="Arial"/>
      <w:i/>
      <w:iCs/>
      <w:sz w:val="22"/>
      <w:szCs w:val="22"/>
    </w:rPr>
  </w:style>
  <w:style w:type="character" w:customStyle="1" w:styleId="59">
    <w:name w:val="Heading 8 Char"/>
    <w:basedOn w:val="34"/>
    <w:link w:val="58"/>
    <w:qFormat/>
    <w:uiPriority w:val="9"/>
    <w:rPr>
      <w:rFonts w:ascii="Arial" w:hAnsi="Arial" w:eastAsia="Arial" w:cs="Arial"/>
      <w:i/>
      <w:iCs/>
      <w:sz w:val="22"/>
      <w:szCs w:val="22"/>
    </w:rPr>
  </w:style>
  <w:style w:type="paragraph" w:customStyle="1" w:styleId="60">
    <w:name w:val="Heading 9"/>
    <w:basedOn w:val="1"/>
    <w:next w:val="1"/>
    <w:link w:val="61"/>
    <w:unhideWhenUsed/>
    <w:qFormat/>
    <w:uiPriority w:val="9"/>
    <w:pPr>
      <w:keepNext/>
      <w:keepLines/>
      <w:spacing w:before="320" w:after="200"/>
      <w:outlineLvl w:val="8"/>
    </w:pPr>
    <w:rPr>
      <w:rFonts w:ascii="Arial" w:hAnsi="Arial" w:eastAsia="Arial" w:cs="Arial"/>
      <w:i/>
      <w:iCs/>
      <w:szCs w:val="21"/>
    </w:rPr>
  </w:style>
  <w:style w:type="character" w:customStyle="1" w:styleId="61">
    <w:name w:val="Heading 9 Char"/>
    <w:basedOn w:val="34"/>
    <w:link w:val="60"/>
    <w:qFormat/>
    <w:uiPriority w:val="9"/>
    <w:rPr>
      <w:rFonts w:ascii="Arial" w:hAnsi="Arial" w:eastAsia="Arial" w:cs="Arial"/>
      <w:i/>
      <w:iCs/>
      <w:sz w:val="21"/>
      <w:szCs w:val="21"/>
    </w:rPr>
  </w:style>
  <w:style w:type="paragraph" w:styleId="62">
    <w:name w:val="List Paragraph"/>
    <w:basedOn w:val="1"/>
    <w:qFormat/>
    <w:uiPriority w:val="34"/>
    <w:pPr>
      <w:ind w:left="720"/>
      <w:contextualSpacing/>
    </w:pPr>
  </w:style>
  <w:style w:type="paragraph" w:styleId="63">
    <w:name w:val="No Spacing"/>
    <w:qFormat/>
    <w:uiPriority w:val="1"/>
    <w:rPr>
      <w:rFonts w:hint="default" w:ascii="Times New Roman" w:hAnsi="Times New Roman" w:eastAsia="宋体" w:cs="Times New Roman"/>
      <w:lang w:val="en-US" w:eastAsia="zh-CN" w:bidi="ar-SA"/>
    </w:rPr>
  </w:style>
  <w:style w:type="character" w:customStyle="1" w:styleId="64">
    <w:name w:val="标题 Char"/>
    <w:basedOn w:val="34"/>
    <w:link w:val="28"/>
    <w:qFormat/>
    <w:uiPriority w:val="10"/>
    <w:rPr>
      <w:sz w:val="48"/>
      <w:szCs w:val="48"/>
    </w:rPr>
  </w:style>
  <w:style w:type="character" w:customStyle="1" w:styleId="65">
    <w:name w:val="副标题 Char"/>
    <w:basedOn w:val="34"/>
    <w:link w:val="21"/>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引用 Char"/>
    <w:link w:val="66"/>
    <w:qFormat/>
    <w:uiPriority w:val="29"/>
    <w:rPr>
      <w:i/>
    </w:rPr>
  </w:style>
  <w:style w:type="paragraph" w:styleId="68">
    <w:name w:val="Intense Quote"/>
    <w:basedOn w:val="1"/>
    <w:next w:val="1"/>
    <w:link w:val="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9">
    <w:name w:val="明显引用 Char"/>
    <w:link w:val="68"/>
    <w:qFormat/>
    <w:uiPriority w:val="30"/>
    <w:rPr>
      <w:i/>
    </w:rPr>
  </w:style>
  <w:style w:type="character" w:customStyle="1" w:styleId="70">
    <w:name w:val="Header Char"/>
    <w:basedOn w:val="34"/>
    <w:qFormat/>
    <w:uiPriority w:val="99"/>
  </w:style>
  <w:style w:type="character" w:customStyle="1" w:styleId="71">
    <w:name w:val="Footer Char"/>
    <w:basedOn w:val="34"/>
    <w:qFormat/>
    <w:uiPriority w:val="99"/>
  </w:style>
  <w:style w:type="paragraph" w:customStyle="1" w:styleId="7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character" w:customStyle="1" w:styleId="73">
    <w:name w:val="Caption Char"/>
    <w:qFormat/>
    <w:uiPriority w:val="99"/>
  </w:style>
  <w:style w:type="table" w:customStyle="1" w:styleId="74">
    <w:name w:val="Table Grid Light"/>
    <w:basedOn w:val="3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5">
    <w:name w:val="Plain Table 1"/>
    <w:basedOn w:val="3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6">
    <w:name w:val="Plain Table 2"/>
    <w:basedOn w:val="3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7">
    <w:name w:val="Plain Table 3"/>
    <w:basedOn w:val="32"/>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4"/>
    <w:basedOn w:val="32"/>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5"/>
    <w:basedOn w:val="32"/>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Grid Table 1 Light"/>
    <w:basedOn w:val="3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1">
    <w:name w:val="Grid Table 1 Light - Accent 1"/>
    <w:basedOn w:val="32"/>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2">
    <w:name w:val="Grid Table 1 Light - Accent 2"/>
    <w:basedOn w:val="3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3">
    <w:name w:val="Grid Table 1 Light - Accent 3"/>
    <w:basedOn w:val="3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4">
    <w:name w:val="Grid Table 1 Light - Accent 4"/>
    <w:basedOn w:val="3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5">
    <w:name w:val="Grid Table 1 Light - Accent 5"/>
    <w:basedOn w:val="32"/>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6">
    <w:name w:val="Grid Table 1 Light - Accent 6"/>
    <w:basedOn w:val="32"/>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7">
    <w:name w:val="Grid Table 2"/>
    <w:basedOn w:val="3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2 - Accent 1"/>
    <w:basedOn w:val="32"/>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9">
    <w:name w:val="Grid Table 2 - Accent 2"/>
    <w:basedOn w:val="3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0">
    <w:name w:val="Grid Table 2 - Accent 3"/>
    <w:basedOn w:val="32"/>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1">
    <w:name w:val="Grid Table 2 - Accent 4"/>
    <w:basedOn w:val="3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2">
    <w:name w:val="Grid Table 2 - Accent 5"/>
    <w:basedOn w:val="32"/>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3">
    <w:name w:val="Grid Table 2 - Accent 6"/>
    <w:basedOn w:val="32"/>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4">
    <w:name w:val="Grid Table 3"/>
    <w:basedOn w:val="3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3 - Accent 1"/>
    <w:basedOn w:val="32"/>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6">
    <w:name w:val="Grid Table 3 - Accent 2"/>
    <w:basedOn w:val="3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7">
    <w:name w:val="Grid Table 3 - Accent 3"/>
    <w:basedOn w:val="32"/>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8">
    <w:name w:val="Grid Table 3 - Accent 4"/>
    <w:basedOn w:val="3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9">
    <w:name w:val="Grid Table 3 - Accent 5"/>
    <w:basedOn w:val="32"/>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0">
    <w:name w:val="Grid Table 3 - Accent 6"/>
    <w:basedOn w:val="32"/>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1">
    <w:name w:val="Grid Table 4"/>
    <w:basedOn w:val="3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4 - Accent 1"/>
    <w:basedOn w:val="32"/>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3">
    <w:name w:val="Grid Table 4 - Accent 2"/>
    <w:basedOn w:val="32"/>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4">
    <w:name w:val="Grid Table 4 - Accent 3"/>
    <w:basedOn w:val="32"/>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5">
    <w:name w:val="Grid Table 4 - Accent 4"/>
    <w:basedOn w:val="32"/>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6">
    <w:name w:val="Grid Table 4 - Accent 5"/>
    <w:basedOn w:val="32"/>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7">
    <w:name w:val="Grid Table 4 - Accent 6"/>
    <w:basedOn w:val="32"/>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8">
    <w:name w:val="Grid Table 5 Dark"/>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9">
    <w:name w:val="Grid Table 5 Dark- Accent 1"/>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10">
    <w:name w:val="Grid Table 5 Dark - Accent 2"/>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1">
    <w:name w:val="Grid Table 5 Dark - Accent 3"/>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2">
    <w:name w:val="Grid Table 5 Dark- Accent 4"/>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3">
    <w:name w:val="Grid Table 5 Dark - Accent 5"/>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4">
    <w:name w:val="Grid Table 5 Dark - Accent 6"/>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5">
    <w:name w:val="Grid Table 6 Colorful"/>
    <w:basedOn w:val="3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6 Colorful - Accent 1"/>
    <w:basedOn w:val="32"/>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7">
    <w:name w:val="Grid Table 6 Colorful - Accent 2"/>
    <w:basedOn w:val="3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8">
    <w:name w:val="Grid Table 6 Colorful - Accent 3"/>
    <w:basedOn w:val="32"/>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9">
    <w:name w:val="Grid Table 6 Colorful - Accent 4"/>
    <w:basedOn w:val="32"/>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0">
    <w:name w:val="Grid Table 6 Colorful - Accent 5"/>
    <w:basedOn w:val="32"/>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1">
    <w:name w:val="Grid Table 6 Colorful - Accent 6"/>
    <w:basedOn w:val="32"/>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2">
    <w:name w:val="Grid Table 7 Colorful"/>
    <w:basedOn w:val="3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7 Colorful - Accent 1"/>
    <w:basedOn w:val="32"/>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4">
    <w:name w:val="Grid Table 7 Colorful - Accent 2"/>
    <w:basedOn w:val="32"/>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5">
    <w:name w:val="Grid Table 7 Colorful - Accent 3"/>
    <w:basedOn w:val="32"/>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6">
    <w:name w:val="Grid Table 7 Colorful - Accent 4"/>
    <w:basedOn w:val="32"/>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7">
    <w:name w:val="Grid Table 7 Colorful - Accent 5"/>
    <w:basedOn w:val="32"/>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8">
    <w:name w:val="Grid Table 7 Colorful - Accent 6"/>
    <w:basedOn w:val="32"/>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9">
    <w:name w:val="List Table 1 Light"/>
    <w:basedOn w:val="32"/>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0">
    <w:name w:val="List Table 1 Light - Accent 1"/>
    <w:basedOn w:val="32"/>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1">
    <w:name w:val="List Table 1 Light - Accent 2"/>
    <w:basedOn w:val="32"/>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2">
    <w:name w:val="List Table 1 Light - Accent 3"/>
    <w:basedOn w:val="32"/>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3">
    <w:name w:val="List Table 1 Light - Accent 4"/>
    <w:basedOn w:val="32"/>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4">
    <w:name w:val="List Table 1 Light - Accent 5"/>
    <w:basedOn w:val="32"/>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5">
    <w:name w:val="List Table 1 Light - Accent 6"/>
    <w:basedOn w:val="32"/>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6">
    <w:name w:val="List Table 2"/>
    <w:basedOn w:val="3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2 - Accent 1"/>
    <w:basedOn w:val="32"/>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8">
    <w:name w:val="List Table 2 - Accent 2"/>
    <w:basedOn w:val="32"/>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9">
    <w:name w:val="List Table 2 - Accent 3"/>
    <w:basedOn w:val="32"/>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0">
    <w:name w:val="List Table 2 - Accent 4"/>
    <w:basedOn w:val="32"/>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1">
    <w:name w:val="List Table 2 - Accent 5"/>
    <w:basedOn w:val="32"/>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2">
    <w:name w:val="List Table 2 - Accent 6"/>
    <w:basedOn w:val="32"/>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3">
    <w:name w:val="List Table 3"/>
    <w:basedOn w:val="3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4">
    <w:name w:val="List Table 3 - Accent 1"/>
    <w:basedOn w:val="32"/>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5">
    <w:name w:val="List Table 3 - Accent 2"/>
    <w:basedOn w:val="3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6">
    <w:name w:val="List Table 3 - Accent 3"/>
    <w:basedOn w:val="32"/>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7">
    <w:name w:val="List Table 3 - Accent 4"/>
    <w:basedOn w:val="32"/>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8">
    <w:name w:val="List Table 3 - Accent 5"/>
    <w:basedOn w:val="32"/>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9">
    <w:name w:val="List Table 3 - Accent 6"/>
    <w:basedOn w:val="32"/>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0">
    <w:name w:val="List Table 4"/>
    <w:basedOn w:val="3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1">
    <w:name w:val="List Table 4 - Accent 1"/>
    <w:basedOn w:val="32"/>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2">
    <w:name w:val="List Table 4 - Accent 2"/>
    <w:basedOn w:val="32"/>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3">
    <w:name w:val="List Table 4 - Accent 3"/>
    <w:basedOn w:val="32"/>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4">
    <w:name w:val="List Table 4 - Accent 4"/>
    <w:basedOn w:val="32"/>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5">
    <w:name w:val="List Table 4 - Accent 5"/>
    <w:basedOn w:val="32"/>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6">
    <w:name w:val="List Table 4 - Accent 6"/>
    <w:basedOn w:val="32"/>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7">
    <w:name w:val="List Table 5 Dark"/>
    <w:basedOn w:val="3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8">
    <w:name w:val="List Table 5 Dark - Accent 1"/>
    <w:basedOn w:val="32"/>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9">
    <w:name w:val="List Table 5 Dark - Accent 2"/>
    <w:basedOn w:val="32"/>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0">
    <w:name w:val="List Table 5 Dark - Accent 3"/>
    <w:basedOn w:val="32"/>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1">
    <w:name w:val="List Table 5 Dark - Accent 4"/>
    <w:basedOn w:val="32"/>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2">
    <w:name w:val="List Table 5 Dark - Accent 5"/>
    <w:basedOn w:val="32"/>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3">
    <w:name w:val="List Table 5 Dark - Accent 6"/>
    <w:basedOn w:val="32"/>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4">
    <w:name w:val="List Table 6 Colorful"/>
    <w:basedOn w:val="32"/>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5">
    <w:name w:val="List Table 6 Colorful - Accent 1"/>
    <w:basedOn w:val="32"/>
    <w:qFormat/>
    <w:uiPriority w:val="99"/>
    <w:tblPr>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6">
    <w:name w:val="List Table 6 Colorful - Accent 2"/>
    <w:basedOn w:val="32"/>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7">
    <w:name w:val="List Table 6 Colorful - Accent 3"/>
    <w:basedOn w:val="32"/>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8">
    <w:name w:val="List Table 6 Colorful - Accent 4"/>
    <w:basedOn w:val="32"/>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9">
    <w:name w:val="List Table 6 Colorful - Accent 5"/>
    <w:basedOn w:val="32"/>
    <w:qFormat/>
    <w:uiPriority w:val="99"/>
    <w:tblPr>
      <w:tblBorders>
        <w:top w:val="single" w:color="8EA9DB" w:themeColor="accent5" w:themeTint="9A" w:sz="4" w:space="0"/>
        <w:bottom w:val="single" w:color="8EA9DB" w:themeColor="accent5" w:themeTint="9A" w:sz="4" w:space="0"/>
      </w:tblBorders>
      <w:tblCellMar>
        <w:top w:w="0" w:type="dxa"/>
        <w:left w:w="108" w:type="dxa"/>
        <w:bottom w:w="0" w:type="dxa"/>
        <w:right w:w="108" w:type="dxa"/>
      </w:tblCellMar>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0">
    <w:name w:val="List Table 6 Colorful - Accent 6"/>
    <w:basedOn w:val="32"/>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1">
    <w:name w:val="List Table 7 Colorful"/>
    <w:basedOn w:val="32"/>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2">
    <w:name w:val="List Table 7 Colorful - Accent 1"/>
    <w:basedOn w:val="32"/>
    <w:qFormat/>
    <w:uiPriority w:val="99"/>
    <w:tblPr>
      <w:tblBorders>
        <w:right w:val="single" w:color="5B9BD5" w:themeColor="accent1" w:sz="4" w:space="0"/>
      </w:tblBorders>
      <w:tblCellMar>
        <w:top w:w="0" w:type="dxa"/>
        <w:left w:w="108" w:type="dxa"/>
        <w:bottom w:w="0" w:type="dxa"/>
        <w:right w:w="108" w:type="dxa"/>
      </w:tblCellMar>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3">
    <w:name w:val="List Table 7 Colorful - Accent 2"/>
    <w:basedOn w:val="32"/>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4">
    <w:name w:val="List Table 7 Colorful - Accent 3"/>
    <w:basedOn w:val="32"/>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5">
    <w:name w:val="List Table 7 Colorful - Accent 4"/>
    <w:basedOn w:val="32"/>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6">
    <w:name w:val="List Table 7 Colorful - Accent 5"/>
    <w:basedOn w:val="32"/>
    <w:qFormat/>
    <w:uiPriority w:val="99"/>
    <w:tblPr>
      <w:tblBorders>
        <w:right w:val="single" w:color="8EA9DB" w:themeColor="accent5" w:themeTint="9A" w:sz="4" w:space="0"/>
      </w:tblBorders>
      <w:tblCellMar>
        <w:top w:w="0" w:type="dxa"/>
        <w:left w:w="108" w:type="dxa"/>
        <w:bottom w:w="0" w:type="dxa"/>
        <w:right w:w="108" w:type="dxa"/>
      </w:tblCellMar>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7">
    <w:name w:val="List Table 7 Colorful - Accent 6"/>
    <w:basedOn w:val="32"/>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8">
    <w:name w:val="Lined - Accent"/>
    <w:basedOn w:val="3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Lined - Accent 1"/>
    <w:basedOn w:val="3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0">
    <w:name w:val="Lined - Accent 2"/>
    <w:basedOn w:val="3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1">
    <w:name w:val="Lined - Accent 3"/>
    <w:basedOn w:val="3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2">
    <w:name w:val="Lined - Accent 4"/>
    <w:basedOn w:val="3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3">
    <w:name w:val="Lined - Accent 5"/>
    <w:basedOn w:val="3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4">
    <w:name w:val="Lined - Accent 6"/>
    <w:basedOn w:val="3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5">
    <w:name w:val="Bordered &amp; Lined - Accent"/>
    <w:basedOn w:val="3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Bordered &amp; Lined - Accent 1"/>
    <w:basedOn w:val="32"/>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7">
    <w:name w:val="Bordered &amp; Lined - Accent 2"/>
    <w:basedOn w:val="32"/>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8">
    <w:name w:val="Bordered &amp; Lined - Accent 3"/>
    <w:basedOn w:val="32"/>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9">
    <w:name w:val="Bordered &amp; Lined - Accent 4"/>
    <w:basedOn w:val="32"/>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0">
    <w:name w:val="Bordered &amp; Lined - Accent 5"/>
    <w:basedOn w:val="32"/>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1">
    <w:name w:val="Bordered &amp; Lined - Accent 6"/>
    <w:basedOn w:val="32"/>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2">
    <w:name w:val="Bordered"/>
    <w:basedOn w:val="3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3">
    <w:name w:val="Bordered - Accent 1"/>
    <w:basedOn w:val="32"/>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4">
    <w:name w:val="Bordered - Accent 2"/>
    <w:basedOn w:val="3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5">
    <w:name w:val="Bordered - Accent 3"/>
    <w:basedOn w:val="3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6">
    <w:name w:val="Bordered - Accent 4"/>
    <w:basedOn w:val="3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7">
    <w:name w:val="Bordered - Accent 5"/>
    <w:basedOn w:val="32"/>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8">
    <w:name w:val="Bordered - Accent 6"/>
    <w:basedOn w:val="32"/>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9">
    <w:name w:val="脚注文本 Char"/>
    <w:link w:val="22"/>
    <w:qFormat/>
    <w:uiPriority w:val="99"/>
    <w:rPr>
      <w:sz w:val="18"/>
    </w:rPr>
  </w:style>
  <w:style w:type="character" w:customStyle="1" w:styleId="200">
    <w:name w:val="尾注文本 Char"/>
    <w:link w:val="14"/>
    <w:qFormat/>
    <w:uiPriority w:val="99"/>
    <w:rPr>
      <w:sz w:val="20"/>
    </w:rPr>
  </w:style>
  <w:style w:type="paragraph" w:customStyle="1" w:styleId="201">
    <w:name w:val="TOC 标题1"/>
    <w:unhideWhenUsed/>
    <w:qFormat/>
    <w:uiPriority w:val="39"/>
    <w:rPr>
      <w:rFonts w:hint="default" w:ascii="Times New Roman" w:hAnsi="Times New Roman" w:eastAsia="宋体" w:cs="Times New Roman"/>
      <w:lang w:val="en-US" w:eastAsia="zh-CN" w:bidi="ar-SA"/>
    </w:rPr>
  </w:style>
  <w:style w:type="paragraph" w:customStyle="1" w:styleId="202">
    <w:name w:val="Heading 1"/>
    <w:basedOn w:val="1"/>
    <w:next w:val="1"/>
    <w:link w:val="215"/>
    <w:qFormat/>
    <w:uiPriority w:val="9"/>
    <w:pPr>
      <w:keepNext/>
      <w:keepLines/>
      <w:spacing w:before="340" w:after="330" w:line="578" w:lineRule="auto"/>
      <w:outlineLvl w:val="0"/>
    </w:pPr>
    <w:rPr>
      <w:rFonts w:ascii="Calibri" w:hAnsi="Calibri"/>
      <w:b/>
      <w:bCs/>
      <w:sz w:val="44"/>
      <w:szCs w:val="44"/>
    </w:rPr>
  </w:style>
  <w:style w:type="paragraph" w:customStyle="1" w:styleId="203">
    <w:name w:val="Heading 2"/>
    <w:basedOn w:val="1"/>
    <w:next w:val="1"/>
    <w:link w:val="213"/>
    <w:unhideWhenUsed/>
    <w:qFormat/>
    <w:uiPriority w:val="0"/>
    <w:pPr>
      <w:spacing w:beforeAutospacing="1" w:afterAutospacing="1"/>
      <w:jc w:val="left"/>
    </w:pPr>
    <w:rPr>
      <w:rFonts w:hint="eastAsia" w:ascii="宋体" w:hAnsi="宋体" w:eastAsia="宋体" w:cs="Times New Roman"/>
      <w:b/>
      <w:bCs/>
      <w:sz w:val="36"/>
      <w:szCs w:val="36"/>
    </w:rPr>
  </w:style>
  <w:style w:type="paragraph" w:customStyle="1" w:styleId="204">
    <w:name w:val="Footer"/>
    <w:basedOn w:val="1"/>
    <w:link w:val="207"/>
    <w:qFormat/>
    <w:uiPriority w:val="0"/>
    <w:pPr>
      <w:tabs>
        <w:tab w:val="center" w:pos="4153"/>
        <w:tab w:val="right" w:pos="8306"/>
      </w:tabs>
      <w:jc w:val="left"/>
    </w:pPr>
    <w:rPr>
      <w:sz w:val="18"/>
      <w:szCs w:val="18"/>
    </w:rPr>
  </w:style>
  <w:style w:type="paragraph" w:customStyle="1" w:styleId="205">
    <w:name w:val="Header"/>
    <w:basedOn w:val="1"/>
    <w:link w:val="206"/>
    <w:qFormat/>
    <w:uiPriority w:val="0"/>
    <w:pPr>
      <w:pBdr>
        <w:bottom w:val="single" w:color="auto" w:sz="6" w:space="1"/>
      </w:pBdr>
      <w:tabs>
        <w:tab w:val="center" w:pos="4153"/>
        <w:tab w:val="right" w:pos="8306"/>
      </w:tabs>
      <w:jc w:val="center"/>
    </w:pPr>
    <w:rPr>
      <w:sz w:val="18"/>
      <w:szCs w:val="18"/>
    </w:rPr>
  </w:style>
  <w:style w:type="character" w:customStyle="1" w:styleId="206">
    <w:name w:val="页眉 Char"/>
    <w:basedOn w:val="34"/>
    <w:link w:val="205"/>
    <w:qFormat/>
    <w:uiPriority w:val="0"/>
    <w:rPr>
      <w:rFonts w:asciiTheme="minorHAnsi" w:hAnsiTheme="minorHAnsi" w:eastAsiaTheme="minorEastAsia" w:cstheme="minorBidi"/>
      <w:sz w:val="18"/>
      <w:szCs w:val="18"/>
    </w:rPr>
  </w:style>
  <w:style w:type="character" w:customStyle="1" w:styleId="207">
    <w:name w:val="页脚 Char"/>
    <w:basedOn w:val="34"/>
    <w:link w:val="204"/>
    <w:qFormat/>
    <w:uiPriority w:val="0"/>
    <w:rPr>
      <w:rFonts w:asciiTheme="minorHAnsi" w:hAnsiTheme="minorHAnsi" w:eastAsiaTheme="minorEastAsia" w:cstheme="minorBidi"/>
      <w:sz w:val="18"/>
      <w:szCs w:val="18"/>
    </w:rPr>
  </w:style>
  <w:style w:type="paragraph" w:customStyle="1" w:styleId="208">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209">
    <w:name w:val="正文首行缩进 21"/>
    <w:basedOn w:val="210"/>
    <w:qFormat/>
    <w:uiPriority w:val="0"/>
    <w:pPr>
      <w:ind w:firstLine="420"/>
    </w:pPr>
  </w:style>
  <w:style w:type="paragraph" w:customStyle="1" w:styleId="210">
    <w:name w:val="正文文本缩进1"/>
    <w:basedOn w:val="1"/>
    <w:qFormat/>
    <w:uiPriority w:val="0"/>
    <w:pPr>
      <w:spacing w:after="120"/>
      <w:ind w:left="420"/>
    </w:pPr>
  </w:style>
  <w:style w:type="paragraph" w:customStyle="1" w:styleId="211">
    <w:name w:val="列出段落3"/>
    <w:basedOn w:val="1"/>
    <w:qFormat/>
    <w:uiPriority w:val="0"/>
    <w:pPr>
      <w:ind w:firstLine="420"/>
    </w:pPr>
    <w:rPr>
      <w:szCs w:val="20"/>
    </w:rPr>
  </w:style>
  <w:style w:type="paragraph" w:customStyle="1" w:styleId="212">
    <w:name w:val="正文空2格  1."/>
    <w:basedOn w:val="1"/>
    <w:qFormat/>
    <w:uiPriority w:val="0"/>
    <w:pPr>
      <w:spacing w:line="360" w:lineRule="auto"/>
      <w:ind w:firstLine="480"/>
    </w:pPr>
    <w:rPr>
      <w:rFonts w:ascii="宋体" w:eastAsia="仿宋" w:cs="宋体"/>
    </w:rPr>
  </w:style>
  <w:style w:type="character" w:customStyle="1" w:styleId="213">
    <w:name w:val="标题 2 Char"/>
    <w:link w:val="203"/>
    <w:qFormat/>
    <w:uiPriority w:val="0"/>
    <w:rPr>
      <w:rFonts w:hint="eastAsia" w:ascii="宋体" w:hAnsi="宋体" w:eastAsia="宋体" w:cs="宋体"/>
      <w:b/>
      <w:bCs/>
      <w:sz w:val="36"/>
      <w:szCs w:val="36"/>
      <w:lang w:val="en-US" w:eastAsia="zh-CN"/>
    </w:rPr>
  </w:style>
  <w:style w:type="paragraph" w:customStyle="1" w:styleId="214">
    <w:name w:val="纯文本1"/>
    <w:basedOn w:val="1"/>
    <w:qFormat/>
    <w:uiPriority w:val="0"/>
    <w:rPr>
      <w:rFonts w:ascii="宋体" w:hAnsi="Courier New"/>
      <w:lang w:val="zh-CN"/>
    </w:rPr>
  </w:style>
  <w:style w:type="character" w:customStyle="1" w:styleId="215">
    <w:name w:val="标题 1 Char"/>
    <w:link w:val="202"/>
    <w:qFormat/>
    <w:uiPriority w:val="9"/>
    <w:rPr>
      <w:rFonts w:ascii="Calibri" w:hAnsi="Calibri"/>
      <w:b/>
      <w:bCs/>
      <w:sz w:val="44"/>
      <w:szCs w:val="44"/>
    </w:rPr>
  </w:style>
  <w:style w:type="character" w:customStyle="1" w:styleId="216">
    <w:name w:val="页眉 Char1"/>
    <w:basedOn w:val="34"/>
    <w:link w:val="18"/>
    <w:semiHidden/>
    <w:qFormat/>
    <w:uiPriority w:val="99"/>
    <w:rPr>
      <w:rFonts w:asciiTheme="minorHAnsi" w:hAnsiTheme="minorHAnsi" w:eastAsiaTheme="minorEastAsia" w:cstheme="minorBidi"/>
      <w:sz w:val="18"/>
      <w:szCs w:val="18"/>
    </w:rPr>
  </w:style>
  <w:style w:type="character" w:customStyle="1" w:styleId="217">
    <w:name w:val="页脚 Char1"/>
    <w:basedOn w:val="34"/>
    <w:link w:val="16"/>
    <w:semiHidden/>
    <w:qFormat/>
    <w:uiPriority w:val="99"/>
    <w:rPr>
      <w:rFonts w:asciiTheme="minorHAnsi" w:hAnsiTheme="minorHAnsi" w:eastAsiaTheme="minorEastAsia" w:cstheme="minorBidi"/>
      <w:sz w:val="18"/>
      <w:szCs w:val="18"/>
    </w:rPr>
  </w:style>
  <w:style w:type="character" w:customStyle="1" w:styleId="218">
    <w:name w:val="批注框文本 Char"/>
    <w:basedOn w:val="34"/>
    <w:link w:val="15"/>
    <w:semiHidden/>
    <w:qFormat/>
    <w:uiPriority w:val="99"/>
    <w:rPr>
      <w:rFonts w:asciiTheme="minorHAnsi" w:hAnsiTheme="minorHAnsi" w:eastAsiaTheme="minorEastAsia" w:cstheme="minorBidi"/>
      <w:sz w:val="18"/>
      <w:szCs w:val="18"/>
    </w:rPr>
  </w:style>
  <w:style w:type="character" w:customStyle="1" w:styleId="219">
    <w:name w:val="标题 1 Char1"/>
    <w:basedOn w:val="34"/>
    <w:link w:val="3"/>
    <w:qFormat/>
    <w:uiPriority w:val="9"/>
    <w:rPr>
      <w:rFonts w:asciiTheme="minorHAnsi" w:hAnsiTheme="minorHAnsi" w:eastAsiaTheme="minorEastAsia" w:cstheme="minorBidi"/>
      <w:b/>
      <w:bCs/>
      <w:sz w:val="44"/>
      <w:szCs w:val="44"/>
    </w:rPr>
  </w:style>
  <w:style w:type="character" w:customStyle="1" w:styleId="220">
    <w:name w:val="正文文本缩进 Char"/>
    <w:basedOn w:val="34"/>
    <w:link w:val="9"/>
    <w:qFormat/>
    <w:uiPriority w:val="0"/>
    <w:rPr>
      <w:rFonts w:ascii="仿宋_GB2312" w:eastAsia="仿宋_GB2312" w:hAnsiTheme="minorHAnsi" w:cstheme="minorBidi"/>
      <w:sz w:val="30"/>
      <w:szCs w:val="24"/>
    </w:rPr>
  </w:style>
  <w:style w:type="table" w:customStyle="1" w:styleId="221">
    <w:name w:val="Bordered1"/>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character" w:customStyle="1" w:styleId="222">
    <w:name w:val="批注文字 Char"/>
    <w:basedOn w:val="34"/>
    <w:link w:val="7"/>
    <w:qFormat/>
    <w:uiPriority w:val="0"/>
    <w:rPr>
      <w:rFonts w:asciiTheme="minorHAnsi" w:hAnsiTheme="minorHAnsi" w:eastAsiaTheme="minorEastAsia" w:cstheme="minorBidi"/>
      <w:sz w:val="21"/>
      <w:szCs w:val="24"/>
    </w:rPr>
  </w:style>
  <w:style w:type="character" w:customStyle="1" w:styleId="223">
    <w:name w:val="批注主题 Char"/>
    <w:basedOn w:val="222"/>
    <w:link w:val="29"/>
    <w:qFormat/>
    <w:uiPriority w:val="0"/>
  </w:style>
  <w:style w:type="paragraph" w:customStyle="1" w:styleId="224">
    <w:name w:val="正文1"/>
    <w:basedOn w:val="1"/>
    <w:next w:val="1"/>
    <w:link w:val="225"/>
    <w:qFormat/>
    <w:uiPriority w:val="0"/>
    <w:pPr>
      <w:widowControl/>
      <w:spacing w:line="360" w:lineRule="auto"/>
      <w:ind w:firstLine="361"/>
    </w:pPr>
    <w:rPr>
      <w:rFonts w:ascii="宋体" w:hAnsi="宋体" w:eastAsia="仿宋_GB2312" w:cs="Times New Roman"/>
      <w:sz w:val="24"/>
      <w:szCs w:val="20"/>
    </w:rPr>
  </w:style>
  <w:style w:type="character" w:customStyle="1" w:styleId="225">
    <w:name w:val="超链接1"/>
    <w:link w:val="224"/>
    <w:qFormat/>
    <w:uiPriority w:val="0"/>
    <w:rPr>
      <w:rFonts w:ascii="宋体" w:hAnsi="宋体" w:eastAsia="仿宋_GB2312"/>
      <w:sz w:val="24"/>
    </w:rPr>
  </w:style>
  <w:style w:type="paragraph" w:customStyle="1" w:styleId="226">
    <w:name w:val="文本块1"/>
    <w:basedOn w:val="1"/>
    <w:unhideWhenUsed/>
    <w:qFormat/>
    <w:uiPriority w:val="99"/>
    <w:pPr>
      <w:spacing w:after="120"/>
      <w:ind w:left="1440"/>
    </w:pPr>
    <w:rPr>
      <w:rFonts w:hint="eastAsia"/>
    </w:rPr>
  </w:style>
  <w:style w:type="paragraph" w:customStyle="1" w:styleId="227">
    <w:name w:val="footer1"/>
    <w:basedOn w:val="228"/>
    <w:qFormat/>
    <w:uiPriority w:val="0"/>
    <w:pPr>
      <w:tabs>
        <w:tab w:val="center" w:pos="4153"/>
        <w:tab w:val="right" w:pos="8306"/>
      </w:tabs>
      <w:jc w:val="left"/>
    </w:pPr>
    <w:rPr>
      <w:sz w:val="18"/>
    </w:rPr>
  </w:style>
  <w:style w:type="paragraph" w:customStyle="1" w:styleId="228">
    <w:name w:val="正文111"/>
    <w:next w:val="229"/>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29">
    <w:name w:val="标题 41"/>
    <w:basedOn w:val="230"/>
    <w:next w:val="228"/>
    <w:qFormat/>
    <w:uiPriority w:val="0"/>
    <w:pPr>
      <w:keepNext/>
      <w:keepLines/>
      <w:tabs>
        <w:tab w:val="left" w:pos="864"/>
      </w:tabs>
      <w:spacing w:before="280" w:after="290" w:line="376" w:lineRule="auto"/>
      <w:ind w:left="864" w:hanging="864"/>
      <w:outlineLvl w:val="3"/>
    </w:pPr>
    <w:rPr>
      <w:rFonts w:ascii="Arial" w:hAnsi="Arial" w:eastAsia="黑体"/>
      <w:b/>
      <w:bCs/>
      <w:sz w:val="28"/>
      <w:szCs w:val="28"/>
    </w:rPr>
  </w:style>
  <w:style w:type="paragraph" w:customStyle="1" w:styleId="230">
    <w:name w:val="正文11"/>
    <w:next w:val="227"/>
    <w:qFormat/>
    <w:uiPriority w:val="0"/>
    <w:pPr>
      <w:spacing w:line="856" w:lineRule="atLeast"/>
      <w:jc w:val="both"/>
    </w:pPr>
    <w:rPr>
      <w:rFonts w:hint="default" w:ascii="Times New Roman" w:hAnsi="Times New Roman" w:eastAsia="宋体" w:cs="Times New Roman"/>
      <w:color w:val="000000"/>
      <w:sz w:val="21"/>
      <w:lang w:val="en-US" w:eastAsia="zh-CN" w:bidi="ar-SA"/>
    </w:rPr>
  </w:style>
  <w:style w:type="paragraph" w:customStyle="1" w:styleId="231">
    <w:name w:val="目录 11"/>
    <w:next w:val="1"/>
    <w:semiHidden/>
    <w:qFormat/>
    <w:uiPriority w:val="0"/>
    <w:pPr>
      <w:widowControl w:val="0"/>
      <w:tabs>
        <w:tab w:val="right" w:leader="dot" w:pos="9440"/>
      </w:tabs>
      <w:spacing w:before="120" w:after="120" w:line="300" w:lineRule="exact"/>
      <w:jc w:val="left"/>
    </w:pPr>
    <w:rPr>
      <w:rFonts w:hint="default" w:ascii="黑体" w:hAnsi="Times New Roman" w:eastAsia="黑体" w:cs="Times New Roman"/>
      <w:b/>
      <w:caps/>
      <w:sz w:val="18"/>
      <w:szCs w:val="28"/>
      <w:lang w:val="en-US" w:eastAsia="zh-CN" w:bidi="ar-SA"/>
    </w:rPr>
  </w:style>
  <w:style w:type="paragraph" w:customStyle="1" w:styleId="232">
    <w:name w:val="普通(网站)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33">
    <w:name w:val="正文文本12"/>
    <w:basedOn w:val="1"/>
    <w:next w:val="234"/>
    <w:qFormat/>
    <w:uiPriority w:val="0"/>
    <w:pPr>
      <w:spacing w:after="120"/>
    </w:pPr>
  </w:style>
  <w:style w:type="paragraph" w:customStyle="1" w:styleId="234">
    <w:name w:val="正文首行缩进11"/>
    <w:basedOn w:val="233"/>
    <w:qFormat/>
    <w:uiPriority w:val="0"/>
    <w:pPr>
      <w:ind w:firstLine="420"/>
    </w:pPr>
    <w:rPr>
      <w:sz w:val="24"/>
    </w:rPr>
  </w:style>
  <w:style w:type="paragraph" w:customStyle="1" w:styleId="235">
    <w:name w:val="正文首行缩进 211"/>
    <w:basedOn w:val="236"/>
    <w:qFormat/>
    <w:uiPriority w:val="0"/>
    <w:pPr>
      <w:numPr>
        <w:ilvl w:val="0"/>
        <w:numId w:val="1"/>
      </w:numPr>
      <w:spacing w:before="0" w:after="120" w:line="240" w:lineRule="auto"/>
      <w:ind w:left="420" w:firstLine="420"/>
    </w:pPr>
    <w:rPr>
      <w:rFonts w:ascii="Calibri" w:hAnsi="Calibri"/>
    </w:rPr>
  </w:style>
  <w:style w:type="paragraph" w:customStyle="1" w:styleId="236">
    <w:name w:val="正文文本缩进11"/>
    <w:basedOn w:val="1"/>
    <w:next w:val="237"/>
    <w:qFormat/>
    <w:uiPriority w:val="0"/>
    <w:pPr>
      <w:spacing w:before="240" w:line="360" w:lineRule="auto"/>
      <w:ind w:firstLine="552"/>
    </w:pPr>
    <w:rPr>
      <w:rFonts w:ascii="宋体" w:hAnsi="宋体"/>
      <w:szCs w:val="20"/>
    </w:rPr>
  </w:style>
  <w:style w:type="paragraph" w:customStyle="1" w:styleId="237">
    <w:name w:val="寄信人地址11"/>
    <w:basedOn w:val="1"/>
    <w:qFormat/>
    <w:uiPriority w:val="0"/>
    <w:pPr>
      <w:widowControl/>
      <w:jc w:val="left"/>
    </w:pPr>
    <w:rPr>
      <w:rFonts w:ascii="@宋体" w:hAnsi="@宋体" w:eastAsia="等线"/>
      <w:sz w:val="22"/>
      <w:szCs w:val="20"/>
    </w:rPr>
  </w:style>
  <w:style w:type="paragraph" w:customStyle="1" w:styleId="238">
    <w:name w:val="正文_1"/>
    <w:qFormat/>
    <w:uiPriority w:val="0"/>
    <w:pPr>
      <w:widowControl w:val="0"/>
      <w:jc w:val="both"/>
    </w:pPr>
    <w:rPr>
      <w:rFonts w:hint="default"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7A2B22D-7747-46B1-952F-57A342C7726F}">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56</Pages>
  <Words>17124</Words>
  <Characters>18313</Characters>
  <TotalTime>9</TotalTime>
  <ScaleCrop>false</ScaleCrop>
  <LinksUpToDate>false</LinksUpToDate>
  <CharactersWithSpaces>18608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传祺装饰.吴昌平</cp:lastModifiedBy>
  <cp:lastPrinted>2026-06-17T08:16:00Z</cp:lastPrinted>
  <dcterms:modified xsi:type="dcterms:W3CDTF">2026-06-17T09:16:28Z</dcterms:modified>
  <cp:revision>535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890F46AFC224486F9755C0580C021529_13</vt:lpwstr>
  </property>
  <property fmtid="{D5CDD505-2E9C-101B-9397-08002B2CF9AE}" pid="4" name="KSOTemplateDocerSaveRecord">
    <vt:lpwstr>eyJoZGlkIjoiOGIwYWQ5YmMxOTIzZjY5MzM0NGM2NDIwMGY3YTg3YzMiLCJ1c2VySWQiOiIzMDk2MTIwOTEifQ==</vt:lpwstr>
  </property>
</Properties>
</file>