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（服务类）</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244" w:right="0" w:hanging="1606"/>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项目名称：射阳县退役军人事务局2026-2027年度优抚对象及困难企业军转干健康体检合作医院采购项目</w:t>
      </w:r>
      <w:r/>
    </w:p>
    <w:p>
      <w:pPr>
        <w:ind w:left="0" w:right="0" w:firstLine="643"/>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项目编号：JSZC-320924-SYHY-G2026-0007</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射阳县退役军人事务局</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招标公告……………………………………1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投标人须知…………………………………4</w:t>
      </w:r>
      <w:r>
        <w:rPr>
          <w:rFonts w:ascii="SimSun" w:hAnsi="SimSun" w:eastAsia="SimSun" w:cs="SimSun"/>
          <w:color w:val="000000"/>
          <w:sz w:val="36"/>
        </w:rPr>
        <w:t xml:space="preserve">  </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合同文本……………………………………14</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采购需求……………………………………18</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评标方法与评标标准………………………22</w:t>
      </w:r>
      <w:r/>
    </w:p>
    <w:p>
      <w:pPr>
        <w:ind w:left="2160" w:right="0" w:hanging="1440"/>
        <w:jc w:val="both"/>
        <w:spacing w:before="240" w:after="240" w:line="113" w:lineRule="atLeast"/>
        <w:tabs>
          <w:tab w:val="left" w:pos="1441"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投标文件格式………………………………28</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第一章 招标公告</w:t>
      </w:r>
      <w:r/>
    </w:p>
    <w:p>
      <w:pPr>
        <w:ind w:left="0" w:right="0" w:firstLine="482"/>
        <w:jc w:val="both"/>
        <w:spacing w:before="240" w:after="24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4"/>
        </w:rPr>
        <w:t xml:space="preserve">项目概况</w:t>
      </w:r>
      <w:r/>
    </w:p>
    <w:p>
      <w:pPr>
        <w:ind w:left="0" w:right="0" w:firstLine="480"/>
        <w:jc w:val="both"/>
        <w:spacing w:before="240" w:after="24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射阳县退役军人事务局2026-2027年度优抚对象及困难企业军转干健康体检合作医院采购项目</w:t>
      </w:r>
      <w:r>
        <w:rPr>
          <w:rFonts w:ascii="SimSun" w:hAnsi="SimSun" w:eastAsia="SimSun" w:cs="SimSun"/>
          <w:color w:val="000000"/>
          <w:sz w:val="24"/>
        </w:rPr>
        <w:t xml:space="preserve">招标项目的潜在投标人可在</w:t>
      </w:r>
      <w:r>
        <w:rPr>
          <w:rFonts w:ascii="SimSun" w:hAnsi="SimSun" w:eastAsia="SimSun" w:cs="SimSun"/>
          <w:color w:val="333333"/>
          <w:sz w:val="24"/>
          <w:highlight w:val="white"/>
        </w:rPr>
        <w:t xml:space="preserve">“苏采云”系统内免费下载（投标人必须在苏采云系统中获取采购文件，方能参与政府采购项目）</w:t>
      </w:r>
      <w:r>
        <w:rPr>
          <w:rFonts w:ascii="SimSun" w:hAnsi="SimSun" w:eastAsia="SimSun" w:cs="SimSun"/>
          <w:color w:val="000000"/>
          <w:sz w:val="24"/>
        </w:rPr>
        <w:t xml:space="preserve">，并于</w:t>
      </w:r>
      <w:r>
        <w:rPr>
          <w:rFonts w:ascii="SimSun" w:hAnsi="SimSun" w:eastAsia="SimSun" w:cs="SimSun"/>
          <w:color w:val="000000"/>
          <w:sz w:val="24"/>
          <w:u w:val="single"/>
        </w:rPr>
        <w:t xml:space="preserve">2026年6月30日15点00分</w:t>
      </w:r>
      <w:r>
        <w:rPr>
          <w:rFonts w:ascii="SimSun" w:hAnsi="SimSun" w:eastAsia="SimSun" w:cs="SimSun"/>
          <w:color w:val="000000"/>
          <w:sz w:val="24"/>
        </w:rPr>
        <w:t xml:space="preserve">（北京时间）前递交投标文件。</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1.项目编号：JSZC-320924-SYHY-G2026-0007</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2.项目名称：射阳县退役军人事务局2026-2027年度优抚对象及困难企业军转干健康体检合作医院采购项目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3.采购方式：公开招标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4.预算金额：439.92万元</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5.最高限价：439.92万元（219.96万元/年，合同期2年，每人一年体检一次，本项目采用固定单价招标，360元/次，投标人不得修改单价，年终按实际体检人数结算），投标单价高于固定单价的作无效标处理。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6.评标方法：综合评分法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根据优抚工作要求，每年为重点优抚对象和困难企业军转干免费健康体检一次，2025年我县重点优抚对象约为5800人，困难企业军转干约为310人，合计约为6110人。要求投标单位每日至少能够安排检查人数达50人以上，设有专门的体检接待场所并有专人接待、专人服务、专人引导、热情服务。能够为参加体检的人员提供免费早餐、体检、健康状况评估报告、健康咨询和结果解释等服务。具体采购范围及所应达到的具体要求，以招标文件采购需求中的相应规定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8.合同履行期限：合同期2年，自签订合同之日起至2027年12月31日。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9.履约地点：中标人提供服务地点。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10.本项目不接受联合体投标。</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1.3具备履行合同所必需的设备和专业技术能力的书面声明；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1.8单位负责人为同一人或者存在直接控股、管理关系的不同供应商，不得参加同一合同项下的政府采购活动。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本项目属于服务类采购项目，所属行业为：其他未列明行业。</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3.本项目的特定资格要求：投标人须具备一级及以上医疗资质的医院。</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1.时间：2026年6月9日至2026年6月16日，每天上午00:00-12:00，下午12:00-23:59（北京时间，法定节假日除外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2.地点：“苏采云”系统内免费下载（投标人必须在苏采云系统中获取采购文件，方能参与政府采购项目）；</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3.方式：本项目采用网上注册登记方式；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1.时间：2026年6月30日9点00分（北京时间）；</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2.地点：苏采云“不见面”开标大厅。</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自本公告发布之日起5个工作日。</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领取CA和办理电子</w:t>
      </w:r>
      <w:r>
        <w:rPr>
          <w:rFonts w:ascii="SimSun" w:hAnsi="SimSun" w:eastAsia="SimSun" w:cs="SimSun"/>
          <w:color w:val="000000"/>
          <w:sz w:val="24"/>
          <w:highlight w:val="white"/>
        </w:rPr>
        <w:t xml:space="preserve">签章（</w:t>
      </w:r>
      <w:r>
        <w:rPr>
          <w:rFonts w:ascii="SimSun" w:hAnsi="SimSun" w:eastAsia="SimSun" w:cs="SimSun"/>
          <w:color w:val="000000"/>
          <w:sz w:val="24"/>
        </w:rPr>
        <w:t xml:space="preserve">请至盐城市府西路1号盐城市公共资源交易中心四楼大厅10号，11号窗口办理</w:t>
      </w:r>
      <w:r>
        <w:rPr>
          <w:rFonts w:ascii="SimSun" w:hAnsi="SimSun" w:eastAsia="SimSun" w:cs="SimSun"/>
          <w:color w:val="000000"/>
          <w:sz w:val="24"/>
          <w:highlight w:val="white"/>
        </w:rPr>
        <w:t xml:space="preserve">，联系电话：150</w:t>
      </w:r>
      <w:r>
        <w:rPr>
          <w:rFonts w:ascii="SimSun" w:hAnsi="SimSun" w:eastAsia="SimSun" w:cs="SimSun"/>
          <w:color w:val="333333"/>
          <w:sz w:val="24"/>
          <w:highlight w:val="white"/>
        </w:rPr>
        <w:t xml:space="preserve">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潜在供应商访问电子招标响应交易平台的网络地址和方法：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潜在投标人访问“苏采云”系统方法：江苏省政府采购网首页-“苏采云”链接。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采购文件（后缀名为“.kedt”）、供应商操作手册及政府采购客户端工具可通过“苏采云”系统相应链接进行下载。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采购代理机构将数据电文形式的采购文件加载至“苏采云”系统，供潜在供应商下载或者查阅。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4.投标人不得提供虚假材料谋取中标成交或采取不正当手段诋毁、排挤其他供应商。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5.投标人存在串通投标、以他人名义投标、弄虚作假等违法违规行为，或者无正当理由放弃投标、中标资格，造成项目招标失败的，不得参加该项目重新招标的投标。</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6.本次招标不收取投标保证金，不收取质量保证金。</w:t>
      </w:r>
      <w:r/>
    </w:p>
    <w:p>
      <w:pPr>
        <w:ind w:left="0" w:right="0" w:firstLine="562"/>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七、对本次招标提出询问，请按以下方式联系。</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1.采购人信息</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称：射阳县退役军人事务局</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地址：射阳县国投大厦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联系人：刘尧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联系方式：0515-89286315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2.采购代理机构信息</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名 称：射阳宏远财会服务有限公司</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地 址：射阳县合德镇沿河路17-1号</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联系人：曹红芹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联系方式：13851150809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 </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3.项目联系方式</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项目联系人：刘尧</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333333"/>
          <w:sz w:val="24"/>
          <w:highlight w:val="white"/>
        </w:rPr>
        <w:t xml:space="preserve">电　　 话：0515-89286315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br w:type="page" w:clear="all"/>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第二章  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2.2满足本文件实质性要求和条件的规定。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3、适用法律和标准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3.2 在本项目政府采购活动过程中，如果所执行的标准有更新的，按照最新标准执行。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4.2本次招标招标代理机构和采购人不收取标书工本费与中标服务费。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次招标的代理服务费按《江苏省政府采购代理服务收费指导意见》的通知（苏政采协【2024】20号）收费标准进行计取（按差额定率分档累进法计算），由中标供应商在领取中标通知书前一次性支付。（本条不单独列表报价，自行综合考虑在投标报价中，中标后采购人不再另行支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收款帐户为：射阳宏远财会服务有限公司，开户行：中国建设银行股份有限公司射阳县支行，账号：32001737436052512853。</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前按招标公告中的通讯地址，以书面形式通知采购人或招标代理机构。</w:t>
      </w:r>
      <w:r/>
    </w:p>
    <w:p>
      <w:pPr>
        <w:ind w:left="0" w:right="0" w:firstLine="56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8.1在投标截止时间前，采购人或招标代理机构可以对招标文件进行修改。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8.2采购人或招标代理机构有权按照法定的要求推迟投标截止日期和开标日期。</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w:t>
      </w:r>
      <w:r>
        <w:rPr>
          <w:rFonts w:ascii="SimSun" w:hAnsi="SimSun" w:eastAsia="SimSun" w:cs="SimSun"/>
          <w:color w:val="333333"/>
          <w:sz w:val="24"/>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9.1投标人提交的投标文件以及投标人与采购人或招标代理机构就有关投标的所有来往通知、函件和文件均应使用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中国政府采购网”“江苏政府采购网”“盐城市政府采购网”发布的招标文件不一致，请以</w:t>
      </w:r>
      <w:r>
        <w:rPr>
          <w:rFonts w:ascii="SimSun" w:hAnsi="SimSun" w:eastAsia="SimSun" w:cs="SimSun"/>
          <w:color w:val="333333"/>
          <w:sz w:val="24"/>
          <w:highlight w:val="white"/>
        </w:rPr>
        <w:t xml:space="preserve">“</w:t>
      </w:r>
      <w:r>
        <w:rPr>
          <w:rFonts w:ascii="SimSun" w:hAnsi="SimSun" w:eastAsia="SimSun" w:cs="SimSun"/>
          <w:color w:val="000000"/>
          <w:sz w:val="24"/>
        </w:rPr>
        <w:t xml:space="preserve">中国政府采购网”“江苏政府采购网”“盐城市政府采购网”发布的招标文件为准。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13.1投标人需对招标文件中的技术要求与商务要求逐项作出响应或偏离，并说明原因。</w:t>
      </w:r>
      <w:r/>
    </w:p>
    <w:p>
      <w:pPr>
        <w:ind w:left="0" w:right="0" w:firstLine="480"/>
        <w:jc w:val="both"/>
        <w:spacing w:before="240" w:after="240" w:line="360" w:lineRule="atLeast"/>
        <w:tabs>
          <w:tab w:val="left" w:pos="103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13.2投标人可在投标文件中提供认为需要的其他技术文件或说明。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w:t>
      </w:r>
      <w:r>
        <w:rPr>
          <w:rFonts w:ascii="SimSun" w:hAnsi="SimSun" w:eastAsia="SimSun" w:cs="SimSun"/>
          <w:b/>
          <w:color w:val="000000"/>
          <w:sz w:val="24"/>
          <w:u w:val="single"/>
        </w:rPr>
        <w:t xml:space="preserve">九十（90）天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招标代理机构于原投标有效期满之前，可向投标人提出延长投标有效期的要求。这种要求与答复均应采用书面形式。投标人可以拒绝采购人或招标代理机构的这一要求而放弃投标。同意延长投标有效期的投标人既不能要求也不允许修改其投标文件，同时受投标有效期约束的所有权利与义务均延长至新的有效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18、投标截止时间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18.1投标人上传电子投标文件的时间不得迟于招标公告中规定的投标截止时间。</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18.2采购人或招标代理机构可以按照规定，通过修改招标文件酌情延长投标截止时间，在此情况下，投标人的所有权利和义务以及投标人受制的截止时间均应以延长后新的截止时间为准。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19、投标文件的拒收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19.1招标代理机构拒绝接收在其规定的投标截止时间后上传的任何投标文件。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20、投标文件的撤回和修改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21.2开标仪式由招标代理机构组织。苏采云系统将自动对项目进行开标，并宣布各投标人名称和投标价格。</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22、评标委员会</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22.1开标后，招标代理机构将立即组织评标委员会（以下简称评委会）进行评标。</w:t>
      </w:r>
      <w:r/>
    </w:p>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23、评标过程的保密与公正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23.1凡是与审查、澄清、评价和比较投标的有关资料以及授标建议等，采购人、评委、招标代理机构均不得向投标人或与评标无关的其他人员透露。</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23.3采购人、招标代理机构和评标委员会不向未中标的投标人解释未中标原因，也不公布评标过程中的相关细节。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24、投标文件的澄清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24.3接到评委会澄清、说明和补正要求的投标人如未按规定作出澄清、说明和补正，其风险由投标人自行承担。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25、对投标文件的初审</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25.1.3未通过资格审查或符合性审查的投标人，招标代理机构将在苏采云系统中告知未通过资格审查或符合性审查的原因，评标结束后，招标代理机构将不再告知未通过资格审查和符合性审查的原因。</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25.6投标人在开、评标全过程中应保持通信畅通，及时登录苏采云系统查阅、答复相关信息，并安排专人与招标代理机构及评标委员会联系。</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26、无效投标条款和废标条款</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26.1.1投标人在苏采云系统规定的时间内未成功解密电子投标文件的。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26.1.2投标人未按照招标文件要求上传电子投标文件的。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26.1.9投标文件含有采购人不能接受的附加条件的。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26.1.10投标人不能证明其报价合理性的，评标委员会应当将其作为无效投标处理。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（一）评审过程中出现下列情形之一的，评标委员会应当启动异常低价投标审查程序：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26.1.11投标文件未按照招标文件要求加盖CA电子公章的。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26.2.5因苏采云系统系统故障原因造成开标不成功的。</w:t>
      </w:r>
      <w:r/>
    </w:p>
    <w:p>
      <w:pPr>
        <w:ind w:left="479"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六、定标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27、确定中标单位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27.3招标代理机构将在“中国政府采购网”“江苏政府采购网”“盐城市政府采购网”发布中标公告，公告期限为1个工作日。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27.4.2向采购人、招标代理机构行贿或者提供其他不正当利益的。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28、质疑处理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代理机构或采购人提出质疑。上述应知其权益受到损害之日，是指：</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招标代理机构及采购人只接收以纸质原件形式送达的质疑,采购人和招标代理机构不接受未填写快递运单的快件。</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spacing w:before="0" w:after="0" w:line="360" w:lineRule="atLeast"/>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质疑人（或授权委托人）须是投标单位正式员工，授权委托人须提供投标单位为其缴纳的本年度近期社保证明。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29、中标通知书</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30、签订合同</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原则上应在15日内签订采购合同），按照招标文件确定的事项与采购人签订政府采购合同。合同签订之日起2个工作日内在财政指定平台公示。所签订的合同不得对招标文件确定的事项和中标人投标文件作实质性修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31、服务（包含与服务相关的货物）的追加</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32、政府采购政策功能落实</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32.1政府采购线上合同信用融资政策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32.2中小企业、监狱企业及残疾人福利性单位</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32.2.1中小企业定义：</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32.2.2供应商提供服务符合下列情形的，享受中小企业扶持政策：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32.2.2.1在服务采购项目中，服务由中小企业承接，即提供服务的人员为中小企业依照《中华人民共和国劳动合同法》订立劳动合同的从业人员。</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32.2.3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32.2.4残疾人福利单位定义：享受政府采购支持政策的残疾人福利性单位应当同时满足以下条件：</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32.2.4.1安置的残疾人占本单位在职职工人数的比例不低于25%（含25%），并且安置的残疾人人数不少于10 人（含10 人）；</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32.2.4.2依法与安置的每位残疾人签订了一年以上（含一年）的劳动合同或服务协议；</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32.2.4.3为安置的每位残疾人按月足额缴纳了基本养老保险、基本医疗保险、失业保险、工伤保险和生育保险等社会保险费；</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32.2.4.4通过银行等金融机构向安置的每位残疾人，按月支付了不低于单位所在区县适用的经省级人民政府批准的月最低工资标准的工资；</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32.2.4.5提供本单位承担的服务（以下简称产品）；</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32.2.4.6前款所称残疾人是指法定劳动年龄内，持有《中华人民共和国残疾人证》或者《中华人民共和国残疾军人证（1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32.2.5本项目是否专门面向中小企业预留采购份额见第一章《招标公告》。</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32.2.6采购标的对应的中小企业划分标准所属行业见第四章《采购需求》。</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32.2.7小微企业价格评审优惠的政策：见第五章《评标方法和评标标准》。</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32.3绿色包装</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服务过程中能做到低碳物流、环保节约、提高资源利用率。</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32.4政府采购创新产品</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32.5绿色数据中心政策 </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0" w:after="0" w:line="360" w:lineRule="atLeast"/>
        <w:tabs>
          <w:tab w:val="left" w:pos="138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32.6履约保证金政策</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履约保证金的金额和是否缴纳由采购人与中标人协商确定。确需收取履约保证金的，履约保证金的缴纳形式：</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如以履约保函（保险）形式缴纳履约保证金，供应商可通过政府采购电子履约保函（保险）平台（www.jsdzbh.com）在线申请履约保函（保险）。</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33、预付款制度</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本项目落实预付款制度，预付款比例为</w:t>
      </w:r>
      <w:r>
        <w:rPr>
          <w:rFonts w:ascii="SimSun" w:hAnsi="SimSun" w:eastAsia="SimSun" w:cs="SimSun"/>
          <w:color w:val="000000"/>
          <w:sz w:val="24"/>
          <w:u w:val="single"/>
        </w:rPr>
        <w:t xml:space="preserve">30</w:t>
      </w:r>
      <w:r>
        <w:rPr>
          <w:rFonts w:ascii="SimSun" w:hAnsi="SimSun" w:eastAsia="SimSun" w:cs="SimSun"/>
          <w:color w:val="000000"/>
          <w:sz w:val="24"/>
        </w:rPr>
        <w:t xml:space="preserve">%（原则上不低于合同金额的30%）。在签订合同时，中标、成交供应商明确书面表示无需预付款或者主动要求降低预付款比例的，采购人可就预付款比例作相应调整。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480"/>
        <w:jc w:val="both"/>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rPr>
          <w:rFonts w:ascii="Calibri" w:hAnsi="Calibri" w:eastAsia="Calibri" w:cs="Calibri"/>
          <w:color w:val="000000"/>
          <w:sz w:val="24"/>
        </w:rPr>
        <w:t xml:space="preserve"> </w:t>
      </w:r>
      <w:r/>
    </w:p>
    <w:p>
      <w:pPr>
        <w:ind w:left="0" w:right="0" w:firstLine="0"/>
        <w:jc w:val="center"/>
        <w:spacing w:before="145" w:after="145"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盐城市政府采购合同（服务）（合同编号）</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甲方：（买方）_________</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甲、乙双方根据射阳宏远财会服务有限公司</w:t>
      </w:r>
      <w:r>
        <w:rPr>
          <w:rFonts w:ascii="SimSun" w:hAnsi="SimSun" w:eastAsia="SimSun" w:cs="SimSun"/>
          <w:color w:val="000000"/>
          <w:sz w:val="24"/>
          <w:u w:val="single"/>
        </w:rPr>
        <w:t xml:space="preserve">         </w:t>
      </w:r>
      <w:r>
        <w:rPr>
          <w:rFonts w:ascii="SimSun" w:hAnsi="SimSun" w:eastAsia="SimSun" w:cs="SimSun"/>
          <w:color w:val="000000"/>
          <w:sz w:val="24"/>
        </w:rPr>
        <w:t xml:space="preserve">项目公开招标的结果，签署本合同。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2.1本合同金额为（大写）：_________________圆（_______________元）人民币。</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ind w:left="41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（备注：不得超过合同金额的10%，采购人应当对AA评级及以上政府采购供应商（需提供信用管理部门备案的第三方信用报告）免收履约保证金或降低履约保证金缴纳比例。）</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如以履约保函（保险）形式缴纳履约保证金，供应商可通过政府采购电子履约保函（保险）平台（www.jsdzbh.com）在线申请履约保函（保险）。</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6.4.1方式：退还至投标人缴纳履约保证金的账户。如为保函，在到期时自行失效。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6.4.2时间：验收合格且采购人收到发票后30日内。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落实预付款制度，合同签订时，经采购人与中标人根据实际情况协商一致，可支付合同总价的30%作为项目启动预付款；余款在每年年底体检工作全部完成并出具报告，在财政拨款到位后10日内按实际体检人数一次性结清,并无息退还履约保证金（如有）。以上付款均不计任何利息和相关费用，付款时需提供等额发票，付款一律通过银行结转。相关付款手续由用户单位由财政部门报批后办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2、注：在签订合同时，中标人明确表示无需预付款或者主动要求降低预付款比例的金额，招标人可不适用预付款规定,但中标人需提供书面声明，采购人可就预付款比例作相应调整。 </w:t>
      </w:r>
      <w:r>
        <w:rPr>
          <w:rFonts w:ascii="SimSun" w:hAnsi="SimSun" w:eastAsia="SimSun" w:cs="SimSun"/>
          <w:b/>
          <w:color w:val="000000"/>
          <w:sz w:val="24"/>
        </w:rPr>
        <w:t xml:space="preserve">九、税费</w:t>
      </w:r>
      <w:r/>
    </w:p>
    <w:p>
      <w:pPr>
        <w:ind w:left="0" w:right="0" w:firstLine="480"/>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11.4乙方所提供服务的标准不符合合同规定及招标文件规定标准的，甲方有权拒绝接受服务，并可单方面解除合同。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 期相同。</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482"/>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十四、合同生效及其他</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本合同正本一式三份，具有同等法律效力，甲方、乙方及招标代理机构各执一份。</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39" w:firstLine="0"/>
        <w:jc w:val="center"/>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 </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一、项目概况</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做好优抚安置工作，深入贯彻落实拥军优属政策，关爱优抚对象的身体健康。根据《省政府办公厅关于切实做好优抚安置有关工作的通知》（苏政发[2017]59号）文件和我县《实施方案》，对九类优抚对象（包括残疾军人、烈士遗属、因公牺牲军人遗属、病故军人遗属、在乡老复员军人、带病回乡退伍军人、参战参试退役人员、年满60周岁农村籍退役士兵、满60周岁的烈士子女）每人每年安排一次体检。给每位退役军人的身体状况建立健康档案，制定专项服务计划，更加全面地掌握退役军人的身体状况，提升优抚对象的医疗保障水平，让退役军人更加深</w:t>
      </w:r>
      <w:r>
        <w:rPr>
          <w:rFonts w:ascii="SimSun" w:hAnsi="SimSun" w:eastAsia="SimSun" w:cs="SimSun"/>
          <w:color w:val="000000"/>
          <w:sz w:val="24"/>
        </w:rPr>
        <w:t xml:space="preserve">切地体会到党和政府对他们的尊重和重视，进一步增强退役军人的社会参与度，提升他们的自豪感、幸福感和荣誉感。</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二、项目服务内容</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服务对象：约为6110人次的健康体检服务（对象为九类优抚对象，包括残疾军人、烈士遗属、因公牺牲军人遗属、病故军人遗属、在乡老复员军人、带病回乡退伍军人、参战参试退役人员、年满60周岁农村籍退役士兵、满60周岁的烈士子女人数约为5800人，困难企业军转干约为310人）。</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招标服务范围包括：投标人需设有专门的体检接待场所并有专人接待、专人服务、专人引导、热情服务；为参加体检的人员提供免费早餐、体检、健康状况评估报告、健康咨询和结果解释等服务；投标人须提供专业的网络体检管理系统，安装部署在采购人指定设备上，便于采购人实时查询监督体检的服务情况。系统功能须包括档案建立、登记接待、报告录入/导入、体检数据异常报警、各类报表的生成/浏览/打印、多种模式的数据查询统计、数据持久性存储、人员权限、分级查询等。</w:t>
      </w:r>
      <w:r/>
    </w:p>
    <w:p>
      <w:pPr>
        <w:ind w:left="0" w:right="0" w:firstLine="482"/>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3、合同履约期限：合同期2年，自签订合同之日起至2027年12月31日。</w:t>
      </w:r>
      <w:r/>
    </w:p>
    <w:p>
      <w:pPr>
        <w:ind w:left="0" w:right="0" w:firstLine="482"/>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4、地点：中标人提供服务地点。</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三、每人体检项目</w:t>
      </w:r>
      <w:r/>
    </w:p>
    <w:p>
      <w:pPr>
        <w:ind w:left="0" w:right="0" w:firstLine="0"/>
        <w:jc w:val="both"/>
        <w:spacing w:before="9" w:after="0" w:line="1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52"/>
        <w:gridCol w:w="7302"/>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细 项</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形体机能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身高/体重</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血压</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眼科检查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视力、沙眼、结膜炎</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血糖水平</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风湿四项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类风湿因子测定</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抗链球菌溶血素O测定</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C-反应蛋白测定</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血红细胞沉降率测定</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幽门螺旋杆菌</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心肌酶谱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心肌酶</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CEA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癌胚抗原</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TPSA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总前列腺特异性抗原</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血常规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血常规</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血脂四项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胆固醇、甘油三脂等四项</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肝功能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总蛋白</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白蛋白</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球蛋白</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r谷氨酰酶</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谷丙转氨酶</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谷草转氨酶</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碱性磷酸酶</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总胆红素</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直胆红素</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间胆红素</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肾功能三项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尿素</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尿酸</w:t>
            </w:r>
            <w:r/>
          </w:p>
        </w:tc>
      </w:tr>
      <w:tr>
        <w:trPr>
          <w:trHeight w:val="31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肌酐</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胸部CT</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经颅多普勒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脑血流图</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心电图</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甲状腺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甲状腺彩超</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乳腺彩超（女）</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颈动脉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颈部血管彩色多普勒</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骨密度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骨密度</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上腹部彩超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肝 胆 脾 胰</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下腹部彩超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双肾 输尿管 膀胱         前列腺（男）          子宫附件（女）</w:t>
            </w:r>
            <w:r/>
          </w:p>
        </w:tc>
      </w:tr>
      <w:tr>
        <w:trPr>
          <w:trHeight w:val="3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妇科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妇科检查</w:t>
            </w:r>
            <w:r/>
          </w:p>
        </w:tc>
      </w:tr>
    </w:tbl>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四、体检服务要求</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1、投标人须设优抚对象体检专场，每日至少能够安排体检人数达50人以上，非工作日能够正常安排体检，每日的体检时间须在上午11：30分前完成。</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2、投标人须为每人提供早餐一份（不少于8元/人）。</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3、投标人须有清晰准确的体检引导标志牌和体检导诊员，以及体检表格等资料派发人员。</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4、投标人须由副主任医师及以上职称的医师出具体检总评报告签字后并加盖公章，由参检人员自行领取或以书面、密封的形式送达各镇区。</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5、投标人须设立专门的体检报告解读办公室，由副主任医师及以上职称的医师专门接受优抚对象对体检报告的咨询解答。</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6、遇有特殊情况时，如检出急性传染病、恶性肿瘤等应立即通知采购人。对可疑病例要复查的，复查名单及内容通知其个人，并报采购人备案。</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7、投标人须做好数据保密工作，包括参检人员信息、报告信息等。未经采购人书面同意，不得将信息泄露给除采购人、中标人、参检人之外的其他人员或机构。</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五、供应商要求</w:t>
      </w:r>
      <w:r/>
    </w:p>
    <w:p>
      <w:pPr>
        <w:ind w:left="0" w:right="0" w:firstLine="482"/>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为了保障项目安全有序、实施有保障，体现投标人履约能力：</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1、投标人须提供详细完整的技术方案，包括但不限于总体规划方案、体检服务方案、应急安全保障方案、内部管理制度方案、数据保密方案、合理化建议等，确保项目保质保量、安全有序实施；</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2、投标人被行政部门认定为优抚定点医院的优先；</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3、投标人具有彩超不少于2台、CT不少于1台、生化分析仪不少于1台、血细胞分析仪不少于1台、尿液分析仪不少于1台、心电图不少于1台、骨密度检测仪1台等与本次体检项目相关的仪器设备的优先；</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4、投标人须具有一定的综合实力、人员力量、丰富的项目经验，确保本项目实施有保障；</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能够提供专业的体检服务管理，安装部署在采购人指定设备上，便于采购人实时查询监督体检的服务情况。功能须包括档案建立、登记接待、报告录入/导入、体检数据异常报警、各类报表的生成/浏览/打印、多种模式的数据查询统计、数据持久性存储、人员权限、分级查询等的优先；</w:t>
      </w:r>
      <w:r>
        <w:rPr>
          <w:rFonts w:ascii="SimSun" w:hAnsi="SimSun" w:eastAsia="SimSun" w:cs="SimSun"/>
          <w:b/>
          <w:color w:val="000000"/>
          <w:sz w:val="24"/>
        </w:rPr>
        <w:t xml:space="preserve">（中标人承诺在签订中标合同后30日内安装部署完成并确保正常使用体检服务管理的，若未能在规定时间内确保体检服务管理正常使用，采购人有权调整安排到本项目满足条件的第二顺位的中标候选人完成本项目，中标人应当无条件配合相关事宜）</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6、因本项目参检人员中有残疾、高龄等人群，投标人能够提供康复医师、康复治疗师执业资格的人员，为参检人员提供健康状况、生活能力评估，并制定科学合理的康复治疗计划的优先。</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六、付款方式</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落实预付款制度，合同签订时，经采购人与中标人根据实际情况协商一致，可支付合同总价的30%作为项目启动预付款；余款在每年年底体检工作全部完成并出具报告，在财政拨款到位后10日内按实际体检人数一次性结清,并无息退还履约保证金（如有）。以上付款均不计任何利息和相关费用，付款时需提供等额发票，付款一律通过银行结转。相关付款手续由用户单位由财政部门报批后办理。</w:t>
      </w:r>
      <w:r/>
    </w:p>
    <w:p>
      <w:pPr>
        <w:ind w:left="0" w:right="0" w:firstLine="48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2、注：在签订合同时，中标人明确表示无需预付款或者主动要求降低预付款比例的金额，招标人可不适用预付款规定,但中标人需提供书面声明，采购人可就预付款比例作相应调整。   </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七、安全管理要求</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贯彻“安全第一，预防为主”方针，中标方应为服务人员购买不记名意外伤害保险。中标方在项目服务过程中，必须遵守国家和地方关于劳动安全、劳务用工等法律法规及规章制度，制定严格的安全措施，加强安全监督管理，对服务过程中发生的人身伤害、设备损坏事故承担安全责任，并按国家有关规定，为服务人员进行人身保险，配备合格的劳动防护用品、安全用具。</w:t>
      </w:r>
      <w:r/>
    </w:p>
    <w:p>
      <w:pPr>
        <w:ind w:left="0" w:right="0" w:firstLine="480"/>
        <w:jc w:val="both"/>
        <w:spacing w:before="0" w:after="0" w:line="360"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2、若发生安全问题，由中标方自行负责处理并承担一切经济和法律责任，其与招标单位一切无关，同时按合同要求保证服务进度，按时履约。</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八、特别说明</w:t>
      </w:r>
      <w:r/>
    </w:p>
    <w:p>
      <w:pPr>
        <w:ind w:left="0" w:right="0" w:firstLine="48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1、报价含交付使用前一切费用。不接受选择性报价。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2、对本项目投标人资格要求、项目需求、评分标准等的质疑由采购单位负责答复；采购单位具有项目的解释权，质疑函和答复由采购代理机构备案。</w:t>
      </w:r>
      <w:r/>
    </w:p>
    <w:p>
      <w:pPr>
        <w:ind w:left="0" w:right="0" w:firstLine="482"/>
        <w:jc w:val="both"/>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九、采购标的对应的中小企业划分标准所属行业一览表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根据《工业和信息化部、国家统计局、国家发展和改革委员会、财政部关于印发中小企业划型标准规定的通知》（工信部联企业[2011]300号）规定的划分标准填写。 </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3"/>
        <w:gridCol w:w="6415"/>
        <w:gridCol w:w="241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5" w:type="dxa"/>
            <w:vAlign w:val="center"/>
            <w:textDirection w:val="lrTb"/>
            <w:noWrap/>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3" w:type="dxa"/>
            <w:vAlign w:val="center"/>
            <w:textDirection w:val="lrTb"/>
            <w:noWrap/>
          </w:tcPr>
          <w:p>
            <w:pPr>
              <w:ind w:left="0" w:right="0" w:firstLine="24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5" w:type="dxa"/>
            <w:vAlign w:val="center"/>
            <w:textDirection w:val="lrTb"/>
            <w:noWrap/>
          </w:tcPr>
          <w:p>
            <w:pPr>
              <w:ind w:left="0" w:right="0" w:firstLine="0"/>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射阳县退役军人事务局</w:t>
            </w:r>
            <w:r>
              <w:rPr>
                <w:rFonts w:ascii="Calibri" w:hAnsi="Calibri" w:eastAsia="Calibri" w:cs="Calibri"/>
                <w:color w:val="000000"/>
                <w:sz w:val="24"/>
              </w:rPr>
              <w:t xml:space="preserve">2026-2027</w:t>
            </w:r>
            <w:r>
              <w:rPr>
                <w:rFonts w:ascii="SimSun" w:hAnsi="SimSun" w:eastAsia="SimSun" w:cs="SimSun"/>
                <w:color w:val="000000"/>
                <w:sz w:val="24"/>
              </w:rPr>
              <w:t xml:space="preserve">年度优抚对象及困难企业军转干健康体检合作医院采购项目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6" w:type="dxa"/>
            <w:vAlign w:val="center"/>
            <w:textDirection w:val="lrTb"/>
            <w:noWrap/>
          </w:tcPr>
          <w:p>
            <w:pPr>
              <w:ind w:left="0" w:right="0" w:firstLine="0"/>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both"/>
        <w:spacing w:before="240" w:after="240"/>
        <w:tabs>
          <w:tab w:val="left" w:pos="620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第五章  评标方法与评标标准</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w:t>
      </w:r>
      <w:r>
        <w:rPr>
          <w:rFonts w:ascii="SimSun" w:hAnsi="SimSun" w:eastAsia="SimSun" w:cs="SimSun"/>
          <w:b/>
          <w:color w:val="000000"/>
          <w:sz w:val="24"/>
        </w:rPr>
        <w:t xml:space="preserve">综合评分法</w:t>
      </w:r>
      <w:r>
        <w:rPr>
          <w:rFonts w:ascii="SimSun" w:hAnsi="SimSun" w:eastAsia="SimSun" w:cs="SimSun"/>
          <w:color w:val="000000"/>
          <w:sz w:val="24"/>
        </w:rPr>
        <w:t xml:space="preserve">，评标结果按评审后得分由高到低顺序排列。投标文件满足招标文件全部实质性要求，且按照评审因素的量化指标评审得分最高的投标人为中标候选人。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如总得分相同的，按项目实施方案得分最高的投标供应商确定为本项目的第一中标候选供应商。本项目选取1名中标候选供应商。采购人确定排名第一的中标候选供应商为中标供应商并与其签订合同。</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（1）本项目对小型和微型企业给予20%的价格扣除，用扣除后的价格参与评审。</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（2）投标人需按照招标文件的要求提供相应的《小微企业声明函》。</w:t>
      </w:r>
      <w:r/>
    </w:p>
    <w:p>
      <w:pPr>
        <w:ind w:left="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（1）本项目对残疾人福利性单位视同小型、微型企业，给予20%的价格扣除，用扣除后的价格参与评审。</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120" w:right="0" w:firstLine="36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（1）本项目对监狱和戒毒企业（简称监狱企业）视同小型、微型企业，给予20%的价格扣除，用扣除后的价格参与评审。</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三、评标方法与评标标准</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6"/>
        <w:gridCol w:w="1358"/>
        <w:gridCol w:w="6567"/>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4" w:type="dxa"/>
            <w:vAlign w:val="top"/>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评审项目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top"/>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评审规则</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技术方案</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总体规划方案</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根据投标人针对本项目，结合我县优抚对象的实际情况，制定的总体规划方案进行综合评分。</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1、服务目标与整体规划。方案需涵盖服务周期内的总体目标、阶段性任务、组织架构及全流程管理机制、逻辑闭环。</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2、实施路径与操作思路。服务流程设计需直观易懂（如流程图），关键环节（上门探访、应急处理等）的操作指引明确。</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3、本地化适配与可行性。需结合本县地理特点（城乡差异）、财政预算及现有资源，提出切实可行的落地措施。</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4、采购需求响应度。对招标文件提出的实质性条款、服务指标（如响应时效、覆盖率）必须逐条响应并承诺。</w:t>
            </w:r>
            <w:r/>
          </w:p>
          <w:p>
            <w:pPr>
              <w:ind w:left="0" w:right="0" w:firstLine="376"/>
              <w:spacing w:before="200" w:after="20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方案中有上述内容，方案完整详细、思路清晰明了、对现状有全面深入的了解、符合实际，完全满足采购需求的得8分；每有一项内容缺失的扣2分； 每有一处内容存在缺陷或不满足需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9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体检服务方案</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根据投标人针对本项目参检人员实际情况制定的体检服务方案，包括但不限于医疗护理服务方面的详细计划、服务质量考评情况等进行综合评分。</w:t>
            </w:r>
            <w:r/>
          </w:p>
          <w:p>
            <w:pPr>
              <w:ind w:left="0" w:right="0" w:firstLine="48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方案中有上述内容，方案完整详细、思路清晰明了、对现状有全面深入的了解、符合实际，完全满足采购需求的得6分；每有一项内容缺失的扣3分； 每有一处内容存在缺陷或不满足需求的扣1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应急安全保障方案（4分）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根据投标人针对本项目制定的突发事件应急安全保障方案，包括但不限于人员安全、服务安全、规章制度、服务规范等进行综合评分。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方案中有上述内容，方案完整详细、思路清晰明了、对现状有全面深入的了解、符合实际，完全满足采购需求的得4分；每有一项内容缺失的扣1分； 每有一处内容存在缺陷或不满足需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33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理制度方案</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制定的内部管理制度方案，包括但不限于拟设立的组织架构、人员配备、运营管理、规章制度、档案资料的建立管理、各项基本制度、内部岗位责任制度、管理运作制度、考核制度及标准等进行综合评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方案中有上述内容，方案完整详细、思路清晰明了、对现状有全面深入的了解、符合实际，完全满足采购需求的得10分；每有一项内容缺失的扣1分； 每有一处内容存在缺陷或不满足需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232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数据保</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密方案</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根据投标人针对本项目制定的符合国家法律法规的数据保密方案，包括但不限于人员信息、报告结果等进行综合评分。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方案中有上述内容，方案完整详细、思路清晰明了、对现状有全面深入的了解、符合实际，完全满足采购需求的得4分；每有一项内容缺失的扣2分； 每有一处内容存在缺陷或不满足需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55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合理化建议</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top"/>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根据投标人结合我县优抚对象的现状，对项目实施及未来发展制定的合理化建议，包括但不限于提供刚性服务需求分析、自费服务项目可行性分析等进行综合评分。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方案中有上述内容，方案完整详细、思路清晰明了、对现状有全面深入的了解、符合实际，完全满足采购需求的得4分；每有一项内容缺失的扣2分； 每有一处内容存在缺陷或不满足需求的扣0.5分，扣完为止。(缺陷或不满足指：内容不全面、与实际需求不符、内容不清晰或交叉混乱、套用其他项目方案、有规范性或常识性错误、有逻辑漏洞、存在无关的事项、凭空编造、存在不可能实现的夸大情形等任意一种情形)；未提供方案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综合实力（45分）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实施装备（8分）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0"/>
              <w:jc w:val="both"/>
              <w:spacing w:before="210" w:after="57"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投标人提供的体检设备仪器数量至少有：彩超2台、CT 1台、生化分析仪1台、血细胞分析仪1台、尿液分析仪1台、心电图1台、骨密度检测仪1台。每类设备仪器每提供1台得1分，彩超最高得2分，其它设备仪器最高得1分，每缺少一类扣1分，本项最高8分。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备注：提供购买发票或购买合同彩色扫描件加盖投标人公章。未提供或未按要求提供材料的不得分。</w:t>
            </w:r>
            <w:r/>
          </w:p>
        </w:tc>
      </w:tr>
      <w:tr>
        <w:trPr>
          <w:trHeight w:val="2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实施团队(18分)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1.项目负责人须为本单位职工，具有3年及以上医疗护理经验的得2分，本项最高得2分。</w:t>
            </w:r>
            <w:r/>
          </w:p>
          <w:p>
            <w:pPr>
              <w:ind w:left="0" w:right="0" w:firstLine="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2.项目组成员（不含项目负责人）须为本单位职工：</w:t>
            </w:r>
            <w:r/>
          </w:p>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组成员至少有1名具有内科或外科副高级及以上职称的医师；超声科、放射科至少各有1名具有中级及以上职称的医师；检验科至少有1名具有专业技术职务任职资格的医师或技师。上述四类人员每类每提供一名得2分，每人最多得2分，本项最高得8分。</w:t>
            </w:r>
            <w:r/>
          </w:p>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2.2项目组成员同时具有一名康复医师和一名康复治疗师的得3分，本项最高得3分。</w:t>
            </w:r>
            <w:r/>
          </w:p>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2.3项目组成员每增加一名康复医师的得2分，本项最高得2分；</w:t>
            </w:r>
            <w:r/>
          </w:p>
          <w:p>
            <w:pPr>
              <w:ind w:left="0" w:right="0" w:firstLine="480"/>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2.4项目组成员每增加一名康复治疗师的得1分，本项最高得3分；</w:t>
            </w:r>
            <w:r/>
          </w:p>
          <w:p>
            <w:pPr>
              <w:ind w:left="0" w:right="0" w:firstLine="482"/>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同一人不重复得分，提供项目实施团队人员相关证书彩色扫描件及挂网前1个月投标人为其发放的银行工资流水证明材料彩色扫描件加盖投标人公章；按卫健部门要求,需要进行执业注册的，提供开标前在投标单位连续执业注册时间不少于3个月的注册证明材料加盖投标人公章。未提供或未按要求提供材料的不得分。</w:t>
            </w:r>
            <w:r/>
          </w:p>
        </w:tc>
      </w:tr>
      <w:tr>
        <w:trPr>
          <w:trHeight w:val="3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24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投标人2023年1月1日（以合同签订时间为准）以来承担过区县级行政部门及以上的类似体检项目业绩的，每提供1份得2分，本项最高得6分。</w:t>
            </w:r>
            <w:r/>
          </w:p>
          <w:p>
            <w:pPr>
              <w:ind w:left="0" w:right="0" w:firstLine="47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提供完整合同</w:t>
            </w:r>
            <w:r>
              <w:rPr>
                <w:rFonts w:ascii="SimSun" w:hAnsi="SimSun" w:eastAsia="SimSun" w:cs="SimSun"/>
                <w:b/>
                <w:color w:val="000000"/>
                <w:sz w:val="24"/>
              </w:rPr>
              <w:t xml:space="preserve">（合同内容须清晰可见，不可涂改，否则无效。</w:t>
            </w:r>
            <w:r>
              <w:rPr>
                <w:rFonts w:ascii="SimSun" w:hAnsi="SimSun" w:eastAsia="SimSun" w:cs="SimSun"/>
                <w:b/>
                <w:color w:val="000000"/>
                <w:spacing w:val="-3"/>
                <w:sz w:val="24"/>
              </w:rPr>
              <w:t xml:space="preserve">）证明材料彩色扫描件加盖投标人公章，未提供的不得分。</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42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企业实力（13分）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1、投标人具有主管部门认定体检资质的得3分。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备注：提供相关证明材料彩色扫描件加盖投标人公章，未提供的不得分。</w:t>
            </w:r>
            <w:r/>
          </w:p>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2、投标人自2023年1月1日以来获得区县级及以上行政部门关于开展社会事业服务、医疗服务、体检服务相关表彰的，每项最多得2分，不重复得分，本项最高6分。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获得的表彰相关证明材料彩色扫描件加盖投标人公章；表彰时间须为本项目招标公告发布之日前；同一行政部门不同年份、同类型的表彰只计一次得分，不累计得分。未提供或未按要求提供材料的不得分。</w:t>
            </w:r>
            <w:r/>
          </w:p>
          <w:p>
            <w:pPr>
              <w:ind w:left="0" w:right="0" w:firstLine="48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3、投标人自2023年1月1日以来开展医疗服务过程中被省级主流媒体宣传报道过一次的得4分，市级主流媒体宣传报道过一次的得2分，区县级主流媒体宣传报道过一次的得1分，本项最高得4分。</w:t>
            </w:r>
            <w:r/>
          </w:p>
          <w:p>
            <w:pPr>
              <w:ind w:left="0" w:right="0" w:firstLine="482"/>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相关报道材料截图彩色扫描件及有效的媒体链接。报道材料发布时间须为本项目招标公告发布之日前，且材料能够证明开展医疗服务过程的内容，报道媒体名称并标明媒体级别加盖投标人公章。同一服务过程被不同平台媒体报道过，按报道的最高平台计分，不累计得分。未提供或未按要求提供材料的不得分。</w:t>
            </w:r>
            <w:r/>
          </w:p>
        </w:tc>
      </w:tr>
      <w:tr>
        <w:trPr>
          <w:trHeight w:val="1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体检服务管理</w:t>
            </w:r>
            <w:r/>
          </w:p>
          <w:p>
            <w:pPr>
              <w:ind w:left="0" w:right="0" w:firstLine="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240"/>
              <w:jc w:val="both"/>
              <w:spacing w:before="21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能够提供专业的体检服务管理，安装部署在采购人指定设备上，便于采购人实时查询监督体检的服务情况。功能须包括档案建立、登记接待、报告录入/导入、体检数据异常报警、各类报表的生成/浏览/打印、多种模式的数据查询统计、数据持久性存储、人员权限、分级查询等的得6分。</w:t>
            </w:r>
            <w:r>
              <w:rPr>
                <w:rFonts w:ascii="SimSun" w:hAnsi="SimSun" w:eastAsia="SimSun" w:cs="SimSun"/>
                <w:b/>
                <w:color w:val="000000"/>
                <w:sz w:val="24"/>
              </w:rPr>
              <w:t xml:space="preserve">（提供体检管理UI截图和购买合同或开发合同书彩色扫描件，提供的证明材料须完整且无涂改，未提供或提供不全的不得分。）</w:t>
            </w:r>
            <w:r>
              <w:rPr>
                <w:rFonts w:ascii="SimSun" w:hAnsi="SimSun" w:eastAsia="SimSun" w:cs="SimSun"/>
                <w:color w:val="000000"/>
                <w:sz w:val="24"/>
              </w:rPr>
              <w:t xml:space="preserve">投标人承诺在签订中标合同后30日内安装部署完成并确保正常使用体检服务管理的得3分。</w:t>
            </w:r>
            <w:r>
              <w:rPr>
                <w:rFonts w:ascii="SimSun" w:hAnsi="SimSun" w:eastAsia="SimSun" w:cs="SimSun"/>
                <w:b/>
                <w:color w:val="000000"/>
                <w:sz w:val="24"/>
              </w:rPr>
              <w:t xml:space="preserve">（承诺函格式自拟，加盖投标人公章。）</w:t>
            </w:r>
            <w:r/>
          </w:p>
        </w:tc>
      </w:tr>
      <w:tr>
        <w:trPr>
          <w:trHeight w:val="11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拥军服务保障</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1、投标人被行政部门认定为优抚定点医院的得3分。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备注：提供相关证明材料彩色扫描件加盖投标人公章，未提供的不得分。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2、专门拥军服务窗口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投标人设有独立或醒目的“退役军人优先”服务窗口（站点），提供体检登记、咨询、引导等一站式服务的得2分。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备注：提供工作场所照片及功能说明加盖投标人公章，未设置或设施不全不得分。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3、专人引导服务体检对象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投标人配备专职人员（穿明显标识服装或佩戴工牌）全程引导退役军人体检流程的得1分。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备注：提供人员名单、岗位职责及培训记录，未配备或未提供证明的不得分。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4、退役军人服务休息专区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投标人设置独立休息区，配备座椅、饮水、军旅文化宣传（如英模画像、荣誉墙等）的得1分。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备注：提供区域实景照片及设施清单，未设置或设施不全的不得分。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5、拥军病房设置（≥2间）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投标人设置不少于2间拥军病房，具备军旅元素装饰（如军绿色主题、部队标语、荣誉展板等），提供优先入住保障的得2分；1间符合以上条件的得1分。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备注：提供病房照片、数量证明，未提供或提供不全的不得分。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6、绿色通道与接续服务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投标人在体检流程中设置退役军人优先通道，缩短等候时间；体检发现疾病需门诊治疗时，退役军人凭体检报告减免门诊挂号费的得2分。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备注：提供相关证明材料、流程示意图以及优先和减免服务方案；未提供或流程不合理的不得分。</w:t>
            </w:r>
            <w:r/>
          </w:p>
        </w:tc>
      </w:tr>
      <w:tr>
        <w:trPr>
          <w:trHeight w:val="1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7"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7、个性化服务与长效机制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退役军人中老年群体体检专属服务（包含但不限于：乡镇预约并定点集中接送服务、健康咨询电话服务专线等）；建立拥军服务管理制度（含专人负责、巡查抽查、定期培训、投诉反馈机制等）的得2分。</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备注：提供方案文件及实施证明，未提供或未建立机制不得分。</w:t>
            </w:r>
            <w:r/>
          </w:p>
        </w:tc>
      </w:tr>
    </w:tbl>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有权在规定的时间内（中标公示或质疑期间及其他采购人明确要求的时间内）对中标人或其他投标人提供的与采购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3、评分中涉及相关证明材料均应在有效期内</w:t>
      </w:r>
      <w:r>
        <w:rPr>
          <w:rFonts w:ascii="SimSun" w:hAnsi="SimSun" w:eastAsia="SimSun" w:cs="SimSun"/>
          <w:b/>
          <w:color w:val="000000"/>
          <w:sz w:val="24"/>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第六章  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二、上一年度的财务状况报表（至少提供资产负债表、利润表、现金流量表，投标人成立不满一年无需提供）；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三、具备履行合同所必需的设备和专业技术能力的书面声明；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六、单位负责人为同一人或者存在直接控股、服务关系的不同投标人，不得参加同一合同项下的政府采购活动。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七、特定资格要求的证明文件（如果本项目设置特定资格要求，则需要提供）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八、法人授权书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九、投标函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十二、资格性审查响应对照表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w:t>
      </w:r>
      <w:r>
        <w:rPr>
          <w:rFonts w:ascii="SimSun" w:hAnsi="SimSun" w:eastAsia="SimSun" w:cs="SimSun"/>
          <w:i/>
          <w:color w:val="000000"/>
          <w:sz w:val="24"/>
        </w:rPr>
        <w:t xml:space="preserve">符合性检查响应对照表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十五、技术方案、服务承诺、培训承诺等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六、单位负责人为同一人或者存在直接控股、服务关系的不同投标人，不得参加同一合同项下的政府采购活动。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我单位不存在：单位负责人为同一人或者存在直接控股、服务关系的不同投标人，同时参加同一合同项下的政府采购活动。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投标人须具备一级及以上医疗资质的医院。</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（投标人名称）   </w:t>
      </w:r>
      <w:r>
        <w:rPr>
          <w:rFonts w:ascii="SimSun" w:hAnsi="SimSun" w:eastAsia="SimSun" w:cs="SimSun"/>
          <w:color w:val="000000"/>
          <w:sz w:val="24"/>
        </w:rPr>
        <w:t xml:space="preserve">授权</w:t>
      </w:r>
      <w:r>
        <w:rPr>
          <w:rFonts w:ascii="Times New Roman" w:hAnsi="Times New Roman" w:eastAsia="Times New Roman" w:cs="Times New Roman"/>
          <w:color w:val="000000"/>
          <w:sz w:val="24"/>
        </w:rPr>
        <w:t xml:space="preserve">____</w:t>
      </w:r>
      <w:r>
        <w:rPr>
          <w:rFonts w:ascii="SimSun" w:hAnsi="SimSun" w:eastAsia="SimSun" w:cs="SimSun"/>
          <w:color w:val="000000"/>
          <w:sz w:val="24"/>
          <w:u w:val="single"/>
        </w:rPr>
        <w:t xml:space="preserve">（被授权人的姓名）   </w:t>
      </w:r>
      <w:r>
        <w:rPr>
          <w:rFonts w:ascii="SimSun" w:hAnsi="SimSun" w:eastAsia="SimSun" w:cs="SimSun"/>
          <w:color w:val="000000"/>
          <w:sz w:val="24"/>
        </w:rPr>
        <w:t xml:space="preserve">为我方就</w:t>
      </w:r>
      <w:r>
        <w:rPr>
          <w:rFonts w:ascii="Times New Roman" w:hAnsi="Times New Roman" w:eastAsia="Times New Roman" w:cs="Times New Roman"/>
          <w:color w:val="000000"/>
          <w:sz w:val="24"/>
          <w:u w:val="single"/>
        </w:rPr>
        <w:t xml:space="preserve">JSZC-320924-SYHY-G2026-0007</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致：射阳县退役军人事务局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JSZC-320924-SYHY-G2026-0007</w:t>
      </w:r>
      <w:r>
        <w:rPr>
          <w:rFonts w:ascii="SimSun" w:hAnsi="SimSun" w:eastAsia="SimSun" w:cs="SimSun"/>
          <w:color w:val="000000"/>
          <w:sz w:val="24"/>
        </w:rPr>
        <w:t xml:space="preserve">号招标文件，正式授权下述签字人</w:t>
      </w:r>
      <w:r>
        <w:rPr>
          <w:rFonts w:ascii="SimSun" w:hAnsi="SimSun" w:eastAsia="SimSun" w:cs="SimSun"/>
          <w:color w:val="000000"/>
          <w:sz w:val="24"/>
          <w:u w:val="single"/>
        </w:rPr>
        <w:t xml:space="preserve">(姓名)</w:t>
      </w:r>
      <w:r>
        <w:rPr>
          <w:rFonts w:ascii="SimSun" w:hAnsi="SimSun" w:eastAsia="SimSun" w:cs="SimSun"/>
          <w:color w:val="000000"/>
          <w:sz w:val="24"/>
        </w:rPr>
        <w:t xml:space="preserve">代表我方</w:t>
      </w:r>
      <w:r>
        <w:rPr>
          <w:rFonts w:ascii="SimSun" w:hAnsi="SimSun" w:eastAsia="SimSun" w:cs="SimSun"/>
          <w:color w:val="000000"/>
          <w:sz w:val="24"/>
          <w:u w:val="single"/>
        </w:rPr>
        <w:t xml:space="preserve">   （投标人的名称）  </w:t>
      </w:r>
      <w:r>
        <w:rPr>
          <w:rFonts w:ascii="SimSun" w:hAnsi="SimSun" w:eastAsia="SimSun" w:cs="SimSun"/>
          <w:color w:val="000000"/>
          <w:sz w:val="24"/>
        </w:rPr>
        <w:t xml:space="preserve">，全权处理本次项目投标的有关事宜。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十、中小企业声明函（服务）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 </w:t>
      </w:r>
      <w:r>
        <w:rPr>
          <w:rFonts w:ascii="SimSun" w:hAnsi="SimSun" w:eastAsia="SimSun" w:cs="SimSun"/>
          <w:color w:val="000000"/>
          <w:sz w:val="24"/>
        </w:rPr>
        <w:t xml:space="preserve">号）的规定，本公司参加</w:t>
      </w:r>
      <w:r>
        <w:rPr>
          <w:rFonts w:ascii="SimSun" w:hAnsi="SimSun" w:eastAsia="SimSun" w:cs="SimSun"/>
          <w:color w:val="000000"/>
          <w:sz w:val="24"/>
          <w:u w:val="single"/>
        </w:rPr>
        <w:t xml:space="preserve">射阳宏远财会服务有限公司</w:t>
      </w:r>
      <w:r>
        <w:rPr>
          <w:rFonts w:ascii="SimSun" w:hAnsi="SimSun" w:eastAsia="SimSun" w:cs="SimSun"/>
          <w:color w:val="000000"/>
          <w:sz w:val="24"/>
        </w:rPr>
        <w:t xml:space="preserve">组织的</w:t>
      </w:r>
      <w:r>
        <w:rPr>
          <w:rFonts w:ascii="SimSun" w:hAnsi="SimSun" w:eastAsia="SimSun" w:cs="SimSun"/>
          <w:color w:val="000000"/>
          <w:sz w:val="24"/>
          <w:u w:val="single"/>
        </w:rPr>
        <w:t xml:space="preserve">射阳县退役军人事务局</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JSZC-320924-SYHY-G2026-0007</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射阳县退役军人事务局2026-2027年度优抚对象及困难企业军转干健康体检合作医院采购项目</w:t>
      </w:r>
      <w:r>
        <w:rPr>
          <w:rFonts w:ascii="SimSun" w:hAnsi="SimSun" w:eastAsia="SimSun" w:cs="SimSun"/>
          <w:color w:val="000000"/>
          <w:sz w:val="24"/>
        </w:rPr>
        <w:t xml:space="preserve">的采购活动，服务全部由符合政策要求的中小企业承接。相关企业的具体情况如下：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射阳县退役军人事务局2026-2027年度优抚对象及困难企业军转干健康体检合作医院采购项目</w:t>
      </w:r>
      <w:r>
        <w:rPr>
          <w:rFonts w:ascii="SimSun" w:hAnsi="SimSun" w:eastAsia="SimSun" w:cs="SimSun"/>
          <w:color w:val="000000"/>
          <w:sz w:val="24"/>
        </w:rPr>
        <w:t xml:space="preserve"> ，属于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64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十一、残疾人福利性单位声明函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SimSun" w:hAnsi="SimSun" w:eastAsia="SimSun" w:cs="SimSun"/>
          <w:color w:val="000000"/>
          <w:sz w:val="24"/>
          <w:u w:val="single"/>
        </w:rPr>
        <w:t xml:space="preserve">射阳县退役军人事务局</w:t>
      </w:r>
      <w:r>
        <w:rPr>
          <w:rFonts w:ascii="SimSun" w:hAnsi="SimSun" w:eastAsia="SimSun" w:cs="SimSun"/>
          <w:color w:val="000000"/>
          <w:sz w:val="24"/>
        </w:rPr>
        <w:t xml:space="preserve">单位的采购文件编号为</w:t>
      </w:r>
      <w:r>
        <w:rPr>
          <w:rFonts w:ascii="SimSun" w:hAnsi="SimSun" w:eastAsia="SimSun" w:cs="SimSun"/>
          <w:color w:val="000000"/>
          <w:sz w:val="24"/>
          <w:u w:val="single"/>
        </w:rPr>
        <w:t xml:space="preserve">JSZC-320924-SYHY-G2026-0007</w:t>
      </w:r>
      <w:r>
        <w:rPr>
          <w:rFonts w:ascii="SimSun" w:hAnsi="SimSun" w:eastAsia="SimSun" w:cs="SimSun"/>
          <w:color w:val="000000"/>
          <w:sz w:val="24"/>
        </w:rPr>
        <w:t xml:space="preserve">的</w:t>
      </w:r>
      <w:r>
        <w:rPr>
          <w:rFonts w:ascii="SimSun" w:hAnsi="SimSun" w:eastAsia="SimSun" w:cs="SimSun"/>
          <w:color w:val="000000"/>
          <w:sz w:val="24"/>
          <w:u w:val="single"/>
        </w:rPr>
        <w:t xml:space="preserve">射阳县退役军人事务局2026-2027年度优抚对象及困难企业军转干健康体检合作医院采购项目</w:t>
      </w:r>
      <w:r>
        <w:rPr>
          <w:rFonts w:ascii="SimSun" w:hAnsi="SimSun" w:eastAsia="SimSun" w:cs="SimSun"/>
          <w:color w:val="000000"/>
          <w:sz w:val="24"/>
        </w:rPr>
        <w:t xml:space="preserve">项目采购活动由本单位提供服务。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投标人全称（加盖CA电子公章）：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十二、资格性审查响应对照表</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4764"/>
        <w:gridCol w:w="1648"/>
        <w:gridCol w:w="159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上一年度的财务状况报表（至少提供资产负债表、利润表、现金流量表，投标人成立不满一年无需提供）；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具备履行合同所必需的设备和专业技术能力的书面声明；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 3 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投标人须具备一级及以上医疗资质的医院。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注：本表须明确填写并按招标文件要求提供材料，否则资格性检查无法通过。</w:t>
      </w:r>
      <w:r/>
    </w:p>
    <w:p>
      <w:pPr>
        <w:ind w:left="0" w:right="0" w:firstLine="3780"/>
        <w:jc w:val="both"/>
        <w:spacing w:before="0" w:after="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投标人全称（加盖CA电子公章）：</w:t>
      </w:r>
      <w:r/>
    </w:p>
    <w:p>
      <w:pPr>
        <w:ind w:left="0" w:right="1560" w:firstLine="0"/>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46"/>
        <w:ind w:left="0" w:right="0" w:firstLine="0"/>
        <w:jc w:val="center"/>
        <w:spacing w:before="100" w:after="100"/>
        <w:tabs>
          <w:tab w:val="left" w:pos="851"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rPr>
        <w:t xml:space="preserve">十三、</w:t>
      </w:r>
      <w:r>
        <w:rPr>
          <w:rFonts w:ascii="SimHei" w:hAnsi="SimHei" w:eastAsia="SimHei" w:cs="SimHei"/>
          <w:b/>
          <w:i/>
          <w:color w:val="000000"/>
          <w:sz w:val="32"/>
          <w:u w:val="single"/>
        </w:rPr>
        <w:t xml:space="preserve">符合性检查响应对照表</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4161"/>
        <w:gridCol w:w="1898"/>
        <w:gridCol w:w="181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投标文件中的</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页码位置</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实质性响应内容（附件</w:t>
            </w:r>
            <w:r>
              <w:rPr>
                <w:rFonts w:ascii="Calibri" w:hAnsi="Calibri" w:eastAsia="Calibri" w:cs="Calibri"/>
                <w:color w:val="000000"/>
                <w:sz w:val="24"/>
              </w:rPr>
              <w:t xml:space="preserve">1</w:t>
            </w: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center"/>
            <w:textDirection w:val="lrTb"/>
            <w:noWrap w:val="false"/>
          </w:tcPr>
          <w:p>
            <w:pPr>
              <w:ind w:left="0" w:right="0" w:firstLine="0"/>
              <w:jc w:val="both"/>
              <w:spacing w:before="0" w:after="0" w:line="59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注：本表须明确填写并按招标文件要求提供材料，否则符合性检查无法通过。</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投标人全称（加盖CA电子公章）：</w:t>
      </w:r>
      <w:r/>
    </w:p>
    <w:p>
      <w:pPr>
        <w:ind w:left="0" w:right="1560" w:firstLine="480"/>
        <w:jc w:val="right"/>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pStyle w:val="645"/>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rPr>
          <w:rFonts w:ascii="KaiTi" w:hAnsi="KaiTi" w:eastAsia="KaiTi" w:cs="KaiTi"/>
          <w:b/>
          <w:color w:val="000000"/>
          <w:sz w:val="32"/>
        </w:rPr>
        <w:t xml:space="preserve">1</w:t>
      </w:r>
      <w:r>
        <w:rPr>
          <w:rFonts w:ascii="SimSun" w:hAnsi="SimSun" w:eastAsia="SimSun" w:cs="SimSun"/>
          <w:b/>
          <w:color w:val="000000"/>
          <w:sz w:val="32"/>
        </w:rPr>
        <w:t xml:space="preserve">、            </w:t>
      </w:r>
      <w:r/>
    </w:p>
    <w:p>
      <w:pPr>
        <w:pStyle w:val="645"/>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实质性响应内容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我公司承诺响应招标文件采购需求中的全部内容。</w:t>
      </w:r>
      <w:r/>
    </w:p>
    <w:p>
      <w:pPr>
        <w:ind w:left="0" w:right="0" w:firstLine="30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0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0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投标人全称（加盖</w:t>
      </w:r>
      <w:r>
        <w:rPr>
          <w:rFonts w:ascii="Calibri" w:hAnsi="Calibri" w:eastAsia="Calibri" w:cs="Calibri"/>
          <w:color w:val="000000"/>
          <w:sz w:val="28"/>
        </w:rPr>
        <w:t xml:space="preserve">CA</w:t>
      </w:r>
      <w:r>
        <w:rPr>
          <w:rFonts w:ascii="SimSun" w:hAnsi="SimSun" w:eastAsia="SimSun" w:cs="SimSun"/>
          <w:color w:val="000000"/>
          <w:sz w:val="28"/>
        </w:rPr>
        <w:t xml:space="preserve">电子公章）：</w:t>
      </w:r>
      <w:r/>
    </w:p>
    <w:p>
      <w:pPr>
        <w:ind w:left="256" w:right="0" w:firstLine="4746"/>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十四、开标一览表</w:t>
      </w:r>
      <w:r/>
    </w:p>
    <w:tbl>
      <w:tblPr>
        <w:tblStyle w:val="66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2"/>
        <w:gridCol w:w="7403"/>
      </w:tblGrid>
      <w:tr>
        <w:trPr>
          <w:trHeight w:val="7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3"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JSZC-320924-SYHY-G2026-0007</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射阳县退役军人事务局</w:t>
            </w:r>
            <w:r>
              <w:rPr>
                <w:rFonts w:ascii="Calibri" w:hAnsi="Calibri" w:eastAsia="Calibri" w:cs="Calibri"/>
                <w:color w:val="000000"/>
                <w:sz w:val="24"/>
              </w:rPr>
              <w:t xml:space="preserve">2026-2027</w:t>
            </w:r>
            <w:r>
              <w:rPr>
                <w:rFonts w:ascii="SimSun" w:hAnsi="SimSun" w:eastAsia="SimSun" w:cs="SimSun"/>
                <w:color w:val="000000"/>
                <w:sz w:val="24"/>
              </w:rPr>
              <w:t xml:space="preserve">年度优抚对象及困难企业军转干健康体检合作医院采购项目</w:t>
            </w:r>
            <w:r/>
          </w:p>
        </w:tc>
      </w:tr>
      <w:tr>
        <w:trPr>
          <w:trHeight w:val="11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固定单价（大写）： </w:t>
            </w:r>
            <w:r>
              <w:rPr>
                <w:rFonts w:ascii="SimSun" w:hAnsi="SimSun" w:eastAsia="SimSun" w:cs="SimSun"/>
                <w:color w:val="000000"/>
                <w:sz w:val="24"/>
                <w:u w:val="single"/>
              </w:rPr>
              <w:t xml:space="preserve">叁佰陆拾</w:t>
            </w:r>
            <w:r>
              <w:rPr>
                <w:rFonts w:ascii="SimSun" w:hAnsi="SimSun" w:eastAsia="SimSun" w:cs="SimSun"/>
                <w:color w:val="000000"/>
                <w:sz w:val="24"/>
              </w:rPr>
              <w:t xml:space="preserve">元/次，小写：</w:t>
            </w:r>
            <w:r>
              <w:rPr>
                <w:rFonts w:ascii="SimSun" w:hAnsi="SimSun" w:eastAsia="SimSun" w:cs="SimSun"/>
                <w:color w:val="000000"/>
                <w:sz w:val="24"/>
                <w:u w:val="single"/>
              </w:rPr>
              <w:t xml:space="preserve">360.00</w:t>
            </w:r>
            <w:r>
              <w:rPr>
                <w:rFonts w:ascii="SimSun" w:hAnsi="SimSun" w:eastAsia="SimSun" w:cs="SimSun"/>
                <w:color w:val="000000"/>
                <w:sz w:val="24"/>
              </w:rPr>
              <w:t xml:space="preserve">元/次 </w:t>
            </w:r>
            <w:r>
              <w:rPr>
                <w:rFonts w:ascii="Calibri" w:hAnsi="Calibri" w:eastAsia="Calibri" w:cs="Calibri"/>
                <w:color w:val="000000"/>
                <w:sz w:val="24"/>
              </w:rPr>
              <w:t xml:space="preserve">   </w:t>
            </w:r>
            <w:r/>
          </w:p>
        </w:tc>
      </w:tr>
      <w:tr>
        <w:trPr>
          <w:trHeight w:val="79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合同履约期限：合同期2年，自签订合同之日起至2027年12月31日。</w:t>
            </w:r>
            <w:r/>
          </w:p>
        </w:tc>
      </w:tr>
      <w:tr>
        <w:trPr>
          <w:trHeight w:val="7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 </w:t>
            </w:r>
            <w:r>
              <w:rPr>
                <w:rFonts w:ascii="Calibri" w:hAnsi="Calibri" w:eastAsia="Calibri" w:cs="Calibri"/>
                <w:color w:val="000000"/>
                <w:sz w:val="24"/>
              </w:rPr>
              <w:t xml:space="preserve">    </w:t>
            </w:r>
            <w:r>
              <w:rPr>
                <w:rFonts w:ascii="SimSun" w:hAnsi="SimSun" w:eastAsia="SimSun" w:cs="SimSun"/>
                <w:color w:val="000000"/>
                <w:sz w:val="24"/>
              </w:rPr>
              <w:t xml:space="preserve">□是 </w:t>
            </w:r>
            <w:r>
              <w:rPr>
                <w:rFonts w:ascii="Calibri" w:hAnsi="Calibri" w:eastAsia="Calibri" w:cs="Calibri"/>
                <w:color w:val="000000"/>
                <w:sz w:val="24"/>
              </w:rPr>
              <w:t xml:space="preserve">     </w:t>
            </w:r>
            <w:r>
              <w:rPr>
                <w:rFonts w:ascii="SimSun" w:hAnsi="SimSun" w:eastAsia="SimSun" w:cs="SimSun"/>
                <w:color w:val="000000"/>
                <w:sz w:val="24"/>
              </w:rPr>
              <w:t xml:space="preserve">□否 </w:t>
            </w:r>
            <w:r>
              <w:rPr>
                <w:rFonts w:ascii="Calibri" w:hAnsi="Calibri" w:eastAsia="Calibri" w:cs="Calibri"/>
                <w:color w:val="000000"/>
                <w:sz w:val="24"/>
              </w:rPr>
              <w:t xml:space="preserve">        </w:t>
            </w:r>
            <w:r>
              <w:rPr>
                <w:rFonts w:ascii="SimSun" w:hAnsi="SimSun" w:eastAsia="SimSun" w:cs="SimSun"/>
                <w:color w:val="000000"/>
                <w:sz w:val="24"/>
              </w:rPr>
              <w:t xml:space="preserve">详见 </w:t>
            </w:r>
            <w:r>
              <w:rPr>
                <w:rFonts w:ascii="Calibri" w:hAnsi="Calibri" w:eastAsia="Calibri" w:cs="Calibri"/>
                <w:color w:val="000000"/>
                <w:sz w:val="24"/>
              </w:rPr>
              <w:t xml:space="preserve">     </w:t>
            </w:r>
            <w:r>
              <w:rPr>
                <w:rFonts w:ascii="SimSun" w:hAnsi="SimSun" w:eastAsia="SimSun" w:cs="SimSun"/>
                <w:color w:val="000000"/>
                <w:sz w:val="24"/>
              </w:rPr>
              <w:t xml:space="preserve">页 《中小企业声明函》</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投标人全称（加盖CA电子签章）：</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1417"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十五、技术方案、服务承诺、培训承诺等</w:t>
      </w:r>
      <w:r/>
    </w:p>
    <w:p>
      <w:pPr>
        <w:ind w:left="0" w:right="0" w:firstLine="0"/>
        <w:jc w:val="both"/>
        <w:spacing w:before="240" w:after="240"/>
        <w:tabs>
          <w:tab w:val="left" w:pos="2160" w:leader="none"/>
        </w:tabs>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20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8"/>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FangSong">
    <w:panose1 w:val="02010609060101010101"/>
  </w:font>
  <w:font w:name="SimHei">
    <w:panose1 w:val="02010609060101010101"/>
  </w:font>
  <w:font w:name="Calibri">
    <w:panose1 w:val="020F0502020204030204"/>
  </w:font>
  <w:font w:name="仿宋_GB2312">
    <w:panose1 w:val="02010609060101010101"/>
  </w:font>
  <w:font w:name="黑体">
    <w:panose1 w:val="02010609060101010101"/>
  </w:font>
  <w:font w:name="等线">
    <w:panose1 w:val="02010600030101010101"/>
  </w:font>
  <w:font w:name="仿宋">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tabs>
        <w:tab w:val="clear" w:pos="4153" w:leader="none"/>
        <w:tab w:val="left" w:pos="4288" w:leader="none"/>
      </w:tabs>
      <w:rPr>
        <w:rFonts w:hint="eastAsia" w:eastAsiaTheme="minor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9"/>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7"/>
    <w:link w:val="645"/>
    <w:uiPriority w:val="9"/>
    <w:rPr>
      <w:rFonts w:ascii="Arial" w:hAnsi="Arial" w:eastAsia="Arial" w:cs="Arial"/>
      <w:sz w:val="40"/>
      <w:szCs w:val="40"/>
    </w:rPr>
  </w:style>
  <w:style w:type="character" w:styleId="15">
    <w:name w:val="Heading 2 Char"/>
    <w:basedOn w:val="647"/>
    <w:link w:val="646"/>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7"/>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60"/>
    <w:uiPriority w:val="99"/>
  </w:style>
  <w:style w:type="character" w:styleId="44">
    <w:name w:val="Footer Char"/>
    <w:basedOn w:val="647"/>
    <w:link w:val="659"/>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659"/>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4"/>
    <w:next w:val="644"/>
    <w:uiPriority w:val="39"/>
    <w:unhideWhenUsed/>
    <w:pPr>
      <w:ind w:left="0" w:right="0" w:firstLine="0"/>
      <w:spacing w:after="57"/>
    </w:p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5">
    <w:name w:val="Heading 1"/>
    <w:basedOn w:val="644"/>
    <w:next w:val="644"/>
    <w:uiPriority w:val="0"/>
    <w:qFormat/>
    <w:pPr>
      <w:jc w:val="center"/>
      <w:keepNext/>
      <w:outlineLvl w:val="0"/>
    </w:pPr>
    <w:rPr>
      <w:rFonts w:ascii="楷体_GB2312" w:eastAsia="楷体_GB2312"/>
      <w:szCs w:val="28"/>
    </w:rPr>
  </w:style>
  <w:style w:type="paragraph" w:styleId="646">
    <w:name w:val="Heading 2"/>
    <w:basedOn w:val="644"/>
    <w:next w:val="64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Normal Indent"/>
    <w:basedOn w:val="644"/>
    <w:uiPriority w:val="0"/>
    <w:qFormat/>
    <w:pPr>
      <w:ind w:firstLine="420"/>
    </w:pPr>
    <w:rPr>
      <w:rFonts w:ascii="Times New Roman" w:eastAsia="宋体"/>
      <w:szCs w:val="20"/>
    </w:rPr>
  </w:style>
  <w:style w:type="paragraph" w:styleId="650">
    <w:name w:val="annotation text"/>
    <w:basedOn w:val="644"/>
    <w:uiPriority w:val="0"/>
    <w:qFormat/>
    <w:pPr>
      <w:jc w:val="left"/>
    </w:pPr>
  </w:style>
  <w:style w:type="paragraph" w:styleId="651">
    <w:name w:val="Body Text"/>
    <w:basedOn w:val="644"/>
    <w:next w:val="652"/>
    <w:uiPriority w:val="0"/>
    <w:semiHidden/>
    <w:qFormat/>
    <w:rPr>
      <w:rFonts w:ascii="仿宋" w:hAnsi="仿宋" w:eastAsia="仿宋" w:cs="仿宋"/>
      <w:sz w:val="31"/>
      <w:szCs w:val="31"/>
      <w:lang w:val="en-US" w:eastAsia="en-US" w:bidi="ar-SA"/>
    </w:rPr>
  </w:style>
  <w:style w:type="paragraph" w:styleId="652" w:customStyle="1">
    <w:name w:val="一级条标题"/>
    <w:basedOn w:val="653"/>
    <w:next w:val="6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53" w:customStyle="1">
    <w:name w:val="章标题"/>
    <w:next w:val="6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654" w:customStyle="1">
    <w:name w:val="段"/>
    <w:next w:val="655"/>
    <w:uiPriority w:val="0"/>
    <w:qFormat/>
    <w:pPr>
      <w:ind w:firstLine="200"/>
      <w:jc w:val="both"/>
      <w:widowControl w:val="off"/>
    </w:pPr>
    <w:rPr>
      <w:rFonts w:hint="default" w:ascii="宋体" w:hAnsi="宋体" w:eastAsia="宋体" w:cs="宋体"/>
      <w:color w:val="000000"/>
      <w:sz w:val="21"/>
      <w:szCs w:val="21"/>
    </w:rPr>
  </w:style>
  <w:style w:type="paragraph" w:styleId="655" w:customStyle="1">
    <w:name w:val="正文 A"/>
    <w:next w:val="654"/>
    <w:uiPriority w:val="0"/>
    <w:qFormat/>
    <w:pPr>
      <w:jc w:val="both"/>
      <w:widowControl w:val="off"/>
    </w:pPr>
    <w:rPr>
      <w:rFonts w:hint="default" w:ascii="Calibri" w:hAnsi="Calibri" w:eastAsia="Calibri" w:cs="Calibri"/>
      <w:color w:val="000000"/>
      <w:sz w:val="21"/>
      <w:szCs w:val="21"/>
    </w:rPr>
  </w:style>
  <w:style w:type="paragraph" w:styleId="656">
    <w:name w:val="Body Text Indent"/>
    <w:basedOn w:val="644"/>
    <w:next w:val="657"/>
    <w:uiPriority w:val="0"/>
    <w:unhideWhenUsed/>
    <w:qFormat/>
    <w:pPr>
      <w:ind w:left="420"/>
      <w:spacing w:after="120"/>
    </w:pPr>
  </w:style>
  <w:style w:type="paragraph" w:styleId="657">
    <w:name w:val="envelope return"/>
    <w:basedOn w:val="644"/>
    <w:uiPriority w:val="0"/>
    <w:qFormat/>
    <w:rPr>
      <w:rFonts w:ascii="Arial" w:hAnsi="Arial"/>
    </w:rPr>
  </w:style>
  <w:style w:type="paragraph" w:styleId="658">
    <w:name w:val="Block Text"/>
    <w:basedOn w:val="644"/>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9">
    <w:name w:val="Footer"/>
    <w:basedOn w:val="644"/>
    <w:link w:val="668"/>
    <w:uiPriority w:val="0"/>
    <w:qFormat/>
    <w:pPr>
      <w:jc w:val="left"/>
      <w:tabs>
        <w:tab w:val="center" w:pos="4153" w:leader="none"/>
        <w:tab w:val="right" w:pos="8306" w:leader="none"/>
      </w:tabs>
    </w:pPr>
    <w:rPr>
      <w:sz w:val="18"/>
      <w:szCs w:val="18"/>
    </w:rPr>
  </w:style>
  <w:style w:type="paragraph" w:styleId="660">
    <w:name w:val="Header"/>
    <w:basedOn w:val="644"/>
    <w:link w:val="667"/>
    <w:uiPriority w:val="0"/>
    <w:qFormat/>
    <w:pPr>
      <w:jc w:val="center"/>
      <w:tabs>
        <w:tab w:val="center" w:pos="4153" w:leader="none"/>
        <w:tab w:val="right" w:pos="8306" w:leader="none"/>
      </w:tabs>
      <w:pBdr>
        <w:bottom w:val="single" w:color="auto" w:sz="6" w:space="1"/>
      </w:pBdr>
    </w:pPr>
    <w:rPr>
      <w:sz w:val="18"/>
      <w:szCs w:val="18"/>
    </w:rPr>
  </w:style>
  <w:style w:type="paragraph" w:styleId="661">
    <w:name w:val="toc 6"/>
    <w:basedOn w:val="644"/>
    <w:next w:val="644"/>
    <w:uiPriority w:val="39"/>
    <w:unhideWhenUsed/>
    <w:qFormat/>
    <w:pPr>
      <w:ind w:left="1417"/>
      <w:spacing w:after="57"/>
    </w:pPr>
  </w:style>
  <w:style w:type="paragraph" w:styleId="662">
    <w:name w:val="Normal (Web)"/>
    <w:basedOn w:val="644"/>
    <w:uiPriority w:val="0"/>
    <w:qFormat/>
    <w:pPr>
      <w:jc w:val="left"/>
      <w:spacing w:beforeAutospacing="1" w:afterAutospacing="1"/>
    </w:pPr>
    <w:rPr>
      <w:rFonts w:cs="Times New Roman"/>
      <w:sz w:val="24"/>
    </w:rPr>
  </w:style>
  <w:style w:type="paragraph" w:styleId="663">
    <w:name w:val="Body Text First Indent"/>
    <w:basedOn w:val="644"/>
    <w:next w:val="661"/>
    <w:uiPriority w:val="0"/>
    <w:qFormat/>
    <w:pPr>
      <w:ind w:firstLine="200"/>
      <w:spacing w:line="360" w:lineRule="auto"/>
    </w:pPr>
    <w:rPr>
      <w:rFonts w:ascii="仿宋_GB2312" w:hAnsi="Times New Roman" w:eastAsia="仿宋_GB2312"/>
      <w:sz w:val="30"/>
      <w:szCs w:val="30"/>
    </w:rPr>
  </w:style>
  <w:style w:type="table" w:styleId="664">
    <w:name w:val="Table Grid"/>
    <w:basedOn w:val="648"/>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5">
    <w:name w:val="Emphasis"/>
    <w:uiPriority w:val="0"/>
    <w:qFormat/>
    <w:rPr>
      <w:i/>
    </w:rPr>
  </w:style>
  <w:style w:type="paragraph" w:styleId="666" w:customStyle="1">
    <w:name w:val="Default"/>
    <w:basedOn w:val="644"/>
    <w:uiPriority w:val="0"/>
    <w:semiHidden/>
    <w:qFormat/>
    <w:pPr>
      <w:jc w:val="left"/>
    </w:pPr>
    <w:rPr>
      <w:rFonts w:ascii="宋体" w:hAnsi="Calibri" w:cs="宋体"/>
      <w:color w:val="000000"/>
      <w:sz w:val="24"/>
    </w:rPr>
  </w:style>
  <w:style w:type="character" w:styleId="667" w:customStyle="1">
    <w:name w:val="页眉 Char"/>
    <w:basedOn w:val="647"/>
    <w:link w:val="660"/>
    <w:uiPriority w:val="0"/>
    <w:qFormat/>
    <w:rPr>
      <w:rFonts w:asciiTheme="minorHAnsi" w:hAnsiTheme="minorHAnsi" w:eastAsiaTheme="minorEastAsia" w:cstheme="minorBidi"/>
      <w:sz w:val="18"/>
      <w:szCs w:val="18"/>
    </w:rPr>
  </w:style>
  <w:style w:type="character" w:styleId="668" w:customStyle="1">
    <w:name w:val="页脚 Char"/>
    <w:basedOn w:val="647"/>
    <w:link w:val="659"/>
    <w:uiPriority w:val="0"/>
    <w:qFormat/>
    <w:rPr>
      <w:rFonts w:asciiTheme="minorHAnsi" w:hAnsiTheme="minorHAnsi" w:eastAsiaTheme="minorEastAsia" w:cstheme="minorBidi"/>
      <w:sz w:val="18"/>
      <w:szCs w:val="18"/>
    </w:rPr>
  </w:style>
  <w:style w:type="paragraph" w:styleId="669" w:customStyle="1">
    <w:name w:val="普通正文"/>
    <w:basedOn w:val="644"/>
    <w:uiPriority w:val="0"/>
    <w:qFormat/>
    <w:pPr>
      <w:ind w:firstLine="480"/>
      <w:jc w:val="left"/>
      <w:spacing w:before="120" w:after="120" w:line="360" w:lineRule="auto"/>
    </w:pPr>
    <w:rPr>
      <w:rFonts w:ascii="Arial" w:hAnsi="Arial" w:eastAsia="等线" w:cs="Arial"/>
      <w:sz w:val="24"/>
      <w:szCs w:val="24"/>
    </w:rPr>
  </w:style>
  <w:style w:type="paragraph" w:styleId="670" w:customStyle="1">
    <w:name w:val="正文首行缩进 21"/>
    <w:basedOn w:val="671"/>
    <w:uiPriority w:val="0"/>
    <w:qFormat/>
    <w:pPr>
      <w:ind w:firstLine="420"/>
    </w:pPr>
  </w:style>
  <w:style w:type="paragraph" w:styleId="671" w:customStyle="1">
    <w:name w:val="正文文本缩进1"/>
    <w:basedOn w:val="644"/>
    <w:uiPriority w:val="0"/>
    <w:qFormat/>
    <w:pPr>
      <w:ind w:left="420"/>
      <w:spacing w:after="120"/>
    </w:pPr>
  </w:style>
  <w:style w:type="paragraph" w:styleId="672" w:customStyle="1">
    <w:name w:val="表格文字"/>
    <w:basedOn w:val="644"/>
    <w:uiPriority w:val="0"/>
    <w:qFormat/>
    <w:pPr>
      <w:ind w:firstLine="0"/>
    </w:pPr>
    <w:rPr>
      <w:rFonts w:ascii="宋体" w:hAnsi="宋体" w:cs="宋体"/>
    </w:rPr>
  </w:style>
  <w:style w:type="paragraph" w:styleId="673" w:customStyle="1">
    <w:name w:val="Table Paragraph"/>
    <w:basedOn w:val="644"/>
    <w:uiPriority w:val="0"/>
    <w:qFormat/>
    <w:pPr>
      <w:jc w:val="left"/>
    </w:pPr>
    <w:rPr>
      <w:rFonts w:ascii="宋体" w:hAnsi="宋体" w:cs="宋体"/>
      <w:sz w:val="22"/>
      <w:szCs w:val="22"/>
      <w:lang w:val="zh-CN" w:bidi="zh-CN"/>
    </w:rPr>
  </w:style>
  <w:style w:type="paragraph" w:styleId="674">
    <w:name w:val="List Paragraph"/>
    <w:basedOn w:val="644"/>
    <w:uiPriority w:val="34"/>
    <w:qFormat/>
    <w:pPr>
      <w:contextualSpacing/>
      <w:ind w:left="720"/>
    </w:pPr>
  </w:style>
  <w:style w:type="paragraph" w:styleId="675" w:customStyle="1">
    <w:name w:val="正文空2格  1."/>
    <w:basedOn w:val="644"/>
    <w:uiPriority w:val="0"/>
    <w:qFormat/>
    <w:pPr>
      <w:ind w:firstLine="480"/>
    </w:pPr>
    <w:rPr>
      <w:rFonts w:cs="宋体"/>
      <w:szCs w:val="20"/>
    </w:rPr>
  </w:style>
  <w:style w:type="numbering" w:styleId="87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王祥</cp:lastModifiedBy>
  <cp:revision>273</cp:revision>
  <dcterms:created xsi:type="dcterms:W3CDTF">2014-10-29T20:08:00Z</dcterms:created>
  <dcterms:modified xsi:type="dcterms:W3CDTF">2026-06-08T09:39:26Z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65759699444F44BBBFCCC89CEABA8F49_13</vt:lpwstr>
  </property>
  <property fmtid="{D5CDD505-2E9C-101B-9397-08002B2CF9AE}" pid="4" name="KSOTemplateDocerSaveRecord">
    <vt:lpwstr>eyJoZGlkIjoiMzZkNWNjOTE0OWY1YzA0YjUyYWFlYTIwYzYyNjU3NDQiLCJ1c2VySWQiOiI2NzEzMjE2OTMifQ==</vt:lpwstr>
  </property>
</Properties>
</file>