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Arial" w:hAnsi="Arial" w:eastAsia="黑体"/>
          <w:b/>
          <w:bCs/>
          <w:color w:val="000000"/>
          <w:sz w:val="84"/>
          <w:szCs w:val="24"/>
        </w:rPr>
      </w:r>
      <w:r/>
    </w:p>
    <w:p>
      <w:pPr>
        <w:pStyle w:val="957"/>
        <w:rPr>
          <w:rFonts w:hint="eastAsia"/>
        </w:rPr>
      </w:pPr>
      <w:r>
        <w:rPr>
          <w:rFonts w:hint="eastAsia"/>
        </w:rPr>
      </w:r>
      <w:r/>
    </w:p>
    <w:p>
      <w:pPr>
        <w:pStyle w:val="97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9"/>
        <w:ind w:firstLine="1506"/>
        <w:rPr>
          <w:b/>
          <w:sz w:val="30"/>
          <w:szCs w:val="30"/>
          <w:u w:val="single"/>
        </w:rPr>
      </w:pPr>
      <w:r>
        <w:rPr>
          <w:rFonts w:hint="eastAsia"/>
          <w:b/>
          <w:sz w:val="30"/>
          <w:szCs w:val="30"/>
        </w:rPr>
        <w:t xml:space="preserve">项目名称：</w:t>
      </w:r>
      <w:r>
        <w:rPr>
          <w:rFonts w:hint="eastAsia"/>
          <w:b/>
          <w:sz w:val="32"/>
          <w:szCs w:val="32"/>
        </w:rPr>
        <w:t xml:space="preserve">南京市第一医院医联体平台 </w:t>
      </w:r>
      <w:r>
        <w:rPr>
          <w:b/>
          <w:sz w:val="30"/>
          <w:szCs w:val="30"/>
          <w:u w:val="single"/>
        </w:rPr>
      </w:r>
      <w:r/>
    </w:p>
    <w:p>
      <w:pPr>
        <w:pStyle w:val="869"/>
        <w:ind w:firstLine="1506"/>
        <w:rPr>
          <w:rFonts w:hint="eastAsia"/>
          <w:b/>
          <w:sz w:val="30"/>
          <w:szCs w:val="30"/>
        </w:rPr>
      </w:pPr>
      <w:r>
        <w:rPr>
          <w:rFonts w:hint="eastAsia"/>
          <w:b/>
          <w:sz w:val="30"/>
          <w:szCs w:val="30"/>
        </w:rPr>
        <w:t xml:space="preserve">项目编号：</w:t>
      </w:r>
      <w:r>
        <w:rPr>
          <w:rFonts w:hint="eastAsia"/>
          <w:b/>
          <w:sz w:val="32"/>
          <w:szCs w:val="32"/>
        </w:rPr>
        <w:t xml:space="preserve">JSZC-320100-JZCG-G2026-0132 </w:t>
      </w:r>
      <w:r>
        <w:rPr>
          <w:rFonts w:hint="eastAsia"/>
          <w:b/>
          <w:sz w:val="30"/>
          <w:szCs w:val="30"/>
        </w:rPr>
        <w:t xml:space="preserve">              </w:t>
      </w:r>
      <w:r>
        <w:rPr>
          <w:rFonts w:hint="eastAsia"/>
          <w:b/>
          <w:sz w:val="30"/>
          <w:szCs w:val="30"/>
        </w:rPr>
      </w:r>
      <w:r/>
    </w:p>
    <w:p>
      <w:pPr>
        <w:pStyle w:val="86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78"/>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9"/>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6</w:t>
      </w:r>
      <w:r>
        <w:rPr>
          <w:rFonts w:hint="eastAsia"/>
          <w:b/>
          <w:sz w:val="32"/>
          <w:szCs w:val="32"/>
        </w:rPr>
        <w:t xml:space="preserve">月</w:t>
      </w:r>
      <w:r>
        <w:rPr>
          <w:rFonts w:hint="eastAsia"/>
          <w:b/>
          <w:sz w:val="32"/>
          <w:szCs w:val="32"/>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spacing w:line="48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57"/>
        <w:rPr>
          <w:rFonts w:hint="eastAsia"/>
        </w:rPr>
      </w:pPr>
      <w:r>
        <w:rPr>
          <w:rFonts w:hint="eastAsia"/>
        </w:rPr>
      </w:r>
      <w:r/>
    </w:p>
    <w:p>
      <w:pPr>
        <w:pStyle w:val="869"/>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6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2</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4</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合同文本……………………………………14</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采购需求……………………………………17</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评标方法与评标标准………………………33</w:t>
      </w:r>
      <w:r>
        <w:rPr>
          <w:rFonts w:hint="eastAsia" w:ascii="黑体" w:hAnsi="宋体" w:eastAsia="黑体"/>
          <w:sz w:val="36"/>
        </w:rPr>
      </w:r>
      <w:r/>
    </w:p>
    <w:p>
      <w:pPr>
        <w:pStyle w:val="86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投标文件格式………………………………37</w:t>
      </w:r>
      <w:r>
        <w:rPr>
          <w:rFonts w:hint="eastAsia" w:ascii="黑体" w:hAnsi="宋体" w:eastAsia="黑体"/>
          <w:sz w:val="36"/>
        </w:rPr>
      </w:r>
      <w:r/>
    </w:p>
    <w:p>
      <w:pPr>
        <w:pStyle w:val="869"/>
        <w:rPr>
          <w:rFonts w:hint="eastAsia"/>
        </w:rPr>
      </w:pPr>
      <w:r>
        <w:rPr>
          <w:rFonts w:hint="eastAsia"/>
        </w:rPr>
      </w:r>
      <w:r/>
    </w:p>
    <w:p>
      <w:pPr>
        <w:pStyle w:val="869"/>
        <w:rPr>
          <w:rFonts w:hint="eastAsia"/>
        </w:rPr>
      </w:pPr>
      <w:r>
        <w:rPr>
          <w:rFonts w:hint="eastAsia"/>
        </w:rPr>
      </w:r>
      <w:r/>
    </w:p>
    <w:p>
      <w:pPr>
        <w:pStyle w:val="869"/>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宋体" w:hAnsi="宋体"/>
          <w:sz w:val="24"/>
          <w:szCs w:val="24"/>
        </w:rPr>
      </w:pPr>
      <w:r/>
      <w:bookmarkStart w:id="6" w:name="_Toc38985263"/>
      <w:r/>
      <w:bookmarkStart w:id="7" w:name="_Toc28359002"/>
      <w:r/>
      <w:bookmarkStart w:id="8" w:name="_Toc35393790"/>
      <w:r/>
      <w:bookmarkStart w:id="9" w:name="_Toc35393621"/>
      <w:r/>
      <w:bookmarkStart w:id="10" w:name="_Toc28359079"/>
      <w:r/>
      <w:bookmarkStart w:id="11" w:name="_Hlk24379207"/>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受南京市第一医院委托，南京市公共资源交易中心（以下简称“交易中心”）就南京市第一医院医联体平台进行公开招标采购，欢迎符合条件的供应商投标。</w:t>
      </w:r>
      <w:r>
        <w:rPr>
          <w:rFonts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9"/>
        <w:ind w:firstLine="480"/>
        <w:rPr>
          <w:rFonts w:ascii="宋体" w:hAnsi="宋体"/>
          <w:sz w:val="24"/>
          <w:szCs w:val="24"/>
        </w:rPr>
      </w:pPr>
      <w:r/>
      <w:bookmarkEnd w:id="11"/>
      <w:r>
        <w:rPr>
          <w:rFonts w:hint="eastAsia" w:ascii="宋体" w:hAnsi="宋体"/>
          <w:sz w:val="24"/>
          <w:szCs w:val="24"/>
        </w:rPr>
        <w:t xml:space="preserve">1.项目编号：JSZC-320100-JZCG-G2026-0132</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2.项目名称：南京市第一医院医联体平台</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3.预算金额：150万元</w:t>
      </w:r>
      <w:r>
        <w:rPr>
          <w:rFonts w:ascii="宋体" w:hAnsi="宋体"/>
          <w:sz w:val="24"/>
          <w:szCs w:val="24"/>
        </w:rPr>
      </w:r>
      <w:r/>
    </w:p>
    <w:p>
      <w:pPr>
        <w:pStyle w:val="869"/>
        <w:ind w:firstLine="480"/>
        <w:rPr>
          <w:rFonts w:hint="eastAsia" w:ascii="宋体" w:hAnsi="宋体" w:cs="宋体"/>
          <w:sz w:val="24"/>
          <w:szCs w:val="24"/>
          <w:highlight w:val="yellow"/>
        </w:rPr>
      </w:pPr>
      <w:r>
        <w:rPr>
          <w:rFonts w:hint="eastAsia" w:ascii="宋体" w:hAnsi="宋体"/>
          <w:sz w:val="24"/>
          <w:szCs w:val="24"/>
        </w:rPr>
        <w:t xml:space="preserve">4.最高限价：150万元</w:t>
      </w:r>
      <w:r>
        <w:rPr>
          <w:rFonts w:hint="eastAsia" w:ascii="宋体" w:hAnsi="宋体" w:cs="宋体"/>
          <w:sz w:val="24"/>
          <w:szCs w:val="24"/>
          <w:highlight w:val="yellow"/>
        </w:rPr>
      </w:r>
      <w:r/>
    </w:p>
    <w:p>
      <w:pPr>
        <w:pStyle w:val="869"/>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rPr>
        <w:t xml:space="preserve">构建统一的医联体分级诊疗数据平台，打通市一医院、社区卫生服务中心的信息系统，实现数据互联互通</w:t>
      </w:r>
      <w:r>
        <w:rPr>
          <w:rFonts w:hint="eastAsia" w:ascii="宋体" w:hAnsi="宋体" w:cs="宋体"/>
          <w:sz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9"/>
        <w:ind w:firstLine="480"/>
        <w:rPr>
          <w:rFonts w:hint="eastAsia" w:ascii="宋体" w:hAnsi="宋体" w:cs="宋体"/>
          <w:sz w:val="24"/>
          <w:szCs w:val="24"/>
          <w:highlight w:val="yellow"/>
        </w:rPr>
      </w:pPr>
      <w:r>
        <w:rPr>
          <w:rFonts w:hint="eastAsia" w:ascii="宋体" w:hAnsi="宋体"/>
          <w:sz w:val="24"/>
          <w:szCs w:val="24"/>
        </w:rPr>
        <w:t xml:space="preserve">6.合同履行期限：180天</w:t>
      </w:r>
      <w:r>
        <w:rPr>
          <w:rFonts w:hint="eastAsia" w:ascii="宋体" w:hAnsi="宋体" w:cs="宋体"/>
          <w:sz w:val="24"/>
          <w:szCs w:val="24"/>
          <w:highlight w:val="yellow"/>
        </w:rPr>
      </w:r>
      <w:r/>
    </w:p>
    <w:p>
      <w:pPr>
        <w:pStyle w:val="86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869"/>
        <w:ind w:firstLine="480"/>
        <w:widowControl/>
        <w:rPr>
          <w:rFonts w:hint="eastAsia" w:ascii="宋体" w:hAnsi="宋体"/>
          <w:sz w:val="24"/>
          <w:szCs w:val="24"/>
        </w:rPr>
      </w:pPr>
      <w:r>
        <w:rPr>
          <w:rFonts w:hint="eastAsia" w:ascii="宋体" w:hAnsi="宋体" w:cs="宋体"/>
          <w:sz w:val="24"/>
          <w:szCs w:val="24"/>
        </w:rPr>
        <w:t xml:space="preserve">8.本项目不接受进口产品投标。</w:t>
      </w:r>
      <w:r>
        <w:rPr>
          <w:rFonts w:hint="eastAsia"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bookmarkStart w:id="17" w:name="_Toc35393792"/>
      <w:r/>
      <w:bookmarkStart w:id="18" w:name="_Toc38985265"/>
      <w:r/>
      <w:bookmarkStart w:id="19" w:name="_Toc28359004"/>
      <w:r/>
      <w:bookmarkStart w:id="20" w:name="_Toc28359081"/>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869"/>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869"/>
        <w:ind w:firstLine="480"/>
        <w:rPr>
          <w:rFonts w:hint="eastAsia" w:ascii="宋体" w:hAnsi="宋体"/>
          <w:sz w:val="24"/>
          <w:szCs w:val="24"/>
          <w:highlight w:val="yellow"/>
        </w:rPr>
      </w:pPr>
      <w:r>
        <w:rPr>
          <w:rFonts w:hint="eastAsia" w:ascii="宋体" w:hAnsi="宋体"/>
          <w:sz w:val="24"/>
          <w:szCs w:val="24"/>
          <w:lang w:val="zh-CN"/>
        </w:rPr>
        <w:t xml:space="preserve">2.落实政府采购政策需满足的资格要求：</w:t>
      </w:r>
      <w:r>
        <w:rPr>
          <w:rFonts w:hint="eastAsia" w:ascii="宋体" w:hAnsi="宋体"/>
          <w:sz w:val="24"/>
          <w:szCs w:val="24"/>
        </w:rPr>
        <w:t xml:space="preserve">无</w:t>
      </w:r>
      <w:r>
        <w:rPr>
          <w:rFonts w:hint="eastAsia" w:ascii="宋体" w:hAnsi="宋体"/>
          <w:sz w:val="24"/>
          <w:szCs w:val="24"/>
          <w:highlight w:val="yellow"/>
        </w:rPr>
      </w:r>
      <w:r/>
    </w:p>
    <w:p>
      <w:pPr>
        <w:pStyle w:val="869"/>
        <w:ind w:firstLine="480"/>
        <w:jc w:val="left"/>
        <w:rPr>
          <w:rFonts w:hint="eastAsia"/>
        </w:rPr>
      </w:pPr>
      <w:r>
        <w:rPr>
          <w:rFonts w:hint="eastAsia" w:ascii="宋体" w:hAnsi="宋体"/>
          <w:sz w:val="24"/>
          <w:szCs w:val="24"/>
          <w:lang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rPr>
      </w:r>
      <w:r/>
    </w:p>
    <w:p>
      <w:pPr>
        <w:pStyle w:val="869"/>
        <w:ind w:firstLine="480"/>
        <w:rPr>
          <w:rFonts w:hint="eastAsia" w:ascii="宋体" w:hAnsi="宋体"/>
          <w:sz w:val="24"/>
          <w:szCs w:val="24"/>
        </w:rPr>
      </w:pPr>
      <w:r>
        <w:rPr>
          <w:rFonts w:hint="eastAsia" w:ascii="宋体" w:hAnsi="宋体"/>
          <w:sz w:val="24"/>
          <w:szCs w:val="24"/>
        </w:rPr>
        <w:t xml:space="preserve">（二）本项目的特定资格要求：无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869"/>
        <w:ind w:firstLine="480"/>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69"/>
        <w:ind w:firstLine="480"/>
        <w:rPr>
          <w:rFonts w:hint="eastAsia" w:ascii="宋体" w:hAnsi="宋体"/>
          <w:bCs/>
          <w:sz w:val="24"/>
          <w:szCs w:val="24"/>
          <w:u w:val="single"/>
        </w:rPr>
      </w:pPr>
      <w:r/>
      <w:bookmarkStart w:id="27" w:name="_Toc35393625"/>
      <w:r/>
      <w:bookmarkStart w:id="28" w:name="_Toc35393794"/>
      <w:r/>
      <w:bookmarkStart w:id="29" w:name="_Toc38985267"/>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color w:val="000000" w:themeColor="text1"/>
          <w:sz w:val="24"/>
          <w:szCs w:val="24"/>
        </w:rPr>
        <w:t xml:space="preserve">：</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6</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16</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69"/>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69"/>
        <w:ind w:firstLine="480"/>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69"/>
        <w:ind w:firstLine="480"/>
        <w:tabs>
          <w:tab w:val="left" w:pos="900" w:leader="none"/>
        </w:tabs>
        <w:rPr>
          <w:rFonts w:hint="eastAsia" w:ascii="宋体" w:hAnsi="宋体"/>
          <w:bCs/>
          <w:sz w:val="24"/>
          <w:szCs w:val="24"/>
        </w:rPr>
      </w:pPr>
      <w:r/>
      <w:bookmarkStart w:id="35" w:name="_Toc28359085"/>
      <w:r/>
      <w:bookmarkStart w:id="36" w:name="_Toc35393627"/>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color w:val="0000ff"/>
          <w:sz w:val="24"/>
          <w:szCs w:val="24"/>
        </w:rPr>
      </w:r>
      <w:r/>
    </w:p>
    <w:p>
      <w:pPr>
        <w:pStyle w:val="86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869"/>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86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69"/>
        <w:ind w:firstLine="480"/>
        <w:widowControl/>
        <w:rPr>
          <w:rFonts w:hint="eastAsia" w:ascii="宋体" w:hAnsi="宋体"/>
          <w:sz w:val="24"/>
        </w:rPr>
      </w:pPr>
      <w:r>
        <w:rPr>
          <w:rFonts w:hint="eastAsia" w:ascii="宋体" w:hAnsi="宋体"/>
          <w:sz w:val="24"/>
        </w:rPr>
        <w:t xml:space="preserve">采购人《质疑函》收件人：郭老师，收件地址：南京市秦淮区长乐路68号3号楼，联系电话：025-52271107。</w:t>
      </w:r>
      <w:r>
        <w:rPr>
          <w:rFonts w:hint="eastAsia" w:ascii="宋体" w:hAnsi="宋体"/>
          <w:sz w:val="24"/>
        </w:rPr>
      </w:r>
      <w:r/>
    </w:p>
    <w:p>
      <w:pPr>
        <w:pStyle w:val="869"/>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869"/>
        <w:ind w:firstLine="480"/>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0000ff"/>
          <w:sz w:val="24"/>
          <w:szCs w:val="24"/>
        </w:rPr>
        <w:t xml:space="preserve"> </w:t>
      </w:r>
      <w:r>
        <w:rPr>
          <w:rFonts w:hint="eastAsia" w:ascii="宋体" w:hAnsi="宋体"/>
          <w:sz w:val="24"/>
          <w:szCs w:val="24"/>
        </w:rPr>
        <w:t xml:space="preserve">南京市第一医院</w:t>
      </w:r>
      <w:r>
        <w:rPr>
          <w:rFonts w:hint="eastAsia" w:ascii="宋体" w:hAnsi="宋体"/>
          <w:color w:val="0000ff"/>
          <w:sz w:val="24"/>
          <w:szCs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olor w:val="0000ff"/>
          <w:sz w:val="24"/>
          <w:szCs w:val="24"/>
        </w:rPr>
        <w:t xml:space="preserve"> </w:t>
      </w:r>
      <w:r>
        <w:rPr>
          <w:rFonts w:hint="eastAsia" w:ascii="宋体" w:hAnsi="宋体"/>
          <w:sz w:val="24"/>
          <w:szCs w:val="24"/>
        </w:rPr>
        <w:t xml:space="preserve">南京市秦淮区长乐路68号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联系人：郭老师</w:t>
      </w:r>
      <w:r>
        <w:rPr>
          <w:rFonts w:hint="eastAsia" w:ascii="宋体" w:hAnsi="宋体"/>
          <w:color w:val="0000ff"/>
          <w:sz w:val="24"/>
          <w:szCs w:val="24"/>
        </w:rPr>
        <w:t xml:space="preserve">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联系电话：025-52271107</w:t>
      </w:r>
      <w:r>
        <w:rPr>
          <w:rFonts w:hint="eastAsia" w:ascii="宋体" w:hAnsi="宋体"/>
          <w:color w:val="0000ff"/>
          <w:sz w:val="24"/>
          <w:szCs w:val="24"/>
        </w:rPr>
        <w:t xml:space="preserve"> </w:t>
      </w:r>
      <w:bookmarkStart w:id="40" w:name="_Toc28359086"/>
      <w:r/>
      <w:bookmarkStart w:id="41" w:name="_Toc28359009"/>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联系人：李先生                             </w:t>
      </w:r>
      <w:r>
        <w:rPr>
          <w:rFonts w:hint="eastAsia" w:ascii="宋体" w:hAnsi="宋体"/>
          <w:sz w:val="24"/>
          <w:szCs w:val="24"/>
        </w:rPr>
      </w:r>
      <w:r/>
    </w:p>
    <w:p>
      <w:pPr>
        <w:pStyle w:val="869"/>
        <w:ind w:firstLine="480"/>
        <w:rPr>
          <w:rFonts w:hint="eastAsia"/>
        </w:rPr>
      </w:pPr>
      <w:r>
        <w:rPr>
          <w:rFonts w:hint="eastAsia" w:ascii="宋体" w:hAnsi="宋体"/>
          <w:sz w:val="24"/>
          <w:szCs w:val="24"/>
        </w:rPr>
        <w:t xml:space="preserve">联系电话：025-68505991</w:t>
      </w:r>
      <w:r>
        <w:rPr>
          <w:rFonts w:hint="eastAsia" w:ascii="宋体" w:hAnsi="宋体"/>
          <w:color w:val="0000ff"/>
          <w:sz w:val="24"/>
          <w:szCs w:val="24"/>
        </w:rPr>
        <w:t xml:space="preserve"> </w:t>
      </w:r>
      <w:r>
        <w:rPr>
          <w:rFonts w:hint="eastAsia"/>
        </w:rPr>
      </w:r>
      <w:r/>
    </w:p>
    <w:p>
      <w:pPr>
        <w:pStyle w:val="95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Toc462564139"/>
      <w:r/>
      <w:bookmarkStart w:id="43" w:name="_Toc479757211"/>
      <w:r/>
      <w:bookmarkStart w:id="44" w:name="_Toc16938590"/>
      <w:r/>
      <w:bookmarkStart w:id="45" w:name="_Hlt16619350"/>
      <w:r/>
      <w:bookmarkStart w:id="46" w:name="_Toc120614244"/>
      <w:r/>
      <w:bookmarkStart w:id="47" w:name="_Toc20823346"/>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120614213"/>
      <w:r/>
      <w:bookmarkStart w:id="50" w:name="_Toc20823274"/>
      <w:r/>
      <w:bookmarkStart w:id="51" w:name="_Toc513029202"/>
      <w:r/>
      <w:bookmarkStart w:id="52"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53" w:name="_Toc513029203"/>
      <w:r/>
      <w:bookmarkStart w:id="54" w:name="_Toc120614214"/>
      <w:r/>
      <w:bookmarkStart w:id="55" w:name="_Toc16938519"/>
      <w:r/>
      <w:bookmarkStart w:id="56" w:name="_Toc20823275"/>
      <w:r/>
      <w:bookmarkStart w:id="57" w:name="_Toc120614221"/>
      <w:r/>
      <w:bookmarkStart w:id="58" w:name="_Toc16938558"/>
      <w:r/>
      <w:bookmarkStart w:id="59" w:name="_Toc513029242"/>
      <w:r/>
      <w:bookmarkStart w:id="60" w:name="_Toc479757207"/>
      <w:r/>
      <w:bookmarkStart w:id="61" w:name="_Toc20823314"/>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62" w:name="_Hlt16619475"/>
      <w:r/>
      <w:bookmarkEnd w:id="62"/>
      <w:r/>
      <w:bookmarkStart w:id="63" w:name="_Toc458694821"/>
      <w:r/>
      <w:bookmarkStart w:id="64" w:name="_Toc513029204"/>
      <w:r/>
      <w:bookmarkStart w:id="65" w:name="_Toc16938520"/>
      <w:r/>
      <w:bookmarkStart w:id="66" w:name="_Toc20823276"/>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67" w:name="_Toc513029205"/>
      <w:r/>
      <w:bookmarkStart w:id="68" w:name="_Toc20823277"/>
      <w:r/>
      <w:bookmarkStart w:id="69" w:name="_Toc16938521"/>
      <w:r>
        <w:rPr>
          <w:rFonts w:hint="eastAsia" w:ascii="方正楷体_GBK" w:hAnsi="方正楷体_GBK" w:eastAsia="方正楷体_GBK" w:cs="方正楷体_GBK"/>
          <w:b/>
          <w:bCs/>
        </w:rPr>
        <w:t xml:space="preserve">2.合格的投标人</w:t>
      </w:r>
      <w:bookmarkEnd w:id="67"/>
      <w:r/>
      <w:bookmarkEnd w:id="68"/>
      <w:r/>
      <w:bookmarkEnd w:id="69"/>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70" w:name="_Toc16938522"/>
      <w:r/>
      <w:bookmarkStart w:id="71" w:name="_Toc513029206"/>
      <w:r/>
      <w:bookmarkStart w:id="72" w:name="_Toc20823278"/>
      <w:r>
        <w:rPr>
          <w:rFonts w:hint="eastAsia" w:ascii="方正楷体_GBK" w:hAnsi="方正楷体_GBK" w:eastAsia="方正楷体_GBK" w:cs="方正楷体_GBK"/>
          <w:b/>
          <w:bCs/>
        </w:rPr>
        <w:t xml:space="preserve">3.适用法律</w:t>
      </w:r>
      <w:bookmarkEnd w:id="70"/>
      <w:r/>
      <w:bookmarkEnd w:id="71"/>
      <w:r/>
      <w:bookmarkEnd w:id="72"/>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73" w:name="_Toc16938523"/>
      <w:r/>
      <w:bookmarkStart w:id="74" w:name="_Toc20823279"/>
      <w:r/>
      <w:bookmarkStart w:id="75" w:name="_Toc513029207"/>
      <w:r/>
      <w:bookmarkStart w:id="76" w:name="_Toc462564067"/>
      <w:r>
        <w:rPr>
          <w:rFonts w:hint="eastAsia" w:ascii="方正楷体_GBK" w:hAnsi="方正楷体_GBK" w:eastAsia="方正楷体_GBK" w:cs="方正楷体_GBK"/>
          <w:b/>
          <w:bCs/>
        </w:rPr>
        <w:t xml:space="preserve">4.投标费用</w:t>
      </w:r>
      <w:bookmarkEnd w:id="73"/>
      <w:r/>
      <w:bookmarkEnd w:id="74"/>
      <w:r/>
      <w:bookmarkEnd w:id="75"/>
      <w:r/>
      <w:bookmarkEnd w:id="76"/>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120614215"/>
      <w:r/>
      <w:bookmarkStart w:id="79" w:name="_Toc20823281"/>
      <w:r/>
      <w:bookmarkStart w:id="80" w:name="_Toc513029209"/>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81" w:name="_Toc20823282"/>
      <w:r/>
      <w:bookmarkStart w:id="82" w:name="_Toc513029210"/>
      <w:r/>
      <w:bookmarkStart w:id="83" w:name="_Toc16938526"/>
      <w:r>
        <w:rPr>
          <w:rFonts w:hint="eastAsia" w:ascii="方正楷体_GBK" w:hAnsi="方正楷体_GBK" w:eastAsia="方正楷体_GBK" w:cs="方正楷体_GBK"/>
          <w:b/>
          <w:bCs/>
        </w:rPr>
        <w:t xml:space="preserve">6.招标文件构成</w:t>
      </w:r>
      <w:bookmarkEnd w:id="81"/>
      <w:r/>
      <w:bookmarkEnd w:id="82"/>
      <w:r/>
      <w:bookmarkEnd w:id="83"/>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84" w:name="_Toc16938527"/>
      <w:r/>
      <w:bookmarkStart w:id="85" w:name="_Toc513029211"/>
      <w:r/>
      <w:bookmarkStart w:id="86" w:name="_Toc462564070"/>
      <w:r/>
      <w:bookmarkStart w:id="87" w:name="_Toc20823283"/>
      <w:r>
        <w:rPr>
          <w:rFonts w:hint="eastAsia" w:ascii="方正楷体_GBK" w:hAnsi="方正楷体_GBK" w:eastAsia="方正楷体_GBK" w:cs="方正楷体_GBK"/>
          <w:b/>
          <w:bCs/>
        </w:rPr>
        <w:t xml:space="preserve">7.招标文件的澄清</w:t>
      </w:r>
      <w:bookmarkEnd w:id="84"/>
      <w:r/>
      <w:bookmarkEnd w:id="85"/>
      <w:r/>
      <w:bookmarkEnd w:id="86"/>
      <w:r/>
      <w:bookmarkEnd w:id="87"/>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88" w:name="_Toc20823284"/>
      <w:r/>
      <w:bookmarkStart w:id="89" w:name="_Toc513029212"/>
      <w:r/>
      <w:bookmarkStart w:id="90" w:name="_Toc16938528"/>
      <w:r/>
      <w:bookmarkStart w:id="91" w:name="_Toc462564071"/>
      <w:r>
        <w:rPr>
          <w:rFonts w:hint="eastAsia" w:ascii="方正楷体_GBK" w:hAnsi="方正楷体_GBK" w:eastAsia="方正楷体_GBK" w:cs="方正楷体_GBK"/>
          <w:b/>
          <w:bCs/>
        </w:rPr>
        <w:t xml:space="preserve">8.招标文件的修改</w:t>
      </w:r>
      <w:bookmarkEnd w:id="88"/>
      <w:r/>
      <w:bookmarkEnd w:id="89"/>
      <w:r/>
      <w:bookmarkEnd w:id="90"/>
      <w:r/>
      <w:bookmarkEnd w:id="91"/>
      <w:r>
        <w:rPr>
          <w:rFonts w:hint="eastAsia" w:ascii="方正楷体_GBK" w:hAnsi="方正楷体_GBK" w:eastAsia="方正楷体_GBK" w:cs="方正楷体_GBK"/>
          <w:b/>
          <w:bCs/>
        </w:rPr>
      </w:r>
      <w:r/>
    </w:p>
    <w:p>
      <w:pPr>
        <w:pStyle w:val="869"/>
        <w:ind w:firstLine="420"/>
        <w:rPr>
          <w:rFonts w:hint="eastAsia" w:ascii="宋体" w:hAnsi="宋体"/>
          <w:sz w:val="24"/>
        </w:rPr>
      </w:pPr>
      <w:r/>
      <w:bookmarkStart w:id="92" w:name="_Toc462564072"/>
      <w:r/>
      <w:bookmarkStart w:id="93" w:name="_Toc20823285"/>
      <w:r/>
      <w:bookmarkStart w:id="94" w:name="_Toc513029213"/>
      <w:r/>
      <w:bookmarkStart w:id="95" w:name="_Toc16938529"/>
      <w:r/>
      <w:bookmarkStart w:id="96"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97" w:name="_Toc513029214"/>
      <w:r/>
      <w:bookmarkStart w:id="98" w:name="_Toc20823286"/>
      <w:r/>
      <w:bookmarkStart w:id="99" w:name="_Toc462564073"/>
      <w:r/>
      <w:bookmarkStart w:id="100" w:name="_Toc16938530"/>
      <w:r>
        <w:rPr>
          <w:rFonts w:hint="eastAsia" w:ascii="方正楷体_GBK" w:hAnsi="方正楷体_GBK" w:eastAsia="方正楷体_GBK" w:cs="方正楷体_GBK"/>
          <w:b/>
          <w:bCs/>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869"/>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874"/>
        <w:ind w:firstLine="422"/>
        <w:rPr>
          <w:rFonts w:hint="eastAsia" w:ascii="方正楷体_GBK" w:hAnsi="方正楷体_GBK" w:eastAsia="方正楷体_GBK" w:cs="方正楷体_GBK"/>
          <w:b/>
          <w:bCs/>
        </w:rPr>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b/>
          <w:bCs/>
        </w:rPr>
        <w:t xml:space="preserve">10.投标文件构成</w:t>
      </w:r>
      <w:bookmarkEnd w:id="101"/>
      <w:r/>
      <w:bookmarkEnd w:id="102"/>
      <w:r/>
      <w:bookmarkEnd w:id="103"/>
      <w:r/>
      <w:bookmarkEnd w:id="104"/>
      <w:r>
        <w:rPr>
          <w:rFonts w:hint="eastAsia" w:ascii="方正楷体_GBK" w:hAnsi="方正楷体_GBK" w:eastAsia="方正楷体_GBK" w:cs="方正楷体_GBK"/>
          <w:b/>
          <w:bCs/>
        </w:rPr>
      </w:r>
      <w:r/>
    </w:p>
    <w:p>
      <w:pPr>
        <w:pStyle w:val="869"/>
        <w:ind w:firstLine="420"/>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2"/>
        </w:rPr>
      </w:r>
      <w:r/>
    </w:p>
    <w:p>
      <w:pPr>
        <w:pStyle w:val="869"/>
        <w:ind w:firstLine="420"/>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rPr>
          <w:rFonts w:hint="eastAsia" w:ascii="宋体" w:hAnsi="宋体"/>
          <w:sz w:val="24"/>
          <w:szCs w:val="22"/>
        </w:rPr>
      </w:r>
      <w:r/>
    </w:p>
    <w:p>
      <w:pPr>
        <w:pStyle w:val="874"/>
        <w:ind w:firstLine="422"/>
        <w:rPr>
          <w:rFonts w:hint="eastAsia" w:ascii="方正楷体_GBK" w:hAnsi="方正楷体_GBK" w:eastAsia="方正楷体_GBK" w:cs="方正楷体_GBK"/>
          <w:b/>
          <w:bCs/>
        </w:rPr>
      </w:pPr>
      <w:r/>
      <w:bookmarkStart w:id="105" w:name="_Hlt26668975"/>
      <w:r/>
      <w:bookmarkEnd w:id="105"/>
      <w:r/>
      <w:bookmarkStart w:id="106" w:name="_Toc49090509"/>
      <w:r/>
      <w:bookmarkStart w:id="107" w:name="_Toc513029219"/>
      <w:r/>
      <w:bookmarkStart w:id="108" w:name="_Toc14577357"/>
      <w:r/>
      <w:bookmarkStart w:id="109" w:name="_Toc14577354"/>
      <w:r/>
      <w:bookmarkStart w:id="110" w:name="_Toc49090507"/>
      <w:r/>
      <w:bookmarkStart w:id="111" w:name="_Toc513029216"/>
      <w:r/>
      <w:bookmarkStart w:id="112" w:name="_Hlt26670360"/>
      <w:r/>
      <w:bookmarkEnd w:id="112"/>
      <w:r/>
      <w:bookmarkStart w:id="113" w:name="_Hlt26954838"/>
      <w:r/>
      <w:bookmarkEnd w:id="113"/>
      <w:r>
        <w:rPr>
          <w:rFonts w:hint="eastAsia" w:ascii="方正楷体_GBK" w:hAnsi="方正楷体_GBK" w:eastAsia="方正楷体_GBK" w:cs="方正楷体_GBK"/>
          <w:b/>
          <w:bCs/>
        </w:rPr>
        <w:t xml:space="preserve">11.证明投标人及投标标的符合招标文件规定的文件</w:t>
      </w:r>
      <w:bookmarkEnd w:id="106"/>
      <w:r/>
      <w:bookmarkEnd w:id="107"/>
      <w:r/>
      <w:bookmarkEnd w:id="108"/>
      <w:r>
        <w:rPr>
          <w:rFonts w:hint="eastAsia" w:ascii="方正楷体_GBK" w:hAnsi="方正楷体_GBK" w:eastAsia="方正楷体_GBK" w:cs="方正楷体_GBK"/>
          <w:b/>
          <w:bCs/>
        </w:rPr>
      </w:r>
      <w:r/>
    </w:p>
    <w:p>
      <w:pPr>
        <w:pStyle w:val="869"/>
        <w:ind w:firstLine="420"/>
        <w:rPr>
          <w:rFonts w:hint="eastAsia" w:ascii="宋体" w:hAnsi="宋体"/>
          <w:sz w:val="24"/>
        </w:rPr>
      </w:pPr>
      <w:r/>
      <w:bookmarkEnd w:id="109"/>
      <w:r/>
      <w:bookmarkEnd w:id="110"/>
      <w:r/>
      <w:bookmarkEnd w:id="111"/>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rPr>
          <w:rFonts w:hint="eastAsia" w:ascii="方正楷体_GBK" w:hAnsi="方正楷体_GBK" w:eastAsia="方正楷体_GBK" w:cs="方正楷体_GBK"/>
          <w:b/>
          <w:bCs/>
        </w:rPr>
      </w:r>
      <w:r/>
    </w:p>
    <w:p>
      <w:pPr>
        <w:pStyle w:val="869"/>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874"/>
        <w:ind w:firstLine="422"/>
        <w:rPr>
          <w:rFonts w:hint="eastAsia" w:ascii="方正楷体_GBK" w:hAnsi="方正楷体_GBK" w:eastAsia="方正楷体_GBK" w:cs="方正楷体_GBK"/>
          <w:b/>
          <w:bCs/>
        </w:rPr>
      </w:pPr>
      <w:r/>
      <w:bookmarkStart w:id="118" w:name="_Hlt26670486"/>
      <w:r/>
      <w:bookmarkEnd w:id="118"/>
      <w:r/>
      <w:bookmarkStart w:id="119" w:name="_Hlt26954844"/>
      <w:r/>
      <w:bookmarkEnd w:id="119"/>
      <w:r/>
      <w:bookmarkStart w:id="120" w:name="_Hlt26954848"/>
      <w:r/>
      <w:bookmarkEnd w:id="120"/>
      <w:r/>
      <w:bookmarkStart w:id="121" w:name="_Hlt26954842"/>
      <w:r/>
      <w:bookmarkEnd w:id="121"/>
      <w:r/>
      <w:bookmarkStart w:id="122" w:name="_Hlt26670482"/>
      <w:r/>
      <w:bookmarkEnd w:id="122"/>
      <w:r/>
      <w:bookmarkStart w:id="123" w:name="_Hlt26668983"/>
      <w:r/>
      <w:bookmarkEnd w:id="123"/>
      <w:r/>
      <w:bookmarkStart w:id="124" w:name="_Hlt26670425"/>
      <w:r/>
      <w:bookmarkEnd w:id="124"/>
      <w:r/>
      <w:bookmarkStart w:id="125" w:name="_Hlt26954846"/>
      <w:r/>
      <w:bookmarkEnd w:id="125"/>
      <w:r/>
      <w:bookmarkStart w:id="126" w:name="_Hlt26954731"/>
      <w:r/>
      <w:bookmarkEnd w:id="126"/>
      <w:r/>
      <w:bookmarkStart w:id="127" w:name="_Hlt26670403"/>
      <w:r/>
      <w:bookmarkEnd w:id="127"/>
      <w:r>
        <w:rPr>
          <w:rFonts w:hint="eastAsia" w:ascii="方正楷体_GBK" w:hAnsi="方正楷体_GBK" w:eastAsia="方正楷体_GBK" w:cs="方正楷体_GBK"/>
          <w:b/>
          <w:bCs/>
        </w:rPr>
        <w:t xml:space="preserve">13.响应及偏离表</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28" w:name="_Toc49090510"/>
      <w:r/>
      <w:bookmarkStart w:id="129" w:name="_Toc14577359"/>
      <w:r>
        <w:rPr>
          <w:rFonts w:hint="eastAsia" w:ascii="方正楷体_GBK" w:hAnsi="方正楷体_GBK" w:eastAsia="方正楷体_GBK" w:cs="方正楷体_GBK"/>
          <w:b/>
          <w:bCs/>
        </w:rPr>
        <w:t xml:space="preserve">14.投标函和开标一览表</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End w:id="128"/>
      <w:r/>
      <w:bookmarkEnd w:id="129"/>
      <w:r/>
      <w:bookmarkStart w:id="130" w:name="_Hlt26670489"/>
      <w:r/>
      <w:bookmarkEnd w:id="130"/>
      <w:r/>
      <w:bookmarkStart w:id="131" w:name="_Toc14577360"/>
      <w:r/>
      <w:bookmarkStart w:id="132" w:name="_Toc49090511"/>
      <w:r/>
      <w:bookmarkStart w:id="133" w:name="_Hlt26954850"/>
      <w:r/>
      <w:bookmarkEnd w:id="133"/>
      <w:r/>
      <w:bookmarkStart w:id="134" w:name="_Hlt26954734"/>
      <w:r/>
      <w:bookmarkEnd w:id="134"/>
      <w:r>
        <w:rPr>
          <w:rFonts w:hint="eastAsia" w:ascii="方正楷体_GBK" w:hAnsi="方正楷体_GBK" w:eastAsia="方正楷体_GBK" w:cs="方正楷体_GBK"/>
          <w:b/>
          <w:bCs/>
        </w:rPr>
        <w:t xml:space="preserve">15.投标有效期</w:t>
      </w:r>
      <w:bookmarkEnd w:id="131"/>
      <w:r/>
      <w:bookmarkEnd w:id="132"/>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35" w:name="_Toc20823296"/>
      <w:r/>
      <w:bookmarkStart w:id="136" w:name="_Toc120614217"/>
      <w:r/>
      <w:bookmarkStart w:id="137" w:name="_Toc513029224"/>
      <w:r/>
      <w:bookmarkStart w:id="138" w:name="_Toc16938553"/>
      <w:r/>
      <w:bookmarkStart w:id="139" w:name="_Toc513029237"/>
      <w:r/>
      <w:bookmarkStart w:id="140" w:name="_Toc20823309"/>
      <w:r/>
      <w:bookmarkStart w:id="141" w:name="_Toc16938540"/>
      <w:r/>
      <w:bookmarkStart w:id="142" w:name="_Hlt26954852"/>
      <w:r/>
      <w:bookmarkEnd w:id="142"/>
      <w:r/>
      <w:bookmarkStart w:id="143" w:name="_Hlt26954739"/>
      <w:r/>
      <w:bookmarkEnd w:id="143"/>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41"/>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144" w:name="_Toc462564084"/>
      <w:r/>
      <w:bookmarkStart w:id="145" w:name="_Toc16938541"/>
      <w:r/>
      <w:bookmarkStart w:id="146" w:name="_Toc513029225"/>
      <w:r/>
      <w:bookmarkStart w:id="147" w:name="_Toc20823297"/>
      <w:r>
        <w:rPr>
          <w:rFonts w:hint="eastAsia" w:ascii="方正楷体_GBK" w:hAnsi="方正楷体_GBK" w:eastAsia="方正楷体_GBK" w:cs="方正楷体_GBK"/>
          <w:b/>
          <w:bCs/>
        </w:rPr>
        <w:t xml:space="preserve">17.投标文件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sz w:val="24"/>
          <w:lang w:val="zh-CN"/>
        </w:rPr>
      </w:r>
      <w:r/>
    </w:p>
    <w:p>
      <w:pPr>
        <w:pStyle w:val="869"/>
        <w:ind w:firstLine="420"/>
        <w:rPr>
          <w:rFonts w:hint="eastAsia" w:ascii="宋体" w:hAnsi="宋体"/>
          <w:sz w:val="24"/>
          <w:lang w:val="zh-CN"/>
        </w:rPr>
      </w:pPr>
      <w:r/>
      <w:bookmarkEnd w:id="148"/>
      <w:r/>
      <w:bookmarkEnd w:id="149"/>
      <w:r/>
      <w:bookmarkEnd w:id="150"/>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18.投标文件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54" w:name="_Toc513029228"/>
      <w:r/>
      <w:bookmarkStart w:id="155" w:name="_Toc16938544"/>
      <w:r/>
      <w:bookmarkStart w:id="156" w:name="_Toc20823300"/>
      <w:r>
        <w:rPr>
          <w:rFonts w:hint="eastAsia" w:ascii="方正楷体_GBK" w:hAnsi="方正楷体_GBK" w:eastAsia="方正楷体_GBK" w:cs="方正楷体_GBK"/>
          <w:b/>
          <w:bCs/>
        </w:rPr>
        <w:t xml:space="preserve">19.投标文件的撤回和修改</w:t>
      </w:r>
      <w:bookmarkEnd w:id="154"/>
      <w:r/>
      <w:bookmarkEnd w:id="155"/>
      <w:r/>
      <w:bookmarkEnd w:id="156"/>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20823301"/>
      <w:r/>
      <w:bookmarkStart w:id="158" w:name="_Toc120614218"/>
      <w:r/>
      <w:bookmarkStart w:id="159" w:name="_Toc513029229"/>
      <w:r/>
      <w:bookmarkStart w:id="160" w:name="_Toc16938545"/>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161" w:name="_Toc20823302"/>
      <w:r/>
      <w:bookmarkStart w:id="162" w:name="_Toc16938546"/>
      <w:r/>
      <w:bookmarkStart w:id="163" w:name="_Toc513029230"/>
      <w:r>
        <w:rPr>
          <w:rFonts w:hint="eastAsia" w:ascii="方正楷体_GBK" w:hAnsi="方正楷体_GBK" w:eastAsia="方正楷体_GBK" w:cs="方正楷体_GBK"/>
          <w:b/>
          <w:bCs/>
        </w:rPr>
        <w:t xml:space="preserve">20.开标</w:t>
      </w:r>
      <w:bookmarkEnd w:id="161"/>
      <w:r/>
      <w:bookmarkEnd w:id="162"/>
      <w:r/>
      <w:bookmarkEnd w:id="163"/>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64" w:name="_Toc513029231"/>
      <w:r/>
      <w:bookmarkStart w:id="165" w:name="_Toc16938547"/>
      <w:r/>
      <w:bookmarkStart w:id="166" w:name="_Toc20823303"/>
      <w:r>
        <w:rPr>
          <w:rFonts w:hint="eastAsia" w:ascii="方正楷体_GBK" w:hAnsi="方正楷体_GBK" w:eastAsia="方正楷体_GBK" w:cs="方正楷体_GBK"/>
          <w:b/>
          <w:bCs/>
        </w:rPr>
        <w:t xml:space="preserve">21.评标</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bookmarkEnd w:id="164"/>
      <w:r/>
      <w:bookmarkEnd w:id="165"/>
      <w:r/>
      <w:bookmarkEnd w:id="166"/>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67" w:name="_Toc513029232"/>
      <w:r/>
      <w:bookmarkStart w:id="168" w:name="_Toc16938548"/>
      <w:r/>
      <w:bookmarkStart w:id="169" w:name="_Toc20823304"/>
      <w:r>
        <w:rPr>
          <w:rFonts w:hint="eastAsia" w:ascii="方正楷体_GBK" w:hAnsi="方正楷体_GBK" w:eastAsia="方正楷体_GBK" w:cs="方正楷体_GBK"/>
          <w:b/>
          <w:bCs/>
        </w:rPr>
        <w:t xml:space="preserve">23.投标文件的澄清</w:t>
      </w:r>
      <w:bookmarkEnd w:id="167"/>
      <w:r/>
      <w:bookmarkEnd w:id="168"/>
      <w:r/>
      <w:bookmarkEnd w:id="169"/>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Start w:id="170" w:name="_Toc513029233"/>
      <w:r/>
      <w:bookmarkStart w:id="171" w:name="_Toc20823305"/>
      <w:r/>
      <w:bookmarkStart w:id="172" w:name="_Toc16938549"/>
      <w:r>
        <w:rPr>
          <w:rFonts w:hint="eastAsia" w:ascii="方正楷体_GBK" w:hAnsi="方正楷体_GBK" w:eastAsia="方正楷体_GBK" w:cs="方正楷体_GBK"/>
          <w:b/>
          <w:bCs/>
        </w:rPr>
        <w:t xml:space="preserve">24.投标文件的</w:t>
      </w:r>
      <w:bookmarkEnd w:id="170"/>
      <w:r/>
      <w:bookmarkEnd w:id="171"/>
      <w:r/>
      <w:bookmarkEnd w:id="172"/>
      <w:r>
        <w:rPr>
          <w:rFonts w:hint="eastAsia" w:ascii="方正楷体_GBK" w:hAnsi="方正楷体_GBK" w:eastAsia="方正楷体_GBK" w:cs="方正楷体_GBK"/>
          <w:b/>
          <w:bCs/>
        </w:rPr>
        <w:t xml:space="preserve">审查</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9"/>
        <w:ind w:firstLine="420"/>
        <w:rPr>
          <w:rFonts w:hint="eastAsia" w:ascii="宋体" w:hAnsi="宋体"/>
          <w:sz w:val="24"/>
          <w:lang w:val="zh-CN"/>
        </w:rPr>
      </w:pPr>
      <w:r/>
      <w:bookmarkStart w:id="173" w:name="_Toc20823306"/>
      <w:r/>
      <w:bookmarkStart w:id="174" w:name="_Toc16938550"/>
      <w:r/>
      <w:bookmarkStart w:id="175" w:name="_Toc513029234"/>
      <w:r>
        <w:rPr>
          <w:rFonts w:hint="eastAsia" w:ascii="宋体" w:hAnsi="宋体"/>
          <w:sz w:val="24"/>
          <w:lang w:val="zh-CN"/>
        </w:rPr>
        <w:t xml:space="preserve">24.6 投标人在开、评标全过程中应保持通讯畅通，及时登录苏采云系统查阅、答复相关信息，并安排专人与交易中心及评委会联系。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24.7 异常低价审查</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50</w:t>
      </w:r>
      <w:r>
        <w:rPr>
          <w:rFonts w:hint="eastAsia" w:ascii="宋体" w:hAnsi="宋体"/>
          <w:sz w:val="24"/>
          <w:szCs w:val="22"/>
          <w:u w:val="single"/>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sz w:val="24"/>
          <w:szCs w:val="22"/>
          <w:lang w:val="zh-CN"/>
        </w:rPr>
      </w:r>
      <w:r/>
    </w:p>
    <w:p>
      <w:pPr>
        <w:pStyle w:val="869"/>
        <w:ind w:firstLine="420"/>
        <w:rPr>
          <w:rFonts w:hint="eastAsia"/>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lang w:val="zh-CN"/>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5.无效投标和废标</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bookmarkStart w:id="176" w:name="_Toc513029235"/>
      <w:r/>
      <w:bookmarkStart w:id="177" w:name="_Toc16938551"/>
      <w:r/>
      <w:bookmarkStart w:id="178"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869"/>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End w:id="138"/>
      <w:r/>
      <w:bookmarkEnd w:id="139"/>
      <w:r/>
      <w:bookmarkEnd w:id="140"/>
      <w:r/>
      <w:bookmarkEnd w:id="176"/>
      <w:r/>
      <w:bookmarkEnd w:id="177"/>
      <w:r/>
      <w:bookmarkEnd w:id="178"/>
      <w:r/>
      <w:bookmarkStart w:id="179" w:name="_Toc120614219"/>
      <w:r>
        <w:rPr>
          <w:rFonts w:hint="eastAsia" w:ascii="方正黑体_GBK" w:hAnsi="方正黑体_GBK" w:eastAsia="方正黑体_GBK" w:cs="方正黑体_GBK"/>
          <w:b w:val="0"/>
          <w:bCs w:val="0"/>
          <w:sz w:val="30"/>
          <w:szCs w:val="30"/>
        </w:rPr>
        <w:t xml:space="preserve">六、定标</w:t>
      </w:r>
      <w:bookmarkEnd w:id="179"/>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rPr>
        <w:t xml:space="preserve">6.确定</w:t>
      </w:r>
      <w:bookmarkEnd w:id="181"/>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869"/>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27.中标通知书</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20823308"/>
      <w:r/>
      <w:bookmarkStart w:id="185" w:name="_Toc513029236"/>
      <w:r/>
      <w:bookmarkStart w:id="186" w:name="_Toc16938552"/>
      <w:r/>
      <w:bookmarkStart w:id="187" w:name="_Toc120614220"/>
      <w:r>
        <w:rPr>
          <w:rFonts w:hint="eastAsia" w:ascii="方正黑体_GBK" w:hAnsi="方正黑体_GBK" w:eastAsia="方正黑体_GBK" w:cs="方正黑体_GBK"/>
          <w:b w:val="0"/>
          <w:bCs w:val="0"/>
          <w:sz w:val="30"/>
          <w:szCs w:val="30"/>
        </w:rPr>
        <w:t xml:space="preserve">七、授予合同</w:t>
      </w:r>
      <w:bookmarkEnd w:id="187"/>
      <w:r>
        <w:rPr>
          <w:rFonts w:hint="eastAsia" w:ascii="方正黑体_GBK" w:hAnsi="方正黑体_GBK" w:eastAsia="方正黑体_GBK" w:cs="方正黑体_GBK"/>
          <w:b w:val="0"/>
          <w:bCs w:val="0"/>
          <w:sz w:val="30"/>
          <w:szCs w:val="30"/>
        </w:rPr>
      </w:r>
      <w:r/>
    </w:p>
    <w:p>
      <w:pPr>
        <w:pStyle w:val="874"/>
        <w:ind w:firstLine="422"/>
        <w:rPr>
          <w:rFonts w:hint="eastAsia" w:ascii="方正楷体_GBK" w:hAnsi="方正楷体_GBK" w:eastAsia="方正楷体_GBK" w:cs="方正楷体_GBK"/>
          <w:b/>
          <w:bCs/>
        </w:rPr>
      </w:pPr>
      <w:r/>
      <w:bookmarkEnd w:id="184"/>
      <w:r/>
      <w:bookmarkEnd w:id="185"/>
      <w:r/>
      <w:bookmarkEnd w:id="186"/>
      <w:r>
        <w:rPr>
          <w:rFonts w:hint="eastAsia" w:ascii="方正楷体_GBK" w:hAnsi="方正楷体_GBK" w:eastAsia="方正楷体_GBK" w:cs="方正楷体_GBK"/>
          <w:b/>
          <w:bCs/>
        </w:rPr>
        <w:t xml:space="preserve">28.签订合同</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74"/>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rPr>
          <w:rFonts w:hint="eastAsia"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7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9"/>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7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74"/>
        <w:ind w:firstLine="420"/>
        <w:rPr>
          <w:rFonts w:hint="eastAsia"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9"/>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69"/>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sz w:val="24"/>
        </w:rPr>
      </w:r>
      <w:r/>
    </w:p>
    <w:p>
      <w:pPr>
        <w:pStyle w:val="869"/>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sz w:val="24"/>
        </w:rPr>
      </w:r>
      <w:r/>
    </w:p>
    <w:p>
      <w:pPr>
        <w:pStyle w:val="874"/>
        <w:ind w:firstLine="42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9"/>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74"/>
        <w:ind w:firstLine="422"/>
        <w:rPr>
          <w:rFonts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rPr>
          <w:rFonts w:ascii="方正楷体_GBK" w:hAnsi="方正楷体_GBK" w:eastAsia="方正楷体_GBK" w:cs="方正楷体_GBK"/>
          <w:b/>
          <w:bCs/>
        </w:rPr>
      </w:r>
      <w:r/>
    </w:p>
    <w:p>
      <w:pPr>
        <w:pStyle w:val="869"/>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sz w:val="24"/>
          <w:lang w:val="zh-CN"/>
        </w:rPr>
      </w:r>
      <w:r/>
    </w:p>
    <w:p>
      <w:pPr>
        <w:pStyle w:val="87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rPr>
          <w:rFonts w:hint="eastAsia" w:ascii="方正楷体_GBK" w:hAnsi="方正楷体_GBK" w:eastAsia="方正楷体_GBK" w:cs="方正楷体_GBK"/>
          <w:lang w:val="zh-CN"/>
        </w:rPr>
      </w:r>
      <w:r/>
    </w:p>
    <w:p>
      <w:pPr>
        <w:pStyle w:val="869"/>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69"/>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69"/>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69"/>
        <w:ind w:firstLine="420"/>
        <w:rPr>
          <w:rFonts w:hint="eastAsia" w:ascii="宋体" w:hAnsi="宋体"/>
          <w:sz w:val="24"/>
          <w:lang w:val="zh-CN"/>
        </w:rPr>
      </w:pPr>
      <w:r>
        <w:rPr>
          <w:rFonts w:hint="eastAsia" w:ascii="宋体" w:hAnsi="宋体"/>
          <w:sz w:val="24"/>
          <w:lang w:val="zh-CN"/>
        </w:rPr>
        <w:t xml:space="preserve">43.3本国产品标准的适用范围</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69"/>
        <w:ind w:firstLine="420"/>
        <w:rPr>
          <w:rFonts w:ascii="宋体" w:hAnsi="宋体"/>
          <w:sz w:val="24"/>
        </w:rPr>
      </w:pPr>
      <w:r>
        <w:rPr>
          <w:rFonts w:hint="eastAsia" w:ascii="宋体" w:hAnsi="宋体"/>
          <w:sz w:val="24"/>
        </w:rPr>
        <w:t xml:space="preserve">43.4对本国产品的支持政策</w:t>
      </w:r>
      <w:r>
        <w:rPr>
          <w:rFonts w:ascii="宋体" w:hAnsi="宋体"/>
          <w:sz w:val="24"/>
        </w:rPr>
      </w:r>
      <w:r/>
    </w:p>
    <w:p>
      <w:pPr>
        <w:pStyle w:val="86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69"/>
        <w:ind w:firstLine="420"/>
        <w:rPr>
          <w:rFonts w:ascii="宋体" w:hAnsi="宋体"/>
          <w:sz w:val="24"/>
        </w:rPr>
      </w:pPr>
      <w:r>
        <w:rPr>
          <w:rFonts w:hint="eastAsia" w:ascii="宋体" w:hAnsi="宋体"/>
          <w:sz w:val="24"/>
        </w:rPr>
        <w:t xml:space="preserve">43.5政策执行要求</w:t>
      </w:r>
      <w:r>
        <w:rPr>
          <w:rFonts w:ascii="宋体" w:hAnsi="宋体"/>
          <w:sz w:val="24"/>
        </w:rPr>
      </w:r>
      <w:r/>
    </w:p>
    <w:p>
      <w:pPr>
        <w:pStyle w:val="86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6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sz w:val="24"/>
        </w:rPr>
      </w:r>
      <w:r/>
    </w:p>
    <w:p>
      <w:pPr>
        <w:pStyle w:val="869"/>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74"/>
        <w:ind w:firstLine="422"/>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zh-CN"/>
        </w:rPr>
        <w:t xml:space="preserve">.数据交易说明</w:t>
      </w:r>
      <w:r>
        <w:rPr>
          <w:rFonts w:hint="eastAsia" w:ascii="方正楷体_GBK" w:hAnsi="方正楷体_GBK" w:eastAsia="方正楷体_GBK" w:cs="方正楷体_GBK"/>
          <w:b/>
          <w:bCs/>
          <w:lang w:val="zh-CN"/>
        </w:rPr>
      </w:r>
      <w:r/>
    </w:p>
    <w:p>
      <w:pPr>
        <w:pStyle w:val="869"/>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69"/>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95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spacing w:before="145" w:after="145"/>
        <w:rPr>
          <w:rFonts w:hint="eastAsia" w:ascii="宋体" w:hAnsi="宋体"/>
          <w:bCs/>
          <w:color w:val="000000"/>
          <w:sz w:val="24"/>
        </w:rPr>
      </w:pPr>
      <w:r/>
      <w:bookmarkStart w:id="188" w:name="_Toc513029243"/>
      <w:r/>
      <w:bookmarkStart w:id="189" w:name="_Toc16938559"/>
      <w:r/>
      <w:bookmarkStart w:id="190" w:name="_Toc20823315"/>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7"/>
        <w:ind w:left="0"/>
        <w:rPr>
          <w:rFonts w:hint="eastAsia"/>
        </w:rPr>
      </w:pPr>
      <w:r>
        <w:rPr>
          <w:rFonts w:hint="eastAsia"/>
        </w:rPr>
      </w:r>
      <w:r/>
    </w:p>
    <w:p>
      <w:pPr>
        <w:pStyle w:val="869"/>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6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6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6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69"/>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6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9"/>
        <w:rPr>
          <w:rFonts w:hint="eastAsia" w:ascii="宋体" w:hAnsi="宋体" w:cs="Courier New"/>
          <w:color w:val="0000ff"/>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color w:val="0000ff"/>
          <w:sz w:val="24"/>
          <w:szCs w:val="24"/>
        </w:rPr>
      </w:r>
      <w:r/>
    </w:p>
    <w:p>
      <w:pPr>
        <w:pStyle w:val="869"/>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1"/>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ff"/>
          <w:sz w:val="24"/>
          <w:szCs w:val="24"/>
        </w:rPr>
        <w:outlineLvl w:val="3"/>
      </w:pPr>
      <w:r>
        <w:rPr>
          <w:rFonts w:hint="eastAsia" w:ascii="宋体" w:hAnsi="宋体" w:cs="Courier New"/>
          <w:sz w:val="24"/>
          <w:szCs w:val="24"/>
        </w:rPr>
        <w:t xml:space="preserve">6.1</w:t>
      </w:r>
      <w:r>
        <w:rPr>
          <w:rFonts w:hint="eastAsia" w:ascii="宋体" w:hAnsi="宋体" w:cs="Courier New"/>
          <w:color w:val="0000ff"/>
          <w:sz w:val="24"/>
          <w:szCs w:val="24"/>
        </w:rPr>
        <w:t xml:space="preserve"> </w:t>
      </w:r>
      <w:r>
        <w:rPr>
          <w:rFonts w:hint="eastAsia" w:ascii="宋体" w:hAnsi="宋体" w:cs="Courier New"/>
          <w:sz w:val="24"/>
          <w:szCs w:val="24"/>
        </w:rPr>
        <w:t xml:space="preserve">本项目乙方无需缴纳履约保证金。</w:t>
      </w:r>
      <w:r>
        <w:rPr>
          <w:rFonts w:hint="eastAsia" w:ascii="宋体" w:hAnsi="宋体" w:cs="Courier New"/>
          <w:color w:val="0000ff"/>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69"/>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ff"/>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1"/>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869"/>
        <w:rPr>
          <w:rFonts w:hint="eastAsia" w:ascii="宋体" w:hAnsi="宋体" w:cs="Courier New"/>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合同签订且服务团队人员到位后，甲方支付甲方支付系统开发费用的30%作为预付款。</w:t>
      </w:r>
      <w:r>
        <w:rPr>
          <w:rFonts w:hint="eastAsia" w:ascii="宋体" w:hAnsi="宋体" w:cs="Courier New"/>
          <w:color w:val="0000ff"/>
          <w:sz w:val="24"/>
          <w:szCs w:val="24"/>
        </w:rPr>
      </w:r>
      <w:r/>
    </w:p>
    <w:p>
      <w:pPr>
        <w:pStyle w:val="911"/>
        <w:rPr>
          <w:rFonts w:hint="eastAsia"/>
        </w:rPr>
      </w:pPr>
      <w:r>
        <w:rPr>
          <w:rFonts w:hint="eastAsia" w:hAnsi="宋体"/>
          <w:sz w:val="24"/>
          <w:szCs w:val="24"/>
        </w:rPr>
        <w:t xml:space="preserve">8.1.2</w:t>
      </w:r>
      <w:r>
        <w:rPr>
          <w:rFonts w:hint="eastAsia" w:hAnsi="宋体"/>
          <w:color w:val="0000ff"/>
          <w:sz w:val="24"/>
          <w:szCs w:val="24"/>
        </w:rPr>
        <w:t xml:space="preserve"> </w:t>
      </w:r>
      <w:r>
        <w:rPr>
          <w:rFonts w:hint="eastAsia" w:hAnsi="宋体"/>
          <w:sz w:val="24"/>
          <w:szCs w:val="24"/>
        </w:rPr>
        <w:t xml:space="preserve">软件完全交付并上线正式运行，经甲方验收合格后，结清系统开发费用。</w:t>
      </w:r>
      <w:r>
        <w:rPr>
          <w:rFonts w:hint="eastAsia"/>
        </w:rPr>
      </w:r>
      <w:r/>
    </w:p>
    <w:p>
      <w:pPr>
        <w:pStyle w:val="911"/>
        <w:spacing w:line="264" w:lineRule="auto"/>
        <w:rPr>
          <w:rFonts w:hint="eastAsia" w:hAnsi="宋体"/>
          <w:sz w:val="24"/>
          <w:szCs w:val="24"/>
        </w:rPr>
      </w:pPr>
      <w:r>
        <w:rPr>
          <w:rFonts w:hint="eastAsia" w:hAnsi="宋体"/>
          <w:sz w:val="24"/>
          <w:szCs w:val="24"/>
        </w:rPr>
        <w:t xml:space="preserve">8.1.3 系统验收合格后进入维保期，乙方维保满一年，经甲方考核合格后支付系统运维费用，以上款项均为无息支付。</w:t>
      </w:r>
      <w:r>
        <w:rPr>
          <w:rFonts w:hint="eastAsia" w:hAnsi="宋体"/>
          <w:sz w:val="24"/>
          <w:szCs w:val="24"/>
        </w:rPr>
      </w:r>
      <w:r/>
    </w:p>
    <w:p>
      <w:pPr>
        <w:pStyle w:val="911"/>
        <w:spacing w:line="264" w:lineRule="auto"/>
        <w:rPr>
          <w:rFonts w:hint="eastAsia"/>
        </w:rPr>
      </w:pPr>
      <w:r>
        <w:rPr>
          <w:rFonts w:hint="eastAsia" w:hAnsi="宋体"/>
          <w:sz w:val="24"/>
          <w:szCs w:val="24"/>
        </w:rPr>
        <w:t xml:space="preserve">8.1.4 满足合同约定支付条件的，甲方收到乙方发票后10个工作日内，将资金支付到合同约定的乙方账户。 </w:t>
      </w:r>
      <w:r>
        <w:rPr>
          <w:rFonts w:hint="eastAsia"/>
        </w:rPr>
      </w:r>
      <w:r/>
    </w:p>
    <w:p>
      <w:pPr>
        <w:pStyle w:val="911"/>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69"/>
        <w:spacing w:line="264" w:lineRule="auto"/>
        <w:rPr>
          <w:rFonts w:hint="eastAsia" w:ascii="宋体" w:hAnsi="宋体" w:cs="Courier New"/>
          <w:color w:val="0000ff"/>
          <w:sz w:val="24"/>
          <w:szCs w:val="24"/>
          <w:lang w:val="zh-CN"/>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宋体"/>
          <w:bCs/>
          <w:sz w:val="24"/>
          <w:szCs w:val="24"/>
        </w:rPr>
        <w:t xml:space="preserve">遵循国家、行业及地方现行的规范和标准。</w:t>
      </w:r>
      <w:r>
        <w:rPr>
          <w:rFonts w:hint="eastAsia" w:ascii="宋体" w:hAnsi="宋体" w:cs="Courier New"/>
          <w:color w:val="0000ff"/>
          <w:sz w:val="24"/>
          <w:szCs w:val="24"/>
          <w:lang w:val="zh-CN"/>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十一、违约责任</w:t>
      </w:r>
      <w:r>
        <w:rPr>
          <w:rFonts w:hint="eastAsia" w:ascii="宋体" w:hAnsi="宋体" w:cs="Courier New"/>
          <w:color w:val="000000"/>
          <w:sz w:val="24"/>
          <w:szCs w:val="24"/>
        </w:rPr>
      </w:r>
      <w:r/>
    </w:p>
    <w:p>
      <w:pPr>
        <w:pStyle w:val="869"/>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2</w:t>
      </w:r>
      <w:r>
        <w:rPr>
          <w:rFonts w:hint="eastAsia" w:ascii="宋体" w:hAnsi="宋体" w:cs="Courier New"/>
          <w:sz w:val="24"/>
          <w:szCs w:val="24"/>
          <w:u w:val="single"/>
        </w:rPr>
        <w:t xml:space="preserve">0%</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10</w:t>
      </w:r>
      <w:r>
        <w:rPr>
          <w:rFonts w:ascii="宋体" w:hAnsi="宋体" w:cs="宋体"/>
          <w:sz w:val="24"/>
          <w:szCs w:val="24"/>
        </w:rPr>
        <w:t xml:space="preserve">%。</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color w:val="000000"/>
          <w:sz w:val="24"/>
          <w:szCs w:val="24"/>
          <w:u w:val="single"/>
        </w:rPr>
        <w:t xml:space="preserve">2</w:t>
      </w:r>
      <w:r>
        <w:rPr>
          <w:rFonts w:hint="eastAsia" w:ascii="宋体" w:hAnsi="宋体" w:cs="Courier New"/>
          <w:sz w:val="24"/>
          <w:szCs w:val="24"/>
          <w:u w:val="single"/>
        </w:rPr>
        <w:t xml:space="preserve">0% </w:t>
      </w:r>
      <w:r>
        <w:rPr>
          <w:rFonts w:hint="eastAsia" w:ascii="宋体" w:hAnsi="宋体" w:cs="Courier New"/>
          <w:sz w:val="24"/>
          <w:szCs w:val="24"/>
        </w:rPr>
        <w:t xml:space="preserve">的违约金。</w:t>
      </w:r>
      <w:r>
        <w:rPr>
          <w:rFonts w:hint="eastAsia" w:ascii="宋体" w:hAnsi="宋体" w:cs="Courier New"/>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6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6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240"/>
        <w:spacing w:before="120" w:after="120"/>
        <w:rPr>
          <w:rFonts w:hint="eastAsia" w:hAnsi="宋体"/>
          <w:sz w:val="24"/>
          <w:szCs w:val="24"/>
        </w:rPr>
      </w:pPr>
      <w:r/>
      <w:bookmarkEnd w:id="188"/>
      <w:r/>
      <w:bookmarkEnd w:id="189"/>
      <w:r/>
      <w:bookmarkEnd w:id="190"/>
      <w:r>
        <w:rPr>
          <w:rFonts w:hint="eastAsia" w:hAnsi="宋体"/>
          <w:sz w:val="24"/>
          <w:szCs w:val="24"/>
        </w:rPr>
        <w:t xml:space="preserve">甲方：（公章）                       乙方：（公章）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11"/>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11"/>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11"/>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11"/>
        <w:ind w:firstLine="4800"/>
        <w:spacing w:before="120" w:after="120"/>
        <w:rPr>
          <w:rFonts w:hint="eastAsia" w:hAnsi="宋体"/>
          <w:sz w:val="24"/>
          <w:szCs w:val="24"/>
        </w:rPr>
      </w:pPr>
      <w:r>
        <w:rPr>
          <w:rFonts w:hint="eastAsia" w:hAnsi="宋体"/>
          <w:sz w:val="24"/>
          <w:szCs w:val="24"/>
        </w:rPr>
      </w:r>
      <w:r/>
    </w:p>
    <w:p>
      <w:pPr>
        <w:pStyle w:val="869"/>
        <w:jc w:val="center"/>
        <w:spacing w:before="145" w:after="145"/>
        <w:rPr>
          <w:rFonts w:hint="eastAsia" w:ascii="宋体" w:hAnsi="宋体"/>
          <w:b/>
          <w:sz w:val="30"/>
        </w:rPr>
      </w:pPr>
      <w:r>
        <w:rPr>
          <w:rFonts w:hint="eastAsia" w:ascii="宋体" w:hAnsi="宋体"/>
          <w:b/>
          <w:sz w:val="30"/>
        </w:rPr>
      </w:r>
      <w:r/>
    </w:p>
    <w:p>
      <w:pPr>
        <w:pStyle w:val="86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11"/>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11"/>
        <w:ind w:firstLine="840"/>
        <w:jc w:val="left"/>
        <w:spacing w:before="120" w:after="120"/>
        <w:rPr>
          <w:rFonts w:hint="eastAsia" w:hAnsi="宋体"/>
          <w:color w:val="000000"/>
          <w:sz w:val="24"/>
          <w:szCs w:val="24"/>
        </w:rPr>
      </w:pPr>
      <w:r>
        <w:rPr>
          <w:rFonts w:hint="eastAsia" w:hAnsi="宋体"/>
          <w:color w:val="000000"/>
          <w:sz w:val="24"/>
          <w:szCs w:val="24"/>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w:t>
      </w:r>
      <w:bookmarkEnd w:id="45"/>
      <w:r>
        <w:rPr>
          <w:rFonts w:hint="eastAsia" w:ascii="方正小标宋简体" w:hAnsi="方正小标宋简体" w:eastAsia="方正小标宋简体" w:cs="方正小标宋简体"/>
          <w:color w:val="000000"/>
          <w:sz w:val="36"/>
          <w:szCs w:val="36"/>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rPr>
      </w:r>
      <w:r/>
    </w:p>
    <w:p>
      <w:pPr>
        <w:pStyle w:val="869"/>
        <w:ind w:firstLine="480"/>
        <w:spacing w:line="264" w:lineRule="auto"/>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6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cs="宋体"/>
          <w:sz w:val="24"/>
        </w:rPr>
        <w:t xml:space="preserve">南京市第一医院是一所实力雄厚的三级甲等综合医院，在整合型医疗卫生服务体系的建设与实践方面，积累了近二十年的深厚底蕴，并形成了多层次、可推广的成</w:t>
      </w:r>
      <w:r>
        <w:rPr>
          <w:rFonts w:hint="eastAsia" w:ascii="宋体" w:hAnsi="宋体" w:cs="宋体"/>
          <w:sz w:val="24"/>
        </w:rPr>
        <w:t xml:space="preserve">熟经验。区域内尚未建立统一的医联体信息平台，各医疗机构信息系统独立建设、标准各异，形成数据壁垒。具体表现为：缺乏统一的号源池、床位资源、检查预约、远程诊断等核心业务系统，上下转诊仍主要依赖人工沟通，流程效率低且状态难以追踪；检验、检查报告无法在平台内自动流转与共享，居民电子健康档案及病历信息互认机制不完善，既造成重复检查、增加患者负担，也影响诊疗决策的连续性和科学性。结合医院的发展，迫切需要以信息化建设为基础支撑，构建统一的医联体分级诊疗数据平台，打通市一医院、社区卫生服务中心的信息系统，实现数据互联互通。</w:t>
      </w:r>
      <w:r>
        <w:rPr>
          <w:rFonts w:hint="eastAsia" w:eastAsia="仿宋"/>
          <w:sz w:val="24"/>
        </w:rPr>
        <w:t xml:space="preserve">          </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（二）项目建设遵循标准</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《关于全面推进紧密型县域医疗卫生共同体建设的指导意见》（国卫基层发〔2023〕41 号）</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《紧密型县域医疗卫生共同体建设评判标准和监测指标体系（2024 版）》</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《医共体信息平台基本交互规范》（正式版，2025）</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《医疗健康信息互联互通标准化成熟度测评方案（2023 版）》</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《双向转诊服务功能与技术规范》</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《紧密型县域医共体信息化建设指南及评价标准》</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《医院信息系统基本功能规范》</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《病历书写基本规范》</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《电子病历基本规范（试行）》</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《基于电子病历的医共体信息平台建设技术解决方案》</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《WS/T 447-2014 基于电子病历的医共体信息平台技术规范》</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《信息安全等级保护管理办法》</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《信息安全等级保护技术标准》三级</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《电子病历系统功能应用水平分级评价方法及标准（试行）》</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《卫生信息共享文档规范：总则》等22项数据交换标准（征求意见稿）</w:t>
      </w:r>
      <w:r>
        <w:rPr>
          <w:rFonts w:hint="eastAsia" w:ascii="宋体" w:hAnsi="宋体"/>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《医共体信息平台应用功能指引》</w:t>
      </w:r>
      <w:r>
        <w:rPr>
          <w:rFonts w:hint="eastAsia" w:ascii="宋体" w:hAnsi="宋体"/>
          <w:sz w:val="24"/>
          <w:szCs w:val="24"/>
        </w:rPr>
      </w:r>
      <w:r/>
    </w:p>
    <w:p>
      <w:pPr>
        <w:pStyle w:val="869"/>
        <w:ind w:firstLine="480"/>
        <w:spacing w:line="264" w:lineRule="auto"/>
        <w:rPr>
          <w:rFonts w:hint="eastAsia" w:ascii="宋体" w:hAnsi="宋体" w:cs="宋体"/>
          <w:bCs/>
          <w:color w:val="0000ff"/>
          <w:sz w:val="24"/>
          <w:szCs w:val="24"/>
        </w:rPr>
      </w:pPr>
      <w:r>
        <w:rPr>
          <w:rFonts w:hint="eastAsia" w:ascii="宋体" w:hAnsi="宋体"/>
          <w:sz w:val="24"/>
          <w:szCs w:val="24"/>
        </w:rPr>
        <w:t xml:space="preserve">招标文件涉及标准中未标年号的一律采用最新的标准；随着标准的修订，以修订后的最新标准为依据</w:t>
      </w:r>
      <w:r>
        <w:rPr>
          <w:rFonts w:hint="eastAsia" w:ascii="宋体" w:hAnsi="宋体" w:cs="宋体"/>
          <w:bCs/>
          <w:sz w:val="24"/>
          <w:szCs w:val="24"/>
        </w:rPr>
        <w:t xml:space="preserve">。</w:t>
      </w:r>
      <w:r>
        <w:rPr>
          <w:rFonts w:hint="eastAsia" w:ascii="宋体" w:hAnsi="宋体" w:cs="宋体"/>
          <w:bCs/>
          <w:color w:val="0000ff"/>
          <w:sz w:val="24"/>
          <w:szCs w:val="24"/>
        </w:rPr>
      </w:r>
      <w:r/>
    </w:p>
    <w:p>
      <w:pPr>
        <w:pStyle w:val="86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8"/>
        <w:gridCol w:w="1765"/>
        <w:gridCol w:w="677"/>
        <w:gridCol w:w="656"/>
        <w:gridCol w:w="982"/>
        <w:gridCol w:w="982"/>
        <w:gridCol w:w="1466"/>
        <w:gridCol w:w="843"/>
        <w:gridCol w:w="982"/>
        <w:gridCol w:w="1364"/>
      </w:tblGrid>
      <w:tr>
        <w:trPr>
          <w:trHeight w:val="888"/>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765"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677"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656"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c>
          <w:tcPr>
            <w:tcW w:w="1364"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587"/>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注册管理</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587"/>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2</w:t>
            </w:r>
            <w:r>
              <w:rPr>
                <w:rFonts w:hint="eastAsia" w:ascii="宋体" w:hAnsi="宋体"/>
                <w:bCs/>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消息提醒</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3</w:t>
            </w:r>
            <w:r>
              <w:rPr>
                <w:rFonts w:hint="eastAsia" w:ascii="宋体" w:hAnsi="宋体"/>
                <w:bCs/>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统计分析</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87"/>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cs="宋体"/>
                <w:bCs/>
                <w:sz w:val="24"/>
                <w:szCs w:val="24"/>
              </w:rPr>
              <w:t xml:space="preserve">4</w:t>
            </w:r>
            <w:r>
              <w:rPr>
                <w:rFonts w:hint="eastAsia" w:ascii="宋体" w:hAnsi="宋体"/>
                <w:bCs/>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接口管理</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ascii="宋体" w:hAnsi="宋体" w:cs="宋体"/>
                <w:bCs/>
                <w:sz w:val="24"/>
                <w:szCs w:val="24"/>
              </w:rPr>
            </w:pPr>
            <w:r>
              <w:rPr>
                <w:rFonts w:hint="eastAsia" w:ascii="宋体" w:hAnsi="宋体" w:cs="宋体"/>
                <w:bCs/>
                <w:sz w:val="24"/>
                <w:szCs w:val="24"/>
              </w:rPr>
              <w:t xml:space="preserve">服务</w:t>
            </w:r>
            <w:r>
              <w:rPr>
                <w:rFonts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系统配置</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lang w:bidi="ar"/>
              </w:rPr>
              <w:t xml:space="preserve">便捷就医系统</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lang w:bidi="ar"/>
              </w:rPr>
              <w:t xml:space="preserve">互联网诊疗系统</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lang w:bidi="ar"/>
              </w:rPr>
              <w:t xml:space="preserve">掌上医护系统</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预约规则引擎</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门诊排班及预约管理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床位排班及预约管理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检查排班及预约管理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转诊规则</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转诊路径</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上转流程管理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16</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下转流程管理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转诊设置</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18</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转诊排班</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center"/>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转诊预约一体化服务</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转诊统计管理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转诊积分激励</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协同门诊设置</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协同门诊流程管理</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24</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rPr>
              <w:t xml:space="preserve">协同门诊排班</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rPr>
            </w:pPr>
            <w:r>
              <w:rPr>
                <w:rFonts w:hint="eastAsia" w:ascii="宋体" w:hAnsi="宋体" w:cs="宋体"/>
                <w:sz w:val="24"/>
              </w:rPr>
              <w:t xml:space="preserve">首诊信息共享</w:t>
            </w:r>
            <w:r>
              <w:rPr>
                <w:rFonts w:hint="eastAsia" w:ascii="宋体" w:hAnsi="宋体" w:cs="宋体"/>
                <w:sz w:val="24"/>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26</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影像信息查阅</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27</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hint="eastAsia" w:ascii="宋体" w:hAnsi="宋体" w:cs="宋体"/>
                <w:sz w:val="24"/>
                <w:lang w:bidi="ar"/>
              </w:rPr>
            </w:pPr>
            <w:r>
              <w:rPr>
                <w:rFonts w:hint="eastAsia" w:ascii="宋体" w:hAnsi="宋体" w:cs="宋体"/>
                <w:sz w:val="24"/>
                <w:lang w:bidi="ar"/>
              </w:rPr>
              <w:t xml:space="preserve">第三方应用接入</w:t>
            </w:r>
            <w:r>
              <w:rPr>
                <w:rFonts w:hint="eastAsia" w:ascii="宋体" w:hAnsi="宋体" w:cs="宋体"/>
                <w:sz w:val="24"/>
                <w:lang w:bidi="ar"/>
              </w:rPr>
            </w:r>
            <w:r/>
          </w:p>
        </w:tc>
        <w:tc>
          <w:tcPr>
            <w:tcW w:w="677"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sz w:val="24"/>
                <w:szCs w:val="24"/>
              </w:rPr>
              <w:t xml:space="preserve">软件和信息技术服务业</w:t>
            </w:r>
            <w:r>
              <w:rPr>
                <w:rFonts w:hint="eastAsia" w:ascii="宋体" w:hAnsi="宋体"/>
                <w:bCs/>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r>
        <w:trPr>
          <w:trHeight w:val="592"/>
        </w:trPr>
        <w:tc>
          <w:tcPr>
            <w:tcW w:w="498" w:type="dxa"/>
            <w:vAlign w:val="top"/>
            <w:textDirection w:val="lrTb"/>
            <w:noWrap w:val="false"/>
          </w:tcPr>
          <w:p>
            <w:pPr>
              <w:pStyle w:val="869"/>
              <w:jc w:val="center"/>
              <w:spacing w:line="252" w:lineRule="auto"/>
              <w:rPr>
                <w:rFonts w:ascii="宋体" w:hAnsi="宋体" w:cs="宋体"/>
                <w:sz w:val="24"/>
                <w:szCs w:val="24"/>
              </w:rPr>
            </w:pPr>
            <w:r>
              <w:rPr>
                <w:rFonts w:hint="eastAsia" w:ascii="宋体" w:hAnsi="宋体" w:cs="宋体"/>
                <w:sz w:val="24"/>
                <w:szCs w:val="24"/>
              </w:rPr>
              <w:t xml:space="preserve">28</w:t>
            </w:r>
            <w:r>
              <w:rPr>
                <w:rFonts w:ascii="宋体" w:hAnsi="宋体" w:cs="宋体"/>
                <w:sz w:val="24"/>
                <w:szCs w:val="24"/>
              </w:rPr>
            </w:r>
            <w:r/>
          </w:p>
        </w:tc>
        <w:tc>
          <w:tcPr>
            <w:shd w:val="clear" w:color="auto" w:fill="ffffff"/>
            <w:tcW w:w="1765" w:type="dxa"/>
            <w:vAlign w:val="center"/>
            <w:textDirection w:val="lrTb"/>
            <w:noWrap w:val="false"/>
          </w:tcPr>
          <w:p>
            <w:pPr>
              <w:pStyle w:val="869"/>
              <w:jc w:val="center"/>
              <w:spacing w:line="360" w:lineRule="auto"/>
              <w:widowControl/>
              <w:rPr>
                <w:rFonts w:ascii="宋体" w:hAnsi="宋体" w:cs="宋体"/>
                <w:sz w:val="24"/>
                <w:lang w:bidi="ar"/>
              </w:rPr>
            </w:pPr>
            <w:r>
              <w:rPr>
                <w:rFonts w:hint="eastAsia" w:ascii="宋体" w:hAnsi="宋体" w:cs="宋体"/>
                <w:sz w:val="24"/>
                <w:lang w:bidi="ar"/>
              </w:rPr>
              <w:t xml:space="preserve">医联体平台运维</w:t>
            </w:r>
            <w:r>
              <w:rPr>
                <w:rFonts w:ascii="宋体" w:hAnsi="宋体" w:cs="宋体"/>
                <w:sz w:val="24"/>
                <w:lang w:bidi="ar"/>
              </w:rPr>
            </w:r>
            <w:r/>
          </w:p>
        </w:tc>
        <w:tc>
          <w:tcPr>
            <w:tcW w:w="677" w:type="dxa"/>
            <w:vAlign w:val="center"/>
            <w:textDirection w:val="lrTb"/>
            <w:noWrap w:val="false"/>
          </w:tcPr>
          <w:p>
            <w:pPr>
              <w:pStyle w:val="869"/>
              <w:jc w:val="center"/>
              <w:spacing w:line="360" w:lineRule="auto"/>
              <w:widowControl/>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r>
            <w:r/>
          </w:p>
        </w:tc>
        <w:tc>
          <w:tcPr>
            <w:tcW w:w="656" w:type="dxa"/>
            <w:vAlign w:val="center"/>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r>
            <w:r/>
          </w:p>
        </w:tc>
        <w:tc>
          <w:tcPr>
            <w:tcW w:w="982"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r>
            <w:r/>
          </w:p>
        </w:tc>
        <w:tc>
          <w:tcPr>
            <w:tcW w:w="1466" w:type="dxa"/>
            <w:vAlign w:val="center"/>
            <w:textDirection w:val="lrTb"/>
            <w:noWrap w:val="false"/>
          </w:tcPr>
          <w:p>
            <w:pPr>
              <w:pStyle w:val="869"/>
              <w:jc w:val="center"/>
              <w:spacing w:line="252" w:lineRule="auto"/>
              <w:rPr>
                <w:rFonts w:hint="eastAsia" w:ascii="宋体" w:hAnsi="宋体"/>
                <w:sz w:val="24"/>
                <w:szCs w:val="24"/>
              </w:rPr>
            </w:pPr>
            <w:r>
              <w:rPr>
                <w:rFonts w:hint="eastAsia" w:ascii="宋体" w:hAnsi="宋体"/>
                <w:sz w:val="24"/>
                <w:szCs w:val="24"/>
              </w:rPr>
              <w:t xml:space="preserve">软件和信息技术服务业</w:t>
            </w:r>
            <w:r>
              <w:rPr>
                <w:rFonts w:hint="eastAsia" w:ascii="宋体" w:hAnsi="宋体"/>
                <w:sz w:val="24"/>
                <w:szCs w:val="24"/>
              </w:rPr>
            </w:r>
            <w:r/>
          </w:p>
        </w:tc>
        <w:tc>
          <w:tcPr>
            <w:tcW w:w="843" w:type="dxa"/>
            <w:vAlign w:val="center"/>
            <w:textDirection w:val="lrTb"/>
            <w:noWrap w:val="false"/>
          </w:tcPr>
          <w:p>
            <w:pPr>
              <w:pStyle w:val="869"/>
              <w:jc w:val="center"/>
              <w:spacing w:line="252" w:lineRule="auto"/>
              <w:rPr>
                <w:rFonts w:hint="eastAsia" w:ascii="宋体" w:hAnsi="宋体" w:cs="宋体"/>
                <w:bCs/>
                <w:sz w:val="24"/>
                <w:szCs w:val="24"/>
              </w:rPr>
            </w:pPr>
            <w:r>
              <w:rPr>
                <w:rFonts w:hint="eastAsia" w:ascii="宋体" w:hAnsi="宋体" w:cs="宋体"/>
                <w:bCs/>
                <w:sz w:val="24"/>
                <w:szCs w:val="24"/>
              </w:rPr>
              <w:t xml:space="preserve">服务</w:t>
            </w:r>
            <w:r>
              <w:rPr>
                <w:rFonts w:hint="eastAsia" w:ascii="宋体" w:hAnsi="宋体" w:cs="宋体"/>
                <w:bCs/>
                <w:sz w:val="24"/>
                <w:szCs w:val="24"/>
              </w:rPr>
            </w:r>
            <w:r/>
          </w:p>
        </w:tc>
        <w:tc>
          <w:tcPr>
            <w:tcW w:w="982"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c>
          <w:tcPr>
            <w:tcW w:w="1364" w:type="dxa"/>
            <w:vAlign w:val="top"/>
            <w:textDirection w:val="lrTb"/>
            <w:noWrap w:val="false"/>
          </w:tcPr>
          <w:p>
            <w:pPr>
              <w:pStyle w:val="869"/>
              <w:jc w:val="center"/>
              <w:spacing w:line="252" w:lineRule="auto"/>
              <w:rPr>
                <w:rFonts w:hint="eastAsia" w:ascii="宋体" w:hAnsi="宋体"/>
                <w:bCs/>
                <w:sz w:val="24"/>
                <w:szCs w:val="24"/>
              </w:rPr>
            </w:pPr>
            <w:r>
              <w:rPr>
                <w:rFonts w:hint="eastAsia" w:ascii="宋体" w:hAnsi="宋体"/>
                <w:bCs/>
                <w:sz w:val="24"/>
                <w:szCs w:val="24"/>
              </w:rPr>
            </w:r>
            <w:r/>
          </w:p>
        </w:tc>
      </w:tr>
    </w:tbl>
    <w:p>
      <w:pPr>
        <w:pStyle w:val="869"/>
        <w:ind w:firstLine="480"/>
        <w:spacing w:line="264" w:lineRule="auto"/>
        <w:widowControl/>
        <w:rPr>
          <w:rFonts w:hint="eastAsia" w:ascii="宋体" w:hAnsi="宋体" w:cs="宋体"/>
          <w:bCs/>
          <w:color w:val="0000ff"/>
          <w:sz w:val="24"/>
          <w:szCs w:val="24"/>
          <w:lang w:val="zh-CN"/>
        </w:rPr>
      </w:pPr>
      <w:r>
        <w:rPr>
          <w:rFonts w:hint="eastAsia" w:ascii="宋体" w:hAnsi="宋体" w:cs="宋体"/>
          <w:bCs/>
          <w:color w:val="0000ff"/>
          <w:sz w:val="24"/>
          <w:szCs w:val="24"/>
          <w:lang w:val="zh-CN"/>
        </w:rPr>
      </w:r>
      <w:r/>
    </w:p>
    <w:p>
      <w:pPr>
        <w:pStyle w:val="86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9"/>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一、基础管理</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1.注册管理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注册管理是转诊协同门诊获取基础数据的渠道，注册管理包括：构信息管理、科室信息管理、医护人员信息管理功能。</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2.消息提醒</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 在转诊过程中，为了流程运转更流畅，响应更及时，系统会在转诊的申请、审核、审核通过环节，通过短信通知到下一环节处理人。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 通知对象包括机构审核人、接诊医生、申请医生、转诊患者等。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 在协同门诊过程中，为了流程运转更流畅，响应更及时，系统会在协同门诊的申请、审核、审核通过环节，通过短信通知到下一环节处理人。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 通知对象包括机构审核人、受邀医生、申请医生、患者等。</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▲3.统计分析</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1)对转诊情况进行分析，使管理者可以更好的了解区域内双向转诊业务的开展情况。包括各机构的上转、下转的转入转出数量，门诊转诊、住院转诊；按区域统计转诊量；按医生统计等。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2)对协同门诊情况进行分析，使管理者可以更好的了解区域内协同门诊业务的开展情况。包括各机构的申请、受邀数量，按医生统计等。</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4.接口管理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1)系统提供页面供采购人HIS系统及相关系统接入：包括转诊协同门诊申请页面，审核页面，申请单列表页面等，在调入页面时，可以带入相关数据。减少对接工作量与医生的操作量。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2)同时提供服务接口，供有需要的机构采用医院自绘页面，通过服务传输数据。</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5.系统配置</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1)诊断维护：诊断分类、归属病种的配置。可在下诊断时选到本页面的诊断，并可将诊断对应到本页面维护的相应病种。病种可自定义。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2)词典维护：关键词的配置，包括否定词、分隔符等。用于在分析文本时判断文本中包含的症状。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3)症状维护：症状关键词及相关近义词的配置，配置后可在维护转诊规则时选到。在诊断时可根据规则维护的症状分析文本中是否包含需转诊症状。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4)转诊规则：转诊规则可维护在符合什么条件时提醒或建议转诊，包括病种、诊断、症状年龄和各项指标等。下诊断后可根据维护的规则自动判断是否需要转诊。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5)机构对照：机构外部编码的配置，可将本系统内机构信息和外部机构信息配对。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6)科室对照：科室外部编码的配置，可将本系统内科室信息和外部科室信息配对。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7)人员对照：人员外部编码的配置，可将本系统内人员信息和外部人员信息配对。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二、便民惠民（可复用）</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6.便捷就医系统</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（1）门诊挂号缴费管理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1)医院介绍：需支持用户通过手机对医院相关情况进行查询，包含医院介绍、就医流程介绍等内容。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2)科室介绍：需支持用户通过手机对科室相关情况进行查询。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3)医生介绍：需支持用户通过手机对医生信息进行查询。支持查阅医生擅长、排班等信息，支持收藏医生，对已收藏的医生，可以通过我的收藏快速找到。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便捷寻医：系统需支持便捷寻医功能，向患者提供一个多维度的寻医方式，患者可通过收藏的医生、疾病、医院等，选择自己希望前往的医院。为方便患者找到医院。在患者服务门户端，用户可以通过点击查询到医院地图，选择交通指引功能，系统支持跳转第三方地图服务，如高德地图、百度地图，实现患者所在位置到医院的定位导航。</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5)支持查询医院各个楼层的室内静态平面图。方便患者按照自身就医需求寻找到对应的科室。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6)门诊就医指引：需支持通过移动端向用户展示门诊就医流程指引，包括挂号、候诊、缴费、检查检验、取药流程。支持以卡片形式展示用户本人和家人的门诊待办事项，以便查看详情及快速完成服务。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7)电子健康卡对接：通过对接电子健康卡系统，支持用户在线申领电子健康卡、完善个人电子健康卡相关信息</w:t>
      </w:r>
      <w:r>
        <w:rPr>
          <w:rFonts w:hint="eastAsia" w:ascii="宋体" w:hAnsi="宋体"/>
          <w:sz w:val="24"/>
          <w:szCs w:val="24"/>
          <w:lang w:eastAsia="zh-CN"/>
        </w:rPr>
        <w:t xml:space="preserve">，</w:t>
      </w:r>
      <w:r>
        <w:rPr>
          <w:rFonts w:hint="eastAsia" w:ascii="宋体" w:hAnsi="宋体"/>
          <w:sz w:val="24"/>
          <w:szCs w:val="24"/>
        </w:rPr>
        <w:t xml:space="preserve">并支持在线使用电子健康卡处理就诊业务。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8)价格公示：需支持在移动端对医院药品和检查治疗等项目的价格进行公示，用户可以通过中文名或拼音首字母查询的形式定位到相应项目。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9)个人信息：需支持用户对自身资料进行编辑，用户注册账户之后，系统支持完善用户个人信息，需填写姓名、证件类型、证件号码、性别、出生日期、手机号码。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10)就诊人管理：就诊人管理需支持用户新增、修改、删除就诊人。</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11)实名认证：系统需支持对接实名认证通道。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12)门诊账户充值：需支持患者通过微信、支付宝等途径对账户进行充值并可对账户余额、充值记录进行实时的查询，账户额度可用于就诊费用的快捷支付。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门诊预约挂号：需支持用户通过移动端应用随时随地便捷预约挂号功能；基于医院的挂号资源进行开发，可以结合分时段预约系统实现对应时间段的全号源预约服务。用户可以使用当日挂号功能进行当天号源选择并挂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门诊缴费：需支持用户对门诊待支付项目进行查询，方便用户选择待支付项目进行诊间支付，支持支付宝、微信、银联等第三方支付与掌上储值账户支付；同时支持对已支付项目进行查询，便于用户掌握自己的支付历史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15)扫码执行：需支持已支付的项目在移动端应用生成业务信息条码，并引导用户到相应窗口执行下一步操作，包括检查取药在内的流程，都可以通过扫码对信息进行识别；医护人员扫描条形码完成业务操作的核对及记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16)门诊流调表：需支持患者通过填写流行病学调查表，获取门诊患者院内通行码。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17)健康资讯：为用户提供健康教育、线下活动、相关政策等健康指导信息：如根据季节、天气变化等提供疾病预防相关提醒信息；针对孕妇、老人、儿童等特殊人群提供医疗卫生保健知识；针对高血压、糖尿病等慢性病患者提供健康行为、饮食运动等指导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18)智能导诊对接：系统需支持对接第三方导诊服务，针对患者盲目就诊或者不知道如何就诊的情况，通过专业分诊规则知识库实现患者通过移动端应用获取自我健康筛查及相关导诊服务。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（2）住院缴费结算管理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1)住院预交金：实现用户通过移动端应用在线充值住院预缴金，也支持对历史充值明细信息、预缴金余额信息进行查询。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2)每日清单：针对住院用户，需支持通过移动端应用对住院费用清单进行查询，了解自己当日所花费用的明细情况。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出院结算：需支持住院患者在线查询住院期间的结算信息，并支持自费患者在移动端进行出院前的费用结算；系统需支持对接院内系统，在下达出院医嘱后，院内系统可将患者费用进行结算，对于自费患者需要补缴的部分，患者可以通过患者端进行费用补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4)住院宣教：需支持门诊患者和住院患者可查看系统推送给患者的健康宣教内容，支持文字、音频和视频模式。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（3）移动端就诊服务管理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1)院内导航对接：系统需支持对接院内导航服务，集物理定位和业务信息为一体，打造移动化、自助化、智能化的院内导航、移动导诊服务体系。</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2)签到取号：已进行过挂号预约的用户当天到医院以后，在医院方圆1000米（支持系统定义实际签到距离）以内，支持进行签到取号，无需到自助机或窗口排队取号。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3)排队叫号：签到取号完成后，进入科室排队叫号队列；用户可以通过候诊队列信息查询功能，实时展示用户当前候诊队列信息，帮助用户对候诊时间进行大致估算。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4)病历复印：需支持患者出院后，在移动端办理出院病案复印申请、预约自提、快递邮寄、状态查询等业务。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住院电子通行证：需支持住院患者家属可在线申请住院患者陪护证，查询审核结果。审核通过后，陪护人可凭借陪护证进出医院；住院患者家属可在线申请住院患者探视证预约指定日期的探视，查询审核结果。审核通过后，可至病区核销探视证，进入病区探视。管理后台可设置每日探视人数预约上限，单次探视时长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（4）移动端预约服务管理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1)检验预约对接：需支持对接检验预约平台或者全院资源统一预约平台进行检验资源预约。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2)检查预约对接：需支持对接检查预约平台或者全院资源统一预约平台进行检验资源预约。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住院预约对接：需支持对接入院准备中心系统，在医生开出电子住院单后，平台支持用户通过移动端应用进行住院预约，包含住院日期、床位，住院基本信息确认登记，入院准备中心工作人员审核确认后，反馈给用户预约结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4)治疗预约对接：平台需支持对接治疗预约系统，支持用户通过互联网医院进行治疗套餐、项目的预约、支付以及治疗注意事项的提醒，支持用户支持对治疗报告结果进行查询。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手术预约对接：需支持对接日间手术预约管理系统。管理系统开放号源，在患者支付对应费用后，可向患者提供可供预约的号源。结合医生、患者自身时间安排，提前进行预约，提升患者对于日间手术的满意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（5）移动端就诊查询管理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1)费用查询：针对门诊用户，平台需支持实现用户通过移动端应用对门诊过程中产生的相关费用明细情况进行查询的功能，让用户能够明确了解自己每一笔门诊费用支出情况。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报告查询：需支持门诊、住院报告的在线查询服务。用户在医院做完检查检验项目，出具报告后，能够通过移动端应用收到完成的通知，并对检查、检验报告的详细内容进行查询，方便用户继续完成就诊或复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3)手术查询：患者家属能够在移动端实时查询手术进展情况；手术状态变化时，推送消息提醒家属，方便家属了解患者的手术情况。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健康记录：需支持用户查看通过移动端预约的门诊预约挂号记录，并对预约详情进行查询，若用户日程有变化，可以通过预约记录，取消本次预约；需支持用户在移动端查询历史的门诊就诊记录、住院记录、云门诊记录、复诊配药记录，以及相应的就诊病历信息，包含门诊病历、处方、处置、检查检验报告、出院小结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5)自我健康助手：用药提醒功能实现用户通过移动端应用</w:t>
      </w:r>
      <w:r>
        <w:rPr>
          <w:rFonts w:hint="eastAsia" w:ascii="宋体" w:hAnsi="宋体"/>
          <w:sz w:val="24"/>
          <w:szCs w:val="24"/>
        </w:rPr>
        <w:t xml:space="preserve">对自我或者家人的用药情况进行提醒；通过管理后台，相关人员可以维护发布健康宣教知识，支持对知识进行分类发布。管理员审核通过后，居民即可通过移动端查询已发布的健康宣教，起到医学知识宣贯的作用；需支持健康资讯功能，可以定时或者不定时的发布相关健康资讯详情，可以针对广大群众基础进行科普教育；需支持对接临床知识库内核，通过对接临床知识库的知识查询页面，将知识库内容进行梳理展现，提升居民的医学素养，包含：疾病库、药品库、检验库、检查库、临床路径等专业医学知识，提升居民对医学知识的掌握程度，提升对于医生治疗方案的配合度。</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6)出院带药：需支持患者出院后，在移动端应用上查看历次出院带药的处方信息、药品服用方式等信息。</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7.互联网诊疗系统</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（1）在线问诊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1)云诊室-患者端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居民可以通过移动端应用预约有在云诊室排班的专家医生在云诊室提供医患视频互动、互联网诊疗服务。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系统管理人员在后台对云诊室医生进行排班后，需支持患者可使用云预约模块根据自身需求快速预约云诊室号源。预约之后需要填写病情描述及历史诊断，可以上传病历图片。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患者预约挂号完成后，需支持通过移动端应用直接对挂号费用进行支付，支付后，即可进行云候诊。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云候诊功能即线上的叫号模块，患者进入候诊队列等待医生叫号，可通过此模块查询当前医生队列候诊情况，在到达预约时间前一段时间平台会以短信或消息的方式提醒居民。</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根据居民预约情况，医生向居民发起在线视频问诊请求。居民接受后即可通过音视频通道与医生进行实时沟通。</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2）云诊室-医生端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需支持医生查看预约自己云诊室号源的患者，确认接诊后医生与患者进行图文沟通，录入电子病历，开具处方。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平台需支持医生通过Web应用、移动端对自己的云诊室预约列表进行查询，方便医生及时了解自己的工作任务以及对应患者的具体健康信息，对工作进行规划安排。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医生可在到达预约时间向居民发起视频请求，居民通过后即可实现在线的视频诊疗；如果居民未及时响应，医生可将该居民的排队序号根据设置的规则安排一个新的排队序号。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需支持医患双方通过即时通讯进行在线文字、语音、图片互动。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（2）在线医嘱</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1）在线处方：视频问诊结束后，需支持医生在线书写就诊病历，提交后回传至院内病历管理系统。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2）处方基础服务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患者历史就诊记录、自述病情资料等信息作为医生为患者进行疾病诊治的辅助依据，在明确病情后，医生可酌情在线为复诊患者开具电子处方以对症治疗。</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对接平台APP、Web等相关应用，提供在线处方相关的后台基础服务。</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实现互联网医院平台互联网诊疗标准药品目录的维护。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设置本机构药品目录，并与标准目录进行对照。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对接相应药房，获取库存信息。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需支持医生开具互联网诊疗在线处方，提供处方录入的新组、删除、新处方、删除处方、复制处方、保存、关闭等操作功能，同时提供常用药等助手功能。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平台药品订单的全程追踪，要求实现闭环管理。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对接物流对接系统，满足药品送货上门需求。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预留处方流转平台接口，满足项目未来处方流转的需求。</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3）检查检验开单：医生可以在线给患者下达医嘱，医嘱支持多种类型，除了药品处方外，还需支持检查检验申请。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4）协同门诊:患者可在基层医生陪同下通过协同门诊功能，预约上级医院医生的视频协同门诊。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5）发起预约：基层医生按照上级对接医院的排班号源，依次选择需要预约的机构、科室及专家医生查看医生排班，随后选择预约的日期，最后选择号源的时间段。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6）双方在线视频问诊：在就诊当日基层医生提前登录云诊室平台，患者、基层医生、上级医生进行三方会诊沟通。</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（3）复诊配药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1）复诊配药-患者端：对于在离院后3月内有常见病、慢性病线下就诊记录的患者用户，系统需支持发起在线复诊配药。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2）复诊配药-医生端：需支持医生通过APP在线为慢病患者进行复诊续方。</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（4）在线咨询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1）在线咨询-患者端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患者通过移动端应用查询平台提供在线咨询服务的医生，支持对医生的擅长、简介、历史评价等信息进行查询。根据自身需求选择图文咨询、电话咨询、视频咨询，并上传个人病情描述及相关照片，并支付咨询费用。选择电话、视频咨询的患者需要选择咨询时间。</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需支持通过文字、图片、语音形式，与医生进行咨询互动。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需支持通过文字、图片、语音及电话的形式，与医生进行咨询互动，电话由医生发起，平台会对双方号码做隐私保护。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需支持通过文字、图片、语音及视频通话的形式，与医生进行咨询互动，视频通话申请由医生发起。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2）在线咨询-医生端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需支持医生通过平台查询自己在线咨询服务的申请信息，以及患者上传的病情描述和图片信息，选择是否接诊。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需支持图文咨询服务，能够通过文字、图片、语音形式，与患者进行咨询互动。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需支持电话咨询服务，能够通过文字、图片、语音及电话的形式，与患者进行咨询互动，电话由医生发起，平台会对双方号码做隐私保护。咨询服务结束之后，需要录入问诊小结。</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需支持视频咨询服务，能够通过文字、图片、语音及视频通话的形式，与患者进行咨询互动，视频通话申请由医生发起。咨询服务结束之后，需要录入问诊小结。</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8.掌上医护系统</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1）门诊患者管理：需支持以列表的形式对预约前来门诊就诊以及已就诊的患者进行查询，并对患者的本次及历史就诊信息，例如检查检验报告、以往门诊病历、药品处方、处置记录等信息进行查询。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2）住院患者管理：需支持以列表的形式对住院患者的医疗信息数据进行查询。包括住院患者的医嘱信息、报告信息、费用信息以及患者病情的危重状态，过敏药物提醒，欠费提醒。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3）病历审核：医生可以在移动端收到需要质控的病历提醒消息，医生可以在线查看质控详情并进行处理确认。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4）手术排班：需支持医生在线查询自己的手术排班信息，提前进行手术准备工作。支持医生查看本人和全科的手术排班信息。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院内会诊：需支持对接院内会诊系统，实现院内会诊申请、审批功能。医生在医生站发起院内会诊申请后，系统及时通知到受邀医生，通过掌上医护移动端实时查看会诊详情，在参与会诊结束后，可直接在移动端录入提交会诊意见，同时申请医生也可实时查看会诊进度和会诊意见。</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6）危急值管理：需支持提醒医生关注患者的危急值信息，若医生未在规定时间内处理提醒信息，会按照规则逐级通知下一级处理人员。</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7）抗菌药物管理：根据医生权限，需支持医生通过移动端应用发起抗菌药物申请或者对其他医生的药物申请进行审核。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门诊排班：需支持医生查看本人门诊业务的排班情况，也可搜索查看院内他人的排班情况；也支持按照需求申请停诊。通过APP查询管理门诊排班情况和互联网诊疗排班情况，有权限的医生可以对自己的互联网诊疗排版进行在线维护，并可通过对接HIS，实现在线停诊申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8）电子通行证核发</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需支持针对住院患者陪护人员和探视人员的信息化管理。需实现住院患者家属可在线申请住院患者陪护证，查询审核结果。医生可以通过移动端进行审核，审核通过后，陪护人可凭借陪护证进出医院。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住院患者家属可在线申请住院患者探视证预约指定日期的探视，查询审核结果。审核通过后，可至病区核销探视证，进入病区探视。管理后台可设置每日探视人数预约上限，单次探视时长等。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9）停诊申请审批：具备审核权限的医生，可在移动端收到并查看其他医生发出的停诊申请，可在线完成审核。</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10）院内公告:系统需支持医生日常工作中通过医生端及时获取院内最新的公告信息，如医院资讯、院内通知、信息公告等。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11）病历夹：医生可以对自身管理的病历进行收藏，并可通过病历夹功能，对收藏的病历进行资料调阅。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12）健康百科：通过对接医院临床知识库提供的相关查询页面，提供给医生使用的医学辅助工具，包括药品百科、疾病百科、检查百科、检验百科、临床路径等。</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13）医学计算：提供给医生各种医学计算器，辅助医学诊疗，提高效率。支持医生收藏常用的医学计算器。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14）数字水印：为了确保用户信息安全，在数据安全的前提下，对医生移动化办公进行相应管理。医生在查询患者病历、患者医嘱等资料时，需支持显示自身姓名及工号和姓名。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三、资源共享（可复用）</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9.预约规则引擎</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应提供最大可预约天数限制功能；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应提供预约至少提前天数，预约取消提前时间、放号时间等限制功能；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应提供同一身份证用户同一天最多可以取消次数，最大可预约数等限制；</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应支持对各种不同资源分别设定规则；</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应提供最大可预约天数限制功能；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应提供预约至少提前天数，预约取消提前时间、放号时间等限制功能；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应支持对各种不同资源分别设定规则；</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应支持限制预约人的年龄、性别；</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应支持黑名单规则自定义。</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10.门诊排班及预约管理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应支持按科室进行排班；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应支持按医生进行排班资源维护；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应支持医生跨科室出诊；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应支持配置医生及科室的默认出诊费用；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应支持按周编制排班计划；</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应支持编制门诊排班的号源数；</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应支持排班号源按号源池分配；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应支持按照排班计划手动或自动生成号源；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应支持分时段号源；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应支持不限号模式；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应支持加号功能；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可以选择长期停诊、单日停诊，可以对科室和医生进行停诊；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当需停诊的排班资源为医生时，可选择其他医生进行替诊；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替诊不影响已生成的号源。停诊会对影响到的居民进行通知；</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居民通过平台在各医院预约了号源后，订单信息将在平台做统一汇总，作为平台做预约限制的主要依据，同时也为区域卫健委的统计分析提供数据支撑。</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11.床位排班及预约管理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由医院将留出来给到其他医院转诊时使用的床位，按科室进行发布；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对于不同类别的资源类型，采用不用颜色进行标识；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床位资源排班信息中，由床位总数和可预约数两个部分组成。</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12.检查排班及预约管理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需提供检查队列维护；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需提供检查收费组套维护；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需提供检查类型-项目-部位组套维护；</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需支持根据队列进行排班并生成号源。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四、智能转诊管理</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13.转诊规则</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为提高转诊率，分级诊疗平台根据国家双向转诊管理办法，为医生提供转诊建议。在医生就诊时，可以将诊疗数据主动或者自动推送到分级诊疗平台。由系统返回是否建议转诊的结果，提高转诊有效性。</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14.转诊路径</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为了指导医生可以更方便更精确的进行转诊，各机构可以设置本机构的转诊路径，在转诊时，系统会根据转诊路径的设置进行优先推荐。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转诊路径可以根据诊断、当前就诊科室、机构进行推荐。</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五、双向转诊系统</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★15.上转流程管理</w:t>
      </w:r>
      <w:r>
        <w:rPr>
          <w:rFonts w:hint="eastAsia" w:ascii="宋体" w:hAnsi="宋体"/>
          <w:b/>
          <w:bCs/>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转诊申请：社区卫生服务机构的诊疗服务人员，在接诊社区患者之后，经过本院的诊断治疗，如果患者达到双向转诊标准，诊疗服务人员可以通过区域协同医疗分级诊疗平台提交转诊申请单，并填写相关转诊信息和病情摘要，选择相应的转诊申请接收机构，保存并发送转诊申请单。</w:t>
      </w:r>
      <w:r>
        <w:rPr>
          <w:rFonts w:ascii="SimSun" w:hAnsi="SimSun" w:eastAsia="SimSun" w:cs="SimSun"/>
          <w:color w:val="000000"/>
          <w:sz w:val="24"/>
          <w:highlight w:val="white"/>
        </w:rPr>
        <w:t xml:space="preserve">分级诊疗平台应和医疗机构系统对接，医疗机构将自动获取患者基本信息和本次就诊病情摘要，方便医生工作，提高信息准确性</w:t>
      </w:r>
      <w:r>
        <w:rPr>
          <w:rFonts w:hint="eastAsia" w:ascii="宋体" w:hAnsi="宋体"/>
          <w:sz w:val="24"/>
          <w:szCs w:val="24"/>
        </w:rPr>
        <w:t xml:space="preserve">。</w:t>
      </w:r>
      <w:r>
        <w:rPr>
          <w:sz w:val="21"/>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2）转诊类型：双向转诊上转的业务根据业务不同可分为三个类型：门诊、住院、检查三个方面。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3）转诊审核：转诊过程中，需要设置审核环节，包括申请方审核与受邀方审核，审核通过后方可进行后续流程。审核环节可以根据医院设置成是否免审直接通过。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接诊安排：审核通过的转诊申请单发送到相应的接诊机构，接诊机构负责双向转诊协调的部门要及时处理发送给本机构的转诊申请，根据本机构的医疗资源情况决定是否同意接诊。若同意接诊，为该转诊申请安排接收预约（计划时间、医生、科室、 床位），安排后批复给转诊申请机构。</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5）转诊接收:就诊患者按照转诊接收安排在指定时间前去相应的接收机构，接诊人员处理转诊单，患者进入接诊医院就诊流程。接诊处理要在转诊单上记录接诊业务完成信息。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6）反馈治疗结果:转诊患者完成就诊后，接诊医生反馈患者在接诊医院的资料结果，不同类型的转诊根据需要反馈的结果提供不同的反馈样式。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7）转回:当患者在上级机构治疗后，发现病情已经基本康复达到下转标准，且仍需要在一段时间内进行身体康复及健康监测时。可以通过区域协同医疗分级诊疗平台进行下转，可以转回原机构也可以转回到患者所在的社区卫生院。</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★16.下转流程管理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大型医院直接下转社区的转诊流程分为：申请、审核、接诊、回复等几个部分。医院提出下转申请，医院内部管理审核（可选择是否需要审核），社区内部管理接诊审核（可选择是否需要审核），社区康复治疗，治疗结束或有阶段性结果向平台发出通知，平台自动通知医院该患者治疗结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转诊申请:综合医院在收治病人发现病情已经基本康复达到下转标准，且仍需要在一段时间内进行身体康复及健康监测时。可以通过区域协同医疗分级诊疗平台提交转诊申请单，并填写相关转诊信息和病情摘要，选择相应的转诊申请接收机构，保存并发送转诊申请单。分级诊疗平台应和医疗机构的现有系统接口，医疗机构将自动获取患者基本信息和本次就诊病情摘要，方便医生工作，提高信息准确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2）转诊类型:双向转诊下转的业务根据业务不同可分为三个类型：门诊、住院、检查三个方面。不同类型的转诊需要。检查转诊多数情况下不需要使用，系统提供此功能适应特殊场景。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3）转诊审核:转诊过程中，需要设置审核环节，包括申请方审核与受邀方审核，审核通过后方可进行后续流程。审核环节可以根据医院设置成是否免审直接通过。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接诊安排:审核通过的转诊申请单发送到相应的接诊机构，接诊机构负责双向转诊协调的部门要及时处理发送给本机构的转诊申请，根据本机构的医疗资源情况决定是否同意接诊。若同意接诊，为该转诊申请安排接收预约（计划时间、医生、科室、 床位），安排后批复给转诊申请机构。</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5）转诊接收:就诊患者按照转诊接收安排在指定时间前去相应的接收机构，接诊人员处理转诊单，患者进入接诊医院就诊流程。接诊处理要在转诊单上记录接诊业务完成信息。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6）反馈收治情况:患者在下级医院收治后，基层医生可以编写反馈意见，如到诊情况、恢复情况，身体健康状态等。</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★17.转诊设置</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1）审核设置:不同医联体及机构有不同的业务流程及需求，转诊的审核环节可根据医院进行设置是否需要，转入审核及转出审核应可独立设置。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2）资源使用模式:根据医院转诊安排模式的不同，当其他机构申请转诊到本机构时，支持使用不同的资源模式。支持按机构机构选择一种及以上的资源方式。</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3）配额模式（绿色通道）:机构单独维护一部分号源供转诊使用，不与其他正常使用的号源重复</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4）在线预约模式:机构可以选择实时挂号模式，选择此模式时，转诊时调用对应号源的预约接口，转诊的同时完成号源预约，此模式需要与机构的预约挂号接口进行对接，完成对接后方可使用。</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5）资源安排设置:使用绿色通道模式的机构，可以按机构设置当其他机构申请转诊到本机构时，可以设置申请时指定的资源粒度，指定到医生、指定到科室、指定至医院。配合医院的业务流程。</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★18.转诊排班</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机构可以根据分级诊疗政策，在实际允许情况下，分一部分号源（配额模式）在系统中维护上，给到区域内的其他医院的转诊患者，用以引导分级诊疗政策的落实同时可以分流转诊患者前来就诊的时间。</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19.转诊预约一体化服务</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区域内已经开通了线上统一预约服务时，可以将让转诊患者直接使用线上的正常号源进行预约。由分级诊疗系统对接预约挂号服务，在转诊申请单发出的同时，完成号源预约。</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▲20.转诊统计管理</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系统支持根据医院、医生统计转诊量，支持用户设置查询条件后自定义查询，支持统计结果导出EXCEL表格并下载。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1)医院转诊统计:在统计分析报表展示界面展示“医院转诊统计表”，主要展示内容为医院接收转诊业务人次汇总的统计数据，可通过选择具体的日期或者医院来进行相关查询。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2)预约检查统计:在统计分析报表统计检查转诊业务人次汇总的统计数据，可通过选择具体的日期或者医院来进行相关查询。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3)门急诊转诊患者明细:在统计分析报表统计门诊报表业务，可通过选择具体的日期或者医院来进行相关查询。</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4)住院转诊患者明细:在统计分析报表统计住院转诊业务人次，可通过选择具体的日期或者医院来进行相关查询。</w:t>
      </w:r>
      <w:r>
        <w:rPr>
          <w:rFonts w:hint="eastAsia" w:ascii="宋体" w:hAnsi="宋体"/>
          <w:sz w:val="24"/>
          <w:szCs w:val="24"/>
        </w:rPr>
      </w:r>
      <w:r/>
    </w:p>
    <w:p>
      <w:pPr>
        <w:pStyle w:val="869"/>
        <w:ind w:firstLine="480"/>
        <w:spacing w:line="264" w:lineRule="auto"/>
        <w:rPr>
          <w:rFonts w:hint="eastAsia" w:ascii="宋体" w:hAnsi="宋体"/>
          <w:b/>
          <w:bCs/>
          <w:sz w:val="24"/>
          <w:szCs w:val="24"/>
        </w:rPr>
      </w:pPr>
      <w:r>
        <w:rPr>
          <w:rFonts w:hint="eastAsia" w:ascii="宋体" w:hAnsi="宋体"/>
          <w:sz w:val="24"/>
          <w:szCs w:val="24"/>
        </w:rPr>
        <w:t xml:space="preserve">▲</w:t>
      </w:r>
      <w:r>
        <w:rPr>
          <w:rFonts w:hint="eastAsia" w:ascii="宋体" w:hAnsi="宋体"/>
          <w:b/>
          <w:bCs/>
          <w:sz w:val="24"/>
          <w:szCs w:val="24"/>
        </w:rPr>
        <w:t xml:space="preserve">21.转诊积分激励</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提供转诊类型提供积分激励机制，对有效转诊提供积分考核，按照转出医疗机构展示积分排名、转出医生积分排名，积极推动转诊业务开展。</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六、协同门诊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在分级诊疗体系中的远程协同门诊，主要面向医联体（医共体）间上级医生对于基层医生的远程指导和协同门诊。通过互联网技术实现基层医疗机构与上级医院专家实时联动的新型医疗服务模式，旨在解决群众就医难题并推动医疗资源下沉。基层医生在诊疗中遇到疑难病例时，可通过系统发起远程协同请求，与上级医院专家进行视频会诊，实时共享患者病历、检查报告等信息，通过专家会诊意见确定后续的治疗方案。</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★22.协同门诊设置</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1)审核设置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不同医联体及机构有不同的业务流程及需求，协同门诊的审核环节可根据医院进行设置是否需要，申请方审核及受邀方审核应可独立设置。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对于不同的协同门诊类型，审核的要求也可以独立设置。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2)资源安排设置</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根据医院转诊安排模式的不同，当其他机构申请本机构进行协同门诊时，可以设置申请时指定的资源粒度，指定到医生、指定到科室、指定至医院。允许机构独立设置，配合医院的业务流程。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指定到号源时，需要先进行排班，然后由申请方根据协同门诊的排班进行申请。</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23.协同门诊流程管理</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协同门诊申请：基层卫生服务机构的诊疗服务人员，在就诊过程中发现有患者的病情较为复杂而不紧急，或本机构无相应的治疗能力且患者无法前往上级医院时。可以通过申请上级医疗机构进行远程协同门诊，共同诊治患者。诊疗服务人员可以通过区域协同医疗分级诊疗平台提交协同门诊申请单，并填写相关协同门诊信息和病情摘要，选择相应的协同门诊申请接收机构，保存并发送协同门诊申请单。分级诊疗平台应和医疗机构的现有系统接口，医疗机构将自动获取患者基本信息和本次就诊病情摘要，方便医生工作，提高信息准确性。</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2)交互式远程协同门诊：通过视频会议系统与远程协同门诊管理系统，支持协同门诊专家与申请医生、患者间的实时交互式远程协同门诊。协同门诊医生可通过视频会议、音视频、桌面共享等技术，对患者病</w:t>
      </w:r>
      <w:r>
        <w:rPr>
          <w:rFonts w:hint="eastAsia" w:ascii="宋体" w:hAnsi="宋体"/>
          <w:sz w:val="24"/>
          <w:szCs w:val="24"/>
          <w:lang w:val="en-US" w:eastAsia="zh-CN"/>
        </w:rPr>
        <w:t xml:space="preserve">情</w:t>
      </w:r>
      <w:r>
        <w:rPr>
          <w:rFonts w:hint="eastAsia" w:ascii="宋体" w:hAnsi="宋体"/>
          <w:sz w:val="24"/>
          <w:szCs w:val="24"/>
        </w:rPr>
        <w:t xml:space="preserve">进行讨论，并可调阅患者电子健康档案，。通过浏览远程协同门诊的各类病历资料，包括患者基本信息、初步诊断、协同门诊目的、病程记录、影像、心电、检验等检验检 查数据或图片；编写、修改与发布专家协同门诊报告。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离线式远程协同门诊:通过远程协同门诊管理系统，支持协同门诊专家与申请医生间的非实时离线式远程协同门诊；支持申请医生提交协同门诊申请信息和病历资料；协同门诊专家根据实际情况，非实时浏览协同门诊申请信息 和病理资料，并编写和发布协同门诊报告；申请医生再浏览协同门诊报告。通过浏览远程协同门诊的各类病历资料，包括患者基本信息、初步诊断、协同门诊目的、病程记录、影像、心电、检验、病理等检验检 查数据或图片；编写、修改与发布专家协同门诊报告。</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4)协同门诊审核:协同门诊过程中，需要设置审核环节，包括申请方审核与受邀方审核，审核通过后方可进行后续流程。审核环节可以根据医院设置成是否免审直接通过。</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5)协同门诊医生安排:审核通过协同门诊申请单发送到相应的接诊机构，接诊机构负责协同门诊协调的部门要及时处理发送给本机构的协同门诊申请，根据本机构的医疗资源情况及病例情况决定是否同意协同门诊。若同意，安排具体的协同门诊医生。</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6)协同门诊报告填写:协同门诊完成后，有协同门诊组长负责填写协同门诊报告，其余协同门诊组员出具各自的协同门诊意见供组长参考。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24.协同门诊排班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根据协同门诊类型的不同，协同门诊资源分为图文协同门诊资源和视频协同门诊资源，资源管理提供资源信息发布，资源停诊，资源预约服务等功能。</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七、信息共享中心</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25.首诊信息共享</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1）共享内容：转诊或协同门诊申请时需要提供信息包括：患者基本信息、患者病历资料。</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患者基本信息：患者姓名、患者身份证号码、患者性别、年龄、手机号码、血型、婚姻状况、居住地址等患者基本信息。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患者病历资料：患者病历摘要，初诊意见、治疗情况及相关病历附件、图片资料等内容。以及患者门诊、住院、手术、用药、检验、检查及公共卫生档案等信息。</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2）资料提供形式：资料的提供包括多种模式：申请单中手动填写或接口上传；通过附件的形式上传；通过集成其他系统查看。</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w:t>
      </w:r>
      <w:r>
        <w:rPr>
          <w:rFonts w:hint="eastAsia" w:ascii="宋体" w:hAnsi="宋体"/>
          <w:b/>
          <w:bCs/>
          <w:sz w:val="24"/>
          <w:szCs w:val="24"/>
        </w:rPr>
        <w:t xml:space="preserve">26.影像文件查阅</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当转诊及协同门诊过程中，在申请机构已经进行了检查的，可以视情况将影像文件同步上传，提高接诊医生对患者信息的了解程度。</w:t>
      </w:r>
      <w:r>
        <w:rPr>
          <w:rFonts w:hint="eastAsia" w:ascii="宋体" w:hAnsi="宋体"/>
          <w:sz w:val="24"/>
          <w:szCs w:val="24"/>
        </w:rPr>
      </w:r>
      <w:r/>
    </w:p>
    <w:p>
      <w:pPr>
        <w:pStyle w:val="869"/>
        <w:ind w:firstLine="482"/>
        <w:spacing w:line="264" w:lineRule="auto"/>
        <w:rPr>
          <w:rFonts w:hint="eastAsia" w:ascii="宋体" w:hAnsi="宋体"/>
          <w:b/>
          <w:bCs/>
          <w:sz w:val="24"/>
          <w:szCs w:val="24"/>
        </w:rPr>
      </w:pPr>
      <w:r>
        <w:rPr>
          <w:rFonts w:hint="eastAsia" w:ascii="宋体" w:hAnsi="宋体"/>
          <w:b/>
          <w:bCs/>
          <w:sz w:val="24"/>
          <w:szCs w:val="24"/>
        </w:rPr>
        <w:t xml:space="preserve">27.第三方应用接入</w:t>
      </w:r>
      <w:r>
        <w:rPr>
          <w:rFonts w:hint="eastAsia" w:ascii="宋体" w:hAnsi="宋体"/>
          <w:b/>
          <w:bCs/>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在转诊协同门诊过程中，申请单可以体现的病例信息仅包括当次就诊的信息，可以集成区域内已建系统的信息（具体对接内容可联系：</w:t>
      </w:r>
      <w:r>
        <w:rPr>
          <w:rFonts w:hint="eastAsia" w:ascii="宋体" w:hAnsi="宋体"/>
          <w:sz w:val="24"/>
          <w:szCs w:val="24"/>
          <w:lang w:val="en-US" w:eastAsia="zh-CN"/>
        </w:rPr>
        <w:t xml:space="preserve">李老师</w:t>
      </w:r>
      <w:r>
        <w:rPr>
          <w:rFonts w:hint="eastAsia" w:ascii="宋体" w:hAnsi="宋体"/>
          <w:sz w:val="24"/>
          <w:szCs w:val="24"/>
        </w:rPr>
        <w:t xml:space="preserve">，联系电话：</w:t>
      </w:r>
      <w:r>
        <w:rPr>
          <w:rFonts w:hint="eastAsia" w:ascii="宋体" w:hAnsi="宋体"/>
          <w:sz w:val="24"/>
          <w:szCs w:val="24"/>
          <w:lang w:val="en-US" w:eastAsia="zh-CN"/>
        </w:rPr>
        <w:t xml:space="preserve">025-52271079</w:t>
      </w:r>
      <w:r>
        <w:rPr>
          <w:rFonts w:hint="eastAsia" w:ascii="宋体" w:hAnsi="宋体"/>
          <w:sz w:val="24"/>
          <w:szCs w:val="24"/>
        </w:rPr>
        <w:t xml:space="preserve">，采购人负责协调对接工作）。</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1）全民健康信息平台接入：全民健康信息平台整合了辖区内大型医疗机构、基层医疗机构、公共卫生机构及其他机构的数据及资源，形成了个人完整生命周期的健康档案。这部分数据是医生协同门诊资料的重要组成部分之一，可对患者病情有一个完整、连续性的概念。同时远程协同门诊业务也作为个人的重要健康事件之一，远程协同门诊结束后，这部分数据也经过全民健康信息平台的整合，体现到个人健康档案中。</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2）区域影像浏览器：接入区域影像浏览器，在转诊协同门诊时调用患者的影像情况。</w:t>
      </w:r>
      <w:r>
        <w:rPr>
          <w:rFonts w:hint="eastAsia" w:ascii="宋体" w:hAnsi="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3）区域检验报告：接入区域检验报告，在转诊协同门诊时调用患者的检验结果情况。</w:t>
      </w:r>
      <w:r>
        <w:rPr>
          <w:rFonts w:hint="eastAsia" w:ascii="宋体" w:hAnsi="宋体"/>
          <w:sz w:val="24"/>
          <w:szCs w:val="24"/>
        </w:rPr>
      </w:r>
      <w:r/>
    </w:p>
    <w:p>
      <w:pPr>
        <w:pStyle w:val="869"/>
        <w:ind w:firstLine="480"/>
        <w:spacing w:line="264" w:lineRule="auto"/>
        <w:rPr>
          <w:rFonts w:hint="eastAsia" w:ascii="宋体" w:hAnsi="宋体" w:cs="宋体"/>
          <w:bCs/>
          <w:sz w:val="24"/>
          <w:szCs w:val="24"/>
        </w:rPr>
        <w:outlineLvl w:val="2"/>
      </w:pPr>
      <w:r>
        <w:rPr>
          <w:rFonts w:hint="eastAsia" w:ascii="宋体" w:hAnsi="宋体" w:cs="宋体"/>
          <w:bCs/>
          <w:sz w:val="24"/>
          <w:szCs w:val="24"/>
        </w:rPr>
      </w:r>
      <w:r/>
    </w:p>
    <w:p>
      <w:pPr>
        <w:pStyle w:val="86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9"/>
        <w:ind w:firstLine="480"/>
        <w:spacing w:line="264" w:lineRule="auto"/>
        <w:rPr>
          <w:rFonts w:ascii="宋体" w:hAnsi="宋体" w:cs="宋体"/>
          <w:bCs/>
          <w:color w:val="0000ff"/>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color w:val="0000ff"/>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（1）本项目报价分为系统开发费用和系统运维费用，其中运维费用不超过总报价的10%。</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2）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（3）供应商的任何错漏、优惠、竞争性报价不得作为减轻责任、减少服务、增加收费、降低服务质量的理由。</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（4）供应商报价除包含招标文件中列明的项目外，还应包括保障服务正常运行应当具有的物资和服务，对服务正常运行应当具有的物资和服务理解不一致的以采购单位理解为准。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（5）供应商报价需包含采购人院内现有信息系统的数据对接费用。</w:t>
      </w:r>
      <w:r>
        <w:rPr>
          <w:rFonts w:hint="eastAsia" w:ascii="宋体" w:hAnsi="宋体" w:cs="宋体"/>
          <w:sz w:val="24"/>
          <w:szCs w:val="24"/>
        </w:rPr>
      </w:r>
      <w:r/>
    </w:p>
    <w:p>
      <w:pPr>
        <w:pStyle w:val="869"/>
        <w:ind w:firstLine="480"/>
        <w:spacing w:line="264" w:lineRule="auto"/>
        <w:rPr>
          <w:rFonts w:hint="eastAsia" w:ascii="宋体" w:hAnsi="宋体" w:cs="宋体"/>
          <w:bCs/>
          <w:color w:val="0000ff"/>
          <w:sz w:val="24"/>
          <w:szCs w:val="24"/>
        </w:rPr>
      </w:pPr>
      <w:r>
        <w:rPr>
          <w:rFonts w:hint="eastAsia" w:ascii="宋体" w:hAnsi="宋体" w:cs="宋体"/>
          <w:bCs/>
          <w:sz w:val="24"/>
          <w:szCs w:val="24"/>
        </w:rPr>
        <w:t xml:space="preserve">2.实施要求</w:t>
      </w:r>
      <w:r>
        <w:rPr>
          <w:rFonts w:hint="eastAsia" w:ascii="宋体" w:hAnsi="宋体" w:cs="宋体"/>
          <w:bCs/>
          <w:color w:val="0000ff"/>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应严格遵照质量管理体系、环境管理体系的标准，通过对各种体系的结合应用，实现对项目的管理和质量保障管理。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应提供项目实施方案，包括但不限于实施计划、项目管理、组织架构、应急预案、测试计划、验收计划等，能保证项目正常稳定实施并保证产品稳定运行。</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（2）验收要求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（3）培训要求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供应商提供针对性培训计划，覆盖各岗位用户，内容含系统操作、维护及常见问题处理。</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供应商提供纸质及电子版培训资料，组织考核，确保用户熟练使用，提交培训记录及考核报告。</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（4）维保要求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①维保期：供应商应确保本次采购所有项目的安全稳定的运行，并提供1年维保服务（自验收报告签字确认日起，开始进入维保期，相关费用包含在本次报价中）。维保期内，本合同项目所有技术和服务发生任何非人为故障，由供应商负责系统恢复。</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②维保期内，对采购人提出的合理服务要求，供应商必须及时进行电话、邮件及远程网络支持，并在2小时内到场服务，一般故障恢复时间为4个小时，严重故障恢复时间为24小时内，并提供及时有效的解决方案。如不到场，采购人有权自行处理，相关费用由供应商负责。</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③供应商须提供定期回访服务，对采购人提出的合理优化建议应提供升级服务。</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④所有的服务方式均为供应商上门保修，即由供应商派员到系统使用现场进行故障恢复，由此产生的一切费用均由供应商承担。</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（5）人员要求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①项目负责人：1人，具有3年（含）以上信息化项目管理工作经验，须驻场服务，不得兼任其他岗位。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②技术负责人：1人，具有3年（含）以上信息化工作经验</w:t>
      </w:r>
      <w:r>
        <w:rPr>
          <w:rFonts w:hint="eastAsia" w:ascii="宋体" w:hAnsi="宋体" w:cs="宋体"/>
          <w:sz w:val="24"/>
          <w:szCs w:val="24"/>
        </w:rPr>
        <w:t xml:space="preserve">，</w:t>
      </w:r>
      <w:r>
        <w:rPr>
          <w:rFonts w:ascii="宋体" w:hAnsi="宋体" w:cs="宋体"/>
          <w:sz w:val="24"/>
          <w:szCs w:val="24"/>
        </w:rPr>
        <w:t xml:space="preserve">不得兼任其他岗位。</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③服务负责人：1人，具有3年（含）以上信息化工作经验</w:t>
      </w:r>
      <w:r>
        <w:rPr>
          <w:rFonts w:hint="eastAsia" w:ascii="宋体" w:hAnsi="宋体" w:cs="宋体"/>
          <w:sz w:val="24"/>
          <w:szCs w:val="24"/>
        </w:rPr>
        <w:t xml:space="preserve">，</w:t>
      </w:r>
      <w:r>
        <w:rPr>
          <w:rFonts w:ascii="宋体" w:hAnsi="宋体" w:cs="宋体"/>
          <w:sz w:val="24"/>
          <w:szCs w:val="24"/>
        </w:rPr>
        <w:t xml:space="preserve">不得兼任其他岗位。</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④实施人员：不少于3人，具有医疗信息化工作经验。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⑤项目组所有人员必须为供应商正式工作人员，不得兼任其他项目工作，未经采购人同意，人员不得更换。</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以上人员工作经验证明需要投标人提供书面承诺，格式自拟。</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（6）知识产权及保密要求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①采购人拥有本系统包括永久使用权和修改权在内的一切权利；拥有本系统产生的所有数据的所有权。</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③供应商须按照与采购人签订的《信息安全保密承诺书》的约定严格履行各项保密义务。</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④采购人与供应商都拥有本项目定制开发部分的知识产权。交付项应包括但不限于如下内容：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满足采购人需求的、完整的、可最终良好运行的系统。</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提供项目的最终版本部署包及产品永久授权。</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（7）建设成果要求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供应商在项目建设的各个阶段及时提交建设成果，主要包括但不限于以下内容：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①项目启动阶段：项目实施方案。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②业务需求分析阶段：需求调研方案、需求分析说明书。</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③系统设计、开发阶段：需求规格说明书、概要设计说明书、详细设计说明书、数据库设计说明书、系统接口说明书。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④系统实施阶段：系统上线部署方案、软件安装说明书、软件使用说明书、系统安装光盘、系统培训方案、系统培训手册。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⑤项目验收阶段：测试报告、项目验收方案、系统运行报告、项目验收报告。 </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⑥运行维护阶段：系统维护方案、系统维护手册、系统运行维护记录。</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（9）信创适配要求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项目涉及的软件、硬件产品满足信创要求。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（10）网络安全等级保护测评要求</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供应商配合采购人，做好系统通过等保测评相关准备工作。</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（11）网络安全和数据安全要求，外包网络安全管理要求</w:t>
      </w:r>
      <w:r>
        <w:rPr>
          <w:rFonts w:ascii="宋体" w:hAnsi="宋体" w:cs="宋体"/>
          <w:sz w:val="24"/>
          <w:szCs w:val="24"/>
        </w:rPr>
      </w:r>
      <w:r/>
    </w:p>
    <w:p>
      <w:pPr>
        <w:pStyle w:val="869"/>
        <w:ind w:firstLine="480"/>
        <w:spacing w:line="264" w:lineRule="auto"/>
        <w:rPr>
          <w:rFonts w:hint="eastAsia" w:ascii="宋体" w:hAnsi="宋体" w:cs="宋体"/>
          <w:bCs/>
          <w:color w:val="0000ff"/>
          <w:sz w:val="24"/>
          <w:szCs w:val="24"/>
        </w:rPr>
      </w:pPr>
      <w:r>
        <w:rPr>
          <w:rFonts w:ascii="宋体" w:hAnsi="宋体" w:cs="宋体"/>
          <w:sz w:val="24"/>
          <w:szCs w:val="24"/>
        </w:rPr>
        <w:t xml:space="preserve">符合网络安全和密码应用要求，符合国家安全可靠应用政策规定</w:t>
      </w:r>
      <w:r>
        <w:rPr>
          <w:rFonts w:hint="eastAsia" w:ascii="宋体" w:hAnsi="宋体" w:cs="宋体"/>
          <w:bCs/>
          <w:color w:val="0000ff"/>
          <w:sz w:val="24"/>
          <w:szCs w:val="24"/>
        </w:rPr>
        <w:t xml:space="preserve">。</w:t>
      </w:r>
      <w:r>
        <w:rPr>
          <w:rFonts w:hint="eastAsia" w:ascii="宋体" w:hAnsi="宋体" w:cs="宋体"/>
          <w:bCs/>
          <w:color w:val="0000ff"/>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180</w:t>
      </w:r>
      <w:r>
        <w:rPr>
          <w:rFonts w:ascii="宋体" w:hAnsi="宋体" w:cs="宋体"/>
          <w:sz w:val="24"/>
          <w:szCs w:val="24"/>
        </w:rPr>
        <w:t xml:space="preserve">天内</w:t>
      </w:r>
      <w:r>
        <w:rPr>
          <w:rFonts w:hint="eastAsia" w:ascii="宋体" w:hAnsi="宋体" w:cs="宋体"/>
          <w:sz w:val="24"/>
          <w:szCs w:val="24"/>
        </w:rPr>
        <w:t xml:space="preserve">完成系统开发及交付工作</w:t>
      </w:r>
      <w:r>
        <w:rPr>
          <w:rFonts w:ascii="宋体" w:hAnsi="宋体" w:cs="宋体"/>
          <w:sz w:val="24"/>
          <w:szCs w:val="24"/>
        </w:rPr>
        <w:t xml:space="preserve">。</w:t>
      </w:r>
      <w:r>
        <w:rPr>
          <w:rFonts w:ascii="宋体" w:hAnsi="宋体" w:cs="宋体"/>
          <w:sz w:val="24"/>
          <w:szCs w:val="24"/>
        </w:rPr>
      </w:r>
      <w:r/>
    </w:p>
    <w:p>
      <w:pPr>
        <w:pStyle w:val="869"/>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highlight w:val="yellow"/>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69"/>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rPr>
          <w:rFonts w:hint="eastAsia" w:ascii="宋体" w:hAnsi="宋体" w:cs="宋体"/>
          <w:sz w:val="24"/>
          <w:szCs w:val="24"/>
        </w:rPr>
      </w:r>
      <w:r/>
    </w:p>
    <w:p>
      <w:pPr>
        <w:pStyle w:val="869"/>
        <w:ind w:firstLine="480"/>
        <w:spacing w:line="264" w:lineRule="auto"/>
        <w:rPr>
          <w:rFonts w:hint="eastAsia" w:ascii="宋体" w:hAnsi="宋体" w:cs="宋体"/>
          <w:bCs/>
          <w:sz w:val="24"/>
          <w:szCs w:val="24"/>
        </w:rPr>
      </w:pPr>
      <w:r>
        <w:rPr>
          <w:rFonts w:hint="eastAsia" w:ascii="宋体" w:hAnsi="宋体" w:cs="宋体"/>
          <w:bCs/>
          <w:sz w:val="24"/>
          <w:szCs w:val="24"/>
        </w:rPr>
      </w:r>
      <w:r/>
    </w:p>
    <w:p>
      <w:pPr>
        <w:pStyle w:val="869"/>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6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单个文件不得大于50M，所有文件合计不得大于300M）。文件上传方式见苏采云系统操作指南，上传的演示视频将作为投标文件的组成部分。视频时长总计不超过10分钟。</w:t>
      </w:r>
      <w:r>
        <w:rPr>
          <w:rFonts w:hint="eastAsia" w:ascii="宋体" w:hAnsi="宋体" w:cs="宋体"/>
          <w:sz w:val="24"/>
          <w:szCs w:val="24"/>
        </w:rPr>
      </w:r>
      <w:r/>
    </w:p>
    <w:p>
      <w:pPr>
        <w:pStyle w:val="869"/>
        <w:ind w:firstLine="480"/>
        <w:spacing w:line="264"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869"/>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69"/>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57"/>
        <w:rPr>
          <w:rFonts w:hint="eastAsia"/>
          <w:lang w:val="en-US"/>
        </w:rPr>
      </w:pPr>
      <w:r>
        <w:rPr>
          <w:rFonts w:hint="eastAsia"/>
          <w:lang w:val="en-US"/>
        </w:rPr>
      </w:r>
      <w:r/>
    </w:p>
    <w:p>
      <w:pPr>
        <w:pStyle w:val="957"/>
        <w:rPr>
          <w:rFonts w:hint="eastAsia" w:ascii="宋体" w:hAnsi="宋体" w:eastAsia="宋体"/>
          <w:sz w:val="24"/>
          <w:szCs w:val="24"/>
        </w:rPr>
      </w:pPr>
      <w:r>
        <w:rPr>
          <w:rFonts w:hint="eastAsia" w:ascii="宋体" w:hAnsi="宋体" w:eastAsia="宋体"/>
          <w:sz w:val="24"/>
          <w:szCs w:val="24"/>
        </w:rPr>
      </w:r>
      <w:r/>
    </w:p>
    <w:p>
      <w:pPr>
        <w:pStyle w:val="957"/>
        <w:ind w:left="0"/>
        <w:rPr>
          <w:rFonts w:hint="eastAsia"/>
        </w:rPr>
      </w:pPr>
      <w:r>
        <w:rPr>
          <w:rFonts w:hint="eastAsia"/>
        </w:rPr>
      </w:r>
      <w:r/>
    </w:p>
    <w:p>
      <w:pPr>
        <w:pStyle w:val="869"/>
        <w:rPr>
          <w:rFonts w:hint="eastAsia"/>
        </w:rPr>
      </w:pPr>
      <w:r>
        <w:rPr>
          <w:rFonts w:hint="eastAsia"/>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bookmarkStart w:id="193"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69"/>
        <w:ind w:firstLine="480"/>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869"/>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9"/>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869"/>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6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6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6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69"/>
              <w:jc w:val="left"/>
              <w:spacing w:line="264" w:lineRule="auto"/>
            </w:pPr>
            <w: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rPr>
              <w:t xml:space="preserve">价格分值（小数点保留两位）</w:t>
            </w:r>
            <w:r/>
          </w:p>
        </w:tc>
        <w:tc>
          <w:tcPr>
            <w:tcW w:w="647" w:type="dxa"/>
            <w:vAlign w:val="center"/>
            <w:textDirection w:val="lrTb"/>
            <w:noWrap w:val="false"/>
          </w:tcPr>
          <w:p>
            <w:pPr>
              <w:pStyle w:val="869"/>
              <w:jc w:val="center"/>
              <w:spacing w:before="68" w:line="264" w:lineRule="auto"/>
              <w:rPr>
                <w:rFonts w:ascii="宋体" w:hAnsi="宋体" w:eastAsia="宋体" w:cs="宋体"/>
                <w:lang w:val="en-US" w:eastAsia="zh-CN"/>
              </w:rPr>
            </w:pPr>
            <w:r>
              <w:rPr>
                <w:rFonts w:hint="eastAsia" w:ascii="宋体" w:hAnsi="宋体" w:cs="宋体"/>
              </w:rPr>
              <w:t xml:space="preserve">10</w:t>
            </w:r>
            <w:r>
              <w:rPr>
                <w:rFonts w:hint="eastAsia" w:ascii="宋体" w:hAnsi="宋体" w:cs="宋体"/>
                <w:lang w:val="en-US" w:eastAsia="zh-CN"/>
              </w:rPr>
              <w:t xml:space="preserve">.5</w:t>
            </w:r>
            <w:r>
              <w:rPr>
                <w:rFonts w:ascii="宋体" w:hAnsi="宋体" w:eastAsia="宋体" w:cs="宋体"/>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6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69"/>
              <w:jc w:val="center"/>
              <w:spacing w:before="68" w:line="264" w:lineRule="auto"/>
              <w:rPr>
                <w:rFonts w:ascii="宋体" w:hAnsi="宋体" w:cs="宋体"/>
                <w:spacing w:val="-2"/>
              </w:rPr>
            </w:pPr>
            <w:r>
              <w:rPr>
                <w:rFonts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69"/>
              <w:jc w:val="left"/>
              <w:spacing w:before="68" w:line="264" w:lineRule="auto"/>
              <w:rPr>
                <w:rFonts w:hint="eastAsia" w:ascii="宋体" w:hAnsi="宋体" w:cs="宋体"/>
                <w:spacing w:val="-2"/>
              </w:rPr>
            </w:pPr>
            <w:r>
              <w:rPr>
                <w:rFonts w:hint="eastAsia"/>
              </w:rPr>
              <w:t xml:space="preserve">产品技术参数</w:t>
            </w:r>
            <w:r>
              <w:rPr>
                <w:rFonts w:hint="eastAsia" w:ascii="宋体" w:hAnsi="宋体" w:cs="宋体"/>
                <w:spacing w:val="-2"/>
              </w:rPr>
            </w:r>
            <w:r/>
          </w:p>
        </w:tc>
        <w:tc>
          <w:tcPr>
            <w:tcW w:w="6330" w:type="dxa"/>
            <w:vAlign w:val="center"/>
            <w:textDirection w:val="lrTb"/>
            <w:noWrap w:val="false"/>
          </w:tcPr>
          <w:p>
            <w:pPr>
              <w:pStyle w:val="869"/>
              <w:jc w:val="left"/>
              <w:spacing w:line="264" w:lineRule="auto"/>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招标文件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w:t>
            </w:r>
            <w:r>
              <w:rPr>
                <w:rFonts w:hint="eastAsia" w:ascii="宋体" w:hAnsi="宋体" w:cs="宋体"/>
              </w:rPr>
              <w:t xml:space="preserve">（共计7项）</w:t>
            </w:r>
            <w:r>
              <w:rPr>
                <w:rFonts w:ascii="宋体" w:hAnsi="宋体" w:cs="宋体"/>
                <w:color w:val="000000"/>
              </w:rPr>
              <w:t xml:space="preserve">指标为重要指标，有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rPr>
              <w:t xml:space="preserve">2</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其余指标有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lang w:val="en-US" w:eastAsia="zh-CN"/>
              </w:rPr>
              <w:t xml:space="preserve">0.5</w:t>
            </w:r>
            <w:r>
              <w:rPr>
                <w:rFonts w:ascii="宋体" w:hAnsi="宋体" w:cs="宋体"/>
                <w:color w:val="000000"/>
              </w:rPr>
              <w:t xml:space="preserve">分</w:t>
            </w:r>
            <w:r>
              <w:rPr>
                <w:rFonts w:hint="eastAsia" w:ascii="宋体" w:hAnsi="宋体" w:cs="宋体"/>
                <w:color w:val="000000"/>
              </w:rPr>
              <w:t xml:space="preserve">。</w:t>
            </w:r>
            <w:r/>
          </w:p>
        </w:tc>
        <w:tc>
          <w:tcPr>
            <w:tcW w:w="647" w:type="dxa"/>
            <w:vAlign w:val="center"/>
            <w:textDirection w:val="lrTb"/>
            <w:noWrap w:val="false"/>
          </w:tcPr>
          <w:p>
            <w:pPr>
              <w:pStyle w:val="869"/>
              <w:jc w:val="center"/>
              <w:spacing w:before="68" w:line="264" w:lineRule="auto"/>
              <w:rPr>
                <w:rFonts w:ascii="宋体" w:hAnsi="宋体" w:eastAsia="宋体" w:cs="宋体"/>
                <w:lang w:val="en-US" w:eastAsia="zh-CN"/>
              </w:rPr>
            </w:pPr>
            <w:r>
              <w:rPr>
                <w:rFonts w:hint="eastAsia" w:ascii="宋体" w:hAnsi="宋体" w:cs="宋体"/>
              </w:rPr>
              <w:t xml:space="preserve">2</w:t>
            </w:r>
            <w:r>
              <w:rPr>
                <w:rFonts w:hint="eastAsia" w:ascii="宋体" w:hAnsi="宋体" w:cs="宋体"/>
                <w:lang w:val="en-US" w:eastAsia="zh-CN"/>
              </w:rPr>
              <w:t xml:space="preserve">1.5</w:t>
            </w:r>
            <w:r>
              <w:rPr>
                <w:rFonts w:ascii="宋体" w:hAnsi="宋体" w:eastAsia="宋体" w:cs="宋体"/>
                <w:lang w:val="en-US" w:eastAsia="zh-CN"/>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rPr>
                <w:rFonts w:ascii="宋体" w:hAnsi="宋体" w:cs="宋体"/>
                <w:spacing w:val="-2"/>
              </w:rPr>
            </w:r>
            <w:r/>
          </w:p>
        </w:tc>
        <w:tc>
          <w:tcPr>
            <w:tcW w:w="1179" w:type="dxa"/>
            <w:vAlign w:val="center"/>
            <w:textDirection w:val="lrTb"/>
            <w:noWrap w:val="false"/>
          </w:tcPr>
          <w:p>
            <w:pPr>
              <w:pStyle w:val="869"/>
              <w:spacing w:line="264" w:lineRule="auto"/>
              <w:rPr>
                <w:rFonts w:hint="eastAsia"/>
                <w:color w:val="0000ff"/>
              </w:rPr>
            </w:pPr>
            <w:r>
              <w:rPr>
                <w:rFonts w:ascii="宋体" w:hAnsi="宋体" w:cs="宋体"/>
                <w:color w:val="000000"/>
              </w:rPr>
              <w:t xml:space="preserve">总体技术方案</w:t>
            </w:r>
            <w:r>
              <w:rPr>
                <w:rFonts w:hint="eastAsia"/>
                <w:color w:val="0000ff"/>
              </w:rPr>
            </w:r>
            <w:r/>
          </w:p>
        </w:tc>
        <w:tc>
          <w:tcPr>
            <w:tcW w:w="6330" w:type="dxa"/>
            <w:vAlign w:val="center"/>
            <w:textDirection w:val="lrTb"/>
            <w:noWrap w:val="false"/>
          </w:tcPr>
          <w:p>
            <w:pPr>
              <w:pStyle w:val="899"/>
              <w:spacing w:line="264" w:lineRule="auto"/>
              <w:rPr>
                <w:rFonts w:hint="eastAsia"/>
                <w:lang w:bidi="ar-SA"/>
              </w:rPr>
            </w:pPr>
            <w:r/>
            <w:bookmarkStart w:id="194" w:name="OLE_LINK5"/>
            <w:r>
              <w:rPr>
                <w:rFonts w:hint="eastAsia"/>
                <w:lang w:bidi="ar-SA"/>
              </w:rPr>
              <w:t xml:space="preserve">根据本项目采购需求编制方案，内容包含：1.总体架构和性能设计；2.技术路线和业务逻辑流程设计；3.用户界面和应用功能设计；4.系统部署和安全防护设计。以上每项内容逐项评分：</w:t>
            </w:r>
            <w:r>
              <w:rPr>
                <w:rFonts w:hint="eastAsia"/>
                <w:lang w:bidi="ar-SA"/>
              </w:rPr>
            </w:r>
            <w:r/>
          </w:p>
          <w:p>
            <w:pPr>
              <w:pStyle w:val="899"/>
              <w:spacing w:line="264" w:lineRule="auto"/>
              <w:rPr>
                <w:rFonts w:hint="eastAsia"/>
                <w:lang w:bidi="ar-SA"/>
              </w:rPr>
            </w:pPr>
            <w:r>
              <w:rPr>
                <w:rFonts w:hint="eastAsia"/>
                <w:lang w:bidi="ar-SA"/>
              </w:rPr>
              <w:t xml:space="preserve">方案设计架构清晰、覆盖主要功能、技术先进可行，且专门针对本项目，契合采购需求视为符合；</w:t>
            </w:r>
            <w:r>
              <w:rPr>
                <w:rFonts w:hint="eastAsia"/>
                <w:lang w:bidi="ar-SA"/>
              </w:rPr>
            </w:r>
            <w:r/>
          </w:p>
          <w:p>
            <w:pPr>
              <w:pStyle w:val="899"/>
              <w:spacing w:line="264" w:lineRule="auto"/>
              <w:rPr>
                <w:rFonts w:hint="eastAsia"/>
                <w:lang w:bidi="ar-SA"/>
              </w:rPr>
            </w:pPr>
            <w:r>
              <w:rPr>
                <w:rFonts w:hint="eastAsia"/>
                <w:lang w:bidi="ar-SA"/>
              </w:rPr>
              <w:t xml:space="preserve">方案内容属于通用类，非专门针对本项目，部分契合采购需求视为部分符合；</w:t>
            </w:r>
            <w:r>
              <w:rPr>
                <w:rFonts w:hint="eastAsia"/>
                <w:lang w:bidi="ar-SA"/>
              </w:rPr>
            </w:r>
            <w:r/>
          </w:p>
          <w:p>
            <w:pPr>
              <w:pStyle w:val="899"/>
              <w:spacing w:line="264" w:lineRule="auto"/>
              <w:rPr>
                <w:rFonts w:hint="eastAsia"/>
                <w:lang w:bidi="ar-SA"/>
              </w:rPr>
            </w:pPr>
            <w:r>
              <w:rPr>
                <w:rFonts w:hint="eastAsia"/>
                <w:lang w:bidi="ar-SA"/>
              </w:rPr>
              <w:t xml:space="preserve">方案内容非专门针对本项目，脱离采购需求视为不符合。</w:t>
            </w:r>
            <w:r>
              <w:rPr>
                <w:rFonts w:hint="eastAsia"/>
                <w:lang w:bidi="ar-SA"/>
              </w:rPr>
            </w:r>
            <w:r/>
          </w:p>
          <w:p>
            <w:pPr>
              <w:pStyle w:val="899"/>
              <w:spacing w:line="264" w:lineRule="auto"/>
            </w:pPr>
            <w:r>
              <w:rPr>
                <w:rFonts w:hint="eastAsia"/>
                <w:lang w:bidi="ar-SA"/>
              </w:rPr>
              <w:t xml:space="preserve">上述每项内容符合得2分；部分符合得1分；不符合或不提供不得分。</w:t>
            </w:r>
            <w:bookmarkEnd w:id="194"/>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4"/>
              </w:rPr>
              <w:t xml:space="preserve">主观分</w:t>
            </w:r>
            <w:r>
              <w:rPr>
                <w:rFonts w:ascii="宋体" w:hAnsi="宋体" w:cs="宋体"/>
              </w:rPr>
            </w:r>
            <w:r/>
          </w:p>
        </w:tc>
      </w:tr>
      <w:tr>
        <w:trPr>
          <w:trHeight w:val="315"/>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hint="eastAsia" w:ascii="宋体" w:hAnsi="宋体" w:cs="宋体"/>
                <w:spacing w:val="-2"/>
              </w:rPr>
            </w:r>
            <w:r/>
          </w:p>
        </w:tc>
        <w:tc>
          <w:tcPr>
            <w:tcW w:w="1179" w:type="dxa"/>
            <w:vAlign w:val="center"/>
            <w:textDirection w:val="lrTb"/>
            <w:noWrap w:val="false"/>
          </w:tcPr>
          <w:p>
            <w:pPr>
              <w:pStyle w:val="869"/>
              <w:jc w:val="left"/>
              <w:spacing w:line="264" w:lineRule="auto"/>
              <w:rPr>
                <w:rFonts w:ascii="宋体" w:hAnsi="宋体" w:cs="宋体"/>
                <w:color w:val="000000"/>
              </w:rPr>
            </w:pPr>
            <w:r>
              <w:rPr>
                <w:rFonts w:hint="eastAsia" w:ascii="宋体" w:hAnsi="宋体" w:cs="宋体"/>
                <w:spacing w:val="-2"/>
              </w:rPr>
              <w:t xml:space="preserve">实施方案</w:t>
            </w:r>
            <w:r>
              <w:rPr>
                <w:rFonts w:ascii="宋体" w:hAnsi="宋体" w:cs="宋体"/>
                <w:color w:val="000000"/>
              </w:rPr>
            </w:r>
            <w:r/>
          </w:p>
        </w:tc>
        <w:tc>
          <w:tcPr>
            <w:tcW w:w="6330" w:type="dxa"/>
            <w:vAlign w:val="center"/>
            <w:textDirection w:val="lrTb"/>
            <w:noWrap w:val="false"/>
          </w:tcPr>
          <w:p>
            <w:pPr>
              <w:pStyle w:val="869"/>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根据本项目采购需求编制方案，内容包含：</w:t>
            </w:r>
            <w:r>
              <w:rPr>
                <w:rFonts w:eastAsia="Times New Roman"/>
                <w:color w:val="000000"/>
              </w:rPr>
              <w:t xml:space="preserve">1.</w:t>
            </w:r>
            <w:r>
              <w:rPr>
                <w:rFonts w:ascii="宋体" w:hAnsi="宋体" w:cs="宋体"/>
                <w:color w:val="000000"/>
              </w:rPr>
              <w:t xml:space="preserve">实施流程；</w:t>
            </w:r>
            <w:r>
              <w:rPr>
                <w:rFonts w:eastAsia="Times New Roman"/>
                <w:color w:val="000000"/>
              </w:rPr>
              <w:t xml:space="preserve">2.</w:t>
            </w:r>
            <w:r>
              <w:rPr>
                <w:rFonts w:ascii="宋体" w:hAnsi="宋体" w:cs="宋体"/>
                <w:color w:val="000000"/>
              </w:rPr>
              <w:t xml:space="preserve">实施进度安排；</w:t>
            </w:r>
            <w:r>
              <w:rPr>
                <w:rFonts w:eastAsia="Times New Roman"/>
                <w:color w:val="000000"/>
              </w:rPr>
              <w:t xml:space="preserve">3.</w:t>
            </w:r>
            <w:r>
              <w:rPr>
                <w:rFonts w:ascii="宋体" w:hAnsi="宋体" w:cs="宋体"/>
                <w:color w:val="000000"/>
              </w:rPr>
              <w:t xml:space="preserve">保障措施；</w:t>
            </w:r>
            <w:r>
              <w:rPr>
                <w:rFonts w:eastAsia="Times New Roman"/>
                <w:color w:val="000000"/>
              </w:rPr>
              <w:t xml:space="preserve">4.</w:t>
            </w:r>
            <w:r>
              <w:rPr>
                <w:rFonts w:ascii="宋体" w:hAnsi="宋体" w:cs="宋体"/>
                <w:color w:val="000000"/>
              </w:rPr>
              <w:t xml:space="preserve">验收措施。以上每项内容逐项评分：</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w:t>
            </w:r>
            <w:r>
              <w:rPr>
                <w:rFonts w:ascii="宋体" w:hAnsi="宋体" w:cs="宋体"/>
                <w:color w:val="000000"/>
              </w:rPr>
              <w:t xml:space="preserve">考虑全面、措施有效、可行性强，且</w:t>
            </w:r>
            <w:r>
              <w:rPr>
                <w:rFonts w:eastAsia="Times New Roman"/>
                <w:color w:val="000000"/>
              </w:rPr>
              <w:t xml:space="preserve">专门针对本项目，</w:t>
            </w:r>
            <w:r>
              <w:rPr>
                <w:rFonts w:ascii="宋体" w:hAnsi="宋体" w:cs="宋体"/>
                <w:color w:val="000000"/>
              </w:rPr>
              <w:t xml:space="preserve">契合</w:t>
            </w:r>
            <w:r>
              <w:rPr>
                <w:rFonts w:eastAsia="Times New Roman"/>
                <w:color w:val="000000"/>
              </w:rPr>
              <w:t xml:space="preserve">采购需求视为符合；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方案内容属于通用类，非专门针对本项目，部分</w:t>
            </w:r>
            <w:r>
              <w:rPr>
                <w:rFonts w:ascii="宋体" w:hAnsi="宋体" w:cs="宋体"/>
                <w:color w:val="000000"/>
              </w:rPr>
              <w:t xml:space="preserve">契合采购需求</w:t>
            </w:r>
            <w:r>
              <w:rPr>
                <w:rFonts w:eastAsia="Times New Roman"/>
                <w:color w:val="000000"/>
              </w:rPr>
              <w:t xml:space="preserve">视为部分符合；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方案内容非专门针对本项目</w:t>
            </w:r>
            <w:r>
              <w:rPr>
                <w:rFonts w:ascii="宋体" w:hAnsi="宋体" w:cs="宋体"/>
                <w:color w:val="000000"/>
              </w:rPr>
              <w:t xml:space="preserve">，脱离</w:t>
            </w:r>
            <w:r>
              <w:rPr>
                <w:rFonts w:eastAsia="Times New Roman"/>
                <w:color w:val="000000"/>
              </w:rPr>
              <w:t xml:space="preserve">采购需求视为不符合。</w:t>
            </w:r>
            <w:r/>
          </w:p>
          <w:p>
            <w:pPr>
              <w:pStyle w:val="869"/>
              <w:rPr>
                <w:rFonts w:hint="eastAsia"/>
              </w:rPr>
            </w:pPr>
            <w:r>
              <w:rPr>
                <w:rFonts w:ascii="宋体" w:hAnsi="宋体" w:cs="宋体"/>
                <w:color w:val="000000"/>
              </w:rPr>
              <w:t xml:space="preserve">上述每项内容</w:t>
            </w:r>
            <w:r>
              <w:rPr>
                <w:rFonts w:eastAsia="Times New Roman"/>
                <w:color w:val="000000"/>
              </w:rPr>
              <w:t xml:space="preserve">符合得2分；部分符合得1分；不符合或不提供不得分。</w:t>
            </w:r>
            <w:r>
              <w:rPr>
                <w:rFonts w:hint="eastAsia"/>
              </w:rPr>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4"/>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4"/>
              </w:rPr>
            </w:r>
            <w:r/>
          </w:p>
        </w:tc>
      </w:tr>
      <w:tr>
        <w:trPr>
          <w:trHeight w:val="889"/>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视频演示</w:t>
            </w:r>
            <w:r>
              <w:rPr>
                <w:rFonts w:hint="eastAsia"/>
              </w:rPr>
            </w:r>
            <w:r/>
          </w:p>
        </w:tc>
        <w:tc>
          <w:tcPr>
            <w:tcW w:w="6330" w:type="dxa"/>
            <w:vAlign w:val="center"/>
            <w:textDirection w:val="lrTb"/>
            <w:noWrap w:val="false"/>
          </w:tcPr>
          <w:p>
            <w:pPr>
              <w:pStyle w:val="869"/>
              <w:jc w:val="left"/>
              <w:spacing w:line="264" w:lineRule="auto"/>
              <w:rPr>
                <w:rFonts w:hint="eastAsia"/>
                <w:color w:val="000000"/>
              </w:rPr>
            </w:pPr>
            <w:r>
              <w:rPr>
                <w:rFonts w:hint="eastAsia"/>
                <w:color w:val="000000"/>
              </w:rPr>
              <w:t xml:space="preserve">评委根据供应商提供的演示视频（总演示时间不超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w:t>
            </w:r>
            <w:r>
              <w:rPr>
                <w:rFonts w:hint="eastAsia"/>
                <w:color w:val="000000"/>
              </w:rPr>
            </w:r>
            <w:r/>
          </w:p>
          <w:p>
            <w:pPr>
              <w:pStyle w:val="869"/>
              <w:jc w:val="left"/>
              <w:spacing w:line="264" w:lineRule="auto"/>
              <w:rPr>
                <w:rFonts w:hint="eastAsia"/>
                <w:color w:val="000000"/>
              </w:rPr>
            </w:pPr>
            <w:r>
              <w:rPr>
                <w:rFonts w:hint="eastAsia"/>
                <w:color w:val="000000"/>
              </w:rPr>
              <w:t xml:space="preserve">1.转诊审核：不同医疗机构有不同的业务流程及需求，转诊的审核环节可根据医院进行设置是否需要，转入审核及转出审核应可独立设置。</w:t>
            </w:r>
            <w:r>
              <w:rPr>
                <w:rFonts w:hint="eastAsia"/>
                <w:color w:val="000000"/>
              </w:rPr>
            </w:r>
            <w:r/>
          </w:p>
          <w:p>
            <w:pPr>
              <w:pStyle w:val="869"/>
              <w:jc w:val="left"/>
              <w:spacing w:line="264" w:lineRule="auto"/>
              <w:rPr>
                <w:rFonts w:hint="eastAsia"/>
                <w:color w:val="000000"/>
              </w:rPr>
            </w:pPr>
            <w:r>
              <w:rPr>
                <w:rFonts w:hint="eastAsia"/>
                <w:color w:val="000000"/>
              </w:rPr>
              <w:t xml:space="preserve">2.转诊资源使用模式:根据医院转诊安排模式的不同，当其他机构申请转诊到本机构时，支持使用不同的资源模式。支持按机构选择一种及以上的资源方式。</w:t>
            </w:r>
            <w:r>
              <w:rPr>
                <w:rFonts w:hint="eastAsia"/>
                <w:color w:val="000000"/>
              </w:rPr>
            </w:r>
            <w:r/>
          </w:p>
          <w:p>
            <w:pPr>
              <w:pStyle w:val="869"/>
              <w:jc w:val="left"/>
              <w:spacing w:line="264" w:lineRule="auto"/>
              <w:rPr>
                <w:rFonts w:hint="eastAsia"/>
                <w:color w:val="000000"/>
              </w:rPr>
            </w:pPr>
            <w:r>
              <w:rPr>
                <w:rFonts w:hint="eastAsia"/>
                <w:color w:val="000000"/>
              </w:rPr>
              <w:t xml:space="preserve">3.转诊规则：为提高转诊率，分级诊疗平台根据国家双向转诊管理办法，为医生提供转诊建议。在医生就诊时，可以将诊疗数据主动或者自动推送到分级诊疗平台。由系统返回是否建议转诊的结果，提高转诊有效性。</w:t>
            </w:r>
            <w:r>
              <w:rPr>
                <w:rFonts w:hint="eastAsia"/>
                <w:color w:val="000000"/>
              </w:rPr>
            </w:r>
            <w:r/>
          </w:p>
          <w:p>
            <w:pPr>
              <w:pStyle w:val="869"/>
              <w:jc w:val="left"/>
              <w:spacing w:line="264" w:lineRule="auto"/>
              <w:rPr>
                <w:rFonts w:hint="eastAsia"/>
                <w:color w:val="000000"/>
              </w:rPr>
            </w:pPr>
            <w:r>
              <w:rPr>
                <w:rFonts w:hint="eastAsia"/>
                <w:color w:val="000000"/>
              </w:rPr>
              <w:t xml:space="preserve">4.协同门诊审核：协同门诊的审核环节可根据医院进行设置是否需要，申请方审核及受邀方审核应可独立设置。</w:t>
            </w:r>
            <w:r>
              <w:rPr>
                <w:rFonts w:hint="eastAsia"/>
                <w:color w:val="000000"/>
              </w:rPr>
            </w:r>
            <w:r/>
          </w:p>
          <w:p>
            <w:pPr>
              <w:pStyle w:val="869"/>
              <w:jc w:val="left"/>
              <w:spacing w:line="264" w:lineRule="auto"/>
              <w:rPr>
                <w:rFonts w:hint="eastAsia" w:ascii="宋体" w:hAnsi="宋体" w:cs="宋体"/>
              </w:rPr>
            </w:pPr>
            <w:r>
              <w:rPr>
                <w:rFonts w:hint="eastAsia" w:ascii="宋体" w:hAnsi="宋体" w:cs="宋体"/>
              </w:rPr>
              <w:t xml:space="preserve">5.</w:t>
            </w:r>
            <w:r>
              <w:rPr>
                <w:rFonts w:hint="eastAsia"/>
                <w:color w:val="000000"/>
              </w:rPr>
              <w:t xml:space="preserve">首诊信息共享：共享内容包括患者基本信息（患者姓名、患者身份证号码、患者性别、年龄、手机号码、血型、婚姻状况、居住地址）、患者病历资料。</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采用类似真实系统演示，每小项功能完整准确演示得2分，最多得10分；</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采用系统原型（DEMO）演示，每小项功能完整准确演示得1分，最多得5分；</w:t>
            </w:r>
            <w:r>
              <w:rPr>
                <w:rFonts w:hint="eastAsia" w:ascii="宋体" w:hAnsi="宋体" w:cs="宋体"/>
              </w:rPr>
            </w:r>
            <w:r/>
          </w:p>
          <w:p>
            <w:pPr>
              <w:pStyle w:val="869"/>
              <w:jc w:val="left"/>
              <w:widowControl/>
              <w:rPr>
                <w:rFonts w:hint="eastAsia" w:ascii="宋体" w:hAnsi="宋体" w:cs="宋体"/>
              </w:rPr>
            </w:pPr>
            <w:r>
              <w:rPr>
                <w:rFonts w:hint="eastAsia" w:ascii="宋体" w:hAnsi="宋体" w:cs="宋体"/>
              </w:rPr>
              <w:t xml:space="preserve">采用PPT等方式演示，每小项功能完整准确演示得0.5分，最多得2.5分。 </w:t>
            </w:r>
            <w:r>
              <w:rPr>
                <w:rFonts w:hint="eastAsia" w:ascii="宋体" w:hAnsi="宋体" w:cs="宋体"/>
              </w:rPr>
            </w:r>
            <w:r/>
          </w:p>
          <w:p>
            <w:pPr>
              <w:pStyle w:val="869"/>
              <w:jc w:val="left"/>
              <w:spacing w:line="264" w:lineRule="auto"/>
              <w:rPr>
                <w:lang w:val="zh-CN"/>
              </w:rPr>
            </w:pPr>
            <w:r>
              <w:rPr>
                <w:rFonts w:hint="eastAsia" w:ascii="宋体" w:hAnsi="宋体" w:cs="宋体"/>
              </w:rPr>
              <w:t xml:space="preserve">（未提供视频文件或因供应商自身原因视频文件无法打开或视频画面不清晰无法辨认的本评分项不得分。）</w:t>
            </w:r>
            <w:r>
              <w:rPr>
                <w:lang w:val="zh-CN"/>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86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9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69"/>
              <w:spacing w:line="264" w:lineRule="auto"/>
              <w:rPr>
                <w:rFonts w:hint="eastAsia"/>
                <w:color w:val="0000ff"/>
              </w:rPr>
            </w:pPr>
            <w:r>
              <w:rPr>
                <w:rFonts w:hint="eastAsia"/>
              </w:rPr>
              <w:t xml:space="preserve">质量保障方案</w:t>
            </w:r>
            <w:r>
              <w:rPr>
                <w:rFonts w:hint="eastAsia"/>
                <w:color w:val="0000ff"/>
              </w:rPr>
            </w:r>
            <w:r/>
          </w:p>
        </w:tc>
        <w:tc>
          <w:tcPr>
            <w:tcW w:w="6330" w:type="dxa"/>
            <w:vAlign w:val="center"/>
            <w:textDirection w:val="lrTb"/>
            <w:noWrap w:val="false"/>
          </w:tcPr>
          <w:p>
            <w:pPr>
              <w:pStyle w:val="869"/>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根据本项目采购需求编制方案，内容包含：</w:t>
            </w:r>
            <w:r>
              <w:rPr>
                <w:rFonts w:hint="eastAsia" w:ascii="宋体" w:hAnsi="宋体" w:cs="宋体"/>
              </w:rPr>
              <w:t xml:space="preserve">1.质量管理体系；2.质量保证措施；3.项目风险管理。以上每项内容逐条阐述。</w:t>
            </w:r>
            <w:r>
              <w:rPr>
                <w:rFonts w:hint="eastAsia" w:ascii="宋体" w:hAnsi="宋体" w:cs="宋体"/>
              </w:rPr>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w:t>
            </w:r>
            <w:r>
              <w:rPr>
                <w:rFonts w:ascii="宋体" w:hAnsi="宋体" w:cs="宋体"/>
                <w:color w:val="000000"/>
              </w:rPr>
              <w:t xml:space="preserve">考虑全面、措施有效、可行性强，且</w:t>
            </w:r>
            <w:r>
              <w:rPr>
                <w:rFonts w:eastAsia="Times New Roman"/>
                <w:color w:val="000000"/>
              </w:rPr>
              <w:t xml:space="preserve">专门针对本项目，</w:t>
            </w:r>
            <w:r>
              <w:rPr>
                <w:rFonts w:ascii="宋体" w:hAnsi="宋体" w:cs="宋体"/>
                <w:color w:val="000000"/>
              </w:rPr>
              <w:t xml:space="preserve">契合</w:t>
            </w:r>
            <w:r>
              <w:rPr>
                <w:rFonts w:eastAsia="Times New Roman"/>
                <w:color w:val="000000"/>
              </w:rPr>
              <w:t xml:space="preserve">采购需求视为符合；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方案内容属于通用类，非专门针对本项目，部分</w:t>
            </w:r>
            <w:r>
              <w:rPr>
                <w:rFonts w:ascii="宋体" w:hAnsi="宋体" w:cs="宋体"/>
                <w:color w:val="000000"/>
              </w:rPr>
              <w:t xml:space="preserve">契合采购需求</w:t>
            </w:r>
            <w:r>
              <w:rPr>
                <w:rFonts w:eastAsia="Times New Roman"/>
                <w:color w:val="000000"/>
              </w:rPr>
              <w:t xml:space="preserve">视为部分符合；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方案内容非专门针对本项目</w:t>
            </w:r>
            <w:r>
              <w:rPr>
                <w:rFonts w:ascii="宋体" w:hAnsi="宋体" w:cs="宋体"/>
                <w:color w:val="000000"/>
              </w:rPr>
              <w:t xml:space="preserve">，脱离</w:t>
            </w:r>
            <w:r>
              <w:rPr>
                <w:rFonts w:eastAsia="Times New Roman"/>
                <w:color w:val="000000"/>
              </w:rPr>
              <w:t xml:space="preserve">采购需求视为不符合。</w:t>
            </w:r>
            <w:r/>
          </w:p>
          <w:p>
            <w:pPr>
              <w:pStyle w:val="957"/>
              <w:ind w:left="0"/>
              <w:spacing w:line="264" w:lineRule="auto"/>
              <w:rPr>
                <w:sz w:val="21"/>
              </w:rPr>
            </w:pPr>
            <w:r>
              <w:rPr>
                <w:rFonts w:ascii="宋体" w:hAnsi="宋体" w:eastAsia="宋体"/>
                <w:color w:val="000000"/>
                <w:sz w:val="21"/>
              </w:rPr>
              <w:t xml:space="preserve">上述每项内容</w:t>
            </w:r>
            <w:r>
              <w:rPr>
                <w:rFonts w:ascii="Times New Roman" w:hAnsi="Times New Roman" w:eastAsia="Times New Roman" w:cs="Times New Roman"/>
                <w:color w:val="000000"/>
                <w:sz w:val="21"/>
              </w:rPr>
              <w:t xml:space="preserve">符合得2分；部分符合得1分；不符合或不提供不得分。</w:t>
            </w:r>
            <w:r>
              <w:rPr>
                <w:sz w:val="21"/>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W w:w="1179" w:type="dxa"/>
            <w:vAlign w:val="center"/>
            <w:textDirection w:val="lrTb"/>
            <w:noWrap w:val="false"/>
          </w:tcPr>
          <w:p>
            <w:pPr>
              <w:pStyle w:val="869"/>
              <w:jc w:val="left"/>
              <w:spacing w:before="69" w:line="264" w:lineRule="auto"/>
              <w:rPr>
                <w:rFonts w:hint="eastAsia"/>
                <w:color w:val="0000ff"/>
              </w:rPr>
            </w:pPr>
            <w:r>
              <w:rPr>
                <w:rFonts w:hint="eastAsia" w:ascii="宋体" w:hAnsi="宋体" w:cs="宋体"/>
                <w:spacing w:val="-4"/>
              </w:rPr>
              <w:t xml:space="preserve">售后服务方案</w:t>
            </w:r>
            <w:r>
              <w:rPr>
                <w:rFonts w:hint="eastAsia"/>
                <w:color w:val="0000ff"/>
              </w:rPr>
            </w:r>
            <w:r/>
          </w:p>
        </w:tc>
        <w:tc>
          <w:tcPr>
            <w:tcW w:w="6330" w:type="dxa"/>
            <w:vAlign w:val="center"/>
            <w:textDirection w:val="lrTb"/>
            <w:noWrap w:val="false"/>
          </w:tcPr>
          <w:p>
            <w:pPr>
              <w:pStyle w:val="869"/>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根据本项目采购需求编制方案，内容包含：</w:t>
            </w:r>
            <w:r>
              <w:rPr>
                <w:rFonts w:hint="eastAsia" w:ascii="宋体" w:hAnsi="宋体" w:cs="宋体"/>
              </w:rPr>
              <w:t xml:space="preserve">1.服务目标；2.服务范围；3.服务流程；4.服务承诺；5.监督与考核；6.应急处理。以上每项内容逐条阐述。</w:t>
            </w:r>
            <w:r>
              <w:rPr>
                <w:rFonts w:ascii="宋体" w:hAnsi="宋体" w:cs="宋体"/>
              </w:rPr>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w:t>
            </w:r>
            <w:r>
              <w:rPr>
                <w:rFonts w:ascii="宋体" w:hAnsi="宋体" w:cs="宋体"/>
                <w:color w:val="000000"/>
              </w:rPr>
              <w:t xml:space="preserve">考虑全面、措施有效、可行性强，且</w:t>
            </w:r>
            <w:r>
              <w:rPr>
                <w:rFonts w:eastAsia="Times New Roman"/>
                <w:color w:val="000000"/>
              </w:rPr>
              <w:t xml:space="preserve">专门针对本项目，</w:t>
            </w:r>
            <w:r>
              <w:rPr>
                <w:rFonts w:ascii="宋体" w:hAnsi="宋体" w:cs="宋体"/>
                <w:color w:val="000000"/>
              </w:rPr>
              <w:t xml:space="preserve">契合</w:t>
            </w:r>
            <w:r>
              <w:rPr>
                <w:rFonts w:eastAsia="Times New Roman"/>
                <w:color w:val="000000"/>
              </w:rPr>
              <w:t xml:space="preserve">采购需求视为符合；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方案内容属于通用类，非专门针对本项目，部分</w:t>
            </w:r>
            <w:r>
              <w:rPr>
                <w:rFonts w:ascii="宋体" w:hAnsi="宋体" w:cs="宋体"/>
                <w:color w:val="000000"/>
              </w:rPr>
              <w:t xml:space="preserve">契合采购需求</w:t>
            </w:r>
            <w:r>
              <w:rPr>
                <w:rFonts w:eastAsia="Times New Roman"/>
                <w:color w:val="000000"/>
              </w:rPr>
              <w:t xml:space="preserve">视为部分符合；</w:t>
            </w:r>
            <w:r/>
          </w:p>
          <w:p>
            <w:pPr>
              <w:pStyle w:val="869"/>
              <w:pBdr>
                <w:top w:val="none" w:color="000000" w:sz="0" w:space="0"/>
                <w:left w:val="none" w:color="000000" w:sz="0" w:space="0"/>
                <w:bottom w:val="none" w:color="000000" w:sz="0" w:space="0"/>
                <w:right w:val="none" w:color="000000" w:sz="0" w:space="0"/>
              </w:pBdr>
            </w:pPr>
            <w:r>
              <w:rPr>
                <w:rFonts w:eastAsia="Times New Roman"/>
                <w:color w:val="000000"/>
              </w:rPr>
              <w:t xml:space="preserve">方案内容非专门针对本项目</w:t>
            </w:r>
            <w:r>
              <w:rPr>
                <w:rFonts w:ascii="宋体" w:hAnsi="宋体" w:cs="宋体"/>
                <w:color w:val="000000"/>
              </w:rPr>
              <w:t xml:space="preserve">，脱离</w:t>
            </w:r>
            <w:r>
              <w:rPr>
                <w:rFonts w:eastAsia="Times New Roman"/>
                <w:color w:val="000000"/>
              </w:rPr>
              <w:t xml:space="preserve">采购需求视为不符合。</w:t>
            </w:r>
            <w:r/>
          </w:p>
          <w:p>
            <w:pPr>
              <w:pStyle w:val="869"/>
            </w:pPr>
            <w:r>
              <w:rPr>
                <w:rFonts w:ascii="宋体" w:hAnsi="宋体" w:cs="宋体"/>
                <w:color w:val="000000"/>
              </w:rPr>
              <w:t xml:space="preserve">上述每项内容</w:t>
            </w:r>
            <w:r>
              <w:rPr>
                <w:rFonts w:eastAsia="Times New Roman"/>
                <w:color w:val="000000"/>
              </w:rPr>
              <w:t xml:space="preserve">符合得</w:t>
            </w:r>
            <w:r>
              <w:rPr>
                <w:rFonts w:hint="eastAsia"/>
                <w:color w:val="000000"/>
              </w:rPr>
              <w:t xml:space="preserve">1</w:t>
            </w:r>
            <w:r>
              <w:rPr>
                <w:rFonts w:eastAsia="Times New Roman"/>
                <w:color w:val="000000"/>
              </w:rPr>
              <w:t xml:space="preserve">分；部分符合得</w:t>
            </w:r>
            <w:r>
              <w:rPr>
                <w:rFonts w:hint="eastAsia"/>
                <w:color w:val="000000"/>
              </w:rPr>
              <w:t xml:space="preserve">0.5</w:t>
            </w:r>
            <w:r>
              <w:rPr>
                <w:rFonts w:eastAsia="Times New Roman"/>
                <w:color w:val="000000"/>
              </w:rPr>
              <w:t xml:space="preserve">分；不符合或不提供不得分。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3.3</w:t>
            </w:r>
            <w:r>
              <w:rPr>
                <w:rFonts w:hint="eastAsia" w:ascii="宋体" w:hAnsi="宋体" w:cs="宋体"/>
                <w:spacing w:val="-2"/>
              </w:rPr>
            </w:r>
            <w:r/>
          </w:p>
        </w:tc>
        <w:tc>
          <w:tcPr>
            <w:tcW w:w="1179" w:type="dxa"/>
            <w:vAlign w:val="center"/>
            <w:textDirection w:val="lrTb"/>
            <w:noWrap w:val="false"/>
          </w:tcPr>
          <w:p>
            <w:pPr>
              <w:pStyle w:val="869"/>
              <w:jc w:val="left"/>
              <w:spacing w:before="69" w:line="264" w:lineRule="auto"/>
              <w:rPr>
                <w:rFonts w:hint="eastAsia"/>
                <w:color w:val="0000ff"/>
              </w:rPr>
            </w:pPr>
            <w:r>
              <w:rPr>
                <w:rFonts w:hint="eastAsia" w:ascii="宋体" w:hAnsi="宋体" w:cs="宋体"/>
                <w:spacing w:val="-4"/>
              </w:rPr>
              <w:t xml:space="preserve">培训方案</w:t>
            </w:r>
            <w:r>
              <w:rPr>
                <w:rFonts w:hint="eastAsia"/>
                <w:color w:val="0000ff"/>
              </w:rPr>
            </w:r>
            <w:r/>
          </w:p>
        </w:tc>
        <w:tc>
          <w:tcPr>
            <w:tcW w:w="6330" w:type="dxa"/>
            <w:vAlign w:val="center"/>
            <w:textDirection w:val="lrTb"/>
            <w:noWrap w:val="false"/>
          </w:tcPr>
          <w:p>
            <w:pPr>
              <w:pStyle w:val="869"/>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根据本项目采购需求编制方案，内容包含：1.培训计划；2.培训内容；3.师资力量；4.培训效果评估。以上每项内容逐项评分：</w:t>
            </w:r>
            <w:r>
              <w:rPr>
                <w:rFonts w:ascii="宋体" w:hAnsi="宋体" w:cs="宋体"/>
                <w:color w:val="000000"/>
              </w:rPr>
            </w:r>
            <w:r/>
          </w:p>
          <w:p>
            <w:pPr>
              <w:pStyle w:val="869"/>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方案内容考虑全面、措施有效、可行性强，且专门针对本项目，契合采购需求视为符合；</w:t>
            </w:r>
            <w:r>
              <w:rPr>
                <w:rFonts w:ascii="宋体" w:hAnsi="宋体" w:cs="宋体"/>
                <w:color w:val="000000"/>
              </w:rPr>
            </w:r>
            <w:r/>
          </w:p>
          <w:p>
            <w:pPr>
              <w:pStyle w:val="869"/>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方案内容属于通用类，非专门针对本项目，部分契合采购需求视为部分符合；</w:t>
            </w:r>
            <w:r>
              <w:rPr>
                <w:rFonts w:ascii="宋体" w:hAnsi="宋体" w:cs="宋体"/>
                <w:color w:val="000000"/>
              </w:rPr>
            </w:r>
            <w:r/>
          </w:p>
          <w:p>
            <w:pPr>
              <w:pStyle w:val="869"/>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方案内容非专门针对本项目，脱离采购需求视为不符合。</w:t>
            </w:r>
            <w:r>
              <w:rPr>
                <w:rFonts w:ascii="宋体" w:hAnsi="宋体" w:cs="宋体"/>
                <w:color w:val="000000"/>
              </w:rPr>
            </w:r>
            <w:r/>
          </w:p>
          <w:p>
            <w:pPr>
              <w:pStyle w:val="869"/>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上述每项内容符合得</w:t>
            </w:r>
            <w:r>
              <w:rPr>
                <w:rFonts w:hint="eastAsia" w:ascii="宋体" w:hAnsi="宋体" w:cs="宋体"/>
                <w:color w:val="000000"/>
              </w:rPr>
              <w:t xml:space="preserve">1</w:t>
            </w:r>
            <w:r>
              <w:rPr>
                <w:rFonts w:ascii="宋体" w:hAnsi="宋体" w:cs="宋体"/>
                <w:color w:val="000000"/>
              </w:rPr>
              <w:t xml:space="preserve">分；部分符合得</w:t>
            </w:r>
            <w:r>
              <w:rPr>
                <w:rFonts w:hint="eastAsia" w:ascii="宋体" w:hAnsi="宋体" w:cs="宋体"/>
                <w:color w:val="000000"/>
              </w:rPr>
              <w:t xml:space="preserve">0.5</w:t>
            </w:r>
            <w:r>
              <w:rPr>
                <w:rFonts w:ascii="宋体" w:hAnsi="宋体" w:cs="宋体"/>
                <w:color w:val="000000"/>
              </w:rPr>
              <w:t xml:space="preserve">分；不符合或不提供不得分。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13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3.4</w:t>
            </w:r>
            <w:r>
              <w:rPr>
                <w:rFonts w:hint="eastAsia" w:ascii="宋体" w:hAnsi="宋体" w:cs="宋体"/>
                <w:spacing w:val="-2"/>
              </w:rPr>
            </w:r>
            <w:r/>
          </w:p>
        </w:tc>
        <w:tc>
          <w:tcPr>
            <w:tcW w:w="1179" w:type="dxa"/>
            <w:vAlign w:val="center"/>
            <w:textDirection w:val="lrTb"/>
            <w:noWrap w:val="false"/>
          </w:tcPr>
          <w:p>
            <w:pPr>
              <w:pStyle w:val="869"/>
              <w:jc w:val="left"/>
              <w:spacing w:before="69" w:line="264" w:lineRule="auto"/>
              <w:rPr>
                <w:rFonts w:hint="eastAsia"/>
                <w:color w:val="0000ff"/>
              </w:rPr>
            </w:pPr>
            <w:r>
              <w:rPr>
                <w:rFonts w:hint="eastAsia"/>
              </w:rPr>
              <w:t xml:space="preserve">系统对接方案</w:t>
            </w:r>
            <w:r>
              <w:rPr>
                <w:rFonts w:hint="eastAsia"/>
                <w:color w:val="0000ff"/>
              </w:rPr>
            </w:r>
            <w:r/>
          </w:p>
        </w:tc>
        <w:tc>
          <w:tcPr>
            <w:tcW w:w="6330" w:type="dxa"/>
            <w:vAlign w:val="center"/>
            <w:textDirection w:val="lrTb"/>
            <w:noWrap w:val="false"/>
          </w:tcPr>
          <w:p>
            <w:pPr>
              <w:pStyle w:val="869"/>
              <w:jc w:val="left"/>
              <w:spacing w:line="264" w:lineRule="auto"/>
              <w:widowControl/>
              <w:rPr>
                <w:rFonts w:hint="eastAsia" w:ascii="宋体" w:hAnsi="宋体" w:cs="宋体"/>
                <w:color w:val="000000"/>
              </w:rPr>
            </w:pPr>
            <w:r>
              <w:rPr>
                <w:rFonts w:hint="eastAsia" w:ascii="宋体" w:hAnsi="宋体" w:cs="宋体"/>
              </w:rPr>
              <w:t xml:space="preserve">评委根据投标人提供的系统对接方案综合评分，内容包括:</w:t>
            </w:r>
            <w:r>
              <w:rPr>
                <w:rFonts w:hint="eastAsia" w:ascii="宋体" w:hAnsi="宋体" w:cs="宋体"/>
                <w:color w:val="000000"/>
              </w:rPr>
              <w:t xml:space="preserve">1.对接实施计划；2.数据对接重点难点分析；3.</w:t>
            </w:r>
            <w:r>
              <w:rPr>
                <w:rFonts w:hint="eastAsia" w:ascii="宋体" w:hAnsi="宋体" w:cs="宋体"/>
              </w:rPr>
              <w:t xml:space="preserve">历史数据继承和迁移</w:t>
            </w:r>
            <w:r>
              <w:rPr>
                <w:rFonts w:hint="eastAsia" w:ascii="宋体" w:hAnsi="宋体" w:cs="宋体"/>
                <w:color w:val="000000"/>
              </w:rPr>
              <w:t xml:space="preserve">。以上每项内容逐条阐述。 </w:t>
            </w:r>
            <w:r>
              <w:rPr>
                <w:rFonts w:hint="eastAsia" w:ascii="宋体" w:hAnsi="宋体" w:cs="宋体"/>
                <w:color w:val="000000"/>
              </w:rPr>
            </w:r>
            <w:r/>
          </w:p>
          <w:p>
            <w:pPr>
              <w:pStyle w:val="869"/>
              <w:rPr>
                <w:rFonts w:hint="eastAsia" w:ascii="宋体" w:hAnsi="宋体" w:cs="宋体"/>
              </w:rPr>
            </w:pPr>
            <w:r>
              <w:rPr>
                <w:rFonts w:hint="eastAsia" w:ascii="宋体" w:hAnsi="宋体" w:cs="宋体"/>
              </w:rPr>
              <w:t xml:space="preserve">方案内容针对性强，内容规范科学，合理、可操作性强，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hint="eastAsia" w:ascii="宋体" w:hAnsi="宋体" w:cs="宋体"/>
              </w:rPr>
            </w:r>
            <w:r/>
          </w:p>
          <w:p>
            <w:pPr>
              <w:pStyle w:val="869"/>
            </w:pPr>
            <w:r>
              <w:rPr>
                <w:rFonts w:hint="eastAsia" w:ascii="宋体" w:hAnsi="宋体" w:cs="宋体"/>
              </w:rPr>
              <w:t xml:space="preserve">上述每项内容符合得2分；部分符合得1分；不符合或不提供不得分。</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rHeight w:val="455"/>
        </w:trPr>
        <w:tc>
          <w:tcPr>
            <w:gridSpan w:val="5"/>
            <w:tcW w:w="9575" w:type="dxa"/>
            <w:vAlign w:val="center"/>
            <w:textDirection w:val="lrTb"/>
            <w:noWrap w:val="false"/>
          </w:tcPr>
          <w:p>
            <w:pPr>
              <w:pStyle w:val="86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W w:w="6330" w:type="dxa"/>
            <w:vAlign w:val="center"/>
            <w:textDirection w:val="lrTb"/>
            <w:noWrap w:val="false"/>
          </w:tcPr>
          <w:p>
            <w:pPr>
              <w:pStyle w:val="869"/>
              <w:spacing w:line="264" w:lineRule="auto"/>
              <w:rPr>
                <w:rFonts w:ascii="宋体" w:hAnsi="宋体" w:cs="宋体"/>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日（含）以来类似项目业绩（至少包含医联（共）体平台或分级诊疗平台</w:t>
            </w:r>
            <w:r>
              <w:rPr>
                <w:rFonts w:hint="eastAsia" w:ascii="宋体" w:hAnsi="宋体" w:cs="宋体"/>
              </w:rPr>
              <w:t xml:space="preserve">相关内容</w:t>
            </w:r>
            <w:r>
              <w:rPr>
                <w:rFonts w:ascii="宋体" w:hAnsi="宋体" w:cs="宋体"/>
              </w:rPr>
              <w:t xml:space="preserve">），每提供</w:t>
            </w:r>
            <w:r>
              <w:rPr>
                <w:rFonts w:hint="eastAsia" w:ascii="宋体" w:hAnsi="宋体" w:cs="宋体"/>
              </w:rPr>
              <w:t xml:space="preserve">1</w:t>
            </w:r>
            <w:r>
              <w:rPr>
                <w:rFonts w:ascii="宋体" w:hAnsi="宋体" w:cs="宋体"/>
              </w:rPr>
              <w:t xml:space="preserve">个得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，本项最高得6分</w:t>
            </w:r>
            <w:r>
              <w:rPr>
                <w:rFonts w:ascii="宋体" w:hAnsi="宋体" w:cs="宋体"/>
              </w:rPr>
              <w:t xml:space="preserve">。</w:t>
            </w:r>
            <w:r>
              <w:rPr>
                <w:rFonts w:ascii="宋体" w:hAnsi="宋体" w:cs="宋体"/>
              </w:rPr>
            </w:r>
            <w:r/>
          </w:p>
          <w:p>
            <w:pPr>
              <w:pStyle w:val="869"/>
              <w:spacing w:line="264" w:lineRule="auto"/>
              <w:rPr>
                <w:rFonts w:eastAsia="方正仿宋_GBK"/>
                <w:lang w:bidi="zh-CN"/>
              </w:rPr>
            </w:pP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lang w:bidi="zh-CN"/>
              </w:rPr>
            </w:r>
            <w:r/>
          </w:p>
        </w:tc>
        <w:tc>
          <w:tcPr>
            <w:tcW w:w="647" w:type="dxa"/>
            <w:vAlign w:val="center"/>
            <w:textDirection w:val="lrTb"/>
            <w:noWrap w:val="false"/>
          </w:tcPr>
          <w:p>
            <w:pPr>
              <w:pStyle w:val="869"/>
              <w:jc w:val="center"/>
              <w:spacing w:line="264" w:lineRule="auto"/>
            </w:pPr>
            <w:r>
              <w:rPr>
                <w:rFonts w:hint="eastAsia" w:ascii="宋体" w:hAnsi="宋体" w:cs="宋体"/>
              </w:rPr>
              <w:t xml:space="preserve">6</w:t>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6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履约能力1</w:t>
            </w:r>
            <w:r>
              <w:rPr>
                <w:rFonts w:hint="eastAsia"/>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项目负责人：</w:t>
            </w:r>
            <w:r>
              <w:rPr>
                <w:rFonts w:hint="eastAsia" w:ascii="宋体" w:hAnsi="宋体" w:cs="宋体"/>
              </w:rPr>
            </w:r>
            <w:r/>
          </w:p>
          <w:p>
            <w:pPr>
              <w:pStyle w:val="869"/>
              <w:spacing w:line="264" w:lineRule="auto"/>
              <w:rPr>
                <w:rFonts w:ascii="宋体" w:hAnsi="宋体" w:cs="宋体"/>
              </w:rPr>
            </w:pPr>
            <w:r>
              <w:rPr>
                <w:rFonts w:ascii="宋体" w:hAnsi="宋体" w:cs="宋体"/>
              </w:rPr>
              <w:t xml:space="preserve">具有信息系统项目管理师、数据库系统工程师、系统架构设计师证书的，每个证书1分，最高得3分</w:t>
            </w:r>
            <w:r>
              <w:rPr>
                <w:rFonts w:hint="eastAsia" w:ascii="宋体" w:hAnsi="宋体" w:cs="宋体"/>
              </w:rPr>
              <w:t xml:space="preserve">。</w:t>
            </w:r>
            <w:r>
              <w:rPr>
                <w:rFonts w:ascii="宋体" w:hAnsi="宋体" w:cs="宋体"/>
              </w:rPr>
            </w:r>
            <w:r/>
          </w:p>
          <w:p>
            <w:pPr>
              <w:pStyle w:val="869"/>
              <w:spacing w:line="264" w:lineRule="auto"/>
            </w:pPr>
            <w:r>
              <w:rPr>
                <w:rFonts w:ascii="宋体" w:hAnsi="宋体" w:cs="宋体"/>
                <w:lang w:val="zh-CN"/>
              </w:rPr>
              <w:t xml:space="preserve">提供</w:t>
            </w:r>
            <w:r>
              <w:rPr>
                <w:rFonts w:hint="eastAsia" w:ascii="宋体" w:hAnsi="宋体" w:cs="宋体"/>
              </w:rPr>
              <w:t xml:space="preserve">本人</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投标人为其缴纳的2026年3月以来任意一个月的社保证明材料，缺一不可。</w:t>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3</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7"/>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5.2</w:t>
            </w:r>
            <w:r>
              <w:rPr>
                <w:rFonts w:ascii="宋体" w:hAnsi="宋体" w:cs="宋体"/>
                <w:spacing w:val="-2"/>
              </w:rPr>
            </w:r>
            <w:r/>
          </w:p>
        </w:tc>
        <w:tc>
          <w:tcPr>
            <w:tcW w:w="1179" w:type="dxa"/>
            <w:vAlign w:val="center"/>
            <w:textDirection w:val="lrTb"/>
            <w:noWrap w:val="false"/>
          </w:tcPr>
          <w:p>
            <w:pPr>
              <w:pStyle w:val="869"/>
              <w:spacing w:line="264" w:lineRule="auto"/>
            </w:pPr>
            <w:r>
              <w:rPr>
                <w:rFonts w:hint="eastAsia"/>
              </w:rPr>
              <w:t xml:space="preserve">履约能力2</w:t>
            </w:r>
            <w:r/>
          </w:p>
        </w:tc>
        <w:tc>
          <w:tcPr>
            <w:tcW w:w="6330" w:type="dxa"/>
            <w:vAlign w:val="center"/>
            <w:textDirection w:val="lrTb"/>
            <w:noWrap w:val="false"/>
          </w:tcPr>
          <w:p>
            <w:pPr>
              <w:pStyle w:val="869"/>
              <w:spacing w:line="264" w:lineRule="auto"/>
              <w:rPr>
                <w:rFonts w:hint="eastAsia" w:ascii="宋体" w:hAnsi="宋体" w:cs="宋体"/>
                <w:lang w:val="zh-CN"/>
              </w:rPr>
            </w:pPr>
            <w:r>
              <w:rPr>
                <w:rFonts w:ascii="宋体" w:hAnsi="宋体" w:cs="宋体"/>
                <w:lang w:val="zh-CN"/>
              </w:rPr>
              <w:t xml:space="preserve">技术负责人</w:t>
            </w:r>
            <w:r>
              <w:rPr>
                <w:rFonts w:hint="eastAsia" w:ascii="宋体" w:hAnsi="宋体" w:cs="宋体"/>
                <w:lang w:val="zh-CN"/>
              </w:rPr>
              <w:t xml:space="preserve">：</w:t>
            </w:r>
            <w:r>
              <w:rPr>
                <w:rFonts w:hint="eastAsia" w:ascii="宋体" w:hAnsi="宋体" w:cs="宋体"/>
                <w:lang w:val="zh-CN"/>
              </w:rPr>
            </w:r>
            <w:r/>
          </w:p>
          <w:p>
            <w:pPr>
              <w:pStyle w:val="869"/>
              <w:spacing w:line="264" w:lineRule="auto"/>
              <w:rPr>
                <w:rFonts w:ascii="宋体" w:hAnsi="宋体" w:cs="宋体"/>
              </w:rPr>
            </w:pPr>
            <w:r>
              <w:rPr>
                <w:rFonts w:ascii="宋体" w:hAnsi="宋体" w:cs="宋体"/>
              </w:rPr>
              <w:t xml:space="preserve">具有系统规划与管理师、信息系统项目管理师证书的，每个证书1分，最高得</w:t>
            </w:r>
            <w:r>
              <w:rPr>
                <w:rFonts w:hint="eastAsia" w:ascii="宋体" w:hAnsi="宋体" w:cs="宋体"/>
              </w:rPr>
              <w:t xml:space="preserve">2</w:t>
            </w:r>
            <w:r>
              <w:rPr>
                <w:rFonts w:ascii="宋体" w:hAnsi="宋体" w:cs="宋体"/>
              </w:rPr>
              <w:t xml:space="preserve">分</w:t>
            </w:r>
            <w:r>
              <w:rPr>
                <w:rFonts w:hint="eastAsia" w:ascii="宋体" w:hAnsi="宋体" w:cs="宋体"/>
              </w:rPr>
              <w:t xml:space="preserve">。</w:t>
            </w:r>
            <w:r>
              <w:rPr>
                <w:rFonts w:ascii="宋体" w:hAnsi="宋体" w:cs="宋体"/>
              </w:rPr>
            </w:r>
            <w:r/>
          </w:p>
          <w:p>
            <w:pPr>
              <w:pStyle w:val="869"/>
              <w:spacing w:line="264" w:lineRule="auto"/>
              <w:rPr>
                <w:rFonts w:ascii="宋体" w:hAnsi="宋体" w:cs="宋体"/>
                <w:lang w:val="zh-CN"/>
              </w:rPr>
            </w:pPr>
            <w:r>
              <w:rPr>
                <w:rFonts w:ascii="宋体" w:hAnsi="宋体" w:cs="宋体"/>
                <w:lang w:val="zh-CN"/>
              </w:rPr>
              <w:t xml:space="preserve">提供</w:t>
            </w:r>
            <w:r>
              <w:rPr>
                <w:rFonts w:hint="eastAsia" w:ascii="宋体" w:hAnsi="宋体" w:cs="宋体"/>
              </w:rPr>
              <w:t xml:space="preserve">本人</w:t>
            </w:r>
            <w:r>
              <w:rPr>
                <w:rFonts w:ascii="宋体" w:hAnsi="宋体" w:cs="宋体"/>
                <w:lang w:val="zh-CN"/>
              </w:rPr>
              <w:t xml:space="preserve">证书</w:t>
            </w:r>
            <w:r>
              <w:rPr>
                <w:rFonts w:hint="eastAsia" w:ascii="宋体" w:hAnsi="宋体" w:cs="宋体"/>
                <w:lang w:val="zh-CN"/>
              </w:rPr>
              <w:t xml:space="preserve">、</w:t>
            </w:r>
            <w:r>
              <w:rPr>
                <w:rFonts w:hint="eastAsia" w:ascii="宋体" w:hAnsi="宋体" w:cs="宋体"/>
              </w:rPr>
              <w:t xml:space="preserve">投标人为其缴纳的2026年3月以来任意一个月的社保证明材料，缺一不可。</w:t>
            </w:r>
            <w:r>
              <w:rPr>
                <w:rFonts w:ascii="宋体" w:hAnsi="宋体" w:cs="宋体"/>
                <w:lang w:val="zh-CN"/>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2</w:t>
            </w:r>
            <w:r>
              <w:rPr>
                <w:rFonts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383"/>
        </w:trPr>
        <w:tc>
          <w:tcPr>
            <w:tcW w:w="519" w:type="dxa"/>
            <w:vAlign w:val="center"/>
            <w:textDirection w:val="lrTb"/>
            <w:noWrap w:val="false"/>
          </w:tcPr>
          <w:p>
            <w:pPr>
              <w:pStyle w:val="869"/>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w:t>
            </w:r>
            <w:r>
              <w:rPr>
                <w:rFonts w:hint="eastAsia" w:ascii="宋体" w:hAnsi="宋体" w:cs="宋体"/>
                <w:spacing w:val="-2"/>
              </w:rPr>
              <w:t xml:space="preserve">3</w:t>
            </w:r>
            <w:r>
              <w:rPr>
                <w:rFonts w:hint="eastAsia"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履约能力3</w:t>
            </w:r>
            <w:r>
              <w:rPr>
                <w:rFonts w:hint="eastAsia"/>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项目实施团队能力（不含项目负责人</w:t>
            </w:r>
            <w:r>
              <w:rPr>
                <w:rFonts w:hint="eastAsia" w:ascii="宋体" w:hAnsi="宋体" w:cs="宋体"/>
                <w:lang w:val="en-US" w:eastAsia="zh-CN"/>
              </w:rPr>
              <w:t xml:space="preserve">及</w:t>
            </w:r>
            <w:r>
              <w:rPr>
                <w:rFonts w:ascii="宋体" w:hAnsi="宋体" w:cs="宋体"/>
                <w:lang w:val="zh-CN"/>
              </w:rPr>
              <w:t xml:space="preserve">技术负责人</w:t>
            </w:r>
            <w:r>
              <w:rPr>
                <w:rFonts w:hint="eastAsia" w:ascii="宋体" w:hAnsi="宋体" w:cs="宋体"/>
              </w:rPr>
              <w:t xml:space="preserve">）：</w:t>
            </w:r>
            <w:r>
              <w:rPr>
                <w:rFonts w:hint="eastAsia" w:ascii="宋体" w:hAnsi="宋体" w:cs="宋体"/>
              </w:rPr>
            </w:r>
            <w:r/>
          </w:p>
          <w:p>
            <w:pPr>
              <w:pStyle w:val="869"/>
              <w:rPr>
                <w:rFonts w:hint="eastAsia" w:ascii="宋体" w:hAnsi="宋体" w:cs="宋体"/>
                <w:lang w:bidi="ar"/>
              </w:rPr>
            </w:pPr>
            <w:r>
              <w:rPr>
                <w:rFonts w:hint="eastAsia" w:ascii="宋体" w:hAnsi="宋体" w:cs="宋体"/>
                <w:lang w:bidi="ar"/>
              </w:rPr>
              <w:t xml:space="preserve">1.</w:t>
            </w:r>
            <w:r>
              <w:rPr>
                <w:rFonts w:hint="eastAsia" w:ascii="宋体" w:hAnsi="宋体" w:cs="宋体"/>
              </w:rPr>
              <w:t xml:space="preserve">具有</w:t>
            </w:r>
            <w:r>
              <w:rPr>
                <w:rFonts w:hint="eastAsia" w:ascii="宋体" w:hAnsi="宋体" w:cs="宋体"/>
                <w:lang w:bidi="ar"/>
              </w:rPr>
              <w:t xml:space="preserve">系统分析师证书的，每提供1人得1分，最高得2分；</w:t>
            </w:r>
            <w:r>
              <w:rPr>
                <w:rFonts w:hint="eastAsia" w:ascii="宋体" w:hAnsi="宋体" w:cs="宋体"/>
                <w:lang w:bidi="ar"/>
              </w:rPr>
            </w:r>
            <w:r/>
          </w:p>
          <w:p>
            <w:pPr>
              <w:pStyle w:val="869"/>
              <w:rPr>
                <w:rFonts w:hint="eastAsia" w:ascii="宋体" w:hAnsi="宋体" w:cs="宋体"/>
              </w:rPr>
            </w:pPr>
            <w:r>
              <w:rPr>
                <w:rFonts w:hint="eastAsia" w:ascii="宋体" w:hAnsi="宋体" w:cs="宋体"/>
              </w:rPr>
              <w:t xml:space="preserve">2.具有</w:t>
            </w:r>
            <w:r>
              <w:rPr>
                <w:rFonts w:hint="eastAsia" w:ascii="宋体" w:hAnsi="宋体" w:cs="宋体"/>
                <w:lang w:bidi="ar"/>
              </w:rPr>
              <w:t xml:space="preserve">网络工程师证书的，每提供1人得1分，最高得2分</w:t>
            </w:r>
            <w:r>
              <w:rPr>
                <w:rFonts w:hint="eastAsia" w:ascii="宋体" w:hAnsi="宋体" w:cs="宋体"/>
              </w:rPr>
              <w:t xml:space="preserve">；</w:t>
            </w:r>
            <w:r>
              <w:rPr>
                <w:rFonts w:hint="eastAsia" w:ascii="宋体" w:hAnsi="宋体" w:cs="宋体"/>
              </w:rPr>
            </w:r>
            <w:r/>
          </w:p>
          <w:p>
            <w:pPr>
              <w:pStyle w:val="869"/>
            </w:pPr>
            <w:r>
              <w:rPr>
                <w:rFonts w:hint="eastAsia" w:ascii="宋体" w:hAnsi="宋体" w:cs="宋体"/>
              </w:rPr>
              <w:t xml:space="preserve">3.</w:t>
            </w:r>
            <w:r>
              <w:rPr>
                <w:rFonts w:hint="eastAsia" w:ascii="宋体" w:hAnsi="宋体" w:cs="宋体"/>
                <w:lang w:bidi="ar"/>
              </w:rPr>
              <w:t xml:space="preserve">具有软件评测师证书的，每提供1人得1分，最高得1分</w:t>
            </w:r>
            <w:r>
              <w:rPr>
                <w:rFonts w:hint="eastAsia" w:ascii="宋体" w:hAnsi="宋体" w:cs="宋体"/>
              </w:rPr>
              <w:t xml:space="preserve">。</w:t>
            </w:r>
            <w:r/>
          </w:p>
          <w:p>
            <w:pPr>
              <w:pStyle w:val="869"/>
              <w:spacing w:line="264" w:lineRule="auto"/>
              <w:rPr>
                <w:rFonts w:ascii="宋体" w:hAnsi="宋体" w:cs="宋体"/>
              </w:rPr>
            </w:pPr>
            <w:r>
              <w:rPr>
                <w:rFonts w:hint="eastAsia" w:ascii="宋体" w:hAnsi="宋体" w:cs="宋体"/>
              </w:rPr>
              <w:t xml:space="preserve">（多人一证、一人多证可重复计分，提供团队成员证书、投标人为其缴纳的2026年3月以来任意一个月的社保证明材料，缺一不可）</w:t>
            </w:r>
            <w:r>
              <w:rPr>
                <w:rFonts w:ascii="宋体" w:hAnsi="宋体" w:cs="宋体"/>
              </w:rPr>
            </w:r>
            <w:r/>
          </w:p>
        </w:tc>
        <w:tc>
          <w:tcPr>
            <w:tcW w:w="647"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rPr>
              <w:t xml:space="preserve">5</w:t>
            </w:r>
            <w:r>
              <w:rPr>
                <w:rFonts w:ascii="宋体" w:hAnsi="宋体" w:cs="宋体"/>
              </w:rPr>
            </w:r>
            <w:r/>
          </w:p>
        </w:tc>
        <w:tc>
          <w:tcPr>
            <w:tcW w:w="900" w:type="dxa"/>
            <w:vAlign w:val="center"/>
            <w:textDirection w:val="lrTb"/>
            <w:noWrap w:val="false"/>
          </w:tcPr>
          <w:p>
            <w:pPr>
              <w:pStyle w:val="86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83"/>
        </w:trPr>
        <w:tc>
          <w:tcPr>
            <w:tcW w:w="519" w:type="dxa"/>
            <w:vAlign w:val="center"/>
            <w:textDirection w:val="lrTb"/>
            <w:noWrap w:val="false"/>
          </w:tcPr>
          <w:p>
            <w:pPr>
              <w:pStyle w:val="869"/>
              <w:jc w:val="center"/>
              <w:spacing w:before="68" w:line="264" w:lineRule="auto"/>
              <w:rPr>
                <w:rFonts w:ascii="宋体" w:hAnsi="宋体" w:cs="宋体"/>
                <w:spacing w:val="-2"/>
              </w:rPr>
            </w:pPr>
            <w:r>
              <w:rPr>
                <w:rFonts w:hint="eastAsia" w:ascii="宋体" w:hAnsi="宋体" w:cs="宋体"/>
                <w:spacing w:val="-2"/>
              </w:rPr>
              <w:t xml:space="preserve">5.4</w:t>
            </w:r>
            <w:r>
              <w:rPr>
                <w:rFonts w:ascii="宋体" w:hAnsi="宋体" w:cs="宋体"/>
                <w:spacing w:val="-2"/>
              </w:rPr>
            </w:r>
            <w:r/>
          </w:p>
        </w:tc>
        <w:tc>
          <w:tcPr>
            <w:tcW w:w="1179" w:type="dxa"/>
            <w:vAlign w:val="center"/>
            <w:textDirection w:val="lrTb"/>
            <w:noWrap w:val="false"/>
          </w:tcPr>
          <w:p>
            <w:pPr>
              <w:pStyle w:val="869"/>
              <w:spacing w:line="264" w:lineRule="auto"/>
              <w:rPr>
                <w:rFonts w:hint="eastAsia"/>
              </w:rPr>
            </w:pPr>
            <w:r>
              <w:rPr>
                <w:rFonts w:hint="eastAsia"/>
              </w:rPr>
              <w:t xml:space="preserve">履约能力4</w:t>
            </w:r>
            <w:r>
              <w:rPr>
                <w:rFonts w:hint="eastAsia"/>
              </w:rPr>
            </w:r>
            <w:r/>
          </w:p>
        </w:tc>
        <w:tc>
          <w:tcPr>
            <w:tcW w:w="6330" w:type="dxa"/>
            <w:vAlign w:val="center"/>
            <w:textDirection w:val="lrTb"/>
            <w:noWrap w:val="false"/>
          </w:tcPr>
          <w:p>
            <w:pPr>
              <w:pStyle w:val="869"/>
              <w:spacing w:line="264" w:lineRule="auto"/>
              <w:rPr>
                <w:rFonts w:hint="eastAsia" w:ascii="宋体" w:hAnsi="宋体" w:cs="宋体"/>
              </w:rPr>
            </w:pPr>
            <w:r>
              <w:rPr>
                <w:rFonts w:hint="eastAsia" w:ascii="宋体" w:hAnsi="宋体" w:cs="宋体"/>
              </w:rPr>
              <w:t xml:space="preserve">投标人具有本项目相关的软件著作权证书，</w:t>
            </w:r>
            <w:r>
              <w:rPr>
                <w:rFonts w:hint="eastAsia" w:ascii="宋体" w:hAnsi="宋体" w:cs="宋体"/>
                <w:lang w:val="en-US" w:eastAsia="zh-CN"/>
              </w:rPr>
              <w:t xml:space="preserve">名称包含</w:t>
            </w:r>
            <w:r>
              <w:rPr>
                <w:rFonts w:ascii="宋体" w:hAnsi="宋体" w:cs="宋体"/>
              </w:rPr>
              <w:t xml:space="preserve">“医共体”“分级诊疗”“协同医疗”“双向转诊”</w:t>
            </w:r>
            <w:r>
              <w:rPr>
                <w:rFonts w:hint="eastAsia" w:ascii="宋体" w:hAnsi="宋体" w:cs="宋体"/>
              </w:rPr>
              <w:t xml:space="preserve">等</w:t>
            </w:r>
            <w:r>
              <w:rPr>
                <w:rFonts w:hint="eastAsia" w:ascii="宋体" w:hAnsi="宋体" w:cs="宋体"/>
                <w:lang w:val="en-US" w:eastAsia="zh-CN"/>
              </w:rPr>
              <w:t xml:space="preserve">中的任意一项</w:t>
            </w:r>
            <w:r>
              <w:rPr>
                <w:rFonts w:hint="eastAsia" w:ascii="宋体" w:hAnsi="宋体" w:cs="宋体"/>
              </w:rPr>
              <w:t xml:space="preserve">，每提供1</w:t>
            </w:r>
            <w:r>
              <w:rPr>
                <w:rFonts w:hint="eastAsia" w:ascii="宋体" w:hAnsi="宋体" w:cs="宋体"/>
                <w:lang w:val="en-US" w:eastAsia="zh-CN"/>
              </w:rPr>
              <w:t xml:space="preserve">个</w:t>
            </w:r>
            <w:r>
              <w:rPr>
                <w:rFonts w:hint="eastAsia" w:ascii="宋体" w:hAnsi="宋体" w:cs="宋体"/>
              </w:rPr>
              <w:t xml:space="preserve">证书得</w:t>
            </w:r>
            <w:r>
              <w:rPr>
                <w:rFonts w:hint="eastAsia" w:ascii="宋体" w:hAnsi="宋体" w:cs="宋体"/>
                <w:color w:val="0000ff"/>
              </w:rPr>
              <w:t xml:space="preserve">1</w:t>
            </w:r>
            <w:r>
              <w:rPr>
                <w:rFonts w:hint="eastAsia" w:ascii="宋体" w:hAnsi="宋体" w:cs="宋体"/>
              </w:rPr>
              <w:t xml:space="preserve">分，最多得4分。 </w:t>
            </w:r>
            <w:r>
              <w:rPr>
                <w:rFonts w:hint="eastAsia" w:ascii="宋体" w:hAnsi="宋体" w:cs="宋体"/>
              </w:rPr>
            </w:r>
            <w:r/>
          </w:p>
          <w:p>
            <w:pPr>
              <w:pStyle w:val="869"/>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W w:w="647" w:type="dxa"/>
            <w:vAlign w:val="center"/>
            <w:textDirection w:val="lrTb"/>
            <w:noWrap w:val="false"/>
          </w:tcPr>
          <w:p>
            <w:pPr>
              <w:pStyle w:val="869"/>
              <w:jc w:val="center"/>
              <w:spacing w:before="68" w:line="264" w:lineRule="auto"/>
              <w:rPr>
                <w:rFonts w:hint="eastAsia" w:ascii="宋体" w:hAnsi="宋体" w:cs="宋体"/>
              </w:rPr>
            </w:pPr>
            <w:r>
              <w:rPr>
                <w:rFonts w:ascii="宋体" w:hAnsi="宋体" w:cs="宋体"/>
              </w:rPr>
              <w:t xml:space="preserve">4</w:t>
            </w:r>
            <w:r>
              <w:rPr>
                <w:rFonts w:hint="eastAsia" w:ascii="宋体" w:hAnsi="宋体" w:cs="宋体"/>
              </w:rPr>
            </w:r>
            <w:r/>
          </w:p>
        </w:tc>
        <w:tc>
          <w:tcPr>
            <w:tcW w:w="900" w:type="dxa"/>
            <w:vAlign w:val="center"/>
            <w:textDirection w:val="lrTb"/>
            <w:noWrap w:val="false"/>
          </w:tcPr>
          <w:p>
            <w:pPr>
              <w:pStyle w:val="86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val="false"/>
          </w:tcPr>
          <w:p>
            <w:pPr>
              <w:pStyle w:val="86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6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69"/>
              <w:jc w:val="center"/>
              <w:spacing w:line="264" w:lineRule="auto"/>
            </w:pPr>
            <w:r>
              <w:rPr>
                <w:rFonts w:ascii="宋体" w:hAnsi="宋体" w:cs="宋体"/>
                <w:spacing w:val="-11"/>
              </w:rPr>
              <w:t xml:space="preserve">100分</w:t>
            </w:r>
            <w:r/>
          </w:p>
        </w:tc>
      </w:tr>
    </w:tbl>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869"/>
        <w:spacing w:line="264" w:lineRule="auto"/>
        <w:rPr>
          <w:rFonts w:hint="eastAsia"/>
        </w:rPr>
      </w:pPr>
      <w:r>
        <w:rPr>
          <w:rFonts w:hint="eastAsia"/>
        </w:rPr>
      </w:r>
      <w:r/>
    </w:p>
    <w:p>
      <w:pPr>
        <w:pStyle w:val="957"/>
        <w:rPr>
          <w:rFonts w:hint="eastAsia"/>
        </w:rPr>
      </w:pPr>
      <w:r>
        <w:rPr>
          <w:rFonts w:hint="eastAsia"/>
        </w:rPr>
      </w:r>
      <w:r/>
    </w:p>
    <w:p>
      <w:pPr>
        <w:pStyle w:val="869"/>
        <w:rPr>
          <w:rFonts w:hint="eastAsia"/>
        </w:rPr>
      </w:pPr>
      <w:r>
        <w:rPr>
          <w:rFonts w:hint="eastAsia"/>
        </w:rPr>
      </w:r>
      <w:r/>
    </w:p>
    <w:p>
      <w:pPr>
        <w:pStyle w:val="957"/>
        <w:rPr>
          <w:rFonts w:hint="eastAsia"/>
        </w:rPr>
      </w:pPr>
      <w:r>
        <w:rPr>
          <w:rFonts w:hint="eastAsia"/>
        </w:rPr>
      </w:r>
      <w:r/>
    </w:p>
    <w:p>
      <w:pPr>
        <w:pStyle w:val="869"/>
        <w:rPr>
          <w:rFonts w:hint="eastAsia"/>
        </w:rPr>
      </w:pPr>
      <w:r>
        <w:rPr>
          <w:rFonts w:hint="eastAsia"/>
        </w:rPr>
      </w:r>
      <w:r/>
    </w:p>
    <w:p>
      <w:pPr>
        <w:pStyle w:val="957"/>
        <w:rPr>
          <w:rFonts w:hint="eastAsia"/>
        </w:rPr>
      </w:pPr>
      <w:r>
        <w:rPr>
          <w:rFonts w:hint="eastAsia"/>
        </w:rPr>
      </w:r>
      <w:r/>
    </w:p>
    <w:p>
      <w:pPr>
        <w:pStyle w:val="869"/>
        <w:rPr>
          <w:rFonts w:hint="eastAsia"/>
        </w:rPr>
      </w:pPr>
      <w:r>
        <w:rPr>
          <w:rFonts w:hint="eastAsia"/>
        </w:rPr>
      </w:r>
      <w:r/>
    </w:p>
    <w:p>
      <w:pPr>
        <w:pStyle w:val="957"/>
        <w:rPr>
          <w:rFonts w:hint="eastAsia"/>
        </w:rPr>
      </w:pPr>
      <w:r>
        <w:rPr>
          <w:rFonts w:hint="eastAsia"/>
        </w:rPr>
      </w:r>
      <w:r/>
    </w:p>
    <w:p>
      <w:pPr>
        <w:pStyle w:val="869"/>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sz w:val="72"/>
        </w:rPr>
      </w:pPr>
      <w:r/>
      <w:bookmarkStart w:id="195" w:name="_Hlt26955039"/>
      <w:r/>
      <w:bookmarkEnd w:id="195"/>
      <w:r/>
      <w:bookmarkStart w:id="196" w:name="_Hlt26671244"/>
      <w:r/>
      <w:bookmarkEnd w:id="196"/>
      <w:r/>
      <w:bookmarkStart w:id="197" w:name="_Toc26554094"/>
      <w:r/>
      <w:bookmarkStart w:id="198" w:name="_Toc120614282"/>
      <w:r/>
      <w:bookmarkStart w:id="199" w:name="_Toc49090576"/>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6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941"/>
        <w:ind w:firstLine="560"/>
        <w:rPr>
          <w:rFonts w:hint="eastAsia" w:cs="宋体"/>
          <w:sz w:val="28"/>
          <w:szCs w:val="28"/>
        </w:rPr>
      </w:pPr>
      <w:r>
        <w:rPr>
          <w:rFonts w:hint="eastAsia" w:cs="宋体"/>
          <w:sz w:val="28"/>
          <w:szCs w:val="28"/>
        </w:rPr>
        <w:t xml:space="preserve">十二、分包承诺书（如有）</w:t>
      </w:r>
      <w:r>
        <w:rPr>
          <w:rFonts w:hint="eastAsia" w:cs="宋体"/>
          <w:sz w:val="28"/>
          <w:szCs w:val="28"/>
        </w:rPr>
      </w:r>
      <w:r/>
    </w:p>
    <w:p>
      <w:pPr>
        <w:pStyle w:val="941"/>
        <w:ind w:firstLine="560"/>
      </w:pPr>
      <w:r>
        <w:rPr>
          <w:rFonts w:hint="eastAsia" w:cs="宋体"/>
          <w:sz w:val="28"/>
          <w:szCs w:val="28"/>
        </w:rPr>
        <w:t xml:space="preserve">十三、关于符合本国产品标准的声明函（如有）</w:t>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560"/>
        <w:spacing w:line="600" w:lineRule="exact"/>
        <w:rPr>
          <w:rFonts w:hint="eastAsia" w:ascii="宋体" w:hAnsi="宋体" w:cs="宋体"/>
          <w:sz w:val="28"/>
          <w:szCs w:val="28"/>
        </w:rPr>
      </w:pPr>
      <w:r>
        <w:rPr>
          <w:rFonts w:hint="eastAsia" w:ascii="宋体" w:hAnsi="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956"/>
        <w:rPr>
          <w:sz w:val="24"/>
        </w:rPr>
      </w:pPr>
      <w:r>
        <w:rPr>
          <w:sz w:val="24"/>
        </w:rPr>
      </w:r>
      <w:r/>
    </w:p>
    <w:p>
      <w:pPr>
        <w:pStyle w:val="869"/>
        <w:ind w:firstLine="480"/>
        <w:spacing w:line="440" w:lineRule="exact"/>
        <w:rPr>
          <w:rFonts w:ascii="宋体" w:hAnsi="宋体"/>
          <w:sz w:val="24"/>
        </w:rPr>
      </w:pPr>
      <w:r>
        <w:rPr>
          <w:rFonts w:ascii="宋体" w:hAnsi="宋体"/>
          <w:sz w:val="24"/>
        </w:rPr>
      </w:r>
      <w:r/>
    </w:p>
    <w:p>
      <w:pPr>
        <w:pStyle w:val="869"/>
        <w:jc w:val="left"/>
        <w:spacing w:line="360" w:lineRule="auto"/>
        <w:rPr>
          <w:rFonts w:hint="eastAsia" w:ascii="黑体" w:hAnsi="黑体" w:eastAsia="黑体"/>
          <w:sz w:val="32"/>
          <w:szCs w:val="32"/>
        </w:rPr>
      </w:pPr>
      <w:r/>
      <w:bookmarkEnd w:id="197"/>
      <w:r/>
      <w:bookmarkEnd w:id="198"/>
      <w:r/>
      <w:bookmarkEnd w:id="199"/>
      <w:r/>
      <w:bookmarkStart w:id="200" w:name="_Toc120614284"/>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6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6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6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66"/>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rPr>
      </w:pPr>
      <w:r>
        <w:rPr>
          <w:rFonts w:hint="eastAsia" w:ascii="宋体" w:hAnsi="宋体"/>
          <w:sz w:val="24"/>
          <w:szCs w:val="24"/>
        </w:rPr>
      </w:r>
      <w:r/>
    </w:p>
    <w:p>
      <w:pPr>
        <w:pStyle w:val="869"/>
        <w:ind w:firstLine="480"/>
        <w:spacing w:line="440" w:lineRule="exact"/>
        <w:rPr>
          <w:rFonts w:hint="eastAsia" w:ascii="宋体" w:hAnsi="宋体"/>
          <w:sz w:val="24"/>
          <w:szCs w:val="24"/>
        </w:rPr>
      </w:pPr>
      <w:r>
        <w:rPr>
          <w:rFonts w:hint="eastAsia" w:ascii="宋体" w:hAnsi="宋体"/>
          <w:sz w:val="24"/>
          <w:szCs w:val="24"/>
        </w:rPr>
      </w:r>
      <w:r/>
    </w:p>
    <w:p>
      <w:pPr>
        <w:pStyle w:val="994"/>
        <w:rPr>
          <w:rFonts w:hint="eastAsia" w:ascii="宋体" w:hAnsi="宋体"/>
          <w:b/>
          <w:bCs/>
          <w:lang w:eastAsia="zh-CN"/>
        </w:rPr>
      </w:pPr>
      <w:r>
        <w:rPr>
          <w:rFonts w:hint="eastAsia" w:ascii="宋体" w:hAnsi="宋体"/>
          <w:b/>
          <w:bCs/>
          <w:lang w:eastAsia="zh-CN"/>
        </w:rPr>
      </w:r>
      <w:r/>
    </w:p>
    <w:p>
      <w:pPr>
        <w:pStyle w:val="869"/>
        <w:rPr>
          <w:rFonts w:hint="eastAsia"/>
        </w:rPr>
      </w:pPr>
      <w:r>
        <w:rPr>
          <w:rFonts w:hint="eastAsia"/>
        </w:rPr>
      </w:r>
      <w:r/>
    </w:p>
    <w:p>
      <w:pPr>
        <w:pStyle w:val="869"/>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7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994"/>
        <w:rPr>
          <w:rFonts w:hint="eastAsia"/>
          <w:lang w:eastAsia="zh-CN"/>
        </w:rPr>
      </w:pPr>
      <w:r>
        <w:rPr>
          <w:rFonts w:hint="eastAsia"/>
          <w:lang w:eastAsia="zh-CN"/>
        </w:rPr>
      </w:r>
      <w:r/>
    </w:p>
    <w:p>
      <w:pPr>
        <w:pStyle w:val="869"/>
        <w:rPr>
          <w:rFonts w:hint="eastAsia"/>
        </w:rPr>
      </w:pPr>
      <w:r>
        <w:rPr>
          <w:rFonts w:hint="eastAsia"/>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rPr>
          <w:rFonts w:hint="eastAsia" w:ascii="黑体" w:hAnsi="黑体" w:eastAsia="黑体"/>
          <w:i/>
          <w:sz w:val="32"/>
          <w:szCs w:val="32"/>
          <w:u w:val="single"/>
        </w:rPr>
      </w:pPr>
      <w:r>
        <w:rPr>
          <w:rFonts w:hint="eastAsia" w:ascii="黑体" w:hAnsi="黑体" w:eastAsia="黑体"/>
          <w:i/>
          <w:sz w:val="32"/>
          <w:szCs w:val="32"/>
          <w:u w:val="single"/>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9"/>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76"/>
        <w:ind w:firstLine="480"/>
        <w:spacing w:line="420" w:lineRule="exact"/>
        <w:tabs>
          <w:tab w:val="left" w:pos="360" w:leader="none"/>
        </w:tabs>
        <w:rPr>
          <w:rFonts w:hint="eastAsia"/>
          <w:sz w:val="24"/>
          <w:szCs w:val="24"/>
        </w:rPr>
      </w:pP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7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7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76"/>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7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76"/>
        <w:ind w:firstLine="480"/>
        <w:spacing w:line="480" w:lineRule="exact"/>
        <w:tabs>
          <w:tab w:val="left" w:pos="360" w:leader="none"/>
        </w:tabs>
        <w:rPr>
          <w:rFonts w:hint="eastAsia"/>
          <w:sz w:val="24"/>
          <w:szCs w:val="24"/>
        </w:rPr>
      </w:pPr>
      <w:r>
        <w:rPr>
          <w:rFonts w:hint="eastAsia"/>
          <w:sz w:val="24"/>
          <w:szCs w:val="24"/>
        </w:rPr>
        <w:t xml:space="preserve">日    期：</w:t>
      </w:r>
      <w:bookmarkStart w:id="201" w:name="_Hlt26671380"/>
      <w:r/>
      <w:bookmarkEnd w:id="201"/>
      <w:r/>
      <w:bookmarkStart w:id="202" w:name="_Hlt26955070"/>
      <w:r/>
      <w:bookmarkEnd w:id="202"/>
      <w:r/>
      <w:bookmarkStart w:id="203" w:name="_格式3__银行出具的资信证明"/>
      <w:r/>
      <w:bookmarkEnd w:id="203"/>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956"/>
        <w:ind w:left="0"/>
        <w:rPr>
          <w:rFonts w:hint="eastAsia"/>
          <w:bCs/>
          <w:sz w:val="24"/>
        </w:rPr>
      </w:pPr>
      <w:r>
        <w:rPr>
          <w:rFonts w:hint="eastAsia"/>
          <w:bCs/>
          <w:sz w:val="24"/>
        </w:rPr>
      </w:r>
      <w:r/>
    </w:p>
    <w:p>
      <w:pPr>
        <w:pStyle w:val="956"/>
        <w:ind w:left="0"/>
        <w:rPr>
          <w:rFonts w:hint="eastAsia"/>
          <w:bCs/>
          <w:sz w:val="24"/>
        </w:rPr>
      </w:pPr>
      <w:r>
        <w:rPr>
          <w:rFonts w:hint="eastAsia"/>
          <w:bCs/>
          <w:sz w:val="24"/>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7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78"/>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7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7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r>
      <w:r/>
    </w:p>
    <w:p>
      <w:pPr>
        <w:pStyle w:val="978"/>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81"/>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69"/>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spacing w:line="480" w:lineRule="auto"/>
        <w:rPr>
          <w:sz w:val="24"/>
          <w:szCs w:val="24"/>
        </w:rPr>
      </w:pPr>
      <w:r>
        <w:rPr>
          <w:rFonts w:hint="eastAsia" w:ascii="宋体" w:hAnsi="宋体"/>
          <w:sz w:val="24"/>
          <w:szCs w:val="24"/>
        </w:rPr>
        <w:t xml:space="preserve">项目名称：</w:t>
      </w:r>
      <w:r>
        <w:rPr>
          <w:sz w:val="24"/>
          <w:szCs w:val="24"/>
        </w:rPr>
      </w:r>
      <w:r/>
    </w:p>
    <w:p>
      <w:pPr>
        <w:pStyle w:val="869"/>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78"/>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spacing w:line="480" w:lineRule="auto"/>
        <w:rPr>
          <w:rFonts w:ascii="宋体" w:hAnsi="宋体"/>
          <w:sz w:val="24"/>
          <w:szCs w:val="24"/>
        </w:rPr>
      </w:pPr>
      <w:r>
        <w:rPr>
          <w:rFonts w:ascii="宋体" w:hAnsi="宋体"/>
          <w:sz w:val="24"/>
          <w:szCs w:val="24"/>
        </w:rPr>
      </w:r>
      <w:r/>
    </w:p>
    <w:p>
      <w:pPr>
        <w:pStyle w:val="86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41"/>
        <w:rPr>
          <w:rFonts w:hint="eastAsia"/>
        </w:rPr>
      </w:pPr>
      <w:r>
        <w:rPr>
          <w:rFonts w:hint="eastAsia"/>
        </w:rPr>
      </w:r>
      <w:r/>
    </w:p>
    <w:p>
      <w:pPr>
        <w:pStyle w:val="869"/>
        <w:spacing w:line="360" w:lineRule="auto"/>
        <w:rPr>
          <w:rFonts w:hint="eastAsia" w:ascii="黑体" w:eastAsia="黑体"/>
          <w:color w:val="000000"/>
          <w:sz w:val="32"/>
          <w:szCs w:val="32"/>
        </w:rPr>
      </w:pPr>
      <w:r>
        <w:rPr>
          <w:rFonts w:hint="eastAsia" w:ascii="黑体" w:eastAsia="黑体"/>
          <w:color w:val="000000"/>
          <w:sz w:val="32"/>
          <w:szCs w:val="32"/>
        </w:rPr>
      </w:r>
      <w:r/>
    </w:p>
    <w:p>
      <w:pPr>
        <w:pStyle w:val="941"/>
        <w:rPr>
          <w:rFonts w:hint="eastAsia"/>
        </w:rPr>
      </w:pPr>
      <w:r>
        <w:rPr>
          <w:rFonts w:hint="eastAsia"/>
        </w:rPr>
      </w:r>
      <w:r/>
    </w:p>
    <w:p>
      <w:pPr>
        <w:pStyle w:val="869"/>
        <w:rPr>
          <w:rFonts w:hint="eastAsia"/>
        </w:rPr>
      </w:pPr>
      <w:r>
        <w:rPr>
          <w:rFonts w:hint="eastAsia"/>
        </w:rPr>
      </w:r>
      <w:r/>
    </w:p>
    <w:p>
      <w:pPr>
        <w:pStyle w:val="941"/>
        <w:rPr>
          <w:rFonts w:hint="eastAsia"/>
        </w:rPr>
      </w:pPr>
      <w:r>
        <w:rPr>
          <w:rFonts w:hint="eastAsia"/>
        </w:rPr>
      </w:r>
      <w:r/>
    </w:p>
    <w:p>
      <w:pPr>
        <w:pStyle w:val="95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9"/>
        <w:rPr>
          <w:rFonts w:hint="eastAsia" w:ascii="黑体" w:eastAsia="黑体"/>
          <w:color w:val="000000"/>
          <w:sz w:val="32"/>
          <w:szCs w:val="32"/>
        </w:rPr>
      </w:pPr>
      <w:r>
        <w:rPr>
          <w:rFonts w:hint="eastAsia" w:ascii="黑体" w:eastAsia="黑体"/>
          <w:color w:val="000000"/>
          <w:sz w:val="32"/>
          <w:szCs w:val="32"/>
        </w:rPr>
      </w:r>
      <w:r/>
    </w:p>
    <w:p>
      <w:pPr>
        <w:pStyle w:val="95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57"/>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86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0" w:type="auto"/>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
        <w:gridCol w:w="581"/>
        <w:gridCol w:w="2017"/>
        <w:gridCol w:w="1605"/>
        <w:gridCol w:w="990"/>
        <w:gridCol w:w="990"/>
        <w:gridCol w:w="1515"/>
        <w:gridCol w:w="1845"/>
      </w:tblGrid>
      <w:tr>
        <w:trPr>
          <w:cantSplit/>
          <w:gridBefore w:val="1"/>
          <w:trHeight w:val="429"/>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gridBefore w:val="1"/>
          <w:trHeight w:val="445"/>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515" w:type="dxa"/>
            <w:vAlign w:val="center"/>
            <w:textDirection w:val="lrTb"/>
            <w:noWrap w:val="false"/>
          </w:tcPr>
          <w:p>
            <w:pPr>
              <w:pStyle w:val="869"/>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gridBefore w:val="1"/>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gridBefore w:val="1"/>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gridBefore w:val="1"/>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gridBefore w:val="1"/>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5"/>
            <w:tcW w:w="69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trHeight w:val="654"/>
        </w:trPr>
        <w:tc>
          <w:tcPr>
            <w:gridSpan w:val="8"/>
            <w:tcW w:w="955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否达到提供的全部产品成本之和的80%以上。</w:t>
            </w:r>
            <w:r>
              <w:rPr>
                <w:sz w:val="21"/>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r>
      <w:r/>
    </w:p>
    <w:p>
      <w:pPr>
        <w:pStyle w:val="935"/>
        <w:jc w:val="both"/>
        <w:spacing w:before="0" w:beforeAutospacing="0" w:after="0" w:afterAutospacing="0"/>
        <w:rPr>
          <w:color w:val="000000"/>
        </w:rPr>
      </w:pPr>
      <w:r>
        <w:rPr>
          <w:color w:val="000000"/>
        </w:r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spacing w:line="360" w:lineRule="auto"/>
        <w:rPr>
          <w:rFonts w:ascii="宋体" w:hAnsi="宋体"/>
          <w:sz w:val="24"/>
        </w:rPr>
      </w:pPr>
      <w:r>
        <w:rPr>
          <w:rFonts w:ascii="宋体" w:hAnsi="宋体"/>
          <w:sz w:val="24"/>
        </w:rPr>
      </w:r>
      <w:r/>
    </w:p>
    <w:p>
      <w:pPr>
        <w:pStyle w:val="935"/>
        <w:ind w:firstLine="480"/>
        <w:jc w:val="both"/>
        <w:spacing w:before="0" w:beforeAutospacing="0" w:after="0" w:afterAutospacing="0" w:line="360" w:lineRule="auto"/>
        <w:rPr>
          <w:color w:val="000000"/>
        </w:rPr>
      </w:pPr>
      <w:r>
        <w:rPr>
          <w:color w:val="000000"/>
        </w:rPr>
        <w:t xml:space="preserve">备注： </w:t>
      </w:r>
      <w:r>
        <w:rPr>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5"/>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rPr>
          <w:rFonts w:hint="eastAsia"/>
          <w:color w:val="000000"/>
        </w:rPr>
      </w:r>
      <w:r/>
    </w:p>
    <w:p>
      <w:pPr>
        <w:pStyle w:val="935"/>
        <w:ind w:firstLine="480"/>
        <w:jc w:val="both"/>
        <w:spacing w:before="0" w:beforeAutospacing="0" w:after="0" w:afterAutospacing="0" w:line="360" w:lineRule="auto"/>
        <w:rPr>
          <w:color w:val="000000"/>
          <w:highlight w:val="none"/>
        </w:rPr>
      </w:pPr>
      <w:r>
        <w:rPr>
          <w:rFonts w:hint="eastAsia"/>
          <w:color w:val="000000"/>
        </w:rPr>
        <w:t xml:space="preserve">4.行数不够，可自行添加。</w:t>
      </w:r>
      <w:r>
        <w:rPr>
          <w:color w:val="000000"/>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935"/>
        <w:ind w:firstLine="480"/>
        <w:jc w:val="both"/>
        <w:spacing w:before="0" w:beforeAutospacing="0" w:after="0" w:afterAutospacing="0" w:line="360" w:lineRule="auto"/>
        <w:rPr>
          <w:color w:val="000000"/>
        </w:rPr>
      </w:pPr>
      <w:r>
        <w:rPr>
          <w:color w:val="000000"/>
          <w:highlight w:val="none"/>
        </w:rPr>
      </w:r>
      <w:r>
        <w:rPr>
          <w:color w:val="000000"/>
          <w:highlight w:val="none"/>
        </w:rPr>
      </w:r>
      <w:r/>
    </w:p>
    <w:p>
      <w:pPr>
        <w:pStyle w:val="86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57"/>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9"/>
        <w:rPr>
          <w:rFonts w:hint="eastAsia"/>
        </w:rPr>
      </w:pPr>
      <w:r>
        <w:rPr>
          <w:rFonts w:hint="eastAsia"/>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七</w:t>
      </w:r>
      <w:bookmarkEnd w:id="42"/>
      <w:r/>
      <w:bookmarkEnd w:id="43"/>
      <w:r/>
      <w:bookmarkEnd w:id="200"/>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69"/>
              <w:jc w:val="center"/>
            </w:pPr>
            <w:r/>
            <w:r/>
          </w:p>
          <w:p>
            <w:pPr>
              <w:pStyle w:val="941"/>
              <w:rPr>
                <w:rFonts w:hint="eastAsia"/>
              </w:rPr>
            </w:pPr>
            <w:r>
              <w:rPr>
                <w:rFonts w:hint="eastAsia"/>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pPr>
      <w:r>
        <w:t xml:space="preserve">备注： </w:t>
      </w:r>
      <w:r/>
    </w:p>
    <w:p>
      <w:pPr>
        <w:pStyle w:val="93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93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69"/>
        <w:rPr>
          <w:rFonts w:hint="eastAsia" w:ascii="黑体" w:hAnsi="黑体" w:eastAsia="黑体"/>
          <w:iCs/>
          <w:sz w:val="32"/>
          <w:szCs w:val="32"/>
        </w:rPr>
      </w:pPr>
      <w:r/>
      <w:bookmarkStart w:id="204" w:name="_Hlt26955054"/>
      <w:r/>
      <w:bookmarkEnd w:id="204"/>
      <w:r>
        <w:rPr>
          <w:rFonts w:hint="eastAsia" w:ascii="黑体" w:hAnsi="黑体" w:eastAsia="黑体"/>
          <w:iCs/>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sz w:val="24"/>
                <w:szCs w:val="24"/>
              </w:rPr>
            </w:pPr>
            <w:r/>
            <w:bookmarkStart w:id="205" w:name="_Hlt24879081"/>
            <w:r/>
            <w:bookmarkEnd w:id="205"/>
            <w:r/>
            <w:bookmarkStart w:id="206" w:name="_Hlt26609391"/>
            <w:r/>
            <w:bookmarkEnd w:id="206"/>
            <w:r/>
            <w:bookmarkStart w:id="207" w:name="_Hlt26671372"/>
            <w:r/>
            <w:bookmarkEnd w:id="207"/>
            <w:r/>
            <w:bookmarkStart w:id="208" w:name="_Hlt26580838"/>
            <w:r/>
            <w:bookmarkEnd w:id="208"/>
            <w:r/>
            <w:bookmarkStart w:id="209" w:name="_Hlt26955064"/>
            <w:r/>
            <w:bookmarkEnd w:id="209"/>
            <w:r/>
            <w:bookmarkStart w:id="210" w:name="_Hlt26782999"/>
            <w:r/>
            <w:bookmarkEnd w:id="210"/>
            <w:r/>
            <w:bookmarkStart w:id="211" w:name="_Hlt26671343"/>
            <w:r/>
            <w:bookmarkEnd w:id="211"/>
            <w:r/>
            <w:bookmarkStart w:id="212" w:name="_Hlt26955056"/>
            <w:r/>
            <w:bookmarkEnd w:id="21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6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69"/>
              <w:jc w:val="center"/>
            </w:pPr>
            <w:r/>
            <w:r/>
          </w:p>
          <w:p>
            <w:pPr>
              <w:pStyle w:val="941"/>
              <w:rPr>
                <w:rFonts w:hint="eastAsia"/>
              </w:rPr>
            </w:pPr>
            <w:r>
              <w:rPr>
                <w:rFonts w:hint="eastAsia"/>
              </w:rPr>
            </w:r>
            <w:r/>
          </w:p>
        </w:tc>
        <w:tc>
          <w:tcPr>
            <w:tcW w:w="2832"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69"/>
              <w:jc w:val="center"/>
              <w:rPr>
                <w:rFonts w:hint="eastAsia" w:ascii="宋体" w:hAnsi="宋体"/>
                <w:sz w:val="24"/>
                <w:szCs w:val="24"/>
              </w:rPr>
            </w:pPr>
            <w:r>
              <w:rPr>
                <w:rFonts w:hint="eastAsia" w:ascii="宋体" w:hAnsi="宋体"/>
                <w:sz w:val="24"/>
                <w:szCs w:val="24"/>
              </w:rPr>
            </w:r>
            <w:r/>
          </w:p>
        </w:tc>
      </w:tr>
    </w:tbl>
    <w:p>
      <w:pPr>
        <w:pStyle w:val="935"/>
        <w:jc w:val="both"/>
        <w:spacing w:before="0" w:beforeAutospacing="0" w:after="0" w:afterAutospacing="0"/>
      </w:pPr>
      <w:r/>
      <w:r/>
    </w:p>
    <w:p>
      <w:pPr>
        <w:pStyle w:val="86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9"/>
        <w:rPr>
          <w:rFonts w:hint="eastAsia" w:ascii="宋体" w:hAnsi="宋体"/>
          <w:sz w:val="24"/>
          <w:szCs w:val="24"/>
        </w:rPr>
      </w:pPr>
      <w:r>
        <w:rPr>
          <w:rFonts w:hint="eastAsia" w:ascii="宋体" w:hAnsi="宋体"/>
          <w:sz w:val="24"/>
          <w:szCs w:val="24"/>
        </w:rPr>
      </w:r>
      <w:r/>
    </w:p>
    <w:p>
      <w:pPr>
        <w:pStyle w:val="935"/>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35"/>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3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7"/>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957"/>
        <w:rPr>
          <w:rFonts w:hint="eastAsia"/>
          <w:color w:val="000000"/>
        </w:rPr>
      </w:pPr>
      <w:r>
        <w:rPr>
          <w:rFonts w:hint="eastAsia"/>
          <w:color w:val="000000"/>
        </w:rPr>
      </w:r>
      <w:r/>
    </w:p>
    <w:p>
      <w:pPr>
        <w:pStyle w:val="869"/>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6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6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869"/>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7"/>
        <w:spacing w:line="360" w:lineRule="auto"/>
        <w:rPr>
          <w:rFonts w:hint="eastAsia" w:ascii="宋体" w:hAnsi="宋体"/>
          <w:sz w:val="24"/>
          <w:szCs w:val="24"/>
        </w:rPr>
      </w:pPr>
      <w:r>
        <w:rPr>
          <w:rFonts w:hint="eastAsia" w:ascii="宋体" w:hAnsi="宋体"/>
          <w:sz w:val="24"/>
          <w:szCs w:val="24"/>
        </w:rPr>
      </w:r>
      <w:r/>
    </w:p>
    <w:p>
      <w:pPr>
        <w:pStyle w:val="869"/>
        <w:spacing w:line="360" w:lineRule="auto"/>
        <w:rPr>
          <w:rFonts w:hint="eastAsia"/>
        </w:rPr>
      </w:pPr>
      <w:r>
        <w:rPr>
          <w:rFonts w:hint="eastAsia"/>
        </w:rPr>
      </w:r>
      <w:r/>
    </w:p>
    <w:p>
      <w:pPr>
        <w:pStyle w:val="86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869"/>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86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86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6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360" w:lineRule="auto"/>
        <w:rPr>
          <w:rFonts w:hint="eastAsia" w:ascii="宋体" w:hAnsi="宋体"/>
          <w:sz w:val="24"/>
        </w:rPr>
      </w:pPr>
      <w:r>
        <w:rPr>
          <w:rFonts w:hint="eastAsia" w:ascii="宋体" w:hAnsi="宋体"/>
          <w:sz w:val="24"/>
        </w:rPr>
      </w:r>
      <w:r/>
    </w:p>
    <w:p>
      <w:pPr>
        <w:pStyle w:val="86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69"/>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869"/>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941"/>
        <w:ind w:firstLine="480"/>
        <w:rPr>
          <w:rFonts w:hint="eastAsia"/>
          <w:sz w:val="24"/>
        </w:rPr>
      </w:pPr>
      <w:r>
        <w:rPr>
          <w:rFonts w:hint="eastAsia"/>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57"/>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57"/>
        <w:rPr>
          <w:rFonts w:hint="eastAsia"/>
        </w:rPr>
      </w:pPr>
      <w:r>
        <w:rPr>
          <w:rFonts w:hint="eastAsia"/>
        </w:rPr>
      </w:r>
      <w:r/>
    </w:p>
    <w:p>
      <w:pPr>
        <w:pStyle w:val="869"/>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869"/>
        <w:rPr>
          <w:rFonts w:hint="eastAsia"/>
        </w:rPr>
      </w:pPr>
      <w:r>
        <w:rPr>
          <w:rFonts w:hint="eastAsia"/>
        </w:rPr>
      </w:r>
      <w:r/>
    </w:p>
    <w:p>
      <w:pPr>
        <w:pStyle w:val="869"/>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869"/>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pStyle w:val="869"/>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rPr>
          <w:rFonts w:hint="eastAsia" w:ascii="宋体" w:hAnsi="宋体" w:cs="宋体"/>
          <w:color w:val="000000"/>
          <w:sz w:val="24"/>
          <w:szCs w:val="24"/>
        </w:rPr>
      </w:r>
      <w:r/>
    </w:p>
    <w:p>
      <w:pPr>
        <w:pStyle w:val="869"/>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rPr>
          <w:rFonts w:hint="eastAsia" w:ascii="宋体" w:hAnsi="宋体" w:cs="宋体"/>
          <w:color w:val="000000"/>
          <w:sz w:val="24"/>
          <w:szCs w:val="24"/>
        </w:rPr>
      </w:r>
      <w:r/>
    </w:p>
    <w:p>
      <w:pPr>
        <w:pStyle w:val="869"/>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rPr>
          <w:rFonts w:hint="eastAsia" w:ascii="宋体" w:hAnsi="宋体" w:cs="宋体"/>
          <w:color w:val="000000"/>
          <w:sz w:val="24"/>
          <w:szCs w:val="24"/>
        </w:rPr>
      </w:r>
      <w:r/>
    </w:p>
    <w:p>
      <w:pPr>
        <w:pStyle w:val="869"/>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rPr>
          <w:rFonts w:hint="eastAsia" w:ascii="宋体" w:hAnsi="宋体" w:cs="宋体"/>
          <w:color w:val="000000"/>
          <w:sz w:val="24"/>
          <w:szCs w:val="24"/>
        </w:rPr>
      </w:r>
      <w:r/>
    </w:p>
    <w:p>
      <w:pPr>
        <w:pStyle w:val="869"/>
        <w:spacing w:line="480" w:lineRule="auto"/>
        <w:rPr>
          <w:rFonts w:hint="eastAsia" w:ascii="宋体" w:hAnsi="宋体" w:cs="宋体"/>
          <w:color w:val="000000"/>
          <w:sz w:val="24"/>
          <w:szCs w:val="24"/>
        </w:rPr>
      </w:pPr>
      <w:r>
        <w:rPr>
          <w:rFonts w:hint="eastAsia" w:ascii="宋体" w:hAnsi="宋体" w:cs="宋体"/>
          <w:color w:val="000000"/>
          <w:sz w:val="24"/>
          <w:szCs w:val="24"/>
        </w:rPr>
      </w:r>
      <w:r/>
    </w:p>
    <w:p>
      <w:pPr>
        <w:pStyle w:val="869"/>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869"/>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rPr>
          <w:rFonts w:hint="eastAsia" w:ascii="宋体" w:hAnsi="宋体" w:cs="宋体"/>
          <w:sz w:val="24"/>
          <w:szCs w:val="24"/>
        </w:r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1"/>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1"/>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1"/>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1"/>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941"/>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69"/>
        <w:jc w:val="left"/>
        <w:spacing w:line="360" w:lineRule="auto"/>
        <w:rPr>
          <w:rFonts w:hint="eastAsia" w:ascii="宋体" w:hAnsi="宋体"/>
          <w:sz w:val="24"/>
        </w:rPr>
      </w:pPr>
      <w:r>
        <w:rPr>
          <w:rFonts w:hint="eastAsia"/>
        </w:rPr>
        <w:br w:type="page" w:clear="all"/>
      </w:r>
      <w:r>
        <w:rPr>
          <w:rFonts w:hint="eastAsia" w:ascii="黑体" w:hAnsi="黑体" w:eastAsia="黑体"/>
          <w:sz w:val="32"/>
          <w:szCs w:val="32"/>
        </w:rPr>
        <w:t xml:space="preserve">十三、关于符合本国产品标准的声明函</w:t>
      </w:r>
      <w:r>
        <w:rPr>
          <w:rFonts w:hint="eastAsia" w:ascii="宋体" w:hAnsi="宋体"/>
          <w:sz w:val="24"/>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hint="eastAsia"/>
          <w:shd w:val="clear" w:color="auto" w:fill="ffffff"/>
        </w:rPr>
        <w:t xml:space="preserve"> </w:t>
      </w:r>
      <w:r>
        <w:rPr>
          <w:rFonts w:ascii="SimSun" w:hAnsi="SimSun" w:eastAsia="SimSun" w:cs="SimSun"/>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w:t>
      </w:r>
      <w:r/>
    </w:p>
    <w:p>
      <w:pPr>
        <w:pStyle w:val="935"/>
        <w:ind w:firstLine="420"/>
        <w:spacing w:before="24" w:beforeAutospacing="0" w:after="24" w:afterAutospacing="0" w:line="360" w:lineRule="auto"/>
        <w:shd w:val="clear" w:color="auto" w:fill="ffffff"/>
        <w:rPr>
          <w:rFonts w:hint="eastAsia"/>
        </w:rPr>
      </w:pPr>
      <w:r>
        <w:rPr>
          <w:rFonts w:hint="eastAsia"/>
          <w:shd w:val="clear" w:color="auto" w:fill="ffffff"/>
        </w:rPr>
      </w:r>
      <w:r/>
    </w:p>
    <w:p>
      <w:pPr>
        <w:pStyle w:val="935"/>
        <w:ind w:firstLine="420"/>
        <w:spacing w:before="24" w:beforeAutospacing="0" w:after="24" w:afterAutospacing="0" w:line="360" w:lineRule="auto"/>
        <w:shd w:val="clear" w:color="auto" w:fill="ffffff"/>
      </w:pPr>
      <w:r/>
      <w:r/>
    </w:p>
    <w:p>
      <w:pPr>
        <w:pStyle w:val="86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hint="eastAsia" w:ascii="宋体" w:hAnsi="宋体"/>
          <w:bCs/>
          <w:sz w:val="24"/>
          <w:szCs w:val="24"/>
        </w:rPr>
      </w:pPr>
      <w:r>
        <w:rPr>
          <w:rFonts w:hint="eastAsia" w:ascii="宋体" w:hAnsi="宋体"/>
          <w:bCs/>
          <w:sz w:val="24"/>
          <w:szCs w:val="24"/>
        </w:rPr>
      </w:r>
      <w:r/>
    </w:p>
    <w:p>
      <w:pPr>
        <w:pStyle w:val="86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３５</w:t>
    </w:r>
    <w:r>
      <w:rPr>
        <w:rFonts w:ascii="宋体" w:hAnsi="宋体"/>
      </w:rPr>
      <w:fldChar w:fldCharType="end"/>
    </w:r>
    <w:r>
      <w:rPr>
        <w:rStyle w:val="945"/>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5"/>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1"/>
      <w:lang w:val="en-US" w:eastAsia="zh-CN" w:bidi="ar-SA"/>
    </w:rPr>
  </w:style>
  <w:style w:type="paragraph" w:styleId="870">
    <w:name w:val="标题 1"/>
    <w:basedOn w:val="869"/>
    <w:next w:val="869"/>
    <w:link w:val="884"/>
    <w:qFormat/>
    <w:pPr>
      <w:jc w:val="center"/>
      <w:keepNext/>
      <w:outlineLvl w:val="0"/>
    </w:pPr>
    <w:rPr>
      <w:rFonts w:ascii="楷体_GB2312" w:eastAsia="楷体_GB2312"/>
      <w:sz w:val="28"/>
      <w:szCs w:val="28"/>
    </w:rPr>
  </w:style>
  <w:style w:type="paragraph" w:styleId="871">
    <w:name w:val="标题 2"/>
    <w:basedOn w:val="869"/>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6"/>
    <w:link w:val="888"/>
    <w:qFormat/>
    <w:pPr>
      <w:keepLines/>
      <w:keepNext/>
      <w:spacing w:before="260" w:after="260" w:line="416" w:lineRule="auto"/>
      <w:outlineLvl w:val="2"/>
    </w:pPr>
    <w:rPr>
      <w:b/>
      <w:bCs/>
      <w:sz w:val="32"/>
      <w:szCs w:val="32"/>
    </w:rPr>
  </w:style>
  <w:style w:type="paragraph" w:styleId="873">
    <w:name w:val="标题 4"/>
    <w:basedOn w:val="869"/>
    <w:next w:val="886"/>
    <w:link w:val="889"/>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6"/>
    <w:link w:val="890"/>
    <w:qFormat/>
    <w:pPr>
      <w:keepNext/>
      <w:outlineLvl w:val="4"/>
    </w:pPr>
    <w:rPr>
      <w:rFonts w:ascii="宋体"/>
      <w:color w:val="000000"/>
      <w:sz w:val="28"/>
      <w:szCs w:val="28"/>
    </w:rPr>
  </w:style>
  <w:style w:type="paragraph" w:styleId="875">
    <w:name w:val="标题 6"/>
    <w:basedOn w:val="869"/>
    <w:next w:val="869"/>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92"/>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4"/>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paragraph" w:styleId="881">
    <w:name w:val="正文首行缩进 211"/>
    <w:basedOn w:val="882"/>
    <w:next w:val="869"/>
    <w:link w:val="869"/>
    <w:qFormat/>
    <w:pPr>
      <w:ind w:left="0" w:firstLine="420"/>
      <w:spacing w:after="0" w:line="360" w:lineRule="auto"/>
    </w:pPr>
    <w:rPr>
      <w:rFonts w:ascii="宋体" w:hAnsi="宋体" w:eastAsia="宋体" w:cs="Times New Roman"/>
      <w:szCs w:val="20"/>
    </w:rPr>
  </w:style>
  <w:style w:type="paragraph" w:styleId="882">
    <w:name w:val="正文文本缩进11"/>
    <w:basedOn w:val="869"/>
    <w:next w:val="883"/>
    <w:link w:val="869"/>
    <w:qFormat/>
    <w:pPr>
      <w:ind w:firstLine="645"/>
    </w:pPr>
    <w:rPr>
      <w:rFonts w:ascii="楷体_GB2312" w:eastAsia="楷体_GB2312"/>
      <w:sz w:val="32"/>
      <w:szCs w:val="32"/>
    </w:rPr>
  </w:style>
  <w:style w:type="paragraph" w:styleId="883">
    <w:name w:val="寄信人地址11"/>
    <w:basedOn w:val="869"/>
    <w:next w:val="883"/>
    <w:link w:val="869"/>
    <w:qFormat/>
    <w:rPr>
      <w:rFonts w:ascii="Arial" w:hAnsi="Arial" w:eastAsia="宋体" w:cs="宋体"/>
    </w:rPr>
  </w:style>
  <w:style w:type="character" w:styleId="884">
    <w:name w:val="标题 1 字符"/>
    <w:next w:val="884"/>
    <w:link w:val="870"/>
    <w:rPr>
      <w:rFonts w:ascii="楷体_GB2312" w:hAnsi="Times New Roman" w:eastAsia="楷体_GB2312" w:cs="Times New Roman"/>
      <w:sz w:val="28"/>
      <w:szCs w:val="28"/>
    </w:rPr>
  </w:style>
  <w:style w:type="character" w:styleId="885">
    <w:name w:val="标题 2 字符"/>
    <w:next w:val="885"/>
    <w:link w:val="871"/>
    <w:rPr>
      <w:rFonts w:ascii="Arial" w:hAnsi="Arial" w:eastAsia="幼圆" w:cs="Arial"/>
      <w:b/>
      <w:bCs/>
      <w:sz w:val="44"/>
      <w:szCs w:val="44"/>
    </w:rPr>
  </w:style>
  <w:style w:type="paragraph" w:styleId="886">
    <w:name w:val="正文缩进"/>
    <w:basedOn w:val="869"/>
    <w:next w:val="886"/>
    <w:link w:val="887"/>
    <w:pPr>
      <w:ind w:firstLine="420"/>
    </w:pPr>
  </w:style>
  <w:style w:type="character" w:styleId="887">
    <w:name w:val="正文缩进 字符"/>
    <w:next w:val="887"/>
    <w:link w:val="886"/>
    <w:rPr>
      <w:rFonts w:ascii="Times New Roman" w:hAnsi="Times New Roman" w:eastAsia="宋体" w:cs="Times New Roman"/>
      <w:szCs w:val="21"/>
    </w:rPr>
  </w:style>
  <w:style w:type="character" w:styleId="888">
    <w:name w:val="标题 3 字符"/>
    <w:next w:val="888"/>
    <w:link w:val="872"/>
    <w:rPr>
      <w:rFonts w:ascii="Times New Roman" w:hAnsi="Times New Roman" w:eastAsia="宋体" w:cs="Times New Roman"/>
      <w:b/>
      <w:bCs/>
      <w:sz w:val="32"/>
      <w:szCs w:val="32"/>
    </w:rPr>
  </w:style>
  <w:style w:type="character" w:styleId="889">
    <w:name w:val="标题 4 字符"/>
    <w:next w:val="889"/>
    <w:link w:val="873"/>
    <w:rPr>
      <w:rFonts w:ascii="Arial" w:hAnsi="Arial" w:eastAsia="黑体" w:cs="Arial"/>
      <w:b/>
      <w:bCs/>
      <w:sz w:val="28"/>
      <w:szCs w:val="28"/>
    </w:rPr>
  </w:style>
  <w:style w:type="character" w:styleId="890">
    <w:name w:val="标题 5 字符"/>
    <w:next w:val="890"/>
    <w:link w:val="874"/>
    <w:rPr>
      <w:rFonts w:ascii="宋体" w:hAnsi="Times New Roman" w:eastAsia="宋体" w:cs="Times New Roman"/>
      <w:color w:val="000000"/>
      <w:sz w:val="28"/>
      <w:szCs w:val="28"/>
    </w:rPr>
  </w:style>
  <w:style w:type="character" w:styleId="891">
    <w:name w:val="标题 6 字符"/>
    <w:next w:val="891"/>
    <w:link w:val="875"/>
    <w:rPr>
      <w:rFonts w:ascii="Arial" w:hAnsi="Arial" w:eastAsia="黑体" w:cs="Times New Roman"/>
      <w:b/>
      <w:bCs/>
      <w:sz w:val="24"/>
      <w:szCs w:val="24"/>
    </w:rPr>
  </w:style>
  <w:style w:type="character" w:styleId="892">
    <w:name w:val="标题 7 字符"/>
    <w:next w:val="892"/>
    <w:link w:val="876"/>
    <w:rPr>
      <w:rFonts w:ascii="Times New Roman" w:hAnsi="Times New Roman" w:eastAsia="宋体" w:cs="Times New Roman"/>
      <w:b/>
      <w:bCs/>
      <w:sz w:val="24"/>
      <w:szCs w:val="24"/>
    </w:rPr>
  </w:style>
  <w:style w:type="character" w:styleId="893">
    <w:name w:val="标题 8 字符"/>
    <w:next w:val="893"/>
    <w:link w:val="877"/>
    <w:rPr>
      <w:rFonts w:ascii="Arial" w:hAnsi="Arial" w:eastAsia="黑体" w:cs="Times New Roman"/>
      <w:sz w:val="24"/>
      <w:szCs w:val="24"/>
    </w:rPr>
  </w:style>
  <w:style w:type="character" w:styleId="894">
    <w:name w:val="标题 9 字符"/>
    <w:next w:val="894"/>
    <w:link w:val="878"/>
    <w:rPr>
      <w:rFonts w:ascii="Arial" w:hAnsi="Arial" w:eastAsia="黑体" w:cs="Times New Roman"/>
      <w:szCs w:val="21"/>
    </w:rPr>
  </w:style>
  <w:style w:type="paragraph" w:styleId="895">
    <w:name w:val="列表 3"/>
    <w:basedOn w:val="869"/>
    <w:next w:val="895"/>
    <w:link w:val="869"/>
    <w:pPr>
      <w:ind w:left="100" w:hanging="200"/>
    </w:pPr>
  </w:style>
  <w:style w:type="paragraph" w:styleId="896">
    <w:name w:val="目录 7"/>
    <w:basedOn w:val="869"/>
    <w:next w:val="869"/>
    <w:link w:val="869"/>
    <w:semiHidden/>
    <w:pPr>
      <w:ind w:left="1260"/>
      <w:jc w:val="left"/>
    </w:pPr>
  </w:style>
  <w:style w:type="paragraph" w:styleId="897">
    <w:name w:val="文档结构图"/>
    <w:basedOn w:val="869"/>
    <w:next w:val="897"/>
    <w:link w:val="898"/>
    <w:semiHidden/>
    <w:pPr>
      <w:shd w:val="clear" w:color="auto" w:fill="000080"/>
    </w:pPr>
  </w:style>
  <w:style w:type="character" w:styleId="898">
    <w:name w:val="文档结构图 字符"/>
    <w:next w:val="898"/>
    <w:link w:val="897"/>
    <w:semiHidden/>
    <w:rPr>
      <w:rFonts w:ascii="Times New Roman" w:hAnsi="Times New Roman" w:eastAsia="宋体" w:cs="Times New Roman"/>
      <w:szCs w:val="21"/>
      <w:shd w:val="clear" w:color="auto" w:fill="000080"/>
    </w:rPr>
  </w:style>
  <w:style w:type="paragraph" w:styleId="899">
    <w:name w:val="批注文字"/>
    <w:basedOn w:val="869"/>
    <w:next w:val="899"/>
    <w:link w:val="90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0">
    <w:name w:val="批注文字 字符"/>
    <w:next w:val="900"/>
    <w:link w:val="899"/>
    <w:semiHidden/>
    <w:rPr>
      <w:rFonts w:ascii="Times New Roman" w:hAnsi="Times New Roman" w:eastAsia="宋体" w:cs="Times New Roman"/>
      <w:szCs w:val="21"/>
    </w:rPr>
  </w:style>
  <w:style w:type="paragraph" w:styleId="901">
    <w:name w:val="正文文本 3"/>
    <w:basedOn w:val="869"/>
    <w:next w:val="901"/>
    <w:link w:val="902"/>
    <w:rPr>
      <w:rFonts w:ascii="仿宋_GB2312" w:hAnsi="Arial" w:eastAsia="仿宋_GB2312"/>
      <w:sz w:val="32"/>
      <w:szCs w:val="32"/>
    </w:rPr>
  </w:style>
  <w:style w:type="character" w:styleId="902">
    <w:name w:val="正文文本 3 字符"/>
    <w:next w:val="902"/>
    <w:link w:val="901"/>
    <w:rPr>
      <w:rFonts w:ascii="仿宋_GB2312" w:hAnsi="Arial" w:eastAsia="仿宋_GB2312" w:cs="Times New Roman"/>
      <w:sz w:val="32"/>
      <w:szCs w:val="32"/>
    </w:rPr>
  </w:style>
  <w:style w:type="paragraph" w:styleId="903">
    <w:name w:val="正文文本"/>
    <w:basedOn w:val="869"/>
    <w:next w:val="903"/>
    <w:link w:val="904"/>
    <w:rPr>
      <w:rFonts w:ascii="楷体_GB2312" w:hAnsi="Arial" w:eastAsia="楷体_GB2312"/>
      <w:sz w:val="28"/>
      <w:szCs w:val="28"/>
    </w:rPr>
  </w:style>
  <w:style w:type="character" w:styleId="904">
    <w:name w:val="正文文本 字符"/>
    <w:next w:val="904"/>
    <w:link w:val="903"/>
    <w:rPr>
      <w:rFonts w:ascii="楷体_GB2312" w:hAnsi="Arial" w:eastAsia="楷体_GB2312" w:cs="Times New Roman"/>
      <w:sz w:val="28"/>
      <w:szCs w:val="28"/>
    </w:rPr>
  </w:style>
  <w:style w:type="paragraph" w:styleId="905">
    <w:name w:val="正文文本缩进"/>
    <w:basedOn w:val="869"/>
    <w:next w:val="907"/>
    <w:link w:val="906"/>
    <w:pPr>
      <w:ind w:firstLine="645"/>
    </w:pPr>
    <w:rPr>
      <w:rFonts w:ascii="楷体_GB2312" w:eastAsia="楷体_GB2312"/>
      <w:sz w:val="32"/>
      <w:szCs w:val="32"/>
    </w:rPr>
  </w:style>
  <w:style w:type="character" w:styleId="906">
    <w:name w:val="正文文本缩进 字符"/>
    <w:next w:val="906"/>
    <w:link w:val="905"/>
    <w:rPr>
      <w:rFonts w:ascii="楷体_GB2312" w:hAnsi="Times New Roman" w:eastAsia="楷体_GB2312" w:cs="Times New Roman"/>
      <w:sz w:val="32"/>
      <w:szCs w:val="32"/>
    </w:rPr>
  </w:style>
  <w:style w:type="paragraph" w:styleId="907">
    <w:name w:val="寄信人地址"/>
    <w:basedOn w:val="869"/>
    <w:next w:val="907"/>
    <w:link w:val="869"/>
    <w:qFormat/>
    <w:rPr>
      <w:rFonts w:ascii="Arial" w:hAnsi="Arial" w:eastAsia="宋体" w:cs="宋体"/>
    </w:rPr>
  </w:style>
  <w:style w:type="paragraph" w:styleId="908">
    <w:name w:val="列表 2"/>
    <w:basedOn w:val="869"/>
    <w:next w:val="908"/>
    <w:link w:val="869"/>
    <w:pPr>
      <w:ind w:left="100" w:hanging="200"/>
    </w:pPr>
  </w:style>
  <w:style w:type="paragraph" w:styleId="909">
    <w:name w:val="目录 5"/>
    <w:basedOn w:val="869"/>
    <w:next w:val="869"/>
    <w:link w:val="869"/>
    <w:semiHidden/>
    <w:pPr>
      <w:ind w:left="840"/>
      <w:jc w:val="left"/>
    </w:pPr>
  </w:style>
  <w:style w:type="paragraph" w:styleId="910">
    <w:name w:val="目录 3"/>
    <w:basedOn w:val="869"/>
    <w:next w:val="869"/>
    <w:link w:val="869"/>
    <w:semiHidden/>
    <w:pPr>
      <w:ind w:left="420"/>
      <w:jc w:val="left"/>
    </w:pPr>
    <w:rPr>
      <w:i/>
      <w:iCs/>
      <w:szCs w:val="24"/>
    </w:rPr>
  </w:style>
  <w:style w:type="paragraph" w:styleId="911">
    <w:name w:val="纯文本"/>
    <w:basedOn w:val="869"/>
    <w:next w:val="911"/>
    <w:link w:val="912"/>
    <w:rPr>
      <w:rFonts w:ascii="宋体" w:hAnsi="Courier New" w:cs="Courier New"/>
    </w:rPr>
  </w:style>
  <w:style w:type="character" w:styleId="912">
    <w:name w:val="纯文本 字符"/>
    <w:next w:val="912"/>
    <w:link w:val="911"/>
    <w:rPr>
      <w:rFonts w:ascii="宋体" w:hAnsi="Courier New" w:eastAsia="宋体" w:cs="Courier New"/>
      <w:szCs w:val="21"/>
    </w:rPr>
  </w:style>
  <w:style w:type="paragraph" w:styleId="913">
    <w:name w:val="目录 8"/>
    <w:basedOn w:val="869"/>
    <w:next w:val="869"/>
    <w:link w:val="869"/>
    <w:semiHidden/>
    <w:pPr>
      <w:ind w:left="1470"/>
      <w:jc w:val="left"/>
    </w:pPr>
  </w:style>
  <w:style w:type="paragraph" w:styleId="914">
    <w:name w:val="日期"/>
    <w:basedOn w:val="869"/>
    <w:next w:val="869"/>
    <w:link w:val="915"/>
    <w:rPr>
      <w:sz w:val="24"/>
      <w:szCs w:val="24"/>
    </w:rPr>
  </w:style>
  <w:style w:type="character" w:styleId="915">
    <w:name w:val="日期 字符"/>
    <w:next w:val="915"/>
    <w:link w:val="914"/>
    <w:rPr>
      <w:rFonts w:ascii="Times New Roman" w:hAnsi="Times New Roman" w:eastAsia="宋体" w:cs="Times New Roman"/>
      <w:sz w:val="24"/>
      <w:szCs w:val="24"/>
    </w:rPr>
  </w:style>
  <w:style w:type="paragraph" w:styleId="916">
    <w:name w:val="正文文本缩进 2"/>
    <w:basedOn w:val="869"/>
    <w:next w:val="916"/>
    <w:link w:val="917"/>
    <w:pPr>
      <w:ind w:left="630" w:firstLine="645"/>
    </w:pPr>
    <w:rPr>
      <w:rFonts w:ascii="Arial" w:hAnsi="Arial" w:eastAsia="仿宋_GB2312" w:cs="Arial"/>
      <w:sz w:val="32"/>
      <w:szCs w:val="32"/>
    </w:rPr>
  </w:style>
  <w:style w:type="character" w:styleId="917">
    <w:name w:val="正文文本缩进 2 字符"/>
    <w:next w:val="917"/>
    <w:link w:val="916"/>
    <w:rPr>
      <w:rFonts w:ascii="Arial" w:hAnsi="Arial" w:eastAsia="仿宋_GB2312" w:cs="Arial"/>
      <w:sz w:val="32"/>
      <w:szCs w:val="32"/>
    </w:rPr>
  </w:style>
  <w:style w:type="paragraph" w:styleId="918">
    <w:name w:val="批注框文本"/>
    <w:basedOn w:val="869"/>
    <w:next w:val="918"/>
    <w:link w:val="919"/>
    <w:semiHidden/>
    <w:rPr>
      <w:sz w:val="18"/>
      <w:szCs w:val="18"/>
    </w:rPr>
  </w:style>
  <w:style w:type="character" w:styleId="919">
    <w:name w:val="批注框文本 字符"/>
    <w:next w:val="919"/>
    <w:link w:val="918"/>
    <w:semiHidden/>
    <w:rPr>
      <w:rFonts w:ascii="Times New Roman" w:hAnsi="Times New Roman" w:eastAsia="宋体" w:cs="Times New Roman"/>
      <w:sz w:val="18"/>
      <w:szCs w:val="18"/>
    </w:rPr>
  </w:style>
  <w:style w:type="paragraph" w:styleId="920">
    <w:name w:val="页脚"/>
    <w:basedOn w:val="869"/>
    <w:next w:val="920"/>
    <w:link w:val="921"/>
    <w:pPr>
      <w:jc w:val="left"/>
      <w:tabs>
        <w:tab w:val="center" w:pos="4153" w:leader="none"/>
        <w:tab w:val="right" w:pos="8306" w:leader="none"/>
      </w:tabs>
    </w:pPr>
    <w:rPr>
      <w:sz w:val="18"/>
      <w:szCs w:val="18"/>
    </w:rPr>
  </w:style>
  <w:style w:type="character" w:styleId="921">
    <w:name w:val="页脚 字符"/>
    <w:next w:val="921"/>
    <w:link w:val="920"/>
    <w:rPr>
      <w:rFonts w:ascii="Times New Roman" w:hAnsi="Times New Roman" w:eastAsia="宋体" w:cs="Times New Roman"/>
      <w:sz w:val="18"/>
      <w:szCs w:val="18"/>
    </w:rPr>
  </w:style>
  <w:style w:type="paragraph" w:styleId="922">
    <w:name w:val="页眉"/>
    <w:basedOn w:val="869"/>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字符"/>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69"/>
    <w:next w:val="869"/>
    <w:link w:val="869"/>
    <w:semiHidden/>
    <w:pPr>
      <w:ind w:left="630"/>
      <w:jc w:val="left"/>
    </w:pPr>
  </w:style>
  <w:style w:type="paragraph" w:styleId="926">
    <w:name w:val="列表"/>
    <w:basedOn w:val="869"/>
    <w:next w:val="926"/>
    <w:link w:val="869"/>
    <w:pPr>
      <w:ind w:left="200" w:hanging="200"/>
    </w:pPr>
  </w:style>
  <w:style w:type="paragraph" w:styleId="927">
    <w:name w:val="目录 6"/>
    <w:basedOn w:val="869"/>
    <w:next w:val="869"/>
    <w:link w:val="869"/>
    <w:semiHidden/>
    <w:pPr>
      <w:ind w:left="1050"/>
      <w:jc w:val="left"/>
    </w:p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字符"/>
    <w:next w:val="929"/>
    <w:link w:val="928"/>
    <w:rPr>
      <w:rFonts w:ascii="Arial" w:hAnsi="Arial" w:eastAsia="仿宋_GB2312" w:cs="Arial"/>
      <w:color w:val="ffff00"/>
      <w:sz w:val="32"/>
      <w:szCs w:val="32"/>
    </w:rPr>
  </w:style>
  <w:style w:type="paragraph" w:styleId="930">
    <w:name w:val="图表目录"/>
    <w:basedOn w:val="869"/>
    <w:next w:val="869"/>
    <w:link w:val="869"/>
    <w:semiHidden/>
    <w:pPr>
      <w:ind w:left="840" w:hanging="420"/>
    </w:pPr>
  </w:style>
  <w:style w:type="paragraph" w:styleId="931">
    <w:name w:val="目录 2"/>
    <w:basedOn w:val="869"/>
    <w:next w:val="869"/>
    <w:link w:val="869"/>
    <w:semiHidden/>
    <w:pPr>
      <w:ind w:left="210"/>
      <w:jc w:val="left"/>
    </w:pPr>
    <w:rPr>
      <w:smallCaps/>
      <w:szCs w:val="24"/>
    </w:rPr>
  </w:style>
  <w:style w:type="paragraph" w:styleId="932">
    <w:name w:val="目录 9"/>
    <w:basedOn w:val="869"/>
    <w:next w:val="869"/>
    <w:link w:val="869"/>
    <w:semiHidden/>
    <w:pPr>
      <w:ind w:left="1680"/>
      <w:jc w:val="left"/>
    </w:pPr>
  </w:style>
  <w:style w:type="paragraph" w:styleId="933">
    <w:name w:val="正文文本 2"/>
    <w:basedOn w:val="869"/>
    <w:next w:val="933"/>
    <w:link w:val="934"/>
    <w:pPr>
      <w:jc w:val="center"/>
      <w:widowControl/>
    </w:pPr>
    <w:rPr>
      <w:rFonts w:ascii="楷体_GB2312" w:eastAsia="楷体_GB2312"/>
      <w:sz w:val="28"/>
      <w:szCs w:val="28"/>
    </w:rPr>
  </w:style>
  <w:style w:type="character" w:styleId="934">
    <w:name w:val="正文文本 2 字符"/>
    <w:next w:val="934"/>
    <w:link w:val="933"/>
    <w:rPr>
      <w:rFonts w:ascii="楷体_GB2312" w:hAnsi="Times New Roman" w:eastAsia="楷体_GB2312" w:cs="Times New Roman"/>
      <w:sz w:val="28"/>
      <w:szCs w:val="28"/>
    </w:rPr>
  </w:style>
  <w:style w:type="paragraph" w:styleId="935">
    <w:name w:val="普通(网站)"/>
    <w:basedOn w:val="869"/>
    <w:next w:val="935"/>
    <w:link w:val="869"/>
    <w:uiPriority w:val="99"/>
    <w:pPr>
      <w:jc w:val="left"/>
      <w:spacing w:before="100" w:beforeAutospacing="1" w:after="100" w:afterAutospacing="1"/>
      <w:widowControl/>
    </w:pPr>
    <w:rPr>
      <w:rFonts w:ascii="宋体" w:hAnsi="宋体" w:cs="宋体"/>
      <w:sz w:val="24"/>
      <w:szCs w:val="24"/>
    </w:rPr>
  </w:style>
  <w:style w:type="paragraph" w:styleId="936">
    <w:name w:val="索引 1"/>
    <w:basedOn w:val="869"/>
    <w:next w:val="869"/>
    <w:link w:val="869"/>
    <w:semiHidden/>
    <w:pPr>
      <w:spacing w:line="240" w:lineRule="atLeast"/>
    </w:pPr>
    <w:rPr>
      <w:b/>
      <w:bCs/>
    </w:rPr>
  </w:style>
  <w:style w:type="paragraph" w:styleId="937">
    <w:name w:val="批注主题"/>
    <w:basedOn w:val="899"/>
    <w:next w:val="899"/>
    <w:link w:val="938"/>
    <w:semiHidden/>
    <w:rPr>
      <w:b/>
      <w:bCs/>
    </w:rPr>
  </w:style>
  <w:style w:type="character" w:styleId="938">
    <w:name w:val="批注主题 字符"/>
    <w:next w:val="938"/>
    <w:link w:val="937"/>
    <w:semiHidden/>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eastAsia="仿宋_GB2312"/>
      <w:sz w:val="30"/>
      <w:szCs w:val="30"/>
    </w:rPr>
  </w:style>
  <w:style w:type="character" w:styleId="940">
    <w:name w:val="正文文本首行缩进 字符"/>
    <w:next w:val="940"/>
    <w:link w:val="939"/>
    <w:rPr>
      <w:rFonts w:ascii="仿宋_GB2312" w:hAnsi="Times New Roman" w:eastAsia="仿宋_GB2312" w:cs="Times New Roman"/>
      <w:sz w:val="30"/>
      <w:szCs w:val="30"/>
    </w:rPr>
  </w:style>
  <w:style w:type="paragraph" w:styleId="941">
    <w:name w:val="正文首行缩进 2"/>
    <w:basedOn w:val="905"/>
    <w:next w:val="869"/>
    <w:link w:val="942"/>
    <w:pPr>
      <w:ind w:firstLine="420"/>
      <w:spacing w:line="360" w:lineRule="auto"/>
    </w:pPr>
    <w:rPr>
      <w:rFonts w:ascii="宋体" w:hAnsi="宋体" w:eastAsia="宋体"/>
      <w:sz w:val="21"/>
      <w:szCs w:val="20"/>
    </w:rPr>
  </w:style>
  <w:style w:type="character" w:styleId="942">
    <w:name w:val="正文文本首行缩进 2 字符"/>
    <w:next w:val="942"/>
    <w:link w:val="941"/>
    <w:rPr>
      <w:rFonts w:ascii="宋体" w:hAnsi="宋体" w:eastAsia="宋体" w:cs="Times New Roman"/>
      <w:sz w:val="32"/>
      <w:szCs w:val="20"/>
    </w:rPr>
  </w:style>
  <w:style w:type="table" w:styleId="943">
    <w:name w:val="网格型"/>
    <w:basedOn w:val="880"/>
    <w:next w:val="943"/>
    <w:link w:val="869"/>
    <w:pPr>
      <w:jc w:val="both"/>
      <w:widowControl w:val="off"/>
    </w:pPr>
    <w:rPr>
      <w:rFonts w:ascii="Times New Roman" w:hAnsi="Times New Roman" w:eastAsia="宋体" w:cs="Times New Roman"/>
      <w:sz w:val="20"/>
      <w:szCs w:val="20"/>
    </w:rPr>
    <w:tblPr/>
  </w:style>
  <w:style w:type="character" w:styleId="944">
    <w:name w:val="要点"/>
    <w:next w:val="944"/>
    <w:link w:val="869"/>
    <w:qFormat/>
    <w:rPr>
      <w:b/>
      <w:bCs/>
    </w:rPr>
  </w:style>
  <w:style w:type="character" w:styleId="945">
    <w:name w:val="页码"/>
    <w:next w:val="945"/>
    <w:link w:val="869"/>
  </w:style>
  <w:style w:type="character" w:styleId="946">
    <w:name w:val="已访问的超链接"/>
    <w:next w:val="946"/>
    <w:link w:val="869"/>
    <w:rPr>
      <w:color w:val="800080"/>
      <w:u w:val="single"/>
    </w:rPr>
  </w:style>
  <w:style w:type="character" w:styleId="947">
    <w:name w:val="强调"/>
    <w:next w:val="947"/>
    <w:link w:val="869"/>
    <w:qFormat/>
    <w:rPr>
      <w:i/>
    </w:rPr>
  </w:style>
  <w:style w:type="character" w:styleId="948">
    <w:name w:val="超链接"/>
    <w:next w:val="948"/>
    <w:link w:val="869"/>
    <w:rPr>
      <w:color w:val="0000ff"/>
      <w:u w:val="single"/>
    </w:rPr>
  </w:style>
  <w:style w:type="character" w:styleId="949">
    <w:name w:val="批注引用"/>
    <w:next w:val="949"/>
    <w:link w:val="869"/>
    <w:semiHidden/>
    <w:rPr>
      <w:sz w:val="21"/>
      <w:szCs w:val="21"/>
    </w:rPr>
  </w:style>
  <w:style w:type="character" w:styleId="950">
    <w:name w:val="font5 Char"/>
    <w:next w:val="950"/>
    <w:link w:val="869"/>
    <w:rPr>
      <w:rFonts w:ascii="宋体" w:hAnsi="宋体" w:eastAsia="宋体"/>
      <w:sz w:val="28"/>
      <w:szCs w:val="28"/>
      <w:lang w:val="en-US" w:eastAsia="zh-CN" w:bidi="ar-SA"/>
    </w:rPr>
  </w:style>
  <w:style w:type="character" w:styleId="951">
    <w:name w:val="二级目录 Char"/>
    <w:next w:val="951"/>
    <w:link w:val="952"/>
    <w:rPr>
      <w:b/>
      <w:sz w:val="30"/>
      <w:szCs w:val="28"/>
    </w:rPr>
  </w:style>
  <w:style w:type="paragraph" w:styleId="952">
    <w:name w:val="二级目录"/>
    <w:next w:val="869"/>
    <w:link w:val="951"/>
    <w:pPr>
      <w:numPr>
        <w:ilvl w:val="0"/>
        <w:numId w:val="2"/>
      </w:numPr>
      <w:tabs>
        <w:tab w:val="left" w:pos="907" w:leader="none"/>
        <w:tab w:val="left" w:pos="1145" w:leader="none"/>
      </w:tabs>
      <w:outlineLvl w:val="1"/>
    </w:pPr>
    <w:rPr>
      <w:b/>
      <w:sz w:val="30"/>
      <w:szCs w:val="28"/>
      <w:lang w:val="en-US" w:eastAsia="zh-CN" w:bidi="ar-SA"/>
    </w:rPr>
  </w:style>
  <w:style w:type="character" w:styleId="953">
    <w:name w:val="列出段落 Char,Bullet List Char,numbered Char,FooterText Char,List Paragraph1 Char,Paragraphe de liste1 Char"/>
    <w:next w:val="953"/>
    <w:link w:val="954"/>
    <w:rPr>
      <w:rFonts w:ascii="Calibri" w:hAnsi="Calibri"/>
      <w:sz w:val="24"/>
      <w:szCs w:val="24"/>
      <w:lang w:eastAsia="en-US" w:bidi="en-US"/>
    </w:rPr>
  </w:style>
  <w:style w:type="paragraph" w:styleId="954">
    <w:name w:val="列出段落1"/>
    <w:basedOn w:val="869"/>
    <w:next w:val="954"/>
    <w:link w:val="953"/>
    <w:qFormat/>
    <w:pPr>
      <w:contextualSpacing/>
      <w:ind w:left="720"/>
      <w:jc w:val="left"/>
      <w:widowControl/>
    </w:pPr>
    <w:rPr>
      <w:rFonts w:ascii="Calibri" w:hAnsi="Calibri" w:eastAsia="宋体" w:cs="Times New Roman"/>
      <w:sz w:val="24"/>
      <w:szCs w:val="24"/>
      <w:lang w:eastAsia="en-US" w:bidi="en-US"/>
    </w:rPr>
  </w:style>
  <w:style w:type="character" w:styleId="955">
    <w:name w:val="15"/>
    <w:next w:val="955"/>
    <w:link w:val="869"/>
    <w:rPr>
      <w:rFonts w:ascii="Times New Roman" w:hAnsi="Times New Roman" w:cs="Times New Roman"/>
    </w:rPr>
  </w:style>
  <w:style w:type="paragraph" w:styleId="956">
    <w:name w:val="正文文本12"/>
    <w:basedOn w:val="869"/>
    <w:next w:val="956"/>
    <w:link w:val="869"/>
    <w:uiPriority w:val="1"/>
    <w:qFormat/>
    <w:pPr>
      <w:ind w:left="120"/>
    </w:pPr>
    <w:rPr>
      <w:rFonts w:ascii="宋体" w:hAnsi="宋体" w:eastAsia="宋体" w:cs="宋体"/>
      <w:sz w:val="21"/>
      <w:szCs w:val="21"/>
      <w:lang w:val="zh-CN" w:eastAsia="zh-CN" w:bidi="zh-CN"/>
    </w:rPr>
  </w:style>
  <w:style w:type="paragraph" w:styleId="957">
    <w:name w:val="索引 41"/>
    <w:basedOn w:val="869"/>
    <w:next w:val="869"/>
    <w:link w:val="869"/>
    <w:semiHidden/>
    <w:qFormat/>
    <w:pPr>
      <w:ind w:left="1260"/>
    </w:pPr>
    <w:rPr>
      <w:rFonts w:ascii="Calibri" w:hAnsi="Calibri" w:eastAsia="Calibri" w:cs="宋体"/>
      <w:sz w:val="20"/>
      <w:lang w:val="zh-CN"/>
    </w:rPr>
  </w:style>
  <w:style w:type="paragraph" w:styleId="958">
    <w:name w:val="正文首行缩进 21"/>
    <w:basedOn w:val="882"/>
    <w:next w:val="869"/>
    <w:link w:val="869"/>
    <w:qFormat/>
    <w:pPr>
      <w:ind w:firstLine="420"/>
      <w:spacing w:line="360" w:lineRule="auto"/>
    </w:pPr>
    <w:rPr>
      <w:rFonts w:ascii="宋体" w:hAnsi="宋体" w:eastAsia="宋体"/>
      <w:sz w:val="21"/>
      <w:szCs w:val="20"/>
    </w:rPr>
  </w:style>
  <w:style w:type="paragraph" w:styleId="959">
    <w:name w:val="标题 41"/>
    <w:basedOn w:val="869"/>
    <w:next w:val="960"/>
    <w:link w:val="869"/>
    <w:qFormat/>
    <w:pPr>
      <w:keepLines/>
      <w:keepNext/>
      <w:spacing w:before="280" w:after="290" w:line="376" w:lineRule="auto"/>
      <w:outlineLvl w:val="3"/>
    </w:pPr>
    <w:rPr>
      <w:rFonts w:ascii="Arial" w:hAnsi="Arial" w:eastAsia="黑体" w:cs="Arial"/>
      <w:b/>
      <w:bCs/>
      <w:sz w:val="28"/>
      <w:szCs w:val="28"/>
    </w:rPr>
  </w:style>
  <w:style w:type="paragraph" w:styleId="960">
    <w:name w:val="正文缩进1"/>
    <w:basedOn w:val="869"/>
    <w:next w:val="960"/>
    <w:link w:val="869"/>
    <w:qFormat/>
    <w:pPr>
      <w:ind w:firstLine="420"/>
    </w:pPr>
  </w:style>
  <w:style w:type="paragraph" w:styleId="961">
    <w:name w:val="Body Text(ch)"/>
    <w:basedOn w:val="869"/>
    <w:next w:val="903"/>
    <w:link w:val="869"/>
    <w:pPr>
      <w:spacing w:after="120"/>
    </w:pPr>
    <w:rPr>
      <w:rFonts w:ascii="宋体" w:hAnsi="Arial"/>
      <w:bCs/>
      <w:iCs/>
      <w:szCs w:val="24"/>
    </w:rPr>
  </w:style>
  <w:style w:type="paragraph" w:styleId="962">
    <w:name w:val=" Char Char Char Char Char Char Char Char"/>
    <w:basedOn w:val="869"/>
    <w:next w:val="962"/>
    <w:link w:val="869"/>
    <w:pPr>
      <w:jc w:val="left"/>
      <w:spacing w:after="160" w:line="240" w:lineRule="exact"/>
      <w:widowControl/>
    </w:pPr>
    <w:rPr>
      <w:rFonts w:ascii="Verdana" w:hAnsi="Verdana"/>
      <w:sz w:val="20"/>
      <w:szCs w:val="20"/>
      <w:lang w:eastAsia="en-US"/>
    </w:rPr>
  </w:style>
  <w:style w:type="paragraph" w:styleId="963">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name w:val="font5"/>
    <w:basedOn w:val="869"/>
    <w:next w:val="964"/>
    <w:link w:val="869"/>
    <w:pPr>
      <w:jc w:val="left"/>
      <w:spacing w:before="100" w:beforeAutospacing="1" w:after="100" w:afterAutospacing="1"/>
      <w:widowControl/>
    </w:pPr>
    <w:rPr>
      <w:rFonts w:hint="eastAsia" w:ascii="宋体" w:hAnsi="宋体"/>
      <w:sz w:val="28"/>
      <w:szCs w:val="28"/>
    </w:rPr>
  </w:style>
  <w:style w:type="paragraph" w:styleId="965">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6">
    <w:name w:val="正文文本 211"/>
    <w:basedOn w:val="869"/>
    <w:next w:val="966"/>
    <w:link w:val="869"/>
    <w:uiPriority w:val="99"/>
    <w:qFormat/>
    <w:pPr>
      <w:jc w:val="center"/>
    </w:pPr>
    <w:rPr>
      <w:b/>
      <w:bCs/>
      <w:sz w:val="20"/>
      <w:szCs w:val="20"/>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xl30"/>
    <w:basedOn w:val="869"/>
    <w:next w:val="968"/>
    <w:link w:val="869"/>
    <w:pPr>
      <w:jc w:val="center"/>
      <w:spacing w:before="100" w:beforeAutospacing="1" w:after="100" w:afterAutospacing="1"/>
      <w:widowControl/>
    </w:pPr>
    <w:rPr>
      <w:rFonts w:ascii="宋体" w:hAnsi="宋体"/>
      <w:b/>
      <w:bCs/>
      <w:sz w:val="36"/>
      <w:szCs w:val="36"/>
    </w:rPr>
  </w:style>
  <w:style w:type="paragraph" w:styleId="969">
    <w:name w:val="4"/>
    <w:basedOn w:val="869"/>
    <w:next w:val="928"/>
    <w:link w:val="869"/>
    <w:pPr>
      <w:ind w:firstLine="420"/>
      <w:spacing w:line="360" w:lineRule="auto"/>
    </w:pPr>
    <w:rPr>
      <w:color w:val="ff0000"/>
      <w:sz w:val="24"/>
      <w:szCs w:val="24"/>
    </w:rPr>
  </w:style>
  <w:style w:type="paragraph" w:styleId="970">
    <w:name w:val="普通 (Web)"/>
    <w:basedOn w:val="869"/>
    <w:next w:val="970"/>
    <w:link w:val="869"/>
    <w:pPr>
      <w:jc w:val="left"/>
      <w:spacing w:before="100" w:beforeAutospacing="1" w:after="100" w:afterAutospacing="1"/>
      <w:widowControl/>
    </w:pPr>
    <w:rPr>
      <w:rFonts w:ascii="宋体" w:hAnsi="宋体"/>
      <w:sz w:val="24"/>
      <w:szCs w:val="24"/>
    </w:rPr>
  </w:style>
  <w:style w:type="paragraph" w:styleId="971">
    <w:name w:val="table_1stline"/>
    <w:basedOn w:val="869"/>
    <w:next w:val="971"/>
    <w:link w:val="869"/>
    <w:pPr>
      <w:jc w:val="left"/>
      <w:spacing w:before="120"/>
      <w:widowControl/>
    </w:pPr>
    <w:rPr>
      <w:bCs/>
      <w:sz w:val="20"/>
      <w:szCs w:val="20"/>
      <w:lang w:val="de-DE" w:eastAsia="de-DE"/>
    </w:rPr>
  </w:style>
  <w:style w:type="paragraph" w:styleId="972">
    <w:name w:val="列表段落"/>
    <w:basedOn w:val="869"/>
    <w:next w:val="972"/>
    <w:link w:val="869"/>
    <w:qFormat/>
    <w:pPr>
      <w:contextualSpacing/>
      <w:ind w:left="720"/>
      <w:jc w:val="left"/>
      <w:widowControl/>
    </w:pPr>
    <w:rPr>
      <w:rFonts w:ascii="Calibri" w:hAnsi="Calibri"/>
      <w:sz w:val="24"/>
      <w:szCs w:val="24"/>
      <w:lang w:eastAsia="en-US" w:bidi="en-US"/>
    </w:rPr>
  </w:style>
  <w:style w:type="paragraph" w:styleId="973">
    <w:name w:val="寄信人地址1"/>
    <w:basedOn w:val="869"/>
    <w:next w:val="973"/>
    <w:link w:val="869"/>
    <w:qFormat/>
    <w:rPr>
      <w:rFonts w:ascii="Arial" w:hAnsi="Arial" w:eastAsia="宋体" w:cs="宋体"/>
    </w:rPr>
  </w:style>
  <w:style w:type="paragraph" w:styleId="974">
    <w:name w:val="xl27"/>
    <w:basedOn w:val="869"/>
    <w:next w:val="97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name w:val="xl26"/>
    <w:basedOn w:val="869"/>
    <w:next w:val="975"/>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6">
    <w:name w:val="Char"/>
    <w:basedOn w:val="869"/>
    <w:next w:val="976"/>
    <w:link w:val="869"/>
    <w:pPr>
      <w:ind w:firstLine="200"/>
      <w:tabs>
        <w:tab w:val="left" w:pos="360" w:leader="none"/>
      </w:tabs>
    </w:pPr>
    <w:rPr>
      <w:sz w:val="28"/>
      <w:szCs w:val="30"/>
    </w:rPr>
  </w:style>
  <w:style w:type="paragraph" w:styleId="977">
    <w:name w:val=" Char"/>
    <w:basedOn w:val="897"/>
    <w:next w:val="977"/>
    <w:link w:val="869"/>
    <w:rPr>
      <w:rFonts w:ascii="Tahoma" w:hAnsi="Tahoma"/>
      <w:sz w:val="24"/>
      <w:szCs w:val="24"/>
    </w:rPr>
  </w:style>
  <w:style w:type="paragraph" w:styleId="978">
    <w:name w:val="普通正文"/>
    <w:basedOn w:val="869"/>
    <w:next w:val="978"/>
    <w:link w:val="869"/>
    <w:pPr>
      <w:ind w:firstLine="480"/>
      <w:jc w:val="left"/>
      <w:spacing w:before="120" w:after="120" w:line="360" w:lineRule="auto"/>
    </w:pPr>
    <w:rPr>
      <w:rFonts w:ascii="Arial" w:hAnsi="Arial"/>
      <w:sz w:val="24"/>
      <w:szCs w:val="24"/>
    </w:rPr>
  </w:style>
  <w:style w:type="paragraph" w:styleId="979">
    <w:name w:val="table_lines"/>
    <w:basedOn w:val="869"/>
    <w:next w:val="979"/>
    <w:link w:val="869"/>
    <w:pPr>
      <w:jc w:val="left"/>
      <w:widowControl/>
    </w:pPr>
    <w:rPr>
      <w:sz w:val="20"/>
      <w:szCs w:val="20"/>
      <w:lang w:val="de-DE" w:eastAsia="de-DE"/>
    </w:rPr>
  </w:style>
  <w:style w:type="paragraph" w:styleId="980">
    <w:name w:val="xl28"/>
    <w:basedOn w:val="869"/>
    <w:next w:val="980"/>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1">
    <w:name w:val="附录1"/>
    <w:next w:val="981"/>
    <w:link w:val="869"/>
    <w:pPr>
      <w:numPr>
        <w:ilvl w:val="0"/>
        <w:numId w:val="2"/>
      </w:numPr>
      <w:spacing w:before="240" w:line="600" w:lineRule="atLeast"/>
      <w:tabs>
        <w:tab w:val="left" w:pos="907" w:leader="none"/>
      </w:tabs>
    </w:pPr>
    <w:rPr>
      <w:b/>
      <w:i/>
      <w:sz w:val="28"/>
      <w:lang w:val="en-US" w:eastAsia="zh-CN" w:bidi="ar-SA"/>
    </w:rPr>
  </w:style>
  <w:style w:type="paragraph" w:styleId="982">
    <w:name w:val="xl29"/>
    <w:basedOn w:val="869"/>
    <w:next w:val="982"/>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name w:val=" Char Char Char Char"/>
    <w:basedOn w:val="897"/>
    <w:next w:val="983"/>
    <w:link w:val="869"/>
    <w:pPr>
      <w:spacing w:line="360" w:lineRule="auto"/>
    </w:pPr>
    <w:rPr>
      <w:rFonts w:ascii="Tahoma" w:hAnsi="Tahoma"/>
      <w:sz w:val="24"/>
      <w:szCs w:val="24"/>
    </w:rPr>
  </w:style>
  <w:style w:type="paragraph" w:styleId="984">
    <w:name w:val=" Char Char Char Char Char Char Char Char Char Char"/>
    <w:basedOn w:val="869"/>
    <w:next w:val="984"/>
    <w:link w:val="869"/>
    <w:pPr>
      <w:spacing w:line="360" w:lineRule="auto"/>
    </w:pPr>
    <w:rPr>
      <w:sz w:val="24"/>
      <w:szCs w:val="20"/>
    </w:rPr>
  </w:style>
  <w:style w:type="paragraph" w:styleId="985">
    <w:name w:val="样式1"/>
    <w:basedOn w:val="869"/>
    <w:next w:val="985"/>
    <w:link w:val="869"/>
    <w:pPr>
      <w:numPr>
        <w:ilvl w:val="0"/>
        <w:numId w:val="3"/>
      </w:numPr>
      <w:tabs>
        <w:tab w:val="left" w:pos="709" w:leader="none"/>
      </w:tabs>
    </w:pPr>
    <w:rPr>
      <w:rFonts w:ascii="宋体" w:hAnsi="宋体"/>
    </w:rPr>
  </w:style>
  <w:style w:type="paragraph" w:styleId="986">
    <w:name w:val="font6"/>
    <w:basedOn w:val="869"/>
    <w:next w:val="986"/>
    <w:link w:val="869"/>
    <w:pPr>
      <w:jc w:val="left"/>
      <w:spacing w:before="100" w:beforeAutospacing="1" w:after="100" w:afterAutospacing="1"/>
      <w:widowControl/>
    </w:pPr>
    <w:rPr>
      <w:rFonts w:hint="eastAsia" w:ascii="宋体" w:hAnsi="宋体"/>
      <w:sz w:val="28"/>
      <w:szCs w:val="28"/>
      <w:u w:val="single"/>
    </w:rPr>
  </w:style>
  <w:style w:type="paragraph" w:styleId="987">
    <w:name w:val="xl25"/>
    <w:basedOn w:val="869"/>
    <w:next w:val="987"/>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标题3"/>
    <w:basedOn w:val="869"/>
    <w:next w:val="869"/>
    <w:link w:val="869"/>
    <w:pPr>
      <w:ind w:firstLine="624"/>
      <w:spacing w:line="590" w:lineRule="atLeast"/>
    </w:pPr>
    <w:rPr>
      <w:rFonts w:ascii="方正黑体_GBK" w:eastAsia="方正黑体_GBK"/>
      <w:sz w:val="32"/>
      <w:szCs w:val="32"/>
    </w:rPr>
  </w:style>
  <w:style w:type="paragraph" w:styleId="989">
    <w:name w:val="xl24"/>
    <w:basedOn w:val="869"/>
    <w:next w:val="98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Char Char Char Char Char Char Char Char"/>
    <w:basedOn w:val="869"/>
    <w:next w:val="990"/>
    <w:link w:val="869"/>
    <w:pPr>
      <w:jc w:val="left"/>
      <w:spacing w:after="160" w:line="240" w:lineRule="exact"/>
      <w:widowControl/>
    </w:pPr>
    <w:rPr>
      <w:rFonts w:ascii="Verdana" w:hAnsi="Verdana"/>
      <w:sz w:val="20"/>
      <w:szCs w:val="20"/>
      <w:lang w:eastAsia="en-US"/>
    </w:rPr>
  </w:style>
  <w:style w:type="paragraph" w:styleId="991">
    <w:name w:val="Char Char Char Char"/>
    <w:basedOn w:val="897"/>
    <w:next w:val="991"/>
    <w:link w:val="869"/>
    <w:pPr>
      <w:spacing w:line="360" w:lineRule="auto"/>
    </w:pPr>
    <w:rPr>
      <w:rFonts w:ascii="Tahoma" w:hAnsi="Tahoma"/>
      <w:sz w:val="24"/>
      <w:szCs w:val="24"/>
    </w:rPr>
  </w:style>
  <w:style w:type="paragraph" w:styleId="992">
    <w:name w:val="修订"/>
    <w:next w:val="992"/>
    <w:link w:val="869"/>
    <w:uiPriority w:val="99"/>
    <w:semiHidden/>
    <w:rPr>
      <w:sz w:val="21"/>
      <w:szCs w:val="21"/>
      <w:lang w:val="en-US" w:eastAsia="zh-CN" w:bidi="ar-SA"/>
    </w:rPr>
  </w:style>
  <w:style w:type="paragraph" w:styleId="993">
    <w:name w:val="无间隔"/>
    <w:next w:val="993"/>
    <w:link w:val="869"/>
    <w:uiPriority w:val="99"/>
    <w:qFormat/>
    <w:pPr>
      <w:jc w:val="both"/>
      <w:widowControl w:val="off"/>
    </w:pPr>
    <w:rPr>
      <w:sz w:val="21"/>
      <w:szCs w:val="21"/>
      <w:lang w:val="en-US" w:eastAsia="zh-CN" w:bidi="ar-SA"/>
    </w:rPr>
  </w:style>
  <w:style w:type="paragraph" w:styleId="994">
    <w:name w:val="正文文本1"/>
    <w:basedOn w:val="869"/>
    <w:next w:val="869"/>
    <w:link w:val="869"/>
    <w:semiHidden/>
    <w:qFormat/>
    <w:rPr>
      <w:rFonts w:ascii="Arial" w:hAnsi="Arial" w:eastAsia="Arial" w:cs="Arial"/>
      <w:sz w:val="21"/>
      <w:szCs w:val="21"/>
      <w:lang w:val="en-US" w:eastAsia="en-US" w:bidi="ar-SA"/>
    </w:rPr>
  </w:style>
  <w:style w:type="paragraph" w:styleId="995">
    <w:name w:val="纯文本1"/>
    <w:basedOn w:val="869"/>
    <w:next w:val="995"/>
    <w:link w:val="869"/>
    <w:qFormat/>
    <w:rPr>
      <w:rFonts w:ascii="宋体" w:hAnsi="Courier New" w:cs="Courier New"/>
    </w:rPr>
  </w:style>
  <w:style w:type="table" w:styleId="996">
    <w:name w:val="Table Normal"/>
    <w:next w:val="996"/>
    <w:link w:val="869"/>
    <w:qFormat/>
    <w:rPr>
      <w:lang w:val="en-US" w:eastAsia="zh-CN" w:bidi="ar-SA"/>
    </w:rPr>
    <w:tblPr/>
  </w:style>
  <w:style w:type="table" w:styleId="997">
    <w:name w:val="网格型1"/>
    <w:basedOn w:val="998"/>
    <w:next w:val="997"/>
    <w:link w:val="869"/>
    <w:qFormat/>
    <w:pPr>
      <w:jc w:val="both"/>
      <w:widowControl w:val="off"/>
    </w:pPr>
    <w:tblPr/>
  </w:style>
  <w:style w:type="table" w:styleId="998">
    <w:name w:val="普通表格1"/>
    <w:next w:val="998"/>
    <w:link w:val="869"/>
    <w:uiPriority w:val="99"/>
    <w:unhideWhenUsed/>
    <w:qFormat/>
    <w:rPr>
      <w:lang w:val="en-US" w:eastAsia="zh-CN" w:bidi="ar-SA"/>
    </w:rPr>
    <w:tbl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李彦</cp:lastModifiedBy>
  <cp:revision>8</cp:revision>
  <dcterms:created xsi:type="dcterms:W3CDTF">2023-03-16T02:16:00Z</dcterms:created>
  <dcterms:modified xsi:type="dcterms:W3CDTF">2026-05-25T08:28:08Z</dcterms:modified>
</cp:coreProperties>
</file>