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Cs/>
          <w:spacing w:val="-20"/>
          <w:sz w:val="44"/>
        </w:rPr>
        <w:t xml:space="preserve">启东市公安局2026年存量光纤租赁服务</w:t>
      </w:r>
      <w:r>
        <w:rPr>
          <w:rFonts w:eastAsia="方正小标宋_GBK"/>
          <w:bCs/>
          <w:spacing w:val="-20"/>
          <w:sz w:val="44"/>
        </w:rPr>
        <w:t xml:space="preserve">项</w:t>
      </w:r>
      <w:r>
        <w:rPr>
          <w:rFonts w:eastAsia="方正小标宋_GBK"/>
          <w:bCs/>
          <w:spacing w:val="20"/>
          <w:sz w:val="44"/>
        </w:rPr>
        <w:t xml:space="preserve">目</w:t>
      </w:r>
      <w:r/>
    </w:p>
    <w:p>
      <w:pPr>
        <w:jc w:val="center"/>
        <w:rPr>
          <w:rFonts w:eastAsia="方正小标宋_GBK"/>
          <w:bCs/>
          <w:sz w:val="100"/>
          <w:szCs w:val="100"/>
        </w:rPr>
      </w:pPr>
      <w:r>
        <w:rPr>
          <w:rFonts w:eastAsia="方正小标宋_GBK"/>
          <w:bCs/>
          <w:sz w:val="100"/>
          <w:szCs w:val="100"/>
        </w:rPr>
        <w:t xml:space="preserve">政府采购招标文件</w:t>
      </w:r>
      <w:r/>
    </w:p>
    <w:p>
      <w:pPr>
        <w:pStyle w:val="854"/>
        <w:spacing w:line="500" w:lineRule="exact"/>
        <w:rPr>
          <w:rFonts w:eastAsia="方正小标宋_GBK"/>
          <w:b w:val="0"/>
          <w:bCs/>
        </w:rPr>
      </w:pPr>
      <w:r>
        <w:rPr>
          <w:rFonts w:eastAsia="方正小标宋_GBK"/>
          <w:b w:val="0"/>
          <w:bCs/>
        </w:rPr>
      </w:r>
      <w:r/>
    </w:p>
    <w:p>
      <w:pPr>
        <w:pStyle w:val="854"/>
        <w:spacing w:line="500" w:lineRule="exact"/>
        <w:rPr>
          <w:rFonts w:eastAsia="方正小标宋_GBK"/>
          <w:b w:val="0"/>
          <w:bCs/>
          <w:sz w:val="36"/>
          <w:szCs w:val="36"/>
        </w:rPr>
      </w:pPr>
      <w:r>
        <w:rPr>
          <w:rFonts w:eastAsia="方正小标宋_GBK"/>
          <w:b w:val="0"/>
          <w:bCs/>
          <w:sz w:val="36"/>
          <w:szCs w:val="36"/>
        </w:rPr>
        <w:t xml:space="preserve">项目编号：JSZC-320681-JZCG-G2026-0028</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10"/>
        <w:ind w:firstLine="0"/>
        <w:rPr>
          <w:rFonts w:ascii="Times New Roman" w:hAnsi="Times New Roman" w:eastAsia="楷体"/>
          <w:sz w:val="44"/>
          <w:szCs w:val="44"/>
        </w:rPr>
      </w:pPr>
      <w:r>
        <w:rPr>
          <w:rFonts w:ascii="Times New Roman" w:hAnsi="Times New Roman" w:eastAsia="楷体"/>
          <w:sz w:val="44"/>
          <w:szCs w:val="44"/>
        </w:rPr>
        <w:t xml:space="preserve">2026年6月3日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启东市金桥路199号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 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  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  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  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  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  </w:t>
      </w:r>
      <w:bookmarkStart w:id="1" w:name="OLE_LINK7"/>
      <w:r/>
      <w:bookmarkStart w:id="2" w:name="OLE_LINK5"/>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hint="eastAsia" w:eastAsia="方正仿宋_GBK"/>
          <w:sz w:val="28"/>
          <w:szCs w:val="28"/>
        </w:rPr>
        <w:t xml:space="preserve">启东市公安局</w:t>
      </w:r>
      <w:r>
        <w:rPr>
          <w:rFonts w:eastAsia="方正仿宋_GBK"/>
          <w:sz w:val="28"/>
          <w:szCs w:val="28"/>
        </w:rPr>
        <w:t xml:space="preserve">]的委托，启东市公共资源交易中心就[</w:t>
      </w:r>
      <w:r>
        <w:rPr>
          <w:rFonts w:hint="eastAsia" w:eastAsia="方正仿宋_GBK"/>
          <w:sz w:val="28"/>
          <w:szCs w:val="28"/>
        </w:rPr>
        <w:t xml:space="preserve">启东市公安局2026年存量光纤租赁服务项目</w:t>
      </w:r>
      <w:r>
        <w:rPr>
          <w:rFonts w:eastAsia="方正仿宋_GBK"/>
          <w:sz w:val="28"/>
          <w:szCs w:val="28"/>
        </w:rPr>
        <w:t xml:space="preserve">]（项目编号：JSZC-320681-JZCG-G2026-0028）进行公开招标采购，欢迎符合条件的供应商投标。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启东市公安局2026年存量光纤租赁服务</w:t>
      </w:r>
      <w:r>
        <w:rPr>
          <w:rFonts w:eastAsia="方正仿宋_GBK"/>
          <w:sz w:val="28"/>
          <w:szCs w:val="28"/>
        </w:rPr>
        <w:t xml:space="preserve">项目]的潜在投标人应在江苏政府采购网获取招标文件，并于2026年6月25日9点00分（北京时间）前递交投标文件。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项目编号：JSZC-320681-JZCG-G2026-0028</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ascii="方正仿宋_GBK" w:eastAsia="方正仿宋_GBK"/>
          <w:sz w:val="28"/>
          <w:szCs w:val="28"/>
        </w:rPr>
        <w:t xml:space="preserve">启东市公安局</w:t>
      </w:r>
      <w:r>
        <w:rPr>
          <w:rFonts w:eastAsia="方正仿宋_GBK"/>
          <w:sz w:val="28"/>
          <w:szCs w:val="28"/>
        </w:rPr>
        <w:t xml:space="preserve">2026</w:t>
      </w:r>
      <w:r>
        <w:rPr>
          <w:rFonts w:hint="eastAsia" w:ascii="方正仿宋_GBK" w:eastAsia="方正仿宋_GBK"/>
          <w:sz w:val="28"/>
          <w:szCs w:val="28"/>
        </w:rPr>
        <w:t xml:space="preserve">年存量光纤租赁服务项目</w:t>
      </w:r>
      <w:r/>
    </w:p>
    <w:p>
      <w:pPr>
        <w:ind w:firstLine="560"/>
        <w:spacing w:line="500" w:lineRule="exact"/>
        <w:rPr>
          <w:rFonts w:eastAsia="方正仿宋_GBK"/>
          <w:sz w:val="28"/>
          <w:szCs w:val="28"/>
          <w:highlight w:val="yellow"/>
        </w:rPr>
      </w:pPr>
      <w:r>
        <w:rPr>
          <w:rFonts w:eastAsia="方正仿宋_GBK"/>
          <w:sz w:val="28"/>
          <w:szCs w:val="28"/>
        </w:rPr>
        <w:t xml:space="preserve">项目类型：服务</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ascii="方正仿宋_GBK" w:eastAsia="方正仿宋_GBK"/>
          <w:sz w:val="28"/>
          <w:szCs w:val="28"/>
        </w:rPr>
        <w:t xml:space="preserve">信息传输业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186</w:t>
      </w:r>
      <w:bookmarkStart w:id="4" w:name="OLE_LINK1"/>
      <w:r/>
      <w:bookmarkStart w:id="5" w:name="OLE_LINK2"/>
      <w:r>
        <w:rPr>
          <w:rFonts w:eastAsia="方正仿宋_GBK"/>
          <w:sz w:val="28"/>
          <w:szCs w:val="28"/>
        </w:rPr>
        <w:t xml:space="preserve">万元</w:t>
      </w:r>
      <w:bookmarkEnd w:id="4"/>
      <w:r/>
      <w:bookmarkEnd w:id="5"/>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186</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sz w:val="28"/>
          <w:szCs w:val="28"/>
        </w:rPr>
      </w:pPr>
      <w:r>
        <w:rPr>
          <w:rFonts w:eastAsia="方正仿宋_GBK"/>
          <w:sz w:val="28"/>
          <w:szCs w:val="28"/>
        </w:rPr>
        <w:t xml:space="preserve">本项目是否接受分包：否。</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3.本项目的特定资格要求：</w:t>
      </w:r>
      <w:bookmarkStart w:id="6" w:name="_Hlk212714035"/>
      <w:r>
        <w:rPr>
          <w:rFonts w:eastAsia="方正仿宋_GBK"/>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6"/>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时间：自本公告发布之日起至2026年6月10日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2.潜在供应商访问“苏采云”系统的网络地址和方法：“苏采云”系统的网址：http://jszfcg.jsczt.cn/。</w:t>
      </w:r>
      <w:r/>
    </w:p>
    <w:p>
      <w:pPr>
        <w:ind w:firstLine="560"/>
        <w:spacing w:line="500" w:lineRule="exact"/>
        <w:rPr>
          <w:rFonts w:eastAsia="方正仿宋_GBK"/>
          <w:sz w:val="28"/>
          <w:szCs w:val="28"/>
        </w:rPr>
      </w:pPr>
      <w:r>
        <w:rPr>
          <w:rFonts w:eastAsia="方正仿宋_GBK"/>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eastAsia="方正仿宋_GBK"/>
          <w:sz w:val="28"/>
          <w:szCs w:val="28"/>
        </w:rPr>
      </w:pPr>
      <w:r>
        <w:rPr>
          <w:rFonts w:eastAsia="方正仿宋_GBK"/>
          <w:sz w:val="28"/>
          <w:szCs w:val="28"/>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5.招标代理机构（采购代理机构）将数据电文形式的采购文件加载至“苏采云”系统，供潜在供应商下载或者查阅。</w:t>
      </w:r>
      <w:r/>
    </w:p>
    <w:p>
      <w:pPr>
        <w:ind w:firstLine="560"/>
        <w:spacing w:line="500" w:lineRule="exact"/>
        <w:rPr>
          <w:rFonts w:eastAsia="方正仿宋_GBK"/>
          <w:sz w:val="28"/>
          <w:szCs w:val="28"/>
        </w:rPr>
      </w:pPr>
      <w:r>
        <w:rPr>
          <w:rFonts w:eastAsia="方正仿宋_GBK"/>
          <w:sz w:val="28"/>
          <w:szCs w:val="28"/>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1.2026年6月25日9点00分（北京时间）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2.线上开标地点：“苏采云”系统（网址：http://jszfcg.jsczt.cn/）“开标大厅”。</w:t>
      </w:r>
      <w:r/>
    </w:p>
    <w:p>
      <w:pPr>
        <w:ind w:firstLine="560"/>
        <w:spacing w:line="500" w:lineRule="exact"/>
        <w:rPr>
          <w:rFonts w:eastAsia="方正仿宋_GBK"/>
          <w:i/>
          <w:sz w:val="28"/>
          <w:szCs w:val="28"/>
        </w:rPr>
      </w:pPr>
      <w:r>
        <w:rPr>
          <w:rFonts w:eastAsia="方正仿宋_GBK"/>
          <w:sz w:val="28"/>
          <w:szCs w:val="28"/>
        </w:rPr>
        <w:t xml:space="preserve">3.响应文件的解密：开标当天各供应商及时登录不见面开标大厅，响应文件递交截止时间后，采购人将在系统内公布投标</w:t>
      </w:r>
      <w:r>
        <w:rPr>
          <w:rFonts w:eastAsia="方正仿宋_GBK"/>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自本公告发布之日起5个工作日。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1.投标保证金：免收</w:t>
      </w:r>
      <w:r/>
    </w:p>
    <w:p>
      <w:pPr>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2.项目开标活动模式：不见面远程开标模式，投标人在各自地点通过“苏采云”系统参加开标会。</w:t>
      </w:r>
      <w:r/>
    </w:p>
    <w:p>
      <w:pPr>
        <w:ind w:firstLine="560"/>
        <w:spacing w:line="500" w:lineRule="exact"/>
        <w:rPr>
          <w:rFonts w:eastAsia="方正仿宋_GBK"/>
          <w:sz w:val="28"/>
          <w:szCs w:val="28"/>
        </w:rPr>
      </w:pPr>
      <w:r>
        <w:rPr>
          <w:rFonts w:eastAsia="方正仿宋_GBK"/>
          <w:sz w:val="28"/>
          <w:szCs w:val="28"/>
        </w:rPr>
        <w:t xml:space="preserve">3.项目演示、样品、答辩等：无</w:t>
      </w:r>
      <w:r/>
    </w:p>
    <w:p>
      <w:pPr>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1.采购人</w:t>
      </w:r>
      <w:r/>
    </w:p>
    <w:p>
      <w:pPr>
        <w:ind w:firstLine="560"/>
        <w:spacing w:line="500" w:lineRule="exact"/>
        <w:rPr>
          <w:rFonts w:eastAsia="方正仿宋_GBK"/>
          <w:sz w:val="28"/>
          <w:szCs w:val="28"/>
        </w:rPr>
      </w:pPr>
      <w:r>
        <w:rPr>
          <w:rFonts w:eastAsia="方正仿宋_GBK"/>
          <w:sz w:val="28"/>
          <w:szCs w:val="28"/>
        </w:rPr>
        <w:t xml:space="preserve">名  称：</w:t>
      </w:r>
      <w:r>
        <w:rPr>
          <w:rFonts w:ascii="方正仿宋_GBK" w:eastAsia="方正仿宋_GBK"/>
          <w:sz w:val="28"/>
          <w:szCs w:val="28"/>
        </w:rPr>
        <w:t xml:space="preserve">启东市公安局</w:t>
      </w:r>
      <w:r/>
    </w:p>
    <w:p>
      <w:pPr>
        <w:ind w:firstLine="560"/>
        <w:spacing w:line="500" w:lineRule="exact"/>
        <w:rPr>
          <w:rFonts w:eastAsia="方正仿宋_GBK"/>
          <w:sz w:val="28"/>
          <w:szCs w:val="28"/>
        </w:rPr>
      </w:pPr>
      <w:r>
        <w:rPr>
          <w:rFonts w:eastAsia="方正仿宋_GBK"/>
          <w:sz w:val="28"/>
          <w:szCs w:val="28"/>
        </w:rPr>
        <w:t xml:space="preserve">地  址：</w:t>
      </w:r>
      <w:r>
        <w:rPr>
          <w:rFonts w:ascii="方正仿宋_GBK" w:eastAsia="方正仿宋_GBK"/>
          <w:sz w:val="28"/>
          <w:szCs w:val="28"/>
        </w:rPr>
        <w:t xml:space="preserve">江苏省启东市汇龙镇金沙江路</w:t>
      </w:r>
      <w:r>
        <w:rPr>
          <w:rFonts w:hint="eastAsia" w:eastAsia="方正仿宋_GBK"/>
          <w:sz w:val="28"/>
          <w:szCs w:val="28"/>
        </w:rPr>
        <w:t xml:space="preserve">668</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联系人：陆警官</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0513-83720086</w:t>
      </w:r>
      <w:r/>
    </w:p>
    <w:p>
      <w:pPr>
        <w:ind w:firstLine="560"/>
        <w:spacing w:line="500" w:lineRule="exact"/>
        <w:rPr>
          <w:rFonts w:eastAsia="方正仿宋_GBK"/>
          <w:sz w:val="28"/>
          <w:szCs w:val="28"/>
        </w:rPr>
      </w:pPr>
      <w:r>
        <w:rPr>
          <w:rFonts w:eastAsia="方正仿宋_GBK"/>
          <w:sz w:val="28"/>
          <w:szCs w:val="28"/>
        </w:rPr>
        <w:t xml:space="preserve">2.采购代理机构</w:t>
      </w:r>
      <w:r/>
    </w:p>
    <w:p>
      <w:pPr>
        <w:ind w:firstLine="560"/>
        <w:spacing w:line="500" w:lineRule="exact"/>
        <w:rPr>
          <w:rFonts w:eastAsia="方正仿宋_GBK"/>
          <w:sz w:val="28"/>
          <w:szCs w:val="28"/>
        </w:rPr>
      </w:pPr>
      <w:r>
        <w:rPr>
          <w:rFonts w:eastAsia="方正仿宋_GBK"/>
          <w:sz w:val="28"/>
          <w:szCs w:val="28"/>
        </w:rPr>
        <w:t xml:space="preserve">名  称：启东市公共资源交易中心</w:t>
      </w:r>
      <w:r/>
    </w:p>
    <w:p>
      <w:pPr>
        <w:ind w:firstLine="560"/>
        <w:spacing w:line="500" w:lineRule="exact"/>
        <w:rPr>
          <w:rFonts w:eastAsia="方正仿宋_GBK"/>
          <w:sz w:val="28"/>
          <w:szCs w:val="28"/>
        </w:rPr>
      </w:pPr>
      <w:r>
        <w:rPr>
          <w:rFonts w:eastAsia="方正仿宋_GBK"/>
          <w:sz w:val="28"/>
          <w:szCs w:val="28"/>
        </w:rPr>
        <w:t xml:space="preserve">地  址：启东市金桥路199号</w:t>
      </w:r>
      <w:r/>
    </w:p>
    <w:p>
      <w:pPr>
        <w:ind w:firstLine="560"/>
        <w:spacing w:line="500" w:lineRule="exact"/>
        <w:rPr>
          <w:rFonts w:eastAsia="方正仿宋_GBK"/>
          <w:sz w:val="28"/>
          <w:szCs w:val="28"/>
        </w:rPr>
      </w:pPr>
      <w:r>
        <w:rPr>
          <w:rFonts w:eastAsia="方正仿宋_GBK"/>
          <w:sz w:val="28"/>
          <w:szCs w:val="28"/>
        </w:rPr>
        <w:t xml:space="preserve">联系方式：0513-83340291</w:t>
      </w:r>
      <w:r/>
    </w:p>
    <w:p>
      <w:pPr>
        <w:ind w:firstLine="560"/>
        <w:spacing w:line="500" w:lineRule="exact"/>
        <w:rPr>
          <w:rFonts w:eastAsia="方正仿宋_GBK"/>
          <w:sz w:val="28"/>
          <w:szCs w:val="28"/>
        </w:rPr>
      </w:pPr>
      <w:r>
        <w:rPr>
          <w:rFonts w:eastAsia="方正仿宋_GBK"/>
          <w:sz w:val="28"/>
          <w:szCs w:val="28"/>
        </w:rPr>
        <w:t xml:space="preserve">3.软件技术支持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交易系统软件维护人员：0519-86722801、0519-86722806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  投标须知</w:t>
      </w:r>
      <w:r/>
    </w:p>
    <w:p>
      <w:pPr>
        <w:ind w:firstLine="560"/>
        <w:spacing w:line="500" w:lineRule="exact"/>
        <w:rPr>
          <w:rFonts w:ascii="方正黑体_GBK" w:hAnsi="方正黑体_GBK" w:eastAsia="方正黑体_GBK" w:cs="方正黑体_GBK"/>
          <w:bCs/>
          <w:sz w:val="28"/>
          <w:szCs w:val="28"/>
        </w:rPr>
      </w:pPr>
      <w:r/>
      <w:bookmarkStart w:id="7" w:name="_Toc120614214"/>
      <w:r/>
      <w:bookmarkStart w:id="8" w:name="_Toc16938519"/>
      <w:r/>
      <w:bookmarkStart w:id="9" w:name="_Toc20823275"/>
      <w:r/>
      <w:bookmarkStart w:id="10" w:name="_Toc513029203"/>
      <w:r>
        <w:rPr>
          <w:rFonts w:ascii="方正黑体_GBK" w:hAnsi="方正黑体_GBK" w:eastAsia="方正黑体_GBK" w:cs="方正黑体_GBK"/>
          <w:bCs/>
          <w:sz w:val="28"/>
          <w:szCs w:val="28"/>
        </w:rPr>
        <w:t xml:space="preserve">一、总则</w:t>
      </w:r>
      <w:bookmarkEnd w:id="7"/>
      <w:r/>
      <w:bookmarkEnd w:id="8"/>
      <w:r/>
      <w:bookmarkEnd w:id="9"/>
      <w:r/>
      <w:bookmarkEnd w:id="10"/>
      <w:r/>
      <w:r/>
    </w:p>
    <w:p>
      <w:pPr>
        <w:pStyle w:val="852"/>
        <w:ind w:firstLine="560"/>
        <w:jc w:val="both"/>
        <w:spacing w:line="500" w:lineRule="exact"/>
        <w:rPr>
          <w:rFonts w:eastAsia="方正仿宋_GBK"/>
          <w:b/>
          <w:bCs/>
          <w:sz w:val="28"/>
          <w:szCs w:val="28"/>
        </w:rPr>
      </w:pPr>
      <w:r/>
      <w:bookmarkStart w:id="11" w:name="_Hlt16619475"/>
      <w:r/>
      <w:bookmarkEnd w:id="11"/>
      <w:r/>
      <w:bookmarkStart w:id="12" w:name="_Toc458694821"/>
      <w:r/>
      <w:bookmarkStart w:id="13" w:name="_Toc20823276"/>
      <w:r/>
      <w:bookmarkStart w:id="14" w:name="_Toc513029204"/>
      <w:r/>
      <w:bookmarkStart w:id="15" w:name="_Toc16938520"/>
      <w:r>
        <w:rPr>
          <w:rFonts w:eastAsia="方正仿宋_GBK"/>
          <w:sz w:val="28"/>
          <w:szCs w:val="28"/>
        </w:rPr>
        <w:t xml:space="preserve">1</w:t>
      </w:r>
      <w:bookmarkEnd w:id="12"/>
      <w:r>
        <w:rPr>
          <w:rFonts w:eastAsia="方正仿宋_GBK"/>
          <w:sz w:val="28"/>
          <w:szCs w:val="28"/>
        </w:rPr>
        <w:t xml:space="preserve">.招标方式</w:t>
      </w:r>
      <w:bookmarkEnd w:id="13"/>
      <w:r/>
      <w:bookmarkEnd w:id="14"/>
      <w:r/>
      <w:bookmarkEnd w:id="15"/>
      <w:r/>
      <w:r/>
    </w:p>
    <w:p>
      <w:pPr>
        <w:ind w:firstLine="560"/>
        <w:spacing w:line="500" w:lineRule="exact"/>
        <w:rPr>
          <w:rFonts w:eastAsia="方正仿宋_GBK"/>
          <w:sz w:val="28"/>
          <w:szCs w:val="28"/>
        </w:rPr>
      </w:pPr>
      <w:r>
        <w:rPr>
          <w:rFonts w:eastAsia="方正仿宋_GBK"/>
          <w:sz w:val="28"/>
          <w:szCs w:val="28"/>
        </w:rPr>
        <w:t xml:space="preserve">1.1本次招标采取公开招标方式，本招标文件仅适用于招标公告中所述项目。</w:t>
      </w:r>
      <w:r/>
    </w:p>
    <w:p>
      <w:pPr>
        <w:pStyle w:val="852"/>
        <w:ind w:firstLine="560"/>
        <w:jc w:val="both"/>
        <w:spacing w:line="500" w:lineRule="exact"/>
        <w:rPr>
          <w:rFonts w:eastAsia="方正仿宋_GBK"/>
          <w:sz w:val="28"/>
          <w:szCs w:val="28"/>
        </w:rPr>
      </w:pPr>
      <w:r/>
      <w:bookmarkStart w:id="16" w:name="_Toc513029205"/>
      <w:r/>
      <w:bookmarkStart w:id="17" w:name="_Toc16938521"/>
      <w:r/>
      <w:bookmarkStart w:id="18" w:name="_Toc20823277"/>
      <w:r>
        <w:rPr>
          <w:rFonts w:eastAsia="方正仿宋_GBK"/>
          <w:sz w:val="28"/>
          <w:szCs w:val="28"/>
        </w:rPr>
        <w:t xml:space="preserve">2.合格的投标人</w:t>
      </w:r>
      <w:bookmarkEnd w:id="16"/>
      <w:r/>
      <w:bookmarkEnd w:id="17"/>
      <w:r/>
      <w:bookmarkEnd w:id="18"/>
      <w:r/>
      <w:r/>
    </w:p>
    <w:p>
      <w:pPr>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2.2满足本文件实质性条款的规定。</w:t>
      </w:r>
      <w:r/>
    </w:p>
    <w:p>
      <w:pPr>
        <w:pStyle w:val="852"/>
        <w:ind w:firstLine="560"/>
        <w:jc w:val="both"/>
        <w:spacing w:line="500" w:lineRule="exact"/>
        <w:rPr>
          <w:rFonts w:eastAsia="方正仿宋_GBK"/>
          <w:sz w:val="28"/>
          <w:szCs w:val="28"/>
        </w:rPr>
      </w:pPr>
      <w:r/>
      <w:bookmarkStart w:id="19" w:name="_Toc20823278"/>
      <w:r/>
      <w:bookmarkStart w:id="20" w:name="_Toc513029206"/>
      <w:r/>
      <w:bookmarkStart w:id="21" w:name="_Toc16938522"/>
      <w:r>
        <w:rPr>
          <w:rFonts w:eastAsia="方正仿宋_GBK"/>
          <w:sz w:val="28"/>
          <w:szCs w:val="28"/>
        </w:rPr>
        <w:t xml:space="preserve">3.适用法律</w:t>
      </w:r>
      <w:bookmarkEnd w:id="19"/>
      <w:r/>
      <w:bookmarkEnd w:id="20"/>
      <w:r/>
      <w:bookmarkEnd w:id="21"/>
      <w:r/>
      <w:r/>
    </w:p>
    <w:p>
      <w:pPr>
        <w:ind w:firstLine="490"/>
        <w:spacing w:line="500" w:lineRule="exact"/>
        <w:rPr>
          <w:rFonts w:eastAsia="方正仿宋_GBK"/>
          <w:sz w:val="28"/>
          <w:szCs w:val="28"/>
        </w:rPr>
      </w:pPr>
      <w:r>
        <w:rPr>
          <w:rFonts w:eastAsia="方正仿宋_GBK"/>
          <w:sz w:val="28"/>
          <w:szCs w:val="28"/>
        </w:rPr>
        <w:t xml:space="preserve">3.1本次招标及由此产生的合同受中华人民共和国有关的法律法规制约和保护。</w:t>
      </w:r>
      <w:r/>
    </w:p>
    <w:p>
      <w:pPr>
        <w:pStyle w:val="852"/>
        <w:ind w:firstLine="560"/>
        <w:jc w:val="both"/>
        <w:spacing w:line="500" w:lineRule="exact"/>
        <w:rPr>
          <w:rFonts w:eastAsia="方正仿宋_GBK"/>
          <w:sz w:val="28"/>
          <w:szCs w:val="28"/>
        </w:rPr>
      </w:pPr>
      <w:r/>
      <w:bookmarkStart w:id="22" w:name="_Toc20823279"/>
      <w:r/>
      <w:bookmarkStart w:id="23" w:name="_Toc16938523"/>
      <w:r/>
      <w:bookmarkStart w:id="24" w:name="_Toc462564067"/>
      <w:r/>
      <w:bookmarkStart w:id="25" w:name="_Toc513029207"/>
      <w:r>
        <w:rPr>
          <w:rFonts w:eastAsia="方正仿宋_GBK"/>
          <w:sz w:val="28"/>
          <w:szCs w:val="28"/>
        </w:rPr>
        <w:t xml:space="preserve">4.投标费用</w:t>
      </w:r>
      <w:bookmarkEnd w:id="22"/>
      <w:r/>
      <w:bookmarkEnd w:id="23"/>
      <w:r/>
      <w:bookmarkEnd w:id="24"/>
      <w:r/>
      <w:bookmarkEnd w:id="25"/>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4.2本次招标交易中心和采购人不收取标书工本费与中标服务费。</w:t>
      </w:r>
      <w:r/>
    </w:p>
    <w:p>
      <w:pPr>
        <w:pStyle w:val="852"/>
        <w:ind w:firstLine="560"/>
        <w:jc w:val="both"/>
        <w:spacing w:line="500" w:lineRule="exact"/>
        <w:rPr>
          <w:rFonts w:eastAsia="方正仿宋_GBK"/>
          <w:sz w:val="28"/>
          <w:szCs w:val="28"/>
        </w:rPr>
      </w:pPr>
      <w:r>
        <w:rPr>
          <w:rFonts w:eastAsia="方正仿宋_GBK"/>
          <w:sz w:val="28"/>
          <w:szCs w:val="28"/>
        </w:rPr>
        <w:t xml:space="preserve">5.招标文件的约束力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52"/>
        <w:ind w:firstLine="560"/>
        <w:jc w:val="both"/>
        <w:spacing w:line="500" w:lineRule="exact"/>
        <w:rPr>
          <w:rFonts w:eastAsia="方正仿宋_GBK"/>
          <w:sz w:val="28"/>
          <w:szCs w:val="28"/>
        </w:rPr>
      </w:pPr>
      <w:r>
        <w:rPr>
          <w:rFonts w:eastAsia="方正仿宋_GBK"/>
          <w:sz w:val="28"/>
          <w:szCs w:val="28"/>
        </w:rPr>
        <w:t xml:space="preserve">6.招标文件的解释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6" w:name="_Toc120614215"/>
      <w:r/>
      <w:bookmarkStart w:id="27" w:name="_Toc513029209"/>
      <w:r/>
      <w:bookmarkStart w:id="28" w:name="_Toc16938525"/>
      <w:r/>
      <w:bookmarkStart w:id="29" w:name="_Toc20823281"/>
      <w:r>
        <w:rPr>
          <w:rFonts w:ascii="方正黑体_GBK" w:hAnsi="方正黑体_GBK" w:eastAsia="方正黑体_GBK" w:cs="方正黑体_GBK"/>
          <w:bCs/>
          <w:sz w:val="28"/>
          <w:szCs w:val="28"/>
        </w:rPr>
        <w:t xml:space="preserve">二、招标文件</w:t>
      </w:r>
      <w:bookmarkEnd w:id="26"/>
      <w:r/>
      <w:bookmarkEnd w:id="27"/>
      <w:r/>
      <w:bookmarkEnd w:id="28"/>
      <w:r/>
      <w:bookmarkEnd w:id="29"/>
      <w:r/>
      <w:r/>
    </w:p>
    <w:p>
      <w:pPr>
        <w:pStyle w:val="852"/>
        <w:ind w:firstLine="560"/>
        <w:jc w:val="both"/>
        <w:spacing w:line="500" w:lineRule="exact"/>
        <w:rPr>
          <w:rFonts w:eastAsia="方正仿宋_GBK"/>
          <w:sz w:val="28"/>
          <w:szCs w:val="28"/>
        </w:rPr>
      </w:pPr>
      <w:r/>
      <w:bookmarkStart w:id="30" w:name="_Toc513029210"/>
      <w:r/>
      <w:bookmarkStart w:id="31" w:name="_Toc20823282"/>
      <w:r/>
      <w:bookmarkStart w:id="32" w:name="_Toc16938526"/>
      <w:r>
        <w:rPr>
          <w:rFonts w:eastAsia="方正仿宋_GBK"/>
          <w:sz w:val="28"/>
          <w:szCs w:val="28"/>
        </w:rPr>
        <w:t xml:space="preserve">1.招标文件构成</w:t>
      </w:r>
      <w:bookmarkEnd w:id="30"/>
      <w:r/>
      <w:bookmarkEnd w:id="31"/>
      <w:r/>
      <w:bookmarkEnd w:id="32"/>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（1）投标邀请</w:t>
      </w:r>
      <w:r/>
    </w:p>
    <w:p>
      <w:pPr>
        <w:ind w:firstLine="420"/>
        <w:spacing w:line="500" w:lineRule="exact"/>
        <w:rPr>
          <w:rFonts w:eastAsia="方正仿宋_GBK"/>
          <w:sz w:val="28"/>
          <w:szCs w:val="28"/>
        </w:rPr>
      </w:pPr>
      <w:r>
        <w:rPr>
          <w:rFonts w:eastAsia="方正仿宋_GBK"/>
          <w:sz w:val="28"/>
          <w:szCs w:val="28"/>
        </w:rPr>
        <w:t xml:space="preserve">（2）投标须知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（4）开标和评标</w:t>
      </w:r>
      <w:r/>
    </w:p>
    <w:p>
      <w:pPr>
        <w:ind w:firstLine="420"/>
        <w:spacing w:line="500" w:lineRule="exact"/>
        <w:rPr>
          <w:rFonts w:eastAsia="方正仿宋_GBK"/>
          <w:sz w:val="28"/>
          <w:szCs w:val="28"/>
        </w:rPr>
      </w:pPr>
      <w:r>
        <w:rPr>
          <w:rFonts w:eastAsia="方正仿宋_GBK"/>
          <w:sz w:val="28"/>
          <w:szCs w:val="28"/>
        </w:rPr>
        <w:t xml:space="preserve">（5）投标文件格式</w:t>
      </w:r>
      <w:r/>
    </w:p>
    <w:p>
      <w:pPr>
        <w:ind w:firstLine="420"/>
        <w:spacing w:line="500" w:lineRule="exact"/>
        <w:rPr>
          <w:rFonts w:eastAsia="方正仿宋_GBK"/>
          <w:sz w:val="28"/>
          <w:szCs w:val="28"/>
        </w:rPr>
      </w:pPr>
      <w:r>
        <w:rPr>
          <w:rFonts w:eastAsia="方正仿宋_GBK"/>
          <w:sz w:val="28"/>
          <w:szCs w:val="28"/>
        </w:rPr>
        <w:t xml:space="preserve">（6）附件（如有）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2"/>
        <w:ind w:firstLine="560"/>
        <w:jc w:val="both"/>
        <w:spacing w:line="500" w:lineRule="exact"/>
        <w:rPr>
          <w:rFonts w:eastAsia="方正仿宋_GBK"/>
          <w:sz w:val="28"/>
          <w:szCs w:val="28"/>
        </w:rPr>
      </w:pPr>
      <w:r/>
      <w:bookmarkStart w:id="33" w:name="_Toc462564070"/>
      <w:r/>
      <w:bookmarkStart w:id="34" w:name="_Toc20823283"/>
      <w:r/>
      <w:bookmarkStart w:id="35" w:name="_Toc16938527"/>
      <w:r/>
      <w:bookmarkStart w:id="36" w:name="_Toc513029211"/>
      <w:r>
        <w:rPr>
          <w:rFonts w:eastAsia="方正仿宋_GBK"/>
          <w:sz w:val="28"/>
          <w:szCs w:val="28"/>
        </w:rPr>
        <w:t xml:space="preserve">2.招标文件的澄清</w:t>
      </w:r>
      <w:bookmarkEnd w:id="33"/>
      <w:r/>
      <w:bookmarkEnd w:id="34"/>
      <w:r/>
      <w:bookmarkEnd w:id="35"/>
      <w:r/>
      <w:bookmarkEnd w:id="36"/>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pStyle w:val="852"/>
        <w:ind w:firstLine="560"/>
        <w:jc w:val="both"/>
        <w:spacing w:line="500" w:lineRule="exact"/>
        <w:rPr>
          <w:rFonts w:eastAsia="方正仿宋_GBK"/>
          <w:sz w:val="28"/>
          <w:szCs w:val="28"/>
        </w:rPr>
      </w:pPr>
      <w:r/>
      <w:bookmarkStart w:id="37" w:name="_Toc16938528"/>
      <w:r/>
      <w:bookmarkStart w:id="38" w:name="_Toc20823284"/>
      <w:r/>
      <w:bookmarkStart w:id="39" w:name="_Toc513029212"/>
      <w:r/>
      <w:bookmarkStart w:id="40" w:name="_Toc462564071"/>
      <w:r>
        <w:rPr>
          <w:rFonts w:eastAsia="方正仿宋_GBK"/>
          <w:sz w:val="28"/>
          <w:szCs w:val="28"/>
        </w:rPr>
        <w:t xml:space="preserve">3.招标文件的修改</w:t>
      </w:r>
      <w:bookmarkEnd w:id="37"/>
      <w:r/>
      <w:bookmarkEnd w:id="38"/>
      <w:r/>
      <w:bookmarkEnd w:id="39"/>
      <w:r/>
      <w:bookmarkEnd w:id="40"/>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41" w:name="_Toc16938529"/>
      <w:r/>
      <w:bookmarkStart w:id="42" w:name="_Toc513029213"/>
      <w:r/>
      <w:bookmarkStart w:id="43" w:name="_Toc462564072"/>
      <w:r/>
      <w:bookmarkStart w:id="44" w:name="_Toc20823285"/>
      <w:r/>
      <w:bookmarkStart w:id="45" w:name="_Toc120614216"/>
      <w:r>
        <w:rPr>
          <w:rFonts w:ascii="方正黑体_GBK" w:hAnsi="方正黑体_GBK" w:eastAsia="方正黑体_GBK" w:cs="方正黑体_GBK"/>
          <w:bCs/>
          <w:sz w:val="28"/>
          <w:szCs w:val="28"/>
        </w:rPr>
        <w:t xml:space="preserve">三、投标文件的编制</w:t>
      </w:r>
      <w:bookmarkEnd w:id="41"/>
      <w:r/>
      <w:bookmarkEnd w:id="42"/>
      <w:r/>
      <w:bookmarkEnd w:id="43"/>
      <w:r/>
      <w:bookmarkEnd w:id="44"/>
      <w:r/>
      <w:bookmarkEnd w:id="45"/>
      <w:r/>
      <w:r/>
    </w:p>
    <w:p>
      <w:pPr>
        <w:pStyle w:val="852"/>
        <w:ind w:firstLine="560"/>
        <w:jc w:val="both"/>
        <w:spacing w:line="500" w:lineRule="exact"/>
        <w:rPr>
          <w:rFonts w:eastAsia="方正仿宋_GBK"/>
          <w:sz w:val="28"/>
          <w:szCs w:val="28"/>
        </w:rPr>
      </w:pPr>
      <w:r/>
      <w:bookmarkStart w:id="46" w:name="_Toc16938530"/>
      <w:r/>
      <w:bookmarkStart w:id="47" w:name="_Toc462564073"/>
      <w:r/>
      <w:bookmarkStart w:id="48" w:name="_Toc513029214"/>
      <w:r/>
      <w:bookmarkStart w:id="49" w:name="_Toc20823286"/>
      <w:r>
        <w:rPr>
          <w:rFonts w:eastAsia="方正仿宋_GBK"/>
          <w:sz w:val="28"/>
          <w:szCs w:val="28"/>
        </w:rPr>
        <w:t xml:space="preserve">1.投标文件的语言及度量衡单位</w:t>
      </w:r>
      <w:bookmarkEnd w:id="46"/>
      <w:r/>
      <w:bookmarkEnd w:id="47"/>
      <w:r/>
      <w:bookmarkEnd w:id="48"/>
      <w:r/>
      <w:bookmarkEnd w:id="49"/>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52"/>
        <w:ind w:firstLine="560"/>
        <w:jc w:val="both"/>
        <w:spacing w:line="500" w:lineRule="exact"/>
        <w:rPr>
          <w:rFonts w:eastAsia="方正仿宋_GBK"/>
          <w:sz w:val="28"/>
          <w:szCs w:val="28"/>
        </w:rPr>
      </w:pPr>
      <w:r/>
      <w:bookmarkStart w:id="50" w:name="_Toc16938531"/>
      <w:r/>
      <w:bookmarkStart w:id="51" w:name="_Toc462564074"/>
      <w:r/>
      <w:bookmarkStart w:id="52" w:name="_Toc513029215"/>
      <w:r/>
      <w:bookmarkStart w:id="53" w:name="_Toc20823287"/>
      <w:r>
        <w:rPr>
          <w:rFonts w:eastAsia="方正仿宋_GBK"/>
          <w:sz w:val="28"/>
          <w:szCs w:val="28"/>
        </w:rPr>
        <w:t xml:space="preserve">2.投标文件构成</w:t>
      </w:r>
      <w:bookmarkEnd w:id="50"/>
      <w:r/>
      <w:bookmarkEnd w:id="51"/>
      <w:r/>
      <w:bookmarkEnd w:id="52"/>
      <w:r/>
      <w:bookmarkEnd w:id="53"/>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表、其他证明文件等部分。投标人按“第五部分 投标文件格式” 及“苏采云系统”中电子投标（响应）文件格式目录要求的内容编写投标文件。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2.2如标书制作工具中格式和内容与“江苏政府采购网”发布的招标文件不一致，请以“江苏政府采购网”发布的招标文件为准。</w:t>
      </w:r>
      <w:bookmarkStart w:id="54" w:name="_Toc513029219"/>
      <w:r/>
      <w:bookmarkStart w:id="55" w:name="_Toc49090509"/>
      <w:r/>
      <w:bookmarkStart w:id="56" w:name="_Toc14577357"/>
      <w:r/>
      <w:bookmarkStart w:id="57" w:name="_Toc14577354"/>
      <w:r/>
      <w:bookmarkStart w:id="58" w:name="_Toc513029216"/>
      <w:r/>
      <w:bookmarkStart w:id="59" w:name="_Toc49090507"/>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4"/>
      <w:r/>
      <w:bookmarkEnd w:id="55"/>
      <w:r/>
      <w:bookmarkEnd w:id="56"/>
      <w:r/>
      <w:bookmarkEnd w:id="57"/>
      <w:r/>
      <w:bookmarkEnd w:id="58"/>
      <w:r/>
      <w:bookmarkEnd w:id="59"/>
      <w:r/>
      <w:r/>
    </w:p>
    <w:p>
      <w:pPr>
        <w:ind w:firstLine="560"/>
        <w:spacing w:line="500" w:lineRule="exact"/>
        <w:rPr>
          <w:rFonts w:eastAsia="方正仿宋_GBK"/>
          <w:sz w:val="28"/>
          <w:szCs w:val="28"/>
        </w:rPr>
      </w:pPr>
      <w:r/>
      <w:bookmarkStart w:id="60" w:name="_Toc14577355"/>
      <w:r/>
      <w:bookmarkStart w:id="61" w:name="_Toc49090508"/>
      <w:r>
        <w:rPr>
          <w:rFonts w:eastAsia="方正仿宋_GBK"/>
          <w:sz w:val="28"/>
          <w:szCs w:val="28"/>
        </w:rPr>
        <w:t xml:space="preserve">3.1投标人应按照法律、法规、规章和规范性文件以及招标文件要求提交证明文件，证明其及投标标的符合招标文件规定。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60"/>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4.1投</w:t>
      </w:r>
      <w:bookmarkStart w:id="62" w:name="_Hlt26954840"/>
      <w:r/>
      <w:bookmarkEnd w:id="62"/>
      <w:r>
        <w:rPr>
          <w:rFonts w:eastAsia="方正仿宋_GBK"/>
          <w:sz w:val="28"/>
          <w:szCs w:val="28"/>
        </w:rPr>
        <w:t xml:space="preserve">标人应按照招标文件规定格式填报</w:t>
      </w:r>
      <w:bookmarkStart w:id="63" w:name="_Hlt26670399"/>
      <w:r/>
      <w:bookmarkEnd w:id="63"/>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4" w:name="_Hlt26954844"/>
      <w:r/>
      <w:bookmarkEnd w:id="64"/>
      <w:r/>
      <w:bookmarkStart w:id="65" w:name="_Hlt26670425"/>
      <w:r/>
      <w:bookmarkEnd w:id="65"/>
      <w:r/>
      <w:bookmarkStart w:id="66" w:name="_Hlt26954848"/>
      <w:r/>
      <w:bookmarkEnd w:id="66"/>
      <w:r/>
      <w:bookmarkStart w:id="67" w:name="_Hlt26670482"/>
      <w:r/>
      <w:bookmarkEnd w:id="67"/>
      <w:r/>
      <w:bookmarkStart w:id="68" w:name="_Hlt26668983"/>
      <w:r/>
      <w:bookmarkEnd w:id="68"/>
      <w:r/>
      <w:bookmarkStart w:id="69" w:name="_Hlt26670403"/>
      <w:r/>
      <w:bookmarkEnd w:id="69"/>
      <w:r/>
      <w:bookmarkStart w:id="70" w:name="_Hlt26954846"/>
      <w:r/>
      <w:bookmarkEnd w:id="70"/>
      <w:r/>
      <w:bookmarkStart w:id="71" w:name="_Hlt26670486"/>
      <w:r/>
      <w:bookmarkEnd w:id="71"/>
      <w:r/>
      <w:bookmarkStart w:id="72" w:name="_Hlt26954731"/>
      <w:r/>
      <w:bookmarkEnd w:id="72"/>
      <w:r/>
      <w:bookmarkStart w:id="73" w:name="_Hlt26954842"/>
      <w:r/>
      <w:bookmarkEnd w:id="73"/>
      <w:r>
        <w:rPr>
          <w:rFonts w:eastAsia="方正仿宋_GBK"/>
          <w:sz w:val="28"/>
          <w:szCs w:val="28"/>
        </w:rPr>
        <w:t xml:space="preserve">5.技术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5.2投标人可在投标文件中提供认为需要的其他技术文件或说明。</w:t>
      </w:r>
      <w:r/>
    </w:p>
    <w:p>
      <w:pPr>
        <w:ind w:firstLine="560"/>
        <w:spacing w:line="500" w:lineRule="exact"/>
        <w:rPr>
          <w:rFonts w:eastAsia="方正仿宋_GBK"/>
          <w:sz w:val="28"/>
          <w:szCs w:val="28"/>
        </w:rPr>
      </w:pPr>
      <w:r/>
      <w:bookmarkStart w:id="74" w:name="_Toc14577359"/>
      <w:r/>
      <w:bookmarkStart w:id="75" w:name="_Toc49090510"/>
      <w:r>
        <w:rPr>
          <w:rFonts w:eastAsia="方正仿宋_GBK"/>
          <w:sz w:val="28"/>
          <w:szCs w:val="28"/>
        </w:rPr>
        <w:t xml:space="preserve">6.投标函和开标一览表</w:t>
      </w:r>
      <w:r/>
    </w:p>
    <w:p>
      <w:pPr>
        <w:ind w:firstLine="560"/>
        <w:spacing w:line="500" w:lineRule="exact"/>
        <w:rPr>
          <w:rFonts w:eastAsia="方正仿宋_GBK"/>
          <w:sz w:val="28"/>
          <w:szCs w:val="28"/>
        </w:rPr>
      </w:pPr>
      <w:r>
        <w:rPr>
          <w:rFonts w:eastAsia="方正仿宋_GBK"/>
          <w:sz w:val="28"/>
          <w:szCs w:val="28"/>
        </w:rPr>
        <w:t xml:space="preserve">6.1投标人应按照招标文件中提供的格式完整、正确填写投标函、开标一览表。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bookmarkEnd w:id="74"/>
      <w:r/>
      <w:bookmarkEnd w:id="75"/>
      <w:r/>
      <w:r/>
    </w:p>
    <w:p>
      <w:pPr>
        <w:pStyle w:val="852"/>
        <w:ind w:firstLine="560"/>
        <w:jc w:val="both"/>
        <w:spacing w:line="500" w:lineRule="exact"/>
        <w:rPr>
          <w:rFonts w:eastAsia="方正仿宋_GBK"/>
          <w:sz w:val="28"/>
          <w:szCs w:val="28"/>
        </w:rPr>
      </w:pPr>
      <w:r/>
      <w:bookmarkStart w:id="76" w:name="_Hlt26954838"/>
      <w:r/>
      <w:bookmarkEnd w:id="76"/>
      <w:r/>
      <w:bookmarkStart w:id="77" w:name="_Hlt26668975"/>
      <w:r/>
      <w:bookmarkEnd w:id="77"/>
      <w:r/>
      <w:bookmarkStart w:id="78" w:name="_Hlt26670360"/>
      <w:r/>
      <w:bookmarkEnd w:id="78"/>
      <w:r/>
      <w:bookmarkStart w:id="79" w:name="_Toc49090511"/>
      <w:r/>
      <w:bookmarkStart w:id="80" w:name="_Toc14577360"/>
      <w:r>
        <w:rPr>
          <w:rFonts w:eastAsia="方正仿宋_GBK"/>
          <w:sz w:val="28"/>
          <w:szCs w:val="28"/>
        </w:rPr>
        <w:t xml:space="preserve">7.投标有效期</w:t>
      </w:r>
      <w:bookmarkEnd w:id="79"/>
      <w:r/>
      <w:bookmarkEnd w:id="80"/>
      <w:r/>
      <w:r/>
    </w:p>
    <w:p>
      <w:pPr>
        <w:ind w:firstLine="560"/>
        <w:spacing w:line="500" w:lineRule="exact"/>
        <w:rPr>
          <w:rFonts w:eastAsia="方正仿宋_GBK"/>
          <w:bCs/>
          <w:sz w:val="28"/>
          <w:szCs w:val="28"/>
        </w:rPr>
      </w:pPr>
      <w:r>
        <w:rPr>
          <w:rFonts w:eastAsia="方正仿宋_GBK"/>
          <w:bCs/>
          <w:sz w:val="28"/>
          <w:szCs w:val="28"/>
        </w:rPr>
        <w:t xml:space="preserve">7.1投标有效期为交易中心规定的开标之日后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8.投标有效期的延长</w:t>
      </w:r>
      <w:r/>
    </w:p>
    <w:p>
      <w:pPr>
        <w:ind w:firstLine="560"/>
        <w:spacing w:line="500" w:lineRule="exact"/>
        <w:rPr>
          <w:rFonts w:eastAsia="方正仿宋_GBK"/>
          <w:bCs/>
          <w:sz w:val="28"/>
          <w:szCs w:val="28"/>
        </w:rPr>
      </w:pPr>
      <w:r>
        <w:rPr>
          <w:rFonts w:eastAsia="方正仿宋_GBK"/>
          <w:bCs/>
          <w:sz w:val="28"/>
          <w:szCs w:val="28"/>
        </w:rPr>
        <w:t xml:space="preserve">8.1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81" w:name="_Hlt26954739"/>
      <w:r/>
      <w:bookmarkEnd w:id="81"/>
      <w:r/>
      <w:bookmarkStart w:id="82" w:name="_Hlt26954852"/>
      <w:r/>
      <w:bookmarkEnd w:id="82"/>
      <w:r/>
      <w:bookmarkStart w:id="83" w:name="_Toc513029224"/>
      <w:r/>
      <w:bookmarkStart w:id="84" w:name="_Toc16938540"/>
      <w:r/>
      <w:bookmarkStart w:id="85" w:name="_Toc120614217"/>
      <w:r/>
      <w:bookmarkStart w:id="86" w:name="_Toc20823296"/>
      <w:r>
        <w:rPr>
          <w:rFonts w:ascii="方正黑体_GBK" w:hAnsi="方正黑体_GBK" w:eastAsia="方正黑体_GBK" w:cs="方正黑体_GBK"/>
          <w:bCs/>
          <w:sz w:val="28"/>
          <w:szCs w:val="28"/>
        </w:rPr>
        <w:t xml:space="preserve">四、投标文件的递交</w:t>
      </w:r>
      <w:bookmarkEnd w:id="83"/>
      <w:r/>
      <w:bookmarkEnd w:id="84"/>
      <w:r/>
      <w:bookmarkEnd w:id="85"/>
      <w:r/>
      <w:bookmarkEnd w:id="86"/>
      <w:r/>
      <w:r/>
    </w:p>
    <w:p>
      <w:pPr>
        <w:pStyle w:val="852"/>
        <w:ind w:firstLine="560"/>
        <w:jc w:val="both"/>
        <w:spacing w:line="500" w:lineRule="exact"/>
        <w:rPr>
          <w:rFonts w:eastAsia="方正仿宋_GBK"/>
          <w:sz w:val="28"/>
          <w:szCs w:val="28"/>
        </w:rPr>
      </w:pPr>
      <w:r/>
      <w:bookmarkStart w:id="87" w:name="_Toc16938541"/>
      <w:r/>
      <w:bookmarkStart w:id="88" w:name="_Toc513029225"/>
      <w:r/>
      <w:bookmarkStart w:id="89" w:name="_Toc462564084"/>
      <w:r/>
      <w:bookmarkStart w:id="90" w:name="_Toc20823297"/>
      <w:r>
        <w:rPr>
          <w:rFonts w:eastAsia="方正仿宋_GBK"/>
          <w:sz w:val="28"/>
          <w:szCs w:val="28"/>
        </w:rPr>
        <w:t xml:space="preserve">1.投标文件</w:t>
      </w:r>
      <w:bookmarkEnd w:id="87"/>
      <w:r/>
      <w:bookmarkEnd w:id="88"/>
      <w:r/>
      <w:bookmarkEnd w:id="89"/>
      <w:r/>
      <w:bookmarkEnd w:id="90"/>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91" w:name="_Toc513029226"/>
      <w:r/>
      <w:bookmarkStart w:id="92" w:name="_Toc16938542"/>
      <w:r/>
      <w:bookmarkStart w:id="93" w:name="_Toc20823298"/>
      <w:r>
        <w:rPr>
          <w:rFonts w:eastAsia="方正仿宋_GBK"/>
          <w:bCs/>
          <w:sz w:val="28"/>
          <w:szCs w:val="28"/>
        </w:rPr>
        <w:t xml:space="preserve">投标人应当按照江苏政府采购网—资料下载中《江苏省政府采购管理交易系统（苏采云）供应商操作指南》规定，在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52"/>
        <w:ind w:firstLine="560"/>
        <w:jc w:val="both"/>
        <w:spacing w:line="500" w:lineRule="exact"/>
        <w:rPr>
          <w:rFonts w:eastAsia="方正仿宋_GBK"/>
          <w:sz w:val="28"/>
          <w:szCs w:val="28"/>
        </w:rPr>
      </w:pPr>
      <w:r>
        <w:rPr>
          <w:rFonts w:eastAsia="方正仿宋_GBK"/>
          <w:sz w:val="28"/>
          <w:szCs w:val="28"/>
        </w:rPr>
        <w:t xml:space="preserve">2.投标截止日期</w:t>
      </w:r>
      <w:bookmarkEnd w:id="91"/>
      <w:r/>
      <w:bookmarkEnd w:id="92"/>
      <w:r/>
      <w:bookmarkEnd w:id="93"/>
      <w:r/>
      <w:r/>
    </w:p>
    <w:p>
      <w:pPr>
        <w:ind w:firstLine="560"/>
        <w:spacing w:line="500" w:lineRule="exact"/>
        <w:rPr>
          <w:rFonts w:eastAsia="方正仿宋_GBK"/>
          <w:bCs/>
          <w:sz w:val="28"/>
          <w:szCs w:val="28"/>
        </w:rPr>
      </w:pPr>
      <w:r>
        <w:rPr>
          <w:rFonts w:eastAsia="方正仿宋_GBK"/>
          <w:bCs/>
          <w:sz w:val="28"/>
          <w:szCs w:val="28"/>
        </w:rPr>
        <w:t xml:space="preserve">2.1投标人上传电子投标文件的时间不得迟于招标公告中规定的投标截止时间。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交易中心可以按照规定，通过修改招标文件酌情延长投标截止日期，在此情况下，投标人的所有权利和义务以及投标人受制的截止日期均应以延长后新的截止日期为准。</w:t>
      </w:r>
      <w:r/>
    </w:p>
    <w:p>
      <w:pPr>
        <w:pStyle w:val="852"/>
        <w:ind w:firstLine="560"/>
        <w:jc w:val="both"/>
        <w:spacing w:line="500" w:lineRule="exact"/>
        <w:rPr>
          <w:rFonts w:eastAsia="方正仿宋_GBK"/>
          <w:sz w:val="28"/>
          <w:szCs w:val="28"/>
        </w:rPr>
      </w:pPr>
      <w:r/>
      <w:bookmarkStart w:id="94" w:name="_Toc16938543"/>
      <w:r/>
      <w:bookmarkStart w:id="95" w:name="_Toc513029227"/>
      <w:r/>
      <w:bookmarkStart w:id="96" w:name="_Toc20823299"/>
      <w:r>
        <w:rPr>
          <w:rFonts w:eastAsia="方正仿宋_GBK"/>
          <w:sz w:val="28"/>
          <w:szCs w:val="28"/>
        </w:rPr>
        <w:t xml:space="preserve">3.投标文件</w:t>
      </w:r>
      <w:bookmarkEnd w:id="94"/>
      <w:r/>
      <w:bookmarkEnd w:id="95"/>
      <w:r/>
      <w:bookmarkEnd w:id="96"/>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3.1交易中心拒绝接收在其规定的投标截止时间后上传的任何投标文件。</w:t>
      </w:r>
      <w:r/>
    </w:p>
    <w:p>
      <w:pPr>
        <w:pStyle w:val="852"/>
        <w:ind w:firstLine="560"/>
        <w:jc w:val="both"/>
        <w:spacing w:line="500" w:lineRule="exact"/>
        <w:rPr>
          <w:rFonts w:eastAsia="方正仿宋_GBK"/>
          <w:sz w:val="28"/>
          <w:szCs w:val="28"/>
        </w:rPr>
      </w:pPr>
      <w:r/>
      <w:bookmarkStart w:id="97" w:name="_Toc16938544"/>
      <w:r/>
      <w:bookmarkStart w:id="98" w:name="_Toc513029228"/>
      <w:r/>
      <w:bookmarkStart w:id="99" w:name="_Toc20823300"/>
      <w:r>
        <w:rPr>
          <w:rFonts w:eastAsia="方正仿宋_GBK"/>
          <w:sz w:val="28"/>
          <w:szCs w:val="28"/>
        </w:rPr>
        <w:t xml:space="preserve">4.投标文件的撤回和修改</w:t>
      </w:r>
      <w:bookmarkEnd w:id="97"/>
      <w:r/>
      <w:bookmarkEnd w:id="98"/>
      <w:r/>
      <w:bookmarkEnd w:id="99"/>
      <w:r/>
      <w:r/>
    </w:p>
    <w:p>
      <w:pPr>
        <w:ind w:firstLine="560"/>
        <w:spacing w:line="500" w:lineRule="exact"/>
        <w:rPr>
          <w:rFonts w:eastAsia="方正仿宋_GBK"/>
          <w:sz w:val="28"/>
          <w:szCs w:val="28"/>
        </w:rPr>
      </w:pPr>
      <w:r>
        <w:rPr>
          <w:rFonts w:eastAsia="方正仿宋_GBK"/>
          <w:sz w:val="28"/>
          <w:szCs w:val="28"/>
        </w:rPr>
        <w:t xml:space="preserve">4.1投标文件的撤回</w:t>
      </w:r>
      <w:r/>
    </w:p>
    <w:p>
      <w:pPr>
        <w:ind w:firstLine="560"/>
        <w:spacing w:line="500" w:lineRule="exact"/>
        <w:rPr>
          <w:rFonts w:eastAsia="方正仿宋_GBK"/>
          <w:sz w:val="28"/>
          <w:szCs w:val="28"/>
        </w:rPr>
      </w:pPr>
      <w:r>
        <w:rPr>
          <w:rFonts w:eastAsia="方正仿宋_GBK"/>
          <w:sz w:val="28"/>
          <w:szCs w:val="28"/>
        </w:rPr>
        <w:t xml:space="preserve">4.1.1电子投标文件的撤回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100" w:name="_Toc120614218"/>
      <w:r/>
      <w:bookmarkStart w:id="101" w:name="_Toc20823301"/>
      <w:r/>
      <w:bookmarkStart w:id="102" w:name="_Toc16938545"/>
      <w:r/>
      <w:bookmarkStart w:id="103" w:name="_Toc513029229"/>
      <w:r>
        <w:rPr>
          <w:rFonts w:ascii="方正黑体_GBK" w:hAnsi="方正黑体_GBK" w:eastAsia="方正黑体_GBK" w:cs="方正黑体_GBK"/>
          <w:bCs/>
          <w:sz w:val="28"/>
          <w:szCs w:val="28"/>
        </w:rPr>
        <w:t xml:space="preserve">五、开标与评标</w:t>
      </w:r>
      <w:bookmarkEnd w:id="100"/>
      <w:r/>
      <w:bookmarkEnd w:id="101"/>
      <w:r/>
      <w:bookmarkEnd w:id="102"/>
      <w:r/>
      <w:bookmarkEnd w:id="103"/>
      <w:r/>
      <w:r/>
    </w:p>
    <w:p>
      <w:pPr>
        <w:pStyle w:val="852"/>
        <w:ind w:firstLine="560"/>
        <w:jc w:val="both"/>
        <w:spacing w:line="500" w:lineRule="exact"/>
        <w:rPr>
          <w:rFonts w:eastAsia="方正仿宋_GBK"/>
          <w:sz w:val="28"/>
          <w:szCs w:val="28"/>
        </w:rPr>
      </w:pPr>
      <w:r/>
      <w:bookmarkStart w:id="104" w:name="_Toc513029230"/>
      <w:r/>
      <w:bookmarkStart w:id="105" w:name="_Toc20823302"/>
      <w:r/>
      <w:bookmarkStart w:id="106" w:name="_Toc16938546"/>
      <w:r>
        <w:rPr>
          <w:rFonts w:eastAsia="方正仿宋_GBK"/>
          <w:sz w:val="28"/>
          <w:szCs w:val="28"/>
        </w:rPr>
        <w:t xml:space="preserve">1开标</w:t>
      </w:r>
      <w:bookmarkEnd w:id="104"/>
      <w:r/>
      <w:bookmarkEnd w:id="105"/>
      <w:r/>
      <w:bookmarkEnd w:id="106"/>
      <w:r/>
      <w:r/>
    </w:p>
    <w:p>
      <w:pPr>
        <w:ind w:firstLine="556"/>
        <w:spacing w:line="500" w:lineRule="exact"/>
        <w:rPr>
          <w:rFonts w:eastAsia="方正仿宋_GBK"/>
          <w:bCs/>
          <w:sz w:val="28"/>
          <w:szCs w:val="28"/>
        </w:rPr>
      </w:pPr>
      <w:r>
        <w:rPr>
          <w:rFonts w:eastAsia="方正仿宋_GBK"/>
          <w:bCs/>
          <w:sz w:val="28"/>
          <w:szCs w:val="28"/>
        </w:rPr>
        <w:t xml:space="preserve">1.1交易中心将在招标公告中规定的时间和地点组织公开开标。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式由交易中心组织，在“苏采云”系统中进行开标，并公布各投标人的报价。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52"/>
        <w:ind w:firstLine="560"/>
        <w:jc w:val="both"/>
        <w:spacing w:line="500" w:lineRule="exact"/>
        <w:rPr>
          <w:rFonts w:eastAsia="方正仿宋_GBK"/>
          <w:sz w:val="28"/>
          <w:szCs w:val="28"/>
        </w:rPr>
      </w:pPr>
      <w:r/>
      <w:bookmarkStart w:id="107" w:name="_Toc16938547"/>
      <w:r/>
      <w:bookmarkStart w:id="108" w:name="_Toc20823303"/>
      <w:r/>
      <w:bookmarkStart w:id="109" w:name="_Toc513029231"/>
      <w:r>
        <w:rPr>
          <w:rFonts w:eastAsia="方正仿宋_GBK"/>
          <w:sz w:val="28"/>
          <w:szCs w:val="28"/>
        </w:rPr>
        <w:t xml:space="preserve">2评标委员会</w:t>
      </w:r>
      <w:r/>
    </w:p>
    <w:p>
      <w:pPr>
        <w:ind w:firstLine="560"/>
        <w:spacing w:line="500" w:lineRule="exact"/>
        <w:rPr>
          <w:rFonts w:eastAsia="方正仿宋_GBK"/>
          <w:b/>
          <w:sz w:val="28"/>
          <w:szCs w:val="28"/>
        </w:rPr>
      </w:pPr>
      <w:r>
        <w:rPr>
          <w:rFonts w:eastAsia="方正仿宋_GBK"/>
          <w:sz w:val="28"/>
          <w:szCs w:val="28"/>
        </w:rPr>
        <w:t xml:space="preserve">2.1开标后，交易中心将组织评标委员会（以下简称评委会）进行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2.3评委会独立工作，负责评审所有投标文件并确定中标候选人。</w:t>
      </w:r>
      <w:r/>
    </w:p>
    <w:p>
      <w:pPr>
        <w:pStyle w:val="852"/>
        <w:ind w:firstLine="560"/>
        <w:jc w:val="both"/>
        <w:spacing w:line="500" w:lineRule="exact"/>
        <w:rPr>
          <w:rFonts w:eastAsia="方正仿宋_GBK"/>
          <w:sz w:val="28"/>
          <w:szCs w:val="28"/>
        </w:rPr>
      </w:pPr>
      <w:r>
        <w:rPr>
          <w:rFonts w:eastAsia="方正仿宋_GBK"/>
          <w:sz w:val="28"/>
          <w:szCs w:val="28"/>
        </w:rPr>
        <w:t xml:space="preserve">3.评标过程的保密与公正</w:t>
      </w:r>
      <w:bookmarkEnd w:id="107"/>
      <w:r/>
      <w:bookmarkEnd w:id="108"/>
      <w:r/>
      <w:bookmarkEnd w:id="109"/>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3.5采用综合评分法的项目，未中标的投标人可于中标结果公告期限届满之日起通过“苏采云”系统查看自己的评审得分及排序情况。</w:t>
      </w:r>
      <w:r/>
    </w:p>
    <w:p>
      <w:pPr>
        <w:pStyle w:val="852"/>
        <w:ind w:firstLine="560"/>
        <w:jc w:val="both"/>
        <w:spacing w:line="500" w:lineRule="exact"/>
        <w:rPr>
          <w:rFonts w:eastAsia="方正仿宋_GBK"/>
          <w:sz w:val="28"/>
          <w:szCs w:val="28"/>
        </w:rPr>
      </w:pPr>
      <w:r/>
      <w:bookmarkStart w:id="110" w:name="_Toc20823304"/>
      <w:r/>
      <w:bookmarkStart w:id="111" w:name="_Toc513029232"/>
      <w:r/>
      <w:bookmarkStart w:id="112" w:name="_Toc16938548"/>
      <w:r>
        <w:rPr>
          <w:rFonts w:eastAsia="方正仿宋_GBK"/>
          <w:sz w:val="28"/>
          <w:szCs w:val="28"/>
        </w:rPr>
        <w:t xml:space="preserve">4.投标的澄清</w:t>
      </w:r>
      <w:bookmarkEnd w:id="110"/>
      <w:r/>
      <w:bookmarkEnd w:id="111"/>
      <w:r/>
      <w:bookmarkEnd w:id="112"/>
      <w:r/>
      <w:r/>
    </w:p>
    <w:p>
      <w:pPr>
        <w:ind w:firstLine="560"/>
        <w:spacing w:line="500" w:lineRule="exact"/>
        <w:rPr>
          <w:rFonts w:eastAsia="方正仿宋_GBK"/>
          <w:sz w:val="28"/>
          <w:szCs w:val="28"/>
        </w:rPr>
      </w:pPr>
      <w:r>
        <w:rPr>
          <w:rFonts w:eastAsia="方正仿宋_GBK"/>
          <w:sz w:val="28"/>
          <w:szCs w:val="28"/>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4.3接到评委会澄清要求的投标人如未按规定作出澄清，其风险由投标人自行承担。</w:t>
      </w:r>
      <w:r/>
    </w:p>
    <w:p>
      <w:pPr>
        <w:pStyle w:val="852"/>
        <w:ind w:firstLine="560"/>
        <w:jc w:val="both"/>
        <w:spacing w:line="500" w:lineRule="exact"/>
        <w:rPr>
          <w:rFonts w:eastAsia="方正仿宋_GBK"/>
          <w:sz w:val="28"/>
          <w:szCs w:val="28"/>
        </w:rPr>
      </w:pPr>
      <w:r/>
      <w:bookmarkStart w:id="113" w:name="_Toc16938549"/>
      <w:r/>
      <w:bookmarkStart w:id="114" w:name="_Toc513029233"/>
      <w:r/>
      <w:bookmarkStart w:id="115" w:name="_Toc20823305"/>
      <w:r>
        <w:rPr>
          <w:rFonts w:eastAsia="方正仿宋_GBK"/>
          <w:sz w:val="28"/>
          <w:szCs w:val="28"/>
        </w:rPr>
        <w:t xml:space="preserve">5对投标文件的初审</w:t>
      </w:r>
      <w:bookmarkEnd w:id="113"/>
      <w:r/>
      <w:bookmarkEnd w:id="114"/>
      <w:r/>
      <w:bookmarkEnd w:id="115"/>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“苏采云”</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6" w:name="_Toc513029234"/>
      <w:r/>
      <w:bookmarkStart w:id="117" w:name="_Toc20823306"/>
      <w:r/>
      <w:bookmarkStart w:id="118" w:name="_Toc16938550"/>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5.8投标人在开、评标全过程中应保持通信畅通，并安排专人与交</w:t>
      </w:r>
      <w:r>
        <w:rPr>
          <w:rFonts w:eastAsia="方正仿宋_GBK"/>
          <w:sz w:val="28"/>
          <w:szCs w:val="28"/>
        </w:rPr>
        <w:t xml:space="preserve">易中心及评标委员会联系。</w:t>
      </w:r>
      <w:bookmarkEnd w:id="116"/>
      <w:r/>
      <w:bookmarkEnd w:id="117"/>
      <w:r/>
      <w:bookmarkEnd w:id="118"/>
      <w:r/>
      <w:r/>
    </w:p>
    <w:p>
      <w:pPr>
        <w:pStyle w:val="852"/>
        <w:ind w:firstLine="560"/>
        <w:jc w:val="both"/>
        <w:spacing w:line="500" w:lineRule="exact"/>
        <w:rPr>
          <w:rFonts w:eastAsia="方正仿宋_GBK"/>
          <w:sz w:val="28"/>
          <w:szCs w:val="28"/>
        </w:rPr>
      </w:pPr>
      <w:r>
        <w:rPr>
          <w:rFonts w:eastAsia="方正仿宋_GBK"/>
          <w:sz w:val="28"/>
          <w:szCs w:val="28"/>
        </w:rPr>
        <w:t xml:space="preserve">6.无效投标条款和废标条款</w:t>
      </w:r>
      <w:r/>
    </w:p>
    <w:p>
      <w:pPr>
        <w:ind w:firstLine="560"/>
        <w:spacing w:line="500" w:lineRule="exact"/>
        <w:rPr>
          <w:rFonts w:eastAsia="方正仿宋_GBK"/>
          <w:bCs/>
          <w:sz w:val="28"/>
          <w:szCs w:val="28"/>
        </w:rPr>
      </w:pPr>
      <w:r/>
      <w:bookmarkStart w:id="119" w:name="_Toc513029235"/>
      <w:r/>
      <w:bookmarkStart w:id="120" w:name="_Toc20823307"/>
      <w:r/>
      <w:bookmarkStart w:id="121" w:name="_Toc16938551"/>
      <w:r>
        <w:rPr>
          <w:rFonts w:eastAsia="方正仿宋_GBK"/>
          <w:bCs/>
          <w:sz w:val="28"/>
          <w:szCs w:val="28"/>
        </w:rPr>
        <w:t xml:space="preserve">6.1无效投标条款</w:t>
      </w:r>
      <w:r/>
    </w:p>
    <w:p>
      <w:pPr>
        <w:ind w:firstLine="560"/>
        <w:spacing w:line="500" w:lineRule="exact"/>
        <w:rPr>
          <w:rFonts w:eastAsia="方正仿宋_GBK"/>
          <w:bCs/>
          <w:sz w:val="28"/>
          <w:szCs w:val="28"/>
        </w:rPr>
      </w:pPr>
      <w:r>
        <w:rPr>
          <w:rFonts w:eastAsia="方正仿宋_GBK"/>
          <w:bCs/>
          <w:sz w:val="28"/>
          <w:szCs w:val="28"/>
        </w:rPr>
        <w:t xml:space="preserve">6.1.1投标人在</w:t>
      </w:r>
      <w:r>
        <w:rPr>
          <w:rFonts w:eastAsia="方正仿宋_GBK"/>
          <w:sz w:val="28"/>
          <w:szCs w:val="28"/>
        </w:rPr>
        <w:t xml:space="preserve">“苏采云”</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p>
    <w:p>
      <w:pPr>
        <w:ind w:firstLine="560"/>
        <w:spacing w:line="500" w:lineRule="exact"/>
        <w:rPr>
          <w:rFonts w:eastAsia="方正仿宋_GBK"/>
          <w:bCs/>
          <w:sz w:val="28"/>
          <w:szCs w:val="28"/>
        </w:rPr>
      </w:pPr>
      <w:r>
        <w:rPr>
          <w:rFonts w:eastAsia="方正仿宋_GBK"/>
          <w:bCs/>
          <w:sz w:val="28"/>
          <w:szCs w:val="28"/>
        </w:rPr>
        <w:t xml:space="preserve">6.1.7不符合招标文件中规定的其他实质性要求和条件的。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eastAsia="方正仿宋_GBK"/>
          <w:bCs/>
          <w:sz w:val="28"/>
          <w:szCs w:val="28"/>
        </w:rPr>
      </w:pPr>
      <w:r>
        <w:rPr>
          <w:rFonts w:eastAsia="方正仿宋_GBK"/>
          <w:bCs/>
          <w:sz w:val="28"/>
          <w:szCs w:val="28"/>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eastAsia="方正仿宋_GBK"/>
          <w:bCs/>
          <w:sz w:val="28"/>
          <w:szCs w:val="28"/>
        </w:rPr>
      </w:pPr>
      <w:r>
        <w:rPr>
          <w:rFonts w:eastAsia="方正仿宋_GBK"/>
          <w:bCs/>
          <w:sz w:val="28"/>
          <w:szCs w:val="28"/>
        </w:rPr>
        <w:t xml:space="preserve">③投标（响应）报价低于采购项目最高限价45%的，即投标（响应）报价&lt;采购项目最高限价×45%；</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启动异常低价投标（响应）审查后，属于前述第① 项至第</w:t>
      </w:r>
      <w:r>
        <w:rPr>
          <w:rFonts w:hint="eastAsia" w:eastAsia="方正仿宋_GBK"/>
          <w:bCs/>
          <w:sz w:val="28"/>
          <w:szCs w:val="28"/>
        </w:rPr>
        <w:t xml:space="preserve">④</w:t>
      </w:r>
      <w:r>
        <w:rPr>
          <w:rFonts w:eastAsia="方正仿宋_GBK"/>
          <w:bCs/>
          <w:sz w:val="28"/>
          <w:szCs w:val="28"/>
        </w:rPr>
        <w:t xml:space="preserve">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6.2废标条款：</w:t>
      </w:r>
      <w:r/>
    </w:p>
    <w:p>
      <w:pPr>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6.2.5因</w:t>
      </w:r>
      <w:r>
        <w:rPr>
          <w:rFonts w:eastAsia="方正仿宋_GBK"/>
          <w:sz w:val="28"/>
          <w:szCs w:val="28"/>
        </w:rPr>
        <w:t xml:space="preserve">“苏采云”系统故障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bookmarkEnd w:id="119"/>
      <w:r/>
      <w:bookmarkEnd w:id="120"/>
      <w:r/>
      <w:bookmarkEnd w:id="121"/>
      <w:r/>
      <w:r/>
    </w:p>
    <w:p>
      <w:pPr>
        <w:ind w:firstLine="560"/>
        <w:spacing w:line="500" w:lineRule="exact"/>
        <w:rPr>
          <w:rFonts w:ascii="方正黑体_GBK" w:hAnsi="方正黑体_GBK" w:eastAsia="方正黑体_GBK" w:cs="方正黑体_GBK"/>
          <w:bCs/>
          <w:sz w:val="28"/>
          <w:szCs w:val="28"/>
        </w:rPr>
      </w:pPr>
      <w:r/>
      <w:bookmarkStart w:id="122" w:name="_Toc120614219"/>
      <w:r>
        <w:rPr>
          <w:rFonts w:ascii="方正黑体_GBK" w:hAnsi="方正黑体_GBK" w:eastAsia="方正黑体_GBK" w:cs="方正黑体_GBK"/>
          <w:bCs/>
          <w:sz w:val="28"/>
          <w:szCs w:val="28"/>
        </w:rPr>
        <w:t xml:space="preserve">六、定标</w:t>
      </w:r>
      <w:bookmarkEnd w:id="122"/>
      <w:r/>
      <w:r/>
    </w:p>
    <w:p>
      <w:pPr>
        <w:ind w:firstLine="560"/>
        <w:spacing w:line="500" w:lineRule="exact"/>
        <w:rPr>
          <w:rFonts w:eastAsia="方正仿宋_GBK"/>
          <w:bCs/>
          <w:sz w:val="28"/>
          <w:szCs w:val="28"/>
        </w:rPr>
      </w:pPr>
      <w:r/>
      <w:bookmarkStart w:id="123" w:name="_Toc20823310"/>
      <w:r/>
      <w:bookmarkStart w:id="124" w:name="_Toc16938554"/>
      <w:r>
        <w:rPr>
          <w:rFonts w:eastAsia="方正仿宋_GBK"/>
          <w:bCs/>
          <w:sz w:val="28"/>
          <w:szCs w:val="28"/>
        </w:rPr>
        <w:t xml:space="preserve">1.确定</w:t>
      </w:r>
      <w:bookmarkEnd w:id="123"/>
      <w:r/>
      <w:bookmarkEnd w:id="124"/>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交易中心将在江苏政府采购网发布中标公告，公告期限为1个工作日。</w:t>
      </w:r>
      <w:r/>
    </w:p>
    <w:p>
      <w:pPr>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1.4.1提供虚假材料谋取中标的。</w:t>
      </w:r>
      <w:r/>
    </w:p>
    <w:p>
      <w:pPr>
        <w:ind w:firstLine="560"/>
        <w:spacing w:line="500" w:lineRule="exact"/>
        <w:rPr>
          <w:rFonts w:eastAsia="方正仿宋_GBK"/>
          <w:sz w:val="28"/>
          <w:szCs w:val="28"/>
        </w:rPr>
      </w:pPr>
      <w:r>
        <w:rPr>
          <w:rFonts w:eastAsia="方正仿宋_GBK"/>
          <w:sz w:val="28"/>
          <w:szCs w:val="28"/>
        </w:rPr>
        <w:t xml:space="preserve">1.4.2向采购人、交易中心行贿或者提供其他不正当利益的。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125"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2.质疑处理</w:t>
      </w:r>
      <w:bookmarkEnd w:id="125"/>
      <w:r/>
      <w:r/>
    </w:p>
    <w:p>
      <w:pPr>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2.2供应商认为采购文件、采购过程和采购结果使自己的权益受到损害的，可以在知道或应知其权益受到损害之日起7个工作日内，以书面形式向交易中心或采购人提出质疑。上述应知其权益受到损害之日，是指：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中心政府采购项目质疑受理部门为政府采购科，联系地址：启东市金桥路199号，联系电话：0513-83340291。</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2.5以下情形的质疑不予受理</w:t>
      </w:r>
      <w:r/>
    </w:p>
    <w:p>
      <w:pPr>
        <w:ind w:firstLine="560"/>
        <w:spacing w:line="500" w:lineRule="exact"/>
        <w:rPr>
          <w:rFonts w:eastAsia="方正仿宋_GBK"/>
          <w:sz w:val="28"/>
          <w:szCs w:val="28"/>
        </w:rPr>
      </w:pPr>
      <w:r>
        <w:rPr>
          <w:rFonts w:eastAsia="方正仿宋_GBK"/>
          <w:sz w:val="28"/>
          <w:szCs w:val="28"/>
        </w:rPr>
        <w:t xml:space="preserve">2.5.1内容不符合《政府采购质疑和投诉办法》第十二条规定的质疑。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2.5.2超出政府采购法定期限的质疑。</w:t>
      </w:r>
      <w:r/>
    </w:p>
    <w:p>
      <w:pPr>
        <w:ind w:firstLine="560"/>
        <w:spacing w:line="500" w:lineRule="exact"/>
        <w:rPr>
          <w:rFonts w:eastAsia="方正仿宋_GBK"/>
          <w:sz w:val="28"/>
          <w:szCs w:val="28"/>
        </w:rPr>
      </w:pPr>
      <w:r>
        <w:rPr>
          <w:rFonts w:eastAsia="方正仿宋_GBK"/>
          <w:sz w:val="28"/>
          <w:szCs w:val="28"/>
        </w:rPr>
        <w:t xml:space="preserve">2.5.3未参加投标活动的供应商或在投标活动中自身权益未受到损害的供应商所提出的质疑。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3中标通知书</w:t>
      </w:r>
      <w:r/>
    </w:p>
    <w:p>
      <w:pPr>
        <w:ind w:firstLine="560"/>
        <w:spacing w:line="500" w:lineRule="exact"/>
        <w:rPr>
          <w:rFonts w:eastAsia="方正仿宋_GBK"/>
          <w:sz w:val="28"/>
          <w:szCs w:val="28"/>
        </w:rPr>
      </w:pPr>
      <w:r>
        <w:rPr>
          <w:rFonts w:eastAsia="方正仿宋_GBK"/>
          <w:sz w:val="28"/>
          <w:szCs w:val="28"/>
        </w:rPr>
        <w:t xml:space="preserve">3.l中标结果确定后，交易中心将向中标供应商发出中标通知书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6" w:name="_Toc120614220"/>
      <w:r/>
      <w:bookmarkStart w:id="127" w:name="_Toc20823308"/>
      <w:r/>
      <w:bookmarkStart w:id="128" w:name="_Toc16938552"/>
      <w:r/>
      <w:bookmarkStart w:id="129" w:name="_Toc513029236"/>
      <w:r>
        <w:rPr>
          <w:rFonts w:ascii="方正黑体_GBK" w:hAnsi="方正黑体_GBK" w:eastAsia="方正黑体_GBK" w:cs="方正黑体_GBK"/>
          <w:bCs/>
          <w:sz w:val="28"/>
          <w:szCs w:val="28"/>
        </w:rPr>
        <w:t xml:space="preserve">七、授予合同</w:t>
      </w:r>
      <w:bookmarkEnd w:id="126"/>
      <w:r/>
      <w:bookmarkEnd w:id="127"/>
      <w:r/>
      <w:bookmarkEnd w:id="128"/>
      <w:r/>
      <w:bookmarkEnd w:id="129"/>
      <w:r/>
      <w:r/>
    </w:p>
    <w:p>
      <w:pPr>
        <w:ind w:firstLine="560"/>
        <w:spacing w:line="500" w:lineRule="exact"/>
        <w:rPr>
          <w:rFonts w:eastAsia="方正仿宋_GBK"/>
          <w:sz w:val="28"/>
          <w:szCs w:val="28"/>
        </w:rPr>
      </w:pPr>
      <w:r/>
      <w:bookmarkStart w:id="130" w:name="_Toc513029237"/>
      <w:r/>
      <w:bookmarkStart w:id="131" w:name="_Toc20823309"/>
      <w:r/>
      <w:bookmarkStart w:id="132" w:name="_Toc16938553"/>
      <w:r>
        <w:rPr>
          <w:rFonts w:eastAsia="方正仿宋_GBK"/>
          <w:sz w:val="28"/>
          <w:szCs w:val="28"/>
        </w:rPr>
        <w:t xml:space="preserve">1.签订合同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30"/>
      <w:r/>
      <w:bookmarkEnd w:id="131"/>
      <w:r/>
      <w:bookmarkEnd w:id="132"/>
      <w:r/>
      <w:r/>
    </w:p>
    <w:p>
      <w:pPr>
        <w:ind w:firstLine="560"/>
        <w:spacing w:line="500" w:lineRule="exact"/>
        <w:rPr>
          <w:rFonts w:eastAsia="方正仿宋_GBK"/>
          <w:sz w:val="28"/>
          <w:szCs w:val="28"/>
        </w:rPr>
      </w:pPr>
      <w:r>
        <w:rPr>
          <w:rFonts w:eastAsia="方正仿宋_GBK"/>
          <w:sz w:val="28"/>
          <w:szCs w:val="28"/>
        </w:rPr>
        <w:t xml:space="preserve">3.合同信用融资扶持政策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  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一</w:t>
      </w:r>
      <w:r>
        <w:rPr>
          <w:rFonts w:hint="eastAsia" w:ascii="方正黑体_GBK" w:hAnsi="方正黑体_GBK" w:eastAsia="方正黑体_GBK" w:cs="方正黑体_GBK"/>
          <w:sz w:val="28"/>
          <w:szCs w:val="28"/>
        </w:rPr>
        <w:t xml:space="preserve">、</w:t>
      </w:r>
      <w:r>
        <w:rPr>
          <w:rFonts w:ascii="方正黑体_GBK" w:hAnsi="方正黑体_GBK" w:eastAsia="方正黑体_GBK" w:cs="方正黑体_GBK"/>
          <w:sz w:val="28"/>
          <w:szCs w:val="28"/>
        </w:rPr>
        <w:t xml:space="preserve">采购标的需实现的功能或者目标</w:t>
      </w:r>
      <w:r/>
    </w:p>
    <w:tbl>
      <w:tblPr>
        <w:tblStyle w:val="859"/>
        <w:tblW w:w="7939" w:type="dxa"/>
        <w:tblInd w:w="135"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851"/>
        <w:gridCol w:w="3629"/>
        <w:gridCol w:w="1758"/>
        <w:gridCol w:w="1701"/>
      </w:tblGrid>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jc w:val="center"/>
              <w:spacing w:line="360" w:lineRule="auto"/>
              <w:widowControl/>
              <w:rPr>
                <w:rFonts w:ascii="方正仿宋_GBK" w:eastAsia="方正仿宋_GBK" w:cs="宋体"/>
                <w:sz w:val="28"/>
                <w:szCs w:val="28"/>
              </w:rPr>
            </w:pPr>
            <w:r>
              <w:rPr>
                <w:rFonts w:hint="eastAsia" w:ascii="方正仿宋_GBK" w:eastAsia="方正仿宋_GBK" w:cs="宋体"/>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29" w:type="dxa"/>
            <w:vAlign w:val="center"/>
            <w:textDirection w:val="lrTb"/>
            <w:noWrap/>
          </w:tcPr>
          <w:p>
            <w:pPr>
              <w:jc w:val="center"/>
              <w:spacing w:line="360" w:lineRule="auto"/>
              <w:widowControl/>
              <w:rPr>
                <w:rFonts w:ascii="方正仿宋_GBK" w:eastAsia="方正仿宋_GBK" w:cs="宋体"/>
                <w:sz w:val="28"/>
                <w:szCs w:val="28"/>
              </w:rPr>
            </w:pPr>
            <w:r>
              <w:rPr>
                <w:rFonts w:hint="eastAsia" w:ascii="方正仿宋_GBK" w:eastAsia="方正仿宋_GBK" w:cs="宋体"/>
                <w:sz w:val="28"/>
                <w:szCs w:val="28"/>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tcPr>
          <w:p>
            <w:pPr>
              <w:jc w:val="center"/>
              <w:spacing w:line="360" w:lineRule="auto"/>
              <w:widowControl/>
              <w:rPr>
                <w:rFonts w:ascii="方正仿宋_GBK" w:eastAsia="方正仿宋_GBK" w:cs="宋体"/>
                <w:sz w:val="28"/>
                <w:szCs w:val="28"/>
              </w:rPr>
            </w:pPr>
            <w:r>
              <w:rPr>
                <w:rFonts w:hint="eastAsia" w:ascii="方正仿宋_GBK" w:eastAsia="方正仿宋_GBK" w:cs="宋体"/>
                <w:sz w:val="28"/>
                <w:szCs w:val="28"/>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tcPr>
          <w:p>
            <w:pPr>
              <w:jc w:val="center"/>
              <w:spacing w:line="360" w:lineRule="auto"/>
              <w:widowControl/>
              <w:rPr>
                <w:rFonts w:ascii="方正仿宋_GBK" w:eastAsia="方正仿宋_GBK" w:cs="宋体"/>
                <w:sz w:val="28"/>
                <w:szCs w:val="28"/>
              </w:rPr>
            </w:pPr>
            <w:r>
              <w:rPr>
                <w:rFonts w:hint="eastAsia" w:ascii="方正仿宋_GBK" w:eastAsia="方正仿宋_GBK" w:cs="宋体"/>
                <w:sz w:val="28"/>
                <w:szCs w:val="28"/>
              </w:rPr>
              <w:t xml:space="preserve">数量</w:t>
            </w:r>
            <w:r/>
          </w:p>
        </w:tc>
      </w:tr>
      <w:tr>
        <w:trPr>
          <w:trHeight w:val="3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jc w:val="center"/>
              <w:spacing w:line="360" w:lineRule="auto"/>
              <w:widowControl/>
              <w:rPr>
                <w:rFonts w:ascii="方正仿宋_GBK" w:eastAsia="方正仿宋_GBK" w:cs="宋体"/>
                <w:sz w:val="28"/>
                <w:szCs w:val="28"/>
              </w:rPr>
            </w:pPr>
            <w:r>
              <w:rPr>
                <w:rFonts w:hint="eastAsia" w:ascii="方正仿宋_GBK" w:eastAsia="方正仿宋_GBK" w:cs="宋体"/>
                <w:sz w:val="28"/>
                <w:szCs w:val="2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29" w:type="dxa"/>
            <w:vAlign w:val="center"/>
            <w:textDirection w:val="lrTb"/>
            <w:noWrap/>
          </w:tcPr>
          <w:p>
            <w:pPr>
              <w:jc w:val="center"/>
              <w:spacing w:line="360" w:lineRule="auto"/>
              <w:widowControl/>
              <w:rPr>
                <w:rFonts w:ascii="方正仿宋_GBK" w:eastAsia="方正仿宋_GBK" w:cs="宋体"/>
                <w:sz w:val="28"/>
                <w:szCs w:val="28"/>
              </w:rPr>
            </w:pPr>
            <w:r>
              <w:rPr>
                <w:rFonts w:hint="eastAsia" w:ascii="方正仿宋_GBK" w:eastAsia="方正仿宋_GBK" w:cs="宋体"/>
                <w:sz w:val="28"/>
                <w:szCs w:val="28"/>
              </w:rPr>
              <w:t xml:space="preserve">启东市公安局光纤租赁项目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tcPr>
          <w:p>
            <w:pPr>
              <w:jc w:val="center"/>
              <w:spacing w:line="360" w:lineRule="auto"/>
              <w:widowControl/>
              <w:rPr>
                <w:rFonts w:ascii="方正仿宋_GBK" w:eastAsia="方正仿宋_GBK" w:cs="宋体"/>
                <w:sz w:val="28"/>
                <w:szCs w:val="28"/>
              </w:rPr>
            </w:pPr>
            <w:r>
              <w:rPr>
                <w:rFonts w:hint="eastAsia" w:ascii="方正仿宋_GBK" w:eastAsia="方正仿宋_GBK" w:cs="宋体"/>
                <w:sz w:val="28"/>
                <w:szCs w:val="28"/>
              </w:rPr>
              <w:t xml:space="preserve">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tcPr>
          <w:p>
            <w:pPr>
              <w:jc w:val="center"/>
              <w:spacing w:line="360" w:lineRule="auto"/>
              <w:widowControl/>
              <w:rPr>
                <w:rFonts w:ascii="方正仿宋_GBK" w:eastAsia="方正仿宋_GBK" w:cs="宋体"/>
                <w:sz w:val="28"/>
                <w:szCs w:val="28"/>
              </w:rPr>
            </w:pPr>
            <w:r>
              <w:rPr>
                <w:rFonts w:hint="eastAsia" w:ascii="方正仿宋_GBK" w:eastAsia="方正仿宋_GBK" w:cs="宋体"/>
                <w:sz w:val="28"/>
                <w:szCs w:val="28"/>
              </w:rPr>
              <w:t xml:space="preserve">943</w:t>
            </w:r>
            <w:r/>
          </w:p>
        </w:tc>
      </w:tr>
    </w:tbl>
    <w:p>
      <w:pPr>
        <w:pStyle w:val="863"/>
        <w:rPr>
          <w:szCs w:val="24"/>
        </w:rPr>
      </w:pPr>
      <w:r>
        <w:rPr>
          <w:rFonts w:hint="eastAsia"/>
        </w:rPr>
        <w:t xml:space="preserve"> </w:t>
      </w:r>
      <w:r/>
    </w:p>
    <w:p>
      <w:pPr>
        <w:ind w:firstLine="560"/>
        <w:spacing w:line="500" w:lineRule="exact"/>
        <w:rPr>
          <w:rFonts w:ascii="仿宋" w:hAnsi="仿宋" w:eastAsia="仿宋"/>
          <w:sz w:val="28"/>
          <w:szCs w:val="28"/>
        </w:rPr>
      </w:pPr>
      <w:r/>
      <w:bookmarkStart w:id="133" w:name="OLE_LINK3"/>
      <w:r/>
      <w:bookmarkStart w:id="134" w:name="OLE_LINK4"/>
      <w:r>
        <w:rPr>
          <w:rFonts w:hint="eastAsia" w:ascii="仿宋" w:hAnsi="仿宋" w:eastAsia="仿宋"/>
          <w:color w:val="000000"/>
          <w:sz w:val="28"/>
          <w:szCs w:val="28"/>
        </w:rPr>
        <w:t xml:space="preserve">本次光纤租赁招标包含启东市公安局存量光纤及近年来陆续新增零散光纤，总数不超过943根。如光纤总数不超过943条，以实际使用条数按月支付，投标商报价提供每条光纤的月租金及全年度总金额。租赁期一年，</w:t>
      </w:r>
      <w:r>
        <w:rPr>
          <w:rFonts w:hint="eastAsia" w:ascii="仿宋" w:hAnsi="仿宋" w:eastAsia="仿宋"/>
          <w:sz w:val="28"/>
          <w:szCs w:val="28"/>
        </w:rPr>
        <w:t xml:space="preserve">从2026年7月1日起至2027年6月30日止。  </w:t>
      </w:r>
      <w:r/>
    </w:p>
    <w:p>
      <w:pPr>
        <w:ind w:firstLine="56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租用光纤均为单模裸纤，单双纤根据实际设备确定，详细清单请咨询采购方，含光纤两端适合传输距离的光纤收发器或光模块（不低于千兆），成交供应商建立汇聚点的，汇聚点的网络设备由成交供应商提供，汇聚点的网络上行至少为万兆，应在汇聚点建立必要的安全措施，并安装监控接入采购方。</w:t>
      </w:r>
      <w:bookmarkEnd w:id="133"/>
      <w:r/>
      <w:bookmarkEnd w:id="134"/>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二</w:t>
      </w:r>
      <w:r>
        <w:rPr>
          <w:rFonts w:hint="eastAsia" w:ascii="方正黑体_GBK" w:hAnsi="方正黑体_GBK" w:eastAsia="方正黑体_GBK" w:cs="方正黑体_GBK"/>
          <w:sz w:val="28"/>
          <w:szCs w:val="28"/>
        </w:rPr>
        <w:t xml:space="preserve">、</w:t>
      </w:r>
      <w:r>
        <w:rPr>
          <w:rFonts w:ascii="方正黑体_GBK" w:hAnsi="方正黑体_GBK" w:eastAsia="方正黑体_GBK" w:cs="方正黑体_GBK"/>
          <w:sz w:val="28"/>
          <w:szCs w:val="28"/>
        </w:rPr>
        <w:t xml:space="preserve">采购标的需满足的质量、安全、技术规格、物理特性等要求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ascii="方正仿宋_GBK" w:eastAsia="方正仿宋_GBK"/>
          <w:sz w:val="28"/>
          <w:szCs w:val="28"/>
        </w:rPr>
        <w:t xml:space="preserve">供应商提供的光纤需满足以下条件：默认</w:t>
      </w:r>
      <w:r>
        <w:rPr>
          <w:rFonts w:hint="eastAsia" w:eastAsia="方正仿宋_GBK"/>
          <w:sz w:val="28"/>
          <w:szCs w:val="28"/>
        </w:rPr>
        <w:t xml:space="preserve">PING</w:t>
      </w:r>
      <w:r>
        <w:rPr>
          <w:rFonts w:hint="eastAsia" w:ascii="方正仿宋_GBK" w:eastAsia="方正仿宋_GBK"/>
          <w:sz w:val="28"/>
          <w:szCs w:val="28"/>
        </w:rPr>
        <w:t xml:space="preserve">传输时延上限值为</w:t>
      </w:r>
      <w:r>
        <w:rPr>
          <w:rFonts w:hint="eastAsia" w:eastAsia="方正仿宋_GBK"/>
          <w:sz w:val="28"/>
          <w:szCs w:val="28"/>
        </w:rPr>
        <w:t xml:space="preserve">10ms</w:t>
      </w:r>
      <w:r>
        <w:rPr>
          <w:rFonts w:hint="eastAsia" w:ascii="方正仿宋_GBK" w:eastAsia="方正仿宋_GBK"/>
          <w:sz w:val="28"/>
          <w:szCs w:val="28"/>
        </w:rPr>
        <w:t xml:space="preserve">；</w:t>
      </w:r>
      <w:r>
        <w:rPr>
          <w:rFonts w:hint="eastAsia" w:eastAsia="方正仿宋_GBK"/>
          <w:sz w:val="28"/>
          <w:szCs w:val="28"/>
        </w:rPr>
        <w:t xml:space="preserve">PING</w:t>
      </w:r>
      <w:r>
        <w:rPr>
          <w:rFonts w:hint="eastAsia" w:ascii="方正仿宋_GBK" w:eastAsia="方正仿宋_GBK"/>
          <w:sz w:val="28"/>
          <w:szCs w:val="28"/>
        </w:rPr>
        <w:t xml:space="preserve">带</w:t>
      </w:r>
      <w:r>
        <w:rPr>
          <w:rFonts w:hint="eastAsia" w:eastAsia="方正仿宋_GBK"/>
          <w:sz w:val="28"/>
          <w:szCs w:val="28"/>
        </w:rPr>
        <w:t xml:space="preserve">2000</w:t>
      </w:r>
      <w:r>
        <w:rPr>
          <w:rFonts w:hint="eastAsia" w:ascii="方正仿宋_GBK" w:eastAsia="方正仿宋_GBK"/>
          <w:sz w:val="28"/>
          <w:szCs w:val="28"/>
        </w:rPr>
        <w:t xml:space="preserve">字节包，上限值为</w:t>
      </w:r>
      <w:r>
        <w:rPr>
          <w:rFonts w:hint="eastAsia" w:eastAsia="方正仿宋_GBK"/>
          <w:sz w:val="28"/>
          <w:szCs w:val="28"/>
        </w:rPr>
        <w:t xml:space="preserve">20ms</w:t>
      </w:r>
      <w:r>
        <w:rPr>
          <w:rFonts w:hint="eastAsia" w:ascii="方正仿宋_GBK" w:eastAsia="方正仿宋_GBK"/>
          <w:sz w:val="28"/>
          <w:szCs w:val="28"/>
        </w:rPr>
        <w:t xml:space="preserve">；包误差率上限值为</w:t>
      </w:r>
      <w:r>
        <w:rPr>
          <w:rFonts w:hint="eastAsia" w:eastAsia="方正仿宋_GBK"/>
          <w:sz w:val="28"/>
          <w:szCs w:val="28"/>
        </w:rPr>
        <w:t xml:space="preserve">1</w:t>
      </w:r>
      <w:r>
        <w:rPr>
          <w:rFonts w:hint="eastAsia" w:ascii="方正仿宋_GBK" w:eastAsia="方正仿宋_GBK"/>
          <w:sz w:val="28"/>
          <w:szCs w:val="28"/>
        </w:rPr>
        <w:t xml:space="preserve">×</w:t>
      </w:r>
      <w:r>
        <w:rPr>
          <w:rFonts w:hint="eastAsia" w:eastAsia="方正仿宋_GBK"/>
          <w:sz w:val="28"/>
          <w:szCs w:val="28"/>
        </w:rPr>
        <w:t xml:space="preserve">10</w:t>
      </w:r>
      <w:r>
        <w:rPr>
          <w:rFonts w:hint="eastAsia" w:eastAsia="方正仿宋_GBK"/>
          <w:sz w:val="28"/>
          <w:szCs w:val="28"/>
          <w:vertAlign w:val="superscript"/>
        </w:rPr>
        <w:t xml:space="preserve">-4</w:t>
      </w:r>
      <w:r>
        <w:rPr>
          <w:rFonts w:hint="eastAsia" w:ascii="方正仿宋_GBK"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ascii="方正仿宋_GBK" w:eastAsia="方正仿宋_GBK"/>
          <w:sz w:val="28"/>
          <w:szCs w:val="28"/>
        </w:rPr>
        <w:t xml:space="preserve">采购方因工作需要光纤移迁或停用，供应商应配合采购方对租赁的光纤进行相应的处置。</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ascii="方正仿宋_GBK" w:eastAsia="方正仿宋_GBK"/>
          <w:sz w:val="28"/>
          <w:szCs w:val="28"/>
        </w:rPr>
        <w:t xml:space="preserve">租赁期内，供应商光纤技术参数达不到技术要求时，应无条件给予线路升级更换，拒不升级更换的，则采购方可以自行租用第三方光纤线路，租用费在租金中扣除。并且采购方有权终止合同，因合同终止造成的损失由供应商承担。</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ascii="方正仿宋_GBK" w:eastAsia="方正仿宋_GBK"/>
          <w:sz w:val="28"/>
          <w:szCs w:val="28"/>
        </w:rPr>
        <w:t xml:space="preserve">供应商非原光纤线路供应商的，须在合同签订后</w:t>
      </w:r>
      <w:r>
        <w:rPr>
          <w:rFonts w:hint="eastAsia" w:eastAsia="方正仿宋_GBK"/>
          <w:sz w:val="28"/>
          <w:szCs w:val="28"/>
        </w:rPr>
        <w:t xml:space="preserve">2</w:t>
      </w:r>
      <w:r>
        <w:rPr>
          <w:rFonts w:hint="eastAsia" w:ascii="方正仿宋_GBK" w:eastAsia="方正仿宋_GBK"/>
          <w:sz w:val="28"/>
          <w:szCs w:val="28"/>
        </w:rPr>
        <w:t xml:space="preserve">个月内将采购方的现有光纤及网络设备全部替换到位，期间涉及的全部费用均由供应商负责，且不得影响采购方的正常工作，并支付原光纤线路供应商</w:t>
      </w:r>
      <w:r>
        <w:rPr>
          <w:rFonts w:hint="eastAsia" w:eastAsia="方正仿宋_GBK"/>
          <w:sz w:val="28"/>
          <w:szCs w:val="28"/>
        </w:rPr>
        <w:t xml:space="preserve">2</w:t>
      </w:r>
      <w:r>
        <w:rPr>
          <w:rFonts w:hint="eastAsia" w:ascii="方正仿宋_GBK" w:eastAsia="方正仿宋_GBK"/>
          <w:sz w:val="28"/>
          <w:szCs w:val="28"/>
        </w:rPr>
        <w:t xml:space="preserve">个月租费（月租费为上年度月租费），施工前，需制定详细的施工方案，所有施工时间节点必须与采购方确认，确保业务无缝对接。如</w:t>
      </w:r>
      <w:r>
        <w:rPr>
          <w:rFonts w:hint="eastAsia" w:eastAsia="方正仿宋_GBK"/>
          <w:sz w:val="28"/>
          <w:szCs w:val="28"/>
        </w:rPr>
        <w:t xml:space="preserve">2</w:t>
      </w:r>
      <w:r>
        <w:rPr>
          <w:rFonts w:hint="eastAsia" w:ascii="方正仿宋_GBK" w:eastAsia="方正仿宋_GBK"/>
          <w:sz w:val="28"/>
          <w:szCs w:val="28"/>
        </w:rPr>
        <w:t xml:space="preserve">个月后不能完成的，采购方将终止双方合同，履约保证金不予退还。</w:t>
      </w:r>
      <w:r/>
    </w:p>
    <w:p>
      <w:pPr>
        <w:ind w:firstLine="560"/>
        <w:spacing w:line="500" w:lineRule="exact"/>
        <w:rPr>
          <w:rFonts w:eastAsia="方正仿宋_GBK"/>
          <w:sz w:val="28"/>
          <w:szCs w:val="28"/>
        </w:rPr>
      </w:pPr>
      <w:r>
        <w:rPr>
          <w:rFonts w:hint="eastAsia" w:eastAsia="方正仿宋_GBK"/>
          <w:sz w:val="28"/>
          <w:szCs w:val="28"/>
        </w:rPr>
        <w:t xml:space="preserve">5.</w:t>
      </w:r>
      <w:r>
        <w:rPr>
          <w:rFonts w:hint="eastAsia" w:ascii="方正仿宋_GBK" w:eastAsia="方正仿宋_GBK"/>
          <w:sz w:val="28"/>
          <w:szCs w:val="28"/>
        </w:rPr>
        <w:t xml:space="preserve">租赁期内，供应商为采购方提供以下内容：</w:t>
      </w:r>
      <w:r/>
    </w:p>
    <w:p>
      <w:pPr>
        <w:ind w:firstLine="560"/>
        <w:spacing w:line="500" w:lineRule="exact"/>
        <w:rPr>
          <w:rFonts w:eastAsia="方正仿宋_GBK"/>
          <w:sz w:val="28"/>
          <w:szCs w:val="28"/>
        </w:rPr>
      </w:pPr>
      <w:r>
        <w:rPr>
          <w:rFonts w:hint="eastAsia" w:ascii="方正仿宋_GBK" w:eastAsia="方正仿宋_GBK"/>
          <w:sz w:val="28"/>
          <w:szCs w:val="28"/>
        </w:rPr>
        <w:t xml:space="preserve">租赁期内，供应商为采购方提供</w:t>
      </w:r>
      <w:r>
        <w:rPr>
          <w:rFonts w:hint="eastAsia" w:eastAsia="方正仿宋_GBK"/>
          <w:sz w:val="28"/>
          <w:szCs w:val="28"/>
        </w:rPr>
        <w:t xml:space="preserve">APN</w:t>
      </w:r>
      <w:r>
        <w:rPr>
          <w:rFonts w:hint="eastAsia" w:ascii="方正仿宋_GBK" w:eastAsia="方正仿宋_GBK"/>
          <w:sz w:val="28"/>
          <w:szCs w:val="28"/>
        </w:rPr>
        <w:t xml:space="preserve">专网流量卡（不多于</w:t>
      </w:r>
      <w:r>
        <w:rPr>
          <w:rFonts w:hint="eastAsia" w:eastAsia="方正仿宋_GBK"/>
          <w:sz w:val="28"/>
          <w:szCs w:val="28"/>
        </w:rPr>
        <w:t xml:space="preserve">50</w:t>
      </w:r>
      <w:r>
        <w:rPr>
          <w:rFonts w:hint="eastAsia" w:ascii="方正仿宋_GBK" w:eastAsia="方正仿宋_GBK"/>
          <w:sz w:val="28"/>
          <w:szCs w:val="28"/>
        </w:rPr>
        <w:t xml:space="preserve">张）作为备用，每月流量池不少于</w:t>
      </w:r>
      <w:r>
        <w:rPr>
          <w:rFonts w:hint="eastAsia" w:eastAsia="方正仿宋_GBK"/>
          <w:sz w:val="28"/>
          <w:szCs w:val="28"/>
        </w:rPr>
        <w:t xml:space="preserve">5T</w:t>
      </w:r>
      <w:r>
        <w:rPr>
          <w:rFonts w:hint="eastAsia" w:ascii="方正仿宋_GBK" w:eastAsia="方正仿宋_GBK"/>
          <w:sz w:val="28"/>
          <w:szCs w:val="28"/>
        </w:rPr>
        <w:t xml:space="preserve">（单张流量不少于</w:t>
      </w:r>
      <w:r>
        <w:rPr>
          <w:rFonts w:hint="eastAsia" w:eastAsia="方正仿宋_GBK"/>
          <w:sz w:val="28"/>
          <w:szCs w:val="28"/>
        </w:rPr>
        <w:t xml:space="preserve">100GB</w:t>
      </w:r>
      <w:r>
        <w:rPr>
          <w:rFonts w:hint="eastAsia" w:ascii="方正仿宋_GBK" w:eastAsia="方正仿宋_GBK"/>
          <w:sz w:val="28"/>
          <w:szCs w:val="28"/>
        </w:rPr>
        <w:t xml:space="preserve">）；</w:t>
      </w:r>
      <w:r>
        <w:rPr>
          <w:rFonts w:hint="eastAsia" w:eastAsia="方正仿宋_GBK"/>
          <w:sz w:val="28"/>
          <w:szCs w:val="28"/>
        </w:rPr>
        <w:t xml:space="preserve">400M</w:t>
      </w:r>
      <w:r>
        <w:rPr>
          <w:rFonts w:hint="eastAsia" w:ascii="方正仿宋_GBK" w:eastAsia="方正仿宋_GBK"/>
          <w:sz w:val="28"/>
          <w:szCs w:val="28"/>
        </w:rPr>
        <w:t xml:space="preserve">互联网专线光纤</w:t>
      </w:r>
      <w:r>
        <w:rPr>
          <w:rFonts w:hint="eastAsia" w:eastAsia="方正仿宋_GBK"/>
          <w:sz w:val="28"/>
          <w:szCs w:val="28"/>
        </w:rPr>
        <w:t xml:space="preserve">2</w:t>
      </w:r>
      <w:r>
        <w:rPr>
          <w:rFonts w:hint="eastAsia" w:ascii="方正仿宋_GBK" w:eastAsia="方正仿宋_GBK"/>
          <w:sz w:val="28"/>
          <w:szCs w:val="28"/>
        </w:rPr>
        <w:t xml:space="preserve">条，上行和下行速度一致，</w:t>
      </w:r>
      <w:r>
        <w:rPr>
          <w:rFonts w:hint="eastAsia" w:eastAsia="方正仿宋_GBK"/>
          <w:sz w:val="28"/>
          <w:szCs w:val="28"/>
        </w:rPr>
        <w:t xml:space="preserve">IP</w:t>
      </w:r>
      <w:r>
        <w:rPr>
          <w:rFonts w:hint="eastAsia" w:ascii="方正仿宋_GBK" w:eastAsia="方正仿宋_GBK"/>
          <w:sz w:val="28"/>
          <w:szCs w:val="28"/>
        </w:rPr>
        <w:t xml:space="preserve">地址不少于</w:t>
      </w:r>
      <w:r>
        <w:rPr>
          <w:rFonts w:hint="eastAsia" w:eastAsia="方正仿宋_GBK"/>
          <w:sz w:val="28"/>
          <w:szCs w:val="28"/>
        </w:rPr>
        <w:t xml:space="preserve">2</w:t>
      </w:r>
      <w:r>
        <w:rPr>
          <w:rFonts w:hint="eastAsia" w:ascii="方正仿宋_GBK" w:eastAsia="方正仿宋_GBK"/>
          <w:sz w:val="28"/>
          <w:szCs w:val="28"/>
        </w:rPr>
        <w:t xml:space="preserve">个。</w:t>
      </w:r>
      <w:r/>
    </w:p>
    <w:p>
      <w:pPr>
        <w:ind w:firstLine="560"/>
        <w:spacing w:line="500" w:lineRule="exact"/>
        <w:rPr>
          <w:rFonts w:eastAsia="方正仿宋_GBK"/>
          <w:b/>
          <w:bCs/>
          <w:sz w:val="28"/>
          <w:szCs w:val="28"/>
          <w:highlight w:val="yellow"/>
        </w:rPr>
      </w:pPr>
      <w:r>
        <w:rPr>
          <w:rFonts w:hint="eastAsia" w:eastAsia="方正仿宋_GBK"/>
          <w:sz w:val="28"/>
          <w:szCs w:val="28"/>
        </w:rPr>
        <w:t xml:space="preserve">6.</w:t>
      </w:r>
      <w:r>
        <w:rPr>
          <w:rFonts w:hint="eastAsia" w:ascii="方正仿宋_GBK" w:eastAsia="方正仿宋_GBK"/>
          <w:sz w:val="28"/>
          <w:szCs w:val="28"/>
        </w:rPr>
        <w:t xml:space="preserve">组建联合创新实验室，开展创新工作，并为实验室提供相应的硬件支撑，硬件所有权属于供应商，使用权属于采购方。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w:t>
      </w:r>
      <w:r>
        <w:rPr>
          <w:rFonts w:ascii="方正黑体_GBK" w:hAnsi="方正黑体_GBK" w:eastAsia="方正黑体_GBK" w:cs="方正黑体_GBK"/>
          <w:sz w:val="28"/>
          <w:szCs w:val="28"/>
        </w:rPr>
        <w:t xml:space="preserve">采购标的的数量、采购项目交付或者实施的时间和地点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1.数量：不超过943根，具体按实结算。</w:t>
      </w:r>
      <w:r/>
    </w:p>
    <w:p>
      <w:pPr>
        <w:pStyle w:val="863"/>
        <w:ind w:firstLine="560"/>
        <w:spacing w:line="500" w:lineRule="exact"/>
        <w:rPr>
          <w:rFonts w:ascii="仿宋" w:hAnsi="仿宋" w:eastAsia="仿宋"/>
          <w:sz w:val="28"/>
          <w:szCs w:val="28"/>
        </w:rPr>
      </w:pPr>
      <w:r>
        <w:rPr>
          <w:rFonts w:hint="eastAsia" w:ascii="仿宋" w:hAnsi="仿宋" w:eastAsia="仿宋"/>
          <w:sz w:val="28"/>
          <w:szCs w:val="28"/>
        </w:rPr>
        <w:t xml:space="preserve">2.实施时间：签订合同后2个月时间内将采购方的现有光纤及网络设备全部替换到位，期间涉及的全部费用均有中标商负责，且不得影响采购方的正常工作，并支付原光纤线路供应商2个月租费（月租费为上年度月租费），施工前，需制定详细的施工方案，所有施工时间节点必须与采购方确认，确保业务无缝对接。如2个月后不能完成的，采购方将终止双方合同，履约保证金不予退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3.交货、安装地点：中标供应商应按照采购人的要求将光纤布置到位，确保正常使用。</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w:t>
      </w:r>
      <w:r>
        <w:rPr>
          <w:rFonts w:ascii="方正黑体_GBK" w:hAnsi="方正黑体_GBK" w:eastAsia="方正黑体_GBK" w:cs="方正黑体_GBK"/>
          <w:sz w:val="28"/>
          <w:szCs w:val="28"/>
        </w:rPr>
        <w:t xml:space="preserve">采购标的需满足的服务标准、期限、效率等要求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ascii="方正仿宋_GBK" w:eastAsia="方正仿宋_GBK"/>
          <w:sz w:val="28"/>
          <w:szCs w:val="28"/>
        </w:rPr>
        <w:t xml:space="preserve">本项目存量光纤按重要性分</w:t>
      </w:r>
      <w:r>
        <w:rPr>
          <w:rFonts w:hint="eastAsia" w:eastAsia="方正仿宋_GBK"/>
          <w:sz w:val="28"/>
          <w:szCs w:val="28"/>
        </w:rPr>
        <w:t xml:space="preserve">A</w:t>
      </w:r>
      <w:r>
        <w:rPr>
          <w:rFonts w:hint="eastAsia" w:ascii="方正仿宋_GBK" w:eastAsia="方正仿宋_GBK"/>
          <w:sz w:val="28"/>
          <w:szCs w:val="28"/>
        </w:rPr>
        <w:t xml:space="preserve">、</w:t>
      </w:r>
      <w:r>
        <w:rPr>
          <w:rFonts w:hint="eastAsia" w:eastAsia="方正仿宋_GBK"/>
          <w:sz w:val="28"/>
          <w:szCs w:val="28"/>
        </w:rPr>
        <w:t xml:space="preserve">B</w:t>
      </w:r>
      <w:r>
        <w:rPr>
          <w:rFonts w:hint="eastAsia" w:ascii="方正仿宋_GBK" w:eastAsia="方正仿宋_GBK"/>
          <w:sz w:val="28"/>
          <w:szCs w:val="28"/>
        </w:rPr>
        <w:t xml:space="preserve">类考核：</w:t>
      </w:r>
      <w:r/>
    </w:p>
    <w:p>
      <w:pPr>
        <w:ind w:firstLine="560"/>
        <w:spacing w:line="500" w:lineRule="exact"/>
        <w:rPr>
          <w:rFonts w:eastAsia="方正仿宋_GBK"/>
          <w:sz w:val="28"/>
          <w:szCs w:val="28"/>
        </w:rPr>
      </w:pPr>
      <w:r>
        <w:rPr>
          <w:rFonts w:hint="eastAsia" w:ascii="方正仿宋_GBK" w:eastAsia="方正仿宋_GBK"/>
          <w:sz w:val="28"/>
          <w:szCs w:val="28"/>
        </w:rPr>
        <w:t xml:space="preserve">存量光纤</w:t>
      </w:r>
      <w:r>
        <w:rPr>
          <w:rFonts w:hint="eastAsia" w:eastAsia="方正仿宋_GBK"/>
          <w:sz w:val="28"/>
          <w:szCs w:val="28"/>
        </w:rPr>
        <w:t xml:space="preserve">A</w:t>
      </w:r>
      <w:r>
        <w:rPr>
          <w:rFonts w:hint="eastAsia" w:ascii="方正仿宋_GBK" w:eastAsia="方正仿宋_GBK"/>
          <w:sz w:val="28"/>
          <w:szCs w:val="28"/>
        </w:rPr>
        <w:t xml:space="preserve">为启东市公安局公安网络，在接报后需在</w:t>
      </w:r>
      <w:r>
        <w:rPr>
          <w:rFonts w:hint="eastAsia" w:eastAsia="方正仿宋_GBK"/>
          <w:sz w:val="28"/>
          <w:szCs w:val="28"/>
        </w:rPr>
        <w:t xml:space="preserve">4</w:t>
      </w:r>
      <w:r>
        <w:rPr>
          <w:rFonts w:hint="eastAsia" w:ascii="方正仿宋_GBK" w:eastAsia="方正仿宋_GBK"/>
          <w:sz w:val="28"/>
          <w:szCs w:val="28"/>
        </w:rPr>
        <w:t xml:space="preserve">小时之内修复，如未修复的，每延长</w:t>
      </w:r>
      <w:r>
        <w:rPr>
          <w:rFonts w:hint="eastAsia" w:eastAsia="方正仿宋_GBK"/>
          <w:sz w:val="28"/>
          <w:szCs w:val="28"/>
        </w:rPr>
        <w:t xml:space="preserve">1</w:t>
      </w:r>
      <w:r>
        <w:rPr>
          <w:rFonts w:hint="eastAsia" w:ascii="方正仿宋_GBK" w:eastAsia="方正仿宋_GBK"/>
          <w:sz w:val="28"/>
          <w:szCs w:val="28"/>
        </w:rPr>
        <w:t xml:space="preserve">小时，扣除</w:t>
      </w:r>
      <w:r>
        <w:rPr>
          <w:rFonts w:hint="eastAsia" w:eastAsia="方正仿宋_GBK"/>
          <w:sz w:val="28"/>
          <w:szCs w:val="28"/>
        </w:rPr>
        <w:t xml:space="preserve">100</w:t>
      </w:r>
      <w:r>
        <w:rPr>
          <w:rFonts w:hint="eastAsia" w:ascii="方正仿宋_GBK" w:eastAsia="方正仿宋_GBK"/>
          <w:sz w:val="28"/>
          <w:szCs w:val="28"/>
        </w:rPr>
        <w:t xml:space="preserve">元；                     </w:t>
      </w:r>
      <w:r/>
    </w:p>
    <w:p>
      <w:pPr>
        <w:ind w:firstLine="560"/>
        <w:spacing w:line="500" w:lineRule="exact"/>
        <w:rPr>
          <w:rFonts w:eastAsia="方正仿宋_GBK"/>
          <w:sz w:val="28"/>
          <w:szCs w:val="28"/>
        </w:rPr>
      </w:pPr>
      <w:r>
        <w:rPr>
          <w:rFonts w:hint="eastAsia" w:ascii="方正仿宋_GBK" w:eastAsia="方正仿宋_GBK"/>
          <w:sz w:val="28"/>
          <w:szCs w:val="28"/>
        </w:rPr>
        <w:t xml:space="preserve">存量光纤</w:t>
      </w:r>
      <w:r>
        <w:rPr>
          <w:rFonts w:hint="eastAsia" w:eastAsia="方正仿宋_GBK"/>
          <w:sz w:val="28"/>
          <w:szCs w:val="28"/>
        </w:rPr>
        <w:t xml:space="preserve">B</w:t>
      </w:r>
      <w:r>
        <w:rPr>
          <w:rFonts w:hint="eastAsia" w:ascii="方正仿宋_GBK" w:eastAsia="方正仿宋_GBK"/>
          <w:sz w:val="28"/>
          <w:szCs w:val="28"/>
        </w:rPr>
        <w:t xml:space="preserve">为启东市公安局其他网络存量光纤，在接报后需在</w:t>
      </w:r>
      <w:r>
        <w:rPr>
          <w:rFonts w:hint="eastAsia" w:eastAsia="方正仿宋_GBK"/>
          <w:sz w:val="28"/>
          <w:szCs w:val="28"/>
        </w:rPr>
        <w:t xml:space="preserve">24</w:t>
      </w:r>
      <w:r>
        <w:rPr>
          <w:rFonts w:hint="eastAsia" w:ascii="方正仿宋_GBK" w:eastAsia="方正仿宋_GBK"/>
          <w:sz w:val="28"/>
          <w:szCs w:val="28"/>
        </w:rPr>
        <w:t xml:space="preserve">小时之内修复，如未修复的，每延长</w:t>
      </w:r>
      <w:r>
        <w:rPr>
          <w:rFonts w:hint="eastAsia" w:eastAsia="方正仿宋_GBK"/>
          <w:sz w:val="28"/>
          <w:szCs w:val="28"/>
        </w:rPr>
        <w:t xml:space="preserve">1</w:t>
      </w:r>
      <w:r>
        <w:rPr>
          <w:rFonts w:hint="eastAsia" w:ascii="方正仿宋_GBK" w:eastAsia="方正仿宋_GBK"/>
          <w:sz w:val="28"/>
          <w:szCs w:val="28"/>
        </w:rPr>
        <w:t xml:space="preserve">天，扣除</w:t>
      </w:r>
      <w:r>
        <w:rPr>
          <w:rFonts w:hint="eastAsia" w:eastAsia="方正仿宋_GBK"/>
          <w:sz w:val="28"/>
          <w:szCs w:val="28"/>
        </w:rPr>
        <w:t xml:space="preserve">100</w:t>
      </w:r>
      <w:r>
        <w:rPr>
          <w:rFonts w:hint="eastAsia" w:ascii="方正仿宋_GBK" w:eastAsia="方正仿宋_GBK"/>
          <w:sz w:val="28"/>
          <w:szCs w:val="28"/>
        </w:rPr>
        <w:t xml:space="preserve">元。  </w:t>
      </w:r>
      <w:r/>
    </w:p>
    <w:p>
      <w:pPr>
        <w:ind w:firstLine="560"/>
        <w:spacing w:line="500" w:lineRule="exact"/>
        <w:rPr>
          <w:rFonts w:eastAsia="方正仿宋_GBK"/>
          <w:sz w:val="28"/>
          <w:szCs w:val="28"/>
        </w:rPr>
      </w:pPr>
      <w:r>
        <w:rPr>
          <w:rFonts w:hint="eastAsia" w:ascii="方正仿宋_GBK" w:eastAsia="方正仿宋_GBK"/>
          <w:sz w:val="28"/>
          <w:szCs w:val="28"/>
        </w:rPr>
        <w:t xml:space="preserve">供应商要对光纤链路、设备、机房等进行改造，影响采购方存量光纤通信的，需提前</w:t>
      </w:r>
      <w:r>
        <w:rPr>
          <w:rFonts w:hint="eastAsia" w:eastAsia="方正仿宋_GBK"/>
          <w:sz w:val="28"/>
          <w:szCs w:val="28"/>
        </w:rPr>
        <w:t xml:space="preserve">3</w:t>
      </w:r>
      <w:r>
        <w:rPr>
          <w:rFonts w:hint="eastAsia" w:ascii="方正仿宋_GBK" w:eastAsia="方正仿宋_GBK"/>
          <w:sz w:val="28"/>
          <w:szCs w:val="28"/>
        </w:rPr>
        <w:t xml:space="preserve">日向采购方书面报备，如未报备的，每次扣除</w:t>
      </w:r>
      <w:r>
        <w:rPr>
          <w:rFonts w:hint="eastAsia" w:eastAsia="方正仿宋_GBK"/>
          <w:sz w:val="28"/>
          <w:szCs w:val="28"/>
        </w:rPr>
        <w:t xml:space="preserve">500</w:t>
      </w:r>
      <w:r>
        <w:rPr>
          <w:rFonts w:hint="eastAsia" w:ascii="方正仿宋_GBK" w:eastAsia="方正仿宋_GBK"/>
          <w:sz w:val="28"/>
          <w:szCs w:val="28"/>
        </w:rPr>
        <w:t xml:space="preserve">元。改造期间，影响存量光纤通信时间不得超过</w:t>
      </w:r>
      <w:r>
        <w:rPr>
          <w:rFonts w:hint="eastAsia" w:eastAsia="方正仿宋_GBK"/>
          <w:sz w:val="28"/>
          <w:szCs w:val="28"/>
        </w:rPr>
        <w:t xml:space="preserve">4</w:t>
      </w:r>
      <w:r>
        <w:rPr>
          <w:rFonts w:hint="eastAsia" w:ascii="方正仿宋_GBK" w:eastAsia="方正仿宋_GBK"/>
          <w:sz w:val="28"/>
          <w:szCs w:val="28"/>
        </w:rPr>
        <w:t xml:space="preserve">小时，如超过</w:t>
      </w:r>
      <w:r>
        <w:rPr>
          <w:rFonts w:hint="eastAsia" w:eastAsia="方正仿宋_GBK"/>
          <w:sz w:val="28"/>
          <w:szCs w:val="28"/>
        </w:rPr>
        <w:t xml:space="preserve">4</w:t>
      </w:r>
      <w:r>
        <w:rPr>
          <w:rFonts w:hint="eastAsia" w:ascii="方正仿宋_GBK" w:eastAsia="方正仿宋_GBK"/>
          <w:sz w:val="28"/>
          <w:szCs w:val="28"/>
        </w:rPr>
        <w:t xml:space="preserve">小时的，每超过</w:t>
      </w:r>
      <w:r>
        <w:rPr>
          <w:rFonts w:hint="eastAsia" w:eastAsia="方正仿宋_GBK"/>
          <w:sz w:val="28"/>
          <w:szCs w:val="28"/>
        </w:rPr>
        <w:t xml:space="preserve">1</w:t>
      </w:r>
      <w:r>
        <w:rPr>
          <w:rFonts w:hint="eastAsia" w:ascii="方正仿宋_GBK" w:eastAsia="方正仿宋_GBK"/>
          <w:sz w:val="28"/>
          <w:szCs w:val="28"/>
        </w:rPr>
        <w:t xml:space="preserve">小时扣除</w:t>
      </w:r>
      <w:r>
        <w:rPr>
          <w:rFonts w:hint="eastAsia" w:eastAsia="方正仿宋_GBK"/>
          <w:sz w:val="28"/>
          <w:szCs w:val="28"/>
        </w:rPr>
        <w:t xml:space="preserve">100</w:t>
      </w:r>
      <w:r>
        <w:rPr>
          <w:rFonts w:hint="eastAsia" w:ascii="方正仿宋_GBK" w:eastAsia="方正仿宋_GBK"/>
          <w:sz w:val="28"/>
          <w:szCs w:val="28"/>
        </w:rPr>
        <w:t xml:space="preserve">元。如影响存量光纤</w:t>
      </w:r>
      <w:r>
        <w:rPr>
          <w:rFonts w:hint="eastAsia" w:eastAsia="方正仿宋_GBK"/>
          <w:sz w:val="28"/>
          <w:szCs w:val="28"/>
        </w:rPr>
        <w:t xml:space="preserve">A</w:t>
      </w:r>
      <w:r>
        <w:rPr>
          <w:rFonts w:hint="eastAsia" w:ascii="方正仿宋_GBK" w:eastAsia="方正仿宋_GBK"/>
          <w:sz w:val="28"/>
          <w:szCs w:val="28"/>
        </w:rPr>
        <w:t xml:space="preserve">通信的，须在改造前建立备用线路，不得影响存量光纤</w:t>
      </w:r>
      <w:r>
        <w:rPr>
          <w:rFonts w:hint="eastAsia" w:eastAsia="方正仿宋_GBK"/>
          <w:sz w:val="28"/>
          <w:szCs w:val="28"/>
        </w:rPr>
        <w:t xml:space="preserve">A</w:t>
      </w:r>
      <w:r>
        <w:rPr>
          <w:rFonts w:hint="eastAsia" w:ascii="方正仿宋_GBK" w:eastAsia="方正仿宋_GBK"/>
          <w:sz w:val="28"/>
          <w:szCs w:val="28"/>
        </w:rPr>
        <w:t xml:space="preserve">通信。如未建立备用线路的，每次扣除</w:t>
      </w:r>
      <w:r>
        <w:rPr>
          <w:rFonts w:hint="eastAsia" w:eastAsia="方正仿宋_GBK"/>
          <w:sz w:val="28"/>
          <w:szCs w:val="28"/>
        </w:rPr>
        <w:t xml:space="preserve">1000</w:t>
      </w:r>
      <w:r>
        <w:rPr>
          <w:rFonts w:hint="eastAsia" w:ascii="方正仿宋_GBK" w:eastAsia="方正仿宋_GBK"/>
          <w:sz w:val="28"/>
          <w:szCs w:val="28"/>
        </w:rPr>
        <w:t xml:space="preserve">元。</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ascii="方正仿宋_GBK" w:eastAsia="方正仿宋_GBK"/>
          <w:sz w:val="28"/>
          <w:szCs w:val="28"/>
        </w:rPr>
        <w:t xml:space="preserve">在租赁期内，发生网络故障，并造成影响，由监理认定并凭监理报告扣款</w:t>
      </w:r>
      <w:r>
        <w:rPr>
          <w:rFonts w:hint="eastAsia" w:eastAsia="方正仿宋_GBK"/>
          <w:sz w:val="28"/>
          <w:szCs w:val="28"/>
        </w:rPr>
        <w:t xml:space="preserve">2000</w:t>
      </w:r>
      <w:r>
        <w:rPr>
          <w:rFonts w:hint="eastAsia" w:ascii="方正仿宋_GBK" w:eastAsia="方正仿宋_GBK"/>
          <w:sz w:val="28"/>
          <w:szCs w:val="28"/>
        </w:rPr>
        <w:t xml:space="preserve">元</w:t>
      </w:r>
      <w:r>
        <w:rPr>
          <w:rFonts w:hint="eastAsia" w:eastAsia="方正仿宋_GBK"/>
          <w:sz w:val="28"/>
          <w:szCs w:val="28"/>
        </w:rPr>
        <w:t xml:space="preserve">/</w:t>
      </w:r>
      <w:r>
        <w:rPr>
          <w:rFonts w:hint="eastAsia" w:ascii="方正仿宋_GBK" w:eastAsia="方正仿宋_GBK"/>
          <w:sz w:val="28"/>
          <w:szCs w:val="28"/>
        </w:rPr>
        <w:t xml:space="preserve">次。</w:t>
      </w:r>
      <w:r/>
    </w:p>
    <w:p>
      <w:pPr>
        <w:ind w:firstLine="560"/>
        <w:spacing w:line="500" w:lineRule="exact"/>
        <w:rPr>
          <w:rFonts w:eastAsia="方正仿宋_GBK"/>
          <w:sz w:val="28"/>
          <w:szCs w:val="28"/>
          <w:highlight w:val="yellow"/>
        </w:rPr>
      </w:pPr>
      <w:r>
        <w:rPr>
          <w:rFonts w:hint="eastAsia" w:eastAsia="方正仿宋_GBK"/>
          <w:sz w:val="28"/>
          <w:szCs w:val="28"/>
        </w:rPr>
        <w:t xml:space="preserve">3.</w:t>
      </w:r>
      <w:r>
        <w:rPr>
          <w:rFonts w:hint="eastAsia" w:ascii="方正仿宋_GBK" w:eastAsia="方正仿宋_GBK"/>
          <w:sz w:val="28"/>
          <w:szCs w:val="28"/>
        </w:rPr>
        <w:t xml:space="preserve">在租赁期内，供应商严格保守服务过程中获悉的公安警务秘密和公民的隐私，并签订保密承诺书，并确保使用网络安全，如发生信息泄密或上级通报的其它网络违规等情况的，除负相应法律法规责任之外，每次扣款</w:t>
      </w:r>
      <w:r>
        <w:rPr>
          <w:rFonts w:hint="eastAsia" w:eastAsia="方正仿宋_GBK"/>
          <w:sz w:val="28"/>
          <w:szCs w:val="28"/>
        </w:rPr>
        <w:t xml:space="preserve">10000</w:t>
      </w:r>
      <w:r>
        <w:rPr>
          <w:rFonts w:hint="eastAsia" w:ascii="方正仿宋_GBK" w:eastAsia="方正仿宋_GBK"/>
          <w:sz w:val="28"/>
          <w:szCs w:val="28"/>
        </w:rPr>
        <w:t xml:space="preserve">元。</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五、采购标的的其他技术、服务等要求</w:t>
      </w:r>
      <w:r/>
    </w:p>
    <w:p>
      <w:pPr>
        <w:ind w:firstLine="560"/>
        <w:spacing w:line="500" w:lineRule="exact"/>
        <w:rPr>
          <w:rFonts w:eastAsia="方正仿宋_GBK"/>
          <w:sz w:val="28"/>
          <w:szCs w:val="28"/>
        </w:rPr>
      </w:pPr>
      <w:r>
        <w:rPr>
          <w:rFonts w:eastAsia="方正仿宋_GBK"/>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需求标准见《商品包装政府采购需求标准（试行）》《快递包装政府采购需求标准（试行）》（财办库〔2020〕123号）、《绿色数据中心政府采购需求标准（试行）》（财库〔2023〕7号）。</w:t>
      </w:r>
      <w:r/>
    </w:p>
    <w:p>
      <w:pPr>
        <w:ind w:firstLine="560"/>
        <w:spacing w:line="500" w:lineRule="exact"/>
        <w:rPr>
          <w:rFonts w:ascii="方正黑体_GBK" w:hAnsi="方正黑体_GBK" w:eastAsia="方正黑体_GBK" w:cs="方正黑体_GBK"/>
          <w:sz w:val="28"/>
          <w:szCs w:val="28"/>
        </w:rPr>
      </w:pPr>
      <w:r>
        <w:rPr>
          <w:rFonts w:hint="eastAsia" w:cs="方正黑体_GBK" w:asciiTheme="minorEastAsia" w:hAnsiTheme="minorEastAsia" w:eastAsiaTheme="minorEastAsia"/>
          <w:sz w:val="28"/>
          <w:szCs w:val="28"/>
        </w:rPr>
        <w:t xml:space="preserve">六</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ascii="仿宋" w:hAnsi="仿宋" w:eastAsia="仿宋"/>
          <w:sz w:val="28"/>
          <w:szCs w:val="28"/>
        </w:rPr>
        <w:t xml:space="preserve">签订合同2个月后，光纤（如非原光纤线路供应商）布置到位网络运行正常，经采购方验收合格后支付前两个月租金；第三个月起租金按月结算（每月租金=实际光纤数量×单根光纤月租金）。</w:t>
      </w:r>
      <w:r>
        <w:rPr>
          <w:rFonts w:eastAsia="方正仿宋_GBK"/>
          <w:sz w:val="28"/>
          <w:szCs w:val="28"/>
        </w:rPr>
        <w:t xml:space="preserve">（备注：对满足合同支付条件的，采购人应当自收到发票后30日内支付资金）</w:t>
      </w:r>
      <w:r/>
    </w:p>
    <w:p>
      <w:pPr>
        <w:ind w:firstLine="560"/>
        <w:spacing w:line="500" w:lineRule="exact"/>
        <w:rPr>
          <w:rFonts w:eastAsia="方正仿宋_GBK"/>
          <w:sz w:val="28"/>
          <w:szCs w:val="28"/>
        </w:rPr>
      </w:pPr>
      <w:r>
        <w:rPr>
          <w:rFonts w:hint="eastAsia" w:cs="方正黑体_GBK" w:asciiTheme="minorEastAsia" w:hAnsiTheme="minorEastAsia" w:eastAsiaTheme="minorEastAsia"/>
          <w:sz w:val="28"/>
          <w:szCs w:val="28"/>
        </w:rPr>
        <w:t xml:space="preserve">七</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1.本项目中标后的履约保证金为项目中标价的</w:t>
      </w:r>
      <w:r>
        <w:rPr>
          <w:rFonts w:eastAsia="方正仿宋_GBK"/>
          <w:sz w:val="28"/>
          <w:szCs w:val="28"/>
          <w:u w:val="single"/>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eastAsia="方正仿宋_GBK"/>
          <w:sz w:val="28"/>
          <w:szCs w:val="28"/>
        </w:rPr>
      </w:pPr>
      <w:r>
        <w:rPr>
          <w:rFonts w:hint="eastAsia" w:eastAsia="方正黑体_GBK" w:cs="方正黑体_GBK" w:asciiTheme="minorHAnsi" w:hAnsiTheme="minorHAnsi"/>
          <w:bCs/>
          <w:sz w:val="28"/>
          <w:szCs w:val="28"/>
        </w:rPr>
        <w:t xml:space="preserve">八</w:t>
      </w:r>
      <w:r>
        <w:rPr>
          <w:rFonts w:hint="eastAsia" w:ascii="方正黑体_GBK" w:hAnsi="方正黑体_GBK" w:eastAsia="方正黑体_GBK" w:cs="方正黑体_GBK"/>
          <w:bCs/>
          <w:sz w:val="28"/>
          <w:szCs w:val="28"/>
        </w:rPr>
        <w:t xml:space="preserve">、本项目（不接受）进口产品投标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w:t>
      </w:r>
      <w:r>
        <w:rPr>
          <w:rFonts w:ascii="方正黑体_GBK" w:hAnsi="方正黑体_GBK" w:eastAsia="方正黑体_GBK" w:cs="方正黑体_GBK"/>
          <w:bCs/>
          <w:sz w:val="28"/>
          <w:szCs w:val="28"/>
        </w:rPr>
        <w:t xml:space="preserve">、合同条款</w:t>
      </w:r>
      <w:r/>
    </w:p>
    <w:p>
      <w:pPr>
        <w:jc w:val="center"/>
        <w:keepLines/>
        <w:keepNext/>
        <w:spacing w:before="120" w:line="360" w:lineRule="auto"/>
        <w:rPr>
          <w:rFonts w:ascii="宋体" w:hAnsi="宋体"/>
          <w:b/>
          <w:bCs/>
          <w:sz w:val="24"/>
        </w:rPr>
        <w:outlineLvl w:val="1"/>
      </w:pPr>
      <w:r>
        <w:rPr>
          <w:rFonts w:hint="eastAsia" w:ascii="黑体" w:hAnsi="黑体" w:eastAsia="黑体"/>
          <w:b/>
          <w:bCs/>
          <w:sz w:val="32"/>
          <w:szCs w:val="32"/>
        </w:rPr>
        <w:t xml:space="preserve">合同协议书</w:t>
      </w:r>
      <w:r/>
    </w:p>
    <w:p>
      <w:pPr>
        <w:spacing w:line="600" w:lineRule="exact"/>
        <w:rPr>
          <w:rFonts w:ascii="仿宋" w:hAnsi="仿宋" w:eastAsia="仿宋"/>
          <w:sz w:val="28"/>
          <w:szCs w:val="28"/>
        </w:rPr>
      </w:pPr>
      <w:r>
        <w:rPr>
          <w:rFonts w:ascii="仿宋" w:hAnsi="仿宋" w:eastAsia="仿宋"/>
          <w:sz w:val="28"/>
          <w:szCs w:val="28"/>
        </w:rPr>
      </w:r>
      <w:r/>
    </w:p>
    <w:p>
      <w:pPr>
        <w:spacing w:line="440" w:lineRule="exact"/>
        <w:rPr>
          <w:rFonts w:ascii="仿宋" w:hAnsi="仿宋" w:eastAsia="仿宋"/>
          <w:color w:val="000000"/>
          <w:sz w:val="28"/>
          <w:szCs w:val="28"/>
        </w:rPr>
      </w:pPr>
      <w:r>
        <w:rPr>
          <w:rFonts w:hint="eastAsia" w:ascii="仿宋" w:hAnsi="仿宋" w:eastAsia="仿宋"/>
          <w:color w:val="000000"/>
          <w:sz w:val="28"/>
          <w:szCs w:val="28"/>
        </w:rPr>
        <w:t xml:space="preserve">合同签订地：启东市</w:t>
      </w:r>
      <w:r>
        <w:rPr>
          <w:rFonts w:hint="eastAsia" w:ascii="仿宋" w:hAnsi="仿宋" w:eastAsia="仿宋"/>
          <w:color w:val="000000"/>
          <w:sz w:val="28"/>
          <w:szCs w:val="28"/>
        </w:rPr>
        <w:br/>
      </w:r>
      <w:r>
        <w:rPr>
          <w:rFonts w:hint="eastAsia" w:ascii="仿宋" w:hAnsi="仿宋" w:eastAsia="仿宋"/>
          <w:color w:val="000000"/>
          <w:sz w:val="28"/>
          <w:szCs w:val="28"/>
        </w:rPr>
        <w:t xml:space="preserve">甲方: 启东市公安局</w:t>
      </w:r>
      <w:r>
        <w:rPr>
          <w:rFonts w:hint="eastAsia" w:ascii="仿宋" w:hAnsi="仿宋" w:eastAsia="仿宋"/>
          <w:color w:val="000000"/>
          <w:sz w:val="28"/>
          <w:szCs w:val="28"/>
        </w:rPr>
        <w:br/>
      </w:r>
      <w:r>
        <w:rPr>
          <w:rFonts w:hint="eastAsia" w:ascii="仿宋" w:hAnsi="仿宋" w:eastAsia="仿宋"/>
          <w:color w:val="000000"/>
          <w:sz w:val="28"/>
          <w:szCs w:val="28"/>
        </w:rPr>
        <w:t xml:space="preserve">地址: 启东市汇龙镇金沙江路668号</w:t>
      </w:r>
      <w:r/>
    </w:p>
    <w:p>
      <w:pPr>
        <w:spacing w:line="440" w:lineRule="exact"/>
        <w:rPr>
          <w:rFonts w:ascii="仿宋" w:hAnsi="仿宋" w:eastAsia="仿宋"/>
          <w:color w:val="000000"/>
          <w:sz w:val="28"/>
          <w:szCs w:val="28"/>
        </w:rPr>
      </w:pPr>
      <w:r>
        <w:rPr>
          <w:rFonts w:hint="eastAsia" w:ascii="仿宋" w:hAnsi="仿宋" w:eastAsia="仿宋"/>
          <w:color w:val="000000"/>
          <w:sz w:val="28"/>
          <w:szCs w:val="28"/>
        </w:rPr>
        <w:t xml:space="preserve">法定代表人/负责人：叶锋</w:t>
      </w:r>
      <w:r/>
    </w:p>
    <w:p>
      <w:pPr>
        <w:spacing w:line="440" w:lineRule="exact"/>
        <w:rPr>
          <w:rFonts w:ascii="仿宋" w:hAnsi="仿宋" w:eastAsia="仿宋"/>
          <w:color w:val="000000"/>
          <w:sz w:val="28"/>
          <w:szCs w:val="28"/>
        </w:rPr>
      </w:pPr>
      <w:r>
        <w:rPr>
          <w:rFonts w:hint="eastAsia" w:ascii="仿宋" w:hAnsi="仿宋" w:eastAsia="仿宋"/>
          <w:color w:val="000000"/>
          <w:sz w:val="28"/>
          <w:szCs w:val="28"/>
        </w:rPr>
        <w:t xml:space="preserve">乙方： </w:t>
      </w:r>
      <w:r>
        <w:rPr>
          <w:rFonts w:hint="eastAsia" w:ascii="仿宋" w:hAnsi="仿宋" w:eastAsia="仿宋"/>
          <w:color w:val="000000"/>
          <w:sz w:val="28"/>
          <w:szCs w:val="28"/>
        </w:rPr>
        <w:br/>
      </w:r>
      <w:r>
        <w:rPr>
          <w:rFonts w:hint="eastAsia" w:ascii="仿宋" w:hAnsi="仿宋" w:eastAsia="仿宋"/>
          <w:color w:val="000000"/>
          <w:sz w:val="28"/>
          <w:szCs w:val="28"/>
        </w:rPr>
        <w:t xml:space="preserve">地址： </w:t>
      </w:r>
      <w:r>
        <w:rPr>
          <w:rFonts w:hint="eastAsia" w:ascii="仿宋" w:hAnsi="仿宋" w:eastAsia="仿宋"/>
          <w:color w:val="000000"/>
          <w:sz w:val="28"/>
          <w:szCs w:val="28"/>
        </w:rPr>
        <w:br/>
      </w:r>
      <w:r>
        <w:rPr>
          <w:rFonts w:hint="eastAsia" w:ascii="仿宋" w:hAnsi="仿宋" w:eastAsia="仿宋"/>
          <w:color w:val="000000"/>
          <w:sz w:val="28"/>
          <w:szCs w:val="28"/>
        </w:rPr>
        <w:t xml:space="preserve">法定代表人/负责人： </w:t>
      </w:r>
      <w:r>
        <w:rPr>
          <w:rFonts w:hint="eastAsia" w:ascii="仿宋" w:hAnsi="仿宋" w:eastAsia="仿宋"/>
          <w:color w:val="000000"/>
          <w:sz w:val="28"/>
          <w:szCs w:val="28"/>
        </w:rPr>
        <w:br/>
      </w:r>
      <w:r>
        <w:rPr>
          <w:rFonts w:hint="eastAsia" w:ascii="仿宋" w:hAnsi="仿宋" w:eastAsia="仿宋"/>
          <w:color w:val="000000"/>
          <w:sz w:val="28"/>
          <w:szCs w:val="28"/>
        </w:rPr>
        <w:t xml:space="preserve">    启东市公安局(以下简称甲方)为了公安光纤通信网络的正常使用 ,经过公开招标方式与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(以下简称乙方)确定合作 ,乙方向甲方提供光纤租赁服务 ,并就下述服务达成以下一致意见 ,特订立本合作协议以供双方共同遵守。</w:t>
      </w:r>
      <w:r/>
    </w:p>
    <w:p>
      <w:pPr>
        <w:ind w:firstLine="562"/>
        <w:spacing w:line="440" w:lineRule="exact"/>
        <w:rPr>
          <w:rFonts w:ascii="仿宋" w:hAnsi="仿宋" w:eastAsia="仿宋"/>
          <w:color w:val="000000"/>
          <w:sz w:val="28"/>
          <w:szCs w:val="28"/>
        </w:rPr>
      </w:pPr>
      <w:r>
        <w:rPr>
          <w:rFonts w:hint="eastAsia" w:ascii="仿宋" w:hAnsi="仿宋" w:eastAsia="仿宋"/>
          <w:color w:val="000000"/>
          <w:sz w:val="28"/>
          <w:szCs w:val="28"/>
        </w:rPr>
        <w:t xml:space="preserve">服务内容</w:t>
      </w:r>
      <w:r/>
    </w:p>
    <w:p>
      <w:pPr>
        <w:ind w:firstLine="562"/>
        <w:spacing w:line="440" w:lineRule="exact"/>
        <w:rPr>
          <w:rFonts w:ascii="仿宋" w:hAnsi="仿宋" w:eastAsia="仿宋"/>
          <w:color w:val="000000"/>
          <w:sz w:val="28"/>
          <w:szCs w:val="28"/>
        </w:rPr>
      </w:pPr>
      <w:r>
        <w:rPr>
          <w:rFonts w:hint="eastAsia" w:ascii="仿宋" w:hAnsi="仿宋" w:eastAsia="仿宋"/>
          <w:color w:val="000000"/>
          <w:sz w:val="28"/>
          <w:szCs w:val="28"/>
        </w:rPr>
        <w:t xml:space="preserve">第一条  项目概况：</w:t>
      </w:r>
      <w:r/>
    </w:p>
    <w:p>
      <w:pPr>
        <w:ind w:firstLine="560"/>
        <w:spacing w:line="500" w:lineRule="exact"/>
        <w:rPr>
          <w:rFonts w:ascii="仿宋" w:hAnsi="仿宋" w:eastAsia="仿宋"/>
          <w:sz w:val="28"/>
          <w:szCs w:val="28"/>
        </w:rPr>
      </w:pPr>
      <w:r>
        <w:rPr>
          <w:rFonts w:hint="eastAsia" w:ascii="仿宋" w:hAnsi="仿宋" w:eastAsia="仿宋"/>
          <w:color w:val="000000"/>
          <w:sz w:val="28"/>
          <w:szCs w:val="28"/>
        </w:rPr>
        <w:t xml:space="preserve">本次光纤租赁招标包含启东市公安局存量光纤及近年来陆续新增零散光纤，总数不超过943根。如光纤总数不超过943条，以实际使用条数按月支付，投标商报价提供每条光纤的月租金及全年度总金额。租赁期一年，</w:t>
      </w:r>
      <w:r>
        <w:rPr>
          <w:rFonts w:hint="eastAsia" w:ascii="仿宋" w:hAnsi="仿宋" w:eastAsia="仿宋"/>
          <w:sz w:val="28"/>
          <w:szCs w:val="28"/>
        </w:rPr>
        <w:t xml:space="preserve">从2026年7月1日起至2027年6月30日止。  </w:t>
      </w:r>
      <w:r/>
    </w:p>
    <w:p>
      <w:pPr>
        <w:ind w:firstLine="56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租用光纤均为单模裸纤，单双纤根据实际设备确定，详细清单请咨询采购方，含光纤两端适合传输距离的光纤收发器或光模块（不低于千兆），成交供应商建立汇聚点的，汇聚点的网络设备由成交供应商提供，汇聚点的网络上行至少为万兆，应在汇聚点建立必要的安全措施，并安装监控接入采购方。</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(一)应遵循以下技术标准：</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1.GB 50348-2004安全防范工程技术规范</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2.GA308-2001《安防系统工程验收规范》</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3.《建筑物防雷设计规范》</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4.GA 1081《安全防范系统维护保养规范》</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5.社会面治安监控系统建设相关规范。</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6.公安系统关于公安网、视频图像专网的安全和技术规定，及其它要求。</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7.其它有关国家及行业标准。</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（二）租用要求</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1.乙方提供的光纤需满足以下条件：默认PING传输时延上限值为10ms；PING带2000字节包，上限值为20ms；包误差率上限值为1×</w:t>
      </w:r>
      <w:r>
        <w:rPr>
          <w:rStyle w:val="958"/>
          <w:rFonts w:hint="eastAsia" w:ascii="等线" w:hAnsi="等线" w:eastAsia="等线" w:cs="仿宋"/>
          <w:sz w:val="24"/>
        </w:rPr>
        <w:t xml:space="preserve">10</w:t>
      </w:r>
      <w:r>
        <w:rPr>
          <w:rStyle w:val="958"/>
          <w:rFonts w:hint="eastAsia" w:ascii="等线" w:hAnsi="等线" w:eastAsia="等线" w:cs="仿宋"/>
          <w:sz w:val="24"/>
          <w:vertAlign w:val="superscript"/>
        </w:rPr>
        <w:t xml:space="preserve">-4</w:t>
      </w:r>
      <w:r>
        <w:rPr>
          <w:rFonts w:hint="eastAsia" w:ascii="仿宋" w:hAnsi="仿宋" w:eastAsia="仿宋"/>
          <w:color w:val="000000"/>
          <w:sz w:val="28"/>
          <w:szCs w:val="28"/>
        </w:rPr>
        <w:t xml:space="preserve">。</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2.乙方应提供7×24小时呼叫服务专线；发生故障后，故障申告响应时限：30分钟；公安网和视频专网主干网应在4小时内修复、其他光纤网络24小时内负责修复，并在故障排除后1小时内对用户进行故障排除回访；以上有一项未达标的，扣款500元/次。</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3.甲方因工作需要光纤移迁或停用，乙方应配合甲方对租赁的光纤进行相应的处置。</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4.租赁期内，乙方光纤技术参数达不到技术要求时，应无条件给予线路升级更换，拒不升级更换的，则甲方可以自行租用第三方光纤线路，租用费和2000元/次的违约金在租金中扣除。并且甲方有权终止合同，因合同终止造成的损失由乙方承担。</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（三）考核要求</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1.本项目存量光纤按重要性分A、B类考核：</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存量光纤A为启东市公安局公安网络，在接报后需在4小时之内修复，如未修复的，每延长1小时，扣除100元；                     </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存量光纤B为启东市公安局其他网络存量光纤，在接报后需在24小时之内修复，如未修复的，每延长1天，扣除100元。  </w:t>
      </w:r>
      <w:r>
        <w:rPr>
          <w:rFonts w:hint="eastAsia" w:ascii="仿宋" w:hAnsi="仿宋" w:eastAsia="仿宋"/>
          <w:color w:val="000000"/>
          <w:sz w:val="28"/>
          <w:szCs w:val="28"/>
        </w:rPr>
        <w:br/>
      </w:r>
      <w:r>
        <w:rPr>
          <w:rFonts w:hint="eastAsia" w:ascii="仿宋" w:hAnsi="仿宋" w:eastAsia="仿宋"/>
          <w:color w:val="000000"/>
          <w:sz w:val="28"/>
          <w:szCs w:val="28"/>
        </w:rPr>
        <w:t xml:space="preserve">    供应商要对光纤链路、设备、机房等进行改造，影响采购方存量光纤通信的，需提前3日向采购方书面报备，如未报备的，每次扣除500元。改造期间，影响存量光纤通信时间不得超过4小时，如超过4小时的，每超过1小时扣除100元。如影响存量光纤A通信的，须在改造前建立备用线路，不得影响存量光纤A通信。如未建立备用线路的，每次扣除1000元。</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2.在租赁期内，发生网络故障，并造成影响，由监理认定并凭监理报告扣款2000元/次。</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3.在租赁期内，供应商严格保守服务过程中获悉的公安警务秘密和公民的隐私，并签订保密承诺书，并确保使用网络安全，如发生信息泄密或上级通报的其它网络违规等情况的，除负相应法律法规责任之外，每次扣款10000元。</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（四）约定事项：</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1.租赁期内，乙方为甲方提供以下服务内容：租赁期内，供应商为采购方提供APN专网流量卡（不多于50张）作为备用，每月流量池不少于5T（单张流量不少于100GB）；400M互联网专线光纤2条，上行和下行速度一致，IP地址不少于2个。</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2.组建联合创新实验室，开展创新工作，并为实验室提供相应的硬件支撑，硬件所有权属于供应商，使用权属于采购方。</w:t>
      </w:r>
      <w:r/>
    </w:p>
    <w:p>
      <w:pPr>
        <w:ind w:firstLine="562"/>
        <w:spacing w:line="440" w:lineRule="exact"/>
        <w:rPr>
          <w:rFonts w:ascii="仿宋" w:hAnsi="仿宋" w:eastAsia="仿宋"/>
          <w:color w:val="000000"/>
          <w:sz w:val="28"/>
          <w:szCs w:val="28"/>
        </w:rPr>
      </w:pPr>
      <w:r>
        <w:rPr>
          <w:rFonts w:hint="eastAsia" w:ascii="仿宋" w:hAnsi="仿宋" w:eastAsia="仿宋"/>
          <w:color w:val="000000"/>
          <w:sz w:val="28"/>
          <w:szCs w:val="28"/>
        </w:rPr>
        <w:t xml:space="preserve">第二条  合同金额及支付方式</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1.合同总价为人民币大写：</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整 （</w:t>
      </w:r>
      <w:r>
        <w:rPr>
          <w:rFonts w:hint="eastAsia" w:ascii="宋体" w:hAnsi="宋体" w:cs="宋体"/>
          <w:color w:val="000000"/>
          <w:sz w:val="28"/>
          <w:szCs w:val="28"/>
        </w:rPr>
        <w:t xml:space="preserve">¥</w:t>
      </w:r>
      <w:r>
        <w:rPr>
          <w:rFonts w:hint="eastAsia" w:ascii="仿宋" w:hAnsi="仿宋" w:eastAsia="仿宋"/>
          <w:color w:val="000000"/>
          <w:sz w:val="28"/>
          <w:szCs w:val="28"/>
        </w:rPr>
        <w:t xml:space="preserve">：        元）。  </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备注：本项目光纤租赁总数不超过973条，以实际使用条数按月支付，乙方提供每条光纤的月租金及全年度总金额。</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2.支付方式：签订合同2个月后，光纤（如非原光纤线路供应商）布置到位网络运行正常，经采购方验收合格后支付前两个月租金；第三个月起租金按月结算（每月租金=合同总价/12个月/973×实际使用条数）。</w:t>
      </w:r>
      <w:r/>
    </w:p>
    <w:p>
      <w:pPr>
        <w:ind w:firstLine="562"/>
        <w:spacing w:line="440" w:lineRule="exact"/>
        <w:rPr>
          <w:rFonts w:ascii="仿宋" w:hAnsi="仿宋" w:eastAsia="仿宋"/>
          <w:color w:val="000000"/>
          <w:sz w:val="28"/>
          <w:szCs w:val="28"/>
        </w:rPr>
      </w:pPr>
      <w:r>
        <w:rPr>
          <w:rFonts w:hint="eastAsia" w:ascii="仿宋" w:hAnsi="仿宋" w:eastAsia="仿宋"/>
          <w:color w:val="000000"/>
          <w:sz w:val="28"/>
          <w:szCs w:val="28"/>
        </w:rPr>
        <w:t xml:space="preserve">第三条  担保条款</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2．中标供应商全部履约合同义务，经采购单位验收合格无质量、进度等问题的，采购人在验收合格后一次性退还履约保证金，采购人若逾期退还履约保证金的，按照逾期部分的每日0.05%支付违约金。</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3．发生以下情况的，履约保证金不予退还或部分退还：</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2"/>
        <w:spacing w:line="440" w:lineRule="exact"/>
        <w:rPr>
          <w:rFonts w:ascii="仿宋" w:hAnsi="仿宋" w:eastAsia="仿宋"/>
          <w:color w:val="000000"/>
          <w:sz w:val="28"/>
          <w:szCs w:val="28"/>
        </w:rPr>
      </w:pPr>
      <w:r>
        <w:rPr>
          <w:rFonts w:hint="eastAsia" w:ascii="仿宋" w:hAnsi="仿宋" w:eastAsia="仿宋"/>
          <w:color w:val="000000"/>
          <w:sz w:val="28"/>
          <w:szCs w:val="28"/>
        </w:rPr>
        <w:t xml:space="preserve">第四条  违约金或者损失赔偿费的计算方法</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违反本合同约定，乙方应向甲方承担违约责任，承担方式和违约金额按甲方支付报酬金额的20%计，同时履约保证金不予退还。</w:t>
      </w:r>
      <w:r/>
    </w:p>
    <w:p>
      <w:pPr>
        <w:ind w:firstLine="562"/>
        <w:spacing w:line="440" w:lineRule="exact"/>
        <w:rPr>
          <w:rFonts w:ascii="仿宋" w:hAnsi="仿宋" w:eastAsia="仿宋"/>
          <w:color w:val="000000"/>
          <w:sz w:val="28"/>
          <w:szCs w:val="28"/>
        </w:rPr>
      </w:pPr>
      <w:r>
        <w:rPr>
          <w:rFonts w:hint="eastAsia" w:ascii="仿宋" w:hAnsi="仿宋" w:eastAsia="仿宋"/>
          <w:color w:val="000000"/>
          <w:sz w:val="28"/>
          <w:szCs w:val="28"/>
        </w:rPr>
        <w:t xml:space="preserve">第五条 法律适用和争议解决</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1、本合同适用中华人民共和国法律。</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2、所有因本合同引起的或与本合同有关的任何争议将通过双方友好协商解决。如果双方不能通过友好协商解决争议，则任何一方均可采取下述争议解决方式：</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（1）将该争议提交仲裁委员会，按照申请仲裁时该会的仲裁规则进行仲裁。仲裁语言为中文。仲裁裁决是终局的，对双方均有约束力。仲裁费用由败诉方承担。</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（2）向乙方有管辖权的人民法院起诉。</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3、仲裁或诉讼进行过程中，双方将继续履行本合同未涉仲裁或诉讼的其它部分。</w:t>
      </w:r>
      <w:r/>
    </w:p>
    <w:p>
      <w:pPr>
        <w:ind w:firstLine="562"/>
        <w:spacing w:line="440" w:lineRule="exact"/>
        <w:rPr>
          <w:rFonts w:ascii="仿宋" w:hAnsi="仿宋" w:eastAsia="仿宋"/>
          <w:color w:val="000000"/>
          <w:sz w:val="28"/>
          <w:szCs w:val="28"/>
        </w:rPr>
      </w:pPr>
      <w:r>
        <w:rPr>
          <w:rFonts w:hint="eastAsia" w:ascii="仿宋" w:hAnsi="仿宋" w:eastAsia="仿宋"/>
          <w:color w:val="000000"/>
          <w:sz w:val="28"/>
          <w:szCs w:val="28"/>
        </w:rPr>
        <w:t xml:space="preserve">第六条 不可抗力及免责</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如由于战争、骚乱、恐怖主义、自然灾害、国家法律法规或规章变动、网络安全、网络无法覆盖、停电、通信线路被人为破坏，导致甲乙双方或一方不能履行或不能完全履行本合同项下有关义务时，受影响方不承担违约责任，但应于该等情形发生后十五日内将情况书面告知对方，并提供有关部门的证明。在影响消除后的合理时间内，一方或双方应当继续履行合同。如因此导致合同不能或者没有必要继续履行的，本合同可由双方协商解除。</w:t>
      </w:r>
      <w:r/>
    </w:p>
    <w:p>
      <w:pPr>
        <w:ind w:firstLine="562"/>
        <w:spacing w:line="440" w:lineRule="exact"/>
        <w:rPr>
          <w:rFonts w:ascii="仿宋" w:hAnsi="仿宋" w:eastAsia="仿宋"/>
          <w:color w:val="000000"/>
          <w:sz w:val="28"/>
          <w:szCs w:val="28"/>
        </w:rPr>
      </w:pPr>
      <w:r>
        <w:rPr>
          <w:rFonts w:hint="eastAsia" w:ascii="仿宋" w:hAnsi="仿宋" w:eastAsia="仿宋"/>
          <w:color w:val="000000"/>
          <w:sz w:val="28"/>
          <w:szCs w:val="28"/>
        </w:rPr>
        <w:t xml:space="preserve">第七条 合同其他 </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1.本合同一式陆份，双方各执叁份，具有同等法律效力。</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2.除本合同另有约定外，未经甲乙双方书面确认，任何一方不得自行变更或修改本合同。</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3.双方同意，附件为本合同不可分割的部分。若附件与合同正文有任何冲突，以合同正文为准。</w:t>
      </w:r>
      <w:r/>
    </w:p>
    <w:tbl>
      <w:tblPr>
        <w:tblStyle w:val="875"/>
        <w:tblW w:w="9068" w:type="dxa"/>
        <w:tblInd w:w="135" w:type="dxa"/>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41"/>
        <w:gridCol w:w="240"/>
        <w:gridCol w:w="4487"/>
      </w:tblGrid>
      <w:tr>
        <w:trPr/>
        <w:tc>
          <w:tcPr>
            <w:tcBorders>
              <w:top w:val="none" w:color="000000" w:sz="4" w:space="0"/>
              <w:left w:val="none" w:color="000000" w:sz="4" w:space="0"/>
              <w:bottom w:val="none" w:color="000000" w:sz="4" w:space="0"/>
              <w:right w:val="none" w:color="000000" w:sz="4" w:space="0"/>
            </w:tcBorders>
            <w:tcW w:w="4341" w:type="dxa"/>
            <w:textDirection w:val="lrTb"/>
            <w:noWrap w:val="false"/>
          </w:tcPr>
          <w:p>
            <w:pPr>
              <w:jc w:val="left"/>
              <w:spacing w:line="440" w:lineRule="exact"/>
              <w:widowControl/>
              <w:rPr>
                <w:rFonts w:ascii="仿宋" w:hAnsi="仿宋" w:eastAsia="仿宋"/>
                <w:color w:val="000000"/>
                <w:sz w:val="28"/>
                <w:szCs w:val="28"/>
              </w:rPr>
            </w:pPr>
            <w:r>
              <w:rPr>
                <w:rFonts w:hint="eastAsia" w:ascii="仿宋" w:hAnsi="仿宋" w:eastAsia="仿宋"/>
                <w:color w:val="000000"/>
                <w:sz w:val="28"/>
                <w:szCs w:val="28"/>
              </w:rPr>
              <w:t xml:space="preserve">甲方：启东市公安局</w:t>
            </w:r>
            <w:r/>
          </w:p>
          <w:p>
            <w:pPr>
              <w:pStyle w:val="863"/>
              <w:ind w:firstLine="560"/>
              <w:jc w:val="left"/>
              <w:spacing w:line="440" w:lineRule="exact"/>
              <w:rPr>
                <w:rFonts w:ascii="仿宋" w:hAnsi="仿宋"/>
                <w:color w:val="000000"/>
                <w:sz w:val="28"/>
                <w:szCs w:val="28"/>
              </w:rPr>
            </w:pPr>
            <w:r>
              <w:rPr>
                <w:rFonts w:ascii="仿宋" w:hAnsi="仿宋"/>
                <w:color w:val="000000"/>
                <w:sz w:val="28"/>
                <w:szCs w:val="28"/>
              </w:rPr>
            </w:r>
            <w:r/>
          </w:p>
          <w:p>
            <w:pPr>
              <w:pStyle w:val="863"/>
              <w:ind w:firstLine="560"/>
              <w:jc w:val="left"/>
              <w:spacing w:line="440" w:lineRule="exact"/>
              <w:rPr>
                <w:rFonts w:ascii="仿宋" w:hAnsi="仿宋"/>
                <w:color w:val="000000"/>
                <w:sz w:val="28"/>
                <w:szCs w:val="28"/>
              </w:rPr>
            </w:pPr>
            <w:r>
              <w:rPr>
                <w:rFonts w:ascii="仿宋" w:hAnsi="仿宋"/>
                <w:color w:val="000000"/>
                <w:sz w:val="28"/>
                <w:szCs w:val="28"/>
              </w:rPr>
            </w:r>
            <w:r/>
          </w:p>
          <w:p>
            <w:pPr>
              <w:jc w:val="left"/>
              <w:spacing w:line="440" w:lineRule="exact"/>
              <w:widowControl/>
              <w:rPr>
                <w:rFonts w:ascii="仿宋" w:hAnsi="仿宋" w:eastAsia="仿宋"/>
                <w:color w:val="000000"/>
                <w:sz w:val="28"/>
                <w:szCs w:val="28"/>
              </w:rPr>
            </w:pPr>
            <w:r>
              <w:rPr>
                <w:rFonts w:hint="eastAsia" w:ascii="仿宋" w:hAnsi="仿宋" w:eastAsia="仿宋"/>
                <w:color w:val="000000"/>
                <w:sz w:val="28"/>
                <w:szCs w:val="28"/>
              </w:rPr>
              <w:t xml:space="preserve">授权代表：</w:t>
            </w:r>
            <w:r/>
          </w:p>
          <w:p>
            <w:pPr>
              <w:pStyle w:val="863"/>
              <w:ind w:firstLine="560"/>
              <w:jc w:val="left"/>
              <w:spacing w:line="440" w:lineRule="exact"/>
              <w:rPr>
                <w:rFonts w:ascii="仿宋" w:hAnsi="仿宋"/>
                <w:color w:val="000000"/>
                <w:sz w:val="28"/>
                <w:szCs w:val="28"/>
              </w:rPr>
            </w:pPr>
            <w:r>
              <w:rPr>
                <w:rFonts w:ascii="仿宋" w:hAnsi="仿宋"/>
                <w:color w:val="000000"/>
                <w:sz w:val="28"/>
                <w:szCs w:val="28"/>
              </w:rPr>
            </w:r>
            <w:r/>
          </w:p>
          <w:p>
            <w:pPr>
              <w:jc w:val="left"/>
              <w:spacing w:line="440" w:lineRule="exact"/>
              <w:widowControl/>
              <w:rPr>
                <w:rFonts w:ascii="仿宋" w:hAnsi="仿宋" w:eastAsia="仿宋"/>
                <w:color w:val="000000"/>
                <w:sz w:val="28"/>
                <w:szCs w:val="28"/>
              </w:rPr>
            </w:pPr>
            <w:r>
              <w:rPr>
                <w:rFonts w:hint="eastAsia" w:ascii="仿宋" w:hAnsi="仿宋" w:eastAsia="仿宋"/>
                <w:color w:val="000000"/>
                <w:sz w:val="28"/>
                <w:szCs w:val="28"/>
              </w:rPr>
              <w:t xml:space="preserve">签订日期：2026年  月  日</w:t>
            </w:r>
            <w:r/>
          </w:p>
          <w:p>
            <w:pPr>
              <w:jc w:val="left"/>
              <w:spacing w:line="440" w:lineRule="exact"/>
              <w:widowControl/>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left w:val="none" w:color="000000" w:sz="4" w:space="0"/>
              <w:bottom w:val="none" w:color="000000" w:sz="4" w:space="0"/>
              <w:right w:val="none" w:color="000000" w:sz="4" w:space="0"/>
            </w:tcBorders>
            <w:tcW w:w="240" w:type="dxa"/>
            <w:textDirection w:val="lrTb"/>
            <w:noWrap w:val="false"/>
          </w:tcPr>
          <w:p>
            <w:pPr>
              <w:jc w:val="left"/>
              <w:spacing w:line="440" w:lineRule="exact"/>
              <w:widowControl/>
              <w:rPr>
                <w:rFonts w:ascii="仿宋" w:hAnsi="仿宋" w:eastAsia="仿宋"/>
                <w:color w:val="000000"/>
                <w:sz w:val="28"/>
                <w:szCs w:val="28"/>
              </w:rPr>
            </w:pPr>
            <w:r>
              <w:rPr>
                <w:rFonts w:ascii="仿宋" w:hAnsi="仿宋" w:eastAsia="仿宋"/>
                <w:color w:val="000000"/>
                <w:sz w:val="28"/>
                <w:szCs w:val="28"/>
              </w:rPr>
            </w:r>
            <w:r/>
          </w:p>
        </w:tc>
        <w:tc>
          <w:tcPr>
            <w:tcBorders>
              <w:top w:val="none" w:color="000000" w:sz="4" w:space="0"/>
              <w:left w:val="none" w:color="000000" w:sz="4" w:space="0"/>
              <w:bottom w:val="none" w:color="000000" w:sz="4" w:space="0"/>
              <w:right w:val="none" w:color="000000" w:sz="4" w:space="0"/>
            </w:tcBorders>
            <w:tcW w:w="4487" w:type="dxa"/>
            <w:textDirection w:val="lrTb"/>
            <w:noWrap w:val="false"/>
          </w:tcPr>
          <w:p>
            <w:pPr>
              <w:jc w:val="left"/>
              <w:spacing w:line="440" w:lineRule="exact"/>
              <w:widowControl/>
              <w:rPr>
                <w:rFonts w:ascii="仿宋" w:hAnsi="仿宋" w:eastAsia="仿宋"/>
                <w:color w:val="000000"/>
                <w:sz w:val="28"/>
                <w:szCs w:val="28"/>
              </w:rPr>
            </w:pPr>
            <w:r>
              <w:rPr>
                <w:rFonts w:hint="eastAsia" w:ascii="仿宋" w:hAnsi="仿宋" w:eastAsia="仿宋"/>
                <w:color w:val="000000"/>
                <w:sz w:val="28"/>
                <w:szCs w:val="28"/>
              </w:rPr>
              <w:t xml:space="preserve">乙方：</w:t>
            </w:r>
            <w:r>
              <w:rPr>
                <w:rFonts w:hint="eastAsia" w:ascii="宋体" w:hAnsi="宋体" w:cs="宋体"/>
                <w:color w:val="000000"/>
                <w:sz w:val="28"/>
                <w:szCs w:val="28"/>
              </w:rPr>
              <w:t xml:space="preserve"> </w:t>
            </w:r>
            <w:r/>
          </w:p>
          <w:p>
            <w:pPr>
              <w:pStyle w:val="863"/>
              <w:ind w:firstLine="560"/>
              <w:jc w:val="left"/>
              <w:spacing w:line="440" w:lineRule="exact"/>
              <w:rPr>
                <w:rFonts w:ascii="仿宋" w:hAnsi="仿宋"/>
                <w:color w:val="000000"/>
                <w:sz w:val="28"/>
                <w:szCs w:val="28"/>
              </w:rPr>
            </w:pPr>
            <w:r>
              <w:rPr>
                <w:rFonts w:ascii="仿宋" w:hAnsi="仿宋"/>
                <w:color w:val="000000"/>
                <w:sz w:val="28"/>
                <w:szCs w:val="28"/>
              </w:rPr>
            </w:r>
            <w:r/>
          </w:p>
          <w:p>
            <w:pPr>
              <w:pStyle w:val="863"/>
              <w:ind w:firstLine="560"/>
              <w:jc w:val="left"/>
              <w:spacing w:line="440" w:lineRule="exact"/>
              <w:rPr>
                <w:rFonts w:ascii="仿宋" w:hAnsi="仿宋"/>
                <w:color w:val="000000"/>
                <w:sz w:val="28"/>
                <w:szCs w:val="28"/>
              </w:rPr>
            </w:pPr>
            <w:r>
              <w:rPr>
                <w:rFonts w:ascii="仿宋" w:hAnsi="仿宋"/>
                <w:color w:val="000000"/>
                <w:sz w:val="28"/>
                <w:szCs w:val="28"/>
              </w:rPr>
            </w:r>
            <w:r/>
          </w:p>
          <w:p>
            <w:pPr>
              <w:jc w:val="left"/>
              <w:spacing w:line="440" w:lineRule="exact"/>
              <w:widowControl/>
              <w:rPr>
                <w:rFonts w:ascii="仿宋" w:hAnsi="仿宋" w:eastAsia="仿宋"/>
                <w:color w:val="000000"/>
                <w:sz w:val="28"/>
                <w:szCs w:val="28"/>
              </w:rPr>
            </w:pPr>
            <w:r>
              <w:rPr>
                <w:rFonts w:hint="eastAsia" w:ascii="仿宋" w:hAnsi="仿宋" w:eastAsia="仿宋"/>
                <w:color w:val="000000"/>
                <w:sz w:val="28"/>
                <w:szCs w:val="28"/>
              </w:rPr>
              <w:t xml:space="preserve">授权代表：</w:t>
            </w:r>
            <w:r/>
          </w:p>
          <w:p>
            <w:pPr>
              <w:pStyle w:val="863"/>
              <w:ind w:firstLine="560"/>
              <w:jc w:val="left"/>
              <w:spacing w:line="440" w:lineRule="exact"/>
              <w:rPr>
                <w:rFonts w:ascii="仿宋" w:hAnsi="仿宋"/>
                <w:color w:val="000000"/>
                <w:sz w:val="28"/>
                <w:szCs w:val="28"/>
              </w:rPr>
            </w:pPr>
            <w:r>
              <w:rPr>
                <w:rFonts w:ascii="仿宋" w:hAnsi="仿宋"/>
                <w:color w:val="000000"/>
                <w:sz w:val="28"/>
                <w:szCs w:val="28"/>
              </w:rPr>
            </w:r>
            <w:r/>
          </w:p>
          <w:p>
            <w:pPr>
              <w:jc w:val="left"/>
              <w:spacing w:line="440" w:lineRule="exact"/>
              <w:widowControl/>
              <w:rPr>
                <w:rFonts w:ascii="仿宋" w:hAnsi="仿宋" w:eastAsia="仿宋"/>
                <w:color w:val="000000"/>
                <w:sz w:val="28"/>
                <w:szCs w:val="28"/>
              </w:rPr>
            </w:pPr>
            <w:r>
              <w:rPr>
                <w:rFonts w:hint="eastAsia" w:ascii="仿宋" w:hAnsi="仿宋" w:eastAsia="仿宋"/>
                <w:color w:val="000000"/>
                <w:sz w:val="28"/>
                <w:szCs w:val="28"/>
              </w:rPr>
              <w:t xml:space="preserve">签订日期：2026年  月  日</w:t>
            </w:r>
            <w:r/>
          </w:p>
          <w:p>
            <w:pPr>
              <w:jc w:val="left"/>
              <w:spacing w:line="440" w:lineRule="exact"/>
              <w:widowControl/>
              <w:rPr>
                <w:rFonts w:ascii="仿宋" w:hAnsi="仿宋" w:eastAsia="仿宋"/>
                <w:color w:val="000000"/>
                <w:sz w:val="28"/>
                <w:szCs w:val="28"/>
              </w:rPr>
            </w:pPr>
            <w:r>
              <w:rPr>
                <w:rFonts w:ascii="仿宋" w:hAnsi="仿宋" w:eastAsia="仿宋"/>
                <w:color w:val="000000"/>
                <w:sz w:val="28"/>
                <w:szCs w:val="28"/>
              </w:rPr>
            </w:r>
            <w:r/>
          </w:p>
        </w:tc>
      </w:tr>
    </w:tbl>
    <w:p>
      <w:pPr>
        <w:ind w:firstLine="560"/>
        <w:jc w:val="center"/>
        <w:spacing w:line="500" w:lineRule="exact"/>
        <w:rPr>
          <w:rFonts w:ascii="方正黑体_GBK" w:hAnsi="方正黑体_GBK" w:cs="方正黑体_GBK" w:eastAsiaTheme="minorEastAsia"/>
          <w:bCs/>
          <w:sz w:val="28"/>
          <w:szCs w:val="28"/>
        </w:rPr>
      </w:pPr>
      <w:r>
        <w:rPr>
          <w:rFonts w:hint="eastAsia" w:ascii="方正黑体_GBK" w:hAnsi="方正黑体_GBK" w:cs="方正黑体_GBK" w:eastAsiaTheme="minorEastAsia"/>
          <w:bCs/>
          <w:sz w:val="28"/>
          <w:szCs w:val="28"/>
        </w:rPr>
        <w:t xml:space="preserve">  </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  开标和评标</w:t>
      </w:r>
      <w:r/>
    </w:p>
    <w:p>
      <w:pPr>
        <w:pStyle w:val="910"/>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不见面远程开标模式：投标人在各自地点通过“苏采云”系统参加开标会。</w:t>
      </w:r>
      <w:r/>
    </w:p>
    <w:p>
      <w:pPr>
        <w:pStyle w:val="910"/>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采用综合评分法，总分值为100分。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pStyle w:val="914"/>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p>
    <w:p>
      <w:pPr>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查</w:t>
      </w:r>
      <w:r/>
    </w:p>
    <w:p>
      <w:pPr>
        <w:pStyle w:val="914"/>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商务技术分：</w:t>
      </w:r>
      <w:r>
        <w:rPr>
          <w:rFonts w:hint="eastAsia" w:ascii="宋体" w:hAnsi="宋体" w:cs="宋体"/>
          <w:bCs/>
          <w:sz w:val="28"/>
          <w:szCs w:val="28"/>
        </w:rPr>
        <w:t xml:space="preserve">70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p>
    <w:p>
      <w:pPr>
        <w:ind w:firstLine="482"/>
        <w:jc w:val="left"/>
        <w:spacing w:line="500" w:lineRule="exact"/>
        <w:rPr>
          <w:rFonts w:eastAsia="方正仿宋_GBK"/>
          <w:b/>
          <w:bCs/>
          <w:sz w:val="24"/>
        </w:rPr>
      </w:pPr>
      <w:r>
        <w:rPr>
          <w:rFonts w:eastAsia="方正仿宋_GBK"/>
          <w:b/>
          <w:bCs/>
          <w:sz w:val="24"/>
        </w:rPr>
      </w:r>
      <w:r/>
    </w:p>
    <w:tbl>
      <w:tblPr>
        <w:tblStyle w:val="859"/>
        <w:tblW w:w="9615" w:type="dxa"/>
        <w:tblInd w:w="135" w:type="dxa"/>
        <w:tblLayout w:type="fixed"/>
        <w:tblCellMar>
          <w:left w:w="108" w:type="dxa"/>
          <w:top w:w="0" w:type="dxa"/>
          <w:right w:w="108" w:type="dxa"/>
          <w:bottom w:w="0" w:type="dxa"/>
        </w:tblCellMar>
        <w:tblLook w:val="04A0" w:firstRow="1" w:lastRow="0" w:firstColumn="1" w:lastColumn="0" w:noHBand="0" w:noVBand="1"/>
      </w:tblPr>
      <w:tblGrid>
        <w:gridCol w:w="510"/>
        <w:gridCol w:w="1239"/>
        <w:gridCol w:w="6971"/>
        <w:gridCol w:w="895"/>
      </w:tblGrid>
      <w:tr>
        <w:trPr>
          <w:trHeight w:val="502"/>
        </w:trPr>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widowControl/>
              <w:rPr>
                <w:rFonts w:ascii="宋体"/>
                <w:b/>
                <w:bCs/>
                <w:sz w:val="24"/>
              </w:rPr>
            </w:pPr>
            <w:r>
              <w:rPr>
                <w:rFonts w:hint="eastAsia" w:ascii="宋体" w:hAnsi="宋体"/>
                <w:b/>
                <w:bCs/>
                <w:sz w:val="24"/>
              </w:rPr>
              <w:t xml:space="preserve">序号</w:t>
            </w:r>
            <w:r/>
          </w:p>
        </w:tc>
        <w:tc>
          <w:tcPr>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jc w:val="center"/>
              <w:widowControl/>
              <w:rPr>
                <w:rFonts w:ascii="宋体" w:hAnsi="宋体"/>
                <w:b/>
                <w:bCs/>
                <w:sz w:val="24"/>
              </w:rPr>
            </w:pPr>
            <w:r>
              <w:rPr>
                <w:rFonts w:hint="eastAsia" w:ascii="宋体" w:hAnsi="宋体"/>
                <w:b/>
                <w:bCs/>
                <w:sz w:val="24"/>
              </w:rPr>
              <w:t xml:space="preserve">评分</w:t>
            </w:r>
            <w:r/>
          </w:p>
          <w:p>
            <w:pPr>
              <w:jc w:val="center"/>
              <w:widowControl/>
              <w:rPr>
                <w:rFonts w:ascii="宋体"/>
                <w:b/>
                <w:bCs/>
                <w:sz w:val="24"/>
              </w:rPr>
            </w:pPr>
            <w:r>
              <w:rPr>
                <w:rFonts w:hint="eastAsia" w:ascii="宋体" w:hAnsi="宋体"/>
                <w:b/>
                <w:bCs/>
                <w:sz w:val="24"/>
              </w:rPr>
              <w:t xml:space="preserve">因素</w:t>
            </w:r>
            <w:r/>
          </w:p>
        </w:tc>
        <w:tc>
          <w:tcPr>
            <w:tcBorders>
              <w:top w:val="single" w:color="auto" w:sz="4" w:space="0"/>
              <w:left w:val="none" w:color="000000" w:sz="4" w:space="0"/>
              <w:bottom w:val="single" w:color="auto" w:sz="4" w:space="0"/>
              <w:right w:val="single" w:color="auto" w:sz="4" w:space="0"/>
            </w:tcBorders>
            <w:tcW w:w="6971" w:type="dxa"/>
            <w:vAlign w:val="center"/>
            <w:textDirection w:val="lrTb"/>
            <w:noWrap w:val="false"/>
          </w:tcPr>
          <w:p>
            <w:pPr>
              <w:jc w:val="center"/>
              <w:widowControl/>
              <w:rPr>
                <w:rFonts w:ascii="宋体"/>
                <w:b/>
                <w:bCs/>
                <w:sz w:val="24"/>
              </w:rPr>
            </w:pPr>
            <w:r>
              <w:rPr>
                <w:rFonts w:hint="eastAsia" w:ascii="宋体" w:hAnsi="宋体"/>
                <w:b/>
                <w:bCs/>
                <w:sz w:val="24"/>
              </w:rPr>
              <w:t xml:space="preserve">评审标准</w:t>
            </w:r>
            <w:r/>
          </w:p>
        </w:tc>
        <w:tc>
          <w:tcPr>
            <w:tcBorders>
              <w:top w:val="single" w:color="auto" w:sz="4" w:space="0"/>
              <w:left w:val="none" w:color="000000" w:sz="4" w:space="0"/>
              <w:bottom w:val="single" w:color="auto" w:sz="4" w:space="0"/>
              <w:right w:val="single" w:color="auto" w:sz="4" w:space="0"/>
            </w:tcBorders>
            <w:tcW w:w="895" w:type="dxa"/>
            <w:textDirection w:val="lrTb"/>
            <w:noWrap w:val="false"/>
          </w:tcPr>
          <w:p>
            <w:pPr>
              <w:jc w:val="center"/>
              <w:widowControl/>
              <w:rPr>
                <w:rFonts w:ascii="宋体" w:hAnsi="宋体"/>
                <w:b/>
                <w:bCs/>
                <w:sz w:val="24"/>
              </w:rPr>
            </w:pPr>
            <w:r>
              <w:rPr>
                <w:rFonts w:hint="eastAsia" w:ascii="宋体" w:hAnsi="宋体"/>
                <w:b/>
                <w:bCs/>
                <w:sz w:val="24"/>
              </w:rPr>
              <w:t xml:space="preserve">满分</w:t>
            </w:r>
            <w:r/>
          </w:p>
          <w:p>
            <w:pPr>
              <w:pStyle w:val="863"/>
              <w:jc w:val="center"/>
            </w:pPr>
            <w:r>
              <w:rPr>
                <w:rFonts w:hint="eastAsia" w:ascii="宋体" w:hAnsi="宋体" w:eastAsia="宋体" w:cs="宋体"/>
                <w:b/>
                <w:bCs/>
              </w:rPr>
              <w:t xml:space="preserve">分值</w:t>
            </w:r>
            <w:r/>
          </w:p>
        </w:tc>
      </w:tr>
      <w:tr>
        <w:trPr>
          <w:trHeight w:val="446"/>
        </w:trPr>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360" w:lineRule="exact"/>
              <w:widowControl/>
              <w:rPr>
                <w:rFonts w:ascii="宋体" w:hAnsi="宋体"/>
                <w:sz w:val="24"/>
              </w:rPr>
            </w:pPr>
            <w:r>
              <w:rPr>
                <w:rFonts w:hint="eastAsia" w:ascii="宋体" w:hAnsi="宋体"/>
                <w:sz w:val="24"/>
              </w:rPr>
              <w:t xml:space="preserve">1</w:t>
            </w:r>
            <w:r/>
          </w:p>
        </w:tc>
        <w:tc>
          <w:tcPr>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jc w:val="center"/>
              <w:spacing w:line="360" w:lineRule="exact"/>
              <w:widowControl/>
              <w:rPr>
                <w:rFonts w:ascii="宋体" w:hAnsi="宋体"/>
                <w:sz w:val="24"/>
              </w:rPr>
            </w:pPr>
            <w:r>
              <w:rPr>
                <w:rFonts w:hint="eastAsia" w:ascii="宋体" w:hAnsi="宋体"/>
                <w:color w:val="000000"/>
                <w:sz w:val="24"/>
              </w:rPr>
              <w:t xml:space="preserve">光纤组网方案</w:t>
            </w:r>
            <w:r/>
          </w:p>
        </w:tc>
        <w:tc>
          <w:tcPr>
            <w:tcBorders>
              <w:top w:val="single" w:color="auto" w:sz="4" w:space="0"/>
              <w:left w:val="none" w:color="000000" w:sz="4" w:space="0"/>
              <w:bottom w:val="single" w:color="auto" w:sz="4" w:space="0"/>
              <w:right w:val="single" w:color="auto" w:sz="4" w:space="0"/>
            </w:tcBorders>
            <w:tcW w:w="6971" w:type="dxa"/>
            <w:vAlign w:val="center"/>
            <w:textDirection w:val="lrTb"/>
            <w:noWrap w:val="false"/>
          </w:tcPr>
          <w:p>
            <w:pPr>
              <w:spacing w:line="273" w:lineRule="auto"/>
              <w:rPr>
                <w:rFonts w:ascii="宋体" w:hAnsi="宋体"/>
                <w:sz w:val="24"/>
              </w:rPr>
            </w:pPr>
            <w:r>
              <w:rPr>
                <w:rFonts w:hint="eastAsia" w:ascii="宋体" w:hAnsi="宋体"/>
                <w:color w:val="000000"/>
                <w:sz w:val="24"/>
              </w:rPr>
              <w:t xml:space="preserve">对响应供应商提出的技术方案总体评价，提供详尽的组网方案（可含网络拓扑、光缆路由、重点部位双路由等），方案具体详细、可操作性强，符合采购需求的得20分，方案较详细、建议可操作性较强，符合采购需求的得15分，方案详细程度一般，可操作性一般，基本符合采购需求得8分，方案差，没有可操作性，不符合采购需求得3分，没有不得分；</w:t>
            </w:r>
            <w:r/>
          </w:p>
        </w:tc>
        <w:tc>
          <w:tcPr>
            <w:tcBorders>
              <w:top w:val="single" w:color="auto" w:sz="4" w:space="0"/>
              <w:left w:val="none" w:color="000000" w:sz="4" w:space="0"/>
              <w:bottom w:val="single" w:color="auto" w:sz="4" w:space="0"/>
              <w:right w:val="single" w:color="auto" w:sz="4" w:space="0"/>
            </w:tcBorders>
            <w:tcW w:w="895" w:type="dxa"/>
            <w:vAlign w:val="center"/>
            <w:textDirection w:val="lrTb"/>
            <w:noWrap w:val="false"/>
          </w:tcPr>
          <w:p>
            <w:pPr>
              <w:jc w:val="center"/>
              <w:spacing w:line="340" w:lineRule="exact"/>
              <w:rPr>
                <w:rFonts w:ascii="宋体" w:hAnsi="宋体"/>
                <w:color w:val="000000"/>
                <w:sz w:val="24"/>
              </w:rPr>
            </w:pPr>
            <w:r>
              <w:rPr>
                <w:rFonts w:hint="eastAsia" w:ascii="宋体" w:hAnsi="宋体"/>
                <w:color w:val="000000"/>
                <w:sz w:val="24"/>
              </w:rPr>
              <w:t xml:space="preserve">20</w:t>
            </w:r>
            <w:r/>
          </w:p>
        </w:tc>
      </w:tr>
      <w:tr>
        <w:trPr>
          <w:trHeight w:val="496"/>
        </w:trPr>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360" w:lineRule="exact"/>
              <w:widowControl/>
              <w:rPr>
                <w:rFonts w:ascii="宋体" w:hAnsi="宋体"/>
                <w:sz w:val="24"/>
              </w:rPr>
            </w:pPr>
            <w:r>
              <w:rPr>
                <w:rFonts w:hint="eastAsia" w:ascii="宋体" w:hAnsi="宋体"/>
                <w:sz w:val="24"/>
              </w:rPr>
              <w:t xml:space="preserve">2</w:t>
            </w:r>
            <w:r/>
          </w:p>
        </w:tc>
        <w:tc>
          <w:tcPr>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jc w:val="center"/>
              <w:rPr>
                <w:rFonts w:ascii="宋体" w:hAnsi="宋体"/>
                <w:sz w:val="24"/>
              </w:rPr>
              <w:outlineLvl w:val="3"/>
            </w:pPr>
            <w:r>
              <w:rPr>
                <w:rFonts w:hint="eastAsia" w:ascii="宋体" w:hAnsi="宋体"/>
                <w:color w:val="0c0c0c"/>
                <w:sz w:val="24"/>
              </w:rPr>
              <w:t xml:space="preserve">应急抢修方案</w:t>
            </w:r>
            <w:r/>
          </w:p>
        </w:tc>
        <w:tc>
          <w:tcPr>
            <w:tcBorders>
              <w:top w:val="single" w:color="auto" w:sz="4" w:space="0"/>
              <w:left w:val="none" w:color="000000" w:sz="4" w:space="0"/>
              <w:bottom w:val="single" w:color="auto" w:sz="4" w:space="0"/>
              <w:right w:val="single" w:color="auto" w:sz="4" w:space="0"/>
            </w:tcBorders>
            <w:tcW w:w="6971" w:type="dxa"/>
            <w:vAlign w:val="center"/>
            <w:textDirection w:val="lrTb"/>
            <w:noWrap w:val="false"/>
          </w:tcPr>
          <w:p>
            <w:pPr>
              <w:jc w:val="left"/>
              <w:rPr>
                <w:rFonts w:ascii="宋体" w:hAnsi="宋体"/>
                <w:color w:val="ff0000"/>
                <w:sz w:val="24"/>
              </w:rPr>
            </w:pPr>
            <w:r>
              <w:rPr>
                <w:rFonts w:hint="eastAsia" w:ascii="宋体" w:hAnsi="宋体"/>
                <w:sz w:val="24"/>
              </w:rPr>
              <w:t xml:space="preserve">对响应供应商提出的解决方案总体评价，提供详尽的解决方案方案（可含突发事件应急流程及处置方案、保障团队方案、日常巡检方案等），方案具体详细、可操作性强，符合采购需求的得20分，方案较详细、建议可操作性较强，符合采购需求的得15分，方案详细程度一般，可操作性一般，基本符合采购需求得8分，方案差，没有可操作性，不符合采购需求得3分，没有不得分；</w:t>
            </w:r>
            <w:r/>
          </w:p>
        </w:tc>
        <w:tc>
          <w:tcPr>
            <w:tcBorders>
              <w:top w:val="single" w:color="auto" w:sz="4" w:space="0"/>
              <w:left w:val="none" w:color="000000" w:sz="4" w:space="0"/>
              <w:bottom w:val="single" w:color="auto" w:sz="4" w:space="0"/>
              <w:right w:val="single" w:color="auto" w:sz="4" w:space="0"/>
            </w:tcBorders>
            <w:tcW w:w="895"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20</w:t>
            </w:r>
            <w:r/>
          </w:p>
        </w:tc>
      </w:tr>
      <w:tr>
        <w:trPr>
          <w:trHeight w:val="689"/>
        </w:trPr>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360" w:lineRule="exact"/>
              <w:widowControl/>
              <w:rPr>
                <w:rFonts w:ascii="宋体" w:hAnsi="宋体"/>
                <w:sz w:val="24"/>
              </w:rPr>
            </w:pPr>
            <w:r>
              <w:rPr>
                <w:rFonts w:hint="eastAsia" w:ascii="宋体" w:hAnsi="宋体"/>
                <w:sz w:val="24"/>
              </w:rPr>
              <w:t xml:space="preserve">3</w:t>
            </w:r>
            <w:r/>
          </w:p>
        </w:tc>
        <w:tc>
          <w:tcPr>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jc w:val="center"/>
              <w:widowControl/>
              <w:rPr>
                <w:rFonts w:ascii="宋体" w:hAnsi="宋体"/>
                <w:sz w:val="24"/>
              </w:rPr>
            </w:pPr>
            <w:r>
              <w:rPr>
                <w:rFonts w:hint="eastAsia" w:ascii="宋体" w:hAnsi="宋体"/>
                <w:color w:val="000000"/>
                <w:sz w:val="24"/>
              </w:rPr>
              <w:t xml:space="preserve">网络安全方案</w:t>
            </w:r>
            <w:r/>
          </w:p>
        </w:tc>
        <w:tc>
          <w:tcPr>
            <w:tcBorders>
              <w:top w:val="single" w:color="auto" w:sz="4" w:space="0"/>
              <w:left w:val="none" w:color="000000" w:sz="4" w:space="0"/>
              <w:bottom w:val="single" w:color="auto" w:sz="4" w:space="0"/>
              <w:right w:val="single" w:color="auto" w:sz="4" w:space="0"/>
            </w:tcBorders>
            <w:tcW w:w="6971" w:type="dxa"/>
            <w:vAlign w:val="center"/>
            <w:textDirection w:val="lrTb"/>
            <w:noWrap w:val="false"/>
          </w:tcPr>
          <w:p>
            <w:pPr>
              <w:jc w:val="left"/>
              <w:rPr>
                <w:rFonts w:ascii="宋体" w:hAnsi="宋体"/>
                <w:color w:val="000000"/>
                <w:sz w:val="24"/>
              </w:rPr>
            </w:pPr>
            <w:r>
              <w:rPr>
                <w:rFonts w:hint="eastAsia" w:ascii="宋体" w:hAnsi="宋体"/>
                <w:color w:val="000000"/>
                <w:sz w:val="24"/>
              </w:rPr>
              <w:t xml:space="preserve">对响应供应商提出的解决方案总体评价，提供详尽的公安图像网传输链路安全保障方案，方案具体详细、可操作性强，符合采购需求的得15分，方案较详细、建议可操作性较强，符合采购需求的得8分，方案详细程度一般，可操作性一般，基本符合采购需求得4分，方案差，没有可操作性，不符合采购需求得2分，没有不得分；</w:t>
            </w:r>
            <w:r/>
          </w:p>
        </w:tc>
        <w:tc>
          <w:tcPr>
            <w:tcBorders>
              <w:top w:val="single" w:color="auto" w:sz="4" w:space="0"/>
              <w:left w:val="none" w:color="000000" w:sz="4" w:space="0"/>
              <w:bottom w:val="single" w:color="auto" w:sz="4" w:space="0"/>
              <w:right w:val="single" w:color="auto" w:sz="4" w:space="0"/>
            </w:tcBorders>
            <w:tcW w:w="895"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15</w:t>
            </w:r>
            <w:r/>
          </w:p>
        </w:tc>
      </w:tr>
      <w:tr>
        <w:trPr>
          <w:trHeight w:val="689"/>
        </w:trPr>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360" w:lineRule="exact"/>
              <w:widowControl/>
              <w:rPr>
                <w:rFonts w:ascii="宋体" w:hAnsi="宋体"/>
                <w:sz w:val="24"/>
              </w:rPr>
            </w:pPr>
            <w:r>
              <w:rPr>
                <w:rFonts w:hint="eastAsia" w:ascii="宋体" w:hAnsi="宋体"/>
                <w:sz w:val="24"/>
              </w:rPr>
              <w:t xml:space="preserve">4</w:t>
            </w:r>
            <w:r/>
          </w:p>
        </w:tc>
        <w:tc>
          <w:tcPr>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jc w:val="center"/>
              <w:widowControl/>
              <w:rPr>
                <w:rFonts w:ascii="宋体" w:hAnsi="宋体"/>
                <w:color w:val="000000"/>
                <w:sz w:val="24"/>
              </w:rPr>
            </w:pPr>
            <w:r>
              <w:rPr>
                <w:rFonts w:hint="eastAsia" w:ascii="宋体" w:hAnsi="宋体"/>
                <w:color w:val="000000"/>
                <w:sz w:val="24"/>
              </w:rPr>
              <w:t xml:space="preserve">运维服务能力</w:t>
            </w:r>
            <w:r/>
          </w:p>
        </w:tc>
        <w:tc>
          <w:tcPr>
            <w:tcBorders>
              <w:top w:val="single" w:color="auto" w:sz="4" w:space="0"/>
              <w:left w:val="none" w:color="000000" w:sz="4" w:space="0"/>
              <w:bottom w:val="single" w:color="auto" w:sz="4" w:space="0"/>
              <w:right w:val="single" w:color="auto" w:sz="4" w:space="0"/>
            </w:tcBorders>
            <w:tcW w:w="6971" w:type="dxa"/>
            <w:vAlign w:val="center"/>
            <w:textDirection w:val="lrTb"/>
            <w:noWrap w:val="false"/>
          </w:tcPr>
          <w:p>
            <w:pPr>
              <w:jc w:val="left"/>
              <w:rPr>
                <w:rFonts w:ascii="宋体" w:hAnsi="宋体"/>
                <w:color w:val="000000"/>
                <w:sz w:val="24"/>
              </w:rPr>
            </w:pPr>
            <w:r>
              <w:rPr>
                <w:rFonts w:hint="eastAsia" w:ascii="宋体" w:hAnsi="宋体"/>
                <w:color w:val="000000"/>
                <w:sz w:val="24"/>
              </w:rPr>
              <w:t xml:space="preserve">为有效应对重大活动、突发事件、突发障碍，投标单位须能够调动应急人员到现场帮助处理问题，提供切实可行的解决方案和证明材料得5分。需提供相关证明或者承诺（加盖公章）。</w:t>
            </w:r>
            <w:r/>
          </w:p>
          <w:p>
            <w:pPr>
              <w:jc w:val="left"/>
              <w:rPr>
                <w:rFonts w:ascii="宋体" w:hAnsi="宋体"/>
                <w:color w:val="000000"/>
                <w:sz w:val="24"/>
              </w:rPr>
            </w:pPr>
            <w:r>
              <w:rPr>
                <w:rFonts w:hint="eastAsia" w:ascii="宋体" w:hAnsi="宋体"/>
                <w:color w:val="000000"/>
                <w:sz w:val="24"/>
              </w:rPr>
              <w:t xml:space="preserve">至少提供5名应急响应维护人员，每人2分，最高10分。（提供人员身份证及供应商为其缴纳的本招标公告发布之日前三个月内任意一个月的养老保险缴费证明，由当地社保机构出具，并加盖印章。如已实行网上直接打印的地区，可提供网上彩打材料，但必须注明查询网址及查询方式）。</w:t>
            </w:r>
            <w:r/>
          </w:p>
        </w:tc>
        <w:tc>
          <w:tcPr>
            <w:tcBorders>
              <w:top w:val="single" w:color="auto" w:sz="4" w:space="0"/>
              <w:left w:val="none" w:color="000000" w:sz="4" w:space="0"/>
              <w:bottom w:val="single" w:color="auto" w:sz="4" w:space="0"/>
              <w:right w:val="single" w:color="auto" w:sz="4" w:space="0"/>
            </w:tcBorders>
            <w:tcW w:w="895" w:type="dxa"/>
            <w:vAlign w:val="center"/>
            <w:textDirection w:val="lrTb"/>
            <w:noWrap w:val="false"/>
          </w:tcPr>
          <w:p>
            <w:pPr>
              <w:jc w:val="center"/>
              <w:spacing w:line="360" w:lineRule="auto"/>
              <w:widowControl/>
              <w:rPr>
                <w:rFonts w:ascii="宋体" w:hAnsi="宋体"/>
                <w:color w:val="000000"/>
                <w:sz w:val="24"/>
              </w:rPr>
            </w:pPr>
            <w:r>
              <w:rPr>
                <w:rFonts w:hint="eastAsia" w:ascii="宋体" w:hAnsi="宋体"/>
                <w:color w:val="000000"/>
                <w:sz w:val="24"/>
              </w:rPr>
              <w:t xml:space="preserve">15</w:t>
            </w:r>
            <w:r/>
          </w:p>
        </w:tc>
      </w:tr>
    </w:tbl>
    <w:p>
      <w:pPr>
        <w:ind w:firstLine="482"/>
        <w:jc w:val="left"/>
        <w:spacing w:line="500" w:lineRule="exact"/>
        <w:rPr>
          <w:rFonts w:eastAsia="方正仿宋_GBK"/>
          <w:b/>
          <w:bCs/>
          <w:sz w:val="24"/>
        </w:rPr>
      </w:pPr>
      <w:r>
        <w:rPr>
          <w:rFonts w:eastAsia="方正仿宋_GBK"/>
          <w:b/>
          <w:bCs/>
          <w:sz w:val="24"/>
        </w:rPr>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价格分</w:t>
      </w:r>
      <w:r>
        <w:rPr>
          <w:rFonts w:hint="eastAsia" w:ascii="方正楷体_GBK" w:hAnsi="方正楷体_GBK" w:eastAsia="方正楷体_GBK" w:cs="方正楷体_GBK"/>
          <w:bCs/>
          <w:sz w:val="28"/>
          <w:szCs w:val="28"/>
        </w:rPr>
        <w:t xml:space="preserve">：</w:t>
      </w:r>
      <w:r>
        <w:rPr>
          <w:rFonts w:hint="eastAsia" w:ascii="方正楷体_GBK" w:hAnsi="方正楷体_GBK" w:cs="方正楷体_GBK" w:eastAsiaTheme="minorEastAsia"/>
          <w:bCs/>
          <w:sz w:val="28"/>
          <w:szCs w:val="28"/>
        </w:rPr>
        <w:t xml:space="preserve">30 </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p>
    <w:p>
      <w:pPr>
        <w:pStyle w:val="910"/>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（1）小微型企业价格扣除：</w:t>
      </w:r>
      <w:r/>
    </w:p>
    <w:p>
      <w:pPr>
        <w:ind w:firstLine="570"/>
        <w:spacing w:line="500" w:lineRule="exact"/>
        <w:rPr>
          <w:rFonts w:eastAsia="方正仿宋_GBK"/>
          <w:bCs/>
          <w:sz w:val="28"/>
          <w:szCs w:val="28"/>
        </w:rPr>
      </w:pPr>
      <w:r>
        <w:rPr>
          <w:rFonts w:eastAsia="方正仿宋_GBK"/>
          <w:bCs/>
          <w:sz w:val="28"/>
          <w:szCs w:val="28"/>
        </w:rPr>
        <w:t xml:space="preserve">①对小型和微型企业产品给予10%的扣除价格，用扣除后的价格参与评审。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300号）文件规定自行填写。</w:t>
      </w:r>
      <w:r/>
    </w:p>
    <w:p>
      <w:pPr>
        <w:ind w:firstLine="570"/>
        <w:spacing w:line="500" w:lineRule="exact"/>
        <w:rPr>
          <w:rFonts w:eastAsia="方正仿宋_GBK"/>
          <w:bCs/>
          <w:sz w:val="28"/>
          <w:szCs w:val="28"/>
        </w:rPr>
      </w:pPr>
      <w:r>
        <w:rPr>
          <w:rFonts w:eastAsia="方正仿宋_GBK"/>
          <w:bCs/>
          <w:sz w:val="28"/>
          <w:szCs w:val="28"/>
        </w:rPr>
        <w:t xml:space="preserve">（2）残疾人福利单位价格扣除：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①对残疾人福利性单位，给予10%的价格扣除，用扣除后的价格参与评审。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①对监狱和戒毒企业（简称监狱企业）给予10%的价格扣除，用扣除后的价格参与评审。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③监狱企业标准请参照《关于政府采购支持监狱企业发展有关问题的通知》（财库〔2014</w:t>
      </w:r>
      <w:r>
        <w:rPr>
          <w:rFonts w:eastAsia="方正仿宋_GBK"/>
          <w:sz w:val="28"/>
          <w:szCs w:val="28"/>
          <w:lang w:val="zh-CN"/>
        </w:rPr>
        <w:t xml:space="preserve">〕</w:t>
      </w:r>
      <w:r>
        <w:rPr>
          <w:rFonts w:eastAsia="方正仿宋_GBK"/>
          <w:bCs/>
          <w:sz w:val="28"/>
          <w:szCs w:val="28"/>
        </w:rPr>
        <w:t xml:space="preserve">68号）。</w:t>
      </w:r>
      <w:r/>
    </w:p>
    <w:p>
      <w:pPr>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2.专门面向中小企业采购的项目或者采购包，不再执行上述价格评审优惠的扶持政策。</w:t>
      </w:r>
      <w:r/>
    </w:p>
    <w:p>
      <w:pPr>
        <w:pStyle w:val="910"/>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评委会汇总各评委评分后，综合评审得分最高的投标人为中标候选人，若总得分者有相同时，则投标报价低者排名优先，均相同时则通过抽签方式随机确定排名顺序。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本项目（每标段）选取1名中标候选人，并编写评标报告。采购人应根据评委会推荐的中标候选人确定中标人。</w:t>
      </w:r>
      <w:r/>
    </w:p>
    <w:p>
      <w:pPr>
        <w:pStyle w:val="910"/>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自确定中标人之日起2个工作日内，在江苏政府采购网公告中标结果，公告期限为1个工作日。</w:t>
      </w:r>
      <w:r/>
    </w:p>
    <w:p>
      <w:pPr>
        <w:pStyle w:val="910"/>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1</w:t>
      </w:r>
      <w:r>
        <w:rPr>
          <w:rFonts w:eastAsia="方正仿宋_GBK"/>
          <w:b/>
          <w:sz w:val="28"/>
          <w:szCs w:val="28"/>
        </w:rPr>
        <w:t xml:space="preserve">正</w:t>
      </w:r>
      <w:r>
        <w:rPr>
          <w:rFonts w:hint="eastAsia" w:eastAsia="方正仿宋_GBK"/>
          <w:b/>
          <w:sz w:val="28"/>
          <w:szCs w:val="28"/>
        </w:rPr>
        <w:t xml:space="preserve">2</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  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（格式见附件1）（如分公司参加投标的，另需提供总公司的授权证明）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3.法定代表人参加投标的提供法定代表人身份证明书（格式见附件2）；非法定代表人参加投标的提供法定代表人授权委托书原件（格式见附件3）</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5.投标函（格式见附件5）</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商务部分正负偏离表（格式见附件6）、技术部分正负偏离表（格式见附件7）</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74"/>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7.开标一览表[格式见“苏采云”系统内电子投标（响应）文件中表式]</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中小企业声明函（格式见附件9）</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sz w:val="28"/>
          <w:szCs w:val="28"/>
          <w:lang w:val="zh-CN"/>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b/>
          <w:sz w:val="28"/>
          <w:szCs w:val="28"/>
        </w:rPr>
      </w:pPr>
      <w:r>
        <w:rPr>
          <w:b/>
          <w:sz w:val="28"/>
          <w:szCs w:val="28"/>
        </w:rPr>
      </w:r>
      <w:r/>
    </w:p>
    <w:p>
      <w:pPr>
        <w:contextualSpacing/>
        <w:spacing w:line="400" w:lineRule="exact"/>
        <w:rPr>
          <w:rFonts w:eastAsia="方正黑体_GBK"/>
          <w:sz w:val="32"/>
          <w:szCs w:val="32"/>
          <w:lang w:val="zh-CN"/>
        </w:rPr>
      </w:pPr>
      <w:r>
        <w:rPr>
          <w:rFonts w:eastAsia="方正黑体_GBK"/>
          <w:sz w:val="32"/>
          <w:szCs w:val="32"/>
          <w:lang w:val="zh-CN"/>
        </w:rPr>
        <w:t xml:space="preserve">附件2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bookmarkStart w:id="135" w:name="_GoBack"/>
      <w:r/>
      <w:bookmarkEnd w:id="135"/>
      <w:r>
        <w:rPr>
          <w:rFonts w:eastAsia="方正黑体_GBK"/>
          <w:sz w:val="32"/>
          <w:szCs w:val="32"/>
        </w:rPr>
        <w:t xml:space="preserve">附件6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859"/>
        <w:tblW w:w="881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811" w:type="dxa"/>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2211" w:type="dxa"/>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930" w:type="dxa"/>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2491" w:type="dxa"/>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372" w:type="dxa"/>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11" w:type="dxa"/>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221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30"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49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372" w:type="dxa"/>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811" w:type="dxa"/>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221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30"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49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372" w:type="dxa"/>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811" w:type="dxa"/>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221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30"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49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372" w:type="dxa"/>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811" w:type="dxa"/>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221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30"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49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372" w:type="dxa"/>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859"/>
        <w:tblW w:w="881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811" w:type="dxa"/>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2211" w:type="dxa"/>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930" w:type="dxa"/>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2491" w:type="dxa"/>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372" w:type="dxa"/>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11" w:type="dxa"/>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221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30"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49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372" w:type="dxa"/>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811" w:type="dxa"/>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221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30"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49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372" w:type="dxa"/>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811" w:type="dxa"/>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221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30"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49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372" w:type="dxa"/>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811" w:type="dxa"/>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221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30"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49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372" w:type="dxa"/>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附件8</w:t>
      </w:r>
      <w:r/>
    </w:p>
    <w:p>
      <w:pPr>
        <w:ind w:left="984" w:hanging="984"/>
        <w:spacing w:line="400" w:lineRule="exact"/>
        <w:rPr>
          <w:rFonts w:eastAsia="仿宋_GB2312"/>
          <w:b/>
          <w:bCs/>
          <w:sz w:val="28"/>
          <w:szCs w:val="28"/>
          <w:highlight w:val="yellow"/>
        </w:rPr>
      </w:pPr>
      <w:r>
        <w:rPr>
          <w:rFonts w:eastAsia="仿宋_GB2312"/>
          <w:b/>
          <w:bCs/>
          <w:sz w:val="28"/>
          <w:szCs w:val="28"/>
          <w:highlight w:val="yellow"/>
        </w:rPr>
      </w:r>
      <w:r/>
    </w:p>
    <w:p>
      <w:pPr>
        <w:jc w:val="center"/>
        <w:spacing w:line="400" w:lineRule="exact"/>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t xml:space="preserve">分项报价明细表（</w:t>
      </w:r>
      <w:r>
        <w:rPr>
          <w:rFonts w:hint="eastAsia" w:ascii="方正仿宋_GBK" w:hAnsi="方正仿宋_GBK" w:eastAsia="方正仿宋_GBK" w:cs="宋体"/>
          <w:sz w:val="28"/>
          <w:szCs w:val="28"/>
        </w:rPr>
        <w:t xml:space="preserve">启东市公安局2026年存量光纤租赁项目</w:t>
      </w:r>
      <w:r>
        <w:rPr>
          <w:rFonts w:ascii="方正小标宋简体" w:hAnsi="方正小标宋简体" w:eastAsia="方正小标宋简体" w:cs="方正小标宋简体"/>
          <w:sz w:val="32"/>
          <w:szCs w:val="32"/>
        </w:rPr>
        <w:t xml:space="preserve">）</w:t>
      </w:r>
      <w:r/>
    </w:p>
    <w:p>
      <w:pPr>
        <w:spacing w:line="400" w:lineRule="exact"/>
        <w:rPr>
          <w:rFonts w:eastAsia="仿宋_GB2312"/>
          <w:sz w:val="28"/>
          <w:szCs w:val="28"/>
          <w:highlight w:val="yellow"/>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年  月  日</w:t>
      </w:r>
      <w:r/>
    </w:p>
    <w:tbl>
      <w:tblPr>
        <w:tblStyle w:val="859"/>
        <w:tblW w:w="7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04"/>
        <w:gridCol w:w="1665"/>
        <w:gridCol w:w="966"/>
        <w:gridCol w:w="1419"/>
        <w:gridCol w:w="1650"/>
      </w:tblGrid>
      <w:tr>
        <w:trPr>
          <w:cantSplit/>
          <w:jc w:val="center"/>
          <w:trHeight w:val="859" w:hRule="exact"/>
        </w:trPr>
        <w:tc>
          <w:tcPr>
            <w:tcW w:w="97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30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66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（元/条月）</w:t>
            </w:r>
            <w:r/>
          </w:p>
        </w:tc>
        <w:tc>
          <w:tcPr>
            <w:tcW w:w="96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1419"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年度金额</w:t>
            </w:r>
            <w:r/>
          </w:p>
        </w:tc>
        <w:tc>
          <w:tcPr>
            <w:tcW w:w="165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971"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30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光纤租赁</w:t>
            </w:r>
            <w:r/>
          </w:p>
        </w:tc>
        <w:tc>
          <w:tcPr>
            <w:tcW w:w="166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6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943</w:t>
            </w:r>
            <w:r/>
          </w:p>
        </w:tc>
        <w:tc>
          <w:tcPr>
            <w:tcW w:w="1419"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50" w:type="dxa"/>
            <w:vAlign w:val="center"/>
            <w:textDirection w:val="lrTb"/>
            <w:noWrap w:val="false"/>
          </w:tcPr>
          <w:p>
            <w:pPr>
              <w:jc w:val="left"/>
              <w:spacing w:line="360" w:lineRule="auto"/>
              <w:rPr>
                <w:rFonts w:eastAsia="仿宋_GB2312"/>
                <w:color w:val="000000"/>
                <w:sz w:val="24"/>
              </w:rPr>
            </w:pPr>
            <w:r>
              <w:rPr>
                <w:rFonts w:hint="eastAsia" w:eastAsia="仿宋_GB2312"/>
                <w:color w:val="000000"/>
                <w:sz w:val="24"/>
              </w:rPr>
              <w:t xml:space="preserve">使用不足943根的，具体按实结算</w:t>
            </w:r>
            <w:r/>
          </w:p>
        </w:tc>
      </w:tr>
      <w:tr>
        <w:trPr>
          <w:cantSplit/>
          <w:jc w:val="center"/>
          <w:trHeight w:val="502"/>
        </w:trPr>
        <w:tc>
          <w:tcPr>
            <w:tcW w:w="971" w:type="dxa"/>
            <w:vAlign w:val="center"/>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130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6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66"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41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971" w:type="dxa"/>
            <w:vAlign w:val="center"/>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130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6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66"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41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971" w:type="dxa"/>
            <w:vAlign w:val="center"/>
            <w:textDirection w:val="lrTb"/>
            <w:noWrap w:val="false"/>
          </w:tcPr>
          <w:p>
            <w:pPr>
              <w:jc w:val="center"/>
              <w:spacing w:line="360" w:lineRule="auto"/>
              <w:rPr>
                <w:rFonts w:eastAsia="仿宋_GB2312"/>
                <w:color w:val="000000"/>
                <w:szCs w:val="21"/>
                <w:highlight w:val="yellow"/>
              </w:rPr>
            </w:pPr>
            <w:r>
              <w:rPr>
                <w:rFonts w:eastAsia="仿宋_GB2312"/>
                <w:color w:val="000000"/>
                <w:szCs w:val="21"/>
                <w:highlight w:val="yellow"/>
              </w:rPr>
            </w:r>
            <w:r/>
          </w:p>
        </w:tc>
        <w:tc>
          <w:tcPr>
            <w:tcW w:w="130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6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66"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41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971"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304"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65"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966"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419"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c>
          <w:tcPr>
            <w:tcW w:w="1650" w:type="dxa"/>
            <w:vAlign w:val="center"/>
            <w:textDirection w:val="lrTb"/>
            <w:noWrap w:val="false"/>
          </w:tcPr>
          <w:p>
            <w:pPr>
              <w:jc w:val="center"/>
              <w:spacing w:line="360" w:lineRule="auto"/>
              <w:rPr>
                <w:rFonts w:eastAsia="仿宋_GB2312"/>
                <w:color w:val="000000"/>
                <w:sz w:val="24"/>
                <w:highlight w:val="yellow"/>
              </w:rPr>
            </w:pPr>
            <w:r>
              <w:rPr>
                <w:rFonts w:eastAsia="仿宋_GB2312"/>
                <w:color w:val="000000"/>
                <w:sz w:val="24"/>
                <w:highlight w:val="yellow"/>
              </w:rPr>
            </w:r>
            <w:r/>
          </w:p>
        </w:tc>
      </w:tr>
      <w:tr>
        <w:trPr>
          <w:cantSplit/>
          <w:jc w:val="center"/>
          <w:trHeight w:val="513"/>
        </w:trPr>
        <w:tc>
          <w:tcPr>
            <w:tcW w:w="971" w:type="dxa"/>
            <w:vAlign w:val="center"/>
            <w:textDirection w:val="lrTb"/>
            <w:noWrap w:val="false"/>
          </w:tcPr>
          <w:p>
            <w:pPr>
              <w:jc w:val="center"/>
              <w:spacing w:line="360" w:lineRule="auto"/>
              <w:rPr>
                <w:rFonts w:ascii="仿宋" w:hAnsi="仿宋" w:eastAsia="仿宋" w:cs="仿宋"/>
                <w:color w:val="000000"/>
                <w:sz w:val="24"/>
                <w:highlight w:val="yellow"/>
              </w:rPr>
            </w:pPr>
            <w:r>
              <w:rPr>
                <w:rFonts w:hint="eastAsia" w:ascii="仿宋" w:hAnsi="仿宋" w:eastAsia="仿宋" w:cs="仿宋"/>
                <w:color w:val="000000"/>
                <w:sz w:val="24"/>
              </w:rPr>
              <w:t xml:space="preserve">合计</w:t>
            </w:r>
            <w:r/>
          </w:p>
        </w:tc>
        <w:tc>
          <w:tcPr>
            <w:tcW w:w="1304" w:type="dxa"/>
            <w:vAlign w:val="center"/>
            <w:textDirection w:val="lrTb"/>
            <w:noWrap w:val="false"/>
          </w:tcPr>
          <w:p>
            <w:pPr>
              <w:spacing w:line="360" w:lineRule="auto"/>
              <w:rPr>
                <w:rFonts w:ascii="仿宋" w:hAnsi="仿宋" w:eastAsia="仿宋" w:cs="仿宋"/>
                <w:szCs w:val="21"/>
              </w:rPr>
            </w:pPr>
            <w:r>
              <w:rPr>
                <w:rFonts w:hint="eastAsia" w:ascii="仿宋" w:hAnsi="仿宋" w:eastAsia="仿宋" w:cs="仿宋"/>
                <w:szCs w:val="21"/>
              </w:rPr>
              <w:t xml:space="preserve">人民币</w:t>
            </w:r>
            <w:r/>
          </w:p>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（大写）：</w:t>
            </w:r>
            <w:r/>
          </w:p>
        </w:tc>
        <w:tc>
          <w:tcPr>
            <w:gridSpan w:val="2"/>
            <w:tcW w:w="2631"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c>
          <w:tcPr>
            <w:tcW w:w="1419" w:type="dxa"/>
            <w:vAlign w:val="center"/>
            <w:textDirection w:val="lrTb"/>
            <w:noWrap w:val="false"/>
          </w:tcPr>
          <w:p>
            <w:pPr>
              <w:spacing w:line="360" w:lineRule="auto"/>
              <w:rPr>
                <w:rFonts w:ascii="仿宋" w:hAnsi="仿宋" w:eastAsia="仿宋" w:cs="仿宋"/>
                <w:color w:val="000000"/>
                <w:szCs w:val="21"/>
                <w:highlight w:val="yellow"/>
              </w:rPr>
            </w:pPr>
            <w:r>
              <w:rPr>
                <w:rFonts w:hint="eastAsia" w:ascii="仿宋" w:hAnsi="仿宋" w:eastAsia="仿宋" w:cs="仿宋"/>
                <w:szCs w:val="21"/>
              </w:rPr>
              <w:t xml:space="preserve">（小写）：¥</w:t>
            </w:r>
            <w:r/>
          </w:p>
        </w:tc>
        <w:tc>
          <w:tcPr>
            <w:tcW w:w="1650"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
          <w:sz w:val="24"/>
          <w:lang w:val="zh-CN"/>
        </w:rPr>
      </w:pPr>
      <w:r>
        <w:rPr>
          <w:rFonts w:hint="eastAsia" w:ascii="仿宋" w:hAnsi="仿宋" w:eastAsia="仿宋" w:cs="仿宋"/>
          <w:b/>
          <w:sz w:val="24"/>
          <w:lang w:val="zh-CN"/>
        </w:rPr>
        <w:t xml:space="preserve">注：</w:t>
      </w:r>
      <w:r>
        <w:rPr>
          <w:rFonts w:eastAsia="仿宋"/>
          <w:b/>
          <w:sz w:val="24"/>
          <w:lang w:val="zh-CN"/>
        </w:rPr>
        <w:t xml:space="preserve">1.</w:t>
      </w:r>
      <w:r>
        <w:rPr>
          <w:rFonts w:hint="eastAsia" w:ascii="仿宋" w:hAnsi="仿宋" w:eastAsia="仿宋" w:cs="仿宋"/>
          <w:b/>
          <w:sz w:val="24"/>
          <w:lang w:val="zh-CN"/>
        </w:rPr>
        <w:t xml:space="preserve">投标人必须按实填写项目采购清单中</w:t>
      </w:r>
      <w:r>
        <w:rPr>
          <w:rFonts w:hint="eastAsia" w:ascii="仿宋" w:hAnsi="仿宋" w:eastAsia="仿宋" w:cs="仿宋"/>
          <w:b/>
          <w:sz w:val="24"/>
        </w:rPr>
        <w:t xml:space="preserve">的各项内容</w:t>
      </w:r>
      <w:r>
        <w:rPr>
          <w:rFonts w:hint="eastAsia" w:ascii="仿宋" w:hAnsi="仿宋" w:eastAsia="仿宋" w:cs="仿宋"/>
          <w:b/>
          <w:sz w:val="24"/>
          <w:lang w:val="zh-CN"/>
        </w:rPr>
        <w:t xml:space="preserve">，且本表各分项报价合计应当与开标一览表报价合计相等。请各投标人务必按照以上要求填报，否则作为无效投标处理。</w:t>
      </w:r>
      <w:r/>
    </w:p>
    <w:p>
      <w:pPr>
        <w:ind w:firstLine="482"/>
        <w:spacing w:line="300" w:lineRule="auto"/>
        <w:rPr>
          <w:rFonts w:ascii="仿宋" w:hAnsi="仿宋" w:eastAsia="仿宋" w:cs="仿宋"/>
          <w:b/>
          <w:sz w:val="24"/>
          <w:lang w:val="zh-CN"/>
        </w:rPr>
        <w:outlineLvl w:val="0"/>
      </w:pPr>
      <w:r>
        <w:rPr>
          <w:rFonts w:eastAsia="仿宋"/>
          <w:b/>
          <w:sz w:val="24"/>
        </w:rPr>
        <w:t xml:space="preserve">2.</w:t>
      </w:r>
      <w:r>
        <w:rPr>
          <w:rFonts w:hint="eastAsia" w:ascii="仿宋" w:hAnsi="仿宋" w:eastAsia="仿宋" w:cs="仿宋"/>
          <w:b/>
          <w:sz w:val="24"/>
        </w:rPr>
        <w:t xml:space="preserve">主要标的信息</w:t>
      </w:r>
      <w:r>
        <w:rPr>
          <w:rFonts w:hint="eastAsia" w:ascii="仿宋" w:hAnsi="仿宋" w:eastAsia="仿宋" w:cs="仿宋"/>
          <w:b/>
          <w:sz w:val="24"/>
          <w:lang w:val="zh-CN"/>
        </w:rPr>
        <w:t xml:space="preserve">将随中标（成交）结果公告进行公示。内容不实的，属于提供虚假材料谋取中标、成交，依照《中华人民共和</w:t>
      </w:r>
      <w:r>
        <w:rPr>
          <w:rFonts w:hint="eastAsia" w:ascii="仿宋" w:hAnsi="仿宋" w:eastAsia="仿宋" w:cs="仿宋"/>
          <w:b/>
          <w:sz w:val="24"/>
        </w:rPr>
        <w:t xml:space="preserve">国政府采购法》等国家有关规定追究相应责</w:t>
      </w:r>
      <w:r>
        <w:rPr>
          <w:rFonts w:hint="eastAsia" w:ascii="仿宋" w:hAnsi="仿宋" w:eastAsia="仿宋" w:cs="仿宋"/>
          <w:b/>
          <w:sz w:val="24"/>
          <w:lang w:val="zh-CN"/>
        </w:rPr>
        <w:t xml:space="preserve">任。</w:t>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874"/>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874"/>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874"/>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874"/>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874"/>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874"/>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rPr>
        <w:t xml:space="preserve">知》（工信部联企业〔2011〕300号)和《国家统计局关于印发〈统计上大中小微型企业划分办法（2017）〉的通知》（国统字〔2017〕213号）的规定，自行勾选承接企业的企业规模类型。</w:t>
      </w:r>
      <w:r/>
    </w:p>
    <w:p>
      <w:pPr>
        <w:spacing w:line="300" w:lineRule="auto"/>
        <w:rPr>
          <w:rFonts w:eastAsia="方正黑体_GBK"/>
          <w:sz w:val="32"/>
          <w:szCs w:val="32"/>
        </w:rPr>
        <w:outlineLvl w:val="0"/>
      </w:pPr>
      <w:r>
        <w:rPr>
          <w:rFonts w:eastAsia="方正黑体_GBK"/>
          <w:sz w:val="32"/>
          <w:szCs w:val="32"/>
        </w:rPr>
        <w:t xml:space="preserve">附件10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874"/>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74"/>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74"/>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74"/>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1.专门面向中小微型企业采购的项目，供应商为残疾人福利性单位并提供服务的必须提供此声明函，否则将不能通过资格审查。</w:t>
      </w:r>
      <w:r/>
    </w:p>
    <w:p>
      <w:pPr>
        <w:pStyle w:val="874"/>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2.非专门面向中小微型企业采购的项目，供应商如不提供此声明函，价格将不做相应扣除。</w:t>
      </w:r>
      <w:r/>
    </w:p>
    <w:p>
      <w:pPr>
        <w:pStyle w:val="874"/>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3.中标/成交供应商为残疾人福利性单位的，此声明函将随中标/成交结果同时公告，接受社会监督。</w:t>
      </w:r>
      <w:r/>
    </w:p>
    <w:p>
      <w:pPr>
        <w:pStyle w:val="874"/>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74"/>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874"/>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附件12  </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质疑事项1：</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                   公章：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5.质疑函的质疑请求应与质疑事项相关。</w:t>
      </w:r>
      <w:r/>
    </w:p>
    <w:p>
      <w:pPr>
        <w:ind w:firstLine="640"/>
        <w:spacing w:line="560" w:lineRule="exact"/>
        <w:rPr>
          <w:rFonts w:eastAsia="仿宋"/>
          <w:sz w:val="32"/>
          <w:szCs w:val="32"/>
        </w:rP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楷体">
    <w:panose1 w:val="02010609060101010101"/>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69"/>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38</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38</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1"/>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3">
    <w:name w:val="Heading 1 Char"/>
    <w:basedOn w:val="858"/>
    <w:link w:val="849"/>
    <w:uiPriority w:val="9"/>
    <w:rPr>
      <w:rFonts w:ascii="Arial" w:hAnsi="Arial" w:eastAsia="Arial" w:cs="Arial"/>
      <w:sz w:val="40"/>
      <w:szCs w:val="40"/>
    </w:rPr>
  </w:style>
  <w:style w:type="character" w:styleId="684">
    <w:name w:val="Heading 2 Char"/>
    <w:basedOn w:val="858"/>
    <w:link w:val="850"/>
    <w:uiPriority w:val="9"/>
    <w:rPr>
      <w:rFonts w:ascii="Arial" w:hAnsi="Arial" w:eastAsia="Arial" w:cs="Arial"/>
      <w:sz w:val="34"/>
    </w:rPr>
  </w:style>
  <w:style w:type="character" w:styleId="685">
    <w:name w:val="Heading 3 Char"/>
    <w:basedOn w:val="858"/>
    <w:link w:val="851"/>
    <w:uiPriority w:val="9"/>
    <w:rPr>
      <w:rFonts w:ascii="Arial" w:hAnsi="Arial" w:eastAsia="Arial" w:cs="Arial"/>
      <w:sz w:val="30"/>
      <w:szCs w:val="30"/>
    </w:rPr>
  </w:style>
  <w:style w:type="character" w:styleId="686">
    <w:name w:val="Heading 4 Char"/>
    <w:basedOn w:val="858"/>
    <w:link w:val="852"/>
    <w:uiPriority w:val="9"/>
    <w:rPr>
      <w:rFonts w:ascii="Arial" w:hAnsi="Arial" w:eastAsia="Arial" w:cs="Arial"/>
      <w:b/>
      <w:bCs/>
      <w:sz w:val="26"/>
      <w:szCs w:val="26"/>
    </w:rPr>
  </w:style>
  <w:style w:type="character" w:styleId="687">
    <w:name w:val="Heading 5 Char"/>
    <w:basedOn w:val="858"/>
    <w:link w:val="853"/>
    <w:uiPriority w:val="9"/>
    <w:rPr>
      <w:rFonts w:ascii="Arial" w:hAnsi="Arial" w:eastAsia="Arial" w:cs="Arial"/>
      <w:b/>
      <w:bCs/>
      <w:sz w:val="24"/>
      <w:szCs w:val="24"/>
    </w:rPr>
  </w:style>
  <w:style w:type="character" w:styleId="688">
    <w:name w:val="Heading 6 Char"/>
    <w:basedOn w:val="858"/>
    <w:link w:val="854"/>
    <w:uiPriority w:val="9"/>
    <w:rPr>
      <w:rFonts w:ascii="Arial" w:hAnsi="Arial" w:eastAsia="Arial" w:cs="Arial"/>
      <w:b/>
      <w:bCs/>
      <w:sz w:val="22"/>
      <w:szCs w:val="22"/>
    </w:rPr>
  </w:style>
  <w:style w:type="character" w:styleId="689">
    <w:name w:val="Heading 7 Char"/>
    <w:basedOn w:val="858"/>
    <w:link w:val="855"/>
    <w:uiPriority w:val="9"/>
    <w:rPr>
      <w:rFonts w:ascii="Arial" w:hAnsi="Arial" w:eastAsia="Arial" w:cs="Arial"/>
      <w:b/>
      <w:bCs/>
      <w:i/>
      <w:iCs/>
      <w:sz w:val="22"/>
      <w:szCs w:val="22"/>
    </w:rPr>
  </w:style>
  <w:style w:type="character" w:styleId="690">
    <w:name w:val="Heading 8 Char"/>
    <w:basedOn w:val="858"/>
    <w:link w:val="856"/>
    <w:uiPriority w:val="9"/>
    <w:rPr>
      <w:rFonts w:ascii="Arial" w:hAnsi="Arial" w:eastAsia="Arial" w:cs="Arial"/>
      <w:i/>
      <w:iCs/>
      <w:sz w:val="22"/>
      <w:szCs w:val="22"/>
    </w:rPr>
  </w:style>
  <w:style w:type="character" w:styleId="691">
    <w:name w:val="Heading 9 Char"/>
    <w:basedOn w:val="858"/>
    <w:link w:val="857"/>
    <w:uiPriority w:val="9"/>
    <w:rPr>
      <w:rFonts w:ascii="Arial" w:hAnsi="Arial" w:eastAsia="Arial" w:cs="Arial"/>
      <w:i/>
      <w:iCs/>
      <w:sz w:val="21"/>
      <w:szCs w:val="21"/>
    </w:rPr>
  </w:style>
  <w:style w:type="paragraph" w:styleId="692">
    <w:name w:val="List Paragraph"/>
    <w:basedOn w:val="848"/>
    <w:uiPriority w:val="34"/>
    <w:qFormat/>
    <w:pPr>
      <w:contextualSpacing/>
      <w:ind w:left="720"/>
    </w:pPr>
  </w:style>
  <w:style w:type="paragraph" w:styleId="693">
    <w:name w:val="No Spacing"/>
    <w:uiPriority w:val="1"/>
    <w:qFormat/>
    <w:pPr>
      <w:spacing w:before="0" w:after="0" w:line="240" w:lineRule="auto"/>
    </w:pPr>
  </w:style>
  <w:style w:type="paragraph" w:styleId="694">
    <w:name w:val="Title"/>
    <w:basedOn w:val="848"/>
    <w:next w:val="848"/>
    <w:link w:val="695"/>
    <w:uiPriority w:val="10"/>
    <w:qFormat/>
    <w:pPr>
      <w:contextualSpacing/>
      <w:spacing w:before="300" w:after="200"/>
    </w:pPr>
    <w:rPr>
      <w:sz w:val="48"/>
      <w:szCs w:val="48"/>
    </w:rPr>
  </w:style>
  <w:style w:type="character" w:styleId="695">
    <w:name w:val="Title Char"/>
    <w:basedOn w:val="858"/>
    <w:link w:val="694"/>
    <w:uiPriority w:val="10"/>
    <w:rPr>
      <w:sz w:val="48"/>
      <w:szCs w:val="48"/>
    </w:rPr>
  </w:style>
  <w:style w:type="paragraph" w:styleId="696">
    <w:name w:val="Subtitle"/>
    <w:basedOn w:val="848"/>
    <w:next w:val="848"/>
    <w:link w:val="697"/>
    <w:uiPriority w:val="11"/>
    <w:qFormat/>
    <w:pPr>
      <w:spacing w:before="200" w:after="200"/>
    </w:pPr>
    <w:rPr>
      <w:sz w:val="24"/>
      <w:szCs w:val="24"/>
    </w:rPr>
  </w:style>
  <w:style w:type="character" w:styleId="697">
    <w:name w:val="Subtitle Char"/>
    <w:basedOn w:val="858"/>
    <w:link w:val="696"/>
    <w:uiPriority w:val="11"/>
    <w:rPr>
      <w:sz w:val="24"/>
      <w:szCs w:val="24"/>
    </w:rPr>
  </w:style>
  <w:style w:type="paragraph" w:styleId="698">
    <w:name w:val="Quote"/>
    <w:basedOn w:val="848"/>
    <w:next w:val="848"/>
    <w:link w:val="699"/>
    <w:uiPriority w:val="29"/>
    <w:qFormat/>
    <w:pPr>
      <w:ind w:left="720" w:right="720"/>
    </w:pPr>
    <w:rPr>
      <w:i/>
    </w:rPr>
  </w:style>
  <w:style w:type="character" w:styleId="699">
    <w:name w:val="Quote Char"/>
    <w:link w:val="698"/>
    <w:uiPriority w:val="29"/>
    <w:rPr>
      <w:i/>
    </w:rPr>
  </w:style>
  <w:style w:type="paragraph" w:styleId="700">
    <w:name w:val="Intense Quote"/>
    <w:basedOn w:val="848"/>
    <w:next w:val="848"/>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character" w:styleId="702">
    <w:name w:val="Header Char"/>
    <w:basedOn w:val="858"/>
    <w:link w:val="870"/>
    <w:uiPriority w:val="99"/>
  </w:style>
  <w:style w:type="character" w:styleId="703">
    <w:name w:val="Footer Char"/>
    <w:basedOn w:val="858"/>
    <w:link w:val="869"/>
    <w:uiPriority w:val="99"/>
  </w:style>
  <w:style w:type="paragraph" w:styleId="704">
    <w:name w:val="Caption"/>
    <w:basedOn w:val="848"/>
    <w:next w:val="848"/>
    <w:uiPriority w:val="35"/>
    <w:semiHidden/>
    <w:unhideWhenUsed/>
    <w:qFormat/>
    <w:pPr>
      <w:spacing w:line="276" w:lineRule="auto"/>
    </w:pPr>
    <w:rPr>
      <w:b/>
      <w:bCs/>
      <w:color w:val="4f81bd" w:themeColor="accent1"/>
      <w:sz w:val="18"/>
      <w:szCs w:val="18"/>
    </w:rPr>
  </w:style>
  <w:style w:type="character" w:styleId="705">
    <w:name w:val="Caption Char"/>
    <w:basedOn w:val="704"/>
    <w:link w:val="869"/>
    <w:uiPriority w:val="99"/>
  </w:style>
  <w:style w:type="table" w:styleId="706">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2">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3">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4">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5">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6">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7">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4">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7">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8">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9">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0">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1">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2">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4">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5">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6">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7">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8">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9">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8">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9">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0">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1">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2">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3">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5">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6">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7">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8">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9">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0">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2">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3">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4">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5">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6">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7">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9">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0">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1">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2">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3">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4">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1">
    <w:name w:val="footnote text"/>
    <w:basedOn w:val="848"/>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basedOn w:val="858"/>
    <w:uiPriority w:val="99"/>
    <w:unhideWhenUsed/>
    <w:rPr>
      <w:vertAlign w:val="superscript"/>
    </w:rPr>
  </w:style>
  <w:style w:type="paragraph" w:styleId="834">
    <w:name w:val="endnote text"/>
    <w:basedOn w:val="848"/>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basedOn w:val="858"/>
    <w:uiPriority w:val="99"/>
    <w:semiHidden/>
    <w:unhideWhenUsed/>
    <w:rPr>
      <w:vertAlign w:val="superscript"/>
    </w:rPr>
  </w:style>
  <w:style w:type="paragraph" w:styleId="837">
    <w:name w:val="toc 1"/>
    <w:basedOn w:val="848"/>
    <w:next w:val="848"/>
    <w:uiPriority w:val="39"/>
    <w:unhideWhenUsed/>
    <w:pPr>
      <w:ind w:left="0" w:right="0" w:firstLine="0"/>
      <w:spacing w:after="57"/>
    </w:pPr>
  </w:style>
  <w:style w:type="paragraph" w:styleId="838">
    <w:name w:val="toc 2"/>
    <w:basedOn w:val="848"/>
    <w:next w:val="848"/>
    <w:uiPriority w:val="39"/>
    <w:unhideWhenUsed/>
    <w:pPr>
      <w:ind w:left="283" w:right="0" w:firstLine="0"/>
      <w:spacing w:after="57"/>
    </w:pPr>
  </w:style>
  <w:style w:type="paragraph" w:styleId="839">
    <w:name w:val="toc 3"/>
    <w:basedOn w:val="848"/>
    <w:next w:val="848"/>
    <w:uiPriority w:val="39"/>
    <w:unhideWhenUsed/>
    <w:pPr>
      <w:ind w:left="567" w:right="0" w:firstLine="0"/>
      <w:spacing w:after="57"/>
    </w:pPr>
  </w:style>
  <w:style w:type="paragraph" w:styleId="840">
    <w:name w:val="toc 4"/>
    <w:basedOn w:val="848"/>
    <w:next w:val="848"/>
    <w:uiPriority w:val="39"/>
    <w:unhideWhenUsed/>
    <w:pPr>
      <w:ind w:left="850" w:right="0" w:firstLine="0"/>
      <w:spacing w:after="57"/>
    </w:pPr>
  </w:style>
  <w:style w:type="paragraph" w:styleId="841">
    <w:name w:val="toc 5"/>
    <w:basedOn w:val="848"/>
    <w:next w:val="848"/>
    <w:uiPriority w:val="39"/>
    <w:unhideWhenUsed/>
    <w:pPr>
      <w:ind w:left="1134" w:right="0" w:firstLine="0"/>
      <w:spacing w:after="57"/>
    </w:pPr>
  </w:style>
  <w:style w:type="paragraph" w:styleId="842">
    <w:name w:val="toc 6"/>
    <w:basedOn w:val="848"/>
    <w:next w:val="848"/>
    <w:uiPriority w:val="39"/>
    <w:unhideWhenUsed/>
    <w:pPr>
      <w:ind w:left="1417"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9">
    <w:name w:val="Heading 1"/>
    <w:basedOn w:val="848"/>
    <w:next w:val="848"/>
    <w:link w:val="881"/>
    <w:uiPriority w:val="0"/>
    <w:qFormat/>
    <w:pPr>
      <w:keepLines/>
      <w:keepNext/>
      <w:spacing w:before="340" w:after="330" w:line="578" w:lineRule="auto"/>
      <w:outlineLvl w:val="0"/>
    </w:pPr>
    <w:rPr>
      <w:b/>
      <w:bCs/>
      <w:sz w:val="44"/>
      <w:szCs w:val="44"/>
    </w:rPr>
  </w:style>
  <w:style w:type="paragraph" w:styleId="850">
    <w:name w:val="Heading 2"/>
    <w:basedOn w:val="848"/>
    <w:next w:val="848"/>
    <w:link w:val="882"/>
    <w:uiPriority w:val="0"/>
    <w:qFormat/>
    <w:pPr>
      <w:keepLines/>
      <w:keepNext/>
      <w:spacing w:before="260" w:after="260" w:line="416" w:lineRule="auto"/>
      <w:outlineLvl w:val="1"/>
    </w:pPr>
    <w:rPr>
      <w:rFonts w:ascii="Arial" w:hAnsi="Arial" w:eastAsia="黑体"/>
      <w:b/>
      <w:bCs/>
      <w:sz w:val="32"/>
      <w:szCs w:val="32"/>
    </w:rPr>
  </w:style>
  <w:style w:type="paragraph" w:styleId="851">
    <w:name w:val="Heading 3"/>
    <w:basedOn w:val="848"/>
    <w:next w:val="848"/>
    <w:link w:val="883"/>
    <w:uiPriority w:val="0"/>
    <w:qFormat/>
    <w:pPr>
      <w:keepLines/>
      <w:keepNext/>
      <w:spacing w:before="260" w:after="260" w:line="416" w:lineRule="auto"/>
      <w:outlineLvl w:val="2"/>
    </w:pPr>
    <w:rPr>
      <w:b/>
      <w:bCs/>
      <w:sz w:val="32"/>
      <w:szCs w:val="32"/>
    </w:rPr>
  </w:style>
  <w:style w:type="paragraph" w:styleId="852">
    <w:name w:val="Heading 4"/>
    <w:basedOn w:val="848"/>
    <w:next w:val="848"/>
    <w:link w:val="884"/>
    <w:uiPriority w:val="0"/>
    <w:qFormat/>
    <w:pPr>
      <w:jc w:val="center"/>
      <w:keepNext/>
      <w:outlineLvl w:val="3"/>
    </w:pPr>
    <w:rPr>
      <w:rFonts w:eastAsia="新宋体"/>
      <w:sz w:val="30"/>
      <w:szCs w:val="21"/>
    </w:rPr>
  </w:style>
  <w:style w:type="paragraph" w:styleId="853">
    <w:name w:val="Heading 5"/>
    <w:basedOn w:val="848"/>
    <w:next w:val="848"/>
    <w:link w:val="885"/>
    <w:uiPriority w:val="0"/>
    <w:qFormat/>
    <w:pPr>
      <w:keepLines/>
      <w:keepNext/>
      <w:spacing w:before="280" w:after="290" w:line="376" w:lineRule="auto"/>
      <w:outlineLvl w:val="4"/>
    </w:pPr>
    <w:rPr>
      <w:b/>
      <w:bCs/>
      <w:sz w:val="28"/>
      <w:szCs w:val="28"/>
    </w:rPr>
  </w:style>
  <w:style w:type="paragraph" w:styleId="854">
    <w:name w:val="Heading 6"/>
    <w:basedOn w:val="848"/>
    <w:next w:val="860"/>
    <w:link w:val="886"/>
    <w:uiPriority w:val="0"/>
    <w:qFormat/>
    <w:pPr>
      <w:jc w:val="center"/>
      <w:keepNext/>
      <w:outlineLvl w:val="5"/>
    </w:pPr>
    <w:rPr>
      <w:b/>
      <w:sz w:val="44"/>
      <w:szCs w:val="20"/>
    </w:rPr>
  </w:style>
  <w:style w:type="paragraph" w:styleId="855">
    <w:name w:val="Heading 7"/>
    <w:basedOn w:val="848"/>
    <w:next w:val="848"/>
    <w:link w:val="888"/>
    <w:uiPriority w:val="0"/>
    <w:qFormat/>
    <w:pPr>
      <w:keepLines/>
      <w:keepNext/>
      <w:spacing w:before="240" w:after="64" w:line="320" w:lineRule="auto"/>
      <w:outlineLvl w:val="6"/>
    </w:pPr>
    <w:rPr>
      <w:b/>
      <w:bCs/>
      <w:sz w:val="24"/>
    </w:rPr>
  </w:style>
  <w:style w:type="paragraph" w:styleId="856">
    <w:name w:val="Heading 8"/>
    <w:basedOn w:val="848"/>
    <w:next w:val="848"/>
    <w:link w:val="889"/>
    <w:uiPriority w:val="0"/>
    <w:qFormat/>
    <w:pPr>
      <w:keepLines/>
      <w:keepNext/>
      <w:spacing w:before="240" w:after="64" w:line="320" w:lineRule="auto"/>
      <w:outlineLvl w:val="7"/>
    </w:pPr>
    <w:rPr>
      <w:rFonts w:ascii="Arial" w:hAnsi="Arial" w:eastAsia="黑体"/>
      <w:sz w:val="24"/>
    </w:rPr>
  </w:style>
  <w:style w:type="paragraph" w:styleId="857">
    <w:name w:val="Heading 9"/>
    <w:basedOn w:val="848"/>
    <w:next w:val="848"/>
    <w:link w:val="890"/>
    <w:uiPriority w:val="0"/>
    <w:qFormat/>
    <w:pPr>
      <w:keepLines/>
      <w:keepNext/>
      <w:spacing w:before="240" w:after="64" w:line="320" w:lineRule="auto"/>
      <w:outlineLvl w:val="8"/>
    </w:pPr>
    <w:rPr>
      <w:rFonts w:ascii="Arial" w:hAnsi="Arial" w:eastAsia="黑体"/>
      <w:sz w:val="24"/>
      <w:szCs w:val="21"/>
    </w:rPr>
  </w:style>
  <w:style w:type="character" w:styleId="858" w:default="1">
    <w:name w:val="Default Paragraph Font"/>
    <w:uiPriority w:val="1"/>
    <w:semiHidden/>
    <w:unhideWhenUsed/>
  </w:style>
  <w:style w:type="table" w:styleId="859" w:default="1">
    <w:name w:val="Normal Table"/>
    <w:uiPriority w:val="99"/>
    <w:semiHidden/>
    <w:unhideWhenUsed/>
    <w:tblPr>
      <w:tblCellMar>
        <w:left w:w="108" w:type="dxa"/>
        <w:top w:w="0" w:type="dxa"/>
        <w:right w:w="108" w:type="dxa"/>
        <w:bottom w:w="0" w:type="dxa"/>
      </w:tblCellMar>
    </w:tblPr>
  </w:style>
  <w:style w:type="paragraph" w:styleId="860">
    <w:name w:val="Normal Indent"/>
    <w:basedOn w:val="848"/>
    <w:link w:val="887"/>
    <w:uiPriority w:val="0"/>
    <w:qFormat/>
    <w:pPr>
      <w:ind w:firstLine="420"/>
    </w:pPr>
    <w:rPr>
      <w:sz w:val="20"/>
      <w:szCs w:val="20"/>
    </w:rPr>
  </w:style>
  <w:style w:type="paragraph" w:styleId="861">
    <w:name w:val="Document Map"/>
    <w:basedOn w:val="848"/>
    <w:link w:val="891"/>
    <w:uiPriority w:val="0"/>
    <w:semiHidden/>
    <w:qFormat/>
    <w:pPr>
      <w:shd w:val="clear" w:color="auto" w:fill="000080"/>
    </w:pPr>
    <w:rPr>
      <w:sz w:val="20"/>
    </w:rPr>
  </w:style>
  <w:style w:type="paragraph" w:styleId="862">
    <w:name w:val="Body Text 3"/>
    <w:basedOn w:val="848"/>
    <w:link w:val="892"/>
    <w:uiPriority w:val="0"/>
    <w:qFormat/>
    <w:pPr>
      <w:spacing w:after="120"/>
    </w:pPr>
    <w:rPr>
      <w:sz w:val="16"/>
      <w:szCs w:val="16"/>
    </w:rPr>
  </w:style>
  <w:style w:type="paragraph" w:styleId="863">
    <w:name w:val="Body Text"/>
    <w:basedOn w:val="848"/>
    <w:link w:val="893"/>
    <w:uiPriority w:val="0"/>
    <w:qFormat/>
    <w:rPr>
      <w:rFonts w:ascii="仿宋_GB2312" w:eastAsia="仿宋_GB2312"/>
      <w:sz w:val="24"/>
      <w:szCs w:val="20"/>
    </w:rPr>
  </w:style>
  <w:style w:type="paragraph" w:styleId="864">
    <w:name w:val="Body Text Indent"/>
    <w:basedOn w:val="848"/>
    <w:link w:val="894"/>
    <w:uiPriority w:val="0"/>
    <w:qFormat/>
    <w:pPr>
      <w:ind w:left="765"/>
    </w:pPr>
    <w:rPr>
      <w:rFonts w:ascii="仿宋_GB2312" w:eastAsia="仿宋_GB2312"/>
      <w:sz w:val="28"/>
      <w:szCs w:val="20"/>
    </w:rPr>
  </w:style>
  <w:style w:type="paragraph" w:styleId="865">
    <w:name w:val="Plain Text"/>
    <w:basedOn w:val="848"/>
    <w:link w:val="895"/>
    <w:uiPriority w:val="0"/>
    <w:qFormat/>
    <w:rPr>
      <w:rFonts w:ascii="宋体" w:hAnsi="Courier New"/>
      <w:sz w:val="20"/>
      <w:szCs w:val="21"/>
    </w:rPr>
  </w:style>
  <w:style w:type="paragraph" w:styleId="866">
    <w:name w:val="Date"/>
    <w:basedOn w:val="848"/>
    <w:next w:val="848"/>
    <w:link w:val="896"/>
    <w:uiPriority w:val="0"/>
    <w:qFormat/>
    <w:rPr>
      <w:sz w:val="24"/>
      <w:szCs w:val="20"/>
    </w:rPr>
  </w:style>
  <w:style w:type="paragraph" w:styleId="867">
    <w:name w:val="Body Text Indent 2"/>
    <w:basedOn w:val="848"/>
    <w:link w:val="897"/>
    <w:uiPriority w:val="0"/>
    <w:qFormat/>
    <w:pPr>
      <w:ind w:firstLine="560"/>
      <w:spacing w:line="500" w:lineRule="exact"/>
    </w:pPr>
    <w:rPr>
      <w:rFonts w:eastAsia="仿宋_GB2312"/>
      <w:sz w:val="28"/>
      <w:szCs w:val="20"/>
    </w:rPr>
  </w:style>
  <w:style w:type="paragraph" w:styleId="868">
    <w:name w:val="Balloon Text"/>
    <w:basedOn w:val="848"/>
    <w:link w:val="898"/>
    <w:uiPriority w:val="0"/>
    <w:semiHidden/>
    <w:qFormat/>
    <w:rPr>
      <w:sz w:val="18"/>
      <w:szCs w:val="18"/>
    </w:rPr>
  </w:style>
  <w:style w:type="paragraph" w:styleId="869">
    <w:name w:val="Footer"/>
    <w:basedOn w:val="848"/>
    <w:link w:val="899"/>
    <w:uiPriority w:val="99"/>
    <w:qFormat/>
    <w:pPr>
      <w:jc w:val="left"/>
      <w:tabs>
        <w:tab w:val="center" w:pos="4153" w:leader="none"/>
        <w:tab w:val="right" w:pos="8306" w:leader="none"/>
      </w:tabs>
    </w:pPr>
    <w:rPr>
      <w:sz w:val="18"/>
      <w:szCs w:val="20"/>
    </w:rPr>
  </w:style>
  <w:style w:type="paragraph" w:styleId="870">
    <w:name w:val="Header"/>
    <w:basedOn w:val="848"/>
    <w:link w:val="900"/>
    <w:uiPriority w:val="0"/>
    <w:qFormat/>
    <w:pPr>
      <w:jc w:val="center"/>
      <w:tabs>
        <w:tab w:val="center" w:pos="4153" w:leader="none"/>
        <w:tab w:val="right" w:pos="8306" w:leader="none"/>
      </w:tabs>
      <w:pBdr>
        <w:bottom w:val="single" w:color="auto" w:sz="6" w:space="1"/>
      </w:pBdr>
    </w:pPr>
    <w:rPr>
      <w:sz w:val="18"/>
      <w:szCs w:val="18"/>
    </w:rPr>
  </w:style>
  <w:style w:type="paragraph" w:styleId="871">
    <w:name w:val="List"/>
    <w:basedOn w:val="848"/>
    <w:uiPriority w:val="0"/>
    <w:qFormat/>
    <w:pPr>
      <w:ind w:left="200" w:hanging="200"/>
    </w:pPr>
  </w:style>
  <w:style w:type="paragraph" w:styleId="872">
    <w:name w:val="Body Text Indent 3"/>
    <w:basedOn w:val="848"/>
    <w:link w:val="902"/>
    <w:uiPriority w:val="0"/>
    <w:qFormat/>
    <w:pPr>
      <w:ind w:left="420"/>
      <w:spacing w:after="120"/>
    </w:pPr>
    <w:rPr>
      <w:sz w:val="16"/>
      <w:szCs w:val="16"/>
    </w:rPr>
  </w:style>
  <w:style w:type="paragraph" w:styleId="873">
    <w:name w:val="Body Text 2"/>
    <w:basedOn w:val="848"/>
    <w:link w:val="903"/>
    <w:uiPriority w:val="0"/>
    <w:qFormat/>
    <w:rPr>
      <w:b/>
      <w:bCs/>
      <w:sz w:val="18"/>
    </w:rPr>
  </w:style>
  <w:style w:type="paragraph" w:styleId="874">
    <w:name w:val="Normal (Web)"/>
    <w:basedOn w:val="848"/>
    <w:uiPriority w:val="0"/>
    <w:qFormat/>
    <w:pPr>
      <w:jc w:val="left"/>
      <w:spacing w:before="100" w:beforeAutospacing="1" w:after="100" w:afterAutospacing="1"/>
      <w:widowControl/>
    </w:pPr>
    <w:rPr>
      <w:rFonts w:ascii="宋体" w:hAnsi="宋体"/>
      <w:color w:val="000000"/>
      <w:sz w:val="24"/>
    </w:rPr>
  </w:style>
  <w:style w:type="table" w:styleId="875">
    <w:name w:val="Table Grid"/>
    <w:basedOn w:val="85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6">
    <w:name w:val="Strong"/>
    <w:uiPriority w:val="0"/>
    <w:qFormat/>
    <w:rPr>
      <w:b/>
      <w:bCs/>
    </w:rPr>
  </w:style>
  <w:style w:type="character" w:styleId="877">
    <w:name w:val="page number"/>
    <w:uiPriority w:val="0"/>
    <w:qFormat/>
  </w:style>
  <w:style w:type="character" w:styleId="878">
    <w:name w:val="FollowedHyperlink"/>
    <w:uiPriority w:val="0"/>
    <w:qFormat/>
    <w:rPr>
      <w:color w:val="800080"/>
      <w:u w:val="single"/>
    </w:rPr>
  </w:style>
  <w:style w:type="character" w:styleId="879">
    <w:name w:val="Emphasis"/>
    <w:uiPriority w:val="0"/>
    <w:qFormat/>
    <w:rPr>
      <w:i/>
    </w:rPr>
  </w:style>
  <w:style w:type="character" w:styleId="880">
    <w:name w:val="Hyperlink"/>
    <w:uiPriority w:val="0"/>
    <w:qFormat/>
    <w:rPr>
      <w:color w:val="0000ff"/>
      <w:u w:val="single"/>
    </w:rPr>
  </w:style>
  <w:style w:type="character" w:styleId="881" w:customStyle="1">
    <w:name w:val="标题 1 字符"/>
    <w:link w:val="849"/>
    <w:uiPriority w:val="0"/>
    <w:qFormat/>
    <w:rPr>
      <w:rFonts w:ascii="Times New Roman" w:hAnsi="Times New Roman" w:eastAsia="宋体" w:cs="Times New Roman"/>
      <w:b/>
      <w:bCs/>
      <w:sz w:val="44"/>
      <w:szCs w:val="44"/>
    </w:rPr>
  </w:style>
  <w:style w:type="character" w:styleId="882" w:customStyle="1">
    <w:name w:val="标题 2 字符"/>
    <w:link w:val="850"/>
    <w:uiPriority w:val="0"/>
    <w:qFormat/>
    <w:rPr>
      <w:rFonts w:ascii="Arial" w:hAnsi="Arial" w:eastAsia="黑体" w:cs="Times New Roman"/>
      <w:b/>
      <w:bCs/>
      <w:sz w:val="32"/>
      <w:szCs w:val="32"/>
    </w:rPr>
  </w:style>
  <w:style w:type="character" w:styleId="883" w:customStyle="1">
    <w:name w:val="标题 3 字符"/>
    <w:link w:val="851"/>
    <w:uiPriority w:val="0"/>
    <w:qFormat/>
    <w:rPr>
      <w:rFonts w:ascii="Times New Roman" w:hAnsi="Times New Roman" w:eastAsia="宋体" w:cs="Times New Roman"/>
      <w:b/>
      <w:bCs/>
      <w:sz w:val="32"/>
      <w:szCs w:val="32"/>
    </w:rPr>
  </w:style>
  <w:style w:type="character" w:styleId="884" w:customStyle="1">
    <w:name w:val="标题 4 字符"/>
    <w:link w:val="852"/>
    <w:uiPriority w:val="0"/>
    <w:qFormat/>
    <w:rPr>
      <w:rFonts w:ascii="Times New Roman" w:hAnsi="Times New Roman" w:eastAsia="新宋体" w:cs="Times New Roman"/>
      <w:sz w:val="30"/>
      <w:szCs w:val="21"/>
    </w:rPr>
  </w:style>
  <w:style w:type="character" w:styleId="885" w:customStyle="1">
    <w:name w:val="标题 5 字符"/>
    <w:link w:val="853"/>
    <w:uiPriority w:val="0"/>
    <w:qFormat/>
    <w:rPr>
      <w:rFonts w:ascii="Times New Roman" w:hAnsi="Times New Roman" w:eastAsia="宋体" w:cs="Times New Roman"/>
      <w:b/>
      <w:bCs/>
      <w:sz w:val="28"/>
      <w:szCs w:val="28"/>
    </w:rPr>
  </w:style>
  <w:style w:type="character" w:styleId="886" w:customStyle="1">
    <w:name w:val="标题 6 字符"/>
    <w:link w:val="854"/>
    <w:uiPriority w:val="0"/>
    <w:qFormat/>
    <w:rPr>
      <w:rFonts w:ascii="Times New Roman" w:hAnsi="Times New Roman" w:eastAsia="宋体" w:cs="Times New Roman"/>
      <w:b/>
      <w:sz w:val="44"/>
      <w:szCs w:val="20"/>
    </w:rPr>
  </w:style>
  <w:style w:type="character" w:styleId="887" w:customStyle="1">
    <w:name w:val="正文缩进 字符"/>
    <w:link w:val="860"/>
    <w:uiPriority w:val="0"/>
    <w:qFormat/>
    <w:rPr>
      <w:rFonts w:ascii="Times New Roman" w:hAnsi="Times New Roman" w:eastAsia="宋体" w:cs="Times New Roman"/>
      <w:sz w:val="20"/>
      <w:szCs w:val="20"/>
    </w:rPr>
  </w:style>
  <w:style w:type="character" w:styleId="888" w:customStyle="1">
    <w:name w:val="标题 7 字符"/>
    <w:link w:val="855"/>
    <w:uiPriority w:val="0"/>
    <w:qFormat/>
    <w:rPr>
      <w:rFonts w:ascii="Times New Roman" w:hAnsi="Times New Roman" w:eastAsia="宋体" w:cs="Times New Roman"/>
      <w:b/>
      <w:bCs/>
      <w:sz w:val="24"/>
      <w:szCs w:val="24"/>
    </w:rPr>
  </w:style>
  <w:style w:type="character" w:styleId="889" w:customStyle="1">
    <w:name w:val="标题 8 字符"/>
    <w:link w:val="856"/>
    <w:uiPriority w:val="0"/>
    <w:qFormat/>
    <w:rPr>
      <w:rFonts w:ascii="Arial" w:hAnsi="Arial" w:eastAsia="黑体" w:cs="Times New Roman"/>
      <w:sz w:val="24"/>
      <w:szCs w:val="24"/>
    </w:rPr>
  </w:style>
  <w:style w:type="character" w:styleId="890" w:customStyle="1">
    <w:name w:val="标题 9 字符"/>
    <w:link w:val="857"/>
    <w:uiPriority w:val="0"/>
    <w:qFormat/>
    <w:rPr>
      <w:rFonts w:ascii="Arial" w:hAnsi="Arial" w:eastAsia="黑体" w:cs="Times New Roman"/>
      <w:sz w:val="24"/>
      <w:szCs w:val="21"/>
    </w:rPr>
  </w:style>
  <w:style w:type="character" w:styleId="891" w:customStyle="1">
    <w:name w:val="文档结构图 字符"/>
    <w:link w:val="861"/>
    <w:uiPriority w:val="0"/>
    <w:semiHidden/>
    <w:qFormat/>
    <w:rPr>
      <w:szCs w:val="24"/>
      <w:shd w:val="clear" w:color="auto" w:fill="000080"/>
    </w:rPr>
  </w:style>
  <w:style w:type="character" w:styleId="892" w:customStyle="1">
    <w:name w:val="正文文本 3 字符"/>
    <w:link w:val="862"/>
    <w:uiPriority w:val="0"/>
    <w:qFormat/>
    <w:rPr>
      <w:rFonts w:ascii="Times New Roman" w:hAnsi="Times New Roman" w:eastAsia="宋体" w:cs="Times New Roman"/>
      <w:sz w:val="16"/>
      <w:szCs w:val="16"/>
    </w:rPr>
  </w:style>
  <w:style w:type="character" w:styleId="893" w:customStyle="1">
    <w:name w:val="正文文本 字符"/>
    <w:link w:val="863"/>
    <w:uiPriority w:val="0"/>
    <w:qFormat/>
    <w:rPr>
      <w:rFonts w:ascii="仿宋_GB2312" w:hAnsi="Times New Roman" w:eastAsia="仿宋_GB2312" w:cs="Times New Roman"/>
      <w:sz w:val="24"/>
      <w:szCs w:val="20"/>
    </w:rPr>
  </w:style>
  <w:style w:type="character" w:styleId="894" w:customStyle="1">
    <w:name w:val="正文文本缩进 字符"/>
    <w:link w:val="864"/>
    <w:uiPriority w:val="0"/>
    <w:qFormat/>
    <w:rPr>
      <w:rFonts w:ascii="仿宋_GB2312" w:hAnsi="Times New Roman" w:eastAsia="仿宋_GB2312" w:cs="Times New Roman"/>
      <w:sz w:val="28"/>
      <w:szCs w:val="20"/>
    </w:rPr>
  </w:style>
  <w:style w:type="character" w:styleId="895" w:customStyle="1">
    <w:name w:val="纯文本 字符"/>
    <w:link w:val="865"/>
    <w:uiPriority w:val="0"/>
    <w:qFormat/>
    <w:rPr>
      <w:rFonts w:ascii="宋体" w:hAnsi="Courier New" w:eastAsia="宋体" w:cs="Courier New"/>
      <w:szCs w:val="21"/>
    </w:rPr>
  </w:style>
  <w:style w:type="character" w:styleId="896" w:customStyle="1">
    <w:name w:val="日期 字符"/>
    <w:link w:val="866"/>
    <w:uiPriority w:val="0"/>
    <w:qFormat/>
    <w:rPr>
      <w:rFonts w:ascii="Times New Roman" w:hAnsi="Times New Roman" w:eastAsia="宋体" w:cs="Times New Roman"/>
      <w:sz w:val="24"/>
      <w:szCs w:val="20"/>
    </w:rPr>
  </w:style>
  <w:style w:type="character" w:styleId="897" w:customStyle="1">
    <w:name w:val="正文文本缩进 2 字符"/>
    <w:link w:val="867"/>
    <w:uiPriority w:val="0"/>
    <w:qFormat/>
    <w:rPr>
      <w:rFonts w:ascii="Times New Roman" w:hAnsi="Times New Roman" w:eastAsia="仿宋_GB2312" w:cs="Times New Roman"/>
      <w:sz w:val="28"/>
      <w:szCs w:val="20"/>
    </w:rPr>
  </w:style>
  <w:style w:type="character" w:styleId="898" w:customStyle="1">
    <w:name w:val="批注框文本 字符"/>
    <w:link w:val="868"/>
    <w:uiPriority w:val="0"/>
    <w:semiHidden/>
    <w:qFormat/>
    <w:rPr>
      <w:sz w:val="18"/>
      <w:szCs w:val="18"/>
    </w:rPr>
  </w:style>
  <w:style w:type="character" w:styleId="899" w:customStyle="1">
    <w:name w:val="页脚 字符"/>
    <w:link w:val="869"/>
    <w:uiPriority w:val="99"/>
    <w:qFormat/>
    <w:rPr>
      <w:rFonts w:ascii="Times New Roman" w:hAnsi="Times New Roman" w:eastAsia="宋体" w:cs="Times New Roman"/>
      <w:sz w:val="18"/>
      <w:szCs w:val="20"/>
    </w:rPr>
  </w:style>
  <w:style w:type="character" w:styleId="900" w:customStyle="1">
    <w:name w:val="页眉 字符"/>
    <w:link w:val="870"/>
    <w:uiPriority w:val="0"/>
    <w:qFormat/>
    <w:rPr>
      <w:rFonts w:ascii="Times New Roman" w:hAnsi="Times New Roman" w:eastAsia="宋体" w:cs="Times New Roman"/>
      <w:sz w:val="18"/>
      <w:szCs w:val="18"/>
    </w:rPr>
  </w:style>
  <w:style w:type="paragraph" w:styleId="901" w:customStyle="1">
    <w:name w:val="目录 11"/>
    <w:basedOn w:val="848"/>
    <w:next w:val="848"/>
    <w:uiPriority w:val="0"/>
    <w:semiHidden/>
    <w:qFormat/>
    <w:rPr>
      <w:sz w:val="24"/>
    </w:rPr>
  </w:style>
  <w:style w:type="character" w:styleId="902" w:customStyle="1">
    <w:name w:val="正文文本缩进 3 字符"/>
    <w:link w:val="872"/>
    <w:uiPriority w:val="0"/>
    <w:qFormat/>
    <w:rPr>
      <w:rFonts w:ascii="Times New Roman" w:hAnsi="Times New Roman" w:eastAsia="宋体" w:cs="Times New Roman"/>
      <w:sz w:val="16"/>
      <w:szCs w:val="16"/>
    </w:rPr>
  </w:style>
  <w:style w:type="character" w:styleId="903" w:customStyle="1">
    <w:name w:val="正文文本 2 字符"/>
    <w:link w:val="873"/>
    <w:uiPriority w:val="0"/>
    <w:qFormat/>
    <w:rPr>
      <w:rFonts w:ascii="Times New Roman" w:hAnsi="Times New Roman" w:eastAsia="宋体" w:cs="Times New Roman"/>
      <w:b/>
      <w:bCs/>
      <w:sz w:val="18"/>
      <w:szCs w:val="24"/>
    </w:rPr>
  </w:style>
  <w:style w:type="paragraph" w:styleId="904" w:customStyle="1">
    <w:name w:val="正文首行缩进1"/>
    <w:basedOn w:val="863"/>
    <w:link w:val="905"/>
    <w:uiPriority w:val="0"/>
    <w:qFormat/>
    <w:pPr>
      <w:ind w:firstLine="420"/>
      <w:spacing w:after="120"/>
    </w:pPr>
    <w:rPr>
      <w:rFonts w:ascii="Times New Roman" w:eastAsia="宋体"/>
      <w:szCs w:val="24"/>
    </w:rPr>
  </w:style>
  <w:style w:type="character" w:styleId="905" w:customStyle="1">
    <w:name w:val="正文首行缩进 Char"/>
    <w:link w:val="904"/>
    <w:uiPriority w:val="0"/>
    <w:qFormat/>
    <w:rPr>
      <w:rFonts w:ascii="Times New Roman" w:hAnsi="Times New Roman" w:eastAsia="宋体" w:cs="Times New Roman"/>
      <w:sz w:val="24"/>
      <w:szCs w:val="24"/>
    </w:rPr>
  </w:style>
  <w:style w:type="character" w:styleId="906" w:customStyle="1">
    <w:name w:val="列出段落 Char"/>
    <w:link w:val="907"/>
    <w:uiPriority w:val="99"/>
    <w:qFormat/>
  </w:style>
  <w:style w:type="paragraph" w:styleId="907" w:customStyle="1">
    <w:name w:val="列出段落1"/>
    <w:basedOn w:val="848"/>
    <w:link w:val="906"/>
    <w:uiPriority w:val="99"/>
    <w:qFormat/>
    <w:pPr>
      <w:ind w:firstLine="420"/>
    </w:pPr>
    <w:rPr>
      <w:sz w:val="20"/>
      <w:szCs w:val="20"/>
    </w:rPr>
  </w:style>
  <w:style w:type="character" w:styleId="908" w:customStyle="1">
    <w:name w:val="文档结构图 Char1"/>
    <w:uiPriority w:val="99"/>
    <w:semiHidden/>
    <w:qFormat/>
    <w:rPr>
      <w:rFonts w:ascii="宋体" w:hAnsi="Times New Roman" w:eastAsia="宋体" w:cs="Times New Roman"/>
      <w:sz w:val="18"/>
      <w:szCs w:val="18"/>
    </w:rPr>
  </w:style>
  <w:style w:type="character" w:styleId="909" w:customStyle="1">
    <w:name w:val="普通正文 Char"/>
    <w:link w:val="910"/>
    <w:uiPriority w:val="0"/>
    <w:qFormat/>
    <w:rPr>
      <w:rFonts w:ascii="Arial" w:hAnsi="Arial"/>
      <w:sz w:val="24"/>
      <w:szCs w:val="24"/>
    </w:rPr>
  </w:style>
  <w:style w:type="paragraph" w:styleId="910" w:customStyle="1">
    <w:name w:val="普通正文"/>
    <w:basedOn w:val="848"/>
    <w:link w:val="909"/>
    <w:uiPriority w:val="0"/>
    <w:qFormat/>
    <w:pPr>
      <w:ind w:left="-2" w:right="120" w:firstLine="480"/>
      <w:jc w:val="center"/>
      <w:spacing w:before="120" w:after="120" w:line="360" w:lineRule="auto"/>
    </w:pPr>
    <w:rPr>
      <w:rFonts w:ascii="Arial" w:hAnsi="Arial"/>
      <w:sz w:val="24"/>
    </w:rPr>
  </w:style>
  <w:style w:type="character" w:styleId="911" w:customStyle="1">
    <w:name w:val="FA正文 Char"/>
    <w:link w:val="912"/>
    <w:uiPriority w:val="0"/>
    <w:qFormat/>
    <w:rPr>
      <w:rFonts w:ascii="宋体" w:hAnsi="宋体" w:eastAsia="宋体" w:cs="Times New Roman"/>
      <w:sz w:val="28"/>
      <w:szCs w:val="28"/>
    </w:rPr>
  </w:style>
  <w:style w:type="paragraph" w:styleId="912" w:customStyle="1">
    <w:name w:val="FA正文"/>
    <w:basedOn w:val="848"/>
    <w:link w:val="911"/>
    <w:uiPriority w:val="0"/>
    <w:qFormat/>
    <w:pPr>
      <w:ind w:firstLine="538"/>
      <w:spacing w:line="440" w:lineRule="atLeast"/>
      <w:tabs>
        <w:tab w:val="left" w:pos="3375" w:leader="none"/>
      </w:tabs>
    </w:pPr>
    <w:rPr>
      <w:rFonts w:ascii="宋体" w:hAnsi="宋体"/>
      <w:sz w:val="28"/>
      <w:szCs w:val="28"/>
    </w:rPr>
  </w:style>
  <w:style w:type="character" w:styleId="913" w:customStyle="1">
    <w:name w:val="正文缩进2格 Char"/>
    <w:link w:val="914"/>
    <w:uiPriority w:val="0"/>
    <w:qFormat/>
    <w:rPr>
      <w:rFonts w:ascii="仿宋_GB2312" w:hAnsi="宋体" w:eastAsia="仿宋_GB2312" w:cs="Times New Roman"/>
      <w:sz w:val="31"/>
      <w:szCs w:val="28"/>
    </w:rPr>
  </w:style>
  <w:style w:type="paragraph" w:styleId="914" w:customStyle="1">
    <w:name w:val="正文缩进2格"/>
    <w:basedOn w:val="848"/>
    <w:link w:val="913"/>
    <w:uiPriority w:val="0"/>
    <w:qFormat/>
    <w:pPr>
      <w:ind w:firstLine="639"/>
      <w:spacing w:line="600" w:lineRule="exact"/>
    </w:pPr>
    <w:rPr>
      <w:rFonts w:ascii="仿宋_GB2312" w:hAnsi="宋体" w:eastAsia="仿宋_GB2312"/>
      <w:sz w:val="31"/>
      <w:szCs w:val="28"/>
    </w:rPr>
  </w:style>
  <w:style w:type="character" w:styleId="915" w:customStyle="1">
    <w:name w:val="cn_text1"/>
    <w:uiPriority w:val="0"/>
    <w:qFormat/>
    <w:rPr>
      <w:rFonts w:hint="default" w:ascii="ˎ̥" w:hAnsi="ˎ̥"/>
      <w:color w:val="003399"/>
      <w:spacing w:val="15"/>
      <w:sz w:val="18"/>
      <w:szCs w:val="18"/>
    </w:rPr>
  </w:style>
  <w:style w:type="character" w:styleId="916" w:customStyle="1">
    <w:name w:val="ssss Char"/>
    <w:uiPriority w:val="0"/>
    <w:qFormat/>
    <w:rPr>
      <w:rFonts w:eastAsia="宋体"/>
      <w:sz w:val="24"/>
      <w:szCs w:val="24"/>
      <w:lang w:val="en-US" w:eastAsia="zh-CN" w:bidi="ar-SA"/>
    </w:rPr>
  </w:style>
  <w:style w:type="character" w:styleId="917" w:customStyle="1">
    <w:name w:val="ssss Char1"/>
    <w:link w:val="918"/>
    <w:uiPriority w:val="0"/>
    <w:qFormat/>
    <w:rPr>
      <w:rFonts w:ascii="Times New Roman" w:hAnsi="Times New Roman" w:eastAsia="宋体" w:cs="Times New Roman"/>
      <w:sz w:val="24"/>
      <w:szCs w:val="24"/>
    </w:rPr>
  </w:style>
  <w:style w:type="paragraph" w:styleId="918" w:customStyle="1">
    <w:name w:val="ssss"/>
    <w:basedOn w:val="848"/>
    <w:link w:val="917"/>
    <w:uiPriority w:val="0"/>
    <w:qFormat/>
    <w:pPr>
      <w:ind w:firstLine="480"/>
      <w:spacing w:line="360" w:lineRule="auto"/>
    </w:pPr>
    <w:rPr>
      <w:sz w:val="24"/>
    </w:rPr>
  </w:style>
  <w:style w:type="character" w:styleId="919" w:customStyle="1">
    <w:name w:val="标题 4 Char1"/>
    <w:uiPriority w:val="0"/>
    <w:qFormat/>
    <w:rPr>
      <w:rFonts w:ascii="Arial" w:hAnsi="Arial" w:eastAsia="黑体"/>
      <w:b/>
      <w:bCs/>
      <w:sz w:val="28"/>
      <w:szCs w:val="28"/>
      <w:lang w:val="en-US" w:eastAsia="zh-CN" w:bidi="ar-SA"/>
    </w:rPr>
  </w:style>
  <w:style w:type="character" w:styleId="920" w:customStyle="1">
    <w:name w:val="列表段落 字符"/>
    <w:uiPriority w:val="34"/>
    <w:qFormat/>
    <w:rPr>
      <w:rFonts w:ascii="Calibri" w:hAnsi="Calibri"/>
      <w:sz w:val="21"/>
      <w:szCs w:val="22"/>
    </w:rPr>
  </w:style>
  <w:style w:type="character" w:styleId="921" w:customStyle="1">
    <w:name w:val="批注框文本 Char1"/>
    <w:uiPriority w:val="99"/>
    <w:semiHidden/>
    <w:qFormat/>
    <w:rPr>
      <w:rFonts w:ascii="Times New Roman" w:hAnsi="Times New Roman" w:eastAsia="宋体" w:cs="Times New Roman"/>
      <w:sz w:val="18"/>
      <w:szCs w:val="18"/>
    </w:rPr>
  </w:style>
  <w:style w:type="character" w:styleId="922" w:customStyle="1">
    <w:name w:val="样式 ssss + 宋体 五号1 Char"/>
    <w:link w:val="923"/>
    <w:uiPriority w:val="0"/>
    <w:qFormat/>
    <w:rPr>
      <w:rFonts w:ascii="宋体" w:hAnsi="宋体" w:eastAsia="宋体" w:cs="Times New Roman"/>
      <w:sz w:val="24"/>
      <w:szCs w:val="24"/>
    </w:rPr>
  </w:style>
  <w:style w:type="paragraph" w:styleId="923" w:customStyle="1">
    <w:name w:val="样式 ssss + 宋体 五号1"/>
    <w:basedOn w:val="918"/>
    <w:link w:val="922"/>
    <w:uiPriority w:val="0"/>
    <w:qFormat/>
    <w:rPr>
      <w:rFonts w:ascii="宋体" w:hAnsi="宋体"/>
    </w:rPr>
  </w:style>
  <w:style w:type="character" w:styleId="924" w:customStyle="1">
    <w:name w:val="point_normal1"/>
    <w:uiPriority w:val="0"/>
    <w:qFormat/>
    <w:rPr>
      <w:rFonts w:hint="default" w:ascii="Arial" w:hAnsi="Arial" w:cs="Arial"/>
      <w:sz w:val="16"/>
      <w:szCs w:val="16"/>
    </w:rPr>
  </w:style>
  <w:style w:type="paragraph" w:styleId="925" w:customStyle="1">
    <w:name w:val="样式 正文文本缩进 3 + 四号"/>
    <w:basedOn w:val="872"/>
    <w:uiPriority w:val="0"/>
    <w:qFormat/>
    <w:pPr>
      <w:ind w:left="0" w:firstLine="437"/>
      <w:spacing w:after="0" w:line="360" w:lineRule="auto"/>
    </w:pPr>
    <w:rPr>
      <w:sz w:val="24"/>
      <w:szCs w:val="21"/>
    </w:rPr>
  </w:style>
  <w:style w:type="paragraph" w:styleId="926" w:customStyle="1">
    <w:name w:val="2cxsplast"/>
    <w:basedOn w:val="848"/>
    <w:uiPriority w:val="0"/>
    <w:qFormat/>
    <w:pPr>
      <w:jc w:val="left"/>
      <w:spacing w:before="100" w:beforeAutospacing="1" w:after="100" w:afterAutospacing="1"/>
      <w:widowControl/>
    </w:pPr>
    <w:rPr>
      <w:rFonts w:ascii="宋体" w:hAnsi="宋体" w:cs="宋体"/>
      <w:sz w:val="24"/>
    </w:rPr>
  </w:style>
  <w:style w:type="paragraph" w:styleId="927" w:customStyle="1">
    <w:name w:val="ec_msonormal"/>
    <w:basedOn w:val="848"/>
    <w:uiPriority w:val="0"/>
    <w:qFormat/>
    <w:pPr>
      <w:jc w:val="left"/>
      <w:spacing w:before="100" w:beforeAutospacing="1" w:after="100" w:afterAutospacing="1"/>
      <w:widowControl/>
    </w:pPr>
    <w:rPr>
      <w:rFonts w:ascii="宋体" w:hAnsi="宋体"/>
      <w:sz w:val="24"/>
    </w:rPr>
  </w:style>
  <w:style w:type="paragraph" w:styleId="928" w:customStyle="1">
    <w:name w:val="Char Char Char Char"/>
    <w:basedOn w:val="848"/>
    <w:uiPriority w:val="0"/>
    <w:qFormat/>
    <w:rPr>
      <w:rFonts w:ascii="Tahoma" w:hAnsi="Tahoma"/>
      <w:sz w:val="24"/>
      <w:szCs w:val="20"/>
    </w:rPr>
  </w:style>
  <w:style w:type="paragraph" w:styleId="929" w:customStyle="1">
    <w:name w:val="Char Char Char Char Char Char Char Char Char Char Char Char Char"/>
    <w:basedOn w:val="848"/>
    <w:uiPriority w:val="0"/>
    <w:qFormat/>
  </w:style>
  <w:style w:type="paragraph" w:styleId="930" w:customStyle="1">
    <w:name w:val="表格正文"/>
    <w:basedOn w:val="848"/>
    <w:uiPriority w:val="0"/>
    <w:qFormat/>
    <w:pPr>
      <w:jc w:val="left"/>
      <w:spacing w:line="360" w:lineRule="auto"/>
    </w:pPr>
    <w:rPr>
      <w:rFonts w:ascii="Calibri" w:hAnsi="Calibri"/>
      <w:color w:val="000000"/>
      <w:szCs w:val="28"/>
    </w:rPr>
  </w:style>
  <w:style w:type="paragraph" w:styleId="931"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32" w:customStyle="1">
    <w:name w:val="Char Char Char Char1"/>
    <w:basedOn w:val="848"/>
    <w:uiPriority w:val="0"/>
    <w:qFormat/>
    <w:rPr>
      <w:rFonts w:ascii="Tahoma" w:hAnsi="Tahoma"/>
      <w:sz w:val="24"/>
      <w:szCs w:val="20"/>
    </w:rPr>
  </w:style>
  <w:style w:type="paragraph" w:styleId="933" w:customStyle="1">
    <w:name w:val="Char Char Char"/>
    <w:basedOn w:val="848"/>
    <w:uiPriority w:val="0"/>
    <w:qFormat/>
    <w:rPr>
      <w:rFonts w:ascii="Tahoma" w:hAnsi="Tahoma"/>
      <w:sz w:val="24"/>
      <w:szCs w:val="20"/>
    </w:rPr>
  </w:style>
  <w:style w:type="paragraph" w:styleId="934" w:customStyle="1">
    <w:name w:val="标题-----3"/>
    <w:basedOn w:val="851"/>
    <w:uiPriority w:val="0"/>
    <w:qFormat/>
    <w:pPr>
      <w:spacing w:before="0" w:after="0" w:line="240" w:lineRule="auto"/>
      <w:outlineLvl w:val="0"/>
    </w:pPr>
    <w:rPr>
      <w:rFonts w:ascii="宋体" w:hAnsi="宋体"/>
      <w:b w:val="0"/>
      <w:bCs w:val="0"/>
      <w:sz w:val="28"/>
      <w:szCs w:val="28"/>
    </w:rPr>
  </w:style>
  <w:style w:type="paragraph" w:styleId="935" w:customStyle="1">
    <w:name w:val="样式 ssss + 居中"/>
    <w:basedOn w:val="918"/>
    <w:uiPriority w:val="0"/>
    <w:qFormat/>
    <w:pPr>
      <w:jc w:val="center"/>
    </w:pPr>
    <w:rPr>
      <w:rFonts w:cs="宋体"/>
      <w:szCs w:val="20"/>
    </w:rPr>
  </w:style>
  <w:style w:type="paragraph" w:styleId="936" w:customStyle="1">
    <w:name w:val="样式 宋体 四号 黑色 左侧:  0.74 厘米 首行缩进:  0.74 厘米 行距: 1.5 倍行距"/>
    <w:basedOn w:val="848"/>
    <w:uiPriority w:val="0"/>
    <w:qFormat/>
    <w:pPr>
      <w:ind w:firstLine="420"/>
      <w:spacing w:line="360" w:lineRule="auto"/>
    </w:pPr>
    <w:rPr>
      <w:rFonts w:ascii="宋体"/>
      <w:color w:val="000000"/>
      <w:sz w:val="24"/>
      <w:szCs w:val="21"/>
    </w:rPr>
  </w:style>
  <w:style w:type="paragraph" w:styleId="937" w:customStyle="1">
    <w:name w:val="样式 样式 ssss + 宋体 五号 + 首行缩进:  2 字符"/>
    <w:basedOn w:val="938"/>
    <w:uiPriority w:val="0"/>
    <w:qFormat/>
    <w:pPr>
      <w:ind w:firstLine="480"/>
    </w:pPr>
  </w:style>
  <w:style w:type="paragraph" w:styleId="938" w:customStyle="1">
    <w:name w:val="样式 ssss + 宋体 五号"/>
    <w:basedOn w:val="918"/>
    <w:uiPriority w:val="0"/>
    <w:qFormat/>
    <w:pPr>
      <w:ind w:firstLine="420"/>
    </w:pPr>
    <w:rPr>
      <w:rFonts w:ascii="宋体" w:hAnsi="宋体" w:cs="宋体"/>
      <w:szCs w:val="20"/>
    </w:rPr>
  </w:style>
  <w:style w:type="paragraph" w:styleId="939" w:customStyle="1">
    <w:name w:val="msonormalcxsplast"/>
    <w:basedOn w:val="848"/>
    <w:uiPriority w:val="0"/>
    <w:qFormat/>
    <w:pPr>
      <w:jc w:val="left"/>
      <w:spacing w:before="100" w:beforeAutospacing="1" w:after="100" w:afterAutospacing="1"/>
      <w:widowControl/>
    </w:pPr>
    <w:rPr>
      <w:rFonts w:ascii="宋体" w:hAnsi="宋体" w:cs="宋体"/>
      <w:sz w:val="24"/>
    </w:rPr>
  </w:style>
  <w:style w:type="paragraph" w:styleId="940" w:customStyle="1">
    <w:name w:val="Char"/>
    <w:basedOn w:val="848"/>
    <w:uiPriority w:val="0"/>
    <w:qFormat/>
    <w:rPr>
      <w:rFonts w:ascii="Tahoma" w:hAnsi="Tahoma"/>
      <w:sz w:val="24"/>
      <w:szCs w:val="20"/>
    </w:rPr>
  </w:style>
  <w:style w:type="paragraph" w:styleId="941" w:customStyle="1">
    <w:name w:val="xl25"/>
    <w:basedOn w:val="848"/>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42" w:customStyle="1">
    <w:name w:val="标题------4"/>
    <w:basedOn w:val="852"/>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43" w:customStyle="1">
    <w:name w:val="msonormalcxspmiddle"/>
    <w:basedOn w:val="848"/>
    <w:uiPriority w:val="0"/>
    <w:qFormat/>
    <w:pPr>
      <w:jc w:val="left"/>
      <w:spacing w:before="100" w:beforeAutospacing="1" w:after="100" w:afterAutospacing="1"/>
      <w:widowControl/>
    </w:pPr>
    <w:rPr>
      <w:rFonts w:ascii="宋体" w:hAnsi="宋体" w:cs="宋体"/>
      <w:sz w:val="24"/>
    </w:rPr>
  </w:style>
  <w:style w:type="paragraph" w:styleId="944" w:customStyle="1">
    <w:name w:val="Char Char Char Char Char Char Char Char Char Char Char Char Char1"/>
    <w:basedOn w:val="848"/>
    <w:uiPriority w:val="0"/>
    <w:qFormat/>
    <w:rPr>
      <w:sz w:val="24"/>
    </w:rPr>
  </w:style>
  <w:style w:type="paragraph" w:styleId="945" w:customStyle="1">
    <w:name w:val="表格"/>
    <w:basedOn w:val="848"/>
    <w:uiPriority w:val="0"/>
    <w:qFormat/>
    <w:rPr>
      <w:rFonts w:ascii="Arial" w:hAnsi="Arial"/>
      <w:sz w:val="24"/>
    </w:rPr>
  </w:style>
  <w:style w:type="paragraph" w:styleId="946" w:customStyle="1">
    <w:name w:val="正文样式1"/>
    <w:basedOn w:val="848"/>
    <w:uiPriority w:val="0"/>
    <w:qFormat/>
    <w:pPr>
      <w:ind w:firstLine="480"/>
      <w:spacing w:before="120" w:after="120" w:line="360" w:lineRule="auto"/>
    </w:pPr>
    <w:rPr>
      <w:sz w:val="24"/>
      <w:szCs w:val="20"/>
    </w:rPr>
  </w:style>
  <w:style w:type="paragraph" w:styleId="947" w:customStyle="1">
    <w:name w:val="Char Char1 Char Char Char Char Char Char"/>
    <w:basedOn w:val="848"/>
    <w:uiPriority w:val="0"/>
    <w:qFormat/>
    <w:pPr>
      <w:jc w:val="left"/>
      <w:spacing w:after="160" w:line="240" w:lineRule="exact"/>
      <w:widowControl/>
    </w:pPr>
    <w:rPr>
      <w:rFonts w:ascii="Verdana" w:hAnsi="Verdana" w:eastAsia="仿宋_GB2312"/>
      <w:sz w:val="24"/>
      <w:szCs w:val="20"/>
      <w:lang w:eastAsia="en-US"/>
    </w:rPr>
  </w:style>
  <w:style w:type="paragraph" w:styleId="948" w:customStyle="1">
    <w:name w:val="Char Char Char Char Char Char Char Char Char Char"/>
    <w:basedOn w:val="848"/>
    <w:uiPriority w:val="0"/>
    <w:qFormat/>
    <w:rPr>
      <w:rFonts w:ascii="Tahoma" w:hAnsi="Tahoma"/>
      <w:sz w:val="24"/>
      <w:szCs w:val="20"/>
    </w:rPr>
  </w:style>
  <w:style w:type="paragraph" w:styleId="949" w:customStyle="1">
    <w:name w:val="Char1"/>
    <w:basedOn w:val="848"/>
    <w:uiPriority w:val="0"/>
    <w:qFormat/>
    <w:pPr>
      <w:tabs>
        <w:tab w:val="left" w:pos="360" w:leader="none"/>
      </w:tabs>
    </w:pPr>
    <w:rPr>
      <w:sz w:val="24"/>
    </w:rPr>
  </w:style>
  <w:style w:type="paragraph" w:styleId="950" w:customStyle="1">
    <w:name w:val="标题1"/>
    <w:basedOn w:val="848"/>
    <w:next w:val="84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1" w:customStyle="1">
    <w:name w:val="Header2"/>
    <w:basedOn w:val="848"/>
    <w:uiPriority w:val="0"/>
    <w:qFormat/>
    <w:pPr>
      <w:numPr>
        <w:ilvl w:val="0"/>
        <w:numId w:val="1"/>
      </w:numPr>
    </w:pPr>
  </w:style>
  <w:style w:type="paragraph" w:styleId="952" w:customStyle="1">
    <w:name w:val="Char Char 字元 字元 字元 Char Char Char Char"/>
    <w:basedOn w:val="848"/>
    <w:uiPriority w:val="0"/>
    <w:qFormat/>
    <w:pPr>
      <w:spacing w:line="360" w:lineRule="auto"/>
    </w:pPr>
    <w:rPr>
      <w:sz w:val="24"/>
      <w:szCs w:val="20"/>
    </w:rPr>
  </w:style>
  <w:style w:type="paragraph" w:styleId="953" w:customStyle="1">
    <w:name w:val="2cxspmiddle"/>
    <w:basedOn w:val="848"/>
    <w:uiPriority w:val="0"/>
    <w:qFormat/>
    <w:pPr>
      <w:jc w:val="left"/>
      <w:spacing w:before="100" w:beforeAutospacing="1" w:after="100" w:afterAutospacing="1"/>
      <w:widowControl/>
    </w:pPr>
    <w:rPr>
      <w:rFonts w:ascii="宋体" w:hAnsi="宋体" w:cs="宋体"/>
      <w:sz w:val="24"/>
    </w:rPr>
  </w:style>
  <w:style w:type="paragraph" w:styleId="95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5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956" w:customStyle="1">
    <w:name w:val="网格型1"/>
    <w:basedOn w:val="85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7" w:customStyle="1">
    <w:name w:val="列出段落11"/>
    <w:basedOn w:val="848"/>
    <w:uiPriority w:val="0"/>
    <w:qFormat/>
    <w:pPr>
      <w:ind w:firstLine="420"/>
    </w:pPr>
    <w:rPr>
      <w:rFonts w:cs="黑体"/>
      <w:szCs w:val="22"/>
    </w:rPr>
  </w:style>
  <w:style w:type="character" w:styleId="958" w:customStyle="1">
    <w:name w:val="15"/>
    <w:basedOn w:val="858"/>
    <w:uiPriority w:val="0"/>
    <w:qFormat/>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200C516A-9B2C-4A85-B490-BAF1400DEAC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521340A-6ACE-40A9-899E-9B55DA77D7A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周旺</cp:lastModifiedBy>
  <cp:revision>9</cp:revision>
  <dcterms:created xsi:type="dcterms:W3CDTF">2026-05-21T00:47:00Z</dcterms:created>
  <dcterms:modified xsi:type="dcterms:W3CDTF">2026-06-03T07:58:56Z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1DCC85C39B994E9FA48D6DE743E89BEA</vt:lpwstr>
  </property>
  <property fmtid="{D5CDD505-2E9C-101B-9397-08002B2CF9AE}" pid="4" name="KSOTemplateDocerSaveRecord">
    <vt:lpwstr>eyJoZGlkIjoiNjM2MDhjZTQ1NjFkNzM2YjVkYzM4NTYwZTdlZjFlODMiLCJ1c2VySWQiOiIzMTY3NDU4NTcifQ==</vt:lpwstr>
  </property>
</Properties>
</file>