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ind w:firstLine="1687"/>
        <w:jc w:val="left"/>
        <w:rPr>
          <w:rFonts w:ascii="Arial" w:hAnsi="Arial" w:eastAsia="黑体"/>
          <w:b/>
          <w:bCs/>
          <w:color w:val="000000" w:themeColor="text1"/>
          <w:sz w:val="84"/>
          <w:szCs w:val="24"/>
          <w14:textFill>
            <w14:solidFill>
              <w14:schemeClr w14:val="tx1"/>
            </w14:solidFill>
          </w14:textFill>
        </w:rPr>
      </w:pPr>
    </w:p>
    <w:p>
      <w:pPr>
        <w:spacing w:before="120" w:after="120" w:line="360" w:lineRule="auto"/>
        <w:ind w:firstLine="1687"/>
        <w:jc w:val="center"/>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招　标　文　件</w:t>
      </w:r>
    </w:p>
    <w:p>
      <w:pPr>
        <w:spacing w:before="120" w:after="120" w:line="360" w:lineRule="auto"/>
        <w:ind w:firstLine="643"/>
        <w:jc w:val="left"/>
        <w:rPr>
          <w:rFonts w:ascii="Arial" w:hAnsi="Arial"/>
          <w:b/>
          <w:bCs/>
          <w:color w:val="000000" w:themeColor="text1"/>
          <w:sz w:val="32"/>
          <w:szCs w:val="24"/>
          <w14:textFill>
            <w14:solidFill>
              <w14:schemeClr w14:val="tx1"/>
            </w14:solidFill>
          </w14:textFill>
        </w:rPr>
      </w:pPr>
    </w:p>
    <w:p>
      <w:pPr>
        <w:spacing w:before="120" w:after="120" w:line="360" w:lineRule="auto"/>
        <w:ind w:firstLine="643"/>
        <w:jc w:val="left"/>
        <w:rPr>
          <w:rFonts w:ascii="Arial" w:hAnsi="Arial"/>
          <w:b/>
          <w:bCs/>
          <w:color w:val="000000" w:themeColor="text1"/>
          <w:sz w:val="32"/>
          <w:szCs w:val="24"/>
          <w14:textFill>
            <w14:solidFill>
              <w14:schemeClr w14:val="tx1"/>
            </w14:solidFill>
          </w14:textFill>
        </w:rPr>
      </w:pPr>
    </w:p>
    <w:p>
      <w:pPr>
        <w:spacing w:before="120" w:after="120" w:line="360" w:lineRule="auto"/>
        <w:ind w:firstLine="643"/>
        <w:jc w:val="left"/>
        <w:rPr>
          <w:rFonts w:ascii="Arial" w:hAnsi="Arial"/>
          <w:b/>
          <w:bCs/>
          <w:color w:val="000000" w:themeColor="text1"/>
          <w:sz w:val="32"/>
          <w:szCs w:val="24"/>
          <w14:textFill>
            <w14:solidFill>
              <w14:schemeClr w14:val="tx1"/>
            </w14:solidFill>
          </w14:textFill>
        </w:rPr>
      </w:pPr>
    </w:p>
    <w:p>
      <w:pPr>
        <w:spacing w:line="600" w:lineRule="exact"/>
        <w:ind w:firstLine="723"/>
        <w:jc w:val="left"/>
        <w:rPr>
          <w:rFonts w:hint="eastAsia" w:asciiTheme="minorEastAsia" w:hAnsiTheme="minorEastAsia" w:eastAsiaTheme="minorEastAsia"/>
          <w:b/>
          <w:bCs/>
          <w:color w:val="000000" w:themeColor="text1"/>
          <w:sz w:val="36"/>
          <w:szCs w:val="24"/>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项目编号：</w:t>
      </w:r>
      <w:r>
        <w:rPr>
          <w:rFonts w:hint="eastAsia" w:asciiTheme="minorEastAsia" w:hAnsiTheme="minorEastAsia" w:eastAsiaTheme="minorEastAsia"/>
          <w:b/>
          <w:bCs/>
          <w:color w:val="000000" w:themeColor="text1"/>
          <w:sz w:val="36"/>
          <w:szCs w:val="24"/>
          <w:lang w:eastAsia="zh-CN"/>
          <w14:textFill>
            <w14:solidFill>
              <w14:schemeClr w14:val="tx1"/>
            </w14:solidFill>
          </w14:textFill>
        </w:rPr>
        <w:t>JSZC-320581-SZXY-G2026-0016</w:t>
      </w:r>
    </w:p>
    <w:p>
      <w:pPr>
        <w:spacing w:line="600" w:lineRule="exact"/>
        <w:ind w:firstLine="723"/>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项目名称：苏州工学院社会车辆租赁服务</w:t>
      </w:r>
    </w:p>
    <w:p>
      <w:pPr>
        <w:spacing w:line="600" w:lineRule="exact"/>
        <w:ind w:firstLine="723"/>
        <w:jc w:val="lef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项目属性：服务类项目</w:t>
      </w:r>
    </w:p>
    <w:p>
      <w:pPr>
        <w:ind w:left="2100" w:firstLine="480"/>
        <w:rPr>
          <w:rFonts w:ascii="Times New Roman" w:hAnsi="Times New Roman"/>
          <w:b/>
          <w:color w:val="000000" w:themeColor="text1"/>
          <w:sz w:val="30"/>
          <w:szCs w:val="30"/>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r>
        <w:rPr>
          <w:rFonts w:hint="eastAsia" w:ascii="Times New Roman" w:hAnsi="Times New Roman"/>
          <w:b/>
          <w:color w:val="000000" w:themeColor="text1"/>
          <w:sz w:val="30"/>
          <w:szCs w:val="30"/>
          <w14:textFill>
            <w14:solidFill>
              <w14:schemeClr w14:val="tx1"/>
            </w14:solidFill>
          </w14:textFill>
        </w:rPr>
        <w:t xml:space="preserve">    </w:t>
      </w:r>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bookmarkStart w:id="270" w:name="_GoBack"/>
      <w:bookmarkEnd w:id="270"/>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p>
    <w:p>
      <w:pPr>
        <w:spacing w:line="360" w:lineRule="auto"/>
        <w:jc w:val="left"/>
        <w:rPr>
          <w:rFonts w:ascii="宋体" w:hAnsi="宋体"/>
          <w:color w:val="000000" w:themeColor="text1"/>
          <w:sz w:val="24"/>
          <w:szCs w:val="24"/>
          <w14:textFill>
            <w14:solidFill>
              <w14:schemeClr w14:val="tx1"/>
            </w14:solidFill>
          </w14:textFill>
        </w:rPr>
      </w:pPr>
    </w:p>
    <w:p>
      <w:pPr>
        <w:pStyle w:val="15"/>
      </w:pPr>
    </w:p>
    <w:p>
      <w:pPr>
        <w:pStyle w:val="15"/>
      </w:pPr>
    </w:p>
    <w:p>
      <w:pPr>
        <w:spacing w:before="120" w:after="120" w:line="360" w:lineRule="auto"/>
        <w:ind w:firstLine="723"/>
        <w:jc w:val="center"/>
        <w:rPr>
          <w:rFonts w:ascii="宋体" w:hAnsi="宋体"/>
          <w:b/>
          <w:bCs/>
          <w:color w:val="000000" w:themeColor="text1"/>
          <w:sz w:val="40"/>
          <w:szCs w:val="28"/>
          <w14:textFill>
            <w14:solidFill>
              <w14:schemeClr w14:val="tx1"/>
            </w14:solidFill>
          </w14:textFill>
        </w:rPr>
      </w:pPr>
      <w:r>
        <w:rPr>
          <w:rFonts w:hint="eastAsia" w:ascii="宋体" w:hAnsi="宋体"/>
          <w:b/>
          <w:bCs/>
          <w:color w:val="000000" w:themeColor="text1"/>
          <w:sz w:val="40"/>
          <w:szCs w:val="28"/>
          <w14:textFill>
            <w14:solidFill>
              <w14:schemeClr w14:val="tx1"/>
            </w14:solidFill>
          </w14:textFill>
        </w:rPr>
        <w:t>苏州新一造价师价格事务所有限公司</w:t>
      </w:r>
    </w:p>
    <w:p>
      <w:pPr>
        <w:spacing w:before="120" w:after="120" w:line="360" w:lineRule="auto"/>
        <w:ind w:firstLine="723"/>
        <w:jc w:val="center"/>
        <w:rPr>
          <w:rFonts w:ascii="宋体" w:hAnsi="宋体"/>
          <w:color w:val="000000" w:themeColor="text1"/>
          <w:sz w:val="32"/>
          <w:szCs w:val="28"/>
          <w14:textFill>
            <w14:solidFill>
              <w14:schemeClr w14:val="tx1"/>
            </w14:solidFill>
          </w14:textFill>
        </w:rPr>
      </w:pPr>
      <w:r>
        <w:rPr>
          <w:rFonts w:ascii="宋体" w:hAnsi="宋体"/>
          <w:b/>
          <w:bCs/>
          <w:color w:val="000000" w:themeColor="text1"/>
          <w:sz w:val="40"/>
          <w:szCs w:val="28"/>
          <w14:textFill>
            <w14:solidFill>
              <w14:schemeClr w14:val="tx1"/>
            </w14:solidFill>
          </w14:textFill>
        </w:rPr>
        <w:t>202</w:t>
      </w:r>
      <w:r>
        <w:rPr>
          <w:rFonts w:hint="eastAsia" w:ascii="宋体" w:hAnsi="宋体"/>
          <w:b/>
          <w:bCs/>
          <w:color w:val="000000" w:themeColor="text1"/>
          <w:sz w:val="40"/>
          <w:szCs w:val="28"/>
          <w14:textFill>
            <w14:solidFill>
              <w14:schemeClr w14:val="tx1"/>
            </w14:solidFill>
          </w14:textFill>
        </w:rPr>
        <w:t>6年</w:t>
      </w:r>
      <w:r>
        <w:rPr>
          <w:rFonts w:hint="eastAsia" w:ascii="宋体" w:hAnsi="宋体"/>
          <w:b/>
          <w:bCs/>
          <w:color w:val="000000" w:themeColor="text1"/>
          <w:sz w:val="40"/>
          <w:szCs w:val="28"/>
          <w:lang w:val="en-US" w:eastAsia="zh-CN"/>
          <w14:textFill>
            <w14:solidFill>
              <w14:schemeClr w14:val="tx1"/>
            </w14:solidFill>
          </w14:textFill>
        </w:rPr>
        <w:t>5</w:t>
      </w:r>
      <w:r>
        <w:rPr>
          <w:rFonts w:hint="eastAsia" w:ascii="宋体" w:hAnsi="宋体"/>
          <w:b/>
          <w:bCs/>
          <w:color w:val="000000" w:themeColor="text1"/>
          <w:sz w:val="40"/>
          <w:szCs w:val="28"/>
          <w14:textFill>
            <w14:solidFill>
              <w14:schemeClr w14:val="tx1"/>
            </w14:solidFill>
          </w14:textFill>
        </w:rPr>
        <w:t>月</w:t>
      </w:r>
      <w:r>
        <w:rPr>
          <w:rFonts w:hint="eastAsia" w:ascii="宋体" w:hAnsi="宋体"/>
          <w:b/>
          <w:bCs/>
          <w:color w:val="000000" w:themeColor="text1"/>
          <w:sz w:val="40"/>
          <w:szCs w:val="28"/>
          <w:lang w:val="en-US" w:eastAsia="zh-CN"/>
          <w14:textFill>
            <w14:solidFill>
              <w14:schemeClr w14:val="tx1"/>
            </w14:solidFill>
          </w14:textFill>
        </w:rPr>
        <w:t>25</w:t>
      </w:r>
      <w:r>
        <w:rPr>
          <w:rFonts w:hint="eastAsia" w:ascii="宋体" w:hAnsi="宋体"/>
          <w:b/>
          <w:bCs/>
          <w:color w:val="000000" w:themeColor="text1"/>
          <w:sz w:val="40"/>
          <w:szCs w:val="28"/>
          <w14:textFill>
            <w14:solidFill>
              <w14:schemeClr w14:val="tx1"/>
            </w14:solidFill>
          </w14:textFill>
        </w:rPr>
        <w:t>日</w:t>
      </w:r>
    </w:p>
    <w:p>
      <w:pPr>
        <w:pStyle w:val="398"/>
        <w:ind w:firstLine="640"/>
        <w:jc w:val="center"/>
        <w:rPr>
          <w:b/>
          <w:bCs/>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br w:type="page" w:clear="all"/>
      </w:r>
      <w:bookmarkStart w:id="0" w:name="_Toc120614210"/>
      <w:bookmarkStart w:id="1" w:name="_Toc513029200"/>
      <w:bookmarkStart w:id="2" w:name="_Toc20823272"/>
      <w:bookmarkStart w:id="3" w:name="_Toc16938516"/>
      <w:bookmarkStart w:id="4" w:name="_Toc479757206"/>
      <w:bookmarkStart w:id="5" w:name="_Toc523127445"/>
      <w:r>
        <w:rPr>
          <w:b/>
          <w:bCs/>
          <w:color w:val="000000" w:themeColor="text1"/>
          <w:lang w:val="zh-CN"/>
          <w14:textFill>
            <w14:solidFill>
              <w14:schemeClr w14:val="tx1"/>
            </w14:solidFill>
          </w14:textFill>
        </w:rPr>
        <w:t>目录</w:t>
      </w:r>
    </w:p>
    <w:p>
      <w:pPr>
        <w:pStyle w:val="29"/>
        <w:tabs>
          <w:tab w:val="right" w:leader="dot" w:pos="10456"/>
        </w:tabs>
        <w:rPr>
          <w:rFonts w:asciiTheme="minorHAnsi" w:hAnsiTheme="minorHAnsi" w:eastAsiaTheme="minorEastAsia" w:cstheme="minorBidi"/>
        </w:rPr>
      </w:pPr>
      <w:r>
        <w:rPr>
          <w:rFonts w:ascii="Times New Roman" w:hAnsi="Times New Roman"/>
          <w:color w:val="000000" w:themeColor="text1"/>
          <w14:textFill>
            <w14:solidFill>
              <w14:schemeClr w14:val="tx1"/>
            </w14:solidFill>
          </w14:textFill>
        </w:rPr>
        <w:fldChar w:fldCharType="begin"/>
      </w:r>
      <w:r>
        <w:rPr>
          <w:rFonts w:ascii="Times New Roman" w:hAnsi="Times New Roman"/>
          <w:color w:val="000000" w:themeColor="text1"/>
          <w14:textFill>
            <w14:solidFill>
              <w14:schemeClr w14:val="tx1"/>
            </w14:solidFill>
          </w14:textFill>
        </w:rPr>
        <w:instrText xml:space="preserve"> TOC \o "1-3" \h \z \u </w:instrText>
      </w:r>
      <w:r>
        <w:rPr>
          <w:rFonts w:ascii="Times New Roman" w:hAnsi="Times New Roman"/>
          <w:color w:val="000000" w:themeColor="text1"/>
          <w14:textFill>
            <w14:solidFill>
              <w14:schemeClr w14:val="tx1"/>
            </w14:solidFill>
          </w14:textFill>
        </w:rPr>
        <w:fldChar w:fldCharType="separate"/>
      </w:r>
      <w:r>
        <w:fldChar w:fldCharType="begin"/>
      </w:r>
      <w:r>
        <w:instrText xml:space="preserve"> HYPERLINK \l "_Toc228349819" </w:instrText>
      </w:r>
      <w:r>
        <w:fldChar w:fldCharType="separate"/>
      </w:r>
      <w:r>
        <w:rPr>
          <w:rStyle w:val="43"/>
          <w:rFonts w:ascii="黑体" w:hAnsi="Times New Roman" w:eastAsia="黑体"/>
        </w:rPr>
        <w:t>第一章  投标邀请</w:t>
      </w:r>
      <w:r>
        <w:tab/>
      </w:r>
      <w:r>
        <w:fldChar w:fldCharType="begin"/>
      </w:r>
      <w:r>
        <w:instrText xml:space="preserve"> PAGEREF _Toc228349819 \h </w:instrText>
      </w:r>
      <w:r>
        <w:fldChar w:fldCharType="separate"/>
      </w:r>
      <w:r>
        <w:t>3</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"_Toc228349820" </w:instrText>
      </w:r>
      <w:r>
        <w:fldChar w:fldCharType="separate"/>
      </w:r>
      <w:r>
        <w:rPr>
          <w:rStyle w:val="43"/>
          <w:rFonts w:ascii="Times New Roman" w:hAnsi="Times New Roman"/>
          <w:bCs/>
        </w:rPr>
        <w:t>一、项目基本情况</w:t>
      </w:r>
      <w:r>
        <w:tab/>
      </w:r>
      <w:r>
        <w:fldChar w:fldCharType="begin"/>
      </w:r>
      <w:r>
        <w:instrText xml:space="preserve"> PAGEREF _Toc228349820 \h </w:instrText>
      </w:r>
      <w:r>
        <w:fldChar w:fldCharType="separate"/>
      </w:r>
      <w:r>
        <w:t>3</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"_Toc228349821" </w:instrText>
      </w:r>
      <w:r>
        <w:fldChar w:fldCharType="separate"/>
      </w:r>
      <w:r>
        <w:rPr>
          <w:rStyle w:val="43"/>
          <w:rFonts w:ascii="Times New Roman" w:hAnsi="Times New Roman"/>
          <w:bCs/>
        </w:rPr>
        <w:t>二、申请人的资格要求</w:t>
      </w:r>
      <w:r>
        <w:tab/>
      </w:r>
      <w:r>
        <w:fldChar w:fldCharType="begin"/>
      </w:r>
      <w:r>
        <w:instrText xml:space="preserve"> PAGEREF _Toc228349821 \h </w:instrText>
      </w:r>
      <w:r>
        <w:fldChar w:fldCharType="separate"/>
      </w:r>
      <w:r>
        <w:t>3</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"_Toc228349822" </w:instrText>
      </w:r>
      <w:r>
        <w:fldChar w:fldCharType="separate"/>
      </w:r>
      <w:r>
        <w:rPr>
          <w:rStyle w:val="43"/>
          <w:rFonts w:ascii="Times New Roman" w:hAnsi="Times New Roman"/>
          <w:bCs/>
        </w:rPr>
        <w:t>三、获取招标文件</w:t>
      </w:r>
      <w:r>
        <w:tab/>
      </w:r>
      <w:r>
        <w:fldChar w:fldCharType="begin"/>
      </w:r>
      <w:r>
        <w:instrText xml:space="preserve"> PAGEREF _Toc228349822 \h </w:instrText>
      </w:r>
      <w:r>
        <w:fldChar w:fldCharType="separate"/>
      </w:r>
      <w:r>
        <w:t>4</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"_Toc228349823" </w:instrText>
      </w:r>
      <w:r>
        <w:fldChar w:fldCharType="separate"/>
      </w:r>
      <w:r>
        <w:rPr>
          <w:rStyle w:val="43"/>
          <w:rFonts w:ascii="Times New Roman" w:hAnsi="Times New Roman"/>
          <w:bCs/>
        </w:rPr>
        <w:t>四、提交投标文件截止时间、开标时间和地点</w:t>
      </w:r>
      <w:r>
        <w:tab/>
      </w:r>
      <w:r>
        <w:fldChar w:fldCharType="begin"/>
      </w:r>
      <w:r>
        <w:instrText xml:space="preserve"> PAGEREF _Toc228349823 \h </w:instrText>
      </w:r>
      <w:r>
        <w:fldChar w:fldCharType="separate"/>
      </w:r>
      <w:r>
        <w:t>4</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"_Toc228349824" </w:instrText>
      </w:r>
      <w:r>
        <w:fldChar w:fldCharType="separate"/>
      </w:r>
      <w:r>
        <w:rPr>
          <w:rStyle w:val="43"/>
          <w:rFonts w:ascii="Times New Roman" w:hAnsi="Times New Roman"/>
          <w:bCs/>
        </w:rPr>
        <w:t>五、公告期限</w:t>
      </w:r>
      <w:r>
        <w:tab/>
      </w:r>
      <w:r>
        <w:fldChar w:fldCharType="begin"/>
      </w:r>
      <w:r>
        <w:instrText xml:space="preserve"> PAGEREF _Toc228349824 \h </w:instrText>
      </w:r>
      <w:r>
        <w:fldChar w:fldCharType="separate"/>
      </w:r>
      <w:r>
        <w:t>4</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"_Toc228349825" </w:instrText>
      </w:r>
      <w:r>
        <w:fldChar w:fldCharType="separate"/>
      </w:r>
      <w:r>
        <w:rPr>
          <w:rStyle w:val="43"/>
          <w:rFonts w:ascii="Times New Roman" w:hAnsi="Times New Roman"/>
          <w:bCs/>
        </w:rPr>
        <w:t>六、其他补充事宜</w:t>
      </w:r>
      <w:r>
        <w:tab/>
      </w:r>
      <w:r>
        <w:fldChar w:fldCharType="begin"/>
      </w:r>
      <w:r>
        <w:instrText xml:space="preserve"> PAGEREF _Toc228349825 \h </w:instrText>
      </w:r>
      <w:r>
        <w:fldChar w:fldCharType="separate"/>
      </w:r>
      <w:r>
        <w:t>4</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"_Toc228349826" </w:instrText>
      </w:r>
      <w:r>
        <w:fldChar w:fldCharType="separate"/>
      </w:r>
      <w:r>
        <w:rPr>
          <w:rStyle w:val="43"/>
          <w:rFonts w:ascii="Times New Roman" w:hAnsi="Times New Roman"/>
          <w:bCs/>
        </w:rPr>
        <w:t>七、本次招标联系方式</w:t>
      </w:r>
      <w:r>
        <w:tab/>
      </w:r>
      <w:r>
        <w:fldChar w:fldCharType="begin"/>
      </w:r>
      <w:r>
        <w:instrText xml:space="preserve"> PAGEREF _Toc228349826 \h </w:instrText>
      </w:r>
      <w:r>
        <w:fldChar w:fldCharType="separate"/>
      </w:r>
      <w:r>
        <w:t>5</w:t>
      </w:r>
      <w:r>
        <w:fldChar w:fldCharType="end"/>
      </w:r>
      <w:r>
        <w:fldChar w:fldCharType="end"/>
      </w:r>
    </w:p>
    <w:p>
      <w:pPr>
        <w:pStyle w:val="29"/>
        <w:tabs>
          <w:tab w:val="right" w:leader="dot" w:pos="10456"/>
        </w:tabs>
        <w:rPr>
          <w:rFonts w:asciiTheme="minorHAnsi" w:hAnsiTheme="minorHAnsi" w:eastAsiaTheme="minorEastAsia" w:cstheme="minorBidi"/>
        </w:rPr>
      </w:pPr>
      <w:r>
        <w:fldChar w:fldCharType="begin"/>
      </w:r>
      <w:r>
        <w:instrText xml:space="preserve"> HYPERLINK \l "_Toc228349827" </w:instrText>
      </w:r>
      <w:r>
        <w:fldChar w:fldCharType="separate"/>
      </w:r>
      <w:r>
        <w:rPr>
          <w:rStyle w:val="43"/>
          <w:rFonts w:ascii="黑体" w:hAnsi="Times New Roman" w:eastAsia="黑体"/>
        </w:rPr>
        <w:t>第二章  投标人须知</w:t>
      </w:r>
      <w:r>
        <w:tab/>
      </w:r>
      <w:r>
        <w:fldChar w:fldCharType="begin"/>
      </w:r>
      <w:r>
        <w:instrText xml:space="preserve"> PAGEREF _Toc228349827 \h </w:instrText>
      </w:r>
      <w:r>
        <w:fldChar w:fldCharType="separate"/>
      </w:r>
      <w:r>
        <w:t>6</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"_Toc228349828" </w:instrText>
      </w:r>
      <w:r>
        <w:fldChar w:fldCharType="separate"/>
      </w:r>
      <w:r>
        <w:rPr>
          <w:rStyle w:val="43"/>
          <w:rFonts w:ascii="宋体" w:hAnsi="宋体" w:cs="宋体"/>
          <w:bCs/>
        </w:rPr>
        <w:t>一、总则</w:t>
      </w:r>
      <w:r>
        <w:tab/>
      </w:r>
      <w:r>
        <w:fldChar w:fldCharType="begin"/>
      </w:r>
      <w:r>
        <w:instrText xml:space="preserve"> PAGEREF _Toc228349828 \h </w:instrText>
      </w:r>
      <w:r>
        <w:fldChar w:fldCharType="separate"/>
      </w:r>
      <w:r>
        <w:t>6</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"_Toc228349829" </w:instrText>
      </w:r>
      <w:r>
        <w:fldChar w:fldCharType="separate"/>
      </w:r>
      <w:r>
        <w:rPr>
          <w:rStyle w:val="43"/>
          <w:rFonts w:ascii="宋体" w:hAnsi="宋体" w:cs="宋体"/>
          <w:bCs/>
        </w:rPr>
        <w:t>二、招标文件</w:t>
      </w:r>
      <w:r>
        <w:tab/>
      </w:r>
      <w:r>
        <w:fldChar w:fldCharType="begin"/>
      </w:r>
      <w:r>
        <w:instrText xml:space="preserve"> PAGEREF _Toc228349829 \h </w:instrText>
      </w:r>
      <w:r>
        <w:fldChar w:fldCharType="separate"/>
      </w:r>
      <w:r>
        <w:t>6</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"_Toc228349830" </w:instrText>
      </w:r>
      <w:r>
        <w:fldChar w:fldCharType="separate"/>
      </w:r>
      <w:r>
        <w:rPr>
          <w:rStyle w:val="43"/>
          <w:rFonts w:ascii="宋体" w:hAnsi="宋体" w:cs="宋体"/>
          <w:bCs/>
        </w:rPr>
        <w:t>三、投标文件的编制</w:t>
      </w:r>
      <w:r>
        <w:tab/>
      </w:r>
      <w:r>
        <w:fldChar w:fldCharType="begin"/>
      </w:r>
      <w:r>
        <w:instrText xml:space="preserve"> PAGEREF _Toc228349830 \h </w:instrText>
      </w:r>
      <w:r>
        <w:fldChar w:fldCharType="separate"/>
      </w:r>
      <w:r>
        <w:t>7</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"_Toc228349831" </w:instrText>
      </w:r>
      <w:r>
        <w:fldChar w:fldCharType="separate"/>
      </w:r>
      <w:r>
        <w:rPr>
          <w:rStyle w:val="43"/>
          <w:rFonts w:ascii="宋体" w:hAnsi="宋体" w:cs="宋体"/>
          <w:bCs/>
        </w:rPr>
        <w:t>四、投标文件的递交</w:t>
      </w:r>
      <w:r>
        <w:tab/>
      </w:r>
      <w:r>
        <w:fldChar w:fldCharType="begin"/>
      </w:r>
      <w:r>
        <w:instrText xml:space="preserve"> PAGEREF _Toc228349831 \h </w:instrText>
      </w:r>
      <w:r>
        <w:fldChar w:fldCharType="separate"/>
      </w:r>
      <w:r>
        <w:t>8</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"_Toc228349832" </w:instrText>
      </w:r>
      <w:r>
        <w:fldChar w:fldCharType="separate"/>
      </w:r>
      <w:r>
        <w:rPr>
          <w:rStyle w:val="43"/>
          <w:rFonts w:ascii="宋体" w:hAnsi="宋体" w:cs="宋体"/>
          <w:bCs/>
        </w:rPr>
        <w:t>五、开标与评标</w:t>
      </w:r>
      <w:r>
        <w:tab/>
      </w:r>
      <w:r>
        <w:fldChar w:fldCharType="begin"/>
      </w:r>
      <w:r>
        <w:instrText xml:space="preserve"> PAGEREF _Toc228349832 \h </w:instrText>
      </w:r>
      <w:r>
        <w:fldChar w:fldCharType="separate"/>
      </w:r>
      <w:r>
        <w:t>9</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"_Toc228349833" </w:instrText>
      </w:r>
      <w:r>
        <w:fldChar w:fldCharType="separate"/>
      </w:r>
      <w:r>
        <w:rPr>
          <w:rStyle w:val="43"/>
          <w:rFonts w:ascii="宋体" w:hAnsi="宋体" w:cs="宋体"/>
          <w:bCs/>
        </w:rPr>
        <w:t>六、定标</w:t>
      </w:r>
      <w:r>
        <w:tab/>
      </w:r>
      <w:r>
        <w:fldChar w:fldCharType="begin"/>
      </w:r>
      <w:r>
        <w:instrText xml:space="preserve"> PAGEREF _Toc228349833 \h </w:instrText>
      </w:r>
      <w:r>
        <w:fldChar w:fldCharType="separate"/>
      </w:r>
      <w:r>
        <w:t>13</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"_Toc228349834" </w:instrText>
      </w:r>
      <w:r>
        <w:fldChar w:fldCharType="separate"/>
      </w:r>
      <w:r>
        <w:rPr>
          <w:rStyle w:val="43"/>
          <w:rFonts w:ascii="宋体" w:hAnsi="宋体" w:cs="宋体"/>
          <w:bCs/>
        </w:rPr>
        <w:t>七、授予合同</w:t>
      </w:r>
      <w:r>
        <w:tab/>
      </w:r>
      <w:r>
        <w:fldChar w:fldCharType="begin"/>
      </w:r>
      <w:r>
        <w:instrText xml:space="preserve"> PAGEREF _Toc228349834 \h </w:instrText>
      </w:r>
      <w:r>
        <w:fldChar w:fldCharType="separate"/>
      </w:r>
      <w:r>
        <w:t>15</w:t>
      </w:r>
      <w:r>
        <w:fldChar w:fldCharType="end"/>
      </w:r>
      <w:r>
        <w:fldChar w:fldCharType="end"/>
      </w:r>
    </w:p>
    <w:p>
      <w:pPr>
        <w:pStyle w:val="29"/>
        <w:tabs>
          <w:tab w:val="right" w:leader="dot" w:pos="10456"/>
        </w:tabs>
        <w:rPr>
          <w:rFonts w:asciiTheme="minorHAnsi" w:hAnsiTheme="minorHAnsi" w:eastAsiaTheme="minorEastAsia" w:cstheme="minorBidi"/>
        </w:rPr>
      </w:pPr>
      <w:r>
        <w:fldChar w:fldCharType="begin"/>
      </w:r>
      <w:r>
        <w:instrText xml:space="preserve"> HYPERLINK \l "_Toc228349835" </w:instrText>
      </w:r>
      <w:r>
        <w:fldChar w:fldCharType="separate"/>
      </w:r>
      <w:r>
        <w:rPr>
          <w:rStyle w:val="43"/>
          <w:rFonts w:ascii="黑体" w:hAnsi="Times New Roman" w:eastAsia="黑体"/>
          <w:bCs/>
        </w:rPr>
        <w:t>第三章  合同文本</w:t>
      </w:r>
      <w:r>
        <w:tab/>
      </w:r>
      <w:r>
        <w:fldChar w:fldCharType="begin"/>
      </w:r>
      <w:r>
        <w:instrText xml:space="preserve"> PAGEREF _Toc228349835 \h </w:instrText>
      </w:r>
      <w:r>
        <w:fldChar w:fldCharType="separate"/>
      </w:r>
      <w:r>
        <w:t>16</w:t>
      </w:r>
      <w:r>
        <w:fldChar w:fldCharType="end"/>
      </w:r>
      <w:r>
        <w:fldChar w:fldCharType="end"/>
      </w:r>
    </w:p>
    <w:p>
      <w:pPr>
        <w:pStyle w:val="29"/>
        <w:tabs>
          <w:tab w:val="right" w:leader="dot" w:pos="10456"/>
        </w:tabs>
        <w:rPr>
          <w:rFonts w:asciiTheme="minorHAnsi" w:hAnsiTheme="minorHAnsi" w:eastAsiaTheme="minorEastAsia" w:cstheme="minorBidi"/>
        </w:rPr>
      </w:pPr>
      <w:r>
        <w:fldChar w:fldCharType="begin"/>
      </w:r>
      <w:r>
        <w:instrText xml:space="preserve"> HYPERLINK \l "_Toc228349836" </w:instrText>
      </w:r>
      <w:r>
        <w:fldChar w:fldCharType="separate"/>
      </w:r>
      <w:r>
        <w:rPr>
          <w:rStyle w:val="43"/>
          <w:rFonts w:ascii="黑体" w:hAnsi="Courier New" w:eastAsia="黑体" w:cs="Courier New"/>
          <w:bCs/>
        </w:rPr>
        <w:t>第四章  采购需求</w:t>
      </w:r>
      <w:r>
        <w:tab/>
      </w:r>
      <w:r>
        <w:fldChar w:fldCharType="begin"/>
      </w:r>
      <w:r>
        <w:instrText xml:space="preserve"> PAGEREF _Toc228349836 \h </w:instrText>
      </w:r>
      <w:r>
        <w:fldChar w:fldCharType="separate"/>
      </w:r>
      <w:r>
        <w:t>22</w:t>
      </w:r>
      <w:r>
        <w:fldChar w:fldCharType="end"/>
      </w:r>
      <w:r>
        <w:fldChar w:fldCharType="end"/>
      </w:r>
    </w:p>
    <w:p>
      <w:pPr>
        <w:pStyle w:val="29"/>
        <w:tabs>
          <w:tab w:val="right" w:leader="dot" w:pos="10456"/>
        </w:tabs>
        <w:rPr>
          <w:rFonts w:asciiTheme="minorHAnsi" w:hAnsiTheme="minorHAnsi" w:eastAsiaTheme="minorEastAsia" w:cstheme="minorBidi"/>
        </w:rPr>
      </w:pPr>
      <w:r>
        <w:fldChar w:fldCharType="begin"/>
      </w:r>
      <w:r>
        <w:instrText xml:space="preserve"> HYPERLINK \l "_Toc228349837" </w:instrText>
      </w:r>
      <w:r>
        <w:fldChar w:fldCharType="separate"/>
      </w:r>
      <w:r>
        <w:rPr>
          <w:rStyle w:val="43"/>
          <w:rFonts w:ascii="Times New Roman" w:hAnsi="Times New Roman"/>
          <w:lang w:bidi="ar"/>
        </w:rPr>
        <w:t>标段一、标段二（通用）</w:t>
      </w:r>
      <w:r>
        <w:tab/>
      </w:r>
      <w:r>
        <w:fldChar w:fldCharType="begin"/>
      </w:r>
      <w:r>
        <w:instrText xml:space="preserve"> PAGEREF _Toc228349837 \h </w:instrText>
      </w:r>
      <w:r>
        <w:fldChar w:fldCharType="separate"/>
      </w:r>
      <w:r>
        <w:t>22</w:t>
      </w:r>
      <w:r>
        <w:fldChar w:fldCharType="end"/>
      </w:r>
      <w:r>
        <w:fldChar w:fldCharType="end"/>
      </w:r>
    </w:p>
    <w:p>
      <w:pPr>
        <w:pStyle w:val="29"/>
        <w:tabs>
          <w:tab w:val="right" w:leader="dot" w:pos="10456"/>
        </w:tabs>
        <w:rPr>
          <w:rFonts w:asciiTheme="minorHAnsi" w:hAnsiTheme="minorHAnsi" w:eastAsiaTheme="minorEastAsia" w:cstheme="minorBidi"/>
        </w:rPr>
      </w:pPr>
      <w:r>
        <w:fldChar w:fldCharType="begin"/>
      </w:r>
      <w:r>
        <w:instrText xml:space="preserve"> HYPERLINK \l "_Toc228349838" </w:instrText>
      </w:r>
      <w:r>
        <w:fldChar w:fldCharType="separate"/>
      </w:r>
      <w:r>
        <w:rPr>
          <w:rStyle w:val="43"/>
          <w:rFonts w:ascii="黑体" w:hAnsi="Courier New" w:eastAsia="黑体" w:cs="Courier New"/>
          <w:bCs/>
        </w:rPr>
        <w:t>第五章  评标方法与评标标准</w:t>
      </w:r>
      <w:r>
        <w:tab/>
      </w:r>
      <w:r>
        <w:fldChar w:fldCharType="begin"/>
      </w:r>
      <w:r>
        <w:instrText xml:space="preserve"> PAGEREF _Toc228349838 \h </w:instrText>
      </w:r>
      <w:r>
        <w:fldChar w:fldCharType="separate"/>
      </w:r>
      <w:r>
        <w:t>28</w:t>
      </w:r>
      <w:r>
        <w:fldChar w:fldCharType="end"/>
      </w:r>
      <w:r>
        <w:fldChar w:fldCharType="end"/>
      </w:r>
    </w:p>
    <w:p>
      <w:pPr>
        <w:pStyle w:val="29"/>
        <w:tabs>
          <w:tab w:val="right" w:leader="dot" w:pos="10456"/>
        </w:tabs>
        <w:rPr>
          <w:rFonts w:asciiTheme="minorHAnsi" w:hAnsiTheme="minorHAnsi" w:eastAsiaTheme="minorEastAsia" w:cstheme="minorBidi"/>
        </w:rPr>
      </w:pPr>
      <w:r>
        <w:fldChar w:fldCharType="begin"/>
      </w:r>
      <w:r>
        <w:instrText xml:space="preserve"> HYPERLINK \l "_Toc228349839" </w:instrText>
      </w:r>
      <w:r>
        <w:fldChar w:fldCharType="separate"/>
      </w:r>
      <w:r>
        <w:rPr>
          <w:rStyle w:val="43"/>
          <w:rFonts w:ascii="Times New Roman" w:hAnsi="Times New Roman"/>
          <w:lang w:bidi="ar"/>
        </w:rPr>
        <w:t>标段一、标段二（通用）</w:t>
      </w:r>
      <w:r>
        <w:tab/>
      </w:r>
      <w:r>
        <w:fldChar w:fldCharType="begin"/>
      </w:r>
      <w:r>
        <w:instrText xml:space="preserve"> PAGEREF _Toc228349839 \h </w:instrText>
      </w:r>
      <w:r>
        <w:fldChar w:fldCharType="separate"/>
      </w:r>
      <w:r>
        <w:t>28</w:t>
      </w:r>
      <w:r>
        <w:fldChar w:fldCharType="end"/>
      </w:r>
      <w:r>
        <w:fldChar w:fldCharType="end"/>
      </w:r>
    </w:p>
    <w:p>
      <w:pPr>
        <w:pStyle w:val="29"/>
        <w:tabs>
          <w:tab w:val="right" w:leader="dot" w:pos="10456"/>
        </w:tabs>
        <w:rPr>
          <w:rFonts w:asciiTheme="minorHAnsi" w:hAnsiTheme="minorHAnsi" w:eastAsiaTheme="minorEastAsia" w:cstheme="minorBidi"/>
        </w:rPr>
      </w:pPr>
      <w:r>
        <w:fldChar w:fldCharType="begin"/>
      </w:r>
      <w:r>
        <w:instrText xml:space="preserve"> HYPERLINK \l "_Toc228349840" </w:instrText>
      </w:r>
      <w:r>
        <w:fldChar w:fldCharType="separate"/>
      </w:r>
      <w:r>
        <w:rPr>
          <w:rStyle w:val="43"/>
          <w:rFonts w:ascii="黑体" w:hAnsi="Courier New" w:eastAsia="黑体" w:cs="Courier New"/>
          <w:bCs/>
        </w:rPr>
        <w:t>第六章  投标文件格式</w:t>
      </w:r>
      <w:r>
        <w:tab/>
      </w:r>
      <w:r>
        <w:fldChar w:fldCharType="begin"/>
      </w:r>
      <w:r>
        <w:instrText xml:space="preserve"> PAGEREF _Toc228349840 \h </w:instrText>
      </w:r>
      <w:r>
        <w:fldChar w:fldCharType="separate"/>
      </w:r>
      <w:r>
        <w:t>33</w:t>
      </w:r>
      <w:r>
        <w:fldChar w:fldCharType="end"/>
      </w:r>
      <w:r>
        <w:fldChar w:fldCharType="end"/>
      </w:r>
    </w:p>
    <w:p>
      <w:pPr>
        <w:pStyle w:val="29"/>
        <w:tabs>
          <w:tab w:val="right" w:leader="dot" w:pos="10456"/>
        </w:tabs>
        <w:rPr>
          <w:rFonts w:asciiTheme="minorHAnsi" w:hAnsiTheme="minorHAnsi" w:eastAsiaTheme="minorEastAsia" w:cstheme="minorBidi"/>
        </w:rPr>
      </w:pPr>
      <w:r>
        <w:fldChar w:fldCharType="begin"/>
      </w:r>
      <w:r>
        <w:instrText xml:space="preserve"> HYPERLINK \l "_Toc228349841" </w:instrText>
      </w:r>
      <w:r>
        <w:fldChar w:fldCharType="separate"/>
      </w:r>
      <w:r>
        <w:rPr>
          <w:rStyle w:val="43"/>
          <w:rFonts w:ascii="Times New Roman" w:hAnsi="Times New Roman"/>
          <w:lang w:bidi="ar"/>
        </w:rPr>
        <w:t>标段一、标段二（通用）</w:t>
      </w:r>
      <w:r>
        <w:tab/>
      </w:r>
      <w:r>
        <w:fldChar w:fldCharType="begin"/>
      </w:r>
      <w:r>
        <w:instrText xml:space="preserve"> PAGEREF _Toc228349841 \h </w:instrText>
      </w:r>
      <w:r>
        <w:fldChar w:fldCharType="separate"/>
      </w:r>
      <w:r>
        <w:t>34</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"_Toc228349842" </w:instrText>
      </w:r>
      <w:r>
        <w:fldChar w:fldCharType="separate"/>
      </w:r>
      <w:r>
        <w:rPr>
          <w:rStyle w:val="43"/>
          <w:rFonts w:ascii="Times New Roman" w:hAnsi="Times New Roman"/>
          <w:bCs/>
        </w:rPr>
        <w:t>附件1 开标一览表</w:t>
      </w:r>
      <w:r>
        <w:tab/>
      </w:r>
      <w:r>
        <w:fldChar w:fldCharType="begin"/>
      </w:r>
      <w:r>
        <w:instrText xml:space="preserve"> PAGEREF _Toc228349842 \h </w:instrText>
      </w:r>
      <w:r>
        <w:fldChar w:fldCharType="separate"/>
      </w:r>
      <w:r>
        <w:t>35</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"_Toc228349843" </w:instrText>
      </w:r>
      <w:r>
        <w:fldChar w:fldCharType="separate"/>
      </w:r>
      <w:r>
        <w:rPr>
          <w:rStyle w:val="43"/>
          <w:rFonts w:ascii="Times New Roman" w:hAnsi="Times New Roman"/>
          <w:bCs/>
        </w:rPr>
        <w:t>附件2 服务要求响应及偏离表</w:t>
      </w:r>
      <w:r>
        <w:tab/>
      </w:r>
      <w:r>
        <w:fldChar w:fldCharType="begin"/>
      </w:r>
      <w:r>
        <w:instrText xml:space="preserve"> PAGEREF _Toc228349843 \h </w:instrText>
      </w:r>
      <w:r>
        <w:fldChar w:fldCharType="separate"/>
      </w:r>
      <w:r>
        <w:t>36</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"_Toc228349844" </w:instrText>
      </w:r>
      <w:r>
        <w:fldChar w:fldCharType="separate"/>
      </w:r>
      <w:r>
        <w:rPr>
          <w:rStyle w:val="43"/>
          <w:rFonts w:ascii="Times New Roman" w:hAnsi="Times New Roman"/>
          <w:bCs/>
        </w:rPr>
        <w:t>附件3 项目方案</w:t>
      </w:r>
      <w:r>
        <w:tab/>
      </w:r>
      <w:r>
        <w:fldChar w:fldCharType="begin"/>
      </w:r>
      <w:r>
        <w:instrText xml:space="preserve"> PAGEREF _Toc228349844 \h </w:instrText>
      </w:r>
      <w:r>
        <w:fldChar w:fldCharType="separate"/>
      </w:r>
      <w:r>
        <w:t>37</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"_Toc228349845" </w:instrText>
      </w:r>
      <w:r>
        <w:fldChar w:fldCharType="separate"/>
      </w:r>
      <w:r>
        <w:rPr>
          <w:rStyle w:val="43"/>
          <w:rFonts w:ascii="Times New Roman" w:hAnsi="Times New Roman"/>
          <w:bCs/>
        </w:rPr>
        <w:t>附件4 人员及车辆一览表</w:t>
      </w:r>
      <w:r>
        <w:tab/>
      </w:r>
      <w:r>
        <w:fldChar w:fldCharType="begin"/>
      </w:r>
      <w:r>
        <w:instrText xml:space="preserve"> PAGEREF _Toc228349845 \h </w:instrText>
      </w:r>
      <w:r>
        <w:fldChar w:fldCharType="separate"/>
      </w:r>
      <w:r>
        <w:t>38</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"_Toc228349846" </w:instrText>
      </w:r>
      <w:r>
        <w:fldChar w:fldCharType="separate"/>
      </w:r>
      <w:r>
        <w:rPr>
          <w:rStyle w:val="43"/>
          <w:rFonts w:ascii="Times New Roman" w:hAnsi="Times New Roman"/>
          <w:bCs/>
        </w:rPr>
        <w:t>附件5 业绩一览表</w:t>
      </w:r>
      <w:r>
        <w:tab/>
      </w:r>
      <w:r>
        <w:fldChar w:fldCharType="begin"/>
      </w:r>
      <w:r>
        <w:instrText xml:space="preserve"> PAGEREF _Toc228349846 \h </w:instrText>
      </w:r>
      <w:r>
        <w:fldChar w:fldCharType="separate"/>
      </w:r>
      <w:r>
        <w:t>43</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"_Toc228349847" </w:instrText>
      </w:r>
      <w:r>
        <w:fldChar w:fldCharType="separate"/>
      </w:r>
      <w:r>
        <w:rPr>
          <w:rStyle w:val="43"/>
          <w:rFonts w:ascii="Times New Roman" w:hAnsi="Times New Roman"/>
          <w:bCs/>
        </w:rPr>
        <w:t>附件6 商务要求响应及偏离表</w:t>
      </w:r>
      <w:r>
        <w:tab/>
      </w:r>
      <w:r>
        <w:fldChar w:fldCharType="begin"/>
      </w:r>
      <w:r>
        <w:instrText xml:space="preserve"> PAGEREF _Toc228349847 \h </w:instrText>
      </w:r>
      <w:r>
        <w:fldChar w:fldCharType="separate"/>
      </w:r>
      <w:r>
        <w:t>44</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"_Toc228349848" </w:instrText>
      </w:r>
      <w:r>
        <w:fldChar w:fldCharType="separate"/>
      </w:r>
      <w:r>
        <w:rPr>
          <w:rStyle w:val="43"/>
          <w:rFonts w:ascii="Times New Roman" w:hAnsi="Times New Roman"/>
          <w:bCs/>
        </w:rPr>
        <w:t>附件7 其他</w:t>
      </w:r>
      <w:r>
        <w:tab/>
      </w:r>
      <w:r>
        <w:fldChar w:fldCharType="begin"/>
      </w:r>
      <w:r>
        <w:instrText xml:space="preserve"> PAGEREF _Toc228349848 \h </w:instrText>
      </w:r>
      <w:r>
        <w:fldChar w:fldCharType="separate"/>
      </w:r>
      <w:r>
        <w:t>45</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"_Toc228349849" </w:instrText>
      </w:r>
      <w:r>
        <w:fldChar w:fldCharType="separate"/>
      </w:r>
      <w:r>
        <w:rPr>
          <w:rStyle w:val="43"/>
          <w:rFonts w:ascii="Times New Roman" w:hAnsi="Times New Roman"/>
          <w:bCs/>
        </w:rPr>
        <w:t>附件8 具备履行合同所必需的人员和专业技术能力的书面声明</w:t>
      </w:r>
      <w:r>
        <w:tab/>
      </w:r>
      <w:r>
        <w:fldChar w:fldCharType="begin"/>
      </w:r>
      <w:r>
        <w:instrText xml:space="preserve"> PAGEREF _Toc228349849 \h </w:instrText>
      </w:r>
      <w:r>
        <w:fldChar w:fldCharType="separate"/>
      </w:r>
      <w:r>
        <w:t>46</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"_Toc228349850" </w:instrText>
      </w:r>
      <w:r>
        <w:fldChar w:fldCharType="separate"/>
      </w:r>
      <w:r>
        <w:rPr>
          <w:rStyle w:val="43"/>
          <w:rFonts w:ascii="Times New Roman" w:hAnsi="Times New Roman"/>
          <w:bCs/>
        </w:rPr>
        <w:t>附件9 参加政府采购活动前 3 年内在经营活动中没有重大违法记录的书面声明</w:t>
      </w:r>
      <w:r>
        <w:tab/>
      </w:r>
      <w:r>
        <w:fldChar w:fldCharType="begin"/>
      </w:r>
      <w:r>
        <w:instrText xml:space="preserve"> PAGEREF _Toc228349850 \h </w:instrText>
      </w:r>
      <w:r>
        <w:fldChar w:fldCharType="separate"/>
      </w:r>
      <w:r>
        <w:t>47</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"_Toc228349851" </w:instrText>
      </w:r>
      <w:r>
        <w:fldChar w:fldCharType="separate"/>
      </w:r>
      <w:r>
        <w:rPr>
          <w:rStyle w:val="43"/>
          <w:rFonts w:ascii="Times New Roman" w:hAnsi="Times New Roman"/>
          <w:bCs/>
        </w:rPr>
        <w:t>附件10 法人授权书</w:t>
      </w:r>
      <w:r>
        <w:tab/>
      </w:r>
      <w:r>
        <w:fldChar w:fldCharType="begin"/>
      </w:r>
      <w:r>
        <w:instrText xml:space="preserve"> PAGEREF _Toc228349851 \h </w:instrText>
      </w:r>
      <w:r>
        <w:fldChar w:fldCharType="separate"/>
      </w:r>
      <w:r>
        <w:t>48</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"_Toc228349852" </w:instrText>
      </w:r>
      <w:r>
        <w:fldChar w:fldCharType="separate"/>
      </w:r>
      <w:r>
        <w:rPr>
          <w:rStyle w:val="43"/>
          <w:rFonts w:ascii="Times New Roman" w:hAnsi="Times New Roman"/>
          <w:bCs/>
        </w:rPr>
        <w:t>附件11 中小企业声明函</w:t>
      </w:r>
      <w:r>
        <w:tab/>
      </w:r>
      <w:r>
        <w:fldChar w:fldCharType="begin"/>
      </w:r>
      <w:r>
        <w:instrText xml:space="preserve"> PAGEREF _Toc228349852 \h </w:instrText>
      </w:r>
      <w:r>
        <w:fldChar w:fldCharType="separate"/>
      </w:r>
      <w:r>
        <w:t>49</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"_Toc228349853" </w:instrText>
      </w:r>
      <w:r>
        <w:fldChar w:fldCharType="separate"/>
      </w:r>
      <w:r>
        <w:rPr>
          <w:rStyle w:val="43"/>
          <w:rFonts w:ascii="Times New Roman" w:hAnsi="Times New Roman"/>
          <w:bCs/>
        </w:rPr>
        <w:t>附件12 残疾人福利性单位声明函</w:t>
      </w:r>
      <w:r>
        <w:tab/>
      </w:r>
      <w:r>
        <w:fldChar w:fldCharType="begin"/>
      </w:r>
      <w:r>
        <w:instrText xml:space="preserve"> PAGEREF _Toc228349853 \h </w:instrText>
      </w:r>
      <w:r>
        <w:fldChar w:fldCharType="separate"/>
      </w:r>
      <w:r>
        <w:t>50</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"_Toc228349854" </w:instrText>
      </w:r>
      <w:r>
        <w:fldChar w:fldCharType="separate"/>
      </w:r>
      <w:r>
        <w:rPr>
          <w:rStyle w:val="43"/>
          <w:rFonts w:ascii="Times New Roman" w:hAnsi="Times New Roman"/>
          <w:bCs/>
        </w:rPr>
        <w:t>附件13 投标函</w:t>
      </w:r>
      <w:r>
        <w:tab/>
      </w:r>
      <w:r>
        <w:fldChar w:fldCharType="begin"/>
      </w:r>
      <w:r>
        <w:instrText xml:space="preserve"> PAGEREF _Toc228349854 \h </w:instrText>
      </w:r>
      <w:r>
        <w:fldChar w:fldCharType="separate"/>
      </w:r>
      <w:r>
        <w:t>51</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"_Toc228349855" </w:instrText>
      </w:r>
      <w:r>
        <w:fldChar w:fldCharType="separate"/>
      </w:r>
      <w:r>
        <w:rPr>
          <w:rStyle w:val="43"/>
          <w:rFonts w:ascii="Times New Roman" w:hAnsi="Times New Roman"/>
          <w:bCs/>
        </w:rPr>
        <w:t>附件14 实质性要求响应及偏离表</w:t>
      </w:r>
      <w:r>
        <w:tab/>
      </w:r>
      <w:r>
        <w:fldChar w:fldCharType="begin"/>
      </w:r>
      <w:r>
        <w:instrText xml:space="preserve"> PAGEREF _Toc228349855 \h </w:instrText>
      </w:r>
      <w:r>
        <w:fldChar w:fldCharType="separate"/>
      </w:r>
      <w:r>
        <w:t>52</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"_Toc228349856" </w:instrText>
      </w:r>
      <w:r>
        <w:fldChar w:fldCharType="separate"/>
      </w:r>
      <w:r>
        <w:rPr>
          <w:rStyle w:val="43"/>
          <w:rFonts w:ascii="Times New Roman" w:hAnsi="Times New Roman"/>
          <w:bCs/>
        </w:rPr>
        <w:t>附件15 承 诺 函</w:t>
      </w:r>
      <w:r>
        <w:tab/>
      </w:r>
      <w:r>
        <w:fldChar w:fldCharType="begin"/>
      </w:r>
      <w:r>
        <w:instrText xml:space="preserve"> PAGEREF _Toc228349856 \h </w:instrText>
      </w:r>
      <w:r>
        <w:fldChar w:fldCharType="separate"/>
      </w:r>
      <w:r>
        <w:t>54</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"_Toc228349857" </w:instrText>
      </w:r>
      <w:r>
        <w:fldChar w:fldCharType="separate"/>
      </w:r>
      <w:r>
        <w:rPr>
          <w:rStyle w:val="43"/>
          <w:rFonts w:ascii="Times New Roman" w:hAnsi="Times New Roman"/>
          <w:bCs/>
        </w:rPr>
        <w:t>附件16 企业关联信息证明材料</w:t>
      </w:r>
      <w:r>
        <w:tab/>
      </w:r>
      <w:r>
        <w:fldChar w:fldCharType="begin"/>
      </w:r>
      <w:r>
        <w:instrText xml:space="preserve"> PAGEREF _Toc228349857 \h </w:instrText>
      </w:r>
      <w:r>
        <w:fldChar w:fldCharType="separate"/>
      </w:r>
      <w:r>
        <w:t>55</w:t>
      </w:r>
      <w:r>
        <w:fldChar w:fldCharType="end"/>
      </w:r>
      <w:r>
        <w:fldChar w:fldCharType="end"/>
      </w:r>
    </w:p>
    <w:p>
      <w:pPr>
        <w:pStyle w:val="35"/>
        <w:tabs>
          <w:tab w:val="right" w:leader="dot" w:pos="10456"/>
        </w:tabs>
        <w:rPr>
          <w:rFonts w:asciiTheme="minorHAnsi" w:hAnsiTheme="minorHAnsi" w:eastAsiaTheme="minorEastAsia" w:cstheme="minorBidi"/>
        </w:rPr>
      </w:pPr>
      <w:r>
        <w:fldChar w:fldCharType="begin"/>
      </w:r>
      <w:r>
        <w:instrText xml:space="preserve"> HYPERLINK \l "_Toc228349858" </w:instrText>
      </w:r>
      <w:r>
        <w:fldChar w:fldCharType="separate"/>
      </w:r>
      <w:r>
        <w:rPr>
          <w:rStyle w:val="43"/>
          <w:rFonts w:ascii="Times New Roman" w:hAnsi="Times New Roman"/>
          <w:bCs/>
        </w:rPr>
        <w:t>附件17 校内用车年度考核评分表</w:t>
      </w:r>
      <w:r>
        <w:tab/>
      </w:r>
      <w:r>
        <w:fldChar w:fldCharType="begin"/>
      </w:r>
      <w:r>
        <w:instrText xml:space="preserve"> PAGEREF _Toc228349858 \h </w:instrText>
      </w:r>
      <w:r>
        <w:fldChar w:fldCharType="separate"/>
      </w:r>
      <w:r>
        <w:t>56</w:t>
      </w:r>
      <w:r>
        <w:fldChar w:fldCharType="end"/>
      </w:r>
      <w:r>
        <w:fldChar w:fldCharType="end"/>
      </w:r>
    </w:p>
    <w:p>
      <w:pPr>
        <w:spacing w:line="440" w:lineRule="exact"/>
        <w:jc w:val="lef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Cs w:val="24"/>
          <w14:textFill>
            <w14:solidFill>
              <w14:schemeClr w14:val="tx1"/>
            </w14:solidFill>
          </w14:textFill>
        </w:rPr>
        <w:fldChar w:fldCharType="end"/>
      </w:r>
    </w:p>
    <w:p>
      <w:pPr>
        <w:widowControl/>
        <w:jc w:val="lef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 w:val="24"/>
          <w:szCs w:val="24"/>
          <w14:textFill>
            <w14:solidFill>
              <w14:schemeClr w14:val="tx1"/>
            </w14:solidFill>
          </w14:textFill>
        </w:rPr>
        <w:br w:type="page" w:clear="all"/>
      </w:r>
    </w:p>
    <w:p>
      <w:pPr>
        <w:keepNext/>
        <w:ind w:firstLine="880"/>
        <w:jc w:val="center"/>
        <w:outlineLvl w:val="0"/>
        <w:rPr>
          <w:rFonts w:ascii="黑体" w:hAnsi="Times New Roman" w:eastAsia="黑体"/>
          <w:bCs/>
          <w:color w:val="000000" w:themeColor="text1"/>
          <w:sz w:val="44"/>
          <w:szCs w:val="44"/>
          <w14:textFill>
            <w14:solidFill>
              <w14:schemeClr w14:val="tx1"/>
            </w14:solidFill>
          </w14:textFill>
        </w:rPr>
      </w:pPr>
      <w:bookmarkStart w:id="6" w:name="_Toc228349819"/>
      <w:r>
        <w:rPr>
          <w:rFonts w:hint="eastAsia" w:ascii="黑体" w:hAnsi="Times New Roman" w:eastAsia="黑体"/>
          <w:color w:val="000000" w:themeColor="text1"/>
          <w:sz w:val="44"/>
          <w:szCs w:val="44"/>
          <w14:textFill>
            <w14:solidFill>
              <w14:schemeClr w14:val="tx1"/>
            </w14:solidFill>
          </w14:textFill>
        </w:rPr>
        <w:t xml:space="preserve">第一章  </w:t>
      </w:r>
      <w:bookmarkEnd w:id="0"/>
      <w:r>
        <w:rPr>
          <w:rFonts w:hint="eastAsia" w:ascii="黑体" w:hAnsi="Times New Roman" w:eastAsia="黑体"/>
          <w:color w:val="000000" w:themeColor="text1"/>
          <w:sz w:val="44"/>
          <w:szCs w:val="44"/>
          <w14:textFill>
            <w14:solidFill>
              <w14:schemeClr w14:val="tx1"/>
            </w14:solidFill>
          </w14:textFill>
        </w:rPr>
        <w:t>投标邀请</w:t>
      </w:r>
      <w:bookmarkEnd w:id="6"/>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受苏州工学院的委托，苏州新一造价师价格事务所有限公司就苏州工学院社会车辆租赁服务(</w:t>
      </w:r>
      <w:r>
        <w:rPr>
          <w:rFonts w:hint="eastAsia" w:ascii="Times New Roman" w:hAnsi="Times New Roman"/>
          <w:color w:val="000000" w:themeColor="text1"/>
          <w:sz w:val="24"/>
          <w:szCs w:val="24"/>
          <w:lang w:eastAsia="zh-CN"/>
          <w14:textFill>
            <w14:solidFill>
              <w14:schemeClr w14:val="tx1"/>
            </w14:solidFill>
          </w14:textFill>
        </w:rPr>
        <w:t>JSZC-320581-SZXY-G2026-0016</w:t>
      </w:r>
      <w:r>
        <w:rPr>
          <w:rFonts w:hint="eastAsia" w:ascii="宋体" w:hAnsi="宋体"/>
          <w:color w:val="000000" w:themeColor="text1"/>
          <w:sz w:val="24"/>
          <w:szCs w:val="24"/>
          <w14:textFill>
            <w14:solidFill>
              <w14:schemeClr w14:val="tx1"/>
            </w14:solidFill>
          </w14:textFill>
        </w:rPr>
        <w:t>)项目进行公开招标采购，欢迎符合条件的供应商投标。</w:t>
      </w:r>
    </w:p>
    <w:p>
      <w:pPr>
        <w:pBdr>
          <w:top w:val="single" w:color="000000" w:sz="4" w:space="1"/>
          <w:left w:val="single" w:color="000000" w:sz="4" w:space="4"/>
          <w:bottom w:val="single" w:color="000000" w:sz="4" w:space="1"/>
          <w:right w:val="single" w:color="000000" w:sz="4" w:space="4"/>
        </w:pBd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项目概况</w:t>
      </w:r>
    </w:p>
    <w:p>
      <w:pPr>
        <w:pBdr>
          <w:top w:val="single" w:color="000000" w:sz="4" w:space="1"/>
          <w:left w:val="single" w:color="000000" w:sz="4" w:space="4"/>
          <w:bottom w:val="single" w:color="000000" w:sz="4" w:space="1"/>
          <w:right w:val="single" w:color="000000" w:sz="4" w:space="4"/>
        </w:pBd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苏州工学院社会车辆租赁服务</w:t>
      </w:r>
      <w:r>
        <w:rPr>
          <w:rFonts w:hint="eastAsia" w:ascii="Times New Roman" w:hAnsi="Times New Roman"/>
          <w:color w:val="000000" w:themeColor="text1"/>
          <w:sz w:val="24"/>
          <w:szCs w:val="24"/>
          <w14:textFill>
            <w14:solidFill>
              <w14:schemeClr w14:val="tx1"/>
            </w14:solidFill>
          </w14:textFill>
        </w:rPr>
        <w:t>招标项目的潜在投标人应在“</w:t>
      </w:r>
      <w:r>
        <w:rPr>
          <w:rFonts w:ascii="Times New Roman" w:hAnsi="Times New Roman"/>
          <w:color w:val="000000" w:themeColor="text1"/>
          <w:sz w:val="24"/>
          <w:szCs w:val="24"/>
          <w14:textFill>
            <w14:solidFill>
              <w14:schemeClr w14:val="tx1"/>
            </w14:solidFill>
          </w14:textFill>
        </w:rPr>
        <w:t>苏采云政府采购一体化平台</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中参与项目</w:t>
      </w:r>
      <w:r>
        <w:rPr>
          <w:rFonts w:hint="eastAsia" w:ascii="Times New Roman" w:hAnsi="Times New Roman"/>
          <w:color w:val="000000" w:themeColor="text1"/>
          <w:sz w:val="24"/>
          <w:szCs w:val="24"/>
          <w14:textFill>
            <w14:solidFill>
              <w14:schemeClr w14:val="tx1"/>
            </w14:solidFill>
          </w14:textFill>
        </w:rPr>
        <w:t>获取招标文件，并于</w:t>
      </w:r>
      <w:r>
        <w:rPr>
          <w:rFonts w:ascii="Times New Roman" w:hAnsi="Times New Roman"/>
          <w:color w:val="000000" w:themeColor="text1"/>
          <w:sz w:val="24"/>
          <w:szCs w:val="21"/>
          <w:u w:val="single"/>
          <w14:textFill>
            <w14:solidFill>
              <w14:schemeClr w14:val="tx1"/>
            </w14:solidFill>
          </w14:textFill>
        </w:rPr>
        <w:t>202</w:t>
      </w:r>
      <w:r>
        <w:rPr>
          <w:rFonts w:hint="eastAsia" w:ascii="Times New Roman" w:hAnsi="Times New Roman"/>
          <w:color w:val="000000" w:themeColor="text1"/>
          <w:sz w:val="24"/>
          <w:szCs w:val="21"/>
          <w:u w:val="single"/>
          <w14:textFill>
            <w14:solidFill>
              <w14:schemeClr w14:val="tx1"/>
            </w14:solidFill>
          </w14:textFill>
        </w:rPr>
        <w:t>6</w:t>
      </w:r>
      <w:r>
        <w:rPr>
          <w:rFonts w:ascii="Times New Roman" w:hAnsi="Times New Roman"/>
          <w:color w:val="000000" w:themeColor="text1"/>
          <w:sz w:val="24"/>
          <w:szCs w:val="21"/>
          <w:u w:val="single"/>
          <w14:textFill>
            <w14:solidFill>
              <w14:schemeClr w14:val="tx1"/>
            </w14:solidFill>
          </w14:textFill>
        </w:rPr>
        <w:t>年</w:t>
      </w:r>
      <w:r>
        <w:rPr>
          <w:rFonts w:hint="eastAsia" w:ascii="Times New Roman" w:hAnsi="Times New Roman"/>
          <w:color w:val="000000" w:themeColor="text1"/>
          <w:sz w:val="24"/>
          <w:szCs w:val="21"/>
          <w:u w:val="single"/>
          <w:lang w:val="en-US" w:eastAsia="zh-CN"/>
          <w14:textFill>
            <w14:solidFill>
              <w14:schemeClr w14:val="tx1"/>
            </w14:solidFill>
          </w14:textFill>
        </w:rPr>
        <w:t>6</w:t>
      </w:r>
      <w:r>
        <w:rPr>
          <w:rFonts w:ascii="Times New Roman" w:hAnsi="Times New Roman"/>
          <w:color w:val="000000" w:themeColor="text1"/>
          <w:sz w:val="24"/>
          <w:szCs w:val="21"/>
          <w:u w:val="single"/>
          <w14:textFill>
            <w14:solidFill>
              <w14:schemeClr w14:val="tx1"/>
            </w14:solidFill>
          </w14:textFill>
        </w:rPr>
        <w:t>月</w:t>
      </w:r>
      <w:r>
        <w:rPr>
          <w:rFonts w:hint="eastAsia" w:ascii="Times New Roman" w:hAnsi="Times New Roman"/>
          <w:color w:val="000000" w:themeColor="text1"/>
          <w:sz w:val="24"/>
          <w:szCs w:val="21"/>
          <w:u w:val="single"/>
          <w:lang w:val="en-US" w:eastAsia="zh-CN"/>
          <w14:textFill>
            <w14:solidFill>
              <w14:schemeClr w14:val="tx1"/>
            </w14:solidFill>
          </w14:textFill>
        </w:rPr>
        <w:t>15</w:t>
      </w:r>
      <w:r>
        <w:rPr>
          <w:rFonts w:ascii="Times New Roman" w:hAnsi="Times New Roman"/>
          <w:color w:val="000000" w:themeColor="text1"/>
          <w:sz w:val="24"/>
          <w:szCs w:val="21"/>
          <w:u w:val="single"/>
          <w14:textFill>
            <w14:solidFill>
              <w14:schemeClr w14:val="tx1"/>
            </w14:solidFill>
          </w14:textFill>
        </w:rPr>
        <w:t>日</w:t>
      </w:r>
      <w:r>
        <w:rPr>
          <w:rFonts w:hint="eastAsia" w:ascii="Times New Roman" w:hAnsi="Times New Roman"/>
          <w:color w:val="000000" w:themeColor="text1"/>
          <w:sz w:val="24"/>
          <w:szCs w:val="21"/>
          <w:u w:val="single"/>
          <w14:textFill>
            <w14:solidFill>
              <w14:schemeClr w14:val="tx1"/>
            </w14:solidFill>
          </w14:textFill>
        </w:rPr>
        <w:t>13点00分（北京时间）</w:t>
      </w:r>
      <w:r>
        <w:rPr>
          <w:rFonts w:hint="eastAsia" w:hAnsi="宋体"/>
          <w:color w:val="000000" w:themeColor="text1"/>
          <w:sz w:val="24"/>
          <w:szCs w:val="21"/>
          <w14:textFill>
            <w14:solidFill>
              <w14:schemeClr w14:val="tx1"/>
            </w14:solidFill>
          </w14:textFill>
        </w:rPr>
        <w:t>前按规定提交投标</w:t>
      </w:r>
      <w:r>
        <w:rPr>
          <w:rFonts w:hAnsi="宋体"/>
          <w:color w:val="000000" w:themeColor="text1"/>
          <w:sz w:val="24"/>
          <w:szCs w:val="21"/>
          <w14:textFill>
            <w14:solidFill>
              <w14:schemeClr w14:val="tx1"/>
            </w14:solidFill>
          </w14:textFill>
        </w:rPr>
        <w:t>文件</w:t>
      </w:r>
      <w:r>
        <w:rPr>
          <w:rFonts w:hint="eastAsia" w:hAnsi="宋体"/>
          <w:color w:val="000000" w:themeColor="text1"/>
          <w:sz w:val="24"/>
          <w:szCs w:val="21"/>
          <w14:textFill>
            <w14:solidFill>
              <w14:schemeClr w14:val="tx1"/>
            </w14:solidFill>
          </w14:textFill>
        </w:rPr>
        <w:t>。</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7" w:name="_Toc228349820"/>
      <w:bookmarkStart w:id="8" w:name="_Toc35393790"/>
      <w:bookmarkStart w:id="9" w:name="_Toc38985263"/>
      <w:bookmarkStart w:id="10" w:name="_Toc35393621"/>
      <w:bookmarkStart w:id="11" w:name="_Toc28359079"/>
      <w:bookmarkStart w:id="12" w:name="_Toc28359002"/>
      <w:bookmarkStart w:id="13" w:name="_Hlk24379207"/>
      <w:r>
        <w:rPr>
          <w:rFonts w:ascii="Times New Roman" w:hAnsi="Times New Roman"/>
          <w:b/>
          <w:bCs/>
          <w:color w:val="000000" w:themeColor="text1"/>
          <w:sz w:val="24"/>
          <w:szCs w:val="24"/>
          <w14:textFill>
            <w14:solidFill>
              <w14:schemeClr w14:val="tx1"/>
            </w14:solidFill>
          </w14:textFill>
        </w:rPr>
        <w:t>一、项目基本情况</w:t>
      </w:r>
      <w:bookmarkEnd w:id="7"/>
      <w:bookmarkEnd w:id="8"/>
      <w:bookmarkEnd w:id="9"/>
      <w:bookmarkEnd w:id="10"/>
      <w:bookmarkEnd w:id="11"/>
      <w:bookmarkEnd w:id="12"/>
    </w:p>
    <w:p>
      <w:pPr>
        <w:spacing w:line="440" w:lineRule="exact"/>
        <w:ind w:firstLine="480"/>
        <w:rPr>
          <w:rFonts w:hint="eastAsia" w:ascii="Times New Roman" w:hAnsi="Times New Roman" w:eastAsia="宋体"/>
          <w:color w:val="000000" w:themeColor="text1"/>
          <w:sz w:val="24"/>
          <w:szCs w:val="24"/>
          <w:lang w:eastAsia="zh-CN"/>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项目编号：</w:t>
      </w:r>
      <w:r>
        <w:rPr>
          <w:rFonts w:hint="eastAsia" w:ascii="Times New Roman" w:hAnsi="Times New Roman"/>
          <w:color w:val="000000" w:themeColor="text1"/>
          <w:sz w:val="24"/>
          <w:szCs w:val="24"/>
          <w:lang w:eastAsia="zh-CN"/>
          <w14:textFill>
            <w14:solidFill>
              <w14:schemeClr w14:val="tx1"/>
            </w14:solidFill>
          </w14:textFill>
        </w:rPr>
        <w:t>JSZC-320581-SZXY-G2026-0016</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项目名称：</w:t>
      </w:r>
      <w:bookmarkStart w:id="14" w:name="OLE_LINK3"/>
      <w:r>
        <w:rPr>
          <w:rFonts w:hint="eastAsia" w:ascii="Times New Roman" w:hAnsi="Times New Roman"/>
          <w:color w:val="000000" w:themeColor="text1"/>
          <w:sz w:val="24"/>
          <w:szCs w:val="24"/>
          <w14:textFill>
            <w14:solidFill>
              <w14:schemeClr w14:val="tx1"/>
            </w14:solidFill>
          </w14:textFill>
        </w:rPr>
        <w:t>苏州工学院社会车辆租赁服务</w:t>
      </w:r>
      <w:bookmarkEnd w:id="14"/>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采购方式：公开招标</w:t>
      </w:r>
      <w:bookmarkEnd w:id="13"/>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预算金额：</w:t>
      </w:r>
      <w:r>
        <w:rPr>
          <w:rFonts w:hint="eastAsia" w:ascii="Times New Roman" w:hAnsi="Times New Roman"/>
          <w:color w:val="000000" w:themeColor="text1"/>
          <w:sz w:val="24"/>
          <w:szCs w:val="24"/>
          <w14:textFill>
            <w14:solidFill>
              <w14:schemeClr w14:val="tx1"/>
            </w14:solidFill>
          </w14:textFill>
        </w:rPr>
        <w:t>总预算</w:t>
      </w:r>
      <w:r>
        <w:rPr>
          <w:rFonts w:ascii="Times New Roman" w:hAnsi="Times New Roman"/>
          <w:color w:val="000000" w:themeColor="text1"/>
          <w:sz w:val="24"/>
          <w:szCs w:val="24"/>
          <w14:textFill>
            <w14:solidFill>
              <w14:schemeClr w14:val="tx1"/>
            </w14:solidFill>
          </w14:textFill>
        </w:rPr>
        <w:t>人民币</w:t>
      </w:r>
      <w:r>
        <w:rPr>
          <w:rFonts w:hint="eastAsia" w:ascii="Times New Roman" w:hAnsi="Times New Roman"/>
          <w:color w:val="000000" w:themeColor="text1"/>
          <w:sz w:val="24"/>
          <w:szCs w:val="24"/>
          <w14:textFill>
            <w14:solidFill>
              <w14:schemeClr w14:val="tx1"/>
            </w14:solidFill>
          </w14:textFill>
        </w:rPr>
        <w:t>7000000.00元。</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sz w:val="24"/>
          <w:szCs w:val="24"/>
          <w:lang w:bidi="ar"/>
        </w:rPr>
        <w:t>本项目共二个标段，</w:t>
      </w:r>
      <w:bookmarkStart w:id="15" w:name="OLE_LINK9"/>
      <w:bookmarkStart w:id="16" w:name="OLE_LINK2"/>
      <w:r>
        <w:rPr>
          <w:rFonts w:hint="eastAsia" w:ascii="Times New Roman" w:hAnsi="Times New Roman"/>
          <w:sz w:val="24"/>
          <w:szCs w:val="24"/>
          <w:lang w:bidi="ar"/>
        </w:rPr>
        <w:t>标段一总预算人民币3500000.00元；</w:t>
      </w:r>
      <w:bookmarkEnd w:id="15"/>
      <w:bookmarkEnd w:id="16"/>
      <w:r>
        <w:rPr>
          <w:rFonts w:hint="eastAsia" w:ascii="Times New Roman" w:hAnsi="Times New Roman"/>
          <w:sz w:val="24"/>
          <w:szCs w:val="24"/>
          <w:lang w:bidi="ar"/>
        </w:rPr>
        <w:t>标段二总预算人民币3500000.00元。</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最高限价（如有）：无</w:t>
      </w:r>
    </w:p>
    <w:p>
      <w:pPr>
        <w:spacing w:line="460" w:lineRule="exact"/>
        <w:ind w:firstLine="480"/>
        <w:rPr>
          <w:rFonts w:ascii="Times New Roman" w:hAnsi="Times New Roman"/>
          <w:color w:val="000000" w:themeColor="text1"/>
          <w:sz w:val="24"/>
          <w:szCs w:val="24"/>
          <w14:textFill>
            <w14:solidFill>
              <w14:schemeClr w14:val="tx1"/>
            </w14:solidFill>
          </w14:textFill>
        </w:rPr>
      </w:pPr>
      <w:bookmarkStart w:id="17" w:name="_Toc28359080"/>
      <w:bookmarkStart w:id="18" w:name="_Toc35393622"/>
      <w:bookmarkStart w:id="19" w:name="_Toc35393791"/>
      <w:bookmarkStart w:id="20" w:name="_Toc28359003"/>
      <w:bookmarkStart w:id="21" w:name="_Toc38985264"/>
      <w:r>
        <w:rPr>
          <w:rFonts w:ascii="Times New Roman" w:hAnsi="Times New Roman"/>
          <w:color w:val="000000" w:themeColor="text1"/>
          <w:sz w:val="24"/>
          <w:szCs w:val="24"/>
          <w14:textFill>
            <w14:solidFill>
              <w14:schemeClr w14:val="tx1"/>
            </w14:solidFill>
          </w14:textFill>
        </w:rPr>
        <w:t>采购需求概况：</w:t>
      </w:r>
      <w:bookmarkStart w:id="22" w:name="OLE_LINK15"/>
      <w:r>
        <w:rPr>
          <w:rFonts w:hint="eastAsia" w:ascii="宋体" w:hAnsi="宋体"/>
          <w:color w:val="000000" w:themeColor="text1"/>
          <w:sz w:val="24"/>
          <w:szCs w:val="24"/>
          <w14:textFill>
            <w14:solidFill>
              <w14:schemeClr w14:val="tx1"/>
            </w14:solidFill>
          </w14:textFill>
        </w:rPr>
        <w:t>苏州工学院所需的</w:t>
      </w:r>
      <w:r>
        <w:rPr>
          <w:rFonts w:hint="eastAsia" w:ascii="Times New Roman" w:hAnsi="Times New Roman"/>
          <w:color w:val="000000" w:themeColor="text1"/>
          <w:sz w:val="24"/>
          <w:szCs w:val="24"/>
          <w14:textFill>
            <w14:solidFill>
              <w14:schemeClr w14:val="tx1"/>
            </w14:solidFill>
          </w14:textFill>
        </w:rPr>
        <w:t>社会车辆租赁服务。</w:t>
      </w:r>
      <w:bookmarkEnd w:id="22"/>
      <w:r>
        <w:rPr>
          <w:rFonts w:ascii="Times New Roman" w:hAnsi="Times New Roman"/>
          <w:color w:val="000000" w:themeColor="text1"/>
          <w:sz w:val="24"/>
          <w:szCs w:val="24"/>
          <w14:textFill>
            <w14:solidFill>
              <w14:schemeClr w14:val="tx1"/>
            </w14:solidFill>
          </w14:textFill>
        </w:rPr>
        <w:t>预算金额：</w:t>
      </w:r>
      <w:r>
        <w:rPr>
          <w:rFonts w:hint="eastAsia" w:ascii="Times New Roman" w:hAnsi="Times New Roman"/>
          <w:color w:val="000000" w:themeColor="text1"/>
          <w:sz w:val="24"/>
          <w:szCs w:val="24"/>
          <w14:textFill>
            <w14:solidFill>
              <w14:schemeClr w14:val="tx1"/>
            </w14:solidFill>
          </w14:textFill>
        </w:rPr>
        <w:t>总预算</w:t>
      </w:r>
      <w:r>
        <w:rPr>
          <w:rFonts w:ascii="Times New Roman" w:hAnsi="Times New Roman"/>
          <w:color w:val="000000" w:themeColor="text1"/>
          <w:sz w:val="24"/>
          <w:szCs w:val="24"/>
          <w14:textFill>
            <w14:solidFill>
              <w14:schemeClr w14:val="tx1"/>
            </w14:solidFill>
          </w14:textFill>
        </w:rPr>
        <w:t>人民币</w:t>
      </w:r>
      <w:r>
        <w:rPr>
          <w:rFonts w:hint="eastAsia" w:ascii="Times New Roman" w:hAnsi="Times New Roman"/>
          <w:color w:val="000000" w:themeColor="text1"/>
          <w:sz w:val="24"/>
          <w:szCs w:val="24"/>
          <w14:textFill>
            <w14:solidFill>
              <w14:schemeClr w14:val="tx1"/>
            </w14:solidFill>
          </w14:textFill>
        </w:rPr>
        <w:t>7000000.00元，每年预算人民币3500000.00元；</w:t>
      </w:r>
      <w:r>
        <w:rPr>
          <w:rFonts w:hint="eastAsia" w:ascii="Times New Roman" w:hAnsi="Times New Roman"/>
          <w:sz w:val="24"/>
          <w:szCs w:val="24"/>
          <w:lang w:bidi="ar"/>
        </w:rPr>
        <w:t>本项目共二个标段，标段一总预算人民币3500000.00元，每年预算人民币1750000</w:t>
      </w:r>
      <w:r>
        <w:rPr>
          <w:rFonts w:ascii="Times New Roman" w:hAnsi="Times New Roman"/>
          <w:sz w:val="24"/>
          <w:szCs w:val="24"/>
          <w:lang w:bidi="ar"/>
        </w:rPr>
        <w:t>.00</w:t>
      </w:r>
      <w:r>
        <w:rPr>
          <w:rFonts w:hint="eastAsia" w:ascii="Times New Roman" w:hAnsi="Times New Roman"/>
          <w:sz w:val="24"/>
          <w:szCs w:val="24"/>
          <w:lang w:bidi="ar"/>
        </w:rPr>
        <w:t>元；标段二总预算人民币3500000.00元，每年预算人民币1750000</w:t>
      </w:r>
      <w:r>
        <w:rPr>
          <w:rFonts w:ascii="Times New Roman" w:hAnsi="Times New Roman"/>
          <w:sz w:val="24"/>
          <w:szCs w:val="24"/>
          <w:lang w:bidi="ar"/>
        </w:rPr>
        <w:t>.00</w:t>
      </w:r>
      <w:r>
        <w:rPr>
          <w:rFonts w:hint="eastAsia" w:ascii="Times New Roman" w:hAnsi="Times New Roman"/>
          <w:sz w:val="24"/>
          <w:szCs w:val="24"/>
          <w:lang w:bidi="ar"/>
        </w:rPr>
        <w:t>元。</w:t>
      </w:r>
    </w:p>
    <w:p>
      <w:pPr>
        <w:tabs>
          <w:tab w:val="left" w:pos="7350"/>
        </w:tabs>
        <w:spacing w:line="46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sz w:val="24"/>
          <w:szCs w:val="24"/>
          <w:lang w:bidi="ar"/>
        </w:rPr>
        <w:t>标段</w:t>
      </w:r>
      <w:r>
        <w:rPr>
          <w:rFonts w:hint="eastAsia" w:ascii="Times New Roman" w:hAnsi="Times New Roman"/>
          <w:color w:val="000000" w:themeColor="text1"/>
          <w:sz w:val="24"/>
          <w:szCs w:val="24"/>
          <w14:textFill>
            <w14:solidFill>
              <w14:schemeClr w14:val="tx1"/>
            </w14:solidFill>
          </w14:textFill>
        </w:rPr>
        <w:t>一：苏州工学院社会车辆租赁服务1。</w:t>
      </w:r>
    </w:p>
    <w:p>
      <w:pPr>
        <w:tabs>
          <w:tab w:val="left" w:pos="7350"/>
        </w:tabs>
        <w:spacing w:line="46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sz w:val="24"/>
          <w:szCs w:val="24"/>
          <w:lang w:bidi="ar"/>
        </w:rPr>
        <w:t>标段</w:t>
      </w:r>
      <w:r>
        <w:rPr>
          <w:rFonts w:hint="eastAsia" w:ascii="Times New Roman" w:hAnsi="Times New Roman"/>
          <w:color w:val="000000" w:themeColor="text1"/>
          <w:sz w:val="24"/>
          <w:szCs w:val="24"/>
          <w14:textFill>
            <w14:solidFill>
              <w14:schemeClr w14:val="tx1"/>
            </w14:solidFill>
          </w14:textFill>
        </w:rPr>
        <w:t>二：苏州工学院社会车辆租赁服务2。</w:t>
      </w:r>
    </w:p>
    <w:p>
      <w:pPr>
        <w:tabs>
          <w:tab w:val="left" w:pos="7350"/>
        </w:tabs>
        <w:spacing w:line="46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bCs/>
          <w:sz w:val="24"/>
        </w:rPr>
        <w:t>本项目共二个标段，投标人可以投其中一个标段，也可以投全部标段，二个标段不可兼中</w:t>
      </w:r>
      <w:r>
        <w:rPr>
          <w:rFonts w:hint="eastAsia" w:ascii="Times New Roman" w:hAnsi="Times New Roman"/>
          <w:bCs/>
          <w:sz w:val="24"/>
          <w:lang w:bidi="ar"/>
        </w:rPr>
        <w:t>。</w:t>
      </w:r>
    </w:p>
    <w:p>
      <w:pPr>
        <w:tabs>
          <w:tab w:val="left" w:pos="7350"/>
        </w:tabs>
        <w:spacing w:line="46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合同履行期限：</w:t>
      </w:r>
      <w:r>
        <w:rPr>
          <w:rFonts w:hint="eastAsia" w:ascii="Times New Roman" w:hAnsi="Times New Roman"/>
          <w:color w:val="000000" w:themeColor="text1"/>
          <w:sz w:val="24"/>
          <w:szCs w:val="24"/>
          <w14:textFill>
            <w14:solidFill>
              <w14:schemeClr w14:val="tx1"/>
            </w14:solidFill>
          </w14:textFill>
        </w:rPr>
        <w:t>自签订合同之日起2年</w:t>
      </w:r>
      <w:r>
        <w:rPr>
          <w:rFonts w:hint="eastAsia" w:ascii="宋体" w:hAnsi="宋体"/>
          <w:color w:val="000000"/>
          <w:sz w:val="24"/>
          <w:szCs w:val="24"/>
          <w:lang w:bidi="ar"/>
        </w:rPr>
        <w:t>。</w:t>
      </w:r>
    </w:p>
    <w:p>
      <w:pPr>
        <w:spacing w:line="46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本项目不接受联合体投标。</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23" w:name="_Toc228349821"/>
      <w:r>
        <w:rPr>
          <w:rFonts w:hint="eastAsia" w:ascii="Times New Roman" w:hAnsi="Times New Roman"/>
          <w:b/>
          <w:bCs/>
          <w:color w:val="000000" w:themeColor="text1"/>
          <w:sz w:val="24"/>
          <w:szCs w:val="24"/>
          <w14:textFill>
            <w14:solidFill>
              <w14:schemeClr w14:val="tx1"/>
            </w14:solidFill>
          </w14:textFill>
        </w:rPr>
        <w:t>二、申请人的资格要求</w:t>
      </w:r>
      <w:bookmarkEnd w:id="17"/>
      <w:bookmarkEnd w:id="18"/>
      <w:bookmarkEnd w:id="19"/>
      <w:bookmarkEnd w:id="20"/>
      <w:bookmarkEnd w:id="21"/>
      <w:bookmarkEnd w:id="23"/>
      <w:bookmarkStart w:id="24" w:name="_Toc35393792"/>
      <w:bookmarkStart w:id="25" w:name="_Toc28359081"/>
      <w:bookmarkStart w:id="26" w:name="_Toc38985265"/>
      <w:bookmarkStart w:id="27" w:name="_Toc35393623"/>
      <w:bookmarkStart w:id="28" w:name="_Toc28359004"/>
    </w:p>
    <w:p>
      <w:pPr>
        <w:keepNext/>
        <w:keepLines/>
        <w:spacing w:line="440" w:lineRule="exact"/>
        <w:ind w:firstLine="480"/>
        <w:rPr>
          <w:rFonts w:ascii="宋体" w:hAnsi="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（一）满足《中华人民共和国政府采购法》第二十二条规定；</w:t>
      </w:r>
    </w:p>
    <w:p>
      <w:pPr>
        <w:widowControl/>
        <w:shd w:val="clear" w:color="auto" w:fill="FFFFFF"/>
        <w:spacing w:line="440" w:lineRule="exact"/>
        <w:ind w:firstLine="72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1、具有独立承担民事责任的能力。</w:t>
      </w:r>
    </w:p>
    <w:p>
      <w:pPr>
        <w:widowControl/>
        <w:shd w:val="clear" w:color="auto" w:fill="FFFFFF"/>
        <w:spacing w:line="440" w:lineRule="exact"/>
        <w:ind w:firstLine="72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2、具有良好的商业信誉和健全的财务会计制度。</w:t>
      </w:r>
    </w:p>
    <w:p>
      <w:pPr>
        <w:widowControl/>
        <w:shd w:val="clear" w:color="auto" w:fill="FFFFFF"/>
        <w:spacing w:line="440" w:lineRule="exact"/>
        <w:ind w:firstLine="72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3、具有履行合同所必需的设备和专业技术能力。</w:t>
      </w:r>
    </w:p>
    <w:p>
      <w:pPr>
        <w:widowControl/>
        <w:shd w:val="clear" w:color="auto" w:fill="FFFFFF"/>
        <w:spacing w:line="440" w:lineRule="exact"/>
        <w:ind w:firstLine="72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4、有依法缴纳税收和社会保障资金的良好记录。</w:t>
      </w:r>
    </w:p>
    <w:p>
      <w:pPr>
        <w:widowControl/>
        <w:shd w:val="clear" w:color="auto" w:fill="FFFFFF"/>
        <w:spacing w:line="440" w:lineRule="exact"/>
        <w:ind w:firstLine="72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5、参加政府采购活动前三年内，在经营活动中没有重大违法记录。</w:t>
      </w:r>
    </w:p>
    <w:p>
      <w:pPr>
        <w:widowControl/>
        <w:shd w:val="clear" w:color="auto" w:fill="FFFFFF"/>
        <w:spacing w:line="440" w:lineRule="exact"/>
        <w:ind w:firstLine="72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6、单位负责人为同一人或者存在直接控股、管理关系的不同供应商，不得参加同一合同项下的采购活动。</w:t>
      </w:r>
    </w:p>
    <w:p>
      <w:pPr>
        <w:widowControl/>
        <w:shd w:val="clear" w:color="auto" w:fill="FFFFFF"/>
        <w:spacing w:line="440" w:lineRule="exact"/>
        <w:ind w:firstLine="480"/>
        <w:jc w:val="left"/>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（二）落实政府采购政策需满足的资格要求：</w:t>
      </w:r>
      <w:r>
        <w:rPr>
          <w:rFonts w:hint="eastAsia" w:ascii="宋体" w:hAnsi="宋体" w:cs="宋体"/>
          <w:b/>
          <w:color w:val="000000" w:themeColor="text1"/>
          <w:sz w:val="24"/>
          <w:szCs w:val="24"/>
          <w14:textFill>
            <w14:solidFill>
              <w14:schemeClr w14:val="tx1"/>
            </w14:solidFill>
          </w14:textFill>
        </w:rPr>
        <w:t>本项目不专门面向中小企业采购，所属行业为交通运输业。</w:t>
      </w:r>
    </w:p>
    <w:p>
      <w:pPr>
        <w:keepNext/>
        <w:keepLines/>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（三）本项目的特定资格要求：</w:t>
      </w:r>
      <w:r>
        <w:rPr>
          <w:rFonts w:hint="eastAsia" w:ascii="宋体" w:hAnsi="宋体" w:cs="宋体"/>
          <w:color w:val="000000"/>
          <w:sz w:val="24"/>
          <w:szCs w:val="24"/>
          <w:lang w:bidi="ar"/>
        </w:rPr>
        <w:t>具有合法有效的《道路运输经营许可证》（经营范围包括城市公共交通、省际包车客运），且道路运输经营许可证经营范围须包含汽车租赁或包车客运或旅游客运</w:t>
      </w:r>
      <w:r>
        <w:rPr>
          <w:rFonts w:hint="eastAsia" w:ascii="宋体" w:hAnsi="宋体" w:cs="宋体"/>
          <w:color w:val="000000" w:themeColor="text1"/>
          <w:sz w:val="24"/>
          <w:szCs w:val="24"/>
          <w14:textFill>
            <w14:solidFill>
              <w14:schemeClr w14:val="tx1"/>
            </w14:solidFill>
          </w14:textFill>
        </w:rPr>
        <w:t>。</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29" w:name="_Toc228349822"/>
      <w:r>
        <w:rPr>
          <w:rFonts w:hint="eastAsia" w:ascii="Times New Roman" w:hAnsi="Times New Roman"/>
          <w:b/>
          <w:bCs/>
          <w:color w:val="000000" w:themeColor="text1"/>
          <w:sz w:val="24"/>
          <w:szCs w:val="24"/>
          <w14:textFill>
            <w14:solidFill>
              <w14:schemeClr w14:val="tx1"/>
            </w14:solidFill>
          </w14:textFill>
        </w:rPr>
        <w:t>三、获取招标文件</w:t>
      </w:r>
      <w:bookmarkEnd w:id="24"/>
      <w:bookmarkEnd w:id="25"/>
      <w:bookmarkEnd w:id="26"/>
      <w:bookmarkEnd w:id="27"/>
      <w:bookmarkEnd w:id="28"/>
      <w:bookmarkEnd w:id="29"/>
      <w:bookmarkStart w:id="30" w:name="_Toc28359082"/>
      <w:bookmarkStart w:id="31" w:name="_Toc28359005"/>
      <w:bookmarkStart w:id="32" w:name="_Toc35393793"/>
      <w:bookmarkStart w:id="33" w:name="_Toc35393624"/>
      <w:bookmarkStart w:id="34" w:name="_Toc38985266"/>
    </w:p>
    <w:p>
      <w:pPr>
        <w:keepNext/>
        <w:keepLines/>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时间：自招标文件公告发布之日起5个工作日 </w:t>
      </w:r>
    </w:p>
    <w:p>
      <w:pPr>
        <w:keepNext/>
        <w:keepLines/>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地点：苏采云政府采购一体化平台 </w:t>
      </w:r>
    </w:p>
    <w:p>
      <w:pPr>
        <w:keepNext/>
        <w:keepLines/>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方式：在“苏采云政府采购一体化平台”自行免费下载采购文件 </w:t>
      </w:r>
    </w:p>
    <w:p>
      <w:pPr>
        <w:spacing w:line="460" w:lineRule="exact"/>
        <w:ind w:firstLine="480"/>
        <w:rPr>
          <w:rFonts w:ascii="Times New Roman" w:hAnsi="Times New Roman"/>
          <w:sz w:val="24"/>
          <w:szCs w:val="24"/>
          <w:u w:val="single"/>
        </w:rPr>
      </w:pPr>
      <w:r>
        <w:rPr>
          <w:rFonts w:hint="eastAsia" w:ascii="宋体" w:hAnsi="宋体" w:cs="宋体"/>
          <w:color w:val="000000" w:themeColor="text1"/>
          <w:sz w:val="24"/>
          <w:szCs w:val="24"/>
          <w14:textFill>
            <w14:solidFill>
              <w14:schemeClr w14:val="tx1"/>
            </w14:solidFill>
          </w14:textFill>
        </w:rPr>
        <w:t>售价：0.00元</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35" w:name="_Toc228349823"/>
      <w:r>
        <w:rPr>
          <w:rFonts w:hint="eastAsia" w:ascii="Times New Roman" w:hAnsi="Times New Roman"/>
          <w:b/>
          <w:bCs/>
          <w:color w:val="000000" w:themeColor="text1"/>
          <w:sz w:val="24"/>
          <w:szCs w:val="24"/>
          <w14:textFill>
            <w14:solidFill>
              <w14:schemeClr w14:val="tx1"/>
            </w14:solidFill>
          </w14:textFill>
        </w:rPr>
        <w:t>四、</w:t>
      </w:r>
      <w:bookmarkEnd w:id="30"/>
      <w:bookmarkEnd w:id="31"/>
      <w:bookmarkEnd w:id="32"/>
      <w:bookmarkEnd w:id="33"/>
      <w:bookmarkEnd w:id="34"/>
      <w:r>
        <w:rPr>
          <w:rFonts w:hint="eastAsia" w:ascii="Times New Roman" w:hAnsi="Times New Roman"/>
          <w:b/>
          <w:bCs/>
          <w:color w:val="000000" w:themeColor="text1"/>
          <w:sz w:val="24"/>
          <w:szCs w:val="24"/>
          <w14:textFill>
            <w14:solidFill>
              <w14:schemeClr w14:val="tx1"/>
            </w14:solidFill>
          </w14:textFill>
        </w:rPr>
        <w:t>提交投标文件截止时间、开标</w:t>
      </w:r>
      <w:r>
        <w:rPr>
          <w:rFonts w:ascii="Times New Roman" w:hAnsi="Times New Roman"/>
          <w:b/>
          <w:bCs/>
          <w:color w:val="000000" w:themeColor="text1"/>
          <w:sz w:val="24"/>
          <w:szCs w:val="24"/>
          <w14:textFill>
            <w14:solidFill>
              <w14:schemeClr w14:val="tx1"/>
            </w14:solidFill>
          </w14:textFill>
        </w:rPr>
        <w:t>时间和地点</w:t>
      </w:r>
      <w:bookmarkEnd w:id="35"/>
    </w:p>
    <w:p>
      <w:pPr>
        <w:spacing w:line="440" w:lineRule="exact"/>
        <w:ind w:firstLine="480"/>
        <w:rPr>
          <w:rFonts w:ascii="Times New Roman" w:hAnsi="Times New Roman"/>
          <w:color w:val="000000" w:themeColor="text1"/>
          <w:sz w:val="24"/>
          <w:szCs w:val="24"/>
          <w14:textFill>
            <w14:solidFill>
              <w14:schemeClr w14:val="tx1"/>
            </w14:solidFill>
          </w14:textFill>
        </w:rPr>
      </w:pPr>
      <w:bookmarkStart w:id="36" w:name="_Toc35393625"/>
      <w:bookmarkStart w:id="37" w:name="_Toc35393794"/>
      <w:bookmarkStart w:id="38" w:name="_Toc28359084"/>
      <w:bookmarkStart w:id="39" w:name="_Toc38985267"/>
      <w:bookmarkStart w:id="40" w:name="_Toc28359007"/>
      <w:r>
        <w:rPr>
          <w:rFonts w:hint="eastAsia" w:ascii="Times New Roman" w:hAnsi="Times New Roman"/>
          <w:color w:val="000000" w:themeColor="text1"/>
          <w:sz w:val="24"/>
          <w:szCs w:val="24"/>
          <w14:textFill>
            <w14:solidFill>
              <w14:schemeClr w14:val="tx1"/>
            </w14:solidFill>
          </w14:textFill>
        </w:rPr>
        <w:t>时间：2026-</w:t>
      </w:r>
      <w:r>
        <w:rPr>
          <w:rFonts w:hint="eastAsia" w:ascii="Times New Roman" w:hAnsi="Times New Roman"/>
          <w:color w:val="000000" w:themeColor="text1"/>
          <w:sz w:val="24"/>
          <w:szCs w:val="24"/>
          <w:lang w:val="en-US" w:eastAsia="zh-CN"/>
          <w14:textFill>
            <w14:solidFill>
              <w14:schemeClr w14:val="tx1"/>
            </w14:solidFill>
          </w14:textFill>
        </w:rPr>
        <w:t>6</w:t>
      </w:r>
      <w:r>
        <w:rPr>
          <w:rFonts w:hint="eastAsia"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lang w:val="en-US" w:eastAsia="zh-CN"/>
          <w14:textFill>
            <w14:solidFill>
              <w14:schemeClr w14:val="tx1"/>
            </w14:solidFill>
          </w14:textFill>
        </w:rPr>
        <w:t>15</w:t>
      </w:r>
      <w:r>
        <w:rPr>
          <w:rFonts w:hint="eastAsia" w:ascii="Times New Roman" w:hAnsi="Times New Roman"/>
          <w:color w:val="000000" w:themeColor="text1"/>
          <w:sz w:val="24"/>
          <w:szCs w:val="24"/>
          <w14:textFill>
            <w14:solidFill>
              <w14:schemeClr w14:val="tx1"/>
            </w14:solidFill>
          </w14:textFill>
        </w:rPr>
        <w:t xml:space="preserve">     13:00（北京时间）</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地点：苏采云政府采购一体化平台开标大厅</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41" w:name="_Toc228349824"/>
      <w:r>
        <w:rPr>
          <w:rFonts w:hint="eastAsia" w:ascii="Times New Roman" w:hAnsi="Times New Roman"/>
          <w:b/>
          <w:bCs/>
          <w:color w:val="000000" w:themeColor="text1"/>
          <w:sz w:val="24"/>
          <w:szCs w:val="24"/>
          <w14:textFill>
            <w14:solidFill>
              <w14:schemeClr w14:val="tx1"/>
            </w14:solidFill>
          </w14:textFill>
        </w:rPr>
        <w:t>五、</w:t>
      </w:r>
      <w:bookmarkEnd w:id="36"/>
      <w:bookmarkEnd w:id="37"/>
      <w:bookmarkEnd w:id="38"/>
      <w:bookmarkEnd w:id="39"/>
      <w:bookmarkEnd w:id="40"/>
      <w:r>
        <w:rPr>
          <w:rFonts w:ascii="Times New Roman" w:hAnsi="Times New Roman"/>
          <w:b/>
          <w:bCs/>
          <w:color w:val="000000" w:themeColor="text1"/>
          <w:sz w:val="24"/>
          <w:szCs w:val="24"/>
          <w14:textFill>
            <w14:solidFill>
              <w14:schemeClr w14:val="tx1"/>
            </w14:solidFill>
          </w14:textFill>
        </w:rPr>
        <w:t>公告</w:t>
      </w:r>
      <w:r>
        <w:rPr>
          <w:rFonts w:hint="eastAsia" w:ascii="Times New Roman" w:hAnsi="Times New Roman"/>
          <w:b/>
          <w:bCs/>
          <w:color w:val="000000" w:themeColor="text1"/>
          <w:sz w:val="24"/>
          <w:szCs w:val="24"/>
          <w14:textFill>
            <w14:solidFill>
              <w14:schemeClr w14:val="tx1"/>
            </w14:solidFill>
          </w14:textFill>
        </w:rPr>
        <w:t>期限</w:t>
      </w:r>
      <w:bookmarkEnd w:id="41"/>
    </w:p>
    <w:p>
      <w:pPr>
        <w:spacing w:line="440" w:lineRule="exact"/>
        <w:ind w:firstLine="480"/>
        <w:rPr>
          <w:rFonts w:ascii="Times New Roman" w:hAnsi="Times New Roman"/>
          <w:color w:val="000000" w:themeColor="text1"/>
          <w:sz w:val="24"/>
          <w:szCs w:val="24"/>
          <w14:textFill>
            <w14:solidFill>
              <w14:schemeClr w14:val="tx1"/>
            </w14:solidFill>
          </w14:textFill>
        </w:rPr>
      </w:pPr>
      <w:bookmarkStart w:id="42" w:name="_Toc38985268"/>
      <w:bookmarkStart w:id="43" w:name="_Toc35393626"/>
      <w:bookmarkStart w:id="44" w:name="_Toc35393795"/>
      <w:r>
        <w:rPr>
          <w:rFonts w:hint="eastAsia" w:ascii="Times New Roman" w:hAnsi="Times New Roman"/>
          <w:color w:val="000000" w:themeColor="text1"/>
          <w:sz w:val="24"/>
          <w:szCs w:val="24"/>
          <w14:textFill>
            <w14:solidFill>
              <w14:schemeClr w14:val="tx1"/>
            </w14:solidFill>
          </w14:textFill>
        </w:rPr>
        <w:t>公告期限：自本公告发布之日起5个工作日。</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45" w:name="_Toc228349825"/>
      <w:r>
        <w:rPr>
          <w:rFonts w:hint="eastAsia" w:ascii="Times New Roman" w:hAnsi="Times New Roman"/>
          <w:b/>
          <w:bCs/>
          <w:color w:val="000000" w:themeColor="text1"/>
          <w:sz w:val="24"/>
          <w:szCs w:val="24"/>
          <w14:textFill>
            <w14:solidFill>
              <w14:schemeClr w14:val="tx1"/>
            </w14:solidFill>
          </w14:textFill>
        </w:rPr>
        <w:t>六、其他补充事宜</w:t>
      </w:r>
      <w:bookmarkEnd w:id="42"/>
      <w:bookmarkEnd w:id="43"/>
      <w:bookmarkEnd w:id="44"/>
      <w:bookmarkEnd w:id="45"/>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单位负责人为同一人或者存在直接控股、管理关系的不同供应商，不得参加同一合同项下的政府采购活动。</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CA证书办理：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4、投标人在“苏采云”系统操作过程中如有疑问，请按以下方式联系：</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CA技术咨询电话：400-608-6099；电子签章技术咨询电话：15380932027、15371015030、13675197356、13675197221；系统使用指导与咨询电话：18261002950、0512-69820854、0519-86722802。</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5、有关本次采购的事项若存在变动或修改，敬请及时关注政府采购信息发布媒体上的更正（补充）公告</w:t>
      </w:r>
      <w:bookmarkStart w:id="46" w:name="_Hlk87882297"/>
      <w:r>
        <w:rPr>
          <w:rFonts w:hint="eastAsia" w:ascii="Times New Roman" w:hAnsi="Times New Roman"/>
          <w:color w:val="000000" w:themeColor="text1"/>
          <w:sz w:val="24"/>
          <w:szCs w:val="24"/>
          <w14:textFill>
            <w14:solidFill>
              <w14:schemeClr w14:val="tx1"/>
            </w14:solidFill>
          </w14:textFill>
        </w:rPr>
        <w:t>，并按规定获取相关信息内容。</w:t>
      </w:r>
      <w:bookmarkEnd w:id="46"/>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6、本次采购项目有关时间要求均以北京时间为标准，使用24小时制。</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7、本次招标不收取投标保证金。</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8、公告媒体：江苏政府采购网、苏州市政府采购网、苏州工学院招标网。</w:t>
      </w:r>
    </w:p>
    <w:p>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47" w:name="_Toc28359085"/>
      <w:bookmarkStart w:id="48" w:name="_Toc28359008"/>
      <w:bookmarkStart w:id="49" w:name="_Toc35393796"/>
      <w:bookmarkStart w:id="50" w:name="_Toc35393627"/>
      <w:bookmarkStart w:id="51" w:name="_Toc38985269"/>
      <w:bookmarkStart w:id="52" w:name="_Toc228349826"/>
      <w:r>
        <w:rPr>
          <w:rFonts w:hint="eastAsia" w:ascii="Times New Roman" w:hAnsi="Times New Roman"/>
          <w:b/>
          <w:bCs/>
          <w:color w:val="000000" w:themeColor="text1"/>
          <w:sz w:val="24"/>
          <w:szCs w:val="24"/>
          <w14:textFill>
            <w14:solidFill>
              <w14:schemeClr w14:val="tx1"/>
            </w14:solidFill>
          </w14:textFill>
        </w:rPr>
        <w:t>七、本次招标联系</w:t>
      </w:r>
      <w:bookmarkEnd w:id="47"/>
      <w:bookmarkEnd w:id="48"/>
      <w:bookmarkEnd w:id="49"/>
      <w:bookmarkEnd w:id="50"/>
      <w:bookmarkEnd w:id="51"/>
      <w:r>
        <w:rPr>
          <w:rFonts w:hint="eastAsia" w:ascii="Times New Roman" w:hAnsi="Times New Roman"/>
          <w:b/>
          <w:bCs/>
          <w:color w:val="000000" w:themeColor="text1"/>
          <w:sz w:val="24"/>
          <w:szCs w:val="24"/>
          <w14:textFill>
            <w14:solidFill>
              <w14:schemeClr w14:val="tx1"/>
            </w14:solidFill>
          </w14:textFill>
        </w:rPr>
        <w:t>方式</w:t>
      </w:r>
      <w:bookmarkEnd w:id="52"/>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1、采购人信息</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单位名称：</w:t>
      </w:r>
      <w:bookmarkStart w:id="53" w:name="OLE_LINK4"/>
      <w:r>
        <w:rPr>
          <w:rFonts w:hint="eastAsia" w:ascii="宋体" w:hAnsi="宋体"/>
          <w:color w:val="000000" w:themeColor="text1"/>
          <w:sz w:val="24"/>
          <w:szCs w:val="24"/>
          <w14:textFill>
            <w14:solidFill>
              <w14:schemeClr w14:val="tx1"/>
            </w14:solidFill>
          </w14:textFill>
        </w:rPr>
        <w:t>苏州工学院</w:t>
      </w:r>
      <w:bookmarkEnd w:id="53"/>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单位地址：江苏省常熟市南三环路99号（东湖校区）</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联系人：袁玫鹃</w:t>
      </w:r>
    </w:p>
    <w:p>
      <w:pPr>
        <w:spacing w:line="440" w:lineRule="exact"/>
        <w:ind w:firstLine="480"/>
        <w:rPr>
          <w:rFonts w:ascii="Times New Roman" w:hAnsi="Times New Roman"/>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联系方式：</w:t>
      </w:r>
      <w:bookmarkStart w:id="54" w:name="_Toc28359009"/>
      <w:bookmarkStart w:id="55" w:name="_Toc28359086"/>
      <w:r>
        <w:rPr>
          <w:rFonts w:hint="eastAsia" w:ascii="宋体" w:hAnsi="宋体" w:cs="宋体"/>
          <w:bCs/>
          <w:sz w:val="24"/>
          <w:szCs w:val="24"/>
        </w:rPr>
        <w:t>0512-52251113</w:t>
      </w:r>
      <w:bookmarkEnd w:id="54"/>
      <w:bookmarkEnd w:id="55"/>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2、采购代理机构信息</w:t>
      </w:r>
    </w:p>
    <w:p>
      <w:pPr>
        <w:spacing w:line="440" w:lineRule="exact"/>
        <w:ind w:firstLine="480"/>
        <w:rPr>
          <w:rFonts w:ascii="Times New Roman" w:hAnsi="Times New Roman"/>
          <w:color w:val="000000" w:themeColor="text1"/>
          <w:sz w:val="24"/>
          <w:szCs w:val="24"/>
          <w14:textFill>
            <w14:solidFill>
              <w14:schemeClr w14:val="tx1"/>
            </w14:solidFill>
          </w14:textFill>
        </w:rPr>
      </w:pPr>
      <w:bookmarkStart w:id="56" w:name="_Toc28359010"/>
      <w:bookmarkStart w:id="57" w:name="_Toc28359087"/>
      <w:r>
        <w:rPr>
          <w:rFonts w:hint="eastAsia" w:ascii="Times New Roman" w:hAnsi="Times New Roman"/>
          <w:color w:val="000000" w:themeColor="text1"/>
          <w:sz w:val="24"/>
          <w:szCs w:val="24"/>
          <w14:textFill>
            <w14:solidFill>
              <w14:schemeClr w14:val="tx1"/>
            </w14:solidFill>
          </w14:textFill>
        </w:rPr>
        <w:t>单位名称</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苏州新一造价师价格事务所有限公司</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单位</w:t>
      </w:r>
      <w:r>
        <w:rPr>
          <w:rFonts w:ascii="Times New Roman" w:hAnsi="Times New Roman"/>
          <w:color w:val="000000" w:themeColor="text1"/>
          <w:sz w:val="24"/>
          <w:szCs w:val="24"/>
          <w14:textFill>
            <w14:solidFill>
              <w14:schemeClr w14:val="tx1"/>
            </w14:solidFill>
          </w14:textFill>
        </w:rPr>
        <w:t>地址：</w:t>
      </w:r>
      <w:r>
        <w:rPr>
          <w:rFonts w:hint="eastAsia" w:ascii="Times New Roman" w:hAnsi="Times New Roman"/>
          <w:color w:val="000000" w:themeColor="text1"/>
          <w:sz w:val="24"/>
          <w:szCs w:val="24"/>
          <w14:textFill>
            <w14:solidFill>
              <w14:schemeClr w14:val="tx1"/>
            </w14:solidFill>
          </w14:textFill>
        </w:rPr>
        <w:t>常熟市开元东路2号一楼</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联系</w:t>
      </w:r>
      <w:r>
        <w:rPr>
          <w:rFonts w:hint="eastAsia" w:ascii="Times New Roman" w:hAnsi="Times New Roman"/>
          <w:color w:val="000000" w:themeColor="text1"/>
          <w:sz w:val="24"/>
          <w:szCs w:val="24"/>
          <w14:textFill>
            <w14:solidFill>
              <w14:schemeClr w14:val="tx1"/>
            </w14:solidFill>
          </w14:textFill>
        </w:rPr>
        <w:t>人</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韩忆程、代福勇、吕永中</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联系方式：</w:t>
      </w:r>
      <w:r>
        <w:rPr>
          <w:rFonts w:ascii="Times New Roman" w:hAnsi="Times New Roman"/>
          <w:color w:val="000000" w:themeColor="text1"/>
          <w:sz w:val="24"/>
          <w:szCs w:val="24"/>
          <w14:textFill>
            <w14:solidFill>
              <w14:schemeClr w14:val="tx1"/>
            </w14:solidFill>
          </w14:textFill>
        </w:rPr>
        <w:t>0512-5280</w:t>
      </w:r>
      <w:r>
        <w:rPr>
          <w:rFonts w:hint="eastAsia" w:ascii="Times New Roman" w:hAnsi="Times New Roman"/>
          <w:color w:val="000000" w:themeColor="text1"/>
          <w:sz w:val="24"/>
          <w:szCs w:val="24"/>
          <w14:textFill>
            <w14:solidFill>
              <w14:schemeClr w14:val="tx1"/>
            </w14:solidFill>
          </w14:textFill>
        </w:rPr>
        <w:t>8032</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3、项目联系方式</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项目联系人：韩忆程、代福勇、吕永中</w:t>
      </w:r>
    </w:p>
    <w:p>
      <w:pPr>
        <w:spacing w:line="440" w:lineRule="exact"/>
        <w:ind w:firstLine="48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电话：0512-52808032</w:t>
      </w:r>
    </w:p>
    <w:bookmarkEnd w:id="56"/>
    <w:bookmarkEnd w:id="57"/>
    <w:p>
      <w:pPr>
        <w:spacing w:line="440" w:lineRule="exact"/>
        <w:ind w:firstLine="480"/>
        <w:rPr>
          <w:rFonts w:ascii="Times New Roman" w:hAnsi="Times New Roman"/>
          <w:color w:val="000000" w:themeColor="text1"/>
          <w:sz w:val="24"/>
          <w:szCs w:val="24"/>
          <w14:textFill>
            <w14:solidFill>
              <w14:schemeClr w14:val="tx1"/>
            </w14:solidFill>
          </w14:textFill>
        </w:rPr>
      </w:pPr>
    </w:p>
    <w:p>
      <w:pPr>
        <w:widowControl/>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p>
    <w:p>
      <w:pPr>
        <w:keepNext/>
        <w:ind w:firstLine="880"/>
        <w:jc w:val="center"/>
        <w:outlineLvl w:val="0"/>
        <w:rPr>
          <w:rFonts w:ascii="黑体" w:hAnsi="Times New Roman" w:eastAsia="黑体"/>
          <w:color w:val="000000" w:themeColor="text1"/>
          <w:sz w:val="44"/>
          <w:szCs w:val="44"/>
          <w14:textFill>
            <w14:solidFill>
              <w14:schemeClr w14:val="tx1"/>
            </w14:solidFill>
          </w14:textFill>
        </w:rPr>
      </w:pPr>
      <w:bookmarkStart w:id="58" w:name="_Toc120614211"/>
      <w:bookmarkStart w:id="59" w:name="_Toc228349827"/>
      <w:r>
        <w:rPr>
          <w:rFonts w:hint="eastAsia" w:ascii="黑体" w:hAnsi="Times New Roman" w:eastAsia="黑体"/>
          <w:color w:val="000000" w:themeColor="text1"/>
          <w:sz w:val="44"/>
          <w:szCs w:val="44"/>
          <w14:textFill>
            <w14:solidFill>
              <w14:schemeClr w14:val="tx1"/>
            </w14:solidFill>
          </w14:textFill>
        </w:rPr>
        <w:t xml:space="preserve">第二章  </w:t>
      </w:r>
      <w:bookmarkEnd w:id="1"/>
      <w:bookmarkEnd w:id="2"/>
      <w:bookmarkEnd w:id="3"/>
      <w:bookmarkEnd w:id="4"/>
      <w:bookmarkEnd w:id="5"/>
      <w:bookmarkEnd w:id="58"/>
      <w:bookmarkStart w:id="60" w:name="_Toc120614213"/>
      <w:bookmarkStart w:id="61" w:name="_Toc16938518"/>
      <w:bookmarkStart w:id="62" w:name="_Toc513029202"/>
      <w:bookmarkStart w:id="63" w:name="_Toc20823274"/>
      <w:r>
        <w:rPr>
          <w:rFonts w:hint="eastAsia" w:ascii="黑体" w:hAnsi="Times New Roman" w:eastAsia="黑体"/>
          <w:color w:val="000000" w:themeColor="text1"/>
          <w:sz w:val="44"/>
          <w:szCs w:val="44"/>
          <w14:textFill>
            <w14:solidFill>
              <w14:schemeClr w14:val="tx1"/>
            </w14:solidFill>
          </w14:textFill>
        </w:rPr>
        <w:t>投标人须知</w:t>
      </w:r>
      <w:bookmarkEnd w:id="59"/>
      <w:bookmarkEnd w:id="60"/>
      <w:bookmarkEnd w:id="61"/>
      <w:bookmarkEnd w:id="62"/>
      <w:bookmarkEnd w:id="63"/>
    </w:p>
    <w:p>
      <w:pPr>
        <w:keepNext/>
        <w:keepLines/>
        <w:spacing w:line="480" w:lineRule="exact"/>
        <w:ind w:firstLine="562"/>
        <w:outlineLvl w:val="1"/>
        <w:rPr>
          <w:rFonts w:ascii="宋体" w:hAnsi="宋体" w:cs="宋体"/>
          <w:b/>
          <w:bCs/>
          <w:color w:val="000000" w:themeColor="text1"/>
          <w:sz w:val="28"/>
          <w:szCs w:val="28"/>
          <w14:textFill>
            <w14:solidFill>
              <w14:schemeClr w14:val="tx1"/>
            </w14:solidFill>
          </w14:textFill>
        </w:rPr>
      </w:pPr>
      <w:bookmarkStart w:id="64" w:name="_Toc16938519"/>
      <w:bookmarkStart w:id="65" w:name="_Toc20823275"/>
      <w:bookmarkStart w:id="66" w:name="_Toc228349828"/>
      <w:bookmarkStart w:id="67" w:name="_Toc513029203"/>
      <w:bookmarkStart w:id="68" w:name="_Toc120614214"/>
      <w:r>
        <w:rPr>
          <w:rFonts w:hint="eastAsia" w:ascii="宋体" w:hAnsi="宋体" w:cs="宋体"/>
          <w:b/>
          <w:bCs/>
          <w:color w:val="000000" w:themeColor="text1"/>
          <w:sz w:val="28"/>
          <w:szCs w:val="28"/>
          <w14:textFill>
            <w14:solidFill>
              <w14:schemeClr w14:val="tx1"/>
            </w14:solidFill>
          </w14:textFill>
        </w:rPr>
        <w:t>一、总则</w:t>
      </w:r>
      <w:bookmarkEnd w:id="64"/>
      <w:bookmarkEnd w:id="65"/>
      <w:bookmarkEnd w:id="66"/>
      <w:bookmarkEnd w:id="67"/>
      <w:bookmarkEnd w:id="68"/>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69" w:name="_Hlt16619475"/>
      <w:bookmarkEnd w:id="69"/>
      <w:bookmarkStart w:id="70" w:name="_Toc458694821"/>
      <w:bookmarkStart w:id="71" w:name="_Toc16938520"/>
      <w:bookmarkStart w:id="72" w:name="_Toc513029204"/>
      <w:bookmarkStart w:id="73" w:name="_Toc20823276"/>
      <w:r>
        <w:rPr>
          <w:rFonts w:hint="eastAsia" w:ascii="宋体" w:hAnsi="宋体" w:cs="宋体"/>
          <w:color w:val="000000" w:themeColor="text1"/>
          <w:sz w:val="24"/>
          <w:szCs w:val="24"/>
          <w14:textFill>
            <w14:solidFill>
              <w14:schemeClr w14:val="tx1"/>
            </w14:solidFill>
          </w14:textFill>
        </w:rPr>
        <w:t>1</w:t>
      </w:r>
      <w:bookmarkEnd w:id="70"/>
      <w:r>
        <w:rPr>
          <w:rFonts w:hint="eastAsia" w:ascii="宋体" w:hAnsi="宋体" w:cs="宋体"/>
          <w:color w:val="000000" w:themeColor="text1"/>
          <w:sz w:val="24"/>
          <w:szCs w:val="24"/>
          <w14:textFill>
            <w14:solidFill>
              <w14:schemeClr w14:val="tx1"/>
            </w14:solidFill>
          </w14:textFill>
        </w:rPr>
        <w:t>、采购方式</w:t>
      </w:r>
      <w:bookmarkEnd w:id="71"/>
      <w:bookmarkEnd w:id="72"/>
      <w:bookmarkEnd w:id="73"/>
      <w:r>
        <w:rPr>
          <w:rFonts w:hint="eastAsia" w:ascii="宋体" w:hAnsi="宋体" w:cs="宋体"/>
          <w:color w:val="000000" w:themeColor="text1"/>
          <w:sz w:val="24"/>
          <w:szCs w:val="24"/>
          <w14:textFill>
            <w14:solidFill>
              <w14:schemeClr w14:val="tx1"/>
            </w14:solidFill>
          </w14:textFill>
        </w:rPr>
        <w:t>及适用法律</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本次招标采取公开招标方式，本招标文件仅适用于招标公告中所述项目。</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 本次招标及由此产生的合同受中华人民共和国有关的法律法规制约和保护。</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2、定义</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“采购人”系指购买本项目货物并接受相关服务的国家机关、事业单位、团体组织。</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“采购代理机构”系指依法接受采购人委托，从事货物和服务等政府采购业务的采购代理机构（以下简称“代理机构”）。本项目采购代理机构为苏州新一造价师价格事务所有限公司。</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 “投标人”系指响应招标、参加投标竞争的供应商。</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74" w:name="_Toc513029205"/>
      <w:bookmarkStart w:id="75" w:name="_Toc20823277"/>
      <w:bookmarkStart w:id="76" w:name="_Toc16938521"/>
      <w:r>
        <w:rPr>
          <w:rFonts w:hint="eastAsia" w:ascii="宋体" w:hAnsi="宋体" w:cs="宋体"/>
          <w:color w:val="000000" w:themeColor="text1"/>
          <w:sz w:val="24"/>
          <w:szCs w:val="24"/>
          <w14:textFill>
            <w14:solidFill>
              <w14:schemeClr w14:val="tx1"/>
            </w14:solidFill>
          </w14:textFill>
        </w:rPr>
        <w:t>3、合格的投标人</w:t>
      </w:r>
      <w:bookmarkEnd w:id="74"/>
      <w:bookmarkEnd w:id="75"/>
      <w:bookmarkEnd w:id="76"/>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满足招标公告中供应商的资格要求的规定，详见《第一章 投标邀请》中投标人资格要求。</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 满足本文件实质性要求和条件的规定。</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77" w:name="_Toc16938523"/>
      <w:bookmarkStart w:id="78" w:name="_Toc513029207"/>
      <w:bookmarkStart w:id="79" w:name="_Toc462564067"/>
      <w:bookmarkStart w:id="80" w:name="_Toc20823279"/>
      <w:r>
        <w:rPr>
          <w:rFonts w:hint="eastAsia" w:ascii="宋体" w:hAnsi="宋体" w:cs="宋体"/>
          <w:color w:val="000000" w:themeColor="text1"/>
          <w:sz w:val="24"/>
          <w:szCs w:val="24"/>
          <w14:textFill>
            <w14:solidFill>
              <w14:schemeClr w14:val="tx1"/>
            </w14:solidFill>
          </w14:textFill>
        </w:rPr>
        <w:t>4、投标费用</w:t>
      </w:r>
      <w:bookmarkEnd w:id="77"/>
      <w:bookmarkEnd w:id="78"/>
      <w:bookmarkEnd w:id="79"/>
      <w:bookmarkEnd w:id="80"/>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 无论投标过程中的做法和结果如何，投标人应自行承担所有与准备和参加投标有关的全部费用。</w:t>
      </w:r>
    </w:p>
    <w:p>
      <w:pPr>
        <w:spacing w:line="480" w:lineRule="exact"/>
        <w:ind w:firstLine="789"/>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w:t>
      </w:r>
      <w:r>
        <w:rPr>
          <w:rFonts w:hint="eastAsia" w:ascii="宋体" w:hAnsi="宋体" w:cs="宋体"/>
          <w:b/>
          <w:color w:val="000000" w:themeColor="text1"/>
          <w:sz w:val="24"/>
          <w:szCs w:val="24"/>
          <w14:textFill>
            <w14:solidFill>
              <w14:schemeClr w14:val="tx1"/>
            </w14:solidFill>
          </w14:textFill>
        </w:rPr>
        <w:t>本次招标不收取采购文件工本费</w:t>
      </w:r>
    </w:p>
    <w:p>
      <w:pPr>
        <w:spacing w:line="480" w:lineRule="exact"/>
        <w:ind w:firstLine="793"/>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4.3</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采购代理服务费用：</w:t>
      </w:r>
    </w:p>
    <w:p>
      <w:pPr>
        <w:spacing w:line="480" w:lineRule="exact"/>
        <w:ind w:firstLine="790"/>
        <w:rPr>
          <w:rFonts w:ascii="宋体" w:hAnsi="宋体" w:cs="宋体"/>
          <w:b/>
          <w:color w:val="000000" w:themeColor="text1"/>
          <w:sz w:val="24"/>
          <w:szCs w:val="24"/>
          <w14:textFill>
            <w14:solidFill>
              <w14:schemeClr w14:val="tx1"/>
            </w14:solidFill>
          </w14:textFill>
        </w:rPr>
      </w:pPr>
      <w:bookmarkStart w:id="81" w:name="OLE_LINK7"/>
      <w:r>
        <w:rPr>
          <w:rFonts w:hint="eastAsia" w:ascii="宋体" w:hAnsi="宋体" w:cs="宋体"/>
          <w:b/>
          <w:color w:val="000000" w:themeColor="text1"/>
          <w:sz w:val="24"/>
          <w:szCs w:val="24"/>
          <w14:textFill>
            <w14:solidFill>
              <w14:schemeClr w14:val="tx1"/>
            </w14:solidFill>
          </w14:textFill>
        </w:rPr>
        <w:t>本项目中标服务费由各标段中标人支付，在采购代理机构发中标通知书时由各标段中标人向采购代理机构支付中标服务费，一次性付清。标段一中标服务费：4500.00元整；标段二中标服务费：4500.00元整。</w:t>
      </w:r>
      <w:bookmarkEnd w:id="81"/>
    </w:p>
    <w:p>
      <w:pPr>
        <w:spacing w:line="480" w:lineRule="exact"/>
        <w:ind w:firstLine="79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账户名：苏州新一造价师价格事务所有限公司常熟分公司</w:t>
      </w:r>
    </w:p>
    <w:p>
      <w:pPr>
        <w:spacing w:line="480" w:lineRule="exact"/>
        <w:ind w:firstLine="79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开户银行：常熟农商行开发区支行</w:t>
      </w:r>
    </w:p>
    <w:p>
      <w:pPr>
        <w:spacing w:line="480" w:lineRule="exact"/>
        <w:ind w:firstLine="79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账号：101280001017827625</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5、招标文件的约束力</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 投标人一旦参加本项目采购活动，即被认为接受了本招标文件的规定和约束。</w:t>
      </w:r>
    </w:p>
    <w:p>
      <w:pPr>
        <w:keepNext/>
        <w:keepLines/>
        <w:spacing w:line="480" w:lineRule="exact"/>
        <w:ind w:firstLine="562"/>
        <w:outlineLvl w:val="1"/>
        <w:rPr>
          <w:rFonts w:ascii="宋体" w:hAnsi="宋体" w:cs="宋体"/>
          <w:b/>
          <w:bCs/>
          <w:color w:val="000000" w:themeColor="text1"/>
          <w:sz w:val="28"/>
          <w:szCs w:val="28"/>
          <w14:textFill>
            <w14:solidFill>
              <w14:schemeClr w14:val="tx1"/>
            </w14:solidFill>
          </w14:textFill>
        </w:rPr>
      </w:pPr>
      <w:bookmarkStart w:id="82" w:name="_Toc228349829"/>
      <w:bookmarkStart w:id="83" w:name="_Toc20823281"/>
      <w:bookmarkStart w:id="84" w:name="_Toc120614215"/>
      <w:bookmarkStart w:id="85" w:name="_Toc16938525"/>
      <w:bookmarkStart w:id="86" w:name="_Toc513029209"/>
      <w:r>
        <w:rPr>
          <w:rFonts w:hint="eastAsia" w:ascii="宋体" w:hAnsi="宋体" w:cs="宋体"/>
          <w:b/>
          <w:bCs/>
          <w:color w:val="000000" w:themeColor="text1"/>
          <w:sz w:val="28"/>
          <w:szCs w:val="28"/>
          <w14:textFill>
            <w14:solidFill>
              <w14:schemeClr w14:val="tx1"/>
            </w14:solidFill>
          </w14:textFill>
        </w:rPr>
        <w:t>二、招标文件</w:t>
      </w:r>
      <w:bookmarkEnd w:id="82"/>
      <w:bookmarkEnd w:id="83"/>
      <w:bookmarkEnd w:id="84"/>
      <w:bookmarkEnd w:id="85"/>
      <w:bookmarkEnd w:id="86"/>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87" w:name="_Toc20823282"/>
      <w:bookmarkStart w:id="88" w:name="_Toc16938526"/>
      <w:bookmarkStart w:id="89" w:name="_Toc513029210"/>
      <w:r>
        <w:rPr>
          <w:rFonts w:hint="eastAsia" w:ascii="宋体" w:hAnsi="宋体" w:cs="宋体"/>
          <w:color w:val="000000" w:themeColor="text1"/>
          <w:sz w:val="24"/>
          <w:szCs w:val="24"/>
          <w14:textFill>
            <w14:solidFill>
              <w14:schemeClr w14:val="tx1"/>
            </w14:solidFill>
          </w14:textFill>
        </w:rPr>
        <w:t>1、招标文件构成</w:t>
      </w:r>
      <w:bookmarkEnd w:id="87"/>
      <w:bookmarkEnd w:id="88"/>
      <w:bookmarkEnd w:id="89"/>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1.1</w:t>
      </w:r>
      <w:r>
        <w:rPr>
          <w:rFonts w:hint="eastAsia" w:ascii="宋体" w:hAnsi="宋体" w:cs="宋体"/>
          <w:color w:val="000000" w:themeColor="text1"/>
          <w:sz w:val="24"/>
          <w:szCs w:val="24"/>
          <w14:textFill>
            <w14:solidFill>
              <w14:schemeClr w14:val="tx1"/>
            </w14:solidFill>
          </w14:textFill>
        </w:rPr>
        <w:t xml:space="preserve"> 招标文件由以下部分组成：</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（1）投标邀请</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（2）投标人须知</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（3）合同文本</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（4）采购需求</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（5）评标方法与评标标准</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（6）投标文件格式</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请仔细检查招标文件是否齐全，如有缺漏请立即与代理机构联系解决。</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 招标文件及其更正事项如不是直接从指定媒体地址下载获得的，采购人或代理机构对招标文件及其补遗的真实性、完整性不承担任何责任。</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90" w:name="_Toc462564070"/>
      <w:bookmarkStart w:id="91" w:name="_Toc16938527"/>
      <w:bookmarkStart w:id="92" w:name="_Toc20823283"/>
      <w:bookmarkStart w:id="93" w:name="_Toc513029211"/>
      <w:r>
        <w:rPr>
          <w:rFonts w:hint="eastAsia" w:ascii="宋体" w:hAnsi="宋体" w:cs="宋体"/>
          <w:color w:val="000000" w:themeColor="text1"/>
          <w:sz w:val="24"/>
          <w:szCs w:val="24"/>
          <w14:textFill>
            <w14:solidFill>
              <w14:schemeClr w14:val="tx1"/>
            </w14:solidFill>
          </w14:textFill>
        </w:rPr>
        <w:t>2、招标文件的澄清、修改</w:t>
      </w:r>
    </w:p>
    <w:p>
      <w:pPr>
        <w:spacing w:line="480" w:lineRule="exact"/>
        <w:ind w:firstLine="789"/>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14:textFill>
            <w14:solidFill>
              <w14:schemeClr w14:val="tx1"/>
            </w14:solidFill>
          </w14:textFill>
        </w:rPr>
        <w:t>各投标人应在投标截止时间前关注</w:t>
      </w:r>
      <w:r>
        <w:rPr>
          <w:rFonts w:hint="eastAsia" w:ascii="Times New Roman" w:hAnsi="Times New Roman"/>
          <w:b/>
          <w:bCs/>
          <w:color w:val="000000" w:themeColor="text1"/>
          <w:sz w:val="24"/>
          <w:szCs w:val="24"/>
          <w14:textFill>
            <w14:solidFill>
              <w14:schemeClr w14:val="tx1"/>
            </w14:solidFill>
          </w14:textFill>
        </w:rPr>
        <w:t>政府采购信息发布媒体上</w:t>
      </w:r>
      <w:r>
        <w:rPr>
          <w:rFonts w:hint="eastAsia" w:ascii="宋体" w:hAnsi="宋体" w:cs="宋体"/>
          <w:b/>
          <w:bCs/>
          <w:color w:val="000000" w:themeColor="text1"/>
          <w:sz w:val="24"/>
          <w:szCs w:val="24"/>
          <w14:textFill>
            <w14:solidFill>
              <w14:schemeClr w14:val="tx1"/>
            </w14:solidFill>
          </w14:textFill>
        </w:rPr>
        <w:t>“补充通知”栏，按规定获取相关信息内容，否则其投标风险由投标人承担。</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代理机构有权按照法定的要求顺延投标截止时间和开标时间。</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 有关澄清或者修改的内容将作为招标文件的组成部分，对所有投标人具有约束力。</w:t>
      </w:r>
      <w:bookmarkEnd w:id="90"/>
      <w:bookmarkEnd w:id="91"/>
      <w:bookmarkEnd w:id="92"/>
      <w:bookmarkEnd w:id="93"/>
    </w:p>
    <w:p>
      <w:pPr>
        <w:keepNext/>
        <w:keepLines/>
        <w:spacing w:line="480" w:lineRule="exact"/>
        <w:ind w:firstLine="562"/>
        <w:outlineLvl w:val="1"/>
        <w:rPr>
          <w:rFonts w:ascii="宋体" w:hAnsi="宋体" w:cs="宋体"/>
          <w:b/>
          <w:bCs/>
          <w:color w:val="000000" w:themeColor="text1"/>
          <w:sz w:val="28"/>
          <w:szCs w:val="28"/>
          <w14:textFill>
            <w14:solidFill>
              <w14:schemeClr w14:val="tx1"/>
            </w14:solidFill>
          </w14:textFill>
        </w:rPr>
      </w:pPr>
      <w:bookmarkStart w:id="94" w:name="_Toc462564072"/>
      <w:bookmarkStart w:id="95" w:name="_Toc228349830"/>
      <w:bookmarkStart w:id="96" w:name="_Toc16938529"/>
      <w:bookmarkStart w:id="97" w:name="_Toc20823285"/>
      <w:bookmarkStart w:id="98" w:name="_Toc120614216"/>
      <w:bookmarkStart w:id="99" w:name="_Toc513029213"/>
      <w:r>
        <w:rPr>
          <w:rFonts w:hint="eastAsia" w:ascii="宋体" w:hAnsi="宋体" w:cs="宋体"/>
          <w:b/>
          <w:bCs/>
          <w:color w:val="000000" w:themeColor="text1"/>
          <w:sz w:val="28"/>
          <w:szCs w:val="28"/>
          <w14:textFill>
            <w14:solidFill>
              <w14:schemeClr w14:val="tx1"/>
            </w14:solidFill>
          </w14:textFill>
        </w:rPr>
        <w:t>三、投标文件的编制</w:t>
      </w:r>
      <w:bookmarkEnd w:id="94"/>
      <w:bookmarkEnd w:id="95"/>
      <w:bookmarkEnd w:id="96"/>
      <w:bookmarkEnd w:id="97"/>
      <w:bookmarkEnd w:id="98"/>
      <w:bookmarkEnd w:id="99"/>
    </w:p>
    <w:p>
      <w:pPr>
        <w:keepNext/>
        <w:keepLines/>
        <w:spacing w:line="480" w:lineRule="exact"/>
        <w:ind w:firstLine="480"/>
        <w:outlineLvl w:val="3"/>
        <w:rPr>
          <w:rFonts w:ascii="宋体" w:hAnsi="宋体" w:cs="宋体"/>
          <w:b/>
          <w:color w:val="000000" w:themeColor="text1"/>
          <w:sz w:val="24"/>
          <w:szCs w:val="24"/>
          <w14:textFill>
            <w14:solidFill>
              <w14:schemeClr w14:val="tx1"/>
            </w14:solidFill>
          </w14:textFill>
        </w:rPr>
      </w:pPr>
      <w:bookmarkStart w:id="100" w:name="_Toc16938530"/>
      <w:bookmarkStart w:id="101" w:name="_Toc20823286"/>
      <w:bookmarkStart w:id="102" w:name="_Toc462564073"/>
      <w:bookmarkStart w:id="103" w:name="_Toc513029214"/>
      <w:r>
        <w:rPr>
          <w:rFonts w:hint="eastAsia" w:ascii="宋体" w:hAnsi="宋体" w:cs="宋体"/>
          <w:color w:val="000000" w:themeColor="text1"/>
          <w:sz w:val="24"/>
          <w:szCs w:val="24"/>
          <w14:textFill>
            <w14:solidFill>
              <w14:schemeClr w14:val="tx1"/>
            </w14:solidFill>
          </w14:textFill>
        </w:rPr>
        <w:t>1、投标文件的语言及度量衡单位</w:t>
      </w:r>
      <w:bookmarkEnd w:id="100"/>
      <w:bookmarkEnd w:id="101"/>
      <w:bookmarkEnd w:id="102"/>
      <w:bookmarkEnd w:id="103"/>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投标人提交的投标文件以及投标人与代理机构就有关投标的所有来往通知、函件和文件均应使用</w:t>
      </w:r>
      <w:r>
        <w:rPr>
          <w:rFonts w:hint="eastAsia" w:ascii="宋体" w:hAnsi="宋体" w:cs="宋体"/>
          <w:b/>
          <w:bCs/>
          <w:color w:val="000000" w:themeColor="text1"/>
          <w:sz w:val="24"/>
          <w:szCs w:val="24"/>
          <w14:textFill>
            <w14:solidFill>
              <w14:schemeClr w14:val="tx1"/>
            </w14:solidFill>
          </w14:textFill>
        </w:rPr>
        <w:t>简体中文</w:t>
      </w:r>
      <w:r>
        <w:rPr>
          <w:rFonts w:hint="eastAsia" w:ascii="宋体" w:hAnsi="宋体" w:cs="宋体"/>
          <w:color w:val="000000" w:themeColor="text1"/>
          <w:sz w:val="24"/>
          <w:szCs w:val="24"/>
          <w14:textFill>
            <w14:solidFill>
              <w14:schemeClr w14:val="tx1"/>
            </w14:solidFill>
          </w14:textFill>
        </w:rPr>
        <w:t>。</w:t>
      </w:r>
    </w:p>
    <w:p>
      <w:pPr>
        <w:spacing w:line="480" w:lineRule="exact"/>
        <w:ind w:firstLine="789"/>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 除技术性能另有规定外，投标文件所使用的度量衡单位，均须采用国家法定计量单位。</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104" w:name="_Toc16938531"/>
      <w:bookmarkStart w:id="105" w:name="_Toc20823287"/>
      <w:bookmarkStart w:id="106" w:name="_Toc513029215"/>
      <w:bookmarkStart w:id="107" w:name="_Toc462564074"/>
      <w:r>
        <w:rPr>
          <w:rFonts w:hint="eastAsia" w:ascii="宋体" w:hAnsi="宋体" w:cs="宋体"/>
          <w:color w:val="000000" w:themeColor="text1"/>
          <w:sz w:val="24"/>
          <w:szCs w:val="24"/>
          <w14:textFill>
            <w14:solidFill>
              <w14:schemeClr w14:val="tx1"/>
            </w14:solidFill>
          </w14:textFill>
        </w:rPr>
        <w:t>2、投标文件构成</w:t>
      </w:r>
      <w:bookmarkEnd w:id="104"/>
      <w:bookmarkEnd w:id="105"/>
      <w:bookmarkEnd w:id="106"/>
      <w:bookmarkEnd w:id="107"/>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投标人编写的投标文件应包括资格证明文件、开标一览表、报价明细表、投标函、服务（或商务）要求响应及偏离表、项目实施方案、其他证明文件等部分。</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如标书制作工具中格式和内容与指定媒体发布的招标文件不一致，请以指定媒体发布的招标文件为准。</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108" w:name="_Hlt26670360"/>
      <w:bookmarkEnd w:id="108"/>
      <w:bookmarkStart w:id="109" w:name="_Hlt26668975"/>
      <w:bookmarkEnd w:id="109"/>
      <w:bookmarkStart w:id="110" w:name="_Hlt26954838"/>
      <w:bookmarkEnd w:id="110"/>
      <w:bookmarkStart w:id="111" w:name="_Toc14577357"/>
      <w:bookmarkStart w:id="112" w:name="_Toc49090509"/>
      <w:bookmarkStart w:id="113" w:name="_Toc14577354"/>
      <w:bookmarkStart w:id="114" w:name="_Toc513029216"/>
      <w:bookmarkStart w:id="115" w:name="_Toc513029219"/>
      <w:bookmarkStart w:id="116" w:name="_Toc49090507"/>
      <w:bookmarkStart w:id="117" w:name="_Toc14577355"/>
      <w:bookmarkStart w:id="118" w:name="_Toc49090508"/>
      <w:r>
        <w:rPr>
          <w:rFonts w:hint="eastAsia" w:ascii="宋体" w:hAnsi="宋体" w:cs="宋体"/>
          <w:color w:val="000000" w:themeColor="text1"/>
          <w:sz w:val="24"/>
          <w:szCs w:val="24"/>
          <w14:textFill>
            <w14:solidFill>
              <w14:schemeClr w14:val="tx1"/>
            </w14:solidFill>
          </w14:textFill>
        </w:rPr>
        <w:t>3、证明投标人及投标标的符合招标文件规定的文件</w:t>
      </w:r>
      <w:bookmarkEnd w:id="111"/>
      <w:bookmarkEnd w:id="112"/>
      <w:bookmarkEnd w:id="113"/>
      <w:bookmarkEnd w:id="114"/>
      <w:bookmarkEnd w:id="115"/>
      <w:bookmarkEnd w:id="116"/>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投标人应按照招标文件要求提交证明文件，证明其及投标标的符合招标文件规定。</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3.2招标文件对证明文件无明确形式要求的，证明文件可以以文字资料、图纸和数据等形式提交。</w:t>
      </w:r>
      <w:bookmarkEnd w:id="117"/>
      <w:bookmarkEnd w:id="118"/>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4、投标函和开标一览表</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 投标人应按照招标文件中提供的格式完整、正确填写投标函、开标一览表。</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 对于采用货币报价的项目，开标一览表中的投标总报价应与报价明细表中的投标总报价一致，如不一致不作为无效投标处理，但评标时按开标一览表中价格为准。</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5、报价明细表</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 投标人应按照招标文件规定格式填报报价明细表。</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 投标货币。投标文件中的单价和总价无特殊规定的采用人民币报价，以元为单位标注。招标文件中另有规定的按规定执行。</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119" w:name="_Hlt26954848"/>
      <w:bookmarkEnd w:id="119"/>
      <w:bookmarkStart w:id="120" w:name="_Hlt26670486"/>
      <w:bookmarkEnd w:id="120"/>
      <w:bookmarkStart w:id="121" w:name="_Hlt26954731"/>
      <w:bookmarkEnd w:id="121"/>
      <w:bookmarkStart w:id="122" w:name="_Hlt26670482"/>
      <w:bookmarkEnd w:id="122"/>
      <w:bookmarkStart w:id="123" w:name="_Hlt26954846"/>
      <w:bookmarkEnd w:id="123"/>
      <w:bookmarkStart w:id="124" w:name="_Hlk155763835"/>
      <w:r>
        <w:rPr>
          <w:rFonts w:hint="eastAsia" w:ascii="宋体" w:hAnsi="宋体" w:cs="宋体"/>
          <w:color w:val="000000" w:themeColor="text1"/>
          <w:sz w:val="24"/>
          <w:szCs w:val="24"/>
          <w14:textFill>
            <w14:solidFill>
              <w14:schemeClr w14:val="tx1"/>
            </w14:solidFill>
          </w14:textFill>
        </w:rPr>
        <w:t>6、技术参数响应及偏离表、商务条件响应及偏离表</w:t>
      </w:r>
      <w:bookmarkEnd w:id="124"/>
    </w:p>
    <w:p>
      <w:pPr>
        <w:spacing w:line="480" w:lineRule="exact"/>
        <w:ind w:firstLine="789"/>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6.1 投标人需对招标文件中的技术要求、服务要求与商务要求逐项作出响应或偏离，并说明原因。</w:t>
      </w:r>
    </w:p>
    <w:p>
      <w:pPr>
        <w:spacing w:line="480" w:lineRule="exact"/>
        <w:ind w:firstLine="789"/>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6.2 投标人需按照招标文件要求，在投标文件中提供与技术要求、服务要求和商务要求相关的证明材料</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r>
        <w:rPr>
          <w:rFonts w:hint="eastAsia" w:ascii="宋体" w:hAnsi="宋体" w:cs="宋体"/>
          <w:color w:val="000000"/>
          <w:sz w:val="24"/>
          <w:szCs w:val="24"/>
          <w:lang w:bidi="ar"/>
        </w:rPr>
        <w:t>详细配置一览表、项目实施方案</w:t>
      </w:r>
    </w:p>
    <w:p>
      <w:pPr>
        <w:spacing w:line="480" w:lineRule="exact"/>
        <w:ind w:firstLine="789"/>
        <w:rPr>
          <w:rFonts w:ascii="宋体" w:hAnsi="宋体" w:cs="宋体"/>
          <w:color w:val="000000" w:themeColor="text1"/>
          <w:sz w:val="24"/>
          <w:szCs w:val="24"/>
          <w14:textFill>
            <w14:solidFill>
              <w14:schemeClr w14:val="tx1"/>
            </w14:solidFill>
          </w14:textFill>
        </w:rPr>
      </w:pPr>
      <w:bookmarkStart w:id="125" w:name="_Toc14577359"/>
      <w:bookmarkStart w:id="126" w:name="_Toc49090510"/>
      <w:r>
        <w:rPr>
          <w:rFonts w:hint="eastAsia" w:ascii="宋体" w:hAnsi="宋体" w:cs="宋体"/>
          <w:color w:val="000000" w:themeColor="text1"/>
          <w:sz w:val="24"/>
          <w:szCs w:val="24"/>
          <w14:textFill>
            <w14:solidFill>
              <w14:schemeClr w14:val="tx1"/>
            </w14:solidFill>
          </w14:textFill>
        </w:rPr>
        <w:t>7.1投标人需根据招标文件要求对拟提供货</w:t>
      </w:r>
      <w:r>
        <w:rPr>
          <w:rFonts w:hint="eastAsia" w:ascii="宋体" w:hAnsi="宋体" w:cs="宋体"/>
          <w:color w:val="000000" w:themeColor="text1"/>
          <w:sz w:val="24"/>
          <w:szCs w:val="24"/>
          <w:lang w:val="zh-CN"/>
          <w14:textFill>
            <w14:solidFill>
              <w14:schemeClr w14:val="tx1"/>
            </w14:solidFill>
          </w14:textFill>
        </w:rPr>
        <w:t>物的详细配置</w:t>
      </w:r>
      <w:r>
        <w:rPr>
          <w:rFonts w:hint="eastAsia" w:ascii="宋体" w:hAnsi="宋体" w:cs="宋体"/>
          <w:color w:val="000000" w:themeColor="text1"/>
          <w:sz w:val="24"/>
          <w:szCs w:val="24"/>
          <w14:textFill>
            <w14:solidFill>
              <w14:schemeClr w14:val="tx1"/>
            </w14:solidFill>
          </w14:textFill>
        </w:rPr>
        <w:t>情况</w:t>
      </w:r>
      <w:r>
        <w:rPr>
          <w:rFonts w:hint="eastAsia" w:ascii="宋体" w:hAnsi="宋体" w:cs="宋体"/>
          <w:color w:val="000000" w:themeColor="text1"/>
          <w:sz w:val="24"/>
          <w:szCs w:val="24"/>
          <w:lang w:val="zh-CN"/>
          <w14:textFill>
            <w14:solidFill>
              <w14:schemeClr w14:val="tx1"/>
            </w14:solidFill>
          </w14:textFill>
        </w:rPr>
        <w:t>进行说明。</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7.2投标人需根据招标文件要求对相关的项目实施方案情况进行</w:t>
      </w:r>
      <w:r>
        <w:rPr>
          <w:rFonts w:hint="eastAsia" w:ascii="宋体" w:hAnsi="宋体" w:cs="宋体"/>
          <w:color w:val="000000" w:themeColor="text1"/>
          <w:sz w:val="24"/>
          <w:szCs w:val="24"/>
          <w:lang w:val="zh-CN"/>
          <w14:textFill>
            <w14:solidFill>
              <w14:schemeClr w14:val="tx1"/>
            </w14:solidFill>
          </w14:textFill>
        </w:rPr>
        <w:t>说明。</w:t>
      </w:r>
    </w:p>
    <w:p>
      <w:pPr>
        <w:keepNext/>
        <w:keepLines/>
        <w:spacing w:line="440" w:lineRule="exact"/>
        <w:ind w:firstLine="480"/>
        <w:outlineLvl w:val="3"/>
        <w:rPr>
          <w:rFonts w:ascii="宋体" w:hAnsi="宋体" w:cs="宋体"/>
          <w:color w:val="000000"/>
          <w:sz w:val="24"/>
          <w:szCs w:val="24"/>
        </w:rPr>
      </w:pPr>
      <w:r>
        <w:rPr>
          <w:rFonts w:hint="eastAsia" w:ascii="宋体" w:hAnsi="宋体" w:cs="宋体"/>
          <w:color w:val="000000"/>
          <w:sz w:val="24"/>
          <w:szCs w:val="24"/>
          <w:lang w:bidi="ar"/>
        </w:rPr>
        <w:t>8、业绩情况</w:t>
      </w:r>
    </w:p>
    <w:p>
      <w:pPr>
        <w:spacing w:line="44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sz w:val="24"/>
          <w:szCs w:val="24"/>
          <w:lang w:bidi="ar"/>
        </w:rPr>
        <w:t>8.1业绩情况：投标人需根据招标文件要求提供</w:t>
      </w:r>
      <w:bookmarkStart w:id="127" w:name="OLE_LINK286"/>
      <w:r>
        <w:rPr>
          <w:rFonts w:hint="eastAsia" w:ascii="宋体" w:hAnsi="宋体" w:cs="宋体"/>
          <w:color w:val="000000"/>
          <w:sz w:val="24"/>
          <w:szCs w:val="24"/>
          <w:lang w:bidi="ar"/>
        </w:rPr>
        <w:t>实施的</w:t>
      </w:r>
      <w:bookmarkEnd w:id="127"/>
      <w:r>
        <w:rPr>
          <w:rFonts w:hint="eastAsia" w:ascii="宋体" w:hAnsi="宋体" w:cs="宋体"/>
          <w:color w:val="000000"/>
          <w:sz w:val="24"/>
          <w:szCs w:val="24"/>
          <w:lang w:bidi="ar"/>
        </w:rPr>
        <w:t>类似项目业绩。</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9、其他</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 投标人需根据招标文件要求提供的其他证明材料。</w:t>
      </w:r>
      <w:bookmarkEnd w:id="125"/>
      <w:bookmarkEnd w:id="126"/>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128" w:name="_Toc49090511"/>
      <w:bookmarkStart w:id="129" w:name="_Toc14577360"/>
      <w:r>
        <w:rPr>
          <w:rFonts w:hint="eastAsia" w:ascii="宋体" w:hAnsi="宋体" w:cs="宋体"/>
          <w:color w:val="000000" w:themeColor="text1"/>
          <w:sz w:val="24"/>
          <w:szCs w:val="24"/>
          <w14:textFill>
            <w14:solidFill>
              <w14:schemeClr w14:val="tx1"/>
            </w14:solidFill>
          </w14:textFill>
        </w:rPr>
        <w:t>10、投标有效期</w:t>
      </w:r>
      <w:bookmarkEnd w:id="128"/>
      <w:bookmarkEnd w:id="129"/>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10.1投标有效期为代理机构</w:t>
      </w:r>
      <w:r>
        <w:rPr>
          <w:rFonts w:hint="eastAsia" w:ascii="宋体" w:hAnsi="宋体" w:cs="宋体"/>
          <w:bCs/>
          <w:color w:val="000000" w:themeColor="text1"/>
          <w:sz w:val="24"/>
          <w:szCs w:val="24"/>
          <w14:textFill>
            <w14:solidFill>
              <w14:schemeClr w14:val="tx1"/>
            </w14:solidFill>
          </w14:textFill>
        </w:rPr>
        <w:t>规定的开标之日后</w:t>
      </w:r>
      <w:r>
        <w:rPr>
          <w:rFonts w:hint="eastAsia" w:ascii="宋体" w:hAnsi="宋体" w:cs="宋体"/>
          <w:b/>
          <w:color w:val="000000" w:themeColor="text1"/>
          <w:sz w:val="24"/>
          <w:szCs w:val="24"/>
          <w:u w:val="single"/>
          <w14:textFill>
            <w14:solidFill>
              <w14:schemeClr w14:val="tx1"/>
            </w14:solidFill>
          </w14:textFill>
        </w:rPr>
        <w:t>六十（60）天</w:t>
      </w:r>
      <w:r>
        <w:rPr>
          <w:rFonts w:hint="eastAsia" w:ascii="宋体" w:hAnsi="宋体" w:cs="宋体"/>
          <w:bCs/>
          <w:color w:val="000000" w:themeColor="text1"/>
          <w:sz w:val="24"/>
          <w:szCs w:val="24"/>
          <w14:textFill>
            <w14:solidFill>
              <w14:schemeClr w14:val="tx1"/>
            </w14:solidFill>
          </w14:textFill>
        </w:rPr>
        <w:t>。投标有效期比规定短的将被视为未实质性响应招标文件而予以拒绝。</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11、投标有效期的延长</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pPr>
        <w:keepNext/>
        <w:keepLines/>
        <w:spacing w:line="480" w:lineRule="exact"/>
        <w:ind w:firstLine="562"/>
        <w:outlineLvl w:val="1"/>
        <w:rPr>
          <w:rFonts w:ascii="宋体" w:hAnsi="宋体" w:cs="宋体"/>
          <w:b/>
          <w:bCs/>
          <w:color w:val="000000" w:themeColor="text1"/>
          <w:sz w:val="28"/>
          <w:szCs w:val="28"/>
          <w14:textFill>
            <w14:solidFill>
              <w14:schemeClr w14:val="tx1"/>
            </w14:solidFill>
          </w14:textFill>
        </w:rPr>
      </w:pPr>
      <w:bookmarkStart w:id="130" w:name="_Hlt26954852"/>
      <w:bookmarkEnd w:id="130"/>
      <w:bookmarkStart w:id="131" w:name="_Hlt26954739"/>
      <w:bookmarkEnd w:id="131"/>
      <w:bookmarkStart w:id="132" w:name="_Toc120614217"/>
      <w:bookmarkStart w:id="133" w:name="_Toc228349831"/>
      <w:bookmarkStart w:id="134" w:name="_Toc513029224"/>
      <w:bookmarkStart w:id="135" w:name="_Toc16938540"/>
      <w:bookmarkStart w:id="136" w:name="_Toc20823296"/>
      <w:r>
        <w:rPr>
          <w:rFonts w:hint="eastAsia" w:ascii="宋体" w:hAnsi="宋体" w:cs="宋体"/>
          <w:b/>
          <w:bCs/>
          <w:color w:val="000000" w:themeColor="text1"/>
          <w:sz w:val="28"/>
          <w:szCs w:val="28"/>
          <w14:textFill>
            <w14:solidFill>
              <w14:schemeClr w14:val="tx1"/>
            </w14:solidFill>
          </w14:textFill>
        </w:rPr>
        <w:t>四、投标文件的递交</w:t>
      </w:r>
      <w:bookmarkEnd w:id="132"/>
      <w:bookmarkEnd w:id="133"/>
      <w:bookmarkEnd w:id="134"/>
      <w:bookmarkEnd w:id="135"/>
      <w:bookmarkEnd w:id="136"/>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137" w:name="_Toc462564084"/>
      <w:bookmarkStart w:id="138" w:name="_Toc20823297"/>
      <w:bookmarkStart w:id="139" w:name="_Toc16938541"/>
      <w:bookmarkStart w:id="140" w:name="_Toc513029225"/>
      <w:r>
        <w:rPr>
          <w:rFonts w:hint="eastAsia" w:ascii="宋体" w:hAnsi="宋体" w:cs="宋体"/>
          <w:color w:val="000000" w:themeColor="text1"/>
          <w:sz w:val="24"/>
          <w:szCs w:val="24"/>
          <w14:textFill>
            <w14:solidFill>
              <w14:schemeClr w14:val="tx1"/>
            </w14:solidFill>
          </w14:textFill>
        </w:rPr>
        <w:t>1、电子投标文件</w:t>
      </w:r>
      <w:bookmarkEnd w:id="137"/>
      <w:bookmarkEnd w:id="138"/>
      <w:bookmarkEnd w:id="139"/>
      <w:bookmarkEnd w:id="140"/>
      <w:r>
        <w:rPr>
          <w:rFonts w:hint="eastAsia" w:ascii="宋体" w:hAnsi="宋体" w:cs="宋体"/>
          <w:color w:val="000000" w:themeColor="text1"/>
          <w:sz w:val="24"/>
          <w:szCs w:val="24"/>
          <w14:textFill>
            <w14:solidFill>
              <w14:schemeClr w14:val="tx1"/>
            </w14:solidFill>
          </w14:textFill>
        </w:rPr>
        <w:t>的递交</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1.1投标人应当按照《苏采云系统供应商操作手册》规定，在投标截止时间前制作并上传电子投标文件。</w:t>
      </w:r>
      <w:bookmarkStart w:id="141" w:name="_Toc20823298"/>
      <w:bookmarkStart w:id="142" w:name="_Toc513029226"/>
      <w:bookmarkStart w:id="143" w:name="_Toc16938542"/>
    </w:p>
    <w:p>
      <w:pPr>
        <w:keepNext/>
        <w:keepLines/>
        <w:spacing w:line="48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2、投标截止日期</w:t>
      </w:r>
      <w:bookmarkEnd w:id="141"/>
      <w:bookmarkEnd w:id="142"/>
      <w:bookmarkEnd w:id="143"/>
    </w:p>
    <w:p>
      <w:pPr>
        <w:spacing w:line="480" w:lineRule="exact"/>
        <w:ind w:firstLine="789"/>
        <w:rPr>
          <w:rFonts w:ascii="宋体" w:hAnsi="宋体" w:cs="宋体"/>
          <w:bCs/>
          <w:iCs/>
          <w:color w:val="000000" w:themeColor="text1"/>
          <w:sz w:val="24"/>
          <w:szCs w:val="24"/>
          <w:u w:val="single"/>
          <w14:textFill>
            <w14:solidFill>
              <w14:schemeClr w14:val="tx1"/>
            </w14:solidFill>
          </w14:textFill>
        </w:rPr>
      </w:pPr>
      <w:r>
        <w:rPr>
          <w:rFonts w:hint="eastAsia" w:ascii="宋体" w:hAnsi="宋体" w:cs="宋体"/>
          <w:iCs/>
          <w:color w:val="000000" w:themeColor="text1"/>
          <w:sz w:val="24"/>
          <w:szCs w:val="24"/>
          <w:u w:val="single"/>
          <w14:textFill>
            <w14:solidFill>
              <w14:schemeClr w14:val="tx1"/>
            </w14:solidFill>
          </w14:textFill>
        </w:rPr>
        <w:t>2.1</w:t>
      </w:r>
      <w:r>
        <w:rPr>
          <w:rFonts w:hint="eastAsia" w:ascii="宋体" w:hAnsi="宋体" w:cs="宋体"/>
          <w:bCs/>
          <w:iCs/>
          <w:color w:val="000000" w:themeColor="text1"/>
          <w:sz w:val="24"/>
          <w:szCs w:val="24"/>
          <w:u w:val="single"/>
          <w14:textFill>
            <w14:solidFill>
              <w14:schemeClr w14:val="tx1"/>
            </w14:solidFill>
          </w14:textFill>
        </w:rPr>
        <w:t xml:space="preserve"> 投标人上传电子投标文件的时间不得迟于招标公告中规定的投标截止时间。</w:t>
      </w:r>
    </w:p>
    <w:p>
      <w:pPr>
        <w:spacing w:line="480" w:lineRule="exact"/>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w:t>
      </w:r>
      <w:r>
        <w:rPr>
          <w:rFonts w:hint="eastAsia" w:ascii="宋体" w:hAnsi="宋体" w:cs="宋体"/>
          <w:bCs/>
          <w:color w:val="000000" w:themeColor="text1"/>
          <w:sz w:val="24"/>
          <w:szCs w:val="24"/>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144" w:name="_Toc16938543"/>
      <w:bookmarkStart w:id="145" w:name="_Toc513029227"/>
      <w:bookmarkStart w:id="146" w:name="_Toc20823299"/>
      <w:r>
        <w:rPr>
          <w:rFonts w:hint="eastAsia" w:ascii="宋体" w:hAnsi="宋体" w:cs="宋体"/>
          <w:color w:val="000000" w:themeColor="text1"/>
          <w:sz w:val="24"/>
          <w:szCs w:val="24"/>
          <w14:textFill>
            <w14:solidFill>
              <w14:schemeClr w14:val="tx1"/>
            </w14:solidFill>
          </w14:textFill>
        </w:rPr>
        <w:t>3、投标文件</w:t>
      </w:r>
      <w:bookmarkEnd w:id="144"/>
      <w:bookmarkEnd w:id="145"/>
      <w:bookmarkEnd w:id="146"/>
      <w:r>
        <w:rPr>
          <w:rFonts w:hint="eastAsia" w:ascii="宋体" w:hAnsi="宋体" w:cs="宋体"/>
          <w:color w:val="000000" w:themeColor="text1"/>
          <w:sz w:val="24"/>
          <w:szCs w:val="24"/>
          <w14:textFill>
            <w14:solidFill>
              <w14:schemeClr w14:val="tx1"/>
            </w14:solidFill>
          </w14:textFill>
        </w:rPr>
        <w:t>的拒收</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3.1 代理机构拒绝接收在其规定的投标截止时间后上传的任何投标文件。</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147" w:name="_Toc513029228"/>
      <w:bookmarkStart w:id="148" w:name="_Toc16938544"/>
      <w:bookmarkStart w:id="149" w:name="_Toc20823300"/>
      <w:r>
        <w:rPr>
          <w:rFonts w:hint="eastAsia" w:ascii="宋体" w:hAnsi="宋体" w:cs="宋体"/>
          <w:color w:val="000000" w:themeColor="text1"/>
          <w:sz w:val="24"/>
          <w:szCs w:val="24"/>
          <w14:textFill>
            <w14:solidFill>
              <w14:schemeClr w14:val="tx1"/>
            </w14:solidFill>
          </w14:textFill>
        </w:rPr>
        <w:t>4、投标文件的撤回和修改</w:t>
      </w:r>
      <w:bookmarkEnd w:id="147"/>
      <w:bookmarkEnd w:id="148"/>
      <w:bookmarkEnd w:id="149"/>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 投标文件的撤回</w:t>
      </w:r>
    </w:p>
    <w:p>
      <w:pPr>
        <w:spacing w:line="480" w:lineRule="exact"/>
        <w:ind w:firstLine="96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4.1.1 电子投标文件的撤回</w:t>
      </w:r>
    </w:p>
    <w:p>
      <w:pPr>
        <w:spacing w:line="48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投标人可在投标截止时间前，撤回其电子投标文件，具体操作方法见《苏采云系统供应商操作手册》。</w:t>
      </w:r>
    </w:p>
    <w:p>
      <w:pPr>
        <w:spacing w:line="480" w:lineRule="exact"/>
        <w:ind w:firstLine="96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4.1.2 投标人撤回电子投标文件，则认为其不再参与本项目投标活动。</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 投标文件的修改</w:t>
      </w:r>
    </w:p>
    <w:p>
      <w:pPr>
        <w:spacing w:line="480" w:lineRule="exact"/>
        <w:ind w:firstLine="96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4.2.1投标人可在投标截止时间前，对其电子投标文件进行修改，具体操作方法见《苏采云系统供应商操作手册》。</w:t>
      </w:r>
    </w:p>
    <w:p>
      <w:pPr>
        <w:spacing w:line="480" w:lineRule="exact"/>
        <w:ind w:firstLine="96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4.2.2 在投标截止时间之后，投标人不得对其电子投标文件作任何修改。</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4.3 在投标截止时间至招标文件中规定的投标有效期满之间的这段时间内，投标人不得撤回其投标。</w:t>
      </w:r>
    </w:p>
    <w:p>
      <w:pPr>
        <w:keepNext/>
        <w:keepLines/>
        <w:spacing w:line="480" w:lineRule="exact"/>
        <w:ind w:firstLine="562"/>
        <w:outlineLvl w:val="1"/>
        <w:rPr>
          <w:rFonts w:ascii="宋体" w:hAnsi="宋体" w:cs="宋体"/>
          <w:b/>
          <w:bCs/>
          <w:color w:val="000000" w:themeColor="text1"/>
          <w:sz w:val="28"/>
          <w:szCs w:val="28"/>
          <w14:textFill>
            <w14:solidFill>
              <w14:schemeClr w14:val="tx1"/>
            </w14:solidFill>
          </w14:textFill>
        </w:rPr>
      </w:pPr>
      <w:bookmarkStart w:id="150" w:name="_Toc513029229"/>
      <w:bookmarkStart w:id="151" w:name="_Toc20823301"/>
      <w:bookmarkStart w:id="152" w:name="_Toc228349832"/>
      <w:bookmarkStart w:id="153" w:name="_Toc16938545"/>
      <w:bookmarkStart w:id="154" w:name="_Toc120614218"/>
      <w:r>
        <w:rPr>
          <w:rFonts w:hint="eastAsia" w:ascii="宋体" w:hAnsi="宋体" w:cs="宋体"/>
          <w:b/>
          <w:bCs/>
          <w:color w:val="000000" w:themeColor="text1"/>
          <w:sz w:val="28"/>
          <w:szCs w:val="28"/>
          <w14:textFill>
            <w14:solidFill>
              <w14:schemeClr w14:val="tx1"/>
            </w14:solidFill>
          </w14:textFill>
        </w:rPr>
        <w:t>五、开标与评标</w:t>
      </w:r>
      <w:bookmarkEnd w:id="150"/>
      <w:bookmarkEnd w:id="151"/>
      <w:bookmarkEnd w:id="152"/>
      <w:bookmarkEnd w:id="153"/>
      <w:bookmarkEnd w:id="154"/>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155" w:name="_Toc20823302"/>
      <w:bookmarkStart w:id="156" w:name="_Toc513029230"/>
      <w:bookmarkStart w:id="157" w:name="_Toc16938546"/>
      <w:r>
        <w:rPr>
          <w:rFonts w:hint="eastAsia" w:ascii="宋体" w:hAnsi="宋体" w:cs="宋体"/>
          <w:color w:val="000000" w:themeColor="text1"/>
          <w:sz w:val="24"/>
          <w:szCs w:val="24"/>
          <w14:textFill>
            <w14:solidFill>
              <w14:schemeClr w14:val="tx1"/>
            </w14:solidFill>
          </w14:textFill>
        </w:rPr>
        <w:t>1、开标</w:t>
      </w:r>
      <w:bookmarkEnd w:id="155"/>
      <w:bookmarkEnd w:id="156"/>
      <w:bookmarkEnd w:id="157"/>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代理机构将在招标公告中规定的时间和地点组织公开开标。投标人应当按照《苏采云系统供应商操作手册》规定，参加开标活动和在苏采云系统规定的时间内对投标文件进行解密。</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1.2开标仪式由代理机构组织。苏采云系统将自动对项目进行开标，并宣布各投标人名称和投标价格。</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1.3投标人在开标过程中涉及到的投标文件解密、开标结果确认等工作，应按照《苏采云系统供应商操作手册》规定执行。</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1.4投标人如果对开标过程和开标记录有疑义，应当根据《操作手册》规定提出，如苏采云系统中《开标记录表》宣布后5分钟内未提出的，视同认可开标结果。</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158" w:name="_Toc20823303"/>
      <w:bookmarkStart w:id="159" w:name="_Toc16938547"/>
      <w:bookmarkStart w:id="160" w:name="_Toc513029231"/>
      <w:r>
        <w:rPr>
          <w:rFonts w:hint="eastAsia" w:ascii="宋体" w:hAnsi="宋体" w:cs="宋体"/>
          <w:color w:val="000000" w:themeColor="text1"/>
          <w:sz w:val="24"/>
          <w:szCs w:val="24"/>
          <w14:textFill>
            <w14:solidFill>
              <w14:schemeClr w14:val="tx1"/>
            </w14:solidFill>
          </w14:textFill>
        </w:rPr>
        <w:t>2、评标委员会</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开标后，代理机构将立即组织评标委员会（以下简称评委会）进行评标。</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评委会由采购人代表和有关技术、经济等方面的专家组成，且人员构成符合政府采购有关规定。</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2.3评委会独立工作，负责评审所有投标文件并确定中标侯选人。</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3．评标过程的保密与公正</w:t>
      </w:r>
      <w:bookmarkEnd w:id="158"/>
      <w:bookmarkEnd w:id="159"/>
      <w:bookmarkEnd w:id="160"/>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w:t>
      </w:r>
      <w:r>
        <w:rPr>
          <w:rFonts w:hint="eastAsia" w:ascii="宋体" w:hAnsi="宋体" w:cs="宋体"/>
          <w:bCs/>
          <w:color w:val="000000" w:themeColor="text1"/>
          <w:sz w:val="24"/>
          <w:szCs w:val="24"/>
          <w14:textFill>
            <w14:solidFill>
              <w14:schemeClr w14:val="tx1"/>
            </w14:solidFill>
          </w14:textFill>
        </w:rPr>
        <w:t>凡是与审查、澄清、评价和比较投标的有关资料以及授标建议等，采购人、评委、代理机构均不得向投标人或与评标无关的其他人员透露。</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3.2在评标过程中，投标人不得以任何行为影响评标过程，否则其投标文件将被作为无效投标文件。</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3.3 代理机构和评委会不向未中标的投标人解释未中标原因，也不公布评标过程中的相关细节。</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 采用综合评分法的项目，未中标的投标人可于中标结果公告期限届满之日起通过苏采云系统查看自己的评审得分及排序情况。</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bookmarkStart w:id="161" w:name="_Toc16938548"/>
      <w:bookmarkStart w:id="162" w:name="_Toc513029232"/>
      <w:bookmarkStart w:id="163" w:name="_Toc20823304"/>
      <w:r>
        <w:rPr>
          <w:rFonts w:hint="eastAsia" w:ascii="宋体" w:hAnsi="宋体" w:cs="宋体"/>
          <w:color w:val="000000" w:themeColor="text1"/>
          <w:sz w:val="24"/>
          <w:szCs w:val="24"/>
          <w14:textFill>
            <w14:solidFill>
              <w14:schemeClr w14:val="tx1"/>
            </w14:solidFill>
          </w14:textFill>
        </w:rPr>
        <w:t>4. 投标文件的澄清</w:t>
      </w:r>
      <w:bookmarkEnd w:id="161"/>
      <w:bookmarkEnd w:id="162"/>
      <w:bookmarkEnd w:id="163"/>
    </w:p>
    <w:p>
      <w:pPr>
        <w:spacing w:line="480" w:lineRule="exact"/>
        <w:ind w:firstLine="789"/>
        <w:rPr>
          <w:rFonts w:ascii="宋体" w:hAnsi="宋体" w:cs="宋体"/>
          <w:color w:val="000000" w:themeColor="text1"/>
          <w:sz w:val="24"/>
          <w:szCs w:val="24"/>
          <w14:textFill>
            <w14:solidFill>
              <w14:schemeClr w14:val="tx1"/>
            </w14:solidFill>
          </w14:textFill>
        </w:rPr>
      </w:pPr>
      <w:bookmarkStart w:id="164" w:name="_Toc513029233"/>
      <w:bookmarkStart w:id="165" w:name="_Toc16938549"/>
      <w:bookmarkStart w:id="166" w:name="_Toc20823305"/>
      <w:r>
        <w:rPr>
          <w:rFonts w:hint="eastAsia" w:ascii="宋体" w:hAnsi="宋体" w:cs="宋体"/>
          <w:color w:val="000000" w:themeColor="text1"/>
          <w:sz w:val="24"/>
          <w:szCs w:val="24"/>
          <w14:textFill>
            <w14:solidFill>
              <w14:schemeClr w14:val="tx1"/>
            </w14:solidFill>
          </w14:textFill>
        </w:rPr>
        <w:t>4.1评标期间，评委会对投标文件中含义不明确、同类问题表述不一致或者有明显文字和计算错误的内容 ，有权要求投标人作出必要的澄清、说明或者补正。</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投标人的澄清、说明或者补正不得超出投标文件的范围或者改变投标文件的实质性内容。</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评标委员会并非对每个投标人都做澄清要求。</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4.3 接到评委会澄清、说明和补正要求的投标人如未按规定做出澄清、说明和补正，其风险由投标人自行承担。</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 对投标文件的初审</w:t>
      </w:r>
      <w:bookmarkEnd w:id="164"/>
      <w:bookmarkEnd w:id="165"/>
      <w:bookmarkEnd w:id="166"/>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w:t>
      </w:r>
      <w:r>
        <w:rPr>
          <w:rFonts w:hint="eastAsia" w:ascii="宋体" w:hAnsi="宋体" w:cs="宋体"/>
          <w:bCs/>
          <w:color w:val="000000" w:themeColor="text1"/>
          <w:sz w:val="24"/>
          <w:szCs w:val="24"/>
          <w14:textFill>
            <w14:solidFill>
              <w14:schemeClr w14:val="tx1"/>
            </w14:solidFill>
          </w14:textFill>
        </w:rPr>
        <w:t>投标文件初审分为资格审查和符合性审查。</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5.1.1 资格审查：依据法律法规和招标文件的规定，由采购人对投标文件中的资格证明文件进行审查。资格审查的结论，采购人以书面形式向评委会进行反馈。</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采购人在进行资格性审查的同时，将在</w:t>
      </w:r>
      <w:r>
        <w:rPr>
          <w:rFonts w:hint="eastAsia" w:cs="宋体"/>
          <w:color w:val="000000" w:themeColor="text1"/>
          <w:sz w:val="24"/>
          <w:szCs w:val="24"/>
          <w14:textFill>
            <w14:solidFill>
              <w14:schemeClr w14:val="tx1"/>
            </w14:solidFill>
          </w14:textFill>
        </w:rPr>
        <w:t>中国政府采购网</w:t>
      </w:r>
      <w:r>
        <w:rPr>
          <w:rFonts w:cs="宋体"/>
          <w:color w:val="000000" w:themeColor="text1"/>
          <w:sz w:val="24"/>
          <w:szCs w:val="24"/>
          <w14:textFill>
            <w14:solidFill>
              <w14:schemeClr w14:val="tx1"/>
            </w14:solidFill>
          </w14:textFill>
        </w:rPr>
        <w:t>(http://www.ccgp.gov.cn/search/cr/)、信用中国（https://www.creditchina.gov.cn/）、信用江苏（http://credit.jiangsu.gov.cn/）、信用中国（江苏苏州）（https://credit.suzhou.gov.cn/）</w:t>
      </w:r>
      <w:r>
        <w:rPr>
          <w:rFonts w:hint="eastAsia" w:ascii="宋体" w:hAnsi="宋体" w:cs="宋体"/>
          <w:bCs/>
          <w:color w:val="000000" w:themeColor="text1"/>
          <w:sz w:val="24"/>
          <w:szCs w:val="24"/>
          <w14:textFill>
            <w14:solidFill>
              <w14:schemeClr w14:val="tx1"/>
            </w14:solidFill>
          </w14:textFill>
        </w:rPr>
        <w:t>等查询投标人的信用记录，以确定投标人是否具备投标资格,查询结果留存并归档。</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5.1.2 符合性审查：依据招标文件的规定，由评委会从投标文件的有效性、完整性和对招标文件的响应程度进行审查，以确定是否对招标文件的实质性要求作出响应。</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5.1.3 未通过资格审查或符合性审查的投标人，代理机构将在苏采云系统中告知未通过资格审查或符合性审查的原因，评审结束后，代理机构将不再告知未通过资格审查或符合性审查的原因。</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5.2在详细评标之前，评委会将首先审查每份投标文件是否实质性响应了招标文件的要求。实质性响应的投标应该是与招标文件要求的全部条款、条件和规格相符，没有重大偏离或保留的投标。</w:t>
      </w:r>
    </w:p>
    <w:p>
      <w:pPr>
        <w:spacing w:line="480" w:lineRule="exact"/>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14:textFill>
            <w14:solidFill>
              <w14:schemeClr w14:val="tx1"/>
            </w14:solidFill>
          </w14:textFill>
        </w:rPr>
        <w:t>评委决定投标文件的响应性只根据投标文件本身的内容，而不寻求外部的证据。</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5.3</w:t>
      </w:r>
      <w:r>
        <w:rPr>
          <w:rFonts w:hint="eastAsia" w:ascii="宋体" w:hAnsi="宋体" w:cs="宋体"/>
          <w:bCs/>
          <w:color w:val="000000" w:themeColor="text1"/>
          <w:sz w:val="24"/>
          <w:szCs w:val="24"/>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5.4</w:t>
      </w:r>
      <w:r>
        <w:rPr>
          <w:rFonts w:hint="eastAsia" w:ascii="宋体" w:hAnsi="宋体" w:cs="宋体"/>
          <w:bCs/>
          <w:color w:val="000000" w:themeColor="text1"/>
          <w:sz w:val="24"/>
          <w:szCs w:val="24"/>
          <w14:textFill>
            <w14:solidFill>
              <w14:schemeClr w14:val="tx1"/>
            </w14:solidFill>
          </w14:textFill>
        </w:rPr>
        <w:t>评委会将对确定为实质性响应的投标进行进一步审核，看其是否有计算上或累加上的算术错误，修正错误的原则如下：</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（1）投标文件中开标一览表内容与投标文件中相应内容不一致的，以开标一览表为准。</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（2）大写金额和小写金额不一致的，以大写金额为准。</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（3）单价金额小数点或者百分比有明显错位的，以开标一览表的总价为准，并修改单价。</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（4）总价金额与按单价汇总金额不一致的，以单价金额计算结果为准。</w:t>
      </w:r>
    </w:p>
    <w:p>
      <w:pPr>
        <w:spacing w:line="480" w:lineRule="exact"/>
        <w:ind w:firstLine="96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同时出现两种以上错误的，按照前款规定的顺序修正。</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5.5</w:t>
      </w:r>
      <w:r>
        <w:rPr>
          <w:rFonts w:hint="eastAsia" w:ascii="宋体" w:hAnsi="宋体" w:cs="宋体"/>
          <w:bCs/>
          <w:color w:val="000000" w:themeColor="text1"/>
          <w:sz w:val="24"/>
          <w:szCs w:val="24"/>
          <w14:textFill>
            <w14:solidFill>
              <w14:schemeClr w14:val="tx1"/>
            </w14:solidFill>
          </w14:textFill>
        </w:rPr>
        <w:t>评委会将按上述修正错误的方法调整投标文件中的投标报价，并通过</w:t>
      </w:r>
      <w:r>
        <w:rPr>
          <w:rFonts w:hint="eastAsia" w:ascii="宋体" w:hAnsi="宋体" w:cs="宋体"/>
          <w:color w:val="000000" w:themeColor="text1"/>
          <w:sz w:val="24"/>
          <w:szCs w:val="24"/>
          <w14:textFill>
            <w14:solidFill>
              <w14:schemeClr w14:val="tx1"/>
            </w14:solidFill>
          </w14:textFill>
        </w:rPr>
        <w:t>苏采云系统</w:t>
      </w:r>
      <w:r>
        <w:rPr>
          <w:rFonts w:hint="eastAsia" w:ascii="宋体" w:hAnsi="宋体" w:cs="宋体"/>
          <w:bCs/>
          <w:color w:val="000000" w:themeColor="text1"/>
          <w:sz w:val="24"/>
          <w:szCs w:val="24"/>
          <w14:textFill>
            <w14:solidFill>
              <w14:schemeClr w14:val="tx1"/>
            </w14:solidFill>
          </w14:textFill>
        </w:rPr>
        <w:t>告知投标人，调整后的价格应对投标人具有约束力。如果投标人不接受修正后的价格，则其投标将被拒绝。</w:t>
      </w:r>
    </w:p>
    <w:p>
      <w:pPr>
        <w:spacing w:line="480" w:lineRule="exact"/>
        <w:ind w:firstLine="789"/>
        <w:rPr>
          <w:rFonts w:ascii="宋体" w:hAnsi="宋体" w:cs="宋体"/>
          <w:color w:val="000000" w:themeColor="text1"/>
          <w:sz w:val="24"/>
          <w:szCs w:val="24"/>
          <w14:textFill>
            <w14:solidFill>
              <w14:schemeClr w14:val="tx1"/>
            </w14:solidFill>
          </w14:textFill>
        </w:rPr>
      </w:pPr>
      <w:bookmarkStart w:id="167" w:name="_Toc16938550"/>
      <w:bookmarkStart w:id="168" w:name="_Toc513029234"/>
      <w:bookmarkStart w:id="169" w:name="_Toc20823306"/>
      <w:r>
        <w:rPr>
          <w:rFonts w:hint="eastAsia" w:ascii="宋体" w:hAnsi="宋体" w:cs="宋体"/>
          <w:color w:val="000000" w:themeColor="text1"/>
          <w:sz w:val="24"/>
          <w:szCs w:val="24"/>
          <w14:textFill>
            <w14:solidFill>
              <w14:schemeClr w14:val="tx1"/>
            </w14:solidFill>
          </w14:textFill>
        </w:rPr>
        <w:t>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14:textFill>
            <w14:solidFill>
              <w14:schemeClr w14:val="tx1"/>
            </w14:solidFill>
          </w14:textFill>
        </w:rPr>
        <w:t>评委会</w:t>
      </w:r>
      <w:r>
        <w:rPr>
          <w:rFonts w:hint="eastAsia" w:ascii="宋体" w:hAnsi="宋体" w:cs="宋体"/>
          <w:color w:val="000000" w:themeColor="text1"/>
          <w:sz w:val="24"/>
          <w:szCs w:val="24"/>
          <w14:textFill>
            <w14:solidFill>
              <w14:schemeClr w14:val="tx1"/>
            </w14:solidFill>
          </w14:textFill>
        </w:rPr>
        <w:t>根据招标文件规定的方式（招标文件未规定的采取随机抽取的方式）确定一个中标候选人。</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5.7投标人在开、评标全过程中应保持通讯畅通，及时登录苏采云系统查阅、答复相关信息，并安排专人与代理机构及</w:t>
      </w:r>
      <w:r>
        <w:rPr>
          <w:rFonts w:hint="eastAsia" w:ascii="宋体" w:hAnsi="宋体" w:cs="宋体"/>
          <w:bCs/>
          <w:color w:val="000000" w:themeColor="text1"/>
          <w:sz w:val="24"/>
          <w:szCs w:val="24"/>
          <w14:textFill>
            <w14:solidFill>
              <w14:schemeClr w14:val="tx1"/>
            </w14:solidFill>
          </w14:textFill>
        </w:rPr>
        <w:t>评委会</w:t>
      </w:r>
      <w:r>
        <w:rPr>
          <w:rFonts w:hint="eastAsia" w:ascii="宋体" w:hAnsi="宋体" w:cs="宋体"/>
          <w:color w:val="000000" w:themeColor="text1"/>
          <w:sz w:val="24"/>
          <w:szCs w:val="24"/>
          <w14:textFill>
            <w14:solidFill>
              <w14:schemeClr w14:val="tx1"/>
            </w14:solidFill>
          </w14:textFill>
        </w:rPr>
        <w:t>联系。</w:t>
      </w:r>
    </w:p>
    <w:p>
      <w:pPr>
        <w:keepNext/>
        <w:keepLines/>
        <w:spacing w:line="48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bookmarkEnd w:id="167"/>
      <w:bookmarkEnd w:id="168"/>
      <w:bookmarkEnd w:id="169"/>
      <w:r>
        <w:rPr>
          <w:rFonts w:hint="eastAsia" w:ascii="宋体" w:hAnsi="宋体" w:cs="宋体"/>
          <w:color w:val="000000" w:themeColor="text1"/>
          <w:sz w:val="24"/>
          <w:szCs w:val="24"/>
          <w14:textFill>
            <w14:solidFill>
              <w14:schemeClr w14:val="tx1"/>
            </w14:solidFill>
          </w14:textFill>
        </w:rPr>
        <w:t>.无效投标条款和废标条款</w:t>
      </w:r>
    </w:p>
    <w:p>
      <w:pPr>
        <w:spacing w:line="480" w:lineRule="exact"/>
        <w:ind w:firstLine="789"/>
        <w:rPr>
          <w:rFonts w:ascii="宋体" w:hAnsi="宋体" w:cs="宋体"/>
          <w:color w:val="000000" w:themeColor="text1"/>
          <w:sz w:val="24"/>
          <w:szCs w:val="24"/>
          <w14:textFill>
            <w14:solidFill>
              <w14:schemeClr w14:val="tx1"/>
            </w14:solidFill>
          </w14:textFill>
        </w:rPr>
      </w:pPr>
      <w:bookmarkStart w:id="170" w:name="_Toc16938551"/>
      <w:bookmarkStart w:id="171" w:name="_Toc20823307"/>
      <w:bookmarkStart w:id="172" w:name="_Toc513029235"/>
      <w:r>
        <w:rPr>
          <w:rFonts w:hint="eastAsia" w:ascii="宋体" w:hAnsi="宋体" w:cs="宋体"/>
          <w:color w:val="000000" w:themeColor="text1"/>
          <w:sz w:val="24"/>
          <w:szCs w:val="24"/>
          <w14:textFill>
            <w14:solidFill>
              <w14:schemeClr w14:val="tx1"/>
            </w14:solidFill>
          </w14:textFill>
        </w:rPr>
        <w:t>6.1无效投标条款</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 投标人在苏采云系统规定的时间内未成功解密电子投标文件的。</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6.1.2 投标人未按照招标文件要求上传电子投标文件的。</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6.1.3同一投标人提交两个（含两个）以上不同的投标报价的。</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6.1.4投标人不具备招标文件中规定资格要求的。</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6.1.5投标人的报价超过了采购预算或最高限价的。</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6.1.6未通过符合性审查的。</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6.1.7不符合招标文件中规定的实质性要求和条件的</w:t>
      </w:r>
      <w:r>
        <w:rPr>
          <w:rFonts w:hint="eastAsia" w:ascii="宋体" w:hAnsi="宋体"/>
          <w:bCs/>
          <w:color w:val="000000" w:themeColor="text1"/>
          <w:sz w:val="24"/>
          <w:szCs w:val="21"/>
          <w14:textFill>
            <w14:solidFill>
              <w14:schemeClr w14:val="tx1"/>
            </w14:solidFill>
          </w14:textFill>
        </w:rPr>
        <w:t>（</w:t>
      </w:r>
      <w:r>
        <w:rPr>
          <w:rFonts w:hint="eastAsia" w:ascii="宋体" w:hAnsi="宋体"/>
          <w:bCs/>
          <w:i/>
          <w:color w:val="000000" w:themeColor="text1"/>
          <w:sz w:val="24"/>
          <w:szCs w:val="21"/>
          <w:u w:val="single"/>
          <w14:textFill>
            <w14:solidFill>
              <w14:schemeClr w14:val="tx1"/>
            </w14:solidFill>
          </w14:textFill>
        </w:rPr>
        <w:t>本招标文件中斜体且有下划线部分为实质性要求和条件）</w:t>
      </w:r>
      <w:r>
        <w:rPr>
          <w:rFonts w:hint="eastAsia" w:ascii="宋体" w:hAnsi="宋体" w:cs="宋体"/>
          <w:bCs/>
          <w:color w:val="000000" w:themeColor="text1"/>
          <w:sz w:val="24"/>
          <w:szCs w:val="24"/>
          <w14:textFill>
            <w14:solidFill>
              <w14:schemeClr w14:val="tx1"/>
            </w14:solidFill>
          </w14:textFill>
        </w:rPr>
        <w:t>。</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6.1.8 投标人在中国政府采购网、信用中国网站、信用江苏网站、信用中国（江苏苏州）网站存在下列依法拒绝投标人参加政府采购的失信信息的。</w:t>
      </w:r>
    </w:p>
    <w:p>
      <w:pPr>
        <w:spacing w:line="480" w:lineRule="exact"/>
        <w:ind w:firstLine="7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（1）政府采购严重违法记录，即投标人被全国各级财政部门列入“政府采购严重违法失信行为记录名单”，且在处罚有效期内的。</w:t>
      </w:r>
    </w:p>
    <w:p>
      <w:pPr>
        <w:spacing w:line="480" w:lineRule="exact"/>
        <w:ind w:firstLine="7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6.1.9  投标文件含有采购人不能接受的附加条件的。</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6.1.12 投标文件未按照招标文件要求加盖CA电子公章的。</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6.1.13其他法律、法规及本招标文件规定的属无效投标的情形。</w:t>
      </w:r>
    </w:p>
    <w:p>
      <w:pPr>
        <w:spacing w:line="480" w:lineRule="exact"/>
        <w:ind w:left="479" w:firstLine="24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6.2废标条款</w:t>
      </w:r>
    </w:p>
    <w:p>
      <w:pPr>
        <w:spacing w:line="480" w:lineRule="exact"/>
        <w:ind w:left="479"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6.2.1符合专业条件的供应商或者对招标文件作实质响应的供应商不足三家的。</w:t>
      </w:r>
    </w:p>
    <w:p>
      <w:pPr>
        <w:spacing w:line="480" w:lineRule="exact"/>
        <w:ind w:left="479"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6.2.2出现影响采购公正的违法、违规行为的。</w:t>
      </w:r>
    </w:p>
    <w:p>
      <w:pPr>
        <w:spacing w:line="480" w:lineRule="exact"/>
        <w:ind w:left="479"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6.2.3因重大变故，采购任务取消的。</w:t>
      </w:r>
    </w:p>
    <w:p>
      <w:pPr>
        <w:spacing w:line="480" w:lineRule="exact"/>
        <w:ind w:left="479"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6.2.4评标委员会认定招标文件存在歧义、重大缺陷导致评审工作无法进行。</w:t>
      </w:r>
    </w:p>
    <w:p>
      <w:pPr>
        <w:spacing w:line="480" w:lineRule="exact"/>
        <w:ind w:left="479"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6.2.5 因</w:t>
      </w:r>
      <w:r>
        <w:rPr>
          <w:rFonts w:hint="eastAsia" w:ascii="宋体" w:hAnsi="宋体" w:cs="宋体"/>
          <w:color w:val="000000" w:themeColor="text1"/>
          <w:sz w:val="24"/>
          <w:szCs w:val="24"/>
          <w14:textFill>
            <w14:solidFill>
              <w14:schemeClr w14:val="tx1"/>
            </w14:solidFill>
          </w14:textFill>
        </w:rPr>
        <w:t>苏采云系统</w:t>
      </w:r>
      <w:r>
        <w:rPr>
          <w:rFonts w:hint="eastAsia" w:ascii="宋体" w:hAnsi="宋体" w:cs="宋体"/>
          <w:bCs/>
          <w:color w:val="000000" w:themeColor="text1"/>
          <w:sz w:val="24"/>
          <w:szCs w:val="24"/>
          <w14:textFill>
            <w14:solidFill>
              <w14:schemeClr w14:val="tx1"/>
            </w14:solidFill>
          </w14:textFill>
        </w:rPr>
        <w:t>系统故障原因造成开标不成功的。</w:t>
      </w:r>
    </w:p>
    <w:p>
      <w:pPr>
        <w:spacing w:line="480" w:lineRule="exact"/>
        <w:ind w:left="479" w:firstLine="24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6.3 投标截止时间结束后参加投标的供应商不足三家的处理：</w:t>
      </w:r>
    </w:p>
    <w:p>
      <w:pPr>
        <w:spacing w:line="480" w:lineRule="exact"/>
        <w:ind w:firstLine="10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6.3.1如出现投标截止时间结束后参加投标的供应商或者在评标期间对招标文件做出实质响应的供应商不足三家情况，按政府采购相关规定执行。</w:t>
      </w:r>
    </w:p>
    <w:p>
      <w:pPr>
        <w:keepNext/>
        <w:keepLines/>
        <w:spacing w:line="480" w:lineRule="exact"/>
        <w:ind w:firstLine="562"/>
        <w:outlineLvl w:val="1"/>
        <w:rPr>
          <w:rFonts w:ascii="宋体" w:hAnsi="宋体" w:cs="宋体"/>
          <w:b/>
          <w:bCs/>
          <w:color w:val="000000" w:themeColor="text1"/>
          <w:sz w:val="28"/>
          <w:szCs w:val="28"/>
          <w14:textFill>
            <w14:solidFill>
              <w14:schemeClr w14:val="tx1"/>
            </w14:solidFill>
          </w14:textFill>
        </w:rPr>
      </w:pPr>
      <w:bookmarkStart w:id="173" w:name="_Toc120614219"/>
      <w:bookmarkStart w:id="174" w:name="_Toc228349833"/>
      <w:r>
        <w:rPr>
          <w:rFonts w:hint="eastAsia" w:ascii="宋体" w:hAnsi="宋体" w:cs="宋体"/>
          <w:b/>
          <w:bCs/>
          <w:color w:val="000000" w:themeColor="text1"/>
          <w:sz w:val="28"/>
          <w:szCs w:val="28"/>
          <w14:textFill>
            <w14:solidFill>
              <w14:schemeClr w14:val="tx1"/>
            </w14:solidFill>
          </w14:textFill>
        </w:rPr>
        <w:t>六、</w:t>
      </w:r>
      <w:bookmarkEnd w:id="170"/>
      <w:bookmarkEnd w:id="171"/>
      <w:bookmarkEnd w:id="172"/>
      <w:r>
        <w:rPr>
          <w:rFonts w:hint="eastAsia" w:ascii="宋体" w:hAnsi="宋体" w:cs="宋体"/>
          <w:b/>
          <w:bCs/>
          <w:color w:val="000000" w:themeColor="text1"/>
          <w:sz w:val="28"/>
          <w:szCs w:val="28"/>
          <w14:textFill>
            <w14:solidFill>
              <w14:schemeClr w14:val="tx1"/>
            </w14:solidFill>
          </w14:textFill>
        </w:rPr>
        <w:t>定标</w:t>
      </w:r>
      <w:bookmarkEnd w:id="173"/>
      <w:bookmarkEnd w:id="174"/>
    </w:p>
    <w:p>
      <w:pPr>
        <w:keepNext/>
        <w:keepLines/>
        <w:spacing w:line="480" w:lineRule="exact"/>
        <w:ind w:firstLine="480"/>
        <w:outlineLvl w:val="3"/>
        <w:rPr>
          <w:rFonts w:ascii="宋体" w:hAnsi="宋体" w:cs="宋体"/>
          <w:bCs/>
          <w:color w:val="000000" w:themeColor="text1"/>
          <w:sz w:val="24"/>
          <w:szCs w:val="24"/>
          <w14:textFill>
            <w14:solidFill>
              <w14:schemeClr w14:val="tx1"/>
            </w14:solidFill>
          </w14:textFill>
        </w:rPr>
      </w:pPr>
      <w:bookmarkStart w:id="175" w:name="_Toc513029238"/>
      <w:bookmarkStart w:id="176" w:name="_Toc16938554"/>
      <w:bookmarkStart w:id="177" w:name="_Toc20823310"/>
      <w:r>
        <w:rPr>
          <w:rFonts w:hint="eastAsia" w:ascii="宋体" w:hAnsi="宋体" w:cs="宋体"/>
          <w:bCs/>
          <w:color w:val="000000" w:themeColor="text1"/>
          <w:sz w:val="24"/>
          <w:szCs w:val="24"/>
          <w14:textFill>
            <w14:solidFill>
              <w14:schemeClr w14:val="tx1"/>
            </w14:solidFill>
          </w14:textFill>
        </w:rPr>
        <w:t>1、</w:t>
      </w:r>
      <w:bookmarkEnd w:id="175"/>
      <w:r>
        <w:rPr>
          <w:rFonts w:hint="eastAsia" w:ascii="宋体" w:hAnsi="宋体" w:cs="宋体"/>
          <w:bCs/>
          <w:color w:val="000000" w:themeColor="text1"/>
          <w:sz w:val="24"/>
          <w:szCs w:val="24"/>
          <w14:textFill>
            <w14:solidFill>
              <w14:schemeClr w14:val="tx1"/>
            </w14:solidFill>
          </w14:textFill>
        </w:rPr>
        <w:t>确定</w:t>
      </w:r>
      <w:bookmarkEnd w:id="176"/>
      <w:bookmarkEnd w:id="177"/>
      <w:r>
        <w:rPr>
          <w:rFonts w:hint="eastAsia" w:ascii="宋体" w:hAnsi="宋体" w:cs="宋体"/>
          <w:bCs/>
          <w:color w:val="000000" w:themeColor="text1"/>
          <w:sz w:val="24"/>
          <w:szCs w:val="24"/>
          <w14:textFill>
            <w14:solidFill>
              <w14:schemeClr w14:val="tx1"/>
            </w14:solidFill>
          </w14:textFill>
        </w:rPr>
        <w:t>中标单位</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1.1中标候选人的选取原则和数量见招标文件第五章规定。 </w:t>
      </w:r>
    </w:p>
    <w:p>
      <w:pPr>
        <w:spacing w:line="480" w:lineRule="exact"/>
        <w:ind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1.2 采购人应根据评委会推荐的中标候选人确定中标人。</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w:t>
      </w:r>
      <w:r>
        <w:rPr>
          <w:rFonts w:hint="eastAsia" w:ascii="宋体" w:hAnsi="宋体" w:cs="宋体"/>
          <w:color w:val="000000" w:themeColor="text1"/>
          <w:sz w:val="24"/>
          <w:szCs w:val="24"/>
          <w14:textFill>
            <w14:solidFill>
              <w14:schemeClr w14:val="tx1"/>
            </w14:solidFill>
          </w14:textFill>
        </w:rPr>
        <w:t>代理机构将在指定媒体上发布中标公告，公告期限为1个工作日。</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  若有充分证据证明，中标人出现下列情况之一的，一经查实，将被取消中标资格：</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1.4.1提供虚假材料谋取中标的。</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1.4.2向采购人、代理机构行贿或者提供其他不正当利益的。</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1.4.3属于本文件规定的无效条件，但在评标过程中又未被评委会发现的。</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1.4.4与采购人或者其他供应商恶意串通的。</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1.4.5采取不正当手段诋毁、排挤其他供应商的。</w:t>
      </w:r>
    </w:p>
    <w:p>
      <w:pPr>
        <w:spacing w:line="480" w:lineRule="exact"/>
        <w:ind w:firstLine="789"/>
        <w:rPr>
          <w:rFonts w:ascii="宋体" w:hAnsi="宋体" w:cs="宋体"/>
          <w:color w:val="000000" w:themeColor="text1"/>
          <w:sz w:val="24"/>
          <w:szCs w:val="24"/>
          <w14:textFill>
            <w14:solidFill>
              <w14:schemeClr w14:val="tx1"/>
            </w14:solidFill>
          </w14:textFill>
        </w:rPr>
      </w:pPr>
      <w:bookmarkStart w:id="178" w:name="_Toc200451960"/>
      <w:r>
        <w:rPr>
          <w:rFonts w:hint="eastAsia" w:ascii="宋体" w:hAnsi="宋体" w:cs="宋体"/>
          <w:color w:val="000000" w:themeColor="text1"/>
          <w:sz w:val="24"/>
          <w:szCs w:val="24"/>
          <w14:textFill>
            <w14:solidFill>
              <w14:schemeClr w14:val="tx1"/>
            </w14:solidFill>
          </w14:textFill>
        </w:rPr>
        <w:t>1.5. 有下列情形之一的，视为投标人串通投标，投标无效：</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1.5.1不同投标人的投标文件由同一单位或者个人编制；</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1.5.2不同投标人委托同一单位或者个人办理投标事宜；</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1.5.3 不同投标人的投标文件载明的项目管理成员或者联系人员为同一人；</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1.5.4不同投标人的投标文件异常一致或者投标报价呈规律性差异；</w:t>
      </w:r>
    </w:p>
    <w:p>
      <w:pPr>
        <w:keepNext/>
        <w:keepLines/>
        <w:spacing w:line="48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2、质疑处理</w:t>
      </w:r>
      <w:bookmarkEnd w:id="178"/>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提出质疑的供应商应当是参与所质疑项目采购活动的供应商。潜在供应商依法获取其可质疑的采购文件的，可以对采购文件提出质疑。请将</w:t>
      </w:r>
      <w:bookmarkStart w:id="179" w:name="_Hlk98510751"/>
      <w:r>
        <w:rPr>
          <w:rFonts w:hint="eastAsia" w:ascii="宋体" w:hAnsi="宋体" w:cs="宋体"/>
          <w:color w:val="000000" w:themeColor="text1"/>
          <w:sz w:val="24"/>
          <w:szCs w:val="24"/>
          <w14:textFill>
            <w14:solidFill>
              <w14:schemeClr w14:val="tx1"/>
            </w14:solidFill>
          </w14:textFill>
        </w:rPr>
        <w:t>获取采购文件后打印留存的《投标供应商确认函》等</w:t>
      </w:r>
      <w:bookmarkEnd w:id="179"/>
      <w:r>
        <w:rPr>
          <w:rFonts w:hint="eastAsia" w:ascii="宋体" w:hAnsi="宋体" w:cs="宋体"/>
          <w:color w:val="000000" w:themeColor="text1"/>
          <w:sz w:val="24"/>
          <w:szCs w:val="24"/>
          <w14:textFill>
            <w14:solidFill>
              <w14:schemeClr w14:val="tx1"/>
            </w14:solidFill>
          </w14:textFill>
        </w:rPr>
        <w:t>必要的证明材料与质疑函一起递交，否则不予受理。</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2.2供应商认为采购文件、采购过程和采购结果使自己的权益受到损害的，可以在知道或应知其权益受到损害之日起七个工作日内，以书面形式提出质疑。上述应知其权益受到损害之日，是指：</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2.2.1对可以质疑的采购文件提出质疑的，为收到采购文件之日或者采购文件公告期限届满之日；</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2.2.2对采购过程提出质疑的，为各采购程序环节结束之日；</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2.2.3对中标或者成交结果提出质疑的，为中标或者成交结果公告期限届满之日。</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2.3质疑函必须按照本招标文件中《质疑函范本》要求的格式和内容进行填写。供应商如组成联合体参加投标，则《质疑函范本》中要求签字、盖章、加盖公章之处，联合体各方均须按要求签字、盖章、加盖公章。</w:t>
      </w:r>
    </w:p>
    <w:p>
      <w:pPr>
        <w:pBdr>
          <w:top w:val="none" w:color="000000" w:sz="0" w:space="0"/>
          <w:left w:val="none" w:color="000000" w:sz="0" w:space="0"/>
          <w:bottom w:val="none" w:color="000000" w:sz="0" w:space="0"/>
          <w:right w:val="none" w:color="000000" w:sz="0" w:space="0"/>
        </w:pBdr>
        <w:spacing w:line="480" w:lineRule="exact"/>
        <w:ind w:firstLine="787"/>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2.4代理机构只接收以纸质原件形式送达的质疑</w:t>
      </w:r>
      <w:r>
        <w:rPr>
          <w:rFonts w:hint="eastAsia" w:ascii="宋体" w:hAnsi="宋体" w:cs="宋体"/>
          <w:b/>
          <w:bCs/>
          <w:color w:val="000000" w:themeColor="text1"/>
          <w:sz w:val="24"/>
          <w:szCs w:val="24"/>
          <w14:textFill>
            <w14:solidFill>
              <w14:schemeClr w14:val="tx1"/>
            </w14:solidFill>
          </w14:textFill>
        </w:rPr>
        <w:t>（采购人和代理机构不接受未填写快递运单的快件），</w:t>
      </w:r>
      <w:r>
        <w:rPr>
          <w:rFonts w:hint="eastAsia" w:ascii="宋体" w:hAnsi="宋体" w:cs="宋体"/>
          <w:color w:val="000000" w:themeColor="text1"/>
          <w:sz w:val="24"/>
          <w14:textFill>
            <w14:solidFill>
              <w14:schemeClr w14:val="tx1"/>
            </w14:solidFill>
          </w14:textFill>
        </w:rPr>
        <w:t>质疑接收单位为苏州新一造价师价格事务所有限公司，联系地址：</w:t>
      </w:r>
      <w:r>
        <w:rPr>
          <w:rFonts w:hint="eastAsia" w:ascii="Times New Roman" w:hAnsi="Times New Roman"/>
          <w:color w:val="000000" w:themeColor="text1"/>
          <w:sz w:val="24"/>
          <w:szCs w:val="24"/>
          <w14:textFill>
            <w14:solidFill>
              <w14:schemeClr w14:val="tx1"/>
            </w14:solidFill>
          </w14:textFill>
        </w:rPr>
        <w:t>常熟市开元东路2号一楼</w:t>
      </w:r>
      <w:r>
        <w:rPr>
          <w:rFonts w:hint="eastAsia" w:ascii="宋体" w:hAnsi="宋体" w:cs="宋体"/>
          <w:color w:val="000000" w:themeColor="text1"/>
          <w:sz w:val="24"/>
          <w14:textFill>
            <w14:solidFill>
              <w14:schemeClr w14:val="tx1"/>
            </w14:solidFill>
          </w14:textFill>
        </w:rPr>
        <w:t>，联系人：韩忆程，联系电话：18915655067</w:t>
      </w:r>
      <w:r>
        <w:rPr>
          <w:rFonts w:ascii="宋体" w:hAnsi="宋体" w:cs="宋体"/>
          <w:color w:val="000000" w:themeColor="text1"/>
          <w:sz w:val="24"/>
          <w14:textFill>
            <w14:solidFill>
              <w14:schemeClr w14:val="tx1"/>
            </w14:solidFill>
          </w14:textFill>
        </w:rPr>
        <w:t>。潜在投标人提出书面质疑必须有理、有据，不得捏造事实、提供虚假材料进行恶意质疑。否则，一经查实，将报请监管部门对该供应商进行相应的处罚。</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 以下情形的质疑不予受理</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2.5.1 内容不符合《政府采购质疑和投诉办法》第十二条规定的质疑。</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2.5.2 超出政府采购法定期限的质疑。</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 以传真、电子邮件等方式递交的非原件形式的质疑。</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2.5.4 未参加投标活动的供应商或在投标活动中自身权益未受到损害的供应商所提出的质疑。</w:t>
      </w:r>
    </w:p>
    <w:p>
      <w:pPr>
        <w:spacing w:line="480" w:lineRule="exact"/>
        <w:ind w:firstLine="1027"/>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2.5.5供应商组成联合体参加投标，联合体中任何一方或多方未按要求签字、盖章、加盖公章的质疑。</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pPr>
        <w:keepNext/>
        <w:keepLines/>
        <w:spacing w:line="48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3、中标通知书</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3.l</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3.2中标通知书将是合同的一个组成部分。对采购人和中标供应商均具有法律效力。中标通知书发出后，采购人改变中标结果的，或者中标供应商放弃中标项目的，应当依法承担法律责任。</w:t>
      </w:r>
    </w:p>
    <w:p>
      <w:pPr>
        <w:keepNext/>
        <w:keepLines/>
        <w:spacing w:line="480" w:lineRule="exact"/>
        <w:ind w:firstLine="562"/>
        <w:outlineLvl w:val="1"/>
        <w:rPr>
          <w:rFonts w:ascii="宋体" w:hAnsi="宋体" w:cs="宋体"/>
          <w:b/>
          <w:bCs/>
          <w:color w:val="000000" w:themeColor="text1"/>
          <w:sz w:val="28"/>
          <w:szCs w:val="28"/>
          <w14:textFill>
            <w14:solidFill>
              <w14:schemeClr w14:val="tx1"/>
            </w14:solidFill>
          </w14:textFill>
        </w:rPr>
      </w:pPr>
      <w:bookmarkStart w:id="180" w:name="_Toc16938552"/>
      <w:bookmarkStart w:id="181" w:name="_Toc228349834"/>
      <w:bookmarkStart w:id="182" w:name="_Toc20823308"/>
      <w:bookmarkStart w:id="183" w:name="_Toc120614220"/>
      <w:bookmarkStart w:id="184" w:name="_Toc513029236"/>
      <w:r>
        <w:rPr>
          <w:rFonts w:hint="eastAsia" w:ascii="宋体" w:hAnsi="宋体" w:cs="宋体"/>
          <w:b/>
          <w:bCs/>
          <w:color w:val="000000" w:themeColor="text1"/>
          <w:sz w:val="28"/>
          <w:szCs w:val="28"/>
          <w14:textFill>
            <w14:solidFill>
              <w14:schemeClr w14:val="tx1"/>
            </w14:solidFill>
          </w14:textFill>
        </w:rPr>
        <w:t>七、授予合同</w:t>
      </w:r>
      <w:bookmarkEnd w:id="180"/>
      <w:bookmarkEnd w:id="181"/>
      <w:bookmarkEnd w:id="182"/>
      <w:bookmarkEnd w:id="183"/>
      <w:bookmarkEnd w:id="184"/>
    </w:p>
    <w:p>
      <w:pPr>
        <w:keepNext/>
        <w:keepLines/>
        <w:spacing w:line="480" w:lineRule="exact"/>
        <w:ind w:firstLine="480"/>
        <w:outlineLvl w:val="3"/>
        <w:rPr>
          <w:rFonts w:ascii="宋体" w:hAnsi="宋体" w:cs="宋体"/>
          <w:bCs/>
          <w:color w:val="000000" w:themeColor="text1"/>
          <w:sz w:val="24"/>
          <w:szCs w:val="24"/>
          <w14:textFill>
            <w14:solidFill>
              <w14:schemeClr w14:val="tx1"/>
            </w14:solidFill>
          </w14:textFill>
        </w:rPr>
      </w:pPr>
      <w:bookmarkStart w:id="185" w:name="_Toc16938553"/>
      <w:bookmarkStart w:id="186" w:name="_Toc20823309"/>
      <w:bookmarkStart w:id="187" w:name="_Toc513029237"/>
      <w:r>
        <w:rPr>
          <w:rFonts w:hint="eastAsia" w:ascii="宋体" w:hAnsi="宋体" w:cs="宋体"/>
          <w:bCs/>
          <w:color w:val="000000" w:themeColor="text1"/>
          <w:sz w:val="24"/>
          <w:szCs w:val="24"/>
          <w14:textFill>
            <w14:solidFill>
              <w14:schemeClr w14:val="tx1"/>
            </w14:solidFill>
          </w14:textFill>
        </w:rPr>
        <w:t>1、签订合同</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1.l中标人应当在中标通知书发出之日起三十日内，按照招标文件确定的事项与采购人签订政府采购合同。</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招标文件、中标人的投标文件及招标过程中有关澄清、承诺文件均应作为合同附件。</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 签订合同后，</w:t>
      </w:r>
      <w:r>
        <w:rPr>
          <w:rFonts w:hint="eastAsia" w:ascii="宋体" w:hAnsi="宋体" w:cs="宋体"/>
          <w:i/>
          <w:color w:val="000000" w:themeColor="text1"/>
          <w:sz w:val="24"/>
          <w:szCs w:val="24"/>
          <w:u w:val="single"/>
          <w14:textFill>
            <w14:solidFill>
              <w14:schemeClr w14:val="tx1"/>
            </w14:solidFill>
          </w14:textFill>
        </w:rPr>
        <w:t>中标人不得将合同标的进行转包</w:t>
      </w:r>
      <w:r>
        <w:rPr>
          <w:rFonts w:hint="eastAsia" w:ascii="宋体" w:hAnsi="宋体" w:cs="宋体"/>
          <w:color w:val="000000" w:themeColor="text1"/>
          <w:sz w:val="24"/>
          <w:szCs w:val="24"/>
          <w14:textFill>
            <w14:solidFill>
              <w14:schemeClr w14:val="tx1"/>
            </w14:solidFill>
          </w14:textFill>
        </w:rPr>
        <w:t>。未经采购人同意，中标人也不得采用分包的形式履行合同，否则采购人有权终止合同。转包或分包造成采购人损失的，中标人应承担相应赔偿责任。</w:t>
      </w:r>
    </w:p>
    <w:p>
      <w:pPr>
        <w:keepNext/>
        <w:keepLines/>
        <w:spacing w:line="48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2、货物（包含与货物相关的服务）的追加</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5"/>
      <w:bookmarkEnd w:id="186"/>
      <w:bookmarkEnd w:id="187"/>
    </w:p>
    <w:p>
      <w:pPr>
        <w:keepNext/>
        <w:keepLines/>
        <w:spacing w:line="480" w:lineRule="exact"/>
        <w:ind w:firstLine="480"/>
        <w:outlineLvl w:val="3"/>
        <w:rPr>
          <w:rFonts w:ascii="宋体" w:hAnsi="宋体" w:cs="宋体"/>
          <w:bCs/>
          <w:color w:val="000000" w:themeColor="text1"/>
          <w:sz w:val="24"/>
          <w:szCs w:val="24"/>
          <w14:textFill>
            <w14:solidFill>
              <w14:schemeClr w14:val="tx1"/>
            </w14:solidFill>
          </w14:textFill>
        </w:rPr>
      </w:pPr>
      <w:bookmarkStart w:id="188" w:name="_Toc20823314"/>
      <w:bookmarkStart w:id="189" w:name="_Toc120614221"/>
      <w:bookmarkStart w:id="190" w:name="_Toc479757207"/>
      <w:bookmarkStart w:id="191" w:name="_Toc513029242"/>
      <w:bookmarkStart w:id="192" w:name="_Toc16938558"/>
      <w:r>
        <w:rPr>
          <w:rFonts w:hint="eastAsia" w:ascii="宋体" w:hAnsi="宋体" w:cs="宋体"/>
          <w:bCs/>
          <w:color w:val="000000" w:themeColor="text1"/>
          <w:sz w:val="24"/>
          <w:szCs w:val="24"/>
          <w14:textFill>
            <w14:solidFill>
              <w14:schemeClr w14:val="tx1"/>
            </w14:solidFill>
          </w14:textFill>
        </w:rPr>
        <w:t>3、政府采购信用融资政策</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中标供应商可凭政府采购合同办理融资贷款，详情请见苏州市政府采购网“政府采购合同信用融资”专栏。</w:t>
      </w:r>
    </w:p>
    <w:p>
      <w:pPr>
        <w:keepNext/>
        <w:keepLines/>
        <w:spacing w:line="48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4、合同公示</w:t>
      </w:r>
    </w:p>
    <w:p>
      <w:pPr>
        <w:spacing w:line="480" w:lineRule="exact"/>
        <w:ind w:firstLine="78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4.1采购合同将在签订之日起2个工作日内在指定媒体公示，涉及国家秘密、商业秘密的内容除外。</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p>
    <w:p>
      <w:pPr>
        <w:keepNext/>
        <w:ind w:firstLine="880"/>
        <w:jc w:val="center"/>
        <w:outlineLvl w:val="0"/>
        <w:rPr>
          <w:rFonts w:ascii="黑体" w:hAnsi="Times New Roman" w:eastAsia="黑体"/>
          <w:bCs/>
          <w:color w:val="000000" w:themeColor="text1"/>
          <w:sz w:val="44"/>
          <w:szCs w:val="28"/>
          <w14:textFill>
            <w14:solidFill>
              <w14:schemeClr w14:val="tx1"/>
            </w14:solidFill>
          </w14:textFill>
        </w:rPr>
      </w:pPr>
      <w:bookmarkStart w:id="193" w:name="_Toc228349835"/>
      <w:r>
        <w:rPr>
          <w:rFonts w:hint="eastAsia" w:ascii="黑体" w:hAnsi="Times New Roman" w:eastAsia="黑体"/>
          <w:bCs/>
          <w:color w:val="000000" w:themeColor="text1"/>
          <w:sz w:val="44"/>
          <w:szCs w:val="28"/>
          <w14:textFill>
            <w14:solidFill>
              <w14:schemeClr w14:val="tx1"/>
            </w14:solidFill>
          </w14:textFill>
        </w:rPr>
        <w:t>第三章  合同</w:t>
      </w:r>
      <w:bookmarkEnd w:id="188"/>
      <w:bookmarkEnd w:id="189"/>
      <w:bookmarkEnd w:id="190"/>
      <w:bookmarkEnd w:id="191"/>
      <w:bookmarkEnd w:id="192"/>
      <w:r>
        <w:rPr>
          <w:rFonts w:hint="eastAsia" w:ascii="黑体" w:hAnsi="Times New Roman" w:eastAsia="黑体"/>
          <w:bCs/>
          <w:color w:val="000000" w:themeColor="text1"/>
          <w:sz w:val="44"/>
          <w:szCs w:val="28"/>
          <w14:textFill>
            <w14:solidFill>
              <w14:schemeClr w14:val="tx1"/>
            </w14:solidFill>
          </w14:textFill>
        </w:rPr>
        <w:t>文本</w:t>
      </w:r>
      <w:bookmarkEnd w:id="193"/>
    </w:p>
    <w:p>
      <w:pPr>
        <w:spacing w:line="660" w:lineRule="exact"/>
        <w:ind w:left="6241" w:right="-27"/>
        <w:jc w:val="center"/>
        <w:rPr>
          <w:rFonts w:ascii="宋体" w:hAnsi="宋体" w:cs="宋体"/>
          <w:bCs/>
          <w:color w:val="000000"/>
          <w:sz w:val="24"/>
          <w:szCs w:val="24"/>
        </w:rPr>
      </w:pPr>
      <w:bookmarkStart w:id="194" w:name="_Hlt16619369"/>
      <w:bookmarkEnd w:id="194"/>
      <w:bookmarkStart w:id="195" w:name="_Hlt16619350"/>
      <w:bookmarkStart w:id="196" w:name="_Toc20823346"/>
      <w:bookmarkStart w:id="197" w:name="_Toc120614244"/>
      <w:bookmarkStart w:id="198" w:name="_Toc16938590"/>
      <w:bookmarkStart w:id="199" w:name="_Toc462564139"/>
      <w:bookmarkStart w:id="200" w:name="_Toc479757211"/>
      <w:r>
        <w:rPr>
          <w:rFonts w:hint="eastAsia" w:ascii="宋体" w:hAnsi="宋体" w:cs="宋体"/>
          <w:bCs/>
          <w:color w:val="000000"/>
          <w:sz w:val="24"/>
          <w:szCs w:val="24"/>
          <w:lang w:bidi="ar"/>
        </w:rPr>
        <w:t xml:space="preserve">         编号：</w:t>
      </w:r>
    </w:p>
    <w:p>
      <w:pPr>
        <w:spacing w:line="440" w:lineRule="exact"/>
        <w:ind w:left="6241" w:right="-27"/>
        <w:jc w:val="right"/>
        <w:rPr>
          <w:rFonts w:ascii="宋体" w:hAnsi="宋体" w:cs="宋体"/>
          <w:bCs/>
          <w:color w:val="000000"/>
          <w:sz w:val="24"/>
          <w:szCs w:val="24"/>
        </w:rPr>
      </w:pPr>
      <w:r>
        <w:rPr>
          <w:rFonts w:hint="eastAsia" w:ascii="宋体" w:hAnsi="宋体" w:cs="宋体"/>
          <w:bCs/>
          <w:color w:val="000000"/>
          <w:sz w:val="24"/>
          <w:szCs w:val="24"/>
          <w:lang w:bidi="ar"/>
        </w:rPr>
        <w:t>签订地点：常熟市</w:t>
      </w:r>
    </w:p>
    <w:p>
      <w:pPr>
        <w:tabs>
          <w:tab w:val="left" w:pos="0"/>
        </w:tabs>
        <w:spacing w:line="440" w:lineRule="exact"/>
        <w:ind w:right="-27"/>
        <w:rPr>
          <w:rFonts w:ascii="宋体" w:hAnsi="宋体" w:cs="宋体"/>
          <w:bCs/>
          <w:color w:val="000000"/>
          <w:sz w:val="24"/>
          <w:szCs w:val="24"/>
        </w:rPr>
      </w:pPr>
    </w:p>
    <w:p>
      <w:pPr>
        <w:tabs>
          <w:tab w:val="left" w:pos="0"/>
        </w:tabs>
        <w:spacing w:line="440" w:lineRule="exact"/>
        <w:ind w:right="-27" w:firstLine="240"/>
        <w:rPr>
          <w:rFonts w:ascii="宋体" w:hAnsi="宋体" w:cs="宋体"/>
          <w:bCs/>
          <w:color w:val="000000"/>
          <w:sz w:val="24"/>
          <w:szCs w:val="24"/>
        </w:rPr>
      </w:pPr>
      <w:r>
        <w:rPr>
          <w:rFonts w:hint="eastAsia" w:ascii="宋体" w:hAnsi="宋体" w:cs="宋体"/>
          <w:bCs/>
          <w:color w:val="000000"/>
          <w:sz w:val="24"/>
          <w:szCs w:val="24"/>
          <w:lang w:bidi="ar"/>
        </w:rPr>
        <w:t>甲方：</w:t>
      </w:r>
      <w:r>
        <w:rPr>
          <w:rFonts w:hint="eastAsia" w:ascii="宋体" w:hAnsi="宋体" w:cs="宋体"/>
          <w:bCs/>
          <w:color w:val="000000"/>
          <w:sz w:val="24"/>
          <w:szCs w:val="24"/>
          <w:u w:val="single"/>
          <w:lang w:bidi="ar"/>
        </w:rPr>
        <w:t xml:space="preserve">苏州工学院   </w:t>
      </w:r>
    </w:p>
    <w:p>
      <w:pPr>
        <w:tabs>
          <w:tab w:val="left" w:pos="0"/>
        </w:tabs>
        <w:spacing w:line="480" w:lineRule="exact"/>
        <w:ind w:right="-27" w:firstLine="240"/>
        <w:rPr>
          <w:rFonts w:ascii="宋体" w:hAnsi="宋体" w:cs="宋体"/>
          <w:bCs/>
          <w:color w:val="000000"/>
          <w:sz w:val="24"/>
          <w:szCs w:val="24"/>
          <w:u w:val="single"/>
        </w:rPr>
      </w:pPr>
      <w:r>
        <w:rPr>
          <w:rFonts w:hint="eastAsia" w:ascii="宋体" w:hAnsi="宋体" w:cs="宋体"/>
          <w:bCs/>
          <w:color w:val="000000"/>
          <w:sz w:val="24"/>
          <w:szCs w:val="24"/>
          <w:lang w:bidi="ar"/>
        </w:rPr>
        <w:t>乙方：</w:t>
      </w:r>
      <w:r>
        <w:rPr>
          <w:rFonts w:hint="eastAsia" w:ascii="宋体" w:hAnsi="宋体" w:cs="宋体"/>
          <w:bCs/>
          <w:color w:val="000000"/>
          <w:sz w:val="24"/>
          <w:szCs w:val="24"/>
          <w:u w:val="single"/>
          <w:lang w:bidi="ar"/>
        </w:rPr>
        <w:t xml:space="preserve">                                </w:t>
      </w:r>
    </w:p>
    <w:p>
      <w:pPr>
        <w:spacing w:line="440" w:lineRule="exact"/>
        <w:ind w:firstLine="240"/>
        <w:rPr>
          <w:bCs/>
          <w:color w:val="000000"/>
          <w:sz w:val="24"/>
          <w:szCs w:val="24"/>
        </w:rPr>
      </w:pPr>
      <w:r>
        <w:rPr>
          <w:rFonts w:hint="eastAsia" w:cs="宋体"/>
          <w:bCs/>
          <w:color w:val="000000"/>
          <w:sz w:val="24"/>
          <w:szCs w:val="24"/>
          <w:lang w:bidi="ar"/>
        </w:rPr>
        <w:t>信用融资回款账户：</w:t>
      </w:r>
      <w:r>
        <w:rPr>
          <w:bCs/>
          <w:color w:val="000000"/>
          <w:sz w:val="24"/>
          <w:szCs w:val="24"/>
          <w:u w:val="single"/>
          <w:lang w:bidi="ar"/>
        </w:rPr>
        <w:t xml:space="preserve">                               </w:t>
      </w:r>
      <w:r>
        <w:rPr>
          <w:rFonts w:hint="eastAsia" w:cs="宋体"/>
          <w:bCs/>
          <w:color w:val="000000"/>
          <w:sz w:val="24"/>
          <w:szCs w:val="24"/>
          <w:lang w:bidi="ar"/>
        </w:rPr>
        <w:t>（如无可不填写）</w:t>
      </w:r>
    </w:p>
    <w:p>
      <w:pPr>
        <w:tabs>
          <w:tab w:val="left" w:pos="0"/>
        </w:tabs>
        <w:spacing w:line="440" w:lineRule="exact"/>
        <w:ind w:right="-27" w:firstLine="240"/>
        <w:rPr>
          <w:rFonts w:ascii="宋体" w:hAnsi="宋体" w:cs="宋体"/>
          <w:bCs/>
          <w:color w:val="000000"/>
          <w:sz w:val="24"/>
          <w:szCs w:val="24"/>
        </w:rPr>
      </w:pPr>
      <w:r>
        <w:rPr>
          <w:rFonts w:hint="eastAsia" w:ascii="宋体" w:hAnsi="宋体" w:cs="宋体"/>
          <w:bCs/>
          <w:color w:val="000000"/>
          <w:sz w:val="24"/>
          <w:szCs w:val="24"/>
          <w:lang w:bidi="ar"/>
        </w:rPr>
        <w:t>开户银行：</w:t>
      </w:r>
      <w:r>
        <w:rPr>
          <w:rFonts w:hint="eastAsia" w:ascii="宋体" w:hAnsi="宋体" w:cs="宋体"/>
          <w:bCs/>
          <w:color w:val="000000"/>
          <w:sz w:val="24"/>
          <w:szCs w:val="24"/>
          <w:u w:val="single"/>
          <w:lang w:bidi="ar"/>
        </w:rPr>
        <w:t xml:space="preserve">                                       </w:t>
      </w:r>
      <w:r>
        <w:rPr>
          <w:rFonts w:hint="eastAsia" w:ascii="宋体" w:hAnsi="宋体" w:cs="宋体"/>
          <w:bCs/>
          <w:color w:val="000000"/>
          <w:sz w:val="24"/>
          <w:szCs w:val="24"/>
          <w:lang w:bidi="ar"/>
        </w:rPr>
        <w:t xml:space="preserve"> </w:t>
      </w:r>
    </w:p>
    <w:p>
      <w:pPr>
        <w:spacing w:line="360" w:lineRule="auto"/>
        <w:jc w:val="left"/>
        <w:rPr>
          <w:rFonts w:ascii="宋体" w:hAnsi="宋体" w:cs="仿宋_GB2312"/>
          <w:sz w:val="24"/>
          <w:szCs w:val="20"/>
        </w:rPr>
      </w:pPr>
    </w:p>
    <w:p>
      <w:pPr>
        <w:spacing w:line="480" w:lineRule="exact"/>
        <w:ind w:firstLine="470"/>
        <w:rPr>
          <w:rFonts w:ascii="Times New Roman" w:hAnsi="Times New Roman" w:cs="宋体"/>
          <w:bCs/>
          <w:sz w:val="24"/>
          <w:szCs w:val="20"/>
          <w:lang w:bidi="ar"/>
        </w:rPr>
      </w:pPr>
      <w:r>
        <w:rPr>
          <w:rFonts w:hint="eastAsia" w:ascii="Times New Roman" w:hAnsi="Times New Roman" w:cs="宋体"/>
          <w:bCs/>
          <w:sz w:val="24"/>
          <w:szCs w:val="20"/>
          <w:lang w:bidi="ar"/>
        </w:rPr>
        <w:t>根据《中华人民共和国政府采购法》及其实施条例、《中华人民共和国民法典》等法律法规的规定，甲乙双方按照</w:t>
      </w:r>
      <w:r>
        <w:rPr>
          <w:rFonts w:hint="eastAsia" w:ascii="Times New Roman" w:hAnsi="Times New Roman" w:cs="宋体"/>
          <w:bCs/>
          <w:sz w:val="24"/>
          <w:szCs w:val="20"/>
          <w:u w:val="single"/>
          <w:lang w:bidi="ar"/>
        </w:rPr>
        <w:t>苏州工学院社会车辆租赁服务</w:t>
      </w:r>
      <w:r>
        <w:rPr>
          <w:rFonts w:hint="eastAsia" w:ascii="Times New Roman" w:hAnsi="Times New Roman" w:cs="宋体"/>
          <w:bCs/>
          <w:sz w:val="24"/>
          <w:szCs w:val="20"/>
          <w:lang w:bidi="ar"/>
        </w:rPr>
        <w:t>项目（项目编号：（</w:t>
      </w:r>
      <w:r>
        <w:rPr>
          <w:rFonts w:hint="eastAsia" w:ascii="Times New Roman" w:hAnsi="Times New Roman" w:cs="宋体"/>
          <w:bCs/>
          <w:sz w:val="24"/>
          <w:szCs w:val="20"/>
          <w:u w:val="single"/>
          <w:lang w:eastAsia="zh-CN" w:bidi="ar"/>
        </w:rPr>
        <w:t>JSZC-320581-SZXY-G2026-0016</w:t>
      </w:r>
      <w:r>
        <w:rPr>
          <w:rFonts w:hint="eastAsia" w:ascii="Times New Roman" w:hAnsi="Times New Roman" w:cs="宋体"/>
          <w:bCs/>
          <w:sz w:val="24"/>
          <w:szCs w:val="20"/>
          <w:lang w:bidi="ar"/>
        </w:rPr>
        <w:t>）（标段</w:t>
      </w:r>
      <w:r>
        <w:rPr>
          <w:rFonts w:hint="eastAsia" w:ascii="Times New Roman" w:hAnsi="Times New Roman" w:cs="宋体"/>
          <w:bCs/>
          <w:sz w:val="24"/>
          <w:szCs w:val="20"/>
          <w:u w:val="single"/>
          <w:lang w:bidi="ar"/>
        </w:rPr>
        <w:t xml:space="preserve">      </w:t>
      </w:r>
      <w:r>
        <w:rPr>
          <w:rFonts w:hint="eastAsia" w:ascii="Times New Roman" w:hAnsi="Times New Roman" w:cs="宋体"/>
          <w:bCs/>
          <w:sz w:val="24"/>
          <w:szCs w:val="20"/>
          <w:lang w:bidi="ar"/>
        </w:rPr>
        <w:t>）政府采购结果签订本合同。</w:t>
      </w:r>
    </w:p>
    <w:p>
      <w:pPr>
        <w:spacing w:line="480" w:lineRule="exact"/>
        <w:ind w:firstLine="472"/>
        <w:rPr>
          <w:b/>
          <w:sz w:val="24"/>
          <w:szCs w:val="20"/>
        </w:rPr>
      </w:pPr>
      <w:r>
        <w:rPr>
          <w:rFonts w:hint="eastAsia" w:ascii="Times New Roman" w:hAnsi="Times New Roman" w:cs="宋体"/>
          <w:b/>
          <w:sz w:val="24"/>
          <w:szCs w:val="20"/>
          <w:lang w:bidi="ar"/>
        </w:rPr>
        <w:t>第一条</w:t>
      </w:r>
      <w:r>
        <w:rPr>
          <w:rFonts w:ascii="Times New Roman" w:hAnsi="Times New Roman"/>
          <w:b/>
          <w:sz w:val="24"/>
          <w:szCs w:val="20"/>
          <w:lang w:bidi="ar"/>
        </w:rPr>
        <w:t xml:space="preserve">  </w:t>
      </w:r>
      <w:r>
        <w:rPr>
          <w:rFonts w:hint="eastAsia" w:ascii="Times New Roman" w:hAnsi="Times New Roman" w:cs="宋体"/>
          <w:b/>
          <w:sz w:val="24"/>
          <w:szCs w:val="20"/>
          <w:lang w:bidi="ar"/>
        </w:rPr>
        <w:t>定义</w:t>
      </w:r>
    </w:p>
    <w:p>
      <w:pPr>
        <w:spacing w:line="440" w:lineRule="exact"/>
        <w:ind w:firstLine="480"/>
        <w:rPr>
          <w:sz w:val="24"/>
          <w:szCs w:val="20"/>
        </w:rPr>
      </w:pPr>
      <w:r>
        <w:rPr>
          <w:rFonts w:hint="eastAsia"/>
          <w:sz w:val="24"/>
          <w:szCs w:val="20"/>
        </w:rPr>
        <w:t>除非另有特别解释或说明，本合同有关词语应按如下定义解释：</w:t>
      </w:r>
    </w:p>
    <w:p>
      <w:pPr>
        <w:spacing w:line="480" w:lineRule="exact"/>
        <w:ind w:firstLine="480"/>
        <w:rPr>
          <w:rFonts w:ascii="Times New Roman" w:hAnsi="Times New Roman" w:cs="宋体"/>
          <w:sz w:val="24"/>
          <w:szCs w:val="20"/>
          <w:lang w:bidi="ar"/>
        </w:rPr>
      </w:pPr>
      <w:r>
        <w:rPr>
          <w:rFonts w:hint="eastAsia" w:ascii="Times New Roman" w:hAnsi="Times New Roman" w:cs="宋体"/>
          <w:sz w:val="24"/>
          <w:szCs w:val="20"/>
          <w:lang w:bidi="ar"/>
        </w:rPr>
        <w:t>1、合同：甲乙双方签署的，与本项目相关的合同书、附件、附录、其他文件以及政府采购程序中的全部文件。</w:t>
      </w:r>
    </w:p>
    <w:p>
      <w:pPr>
        <w:spacing w:line="480" w:lineRule="exact"/>
        <w:ind w:firstLine="480"/>
        <w:rPr>
          <w:rFonts w:ascii="Times New Roman" w:hAnsi="Times New Roman" w:cs="宋体"/>
          <w:sz w:val="24"/>
          <w:szCs w:val="20"/>
          <w:lang w:bidi="ar"/>
        </w:rPr>
      </w:pPr>
      <w:r>
        <w:rPr>
          <w:rFonts w:hint="eastAsia" w:ascii="Times New Roman" w:hAnsi="Times New Roman" w:cs="宋体"/>
          <w:sz w:val="24"/>
          <w:szCs w:val="20"/>
          <w:lang w:bidi="ar"/>
        </w:rPr>
        <w:t>2、甲方：购买本合同项下服务的苏州工学院。</w:t>
      </w:r>
    </w:p>
    <w:p>
      <w:pPr>
        <w:spacing w:line="480" w:lineRule="exact"/>
        <w:ind w:firstLine="480"/>
        <w:rPr>
          <w:rFonts w:ascii="Times New Roman" w:hAnsi="Times New Roman" w:cs="宋体"/>
          <w:sz w:val="24"/>
          <w:szCs w:val="20"/>
          <w:lang w:bidi="ar"/>
        </w:rPr>
      </w:pPr>
      <w:r>
        <w:rPr>
          <w:rFonts w:hint="eastAsia" w:ascii="Times New Roman" w:hAnsi="Times New Roman" w:cs="宋体"/>
          <w:sz w:val="24"/>
          <w:szCs w:val="20"/>
          <w:lang w:bidi="ar"/>
        </w:rPr>
        <w:t>3、乙方：提供本合同项下服务的法人、其他组织或自然人。</w:t>
      </w:r>
    </w:p>
    <w:p>
      <w:pPr>
        <w:spacing w:line="480" w:lineRule="exact"/>
        <w:ind w:firstLine="480"/>
        <w:rPr>
          <w:rFonts w:ascii="Times New Roman" w:hAnsi="Times New Roman" w:cs="宋体"/>
          <w:sz w:val="24"/>
          <w:szCs w:val="20"/>
          <w:lang w:bidi="ar"/>
        </w:rPr>
      </w:pPr>
      <w:r>
        <w:rPr>
          <w:rFonts w:hint="eastAsia" w:ascii="Times New Roman" w:hAnsi="Times New Roman" w:cs="宋体"/>
          <w:sz w:val="24"/>
          <w:szCs w:val="20"/>
          <w:lang w:bidi="ar"/>
        </w:rPr>
        <w:t>4、货物：根据合同规定乙方为完成本项目应向甲方提供的一切货物及备件、工具、手册、技术资料及其他材料。</w:t>
      </w:r>
    </w:p>
    <w:p>
      <w:pPr>
        <w:spacing w:line="480" w:lineRule="exact"/>
        <w:ind w:firstLine="480"/>
        <w:rPr>
          <w:rFonts w:ascii="Times New Roman" w:hAnsi="Times New Roman" w:cs="宋体"/>
          <w:sz w:val="24"/>
          <w:szCs w:val="20"/>
          <w:lang w:bidi="ar"/>
        </w:rPr>
      </w:pPr>
      <w:r>
        <w:rPr>
          <w:rFonts w:hint="eastAsia" w:ascii="Times New Roman" w:hAnsi="Times New Roman" w:cs="宋体"/>
          <w:sz w:val="24"/>
          <w:szCs w:val="20"/>
          <w:lang w:bidi="ar"/>
        </w:rPr>
        <w:t>5、服务：根据合同规定乙方承担的与货物有关的辅助服务，包括但不限于货物的运输、保险、伴随服务（如安装、调试、测试、提供技术指导和支持、培训等）、售后服务及其他所有应由乙方承担的类似义务。</w:t>
      </w:r>
    </w:p>
    <w:p>
      <w:pPr>
        <w:spacing w:line="480" w:lineRule="exact"/>
        <w:ind w:firstLine="480"/>
        <w:rPr>
          <w:rFonts w:ascii="Times New Roman" w:hAnsi="Times New Roman" w:cs="宋体"/>
          <w:sz w:val="24"/>
          <w:szCs w:val="20"/>
          <w:lang w:bidi="ar"/>
        </w:rPr>
      </w:pPr>
      <w:r>
        <w:rPr>
          <w:rFonts w:hint="eastAsia" w:ascii="Times New Roman" w:hAnsi="Times New Roman" w:cs="宋体"/>
          <w:sz w:val="24"/>
          <w:szCs w:val="20"/>
          <w:lang w:bidi="ar"/>
        </w:rPr>
        <w:t>6、合同总价：根据合同规定乙方在正确、及时、全面履行合同义务后甲方应支付给乙方的价款，包含了甲方购买货物及其相关服务的一切费用，包括但不限于货物本身的价值金额、乙方的利润、增值税及其他乙方应缴的税金</w:t>
      </w:r>
      <w:r>
        <w:rPr>
          <w:rFonts w:ascii="Times New Roman" w:hAnsi="Times New Roman" w:cs="宋体"/>
          <w:sz w:val="24"/>
          <w:szCs w:val="20"/>
          <w:lang w:bidi="ar"/>
        </w:rPr>
        <w:t>/</w:t>
      </w:r>
      <w:r>
        <w:rPr>
          <w:rFonts w:hint="eastAsia" w:ascii="Times New Roman" w:hAnsi="Times New Roman" w:cs="宋体"/>
          <w:sz w:val="24"/>
          <w:szCs w:val="20"/>
          <w:lang w:bidi="ar"/>
        </w:rPr>
        <w:t>安装费</w:t>
      </w:r>
      <w:r>
        <w:rPr>
          <w:rFonts w:ascii="Times New Roman" w:hAnsi="Times New Roman" w:cs="宋体"/>
          <w:sz w:val="24"/>
          <w:szCs w:val="20"/>
          <w:lang w:bidi="ar"/>
        </w:rPr>
        <w:t>/</w:t>
      </w:r>
      <w:r>
        <w:rPr>
          <w:rFonts w:hint="eastAsia" w:ascii="Times New Roman" w:hAnsi="Times New Roman" w:cs="宋体"/>
          <w:sz w:val="24"/>
          <w:szCs w:val="20"/>
          <w:lang w:bidi="ar"/>
        </w:rPr>
        <w:t>调试费</w:t>
      </w:r>
      <w:r>
        <w:rPr>
          <w:rFonts w:ascii="Times New Roman" w:hAnsi="Times New Roman" w:cs="宋体"/>
          <w:sz w:val="24"/>
          <w:szCs w:val="20"/>
          <w:lang w:bidi="ar"/>
        </w:rPr>
        <w:t>/</w:t>
      </w:r>
      <w:r>
        <w:rPr>
          <w:rFonts w:hint="eastAsia" w:ascii="Times New Roman" w:hAnsi="Times New Roman" w:cs="宋体"/>
          <w:sz w:val="24"/>
          <w:szCs w:val="20"/>
          <w:lang w:bidi="ar"/>
        </w:rPr>
        <w:t>人工费</w:t>
      </w:r>
      <w:r>
        <w:rPr>
          <w:rFonts w:ascii="Times New Roman" w:hAnsi="Times New Roman" w:cs="宋体"/>
          <w:sz w:val="24"/>
          <w:szCs w:val="20"/>
          <w:lang w:bidi="ar"/>
        </w:rPr>
        <w:t>/</w:t>
      </w:r>
      <w:r>
        <w:rPr>
          <w:rFonts w:hint="eastAsia" w:ascii="Times New Roman" w:hAnsi="Times New Roman" w:cs="宋体"/>
          <w:sz w:val="24"/>
          <w:szCs w:val="20"/>
          <w:lang w:bidi="ar"/>
        </w:rPr>
        <w:t>技术支持与培训费</w:t>
      </w:r>
      <w:r>
        <w:rPr>
          <w:rFonts w:ascii="Times New Roman" w:hAnsi="Times New Roman" w:cs="宋体"/>
          <w:sz w:val="24"/>
          <w:szCs w:val="20"/>
          <w:lang w:bidi="ar"/>
        </w:rPr>
        <w:t>/</w:t>
      </w:r>
      <w:r>
        <w:rPr>
          <w:rFonts w:hint="eastAsia" w:ascii="Times New Roman" w:hAnsi="Times New Roman" w:cs="宋体"/>
          <w:sz w:val="24"/>
          <w:szCs w:val="20"/>
          <w:lang w:bidi="ar"/>
        </w:rPr>
        <w:t>运输装卸费</w:t>
      </w:r>
      <w:r>
        <w:rPr>
          <w:rFonts w:ascii="Times New Roman" w:hAnsi="Times New Roman" w:cs="宋体"/>
          <w:sz w:val="24"/>
          <w:szCs w:val="20"/>
          <w:lang w:bidi="ar"/>
        </w:rPr>
        <w:t>/</w:t>
      </w:r>
      <w:r>
        <w:rPr>
          <w:rFonts w:hint="eastAsia" w:ascii="Times New Roman" w:hAnsi="Times New Roman" w:cs="宋体"/>
          <w:sz w:val="24"/>
          <w:szCs w:val="20"/>
          <w:lang w:bidi="ar"/>
        </w:rPr>
        <w:t>保险费用</w:t>
      </w:r>
      <w:r>
        <w:rPr>
          <w:rFonts w:ascii="Times New Roman" w:hAnsi="Times New Roman" w:cs="宋体"/>
          <w:sz w:val="24"/>
          <w:szCs w:val="20"/>
          <w:lang w:bidi="ar"/>
        </w:rPr>
        <w:t>/</w:t>
      </w:r>
      <w:r>
        <w:rPr>
          <w:rFonts w:hint="eastAsia" w:ascii="Times New Roman" w:hAnsi="Times New Roman" w:cs="宋体"/>
          <w:sz w:val="24"/>
          <w:szCs w:val="20"/>
          <w:lang w:bidi="ar"/>
        </w:rPr>
        <w:t>样品费用等一切费用，乙方不得以任何理由要求甲方（或集中建设单位）支付任何额外的费用。</w:t>
      </w:r>
    </w:p>
    <w:p>
      <w:pPr>
        <w:spacing w:line="480" w:lineRule="exact"/>
        <w:ind w:firstLine="472"/>
        <w:rPr>
          <w:b/>
          <w:sz w:val="24"/>
          <w:szCs w:val="20"/>
        </w:rPr>
      </w:pPr>
      <w:r>
        <w:rPr>
          <w:rFonts w:hint="eastAsia" w:ascii="Times New Roman" w:hAnsi="Times New Roman" w:cs="宋体"/>
          <w:b/>
          <w:sz w:val="24"/>
          <w:szCs w:val="20"/>
          <w:lang w:bidi="ar"/>
        </w:rPr>
        <w:t>第二条</w:t>
      </w:r>
      <w:r>
        <w:rPr>
          <w:rFonts w:ascii="Times New Roman" w:hAnsi="Times New Roman"/>
          <w:b/>
          <w:sz w:val="24"/>
          <w:szCs w:val="20"/>
          <w:lang w:bidi="ar"/>
        </w:rPr>
        <w:t xml:space="preserve">  </w:t>
      </w:r>
      <w:r>
        <w:rPr>
          <w:rFonts w:hint="eastAsia" w:ascii="Times New Roman" w:hAnsi="Times New Roman" w:cs="宋体"/>
          <w:b/>
          <w:sz w:val="24"/>
          <w:szCs w:val="20"/>
          <w:lang w:bidi="ar"/>
        </w:rPr>
        <w:t>组成本合同的文件</w:t>
      </w:r>
    </w:p>
    <w:p>
      <w:pPr>
        <w:spacing w:line="480" w:lineRule="exact"/>
        <w:ind w:firstLine="480"/>
        <w:rPr>
          <w:sz w:val="24"/>
          <w:szCs w:val="20"/>
        </w:rPr>
      </w:pPr>
      <w:r>
        <w:rPr>
          <w:rFonts w:hint="eastAsia" w:ascii="Times New Roman" w:hAnsi="Times New Roman" w:cs="宋体"/>
          <w:sz w:val="24"/>
          <w:szCs w:val="20"/>
          <w:lang w:bidi="ar"/>
        </w:rPr>
        <w:t>1、下列文件是组成本合同的不可分割的部分：（</w:t>
      </w:r>
      <w:r>
        <w:rPr>
          <w:rFonts w:ascii="Times New Roman" w:hAnsi="Times New Roman"/>
          <w:sz w:val="24"/>
          <w:szCs w:val="20"/>
          <w:lang w:bidi="ar"/>
        </w:rPr>
        <w:t>1</w:t>
      </w:r>
      <w:r>
        <w:rPr>
          <w:rFonts w:hint="eastAsia" w:ascii="Times New Roman" w:hAnsi="Times New Roman" w:cs="宋体"/>
          <w:sz w:val="24"/>
          <w:szCs w:val="20"/>
          <w:lang w:bidi="ar"/>
        </w:rPr>
        <w:t>）苏州工学院</w:t>
      </w:r>
      <w:r>
        <w:rPr>
          <w:rFonts w:hint="eastAsia" w:ascii="Times New Roman" w:hAnsi="Times New Roman" w:cs="宋体"/>
          <w:sz w:val="24"/>
          <w:szCs w:val="20"/>
          <w:u w:val="single"/>
          <w:lang w:eastAsia="zh-CN" w:bidi="ar"/>
        </w:rPr>
        <w:t>JSZC-320581-SZXY-G2026-0016</w:t>
      </w:r>
      <w:r>
        <w:rPr>
          <w:rFonts w:ascii="Times New Roman" w:hAnsi="Times New Roman"/>
          <w:sz w:val="24"/>
          <w:szCs w:val="20"/>
          <w:u w:val="single"/>
          <w:lang w:bidi="ar"/>
        </w:rPr>
        <w:t xml:space="preserve"> </w:t>
      </w:r>
      <w:r>
        <w:rPr>
          <w:rFonts w:hint="eastAsia" w:ascii="Times New Roman" w:hAnsi="Times New Roman" w:cs="宋体"/>
          <w:sz w:val="24"/>
          <w:szCs w:val="20"/>
          <w:lang w:bidi="ar"/>
        </w:rPr>
        <w:t>号招标文件；（</w:t>
      </w:r>
      <w:r>
        <w:rPr>
          <w:rFonts w:ascii="Times New Roman" w:hAnsi="Times New Roman"/>
          <w:sz w:val="24"/>
          <w:szCs w:val="20"/>
          <w:lang w:bidi="ar"/>
        </w:rPr>
        <w:t>2</w:t>
      </w:r>
      <w:r>
        <w:rPr>
          <w:rFonts w:hint="eastAsia" w:ascii="Times New Roman" w:hAnsi="Times New Roman" w:cs="宋体"/>
          <w:sz w:val="24"/>
          <w:szCs w:val="20"/>
          <w:lang w:bidi="ar"/>
        </w:rPr>
        <w:t>）乙方提交的投标文件；（</w:t>
      </w:r>
      <w:r>
        <w:rPr>
          <w:rFonts w:ascii="Times New Roman" w:hAnsi="Times New Roman"/>
          <w:sz w:val="24"/>
          <w:szCs w:val="20"/>
          <w:lang w:bidi="ar"/>
        </w:rPr>
        <w:t>3</w:t>
      </w:r>
      <w:r>
        <w:rPr>
          <w:rFonts w:hint="eastAsia" w:ascii="Times New Roman" w:hAnsi="Times New Roman" w:cs="宋体"/>
          <w:sz w:val="24"/>
          <w:szCs w:val="20"/>
          <w:lang w:bidi="ar"/>
        </w:rPr>
        <w:t>）乙方所作的相关书面澄清；（</w:t>
      </w:r>
      <w:r>
        <w:rPr>
          <w:rFonts w:ascii="Times New Roman" w:hAnsi="Times New Roman"/>
          <w:sz w:val="24"/>
          <w:szCs w:val="20"/>
          <w:lang w:bidi="ar"/>
        </w:rPr>
        <w:t>4</w:t>
      </w:r>
      <w:r>
        <w:rPr>
          <w:rFonts w:hint="eastAsia" w:ascii="Times New Roman" w:hAnsi="Times New Roman" w:cs="宋体"/>
          <w:sz w:val="24"/>
          <w:szCs w:val="20"/>
          <w:lang w:bidi="ar"/>
        </w:rPr>
        <w:t>）中标通知书；（</w:t>
      </w:r>
      <w:r>
        <w:rPr>
          <w:rFonts w:ascii="Times New Roman" w:hAnsi="Times New Roman"/>
          <w:sz w:val="24"/>
          <w:szCs w:val="20"/>
          <w:lang w:bidi="ar"/>
        </w:rPr>
        <w:t>5</w:t>
      </w:r>
      <w:r>
        <w:rPr>
          <w:rFonts w:hint="eastAsia" w:ascii="Times New Roman" w:hAnsi="Times New Roman" w:cs="宋体"/>
          <w:sz w:val="24"/>
          <w:szCs w:val="20"/>
          <w:lang w:bidi="ar"/>
        </w:rPr>
        <w:t>）甲乙双方商定的其他必要文件。</w:t>
      </w:r>
    </w:p>
    <w:p>
      <w:pPr>
        <w:spacing w:line="480" w:lineRule="exact"/>
        <w:ind w:firstLine="480"/>
        <w:rPr>
          <w:rFonts w:ascii="Times New Roman" w:hAnsi="Times New Roman" w:cs="宋体"/>
          <w:sz w:val="24"/>
          <w:szCs w:val="20"/>
          <w:lang w:bidi="ar"/>
        </w:rPr>
      </w:pPr>
      <w:bookmarkStart w:id="201" w:name="_Hlk144021334"/>
      <w:r>
        <w:rPr>
          <w:rFonts w:hint="eastAsia" w:ascii="Times New Roman" w:hAnsi="Times New Roman" w:cs="宋体"/>
          <w:sz w:val="24"/>
          <w:szCs w:val="20"/>
          <w:lang w:bidi="ar"/>
        </w:rPr>
        <w:t>2、上述文件之间如果出现不一致的，以甲方文件确定的内容为准，但乙方文件的内容对甲方更有利的，适用乙方文件。</w:t>
      </w:r>
    </w:p>
    <w:p>
      <w:pPr>
        <w:spacing w:line="480" w:lineRule="exact"/>
        <w:ind w:firstLine="480"/>
        <w:rPr>
          <w:rFonts w:ascii="Times New Roman" w:hAnsi="Times New Roman" w:cs="宋体"/>
          <w:b/>
          <w:sz w:val="24"/>
          <w:szCs w:val="20"/>
          <w:lang w:bidi="ar"/>
        </w:rPr>
      </w:pPr>
      <w:r>
        <w:rPr>
          <w:rFonts w:hint="eastAsia" w:ascii="Times New Roman" w:hAnsi="Times New Roman" w:cs="宋体"/>
          <w:sz w:val="24"/>
          <w:szCs w:val="20"/>
          <w:lang w:bidi="ar"/>
        </w:rPr>
        <w:t>3、乙方文件应当符合采购文件确定的原则，如果乙方文件中的表述，形式上符合招标文件原则，但具体内容对甲方不利、对乙方有利的，视为背离采购文件，不予适用。</w:t>
      </w:r>
      <w:bookmarkEnd w:id="201"/>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第三条 合同内容</w:t>
      </w:r>
    </w:p>
    <w:p>
      <w:pPr>
        <w:tabs>
          <w:tab w:val="left" w:pos="0"/>
        </w:tabs>
        <w:spacing w:line="420" w:lineRule="exact"/>
        <w:ind w:right="-27" w:firstLine="480"/>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1、服务内容：</w:t>
      </w:r>
      <w:r>
        <w:rPr>
          <w:rFonts w:hint="eastAsia" w:ascii="Times New Roman" w:hAnsi="Times New Roman"/>
          <w:color w:val="000000" w:themeColor="text1"/>
          <w:sz w:val="24"/>
          <w:szCs w:val="24"/>
          <w:u w:val="single"/>
          <w14:textFill>
            <w14:solidFill>
              <w14:schemeClr w14:val="tx1"/>
            </w14:solidFill>
          </w14:textFill>
        </w:rPr>
        <w:t>苏州工学院所需的苏州工学院社会车辆租赁服务</w:t>
      </w:r>
      <w:r>
        <w:rPr>
          <w:rFonts w:hint="eastAsia" w:ascii="宋体" w:hAnsi="宋体" w:cs="宋体"/>
          <w:bCs/>
          <w:color w:val="000000" w:themeColor="text1"/>
          <w:sz w:val="24"/>
          <w:szCs w:val="24"/>
          <w:u w:val="single"/>
          <w14:textFill>
            <w14:solidFill>
              <w14:schemeClr w14:val="tx1"/>
            </w14:solidFill>
          </w14:textFill>
        </w:rPr>
        <w:t>。</w:t>
      </w:r>
    </w:p>
    <w:p>
      <w:pPr>
        <w:tabs>
          <w:tab w:val="left" w:pos="0"/>
        </w:tabs>
        <w:spacing w:line="420" w:lineRule="exact"/>
        <w:ind w:right="-27" w:firstLine="480"/>
        <w:rPr>
          <w:rFonts w:ascii="宋体" w:hAnsi="宋体" w:cs="宋体"/>
          <w:bCs/>
          <w:sz w:val="24"/>
          <w:szCs w:val="24"/>
        </w:rPr>
      </w:pPr>
      <w:r>
        <w:rPr>
          <w:rFonts w:hint="eastAsia" w:ascii="宋体" w:hAnsi="宋体" w:cs="宋体"/>
          <w:bCs/>
          <w:sz w:val="24"/>
          <w:szCs w:val="24"/>
        </w:rPr>
        <w:t>2、服务范围：标段    。</w:t>
      </w:r>
    </w:p>
    <w:p>
      <w:pPr>
        <w:tabs>
          <w:tab w:val="left" w:pos="0"/>
        </w:tabs>
        <w:spacing w:line="440" w:lineRule="exact"/>
        <w:ind w:right="-27" w:firstLine="480"/>
        <w:rPr>
          <w:rFonts w:ascii="宋体" w:hAnsi="宋体" w:cs="宋体"/>
          <w:bCs/>
          <w:sz w:val="24"/>
          <w:szCs w:val="24"/>
        </w:rPr>
      </w:pPr>
      <w:r>
        <w:rPr>
          <w:rFonts w:hint="eastAsia" w:ascii="宋体" w:hAnsi="宋体" w:cs="宋体"/>
          <w:bCs/>
          <w:sz w:val="24"/>
          <w:szCs w:val="24"/>
        </w:rPr>
        <w:t>3、服务期限：</w:t>
      </w:r>
      <w:r>
        <w:rPr>
          <w:rFonts w:hint="eastAsia" w:ascii="宋体" w:hAnsi="宋体"/>
          <w:sz w:val="24"/>
          <w:szCs w:val="24"/>
        </w:rPr>
        <w:t>自签订合同之日起2年</w:t>
      </w:r>
      <w:r>
        <w:rPr>
          <w:rFonts w:hint="eastAsia" w:ascii="宋体" w:hAnsi="宋体" w:cs="宋体"/>
          <w:bCs/>
          <w:sz w:val="24"/>
          <w:szCs w:val="24"/>
        </w:rPr>
        <w:t>。 本期合同   年  月  日至  年  月  日</w:t>
      </w:r>
    </w:p>
    <w:p>
      <w:pPr>
        <w:tabs>
          <w:tab w:val="left" w:pos="0"/>
        </w:tabs>
        <w:spacing w:line="440" w:lineRule="exact"/>
        <w:ind w:right="-27" w:firstLine="480"/>
        <w:rPr>
          <w:rFonts w:ascii="宋体" w:hAnsi="宋体" w:cs="宋体"/>
          <w:bCs/>
          <w:sz w:val="24"/>
          <w:szCs w:val="24"/>
        </w:rPr>
      </w:pPr>
      <w:r>
        <w:rPr>
          <w:rFonts w:hint="eastAsia" w:ascii="宋体" w:hAnsi="宋体" w:cs="宋体"/>
          <w:bCs/>
          <w:sz w:val="24"/>
          <w:szCs w:val="24"/>
        </w:rPr>
        <w:t>4、乙方承诺上述服务由乙方自行完成，不转包予第三方完成。</w:t>
      </w:r>
    </w:p>
    <w:p>
      <w:pPr>
        <w:tabs>
          <w:tab w:val="left" w:pos="0"/>
        </w:tabs>
        <w:spacing w:line="440" w:lineRule="exact"/>
        <w:ind w:right="-27" w:firstLine="482"/>
        <w:rPr>
          <w:rFonts w:ascii="宋体" w:hAnsi="宋体" w:cs="宋体"/>
          <w:b/>
          <w:bCs/>
          <w:sz w:val="24"/>
          <w:szCs w:val="24"/>
        </w:rPr>
      </w:pPr>
      <w:r>
        <w:rPr>
          <w:rFonts w:hint="eastAsia" w:ascii="宋体" w:hAnsi="宋体" w:cs="宋体"/>
          <w:b/>
          <w:bCs/>
          <w:sz w:val="24"/>
          <w:szCs w:val="24"/>
        </w:rPr>
        <w:t>第四条 合同价款</w:t>
      </w:r>
    </w:p>
    <w:p>
      <w:pPr>
        <w:tabs>
          <w:tab w:val="left" w:pos="0"/>
        </w:tabs>
        <w:spacing w:line="440" w:lineRule="exact"/>
        <w:ind w:right="-27" w:firstLine="480"/>
        <w:rPr>
          <w:rFonts w:ascii="宋体" w:hAnsi="宋体" w:cs="宋体"/>
          <w:sz w:val="24"/>
          <w:szCs w:val="24"/>
        </w:rPr>
      </w:pPr>
      <w:r>
        <w:rPr>
          <w:rFonts w:hint="eastAsia" w:ascii="宋体" w:hAnsi="宋体" w:cs="宋体"/>
          <w:sz w:val="24"/>
          <w:szCs w:val="24"/>
        </w:rPr>
        <w:t>本项目下合同优惠率为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w:t>
      </w:r>
    </w:p>
    <w:p>
      <w:pPr>
        <w:tabs>
          <w:tab w:val="left" w:pos="0"/>
        </w:tabs>
        <w:spacing w:line="440" w:lineRule="exact"/>
        <w:ind w:right="-27" w:firstLine="480"/>
        <w:rPr>
          <w:rFonts w:ascii="宋体" w:hAnsi="宋体" w:cs="宋体"/>
          <w:sz w:val="24"/>
          <w:szCs w:val="24"/>
        </w:rPr>
      </w:pPr>
      <w:r>
        <w:rPr>
          <w:rFonts w:hint="eastAsia" w:ascii="宋体" w:hAnsi="宋体" w:cs="宋体"/>
          <w:sz w:val="24"/>
          <w:szCs w:val="24"/>
        </w:rPr>
        <w:t>结算方式：结算费用=各类车型校内用车服务最高单价限价*实际数量*（1-中标优惠率）</w:t>
      </w:r>
    </w:p>
    <w:p>
      <w:pPr>
        <w:tabs>
          <w:tab w:val="left" w:pos="0"/>
        </w:tabs>
        <w:spacing w:line="460" w:lineRule="exact"/>
        <w:ind w:right="-27" w:firstLine="482"/>
        <w:rPr>
          <w:rFonts w:ascii="宋体" w:hAnsi="宋体" w:cs="宋体"/>
          <w:b/>
          <w:bCs/>
          <w:sz w:val="24"/>
          <w:szCs w:val="24"/>
        </w:rPr>
      </w:pPr>
      <w:r>
        <w:rPr>
          <w:rFonts w:hint="eastAsia" w:ascii="宋体" w:hAnsi="宋体" w:cs="宋体"/>
          <w:b/>
          <w:bCs/>
          <w:sz w:val="24"/>
          <w:szCs w:val="24"/>
        </w:rPr>
        <w:t xml:space="preserve">第五条 付款方式 </w:t>
      </w:r>
    </w:p>
    <w:p>
      <w:pPr>
        <w:tabs>
          <w:tab w:val="left" w:pos="0"/>
        </w:tabs>
        <w:spacing w:line="42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1、承运方与采购人协商确定校内用车服务费用支付事项，签订采购合同。承运方与用车方按照合同约定的付款计划进行结算。结算时承运方需提供正规发票、用车明细表（需加盖承运方的公章）等凭证。</w:t>
      </w:r>
    </w:p>
    <w:p>
      <w:pPr>
        <w:tabs>
          <w:tab w:val="left" w:pos="0"/>
        </w:tabs>
        <w:spacing w:line="42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2、校内用车服务费用支付要严格执行学校财务相关制度，不得以现金方式支付。</w:t>
      </w:r>
    </w:p>
    <w:p>
      <w:pPr>
        <w:tabs>
          <w:tab w:val="left" w:pos="0"/>
        </w:tabs>
        <w:spacing w:line="42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3、用车方应在满足采购合同的结算条件下，自收到发票后30日内（或承运方和采购人双方约定时间），将校内用车服务费用支付到承运方账户。</w:t>
      </w:r>
    </w:p>
    <w:p>
      <w:pPr>
        <w:tabs>
          <w:tab w:val="left" w:pos="0"/>
        </w:tabs>
        <w:spacing w:line="42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注：（1）以上付款前，承运方均应提供符合采购人要求的同等金额的合法有效发票。否则，采购人有权顺延付款时间，且不承担任何违约及/或赔偿责任。</w:t>
      </w:r>
    </w:p>
    <w:p>
      <w:pPr>
        <w:tabs>
          <w:tab w:val="left" w:pos="0"/>
        </w:tabs>
        <w:spacing w:line="42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（2）本项目支付方式支持数字人民币方式。</w:t>
      </w:r>
    </w:p>
    <w:p>
      <w:pPr>
        <w:spacing w:line="440" w:lineRule="exact"/>
        <w:ind w:firstLine="472"/>
        <w:rPr>
          <w:b/>
          <w:sz w:val="24"/>
          <w:szCs w:val="24"/>
        </w:rPr>
      </w:pPr>
      <w:r>
        <w:rPr>
          <w:rFonts w:ascii="宋体" w:hAnsi="宋体"/>
          <w:b/>
          <w:sz w:val="24"/>
          <w:szCs w:val="24"/>
        </w:rPr>
        <w:t>第</w:t>
      </w:r>
      <w:r>
        <w:rPr>
          <w:rFonts w:hint="eastAsia" w:ascii="宋体" w:hAnsi="宋体"/>
          <w:b/>
          <w:sz w:val="24"/>
          <w:szCs w:val="24"/>
        </w:rPr>
        <w:t>六</w:t>
      </w:r>
      <w:r>
        <w:rPr>
          <w:rFonts w:ascii="宋体" w:hAnsi="宋体"/>
          <w:b/>
          <w:sz w:val="24"/>
          <w:szCs w:val="24"/>
        </w:rPr>
        <w:t>条</w:t>
      </w:r>
      <w:r>
        <w:rPr>
          <w:b/>
          <w:sz w:val="24"/>
          <w:szCs w:val="24"/>
        </w:rPr>
        <w:t xml:space="preserve">  </w:t>
      </w:r>
      <w:r>
        <w:rPr>
          <w:rFonts w:hint="eastAsia" w:ascii="宋体" w:hAnsi="宋体"/>
          <w:b/>
          <w:sz w:val="24"/>
          <w:szCs w:val="24"/>
        </w:rPr>
        <w:t>考核办法</w:t>
      </w:r>
    </w:p>
    <w:p>
      <w:pPr>
        <w:spacing w:line="440" w:lineRule="exact"/>
        <w:ind w:firstLine="480"/>
        <w:rPr>
          <w:sz w:val="24"/>
          <w:szCs w:val="24"/>
        </w:rPr>
      </w:pPr>
      <w:r>
        <w:rPr>
          <w:rFonts w:hint="eastAsia" w:ascii="Times New Roman" w:hAnsi="Times New Roman"/>
          <w:sz w:val="24"/>
          <w:szCs w:val="24"/>
          <w:lang w:bidi="ar"/>
        </w:rPr>
        <w:t>考核要求详见附件17。</w:t>
      </w:r>
    </w:p>
    <w:p>
      <w:pPr>
        <w:tabs>
          <w:tab w:val="left" w:pos="0"/>
          <w:tab w:val="left" w:pos="6983"/>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第七条 验收办法</w:t>
      </w:r>
      <w:r>
        <w:rPr>
          <w:rFonts w:ascii="宋体" w:hAnsi="宋体" w:cs="宋体"/>
          <w:b/>
          <w:bCs/>
          <w:color w:val="000000" w:themeColor="text1"/>
          <w:sz w:val="24"/>
          <w:szCs w:val="24"/>
          <w14:textFill>
            <w14:solidFill>
              <w14:schemeClr w14:val="tx1"/>
            </w14:solidFill>
          </w14:textFill>
        </w:rPr>
        <w:tab/>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1、甲方依法组织履约验收工作。</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2、甲方按照确定的验收方案或分期考核方案（包括履约验收的时间、方式、程序等内容），综合考核情况和服务效果进行验收。乙方应根据验收方案内容做好相应配合工作。</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3、对于实际使用人和甲方分离的项目，甲方邀请实际使用人参与验收。</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4、如有必要，甲方邀请参加本项目的其他投标人或第三方专业机构及专家参与验收，相关意见将作为验收书的参考资料。</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 验收合格的项目，甲方根据采购合同的约定及时向乙方支付合同款项、退还履约保证金（如有）。验收不合格的项目，甲方依法及时处理。</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第八条</w:t>
      </w:r>
      <w:r>
        <w:rPr>
          <w:rFonts w:ascii="宋体" w:hAnsi="宋体" w:cs="宋体"/>
          <w:b/>
          <w:bCs/>
          <w:color w:val="000000" w:themeColor="text1"/>
          <w:sz w:val="24"/>
          <w:szCs w:val="24"/>
          <w14:textFill>
            <w14:solidFill>
              <w14:schemeClr w14:val="tx1"/>
            </w14:solidFill>
          </w14:textFill>
        </w:rPr>
        <w:t xml:space="preserve">  </w:t>
      </w:r>
      <w:r>
        <w:rPr>
          <w:rFonts w:hint="eastAsia" w:ascii="宋体" w:hAnsi="宋体" w:cs="宋体"/>
          <w:b/>
          <w:bCs/>
          <w:color w:val="000000" w:themeColor="text1"/>
          <w:sz w:val="24"/>
          <w:szCs w:val="24"/>
          <w14:textFill>
            <w14:solidFill>
              <w14:schemeClr w14:val="tx1"/>
            </w14:solidFill>
          </w14:textFill>
        </w:rPr>
        <w:t>双方的其他权利义务</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1、甲方权利义务</w:t>
      </w:r>
    </w:p>
    <w:p>
      <w:pPr>
        <w:tabs>
          <w:tab w:val="left" w:pos="0"/>
        </w:tabs>
        <w:spacing w:line="440" w:lineRule="exact"/>
        <w:ind w:right="-27" w:firstLine="72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1.1 甲方权利</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甲方有权随时向乙方了解服务进展，提出改进意见和建议；甲方有权根据实际履约质量和进度情况要求乙方按照本合同约定加强管理直至提供符合约定的服务。</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1.2</w:t>
      </w:r>
      <w:r>
        <w:rPr>
          <w:rFonts w:hint="eastAsia" w:ascii="宋体" w:hAnsi="宋体" w:cs="宋体"/>
          <w:bCs/>
          <w:color w:val="000000" w:themeColor="text1"/>
          <w:sz w:val="24"/>
          <w:szCs w:val="24"/>
          <w14:textFill>
            <w14:solidFill>
              <w14:schemeClr w14:val="tx1"/>
            </w14:solidFill>
          </w14:textFill>
        </w:rPr>
        <w:t>甲方义务</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甲方应按时支付合同价款；为乙方履行合同提供必要的便利条件；本合同约定的其他义务。</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2乙方权利义务</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2.1乙方权利</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乙方有权按照合同获得合同价款；乙方有权根据服务内容的需要，请求甲方予以配合。</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2.2</w:t>
      </w:r>
      <w:r>
        <w:rPr>
          <w:rFonts w:hint="eastAsia" w:ascii="宋体" w:hAnsi="宋体" w:cs="宋体"/>
          <w:bCs/>
          <w:color w:val="000000" w:themeColor="text1"/>
          <w:sz w:val="24"/>
          <w:szCs w:val="24"/>
          <w14:textFill>
            <w14:solidFill>
              <w14:schemeClr w14:val="tx1"/>
            </w14:solidFill>
          </w14:textFill>
        </w:rPr>
        <w:t>除其他有关条款的约定外，乙方义务还包括：</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1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①</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的，视为乙方丧失提供服务的能力。</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2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②</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乙方应安排身体健康、品性良好的服务人员为甲方提供服务。</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3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③</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乙方应保证服务人员的稳定，未经甲方同意，不得变更服务人员。</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4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④</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乙方应当及时响应甲方的服务需求，在甲方提出派员到场服务时，应当与甲方确定到场时间。甲方紧急服务需求时，乙方应在</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0.5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小时内派员到场。</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5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⑤</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定期组织服务人员进行培训学习，不断提高服务人员业务技能。</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6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⑥</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乙方做好安全生产工作，对在工作中出现的服务人员的人身安全承担责任，并对由于服务人员的原因导致的第三人的人身财产损失承担赔偿责任。</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7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⑦</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8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⑧</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法规、政策规定由乙方承担的其他责任。</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第九条 质量保证</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乙方各项服务承诺指标及所采取的措施按照采购文件要求及相应文件的承诺予以确定。  </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第十条 违约责任</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、有下列情形之一的，乙方应当向甲方支付合同约定合同价款金额</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5</w:t>
      </w:r>
      <w:r>
        <w:rPr>
          <w:rFonts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的违约金：</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1.1</w:t>
      </w:r>
      <w:r>
        <w:rPr>
          <w:rFonts w:hint="eastAsia" w:ascii="宋体" w:hAnsi="宋体" w:cs="宋体"/>
          <w:bCs/>
          <w:color w:val="000000" w:themeColor="text1"/>
          <w:sz w:val="24"/>
          <w:szCs w:val="24"/>
          <w14:textFill>
            <w14:solidFill>
              <w14:schemeClr w14:val="tx1"/>
            </w14:solidFill>
          </w14:textFill>
        </w:rPr>
        <w:t>乙方服务团队成员未经甲方同意发生变更，经甲方要求恢复后，未在合理期限内（</w:t>
      </w:r>
      <w:r>
        <w:rPr>
          <w:rFonts w:ascii="宋体" w:hAnsi="宋体" w:cs="宋体"/>
          <w:bCs/>
          <w:color w:val="000000" w:themeColor="text1"/>
          <w:sz w:val="24"/>
          <w:szCs w:val="24"/>
          <w:u w:val="single"/>
          <w14:textFill>
            <w14:solidFill>
              <w14:schemeClr w14:val="tx1"/>
            </w14:solidFill>
          </w14:textFill>
        </w:rPr>
        <w:t>5</w:t>
      </w:r>
      <w:r>
        <w:rPr>
          <w:rFonts w:hint="eastAsia" w:ascii="宋体" w:hAnsi="宋体" w:cs="宋体"/>
          <w:bCs/>
          <w:color w:val="000000" w:themeColor="text1"/>
          <w:sz w:val="24"/>
          <w:szCs w:val="24"/>
          <w:u w:val="single"/>
          <w14:textFill>
            <w14:solidFill>
              <w14:schemeClr w14:val="tx1"/>
            </w14:solidFill>
          </w14:textFill>
        </w:rPr>
        <w:t>个</w:t>
      </w:r>
      <w:r>
        <w:rPr>
          <w:rFonts w:ascii="宋体" w:hAnsi="宋体" w:cs="宋体"/>
          <w:bCs/>
          <w:color w:val="000000" w:themeColor="text1"/>
          <w:sz w:val="24"/>
          <w:szCs w:val="24"/>
          <w:u w:val="single"/>
          <w14:textFill>
            <w14:solidFill>
              <w14:schemeClr w14:val="tx1"/>
            </w14:solidFill>
          </w14:textFill>
        </w:rPr>
        <w:t>工作</w:t>
      </w:r>
      <w:r>
        <w:rPr>
          <w:rFonts w:hint="eastAsia" w:ascii="宋体" w:hAnsi="宋体" w:cs="宋体"/>
          <w:bCs/>
          <w:color w:val="000000" w:themeColor="text1"/>
          <w:sz w:val="24"/>
          <w:szCs w:val="24"/>
          <w14:textFill>
            <w14:solidFill>
              <w14:schemeClr w14:val="tx1"/>
            </w14:solidFill>
          </w14:textFill>
        </w:rPr>
        <w:t>日内）恢复的；</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1.2</w:t>
      </w:r>
      <w:r>
        <w:rPr>
          <w:rFonts w:hint="eastAsia" w:ascii="宋体" w:hAnsi="宋体" w:cs="宋体"/>
          <w:bCs/>
          <w:color w:val="000000" w:themeColor="text1"/>
          <w:sz w:val="24"/>
          <w:szCs w:val="24"/>
          <w14:textFill>
            <w14:solidFill>
              <w14:schemeClr w14:val="tx1"/>
            </w14:solidFill>
          </w14:textFill>
        </w:rPr>
        <w:t>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20%</w:t>
      </w:r>
      <w:r>
        <w:rPr>
          <w:rFonts w:hint="eastAsia" w:ascii="宋体" w:hAnsi="宋体" w:cs="宋体"/>
          <w:bCs/>
          <w:color w:val="000000" w:themeColor="text1"/>
          <w:sz w:val="24"/>
          <w:szCs w:val="24"/>
          <w14:textFill>
            <w14:solidFill>
              <w14:schemeClr w14:val="tx1"/>
            </w14:solidFill>
          </w14:textFill>
        </w:rPr>
        <w:t>的；</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1.3</w:t>
      </w:r>
      <w:r>
        <w:rPr>
          <w:rFonts w:hint="eastAsia" w:ascii="宋体" w:hAnsi="宋体" w:cs="宋体"/>
          <w:bCs/>
          <w:color w:val="000000" w:themeColor="text1"/>
          <w:sz w:val="24"/>
          <w:szCs w:val="24"/>
          <w14:textFill>
            <w14:solidFill>
              <w14:schemeClr w14:val="tx1"/>
            </w14:solidFill>
          </w14:textFill>
        </w:rPr>
        <w:t>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二</w:t>
      </w:r>
      <w:r>
        <w:rPr>
          <w:rFonts w:hint="eastAsia" w:ascii="宋体" w:hAnsi="宋体" w:cs="宋体"/>
          <w:bCs/>
          <w:color w:val="000000" w:themeColor="text1"/>
          <w:sz w:val="24"/>
          <w:szCs w:val="24"/>
          <w14:textFill>
            <w14:solidFill>
              <w14:schemeClr w14:val="tx1"/>
            </w14:solidFill>
          </w14:textFill>
        </w:rPr>
        <w:t>人次的；</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1.4</w:t>
      </w:r>
      <w:r>
        <w:rPr>
          <w:rFonts w:hint="eastAsia" w:ascii="宋体" w:hAnsi="宋体" w:cs="宋体"/>
          <w:bCs/>
          <w:color w:val="000000" w:themeColor="text1"/>
          <w:sz w:val="24"/>
          <w:szCs w:val="24"/>
          <w14:textFill>
            <w14:solidFill>
              <w14:schemeClr w14:val="tx1"/>
            </w14:solidFill>
          </w14:textFill>
        </w:rPr>
        <w:t>乙方人员不能响应甲方紧急服务需求的；</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1.5因</w:t>
      </w:r>
      <w:r>
        <w:rPr>
          <w:rFonts w:hint="eastAsia" w:ascii="宋体" w:hAnsi="宋体" w:cs="宋体"/>
          <w:bCs/>
          <w:color w:val="000000" w:themeColor="text1"/>
          <w:sz w:val="24"/>
          <w:szCs w:val="24"/>
          <w14:textFill>
            <w14:solidFill>
              <w14:schemeClr w14:val="tx1"/>
            </w14:solidFill>
          </w14:textFill>
        </w:rPr>
        <w:t>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一</w:t>
      </w:r>
      <w:r>
        <w:rPr>
          <w:rFonts w:hint="eastAsia" w:ascii="宋体" w:hAnsi="宋体" w:cs="宋体"/>
          <w:bCs/>
          <w:color w:val="000000" w:themeColor="text1"/>
          <w:sz w:val="24"/>
          <w:szCs w:val="24"/>
          <w14:textFill>
            <w14:solidFill>
              <w14:schemeClr w14:val="tx1"/>
            </w14:solidFill>
          </w14:textFill>
        </w:rPr>
        <w:t>次的；</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1.6</w:t>
      </w:r>
      <w:r>
        <w:rPr>
          <w:rFonts w:hint="eastAsia" w:ascii="宋体" w:hAnsi="宋体" w:cs="宋体"/>
          <w:bCs/>
          <w:color w:val="000000" w:themeColor="text1"/>
          <w:sz w:val="24"/>
          <w:szCs w:val="24"/>
          <w14:textFill>
            <w14:solidFill>
              <w14:schemeClr w14:val="tx1"/>
            </w14:solidFill>
          </w14:textFill>
        </w:rPr>
        <w:t>乙方及其服务人员虚报服务内容、服务时间等，骗取甲方服务费用的；</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1.7</w:t>
      </w:r>
      <w:r>
        <w:rPr>
          <w:rFonts w:hint="eastAsia" w:ascii="宋体" w:hAnsi="宋体" w:cs="宋体"/>
          <w:bCs/>
          <w:color w:val="000000" w:themeColor="text1"/>
          <w:sz w:val="24"/>
          <w:szCs w:val="24"/>
          <w14:textFill>
            <w14:solidFill>
              <w14:schemeClr w14:val="tx1"/>
            </w14:solidFill>
          </w14:textFill>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5 </w:t>
      </w:r>
      <w:r>
        <w:rPr>
          <w:rFonts w:hint="eastAsia" w:ascii="宋体" w:hAnsi="宋体" w:cs="宋体"/>
          <w:bCs/>
          <w:color w:val="000000" w:themeColor="text1"/>
          <w:sz w:val="24"/>
          <w:szCs w:val="24"/>
          <w14:textFill>
            <w14:solidFill>
              <w14:schemeClr w14:val="tx1"/>
            </w14:solidFill>
          </w14:textFill>
        </w:rPr>
        <w:t>％的违约金。</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、乙方在承担上述“1”项中一项或多项违约责任后，仍应继续履行合同规定的义务（甲方解除合同的除外）。甲方未能及时追究乙方的任何一项违约责任并不表明甲方放弃追究乙方该项或其他违约责任。</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第十一条 合同的解除</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出现下列情形之一的，甲方有权解除本合同：</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30%</w:t>
      </w:r>
      <w:r>
        <w:rPr>
          <w:rFonts w:hint="eastAsia" w:ascii="宋体" w:hAnsi="宋体" w:cs="宋体"/>
          <w:bCs/>
          <w:color w:val="000000" w:themeColor="text1"/>
          <w:sz w:val="24"/>
          <w:szCs w:val="24"/>
          <w14:textFill>
            <w14:solidFill>
              <w14:schemeClr w14:val="tx1"/>
            </w14:solidFill>
          </w14:textFill>
        </w:rPr>
        <w:t>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三</w:t>
      </w:r>
      <w:r>
        <w:rPr>
          <w:rFonts w:hint="eastAsia" w:ascii="宋体" w:hAnsi="宋体" w:cs="宋体"/>
          <w:bCs/>
          <w:color w:val="000000" w:themeColor="text1"/>
          <w:sz w:val="24"/>
          <w:szCs w:val="24"/>
          <w14:textFill>
            <w14:solidFill>
              <w14:schemeClr w14:val="tx1"/>
            </w14:solidFill>
          </w14:textFill>
        </w:rPr>
        <w:t>人次的；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3</w:t>
      </w:r>
      <w:r>
        <w:rPr>
          <w:rFonts w:hint="eastAsia" w:ascii="宋体" w:hAnsi="宋体" w:cs="宋体"/>
          <w:bCs/>
          <w:color w:val="000000" w:themeColor="text1"/>
          <w:sz w:val="24"/>
          <w:szCs w:val="24"/>
          <w14:textFill>
            <w14:solidFill>
              <w14:schemeClr w14:val="tx1"/>
            </w14:solidFill>
          </w14:textFill>
        </w:rPr>
        <w:t>、乙方人员不能响应甲方紧急服务需求的，经甲方指出后未能改正的；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14:textFill>
            <w14:solidFill>
              <w14:schemeClr w14:val="tx1"/>
            </w14:solidFill>
          </w14:textFill>
        </w:rPr>
        <w:t>、</w:t>
      </w:r>
      <w:r>
        <w:rPr>
          <w:rFonts w:ascii="宋体" w:hAnsi="宋体" w:cs="宋体"/>
          <w:bCs/>
          <w:color w:val="000000" w:themeColor="text1"/>
          <w:sz w:val="24"/>
          <w:szCs w:val="24"/>
          <w14:textFill>
            <w14:solidFill>
              <w14:schemeClr w14:val="tx1"/>
            </w14:solidFill>
          </w14:textFill>
        </w:rPr>
        <w:t>因</w:t>
      </w:r>
      <w:r>
        <w:rPr>
          <w:rFonts w:hint="eastAsia" w:ascii="宋体" w:hAnsi="宋体" w:cs="宋体"/>
          <w:bCs/>
          <w:color w:val="000000" w:themeColor="text1"/>
          <w:sz w:val="24"/>
          <w:szCs w:val="24"/>
          <w14:textFill>
            <w14:solidFill>
              <w14:schemeClr w14:val="tx1"/>
            </w14:solidFill>
          </w14:textFill>
        </w:rPr>
        <w:t>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二</w:t>
      </w:r>
      <w:r>
        <w:rPr>
          <w:rFonts w:hint="eastAsia" w:ascii="宋体" w:hAnsi="宋体" w:cs="宋体"/>
          <w:bCs/>
          <w:color w:val="000000" w:themeColor="text1"/>
          <w:sz w:val="24"/>
          <w:szCs w:val="24"/>
          <w14:textFill>
            <w14:solidFill>
              <w14:schemeClr w14:val="tx1"/>
            </w14:solidFill>
          </w14:textFill>
        </w:rPr>
        <w:t>次的；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、乙方及其服务人员虚报服务内容、服务时间等，骗取甲方服务费用的；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14:textFill>
            <w14:solidFill>
              <w14:schemeClr w14:val="tx1"/>
            </w14:solidFill>
          </w14:textFill>
        </w:rPr>
        <w:t>、因乙方不当服务或服务人员违法，给甲方造成严重不良影响的；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7、乙方一年内因生产安全事故受到行政处罚达到三次的，或者因为乙方发生生产安全事故、环境损害事故，给甲方造成重大不良影响的或导致甲方受到行政处罚的。</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第十二条 不可抗力</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、不可抗力，是指不能预见、不能避免并不能克服的客观情况，如战争、动乱、洪水、地震、风暴等。</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3</w:t>
      </w:r>
      <w:r>
        <w:rPr>
          <w:rFonts w:hint="eastAsia" w:ascii="宋体" w:hAnsi="宋体" w:cs="宋体"/>
          <w:bCs/>
          <w:color w:val="000000" w:themeColor="text1"/>
          <w:sz w:val="24"/>
          <w:szCs w:val="24"/>
          <w14:textFill>
            <w14:solidFill>
              <w14:schemeClr w14:val="tx1"/>
            </w14:solidFill>
          </w14:textFill>
        </w:rPr>
        <w:t>、发生不可抗力事件，任何一方均不对因不可抗力无法履行或迟延履行本合同义务而使另一方蒙受的任何损失承担责任，法律另有规定的除外。</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14:textFill>
            <w14:solidFill>
              <w14:schemeClr w14:val="tx1"/>
            </w14:solidFill>
          </w14:textFill>
        </w:rPr>
        <w:t>、合同各方应根据不可抗力对本合同履行的影响程度，协商确定是否终止或是继续履行本合同。</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第十三条 合同的变更、中止</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本合同一经签订，双方均不得擅自变更或中止合同，除非合同的继续履行将损害国家利益和社会公共利益。</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第十四条 合同的终止</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1、本合同因下列原因而终止：</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1.1 本合同正常履行完毕；</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1.2 因不可抗力导致本合同无法履行或履行不必要；</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1.3 任何一方行使解除权解除本合同；</w:t>
      </w:r>
    </w:p>
    <w:p>
      <w:pPr>
        <w:tabs>
          <w:tab w:val="left" w:pos="0"/>
        </w:tabs>
        <w:spacing w:line="440" w:lineRule="exact"/>
        <w:ind w:right="-27" w:firstLine="78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1.4 合同的继续履行将损害国家利益和社会公共利益且不宜变更、中止的。</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2、除上述情形外，甲乙双方不得擅自终止合同。</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第十五条 合同的转让</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乙方不得将其合同项下的权利义务部分或全部转让给第三方。</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第十六条 履约保证金</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本项目不收取履约保证金。</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第十七条 争议解决方式</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1、在执行本合同过程中所发生的或与本合同有关的一切争端，甲乙双方友好协商解决。如协商不能解决，则全部争端由甲方所在地人民法院管辖。</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2、如因乙方违约，导致甲方起诉的，甲方由此产生的诉讼费用、律师费用、差旅费用等，均由乙方承担。</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第十八条 通知与送达</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1、甲乙双方因履行本合同需要向对方发送通知、文件、资料的，均以下列联系信息确定内容进行：</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1.1</w:t>
      </w:r>
      <w:r>
        <w:rPr>
          <w:rFonts w:hint="eastAsia" w:ascii="宋体" w:hAnsi="宋体" w:cs="宋体"/>
          <w:bCs/>
          <w:color w:val="000000" w:themeColor="text1"/>
          <w:sz w:val="24"/>
          <w:szCs w:val="24"/>
          <w14:textFill>
            <w14:solidFill>
              <w14:schemeClr w14:val="tx1"/>
            </w14:solidFill>
          </w14:textFill>
        </w:rPr>
        <w:t>甲方联系信息：</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指定收件人：</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送达地址：</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指定电子收件方式：</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1.2</w:t>
      </w:r>
      <w:r>
        <w:rPr>
          <w:rFonts w:hint="eastAsia" w:ascii="宋体" w:hAnsi="宋体" w:cs="宋体"/>
          <w:bCs/>
          <w:color w:val="000000" w:themeColor="text1"/>
          <w:sz w:val="24"/>
          <w:szCs w:val="24"/>
          <w14:textFill>
            <w14:solidFill>
              <w14:schemeClr w14:val="tx1"/>
            </w14:solidFill>
          </w14:textFill>
        </w:rPr>
        <w:t>乙方联系信息：</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指定收件人：</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送达地址：</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指定电子收件方式：</w:t>
      </w:r>
      <w:r>
        <w:rPr>
          <w:rFonts w:hint="eastAsia" w:ascii="宋体" w:hAnsi="宋体" w:cs="宋体"/>
          <w:bCs/>
          <w:color w:val="000000" w:themeColor="text1"/>
          <w:sz w:val="24"/>
          <w:szCs w:val="24"/>
          <w:u w:val="single"/>
          <w14:textFill>
            <w14:solidFill>
              <w14:schemeClr w14:val="tx1"/>
            </w14:solidFill>
          </w14:textFill>
        </w:rPr>
        <w:t xml:space="preserve">                           </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2、双方确认前述联系信息作为解决争议时接受人民法院诉讼文书的送达地址和联系方式。</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3、任何一方改变前述联系信息的，应在发生变更后的3天内告知对方并做好通知到达对方前可能存在的邮件的接收。如未通知的，视为没有变更。</w:t>
      </w:r>
    </w:p>
    <w:p>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第十九条 合同生效及其他</w:t>
      </w:r>
    </w:p>
    <w:p>
      <w:pPr>
        <w:tabs>
          <w:tab w:val="left" w:pos="0"/>
        </w:tabs>
        <w:spacing w:line="440" w:lineRule="exact"/>
        <w:ind w:right="-27" w:firstLine="480"/>
        <w:rPr>
          <w:rFonts w:ascii="Times New Roman" w:hAnsi="Times New Roman"/>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合同在双方加盖公章或</w:t>
      </w:r>
      <w:r>
        <w:rPr>
          <w:rFonts w:hint="eastAsia" w:ascii="宋体" w:hAnsi="宋体"/>
          <w:b/>
          <w:color w:val="000000" w:themeColor="text1"/>
          <w:sz w:val="24"/>
          <w:szCs w:val="24"/>
          <w14:textFill>
            <w14:solidFill>
              <w14:schemeClr w14:val="tx1"/>
            </w14:solidFill>
          </w14:textFill>
        </w:rPr>
        <w:t>双方法定代表人、授权代表签字后生效</w:t>
      </w:r>
    </w:p>
    <w:p>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本合同一式</w:t>
      </w:r>
      <w:r>
        <w:rPr>
          <w:rFonts w:hint="eastAsia" w:ascii="宋体" w:hAnsi="宋体"/>
          <w:color w:val="000000" w:themeColor="text1"/>
          <w:sz w:val="24"/>
          <w:szCs w:val="24"/>
          <w:u w:val="single"/>
          <w14:textFill>
            <w14:solidFill>
              <w14:schemeClr w14:val="tx1"/>
            </w14:solidFill>
          </w14:textFill>
        </w:rPr>
        <w:t>四</w:t>
      </w:r>
      <w:r>
        <w:rPr>
          <w:rFonts w:hint="eastAsia" w:ascii="宋体" w:hAnsi="宋体"/>
          <w:color w:val="000000" w:themeColor="text1"/>
          <w:sz w:val="24"/>
          <w:szCs w:val="24"/>
          <w14:textFill>
            <w14:solidFill>
              <w14:schemeClr w14:val="tx1"/>
            </w14:solidFill>
          </w14:textFill>
        </w:rPr>
        <w:t>份，以简体中文书写，甲方、乙方各执二份。</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3、本合同应按照中华人民共和国的现行法律进行解释。</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甲方（公章）：                       乙方（公章）：</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法定（授权）代表人（签字）：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法定（授权）代表人（签字）：</w:t>
      </w: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年   月   日                        年   月   日</w:t>
      </w:r>
    </w:p>
    <w:p>
      <w:pPr>
        <w:pStyle w:val="408"/>
        <w:widowControl/>
        <w:spacing w:line="360" w:lineRule="auto"/>
        <w:rPr>
          <w:rFonts w:hint="default" w:hAnsi="宋体" w:eastAsia="宋体"/>
          <w:sz w:val="24"/>
          <w:szCs w:val="24"/>
        </w:rPr>
      </w:pPr>
      <w:r>
        <w:rPr>
          <w:rFonts w:hint="default" w:hAnsi="宋体" w:eastAsia="宋体"/>
          <w:sz w:val="24"/>
          <w:szCs w:val="24"/>
        </w:rPr>
        <w:br w:type="page" w:clear="all"/>
      </w:r>
    </w:p>
    <w:p>
      <w:pPr>
        <w:pStyle w:val="408"/>
        <w:widowControl/>
        <w:spacing w:line="360" w:lineRule="auto"/>
        <w:rPr>
          <w:rFonts w:hint="default" w:hAnsi="宋体" w:eastAsia="宋体"/>
          <w:sz w:val="24"/>
          <w:szCs w:val="24"/>
        </w:rPr>
      </w:pPr>
    </w:p>
    <w:p>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p>
    <w:p>
      <w:pPr>
        <w:keepNext/>
        <w:jc w:val="center"/>
        <w:outlineLvl w:val="0"/>
        <w:rPr>
          <w:rFonts w:ascii="宋体" w:hAnsi="宋体" w:cs="Courier New"/>
          <w:color w:val="000000" w:themeColor="text1"/>
          <w:sz w:val="24"/>
          <w:szCs w:val="24"/>
          <w14:textFill>
            <w14:solidFill>
              <w14:schemeClr w14:val="tx1"/>
            </w14:solidFill>
          </w14:textFill>
        </w:rPr>
      </w:pPr>
      <w:bookmarkStart w:id="202" w:name="_Toc228349836"/>
      <w:r>
        <w:rPr>
          <w:rFonts w:hint="eastAsia" w:ascii="黑体" w:hAnsi="Courier New" w:eastAsia="黑体" w:cs="Courier New"/>
          <w:bCs/>
          <w:color w:val="000000" w:themeColor="text1"/>
          <w:sz w:val="44"/>
          <w:szCs w:val="21"/>
          <w14:textFill>
            <w14:solidFill>
              <w14:schemeClr w14:val="tx1"/>
            </w14:solidFill>
          </w14:textFill>
        </w:rPr>
        <w:t>第</w:t>
      </w:r>
      <w:bookmarkEnd w:id="195"/>
      <w:r>
        <w:rPr>
          <w:rFonts w:hint="eastAsia" w:ascii="黑体" w:hAnsi="Courier New" w:eastAsia="黑体" w:cs="Courier New"/>
          <w:bCs/>
          <w:color w:val="000000" w:themeColor="text1"/>
          <w:sz w:val="44"/>
          <w:szCs w:val="21"/>
          <w14:textFill>
            <w14:solidFill>
              <w14:schemeClr w14:val="tx1"/>
            </w14:solidFill>
          </w14:textFill>
        </w:rPr>
        <w:t xml:space="preserve">四章 </w:t>
      </w:r>
      <w:r>
        <w:rPr>
          <w:rFonts w:ascii="黑体" w:hAnsi="Courier New" w:eastAsia="黑体" w:cs="Courier New"/>
          <w:bCs/>
          <w:color w:val="000000" w:themeColor="text1"/>
          <w:sz w:val="44"/>
          <w:szCs w:val="21"/>
          <w14:textFill>
            <w14:solidFill>
              <w14:schemeClr w14:val="tx1"/>
            </w14:solidFill>
          </w14:textFill>
        </w:rPr>
        <w:t xml:space="preserve"> </w:t>
      </w:r>
      <w:r>
        <w:rPr>
          <w:rFonts w:hint="eastAsia" w:ascii="黑体" w:hAnsi="Courier New" w:eastAsia="黑体" w:cs="Courier New"/>
          <w:bCs/>
          <w:color w:val="000000" w:themeColor="text1"/>
          <w:sz w:val="44"/>
          <w:szCs w:val="21"/>
          <w14:textFill>
            <w14:solidFill>
              <w14:schemeClr w14:val="tx1"/>
            </w14:solidFill>
          </w14:textFill>
        </w:rPr>
        <w:t>采购需求</w:t>
      </w:r>
      <w:bookmarkEnd w:id="196"/>
      <w:bookmarkEnd w:id="197"/>
      <w:bookmarkEnd w:id="198"/>
      <w:bookmarkEnd w:id="202"/>
    </w:p>
    <w:p>
      <w:pPr>
        <w:keepNext/>
        <w:jc w:val="left"/>
        <w:outlineLvl w:val="0"/>
        <w:rPr>
          <w:b/>
          <w:bCs/>
          <w:color w:val="000000" w:themeColor="text1"/>
          <w:sz w:val="28"/>
          <w:szCs w:val="28"/>
          <w14:textFill>
            <w14:solidFill>
              <w14:schemeClr w14:val="tx1"/>
            </w14:solidFill>
          </w14:textFill>
        </w:rPr>
      </w:pPr>
      <w:bookmarkStart w:id="203" w:name="_Toc6043"/>
      <w:bookmarkStart w:id="204" w:name="_Toc228349837"/>
      <w:bookmarkStart w:id="205" w:name="_Toc157604637"/>
      <w:bookmarkStart w:id="206" w:name="_Toc120614281"/>
      <w:bookmarkStart w:id="207" w:name="_Toc26554093"/>
      <w:bookmarkStart w:id="208" w:name="_Toc49090575"/>
      <w:r>
        <w:rPr>
          <w:rFonts w:hint="eastAsia" w:ascii="Times New Roman" w:hAnsi="Times New Roman"/>
          <w:b/>
          <w:sz w:val="28"/>
          <w:szCs w:val="28"/>
          <w:lang w:bidi="ar"/>
        </w:rPr>
        <w:t>标段一、标段二</w:t>
      </w:r>
      <w:bookmarkEnd w:id="203"/>
      <w:bookmarkEnd w:id="204"/>
    </w:p>
    <w:p>
      <w:pPr>
        <w:spacing w:line="440" w:lineRule="exact"/>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一、项目说明</w:t>
      </w:r>
      <w:bookmarkEnd w:id="205"/>
    </w:p>
    <w:p>
      <w:pPr>
        <w:spacing w:line="460" w:lineRule="exact"/>
        <w:ind w:firstLine="480"/>
        <w:rPr>
          <w:rFonts w:ascii="Times New Roman" w:hAnsi="Times New Roman"/>
          <w:color w:val="000000" w:themeColor="text1"/>
          <w:sz w:val="24"/>
          <w:szCs w:val="24"/>
          <w14:textFill>
            <w14:solidFill>
              <w14:schemeClr w14:val="tx1"/>
            </w14:solidFill>
          </w14:textFill>
        </w:rPr>
      </w:pPr>
      <w:bookmarkStart w:id="209" w:name="_Toc153263475"/>
      <w:bookmarkStart w:id="210" w:name="_Toc157604638"/>
      <w:r>
        <w:rPr>
          <w:rFonts w:hint="eastAsia" w:ascii="宋体" w:hAnsi="宋体"/>
          <w:color w:val="000000" w:themeColor="text1"/>
          <w:sz w:val="24"/>
          <w:szCs w:val="24"/>
          <w14:textFill>
            <w14:solidFill>
              <w14:schemeClr w14:val="tx1"/>
            </w14:solidFill>
          </w14:textFill>
        </w:rPr>
        <w:t>1、采购需求概况：苏州工学院所需的苏州工学院社会车辆租赁服务</w:t>
      </w:r>
      <w:r>
        <w:rPr>
          <w:rFonts w:hint="eastAsia"/>
          <w:color w:val="000000" w:themeColor="text1"/>
          <w:sz w:val="24"/>
          <w:szCs w:val="24"/>
          <w14:textFill>
            <w14:solidFill>
              <w14:schemeClr w14:val="tx1"/>
            </w14:solidFill>
          </w14:textFill>
        </w:rPr>
        <w:t>。</w:t>
      </w:r>
    </w:p>
    <w:p>
      <w:pPr>
        <w:spacing w:line="480" w:lineRule="exact"/>
        <w:ind w:firstLine="480"/>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2、合同履行期限：自签订合同之日起2年。</w:t>
      </w:r>
    </w:p>
    <w:p>
      <w:pPr>
        <w:spacing w:line="480" w:lineRule="exact"/>
        <w:ind w:firstLine="480"/>
        <w:rPr>
          <w:rFonts w:ascii="宋体" w:hAnsi="宋体"/>
          <w:color w:val="000000" w:themeColor="text1"/>
          <w:sz w:val="24"/>
          <w:szCs w:val="24"/>
          <w14:textFill>
            <w14:solidFill>
              <w14:schemeClr w14:val="tx1"/>
            </w14:solidFill>
          </w14:textFill>
        </w:rPr>
      </w:pPr>
      <w:r>
        <w:rPr>
          <w:rFonts w:hint="eastAsia" w:ascii="宋体" w:hAnsi="宋体" w:cs="宋体"/>
          <w:sz w:val="24"/>
          <w:szCs w:val="24"/>
          <w:lang w:bidi="ar"/>
        </w:rPr>
        <w:t>3、服务时间地点：授予合同之日起10日内或者根据合同约定时间和地点开展服务</w:t>
      </w:r>
    </w:p>
    <w:p>
      <w:pPr>
        <w:spacing w:line="48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4、投标人应对项目现场进行踏勘，但费用由投标人自行承担。投标人在投标报价时应充分考虑现场实际情况，采购人不负担因投标人对项目现场情况考虑不周而产生的其他任何费用。</w:t>
      </w:r>
    </w:p>
    <w:p>
      <w:pPr>
        <w:spacing w:line="480" w:lineRule="exact"/>
        <w:ind w:firstLine="480"/>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5、结算方式：结算费用=各类车型校内用车服务最高单价限价*实际数量*（1-中标优惠率）</w:t>
      </w:r>
    </w:p>
    <w:p>
      <w:pPr>
        <w:spacing w:line="480" w:lineRule="exact"/>
        <w:ind w:firstLine="480"/>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6、付款方式：</w:t>
      </w:r>
    </w:p>
    <w:p>
      <w:pPr>
        <w:spacing w:line="480" w:lineRule="exact"/>
        <w:ind w:firstLine="482"/>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承运方与采购人协商确定校内用车服务费用支付事项，签订采购合同。承运方与用车方按照合同约定的付款计划进行结算。结算时承运方需提供正规发票、用车明细表（需加盖承运方的公章）等凭证。</w:t>
      </w:r>
    </w:p>
    <w:p>
      <w:pPr>
        <w:spacing w:line="480" w:lineRule="exact"/>
        <w:ind w:firstLine="482"/>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2、校内用车服务费用支付要严格执行学校财务相关制度，不得以现金方式支付。</w:t>
      </w:r>
    </w:p>
    <w:p>
      <w:pPr>
        <w:spacing w:line="480" w:lineRule="exact"/>
        <w:ind w:firstLine="482"/>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3、用车方应在满足采购合同的结算条件下，自收到发票后30日内（或承运方和采购人双方约定时间），将校内用车服务费用支付到承运方账户。</w:t>
      </w:r>
    </w:p>
    <w:p>
      <w:pPr>
        <w:spacing w:line="480" w:lineRule="exact"/>
        <w:ind w:firstLine="482"/>
        <w:rPr>
          <w:rFonts w:ascii="宋体" w:hAnsi="宋体"/>
          <w:b/>
          <w:i/>
          <w:color w:val="000000" w:themeColor="text1"/>
          <w:sz w:val="24"/>
          <w:szCs w:val="24"/>
          <w:u w:val="single"/>
          <w14:textFill>
            <w14:solidFill>
              <w14:schemeClr w14:val="tx1"/>
            </w14:solidFill>
          </w14:textFill>
        </w:rPr>
      </w:pPr>
      <w:r>
        <w:rPr>
          <w:rFonts w:hint="eastAsia" w:ascii="宋体" w:hAnsi="宋体"/>
          <w:b/>
          <w:i/>
          <w:color w:val="000000" w:themeColor="text1"/>
          <w:sz w:val="24"/>
          <w:szCs w:val="24"/>
          <w:u w:val="single"/>
          <w14:textFill>
            <w14:solidFill>
              <w14:schemeClr w14:val="tx1"/>
            </w14:solidFill>
          </w14:textFill>
        </w:rPr>
        <w:t>注：（1）以上付款前，承运方均应提供符合采购人要求的同等金额的合法有效发票。否则，采购人有权顺延付款时间，且不承担任何违约及/或赔偿责任。</w:t>
      </w:r>
    </w:p>
    <w:p>
      <w:pPr>
        <w:spacing w:line="480" w:lineRule="exact"/>
        <w:ind w:firstLine="964"/>
        <w:rPr>
          <w:rFonts w:ascii="宋体" w:hAnsi="宋体"/>
          <w:b/>
          <w:i/>
          <w:color w:val="000000" w:themeColor="text1"/>
          <w:sz w:val="24"/>
          <w:szCs w:val="24"/>
          <w:u w:val="single"/>
          <w14:textFill>
            <w14:solidFill>
              <w14:schemeClr w14:val="tx1"/>
            </w14:solidFill>
          </w14:textFill>
        </w:rPr>
      </w:pPr>
      <w:r>
        <w:rPr>
          <w:rFonts w:hint="eastAsia" w:ascii="宋体" w:hAnsi="宋体"/>
          <w:b/>
          <w:i/>
          <w:color w:val="000000" w:themeColor="text1"/>
          <w:sz w:val="24"/>
          <w:szCs w:val="24"/>
          <w:u w:val="single"/>
          <w14:textFill>
            <w14:solidFill>
              <w14:schemeClr w14:val="tx1"/>
            </w14:solidFill>
          </w14:textFill>
        </w:rPr>
        <w:t>（2）本项目支付方式支持数字人民币方式。</w:t>
      </w:r>
    </w:p>
    <w:p>
      <w:pPr>
        <w:spacing w:line="440" w:lineRule="exact"/>
        <w:ind w:firstLine="482"/>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7、</w:t>
      </w:r>
      <w:r>
        <w:rPr>
          <w:rFonts w:ascii="Times New Roman" w:hAnsi="Times New Roman"/>
          <w:color w:val="000000" w:themeColor="text1"/>
          <w:sz w:val="24"/>
          <w:szCs w:val="24"/>
          <w14:textFill>
            <w14:solidFill>
              <w14:schemeClr w14:val="tx1"/>
            </w14:solidFill>
          </w14:textFill>
        </w:rPr>
        <w:t>预算金额：</w:t>
      </w:r>
      <w:r>
        <w:rPr>
          <w:rFonts w:hint="eastAsia" w:ascii="Times New Roman" w:hAnsi="Times New Roman"/>
          <w:color w:val="000000" w:themeColor="text1"/>
          <w:sz w:val="24"/>
          <w:szCs w:val="24"/>
          <w14:textFill>
            <w14:solidFill>
              <w14:schemeClr w14:val="tx1"/>
            </w14:solidFill>
          </w14:textFill>
        </w:rPr>
        <w:t>总预算</w:t>
      </w:r>
      <w:r>
        <w:rPr>
          <w:rFonts w:ascii="Times New Roman" w:hAnsi="Times New Roman"/>
          <w:color w:val="000000" w:themeColor="text1"/>
          <w:sz w:val="24"/>
          <w:szCs w:val="24"/>
          <w14:textFill>
            <w14:solidFill>
              <w14:schemeClr w14:val="tx1"/>
            </w14:solidFill>
          </w14:textFill>
        </w:rPr>
        <w:t>人民币</w:t>
      </w:r>
      <w:r>
        <w:rPr>
          <w:rFonts w:hint="eastAsia" w:ascii="Times New Roman" w:hAnsi="Times New Roman"/>
          <w:color w:val="000000" w:themeColor="text1"/>
          <w:sz w:val="24"/>
          <w:szCs w:val="24"/>
          <w14:textFill>
            <w14:solidFill>
              <w14:schemeClr w14:val="tx1"/>
            </w14:solidFill>
          </w14:textFill>
        </w:rPr>
        <w:t>7000000.00元；每年预算人民币3500000.00元；</w:t>
      </w:r>
      <w:r>
        <w:rPr>
          <w:rFonts w:hint="eastAsia" w:ascii="Times New Roman" w:hAnsi="Times New Roman"/>
          <w:sz w:val="24"/>
          <w:szCs w:val="24"/>
          <w:lang w:bidi="ar"/>
        </w:rPr>
        <w:t>本项目共二个标段，标段一总预算人民币3500000.00元，每年预算人民币1750000</w:t>
      </w:r>
      <w:r>
        <w:rPr>
          <w:rFonts w:ascii="Times New Roman" w:hAnsi="Times New Roman"/>
          <w:sz w:val="24"/>
          <w:szCs w:val="24"/>
          <w:lang w:bidi="ar"/>
        </w:rPr>
        <w:t>.00</w:t>
      </w:r>
      <w:r>
        <w:rPr>
          <w:rFonts w:hint="eastAsia" w:ascii="Times New Roman" w:hAnsi="Times New Roman"/>
          <w:sz w:val="24"/>
          <w:szCs w:val="24"/>
          <w:lang w:bidi="ar"/>
        </w:rPr>
        <w:t>元；标段二总预算人民币3500000.00元，每年预算人民币1750000</w:t>
      </w:r>
      <w:r>
        <w:rPr>
          <w:rFonts w:ascii="Times New Roman" w:hAnsi="Times New Roman"/>
          <w:sz w:val="24"/>
          <w:szCs w:val="24"/>
          <w:lang w:bidi="ar"/>
        </w:rPr>
        <w:t>.00</w:t>
      </w:r>
      <w:r>
        <w:rPr>
          <w:rFonts w:hint="eastAsia" w:ascii="Times New Roman" w:hAnsi="Times New Roman"/>
          <w:sz w:val="24"/>
          <w:szCs w:val="24"/>
          <w:lang w:bidi="ar"/>
        </w:rPr>
        <w:t>元。</w:t>
      </w:r>
      <w:r>
        <w:rPr>
          <w:rFonts w:hint="eastAsia" w:ascii="宋体" w:hAnsi="宋体"/>
          <w:b/>
          <w:bCs/>
          <w:color w:val="000000" w:themeColor="text1"/>
          <w:sz w:val="24"/>
          <w:szCs w:val="24"/>
          <w14:textFill>
            <w14:solidFill>
              <w14:schemeClr w14:val="tx1"/>
            </w14:solidFill>
          </w14:textFill>
        </w:rPr>
        <w:t>；每个标段最终结算金额不超过各标段预算金额。</w:t>
      </w:r>
    </w:p>
    <w:p>
      <w:pPr>
        <w:spacing w:line="480" w:lineRule="exact"/>
        <w:ind w:firstLine="480"/>
        <w:rPr>
          <w:b/>
          <w:bCs/>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lang w:val="zh-CN"/>
          <w14:textFill>
            <w14:solidFill>
              <w14:schemeClr w14:val="tx1"/>
            </w14:solidFill>
          </w14:textFill>
        </w:rPr>
        <w:t>、本标段不得以任何形式进行转包及分包。</w:t>
      </w:r>
      <w:bookmarkEnd w:id="209"/>
      <w:bookmarkEnd w:id="210"/>
    </w:p>
    <w:p>
      <w:pPr>
        <w:spacing w:line="440" w:lineRule="exact"/>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二、项目服务要求：</w:t>
      </w:r>
    </w:p>
    <w:p>
      <w:pPr>
        <w:spacing w:line="480" w:lineRule="exact"/>
        <w:ind w:firstLine="480"/>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1、自愿按照不高于苏州工学院校内用车服务结算标准为学校用车部门和师生提供用车服务，并自觉遵守采购人相关车辆管理规定，接受苏州工学院监督管理。</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2、未经采购人同意，不得使用除成交时</w:t>
      </w:r>
      <w:r>
        <w:rPr>
          <w:rFonts w:hint="eastAsia" w:ascii="宋体" w:hAnsi="宋体" w:cs="宋体"/>
          <w:color w:val="000000" w:themeColor="text1"/>
          <w:sz w:val="24"/>
          <w:lang w:val="zh-CN"/>
          <w14:textFill>
            <w14:solidFill>
              <w14:schemeClr w14:val="tx1"/>
            </w14:solidFill>
          </w14:textFill>
        </w:rPr>
        <w:t>提供的</w:t>
      </w:r>
      <w:r>
        <w:rPr>
          <w:rFonts w:hint="eastAsia" w:ascii="宋体" w:hAnsi="宋体" w:cs="宋体"/>
          <w:color w:val="000000" w:themeColor="text1"/>
          <w:sz w:val="24"/>
          <w14:textFill>
            <w14:solidFill>
              <w14:schemeClr w14:val="tx1"/>
            </w14:solidFill>
          </w14:textFill>
        </w:rPr>
        <w:t>自有车辆清单之外车辆，如有违反，自愿接受采购人的处罚。</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3、为采购人提供服务用车的驾驶员不得使用非单位聘用的驾驶员。</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4、车辆维护保养管理规范，有专业固定的维修保养定点场所。</w:t>
      </w:r>
    </w:p>
    <w:p>
      <w:pPr>
        <w:spacing w:line="480" w:lineRule="exact"/>
        <w:ind w:firstLine="480"/>
        <w:rPr>
          <w:rFonts w:ascii="宋体" w:hAnsi="宋体" w:cs="宋体"/>
          <w:color w:val="000000" w:themeColor="text1"/>
          <w:sz w:val="24"/>
          <w14:textFill>
            <w14:solidFill>
              <w14:schemeClr w14:val="tx1"/>
            </w14:solidFill>
          </w14:textFill>
        </w:rPr>
      </w:pPr>
      <w:bookmarkStart w:id="211" w:name="_Toc21512"/>
      <w:r>
        <w:rPr>
          <w:rFonts w:hint="eastAsia" w:ascii="宋体" w:hAnsi="宋体" w:cs="宋体"/>
          <w:color w:val="000000" w:themeColor="text1"/>
          <w:sz w:val="24"/>
          <w14:textFill>
            <w14:solidFill>
              <w14:schemeClr w14:val="tx1"/>
            </w14:solidFill>
          </w14:textFill>
        </w:rPr>
        <w:t>5、车辆在校内用车服务期间发生故障，无法正常行驶，能及时调换其它合规车辆确保用车方正常用车。</w:t>
      </w:r>
      <w:bookmarkEnd w:id="211"/>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6、在</w:t>
      </w:r>
      <w:r>
        <w:rPr>
          <w:rFonts w:hint="eastAsia" w:ascii="宋体" w:hAnsi="宋体" w:cs="宋体"/>
          <w:color w:val="000000" w:themeColor="text1"/>
          <w:sz w:val="24"/>
          <w:lang w:val="zh-CN"/>
          <w14:textFill>
            <w14:solidFill>
              <w14:schemeClr w14:val="tx1"/>
            </w14:solidFill>
          </w14:textFill>
        </w:rPr>
        <w:t>车辆服务期间，</w:t>
      </w:r>
      <w:r>
        <w:rPr>
          <w:rFonts w:hint="eastAsia" w:ascii="宋体" w:hAnsi="宋体" w:cs="宋体"/>
          <w:color w:val="000000" w:themeColor="text1"/>
          <w:sz w:val="24"/>
          <w14:textFill>
            <w14:solidFill>
              <w14:schemeClr w14:val="tx1"/>
            </w14:solidFill>
          </w14:textFill>
        </w:rPr>
        <w:t>由于天气或不可抗拒因素（如交通事故引起的堵塞、临时交通管制、恶劣天气等）造成的脱班延误，投标人应妥善协调解决。对于持续性的交通管制，投标人应及时调整车辆路线。</w:t>
      </w:r>
    </w:p>
    <w:p>
      <w:pPr>
        <w:spacing w:line="480" w:lineRule="exact"/>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7、投标人</w:t>
      </w:r>
      <w:r>
        <w:rPr>
          <w:rFonts w:hint="eastAsia" w:ascii="宋体" w:hAnsi="宋体" w:cs="宋体"/>
          <w:color w:val="000000" w:themeColor="text1"/>
          <w:sz w:val="24"/>
          <w:lang w:val="zh-CN"/>
          <w14:textFill>
            <w14:solidFill>
              <w14:schemeClr w14:val="tx1"/>
            </w14:solidFill>
          </w14:textFill>
        </w:rPr>
        <w:t>应保证各项设备、设施完好，具备履行合同的能力。向</w:t>
      </w:r>
      <w:r>
        <w:rPr>
          <w:rFonts w:hint="eastAsia" w:ascii="宋体" w:hAnsi="宋体" w:cs="宋体"/>
          <w:color w:val="000000" w:themeColor="text1"/>
          <w:sz w:val="24"/>
          <w14:textFill>
            <w14:solidFill>
              <w14:schemeClr w14:val="tx1"/>
            </w14:solidFill>
          </w14:textFill>
        </w:rPr>
        <w:t>采购人</w:t>
      </w:r>
      <w:r>
        <w:rPr>
          <w:rFonts w:hint="eastAsia" w:ascii="宋体" w:hAnsi="宋体" w:cs="宋体"/>
          <w:color w:val="000000" w:themeColor="text1"/>
          <w:sz w:val="24"/>
          <w:lang w:val="zh-CN"/>
          <w14:textFill>
            <w14:solidFill>
              <w14:schemeClr w14:val="tx1"/>
            </w14:solidFill>
          </w14:textFill>
        </w:rPr>
        <w:t>提供技术性能良好、符合安全行驶条件的车辆以及该车行驶必备的有关证件、备件、工具。</w:t>
      </w:r>
    </w:p>
    <w:p>
      <w:pPr>
        <w:spacing w:line="480" w:lineRule="exact"/>
        <w:ind w:firstLine="480"/>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8、除国家规定的必保险种，投标人还应为提供校内用车服务的车辆投保第三者责任险（不低于100万元）、承运人责任险或车上人员责任险（不低于50万/座位），保证合同签订前提供的车辆保险险种、限额达到上述要求，否则投标人承担由此产生的所有责任。</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9、提供用车服务的过程中所发生的交通事故、交通罚款、第三者责任等一切责任以及因驾驶员、车辆本身或驾驶员、车辆引发的任何人员或财产损失，由投标人承担。</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在基本服务质量要求外，应就车辆的地面、座位、窗户玻璃、窗帘的卫生保洁，驾驶员接送站、驾驶过程中的服务质量标准化、服务监督的组织体系和标准、应急预案、重大活动保障、服务创新等方面作出服务承诺。</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中标人积极接受采购履约监督及现场检查，配合监管部门组织的日常考核、监督检查和管理。若用车方投诉中标人服务态度恶劣或在中标人在校内用车服务期内出现重大交通安全事故等不良情况，监管部门有权约谈并督其改正。</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12、用于服务的车辆应优先保障用车方的包车客运需求。</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13、车辆符合国家相关法律法规规定，保险及年检均合法有效。</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14、服务期间内，投标人的驾驶员需履行保密义务。</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15、车辆类型、数量及驾驶员人数要求：</w:t>
      </w:r>
    </w:p>
    <w:p>
      <w:pPr>
        <w:spacing w:line="480" w:lineRule="exact"/>
        <w:ind w:firstLine="480"/>
        <w:jc w:val="center"/>
        <w:rPr>
          <w:iCs/>
        </w:rPr>
      </w:pPr>
      <w:r>
        <w:rPr>
          <w:rFonts w:hint="eastAsia" w:ascii="宋体" w:hAnsi="宋体" w:cs="宋体"/>
          <w:iCs/>
          <w:color w:val="000000"/>
          <w:sz w:val="24"/>
          <w:szCs w:val="24"/>
          <w:lang w:bidi="ar"/>
        </w:rPr>
        <w:t>车辆类型、数量及驾驶员人数表</w:t>
      </w:r>
    </w:p>
    <w:tbl>
      <w:tblPr>
        <w:tblStyle w:val="46"/>
        <w:tblW w:w="85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8"/>
        <w:gridCol w:w="2034"/>
        <w:gridCol w:w="3612"/>
        <w:gridCol w:w="22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2"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序号</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车辆类型</w:t>
            </w:r>
          </w:p>
        </w:tc>
        <w:tc>
          <w:tcPr>
            <w:tcW w:w="361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数量</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驾驶员人数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2"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1</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5座轿车</w:t>
            </w:r>
          </w:p>
        </w:tc>
        <w:tc>
          <w:tcPr>
            <w:tcW w:w="361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不少于10辆</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不少于10人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7"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szCs w:val="21"/>
                <w:lang w:bidi="ar"/>
              </w:rPr>
            </w:pPr>
            <w:r>
              <w:rPr>
                <w:rFonts w:hint="eastAsia" w:ascii="宋体" w:hAnsi="宋体" w:cs="宋体"/>
                <w:iCs/>
                <w:color w:val="000000"/>
                <w:szCs w:val="21"/>
                <w:lang w:bidi="ar"/>
              </w:rPr>
              <w:t>2</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szCs w:val="21"/>
                <w:lang w:bidi="ar"/>
              </w:rPr>
            </w:pPr>
            <w:r>
              <w:rPr>
                <w:rFonts w:hint="eastAsia" w:ascii="宋体" w:hAnsi="宋体" w:cs="宋体"/>
                <w:iCs/>
                <w:color w:val="000000"/>
                <w:szCs w:val="21"/>
                <w:lang w:bidi="ar"/>
              </w:rPr>
              <w:t>新能源5座轿车</w:t>
            </w:r>
          </w:p>
        </w:tc>
        <w:tc>
          <w:tcPr>
            <w:tcW w:w="361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szCs w:val="21"/>
                <w:lang w:bidi="ar"/>
              </w:rPr>
            </w:pPr>
            <w:r>
              <w:rPr>
                <w:rFonts w:hint="eastAsia" w:ascii="宋体" w:hAnsi="宋体" w:cs="宋体"/>
                <w:iCs/>
                <w:color w:val="000000"/>
                <w:szCs w:val="21"/>
                <w:lang w:bidi="ar"/>
              </w:rPr>
              <w:t>不少于10辆</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szCs w:val="21"/>
                <w:lang w:bidi="ar"/>
              </w:rPr>
            </w:pPr>
            <w:r>
              <w:rPr>
                <w:rFonts w:hint="eastAsia" w:ascii="宋体" w:hAnsi="宋体" w:cs="宋体"/>
                <w:iCs/>
                <w:color w:val="000000"/>
                <w:szCs w:val="21"/>
                <w:lang w:bidi="ar"/>
              </w:rPr>
              <w:t>不少于10人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7"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3</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7座商务车</w:t>
            </w:r>
          </w:p>
        </w:tc>
        <w:tc>
          <w:tcPr>
            <w:tcW w:w="361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不少于10辆</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不少于10人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7"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4</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13—17座中型客车</w:t>
            </w:r>
          </w:p>
        </w:tc>
        <w:tc>
          <w:tcPr>
            <w:tcW w:w="361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不少于</w:t>
            </w:r>
            <w:r>
              <w:rPr>
                <w:rFonts w:ascii="宋体" w:hAnsi="宋体" w:cs="宋体"/>
                <w:iCs/>
                <w:color w:val="auto"/>
                <w:szCs w:val="21"/>
                <w:lang w:bidi="ar"/>
              </w:rPr>
              <w:t>5</w:t>
            </w:r>
            <w:r>
              <w:rPr>
                <w:rFonts w:hint="eastAsia" w:ascii="宋体" w:hAnsi="宋体" w:cs="宋体"/>
                <w:iCs/>
                <w:color w:val="auto"/>
                <w:szCs w:val="21"/>
                <w:lang w:bidi="ar"/>
              </w:rPr>
              <w:t>辆</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不少于</w:t>
            </w:r>
            <w:r>
              <w:rPr>
                <w:rFonts w:ascii="宋体" w:hAnsi="宋体" w:cs="宋体"/>
                <w:iCs/>
                <w:color w:val="auto"/>
                <w:szCs w:val="21"/>
                <w:lang w:bidi="ar"/>
              </w:rPr>
              <w:t>5</w:t>
            </w:r>
            <w:r>
              <w:rPr>
                <w:rFonts w:hint="eastAsia" w:ascii="宋体" w:hAnsi="宋体" w:cs="宋体"/>
                <w:iCs/>
                <w:color w:val="auto"/>
                <w:szCs w:val="21"/>
                <w:lang w:bidi="ar"/>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7"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5</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19—35座大型客车</w:t>
            </w:r>
          </w:p>
        </w:tc>
        <w:tc>
          <w:tcPr>
            <w:tcW w:w="361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不少于</w:t>
            </w:r>
            <w:r>
              <w:rPr>
                <w:rFonts w:ascii="宋体" w:hAnsi="宋体" w:cs="宋体"/>
                <w:iCs/>
                <w:color w:val="auto"/>
                <w:szCs w:val="21"/>
                <w:lang w:bidi="ar"/>
              </w:rPr>
              <w:t>5</w:t>
            </w:r>
            <w:r>
              <w:rPr>
                <w:rFonts w:hint="eastAsia" w:ascii="宋体" w:hAnsi="宋体" w:cs="宋体"/>
                <w:iCs/>
                <w:color w:val="auto"/>
                <w:szCs w:val="21"/>
                <w:lang w:bidi="ar"/>
              </w:rPr>
              <w:t>辆</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不少于</w:t>
            </w:r>
            <w:r>
              <w:rPr>
                <w:rFonts w:ascii="宋体" w:hAnsi="宋体" w:cs="宋体"/>
                <w:iCs/>
                <w:color w:val="auto"/>
                <w:szCs w:val="21"/>
                <w:lang w:bidi="ar"/>
              </w:rPr>
              <w:t>5</w:t>
            </w:r>
            <w:r>
              <w:rPr>
                <w:rFonts w:hint="eastAsia" w:ascii="宋体" w:hAnsi="宋体" w:cs="宋体"/>
                <w:iCs/>
                <w:color w:val="auto"/>
                <w:szCs w:val="21"/>
                <w:lang w:bidi="ar"/>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7" w:hRule="atLeast"/>
          <w:jc w:val="center"/>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6</w:t>
            </w:r>
          </w:p>
        </w:tc>
        <w:tc>
          <w:tcPr>
            <w:tcW w:w="203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45座及以上大客车</w:t>
            </w:r>
          </w:p>
        </w:tc>
        <w:tc>
          <w:tcPr>
            <w:tcW w:w="361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不少于</w:t>
            </w:r>
            <w:r>
              <w:rPr>
                <w:rFonts w:ascii="宋体" w:hAnsi="宋体" w:cs="宋体"/>
                <w:iCs/>
                <w:color w:val="auto"/>
                <w:szCs w:val="21"/>
                <w:lang w:bidi="ar"/>
              </w:rPr>
              <w:t>5</w:t>
            </w:r>
            <w:r>
              <w:rPr>
                <w:rFonts w:hint="eastAsia" w:ascii="宋体" w:hAnsi="宋体" w:cs="宋体"/>
                <w:iCs/>
                <w:color w:val="auto"/>
                <w:szCs w:val="21"/>
                <w:lang w:bidi="ar"/>
              </w:rPr>
              <w:t>辆</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auto"/>
              </w:rPr>
            </w:pPr>
            <w:r>
              <w:rPr>
                <w:rFonts w:hint="eastAsia" w:ascii="宋体" w:hAnsi="宋体" w:cs="宋体"/>
                <w:iCs/>
                <w:color w:val="auto"/>
                <w:szCs w:val="21"/>
                <w:lang w:bidi="ar"/>
              </w:rPr>
              <w:t>不少于</w:t>
            </w:r>
            <w:r>
              <w:rPr>
                <w:rFonts w:ascii="宋体" w:hAnsi="宋体" w:cs="宋体"/>
                <w:iCs/>
                <w:color w:val="auto"/>
                <w:szCs w:val="21"/>
                <w:lang w:bidi="ar"/>
              </w:rPr>
              <w:t>5</w:t>
            </w:r>
            <w:r>
              <w:rPr>
                <w:rFonts w:hint="eastAsia" w:ascii="宋体" w:hAnsi="宋体" w:cs="宋体"/>
                <w:iCs/>
                <w:color w:val="auto"/>
                <w:szCs w:val="21"/>
                <w:lang w:bidi="ar"/>
              </w:rPr>
              <w:t>人</w:t>
            </w:r>
          </w:p>
        </w:tc>
      </w:tr>
    </w:tbl>
    <w:p>
      <w:pPr>
        <w:spacing w:line="480" w:lineRule="exact"/>
        <w:ind w:firstLine="480"/>
        <w:rPr>
          <w:rFonts w:ascii="宋体" w:hAnsi="宋体" w:cs="宋体"/>
          <w:color w:val="FF0000"/>
          <w:sz w:val="24"/>
        </w:rPr>
      </w:pPr>
      <w:r>
        <w:rPr>
          <w:rFonts w:hint="eastAsia" w:ascii="宋体" w:hAnsi="宋体" w:cs="宋体"/>
          <w:color w:val="auto"/>
          <w:sz w:val="24"/>
        </w:rPr>
        <w:t>说明：每种类型车辆驾驶员不少于10人，允许重复，如有不同车型驾驶员共用的，驾驶员需要具备相应准驾车型。</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16、投标人提供校内用车的车辆须列明于投标文件中的《可供校内用车服务车辆清单》中。满足要求的各车辆类型及数量、驾驶员人数符合要求。</w:t>
      </w:r>
    </w:p>
    <w:p>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所提供车辆购置年限8年（含）以内，应符合安全行驶标准，车辆应安全、大方、舒适，能满足学校不同接待规格。车辆牌照必须是苏州地区牌照，保证服务安全规范。投标人提供的车辆须列明于《可供校内用车服务车辆清单》中。</w:t>
      </w:r>
    </w:p>
    <w:p>
      <w:pPr>
        <w:spacing w:line="480" w:lineRule="exact"/>
        <w:ind w:firstLine="480"/>
        <w:jc w:val="center"/>
        <w:rPr>
          <w:iCs/>
          <w:color w:val="000000"/>
          <w:sz w:val="24"/>
          <w:szCs w:val="24"/>
        </w:rPr>
      </w:pPr>
      <w:bookmarkStart w:id="212" w:name="_Toc20997"/>
      <w:r>
        <w:rPr>
          <w:iCs/>
          <w:color w:val="000000"/>
          <w:sz w:val="24"/>
          <w:szCs w:val="24"/>
        </w:rPr>
        <w:t>各车型参考品牌表</w:t>
      </w:r>
      <w:bookmarkEnd w:id="212"/>
    </w:p>
    <w:tbl>
      <w:tblPr>
        <w:tblStyle w:val="46"/>
        <w:tblpPr w:leftFromText="180" w:rightFromText="180" w:vertAnchor="text" w:horzAnchor="margin" w:tblpXSpec="center" w:tblpY="110"/>
        <w:tblW w:w="8489" w:type="dxa"/>
        <w:tblInd w:w="0" w:type="dxa"/>
        <w:tblLayout w:type="fixed"/>
        <w:tblCellMar>
          <w:top w:w="0" w:type="dxa"/>
          <w:left w:w="108" w:type="dxa"/>
          <w:bottom w:w="0" w:type="dxa"/>
          <w:right w:w="108" w:type="dxa"/>
        </w:tblCellMar>
      </w:tblPr>
      <w:tblGrid>
        <w:gridCol w:w="739"/>
        <w:gridCol w:w="2054"/>
        <w:gridCol w:w="5696"/>
      </w:tblGrid>
      <w:tr>
        <w:tblPrEx>
          <w:tblLayout w:type="fixed"/>
          <w:tblCellMar>
            <w:top w:w="0" w:type="dxa"/>
            <w:left w:w="108" w:type="dxa"/>
            <w:bottom w:w="0" w:type="dxa"/>
            <w:right w:w="108" w:type="dxa"/>
          </w:tblCellMar>
        </w:tblPrEx>
        <w:trPr>
          <w:trHeight w:val="414" w:hRule="atLeast"/>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序号</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车型</w:t>
            </w:r>
          </w:p>
        </w:tc>
        <w:tc>
          <w:tcPr>
            <w:tcW w:w="5696" w:type="dxa"/>
            <w:tcBorders>
              <w:top w:val="single" w:color="000000" w:sz="4" w:space="0"/>
              <w:left w:val="single" w:color="000000" w:sz="4" w:space="0"/>
              <w:bottom w:val="single" w:color="000000" w:sz="4" w:space="0"/>
              <w:right w:val="single" w:color="auto"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品牌要求</w:t>
            </w:r>
          </w:p>
        </w:tc>
      </w:tr>
      <w:tr>
        <w:tblPrEx>
          <w:tblLayout w:type="fixed"/>
          <w:tblCellMar>
            <w:top w:w="0" w:type="dxa"/>
            <w:left w:w="108" w:type="dxa"/>
            <w:bottom w:w="0" w:type="dxa"/>
            <w:right w:w="108" w:type="dxa"/>
          </w:tblCellMar>
        </w:tblPrEx>
        <w:trPr>
          <w:trHeight w:val="454" w:hRule="atLeast"/>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1</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5座轿车</w:t>
            </w:r>
          </w:p>
        </w:tc>
        <w:tc>
          <w:tcPr>
            <w:tcW w:w="5696" w:type="dxa"/>
            <w:tcBorders>
              <w:top w:val="single" w:color="000000" w:sz="4" w:space="0"/>
              <w:left w:val="single" w:color="000000" w:sz="4" w:space="0"/>
              <w:bottom w:val="single" w:color="000000" w:sz="4" w:space="0"/>
              <w:right w:val="single" w:color="auto" w:sz="4" w:space="0"/>
            </w:tcBorders>
            <w:shd w:val="clear" w:color="auto" w:fill="auto"/>
            <w:vAlign w:val="center"/>
          </w:tcPr>
          <w:p>
            <w:pPr>
              <w:spacing w:line="240" w:lineRule="atLeast"/>
              <w:jc w:val="left"/>
              <w:rPr>
                <w:rFonts w:ascii="宋体" w:hAnsi="宋体" w:cs="宋体"/>
                <w:iCs/>
                <w:color w:val="000000"/>
              </w:rPr>
            </w:pPr>
            <w:r>
              <w:rPr>
                <w:rFonts w:hint="eastAsia" w:ascii="宋体" w:hAnsi="宋体" w:cs="宋体"/>
                <w:iCs/>
                <w:color w:val="000000"/>
                <w:szCs w:val="21"/>
                <w:lang w:bidi="ar"/>
              </w:rPr>
              <w:t>汽油车：凯美瑞、帕萨特、雅阁、别克君越等或同档次车辆</w:t>
            </w:r>
          </w:p>
          <w:p>
            <w:pPr>
              <w:spacing w:line="240" w:lineRule="atLeast"/>
              <w:jc w:val="left"/>
              <w:rPr>
                <w:rFonts w:ascii="宋体" w:hAnsi="宋体" w:cs="宋体"/>
                <w:iCs/>
                <w:color w:val="000000"/>
              </w:rPr>
            </w:pPr>
            <w:r>
              <w:rPr>
                <w:rFonts w:hint="eastAsia" w:ascii="宋体" w:hAnsi="宋体" w:cs="宋体"/>
                <w:iCs/>
                <w:color w:val="000000"/>
                <w:szCs w:val="21"/>
                <w:lang w:bidi="ar"/>
              </w:rPr>
              <w:t>新能源车：比亚迪，红旗，吉利等的B级（含）以上车辆</w:t>
            </w:r>
          </w:p>
        </w:tc>
      </w:tr>
      <w:tr>
        <w:tblPrEx>
          <w:tblLayout w:type="fixed"/>
          <w:tblCellMar>
            <w:top w:w="0" w:type="dxa"/>
            <w:left w:w="108" w:type="dxa"/>
            <w:bottom w:w="0" w:type="dxa"/>
            <w:right w:w="108" w:type="dxa"/>
          </w:tblCellMar>
        </w:tblPrEx>
        <w:trPr>
          <w:trHeight w:val="454" w:hRule="atLeast"/>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2</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7座商务车</w:t>
            </w:r>
          </w:p>
        </w:tc>
        <w:tc>
          <w:tcPr>
            <w:tcW w:w="5696" w:type="dxa"/>
            <w:tcBorders>
              <w:top w:val="single" w:color="000000" w:sz="4" w:space="0"/>
              <w:left w:val="single" w:color="000000" w:sz="4" w:space="0"/>
              <w:bottom w:val="single" w:color="000000" w:sz="4" w:space="0"/>
              <w:right w:val="single" w:color="auto" w:sz="4" w:space="0"/>
            </w:tcBorders>
            <w:shd w:val="clear" w:color="auto" w:fill="auto"/>
            <w:vAlign w:val="center"/>
          </w:tcPr>
          <w:p>
            <w:pPr>
              <w:spacing w:line="240" w:lineRule="atLeast"/>
              <w:jc w:val="left"/>
              <w:rPr>
                <w:rFonts w:ascii="宋体" w:hAnsi="宋体" w:cs="宋体"/>
                <w:iCs/>
                <w:color w:val="000000"/>
              </w:rPr>
            </w:pPr>
            <w:r>
              <w:rPr>
                <w:rFonts w:hint="eastAsia" w:ascii="宋体" w:hAnsi="宋体" w:cs="宋体"/>
                <w:iCs/>
                <w:color w:val="000000"/>
                <w:szCs w:val="21"/>
                <w:lang w:bidi="ar"/>
              </w:rPr>
              <w:t>汽油车：别克GL8、奥德赛等或同档次车辆</w:t>
            </w:r>
          </w:p>
        </w:tc>
      </w:tr>
      <w:tr>
        <w:tblPrEx>
          <w:tblLayout w:type="fixed"/>
          <w:tblCellMar>
            <w:top w:w="0" w:type="dxa"/>
            <w:left w:w="108" w:type="dxa"/>
            <w:bottom w:w="0" w:type="dxa"/>
            <w:right w:w="108" w:type="dxa"/>
          </w:tblCellMar>
        </w:tblPrEx>
        <w:trPr>
          <w:trHeight w:val="454" w:hRule="atLeast"/>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3</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13—17座中型客车</w:t>
            </w:r>
          </w:p>
        </w:tc>
        <w:tc>
          <w:tcPr>
            <w:tcW w:w="5696" w:type="dxa"/>
            <w:tcBorders>
              <w:top w:val="single" w:color="000000" w:sz="4" w:space="0"/>
              <w:left w:val="single" w:color="000000" w:sz="4" w:space="0"/>
              <w:bottom w:val="single" w:color="000000" w:sz="4" w:space="0"/>
              <w:right w:val="single" w:color="auto" w:sz="4" w:space="0"/>
            </w:tcBorders>
            <w:shd w:val="clear" w:color="auto" w:fill="auto"/>
            <w:vAlign w:val="center"/>
          </w:tcPr>
          <w:p>
            <w:pPr>
              <w:spacing w:line="240" w:lineRule="atLeast"/>
              <w:jc w:val="left"/>
              <w:rPr>
                <w:rFonts w:ascii="宋体" w:hAnsi="宋体" w:cs="宋体"/>
                <w:iCs/>
                <w:color w:val="000000"/>
              </w:rPr>
            </w:pPr>
            <w:r>
              <w:rPr>
                <w:rFonts w:hint="eastAsia" w:ascii="宋体" w:hAnsi="宋体" w:cs="宋体"/>
                <w:iCs/>
                <w:color w:val="000000"/>
                <w:szCs w:val="21"/>
                <w:lang w:bidi="ar"/>
              </w:rPr>
              <w:t>汽油车：海狮、宇通、考斯特或同档次车辆</w:t>
            </w:r>
          </w:p>
        </w:tc>
      </w:tr>
      <w:tr>
        <w:tblPrEx>
          <w:tblLayout w:type="fixed"/>
          <w:tblCellMar>
            <w:top w:w="0" w:type="dxa"/>
            <w:left w:w="108" w:type="dxa"/>
            <w:bottom w:w="0" w:type="dxa"/>
            <w:right w:w="108" w:type="dxa"/>
          </w:tblCellMar>
        </w:tblPrEx>
        <w:trPr>
          <w:trHeight w:val="454" w:hRule="atLeast"/>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4</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19—35座大型客车</w:t>
            </w:r>
          </w:p>
        </w:tc>
        <w:tc>
          <w:tcPr>
            <w:tcW w:w="5696" w:type="dxa"/>
            <w:tcBorders>
              <w:top w:val="single" w:color="000000" w:sz="4" w:space="0"/>
              <w:left w:val="single" w:color="000000" w:sz="4" w:space="0"/>
              <w:bottom w:val="single" w:color="000000" w:sz="4" w:space="0"/>
              <w:right w:val="single" w:color="auto" w:sz="4" w:space="0"/>
            </w:tcBorders>
            <w:shd w:val="clear" w:color="auto" w:fill="auto"/>
            <w:vAlign w:val="center"/>
          </w:tcPr>
          <w:p>
            <w:pPr>
              <w:spacing w:line="240" w:lineRule="atLeast"/>
              <w:jc w:val="left"/>
              <w:rPr>
                <w:rFonts w:ascii="宋体" w:hAnsi="宋体" w:cs="宋体"/>
                <w:iCs/>
                <w:color w:val="000000"/>
              </w:rPr>
            </w:pPr>
            <w:r>
              <w:rPr>
                <w:rFonts w:hint="eastAsia" w:ascii="宋体" w:hAnsi="宋体" w:cs="宋体"/>
                <w:iCs/>
                <w:color w:val="000000"/>
                <w:szCs w:val="21"/>
                <w:lang w:bidi="ar"/>
              </w:rPr>
              <w:t>汽油车：考斯特、宇通、金龙等或同档次车辆</w:t>
            </w:r>
          </w:p>
        </w:tc>
      </w:tr>
      <w:tr>
        <w:tblPrEx>
          <w:tblLayout w:type="fixed"/>
          <w:tblCellMar>
            <w:top w:w="0" w:type="dxa"/>
            <w:left w:w="108" w:type="dxa"/>
            <w:bottom w:w="0" w:type="dxa"/>
            <w:right w:w="108" w:type="dxa"/>
          </w:tblCellMar>
        </w:tblPrEx>
        <w:trPr>
          <w:trHeight w:val="454" w:hRule="atLeast"/>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5</w:t>
            </w:r>
          </w:p>
        </w:tc>
        <w:tc>
          <w:tcPr>
            <w:tcW w:w="205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tLeast"/>
              <w:jc w:val="center"/>
              <w:rPr>
                <w:rFonts w:ascii="宋体" w:hAnsi="宋体" w:cs="宋体"/>
                <w:iCs/>
                <w:color w:val="000000"/>
              </w:rPr>
            </w:pPr>
            <w:r>
              <w:rPr>
                <w:rFonts w:hint="eastAsia" w:ascii="宋体" w:hAnsi="宋体" w:cs="宋体"/>
                <w:iCs/>
                <w:color w:val="000000"/>
                <w:szCs w:val="21"/>
                <w:lang w:bidi="ar"/>
              </w:rPr>
              <w:t>45座及以上大客车</w:t>
            </w:r>
          </w:p>
        </w:tc>
        <w:tc>
          <w:tcPr>
            <w:tcW w:w="5696" w:type="dxa"/>
            <w:tcBorders>
              <w:top w:val="single" w:color="000000" w:sz="4" w:space="0"/>
              <w:left w:val="single" w:color="000000" w:sz="4" w:space="0"/>
              <w:bottom w:val="single" w:color="000000" w:sz="4" w:space="0"/>
              <w:right w:val="single" w:color="auto" w:sz="4" w:space="0"/>
            </w:tcBorders>
            <w:shd w:val="clear" w:color="auto" w:fill="auto"/>
            <w:vAlign w:val="center"/>
          </w:tcPr>
          <w:p>
            <w:pPr>
              <w:spacing w:line="240" w:lineRule="atLeast"/>
              <w:jc w:val="left"/>
              <w:rPr>
                <w:rFonts w:ascii="宋体" w:hAnsi="宋体" w:cs="宋体"/>
                <w:iCs/>
                <w:color w:val="000000"/>
              </w:rPr>
            </w:pPr>
            <w:r>
              <w:rPr>
                <w:rFonts w:hint="eastAsia" w:ascii="宋体" w:hAnsi="宋体" w:cs="宋体"/>
                <w:iCs/>
                <w:color w:val="000000"/>
                <w:szCs w:val="21"/>
                <w:lang w:bidi="ar"/>
              </w:rPr>
              <w:t>汽油车：宇通、金龙或同档次车辆</w:t>
            </w:r>
          </w:p>
        </w:tc>
      </w:tr>
    </w:tbl>
    <w:p>
      <w:pPr>
        <w:spacing w:before="120" w:line="360" w:lineRule="auto"/>
        <w:rPr>
          <w:rFonts w:ascii="宋体" w:hAnsi="宋体" w:cs="宋体"/>
          <w:iCs/>
          <w:color w:val="FF0000"/>
          <w:sz w:val="24"/>
          <w:szCs w:val="24"/>
          <w:lang w:bidi="ar"/>
        </w:rPr>
      </w:pPr>
    </w:p>
    <w:p>
      <w:pPr>
        <w:spacing w:before="120" w:line="360" w:lineRule="auto"/>
        <w:rPr>
          <w:rFonts w:ascii="宋体" w:hAnsi="宋体" w:cs="宋体"/>
          <w:iCs/>
          <w:color w:val="FF0000"/>
          <w:sz w:val="24"/>
          <w:szCs w:val="24"/>
          <w:lang w:bidi="ar"/>
        </w:rPr>
      </w:pPr>
    </w:p>
    <w:p>
      <w:pPr>
        <w:spacing w:before="120" w:line="360" w:lineRule="auto"/>
        <w:rPr>
          <w:rFonts w:ascii="宋体" w:hAnsi="宋体" w:cs="宋体"/>
          <w:iCs/>
          <w:color w:val="FF0000"/>
          <w:sz w:val="24"/>
          <w:szCs w:val="24"/>
          <w:lang w:bidi="ar"/>
        </w:rPr>
      </w:pPr>
    </w:p>
    <w:p>
      <w:pPr>
        <w:spacing w:before="120" w:line="360" w:lineRule="auto"/>
        <w:rPr>
          <w:rFonts w:ascii="宋体" w:hAnsi="宋体" w:cs="宋体"/>
          <w:iCs/>
          <w:color w:val="FF0000"/>
          <w:sz w:val="24"/>
          <w:szCs w:val="24"/>
          <w:lang w:bidi="ar"/>
        </w:rPr>
      </w:pPr>
    </w:p>
    <w:p>
      <w:pPr>
        <w:spacing w:before="120" w:line="360" w:lineRule="auto"/>
        <w:rPr>
          <w:rFonts w:ascii="宋体" w:hAnsi="宋体" w:cs="宋体"/>
          <w:iCs/>
          <w:color w:val="FF0000"/>
          <w:sz w:val="24"/>
          <w:szCs w:val="24"/>
          <w:lang w:bidi="ar"/>
        </w:rPr>
      </w:pPr>
    </w:p>
    <w:p>
      <w:pPr>
        <w:spacing w:line="480" w:lineRule="exact"/>
        <w:ind w:firstLine="480"/>
        <w:rPr>
          <w:rFonts w:ascii="宋体" w:hAnsi="宋体" w:cs="宋体"/>
          <w:sz w:val="24"/>
        </w:rPr>
      </w:pPr>
    </w:p>
    <w:p>
      <w:pPr>
        <w:spacing w:line="480" w:lineRule="exact"/>
        <w:ind w:firstLine="480"/>
        <w:rPr>
          <w:rFonts w:ascii="宋体" w:hAnsi="宋体" w:cs="宋体"/>
          <w:sz w:val="24"/>
        </w:rPr>
      </w:pPr>
      <w:r>
        <w:rPr>
          <w:rFonts w:hint="eastAsia" w:ascii="宋体" w:hAnsi="宋体" w:cs="宋体"/>
          <w:sz w:val="24"/>
        </w:rPr>
        <w:t>18、用车响应速度：</w:t>
      </w:r>
    </w:p>
    <w:p>
      <w:pPr>
        <w:spacing w:line="480" w:lineRule="exact"/>
        <w:ind w:firstLine="720"/>
        <w:rPr>
          <w:rFonts w:ascii="宋体" w:hAnsi="宋体" w:cs="宋体"/>
          <w:sz w:val="24"/>
        </w:rPr>
      </w:pPr>
      <w:r>
        <w:rPr>
          <w:rFonts w:hint="eastAsia" w:ascii="宋体" w:hAnsi="宋体" w:cs="宋体"/>
          <w:sz w:val="24"/>
        </w:rPr>
        <w:t>18.1日常用车：响应时间严格控制在 30分钟内，接到用车申请后，10分钟内反馈确认，明确车辆到达时间（提前 15 分钟到达指定地点）；</w:t>
      </w:r>
    </w:p>
    <w:p>
      <w:pPr>
        <w:spacing w:line="480" w:lineRule="exact"/>
        <w:ind w:firstLine="720"/>
        <w:rPr>
          <w:rFonts w:ascii="宋体" w:hAnsi="宋体" w:cs="宋体"/>
          <w:sz w:val="24"/>
        </w:rPr>
      </w:pPr>
      <w:r>
        <w:rPr>
          <w:rFonts w:hint="eastAsia" w:ascii="宋体" w:hAnsi="宋体" w:cs="宋体"/>
          <w:sz w:val="24"/>
        </w:rPr>
        <w:t>18.2紧急用车：响应时间严格控制在15分钟内，接到申请后5分钟内反馈，优先调配就近合规车辆，确保最快速度抵达指定地点；</w:t>
      </w:r>
    </w:p>
    <w:p>
      <w:pPr>
        <w:spacing w:line="480" w:lineRule="exact"/>
        <w:ind w:firstLine="720"/>
        <w:rPr>
          <w:rFonts w:ascii="宋体" w:hAnsi="宋体" w:cs="宋体"/>
          <w:sz w:val="24"/>
        </w:rPr>
      </w:pPr>
      <w:r>
        <w:rPr>
          <w:rFonts w:hint="eastAsia" w:ascii="宋体" w:hAnsi="宋体" w:cs="宋体"/>
          <w:sz w:val="24"/>
        </w:rPr>
        <w:t>18.3节假日 / 高峰时段（如开学、放假、重大活动）：提前预留应急车辆，响应时间较日常缩短 30%，避免因车辆紧张导致延误。</w:t>
      </w:r>
    </w:p>
    <w:p>
      <w:pPr>
        <w:spacing w:line="480" w:lineRule="exact"/>
        <w:ind w:firstLine="480"/>
        <w:rPr>
          <w:rFonts w:ascii="宋体" w:hAnsi="宋体" w:cs="宋体"/>
          <w:sz w:val="24"/>
        </w:rPr>
      </w:pPr>
      <w:r>
        <w:rPr>
          <w:rFonts w:hint="eastAsia" w:ascii="宋体" w:hAnsi="宋体" w:cs="宋体"/>
          <w:sz w:val="24"/>
        </w:rPr>
        <w:t>19、用车服务质量：</w:t>
      </w:r>
    </w:p>
    <w:p>
      <w:pPr>
        <w:spacing w:line="480" w:lineRule="exact"/>
        <w:ind w:firstLine="720"/>
        <w:rPr>
          <w:rFonts w:ascii="宋体" w:hAnsi="宋体" w:cs="宋体"/>
          <w:sz w:val="24"/>
        </w:rPr>
      </w:pPr>
      <w:r>
        <w:rPr>
          <w:rFonts w:hint="eastAsia" w:ascii="宋体" w:hAnsi="宋体" w:cs="宋体"/>
          <w:sz w:val="24"/>
        </w:rPr>
        <w:t>19.1 车辆质量：除原有要求外，车辆内部无异味、无杂物，座椅整洁可调节，空调、音响、导航等设备正常使用，每次用车前进行全面安全检查（含胎压、刹车、油量等），留存检查记录；</w:t>
      </w:r>
    </w:p>
    <w:p>
      <w:pPr>
        <w:spacing w:line="480" w:lineRule="exact"/>
        <w:ind w:firstLine="720"/>
        <w:rPr>
          <w:rFonts w:ascii="宋体" w:hAnsi="宋体" w:cs="宋体"/>
          <w:sz w:val="24"/>
        </w:rPr>
      </w:pPr>
      <w:r>
        <w:rPr>
          <w:rFonts w:hint="eastAsia" w:ascii="宋体" w:hAnsi="宋体" w:cs="宋体"/>
          <w:sz w:val="24"/>
        </w:rPr>
        <w:t>19.2 服务监督：建立 24 小时投诉反馈渠道，接到投诉后 12 小时内响应处理，24 小时内给出明确解决方案，每月提交服务质量报告，包含投诉处理、用车满意度等数据。</w:t>
      </w:r>
    </w:p>
    <w:p>
      <w:pPr>
        <w:spacing w:line="480" w:lineRule="exact"/>
        <w:ind w:firstLine="720"/>
        <w:rPr>
          <w:rFonts w:ascii="宋体" w:hAnsi="宋体" w:cs="宋体"/>
          <w:sz w:val="24"/>
        </w:rPr>
      </w:pPr>
      <w:r>
        <w:rPr>
          <w:rFonts w:hint="eastAsia" w:ascii="宋体" w:hAnsi="宋体" w:cs="宋体"/>
          <w:sz w:val="24"/>
        </w:rPr>
        <w:t>19.3 考核频次：服务期间内，每年年末开展一次考核。（考核要求详见附件17）​</w:t>
      </w:r>
    </w:p>
    <w:p>
      <w:pPr>
        <w:spacing w:line="480" w:lineRule="exact"/>
        <w:ind w:firstLine="720"/>
        <w:rPr>
          <w:rFonts w:ascii="宋体" w:hAnsi="宋体" w:cs="宋体"/>
          <w:sz w:val="24"/>
        </w:rPr>
      </w:pPr>
      <w:r>
        <w:rPr>
          <w:rFonts w:hint="eastAsia" w:ascii="宋体" w:hAnsi="宋体" w:cs="宋体"/>
          <w:sz w:val="24"/>
        </w:rPr>
        <w:t>19.4考核等第：考核结果分为合格与不合格两个等第，考核标准参照本项目技术及商务要求、服务承诺及日常履约情况制定。​</w:t>
      </w:r>
    </w:p>
    <w:p>
      <w:pPr>
        <w:spacing w:line="480" w:lineRule="exact"/>
        <w:ind w:firstLine="720"/>
        <w:rPr>
          <w:rFonts w:ascii="宋体" w:hAnsi="宋体" w:cs="宋体"/>
          <w:sz w:val="24"/>
        </w:rPr>
      </w:pPr>
      <w:r>
        <w:rPr>
          <w:rFonts w:hint="eastAsia" w:ascii="宋体" w:hAnsi="宋体" w:cs="宋体"/>
          <w:sz w:val="24"/>
        </w:rPr>
        <w:t>19.5考核结果处理：若考核等第为不合格，采购人有权单方面解除本项目服务合同，中标人需承担因合同解除产生的全部相关责任。</w:t>
      </w:r>
    </w:p>
    <w:p>
      <w:pPr>
        <w:spacing w:line="480" w:lineRule="exact"/>
        <w:ind w:firstLine="480"/>
        <w:rPr>
          <w:rFonts w:ascii="宋体" w:hAnsi="宋体" w:cs="宋体"/>
          <w:sz w:val="24"/>
        </w:rPr>
      </w:pPr>
      <w:r>
        <w:rPr>
          <w:rFonts w:hint="eastAsia" w:ascii="宋体" w:hAnsi="宋体" w:cs="宋体"/>
          <w:sz w:val="24"/>
        </w:rPr>
        <w:t>20、服务细致度：</w:t>
      </w:r>
    </w:p>
    <w:p>
      <w:pPr>
        <w:spacing w:line="480" w:lineRule="exact"/>
        <w:ind w:firstLine="720"/>
        <w:rPr>
          <w:rFonts w:ascii="宋体" w:hAnsi="宋体" w:cs="宋体"/>
          <w:sz w:val="24"/>
        </w:rPr>
      </w:pPr>
      <w:r>
        <w:rPr>
          <w:rFonts w:hint="eastAsia" w:ascii="宋体" w:hAnsi="宋体" w:cs="宋体"/>
          <w:sz w:val="24"/>
        </w:rPr>
        <w:t>20.1个性化服务：针对老弱病残师生、携带大件行李 / 贵重物品的用车需求，驾驶员需主动提供协助（如搬运行李、搀扶上下车）；</w:t>
      </w:r>
    </w:p>
    <w:p>
      <w:pPr>
        <w:spacing w:line="480" w:lineRule="exact"/>
        <w:ind w:firstLine="720"/>
        <w:rPr>
          <w:rFonts w:ascii="宋体" w:hAnsi="宋体" w:cs="宋体"/>
          <w:sz w:val="24"/>
        </w:rPr>
      </w:pPr>
      <w:r>
        <w:rPr>
          <w:rFonts w:hint="eastAsia" w:ascii="宋体" w:hAnsi="宋体" w:cs="宋体"/>
          <w:sz w:val="24"/>
        </w:rPr>
        <w:t xml:space="preserve">20.2行程保障：提前熟悉用车路线，避开拥堵路段，若遇路线变更，提前与用车方沟通确认；公务用车可根据需求提供饮用水、雨伞、抽纸等便民物品； </w:t>
      </w:r>
    </w:p>
    <w:p>
      <w:pPr>
        <w:spacing w:line="480" w:lineRule="exact"/>
        <w:ind w:firstLine="720"/>
        <w:rPr>
          <w:rFonts w:ascii="宋体" w:hAnsi="宋体" w:cs="宋体"/>
          <w:sz w:val="24"/>
        </w:rPr>
      </w:pPr>
      <w:r>
        <w:rPr>
          <w:rFonts w:hint="eastAsia" w:ascii="宋体" w:hAnsi="宋体" w:cs="宋体"/>
          <w:sz w:val="24"/>
        </w:rPr>
        <w:t>20.3细节管控：用车结束后，及时清理车辆内遗留物品，若有遗失物品，第一时间联系用车方归还，做好登记记录；严格按照用车方指定的时间、地点接送，不擅自更改行程、提前离岗。</w:t>
      </w:r>
    </w:p>
    <w:p>
      <w:pPr>
        <w:spacing w:line="480" w:lineRule="exact"/>
        <w:ind w:firstLine="480"/>
        <w:rPr>
          <w:rFonts w:ascii="宋体" w:hAnsi="宋体"/>
          <w:sz w:val="24"/>
          <w:szCs w:val="24"/>
        </w:rPr>
      </w:pPr>
      <w:r>
        <w:rPr>
          <w:rFonts w:hint="eastAsia" w:ascii="宋体" w:hAnsi="宋体"/>
          <w:sz w:val="24"/>
          <w:szCs w:val="24"/>
        </w:rPr>
        <w:t>21、汽车驾驶员要求：</w:t>
      </w:r>
    </w:p>
    <w:p>
      <w:pPr>
        <w:spacing w:line="460" w:lineRule="exact"/>
        <w:ind w:firstLine="787"/>
        <w:rPr>
          <w:rFonts w:ascii="宋体" w:hAnsi="宋体"/>
          <w:sz w:val="24"/>
          <w:szCs w:val="24"/>
        </w:rPr>
      </w:pPr>
      <w:r>
        <w:rPr>
          <w:rFonts w:hint="eastAsia" w:ascii="宋体" w:hAnsi="宋体"/>
          <w:sz w:val="24"/>
          <w:szCs w:val="24"/>
        </w:rPr>
        <w:t>21.1 驾驶员年龄60周岁以下，统一着装、言行文明，无吸烟、闲聊、接打私人电话等影响服务的行为，应有从事该业务的相关资质，证照齐全，身体健康，技术良好。具有3年及以上驾龄，3年内无重大交通事故，文明上岗，诚信守时，作风正派，有较强的服务意识和保密意识等。可以公司承诺书的形式确认保证。</w:t>
      </w:r>
    </w:p>
    <w:p>
      <w:pPr>
        <w:spacing w:line="460" w:lineRule="exact"/>
        <w:ind w:firstLine="787"/>
        <w:rPr>
          <w:rFonts w:ascii="宋体" w:hAnsi="宋体"/>
          <w:sz w:val="24"/>
          <w:szCs w:val="24"/>
        </w:rPr>
      </w:pPr>
      <w:r>
        <w:rPr>
          <w:rFonts w:hint="eastAsia" w:ascii="宋体" w:hAnsi="宋体"/>
          <w:sz w:val="24"/>
          <w:szCs w:val="24"/>
        </w:rPr>
        <w:t>21.2 在承担运输任务时，驾驶员应按照行程规划合理路线，并提前15分钟到达指定服务地点，服务热忱，保密意识强、言谈举止文明礼貌。</w:t>
      </w:r>
    </w:p>
    <w:p>
      <w:pPr>
        <w:spacing w:line="460" w:lineRule="exact"/>
        <w:ind w:firstLine="787"/>
        <w:rPr>
          <w:rFonts w:ascii="宋体" w:hAnsi="宋体"/>
          <w:sz w:val="24"/>
          <w:szCs w:val="24"/>
        </w:rPr>
      </w:pPr>
      <w:r>
        <w:rPr>
          <w:rFonts w:hint="eastAsia" w:ascii="宋体" w:hAnsi="宋体"/>
          <w:sz w:val="24"/>
          <w:szCs w:val="24"/>
        </w:rPr>
        <w:t>21.3 驾驶员应保持车辆内部、外部之清洁卫生，保证车况良好，并在气温超过或低于国家规定的数值时开启空调以满足乘坐人员的需求。</w:t>
      </w:r>
    </w:p>
    <w:p>
      <w:pPr>
        <w:spacing w:line="460" w:lineRule="exact"/>
        <w:ind w:firstLine="787"/>
        <w:rPr>
          <w:rFonts w:ascii="宋体" w:hAnsi="宋体"/>
          <w:sz w:val="24"/>
          <w:szCs w:val="24"/>
        </w:rPr>
      </w:pPr>
      <w:r>
        <w:rPr>
          <w:rFonts w:hint="eastAsia" w:ascii="宋体" w:hAnsi="宋体"/>
          <w:sz w:val="24"/>
          <w:szCs w:val="24"/>
        </w:rPr>
        <w:t>21.4 安全管理要求。中标人需定期对驾驶员开展安全教育，传达、学习有关安全、文明营运文件，对驾驶员的安全行车提出具体要求，消除事故隐患，开好安全车。驾驶员应</w:t>
      </w:r>
      <w:r>
        <w:rPr>
          <w:rFonts w:hint="eastAsia" w:ascii="宋体" w:hAnsi="宋体"/>
          <w:sz w:val="24"/>
          <w:szCs w:val="24"/>
          <w:lang w:val="zh-CN"/>
        </w:rPr>
        <w:t>具备处理应急事务的能力。</w:t>
      </w:r>
    </w:p>
    <w:p>
      <w:pPr>
        <w:spacing w:line="440" w:lineRule="exact"/>
        <w:jc w:val="left"/>
        <w:rPr>
          <w:rFonts w:ascii="宋体" w:hAnsi="宋体" w:cs="宋体"/>
          <w:b/>
          <w:sz w:val="28"/>
          <w:szCs w:val="28"/>
        </w:rPr>
      </w:pPr>
      <w:r>
        <w:rPr>
          <w:rFonts w:hint="eastAsia" w:ascii="宋体" w:hAnsi="宋体" w:cs="宋体"/>
          <w:b/>
          <w:sz w:val="28"/>
          <w:szCs w:val="28"/>
          <w:lang w:bidi="ar"/>
        </w:rPr>
        <w:t>三、投标报价要求</w:t>
      </w:r>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sz w:val="24"/>
          <w:szCs w:val="24"/>
        </w:rPr>
        <w:t>1、校内用车服务（含驾驶员）报价包括燃油费、充电费、过路过桥费、停车费、驾驶员工资、保险费、折旧费、维修费、利润、税费等与本项目有关的所有费用。驾驶员食宿费由用车单位承</w:t>
      </w:r>
      <w:r>
        <w:rPr>
          <w:rFonts w:hint="eastAsia" w:ascii="宋体" w:hAnsi="宋体"/>
          <w:color w:val="000000" w:themeColor="text1"/>
          <w:sz w:val="24"/>
          <w:szCs w:val="24"/>
          <w14:textFill>
            <w14:solidFill>
              <w14:schemeClr w14:val="tx1"/>
            </w14:solidFill>
          </w14:textFill>
        </w:rPr>
        <w:t>担，但不得超出我校财务差旅相关制度规定标准。</w:t>
      </w:r>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Times New Roman" w:hAnsi="Times New Roman" w:cs="宋体"/>
          <w:sz w:val="24"/>
          <w:szCs w:val="20"/>
          <w:lang w:bidi="ar"/>
        </w:rPr>
        <w:t>本项目以优惠率（单位为</w:t>
      </w:r>
      <w:r>
        <w:rPr>
          <w:rFonts w:ascii="Times New Roman" w:hAnsi="Times New Roman"/>
          <w:sz w:val="24"/>
          <w:szCs w:val="20"/>
          <w:lang w:bidi="ar"/>
        </w:rPr>
        <w:t>%</w:t>
      </w:r>
      <w:r>
        <w:rPr>
          <w:rFonts w:hint="eastAsia" w:ascii="Times New Roman" w:hAnsi="Times New Roman" w:cs="宋体"/>
          <w:sz w:val="24"/>
          <w:szCs w:val="20"/>
          <w:lang w:bidi="ar"/>
        </w:rPr>
        <w:t>，如</w:t>
      </w:r>
      <w:r>
        <w:rPr>
          <w:rFonts w:hint="eastAsia" w:ascii="Times New Roman" w:hAnsi="Times New Roman"/>
          <w:sz w:val="24"/>
          <w:szCs w:val="20"/>
          <w:lang w:bidi="ar"/>
        </w:rPr>
        <w:t>10</w:t>
      </w:r>
      <w:r>
        <w:rPr>
          <w:rFonts w:ascii="Times New Roman" w:hAnsi="Times New Roman"/>
          <w:sz w:val="24"/>
          <w:szCs w:val="20"/>
          <w:lang w:bidi="ar"/>
        </w:rPr>
        <w:t>.00%</w:t>
      </w:r>
      <w:r>
        <w:rPr>
          <w:rFonts w:hint="eastAsia" w:ascii="Times New Roman" w:hAnsi="Times New Roman" w:cs="宋体"/>
          <w:sz w:val="24"/>
          <w:szCs w:val="20"/>
          <w:lang w:bidi="ar"/>
        </w:rPr>
        <w:t>）的形式报价，</w:t>
      </w:r>
      <w:r>
        <w:rPr>
          <w:rFonts w:hint="eastAsia" w:ascii="Times New Roman" w:hAnsi="Times New Roman" w:cs="宋体"/>
          <w:b/>
          <w:sz w:val="24"/>
          <w:szCs w:val="20"/>
          <w:lang w:bidi="ar"/>
        </w:rPr>
        <w:t>否则将作无效投标处理。</w:t>
      </w:r>
    </w:p>
    <w:p>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3、报价须按照各类车型校内用车服务最高单价限价填报优惠率。各车型最高单价限价如下：</w:t>
      </w:r>
    </w:p>
    <w:p>
      <w:pPr>
        <w:jc w:val="center"/>
        <w:rPr>
          <w:rFonts w:ascii="宋体" w:hAnsi="宋体" w:cs="宋体"/>
          <w:b/>
          <w:color w:val="000000"/>
          <w:sz w:val="24"/>
          <w:szCs w:val="24"/>
        </w:rPr>
      </w:pPr>
      <w:r>
        <w:rPr>
          <w:rFonts w:hint="eastAsia" w:ascii="宋体" w:hAnsi="宋体" w:cs="宋体"/>
          <w:b/>
          <w:color w:val="000000"/>
          <w:sz w:val="24"/>
          <w:szCs w:val="24"/>
          <w:lang w:bidi="ar"/>
        </w:rPr>
        <w:t>各类车型校内用车服务最高单价限价表</w:t>
      </w:r>
    </w:p>
    <w:tbl>
      <w:tblPr>
        <w:tblStyle w:val="46"/>
        <w:tblW w:w="98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6"/>
        <w:gridCol w:w="1232"/>
        <w:gridCol w:w="1230"/>
        <w:gridCol w:w="1080"/>
        <w:gridCol w:w="987"/>
        <w:gridCol w:w="920"/>
        <w:gridCol w:w="877"/>
        <w:gridCol w:w="878"/>
        <w:gridCol w:w="878"/>
        <w:gridCol w:w="10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8" w:hRule="atLeast"/>
          <w:jc w:val="center"/>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ascii="宋体" w:hAnsi="宋体" w:cs="宋体"/>
                <w:sz w:val="24"/>
                <w:szCs w:val="24"/>
              </w:rPr>
            </w:pPr>
            <w:bookmarkStart w:id="213" w:name="OLE_LINK1"/>
            <w:r>
              <w:rPr>
                <w:rFonts w:hint="eastAsia" w:ascii="宋体" w:hAnsi="宋体" w:cs="宋体"/>
                <w:sz w:val="24"/>
                <w:szCs w:val="24"/>
              </w:rPr>
              <w:t>序号</w:t>
            </w:r>
          </w:p>
        </w:tc>
        <w:tc>
          <w:tcPr>
            <w:tcW w:w="12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ascii="宋体" w:hAnsi="宋体" w:cs="宋体"/>
                <w:sz w:val="24"/>
                <w:szCs w:val="24"/>
              </w:rPr>
            </w:pPr>
            <w:r>
              <w:rPr>
                <w:rFonts w:hint="eastAsia" w:ascii="宋体" w:hAnsi="宋体" w:cs="宋体"/>
                <w:sz w:val="24"/>
                <w:szCs w:val="24"/>
              </w:rPr>
              <w:t>车型</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ascii="宋体" w:hAnsi="宋体" w:cs="宋体"/>
                <w:sz w:val="24"/>
                <w:szCs w:val="24"/>
              </w:rPr>
            </w:pPr>
            <w:r>
              <w:rPr>
                <w:rFonts w:hint="eastAsia" w:ascii="宋体" w:hAnsi="宋体" w:cs="宋体"/>
                <w:sz w:val="24"/>
                <w:szCs w:val="24"/>
                <w:lang w:bidi="ar"/>
              </w:rPr>
              <w:t>日租（元）</w:t>
            </w:r>
          </w:p>
          <w:p>
            <w:pPr>
              <w:spacing w:line="320" w:lineRule="exact"/>
              <w:jc w:val="center"/>
              <w:rPr>
                <w:rFonts w:ascii="宋体" w:hAnsi="宋体" w:cs="宋体"/>
                <w:sz w:val="24"/>
                <w:szCs w:val="24"/>
              </w:rPr>
            </w:pPr>
            <w:r>
              <w:rPr>
                <w:rFonts w:hint="eastAsia" w:ascii="宋体" w:hAnsi="宋体" w:cs="宋体"/>
                <w:sz w:val="24"/>
                <w:szCs w:val="24"/>
              </w:rPr>
              <w:t>（8小时/100公里）</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ascii="宋体" w:hAnsi="宋体" w:cs="宋体"/>
                <w:sz w:val="24"/>
                <w:szCs w:val="24"/>
              </w:rPr>
            </w:pPr>
            <w:r>
              <w:rPr>
                <w:rFonts w:hint="eastAsia" w:ascii="宋体" w:hAnsi="宋体" w:cs="宋体"/>
                <w:sz w:val="24"/>
                <w:szCs w:val="24"/>
                <w:lang w:bidi="ar"/>
              </w:rPr>
              <w:t>超时</w:t>
            </w:r>
          </w:p>
          <w:p>
            <w:pPr>
              <w:spacing w:line="320" w:lineRule="exact"/>
              <w:jc w:val="center"/>
              <w:rPr>
                <w:rFonts w:ascii="宋体" w:hAnsi="宋体" w:cs="宋体"/>
                <w:sz w:val="24"/>
                <w:szCs w:val="24"/>
              </w:rPr>
            </w:pPr>
            <w:r>
              <w:rPr>
                <w:rFonts w:hint="eastAsia" w:ascii="宋体" w:hAnsi="宋体" w:cs="宋体"/>
                <w:sz w:val="24"/>
                <w:szCs w:val="24"/>
              </w:rPr>
              <w:t>（元/小时）</w:t>
            </w:r>
          </w:p>
        </w:tc>
        <w:tc>
          <w:tcPr>
            <w:tcW w:w="9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ascii="宋体" w:hAnsi="宋体" w:cs="宋体"/>
                <w:sz w:val="24"/>
                <w:szCs w:val="24"/>
              </w:rPr>
            </w:pPr>
            <w:r>
              <w:rPr>
                <w:rFonts w:hint="eastAsia" w:ascii="宋体" w:hAnsi="宋体" w:cs="宋体"/>
                <w:sz w:val="24"/>
                <w:szCs w:val="24"/>
                <w:lang w:bidi="ar"/>
              </w:rPr>
              <w:t>超公里</w:t>
            </w:r>
          </w:p>
          <w:p>
            <w:pPr>
              <w:spacing w:line="320" w:lineRule="exact"/>
              <w:jc w:val="center"/>
              <w:rPr>
                <w:rFonts w:ascii="宋体" w:hAnsi="宋体" w:cs="宋体"/>
                <w:sz w:val="24"/>
                <w:szCs w:val="24"/>
              </w:rPr>
            </w:pPr>
            <w:r>
              <w:rPr>
                <w:rFonts w:hint="eastAsia" w:ascii="宋体" w:hAnsi="宋体" w:cs="宋体"/>
                <w:sz w:val="24"/>
                <w:szCs w:val="24"/>
              </w:rPr>
              <w:t>（元/公里）</w:t>
            </w:r>
          </w:p>
        </w:tc>
        <w:tc>
          <w:tcPr>
            <w:tcW w:w="4614" w:type="dxa"/>
            <w:gridSpan w:val="5"/>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pPr>
            <w:r>
              <w:rPr>
                <w:rFonts w:hint="eastAsia" w:ascii="宋体" w:hAnsi="宋体" w:cs="宋体"/>
                <w:sz w:val="24"/>
                <w:szCs w:val="24"/>
              </w:rPr>
              <w:t>专线报价（元）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62" w:hRule="exact"/>
          <w:jc w:val="center"/>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sz w:val="20"/>
                <w:szCs w:val="20"/>
              </w:rPr>
            </w:pPr>
          </w:p>
        </w:tc>
        <w:tc>
          <w:tcPr>
            <w:tcW w:w="12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sz w:val="20"/>
                <w:szCs w:val="20"/>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sz w:val="20"/>
                <w:szCs w:val="20"/>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sz w:val="20"/>
                <w:szCs w:val="20"/>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ascii="宋体" w:hAnsi="宋体" w:cs="宋体"/>
                <w:sz w:val="24"/>
                <w:szCs w:val="24"/>
              </w:rPr>
            </w:pPr>
            <w:r>
              <w:rPr>
                <w:rFonts w:hint="eastAsia" w:ascii="宋体" w:hAnsi="宋体" w:cs="宋体"/>
                <w:sz w:val="24"/>
                <w:szCs w:val="24"/>
              </w:rPr>
              <w:t>常熟站</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ascii="宋体" w:hAnsi="宋体" w:cs="宋体"/>
                <w:sz w:val="24"/>
                <w:szCs w:val="24"/>
              </w:rPr>
            </w:pPr>
            <w:r>
              <w:rPr>
                <w:rFonts w:hint="eastAsia" w:ascii="宋体" w:hAnsi="宋体" w:cs="宋体"/>
                <w:sz w:val="24"/>
                <w:szCs w:val="24"/>
              </w:rPr>
              <w:t>苏州北站</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ascii="宋体" w:hAnsi="宋体" w:cs="宋体"/>
                <w:sz w:val="24"/>
                <w:szCs w:val="24"/>
              </w:rPr>
            </w:pPr>
            <w:r>
              <w:rPr>
                <w:rFonts w:hint="eastAsia" w:ascii="宋体" w:hAnsi="宋体" w:cs="宋体"/>
                <w:sz w:val="24"/>
                <w:szCs w:val="24"/>
              </w:rPr>
              <w:t>硕放机场</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ascii="宋体" w:hAnsi="宋体" w:cs="宋体"/>
                <w:sz w:val="24"/>
                <w:szCs w:val="24"/>
              </w:rPr>
            </w:pPr>
            <w:r>
              <w:rPr>
                <w:rFonts w:hint="eastAsia" w:ascii="宋体" w:hAnsi="宋体" w:cs="宋体"/>
                <w:sz w:val="24"/>
                <w:szCs w:val="24"/>
              </w:rPr>
              <w:t>虹桥机场</w:t>
            </w:r>
          </w:p>
        </w:tc>
        <w:tc>
          <w:tcPr>
            <w:tcW w:w="1061" w:type="dxa"/>
            <w:tcBorders>
              <w:top w:val="single" w:color="auto" w:sz="4" w:space="0"/>
              <w:left w:val="single" w:color="000000" w:sz="4" w:space="0"/>
              <w:bottom w:val="nil"/>
              <w:right w:val="single" w:color="auto" w:sz="4" w:space="0"/>
            </w:tcBorders>
            <w:shd w:val="clear" w:color="auto" w:fill="auto"/>
            <w:vAlign w:val="center"/>
          </w:tcPr>
          <w:p>
            <w:pPr>
              <w:spacing w:line="320" w:lineRule="exact"/>
              <w:jc w:val="center"/>
              <w:rPr>
                <w:rFonts w:ascii="宋体" w:hAnsi="宋体" w:cs="宋体"/>
                <w:sz w:val="24"/>
                <w:szCs w:val="24"/>
              </w:rPr>
            </w:pPr>
            <w:r>
              <w:rPr>
                <w:rFonts w:hint="eastAsia" w:ascii="宋体" w:hAnsi="宋体" w:cs="宋体"/>
                <w:sz w:val="24"/>
                <w:szCs w:val="24"/>
              </w:rPr>
              <w:t>浦东机场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47" w:hRule="exact"/>
          <w:jc w:val="center"/>
        </w:trPr>
        <w:tc>
          <w:tcPr>
            <w:tcW w:w="696" w:type="dxa"/>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ascii="宋体" w:hAnsi="宋体" w:cs="宋体"/>
                <w:color w:val="auto"/>
                <w:sz w:val="24"/>
                <w:szCs w:val="24"/>
              </w:rPr>
            </w:pPr>
            <w:r>
              <w:rPr>
                <w:rFonts w:hint="eastAsia" w:ascii="宋体" w:hAnsi="宋体" w:cs="宋体"/>
                <w:color w:val="auto"/>
                <w:sz w:val="24"/>
                <w:szCs w:val="24"/>
              </w:rPr>
              <w:t>1</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sz w:val="24"/>
                <w:szCs w:val="24"/>
              </w:rPr>
            </w:pPr>
            <w:r>
              <w:rPr>
                <w:rFonts w:hint="eastAsia" w:ascii="宋体" w:hAnsi="宋体" w:cs="宋体"/>
                <w:color w:val="auto"/>
                <w:spacing w:val="20"/>
                <w:sz w:val="24"/>
                <w:szCs w:val="24"/>
                <w:lang w:bidi="ar"/>
              </w:rPr>
              <w:t>5座轿车</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ascii="宋体" w:hAnsi="宋体" w:cs="宋体"/>
                <w:color w:val="auto"/>
                <w:szCs w:val="24"/>
                <w:lang w:bidi="ar"/>
              </w:rPr>
              <w:t>450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25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2.5</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150</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300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350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550</w:t>
            </w:r>
          </w:p>
        </w:tc>
        <w:tc>
          <w:tcPr>
            <w:tcW w:w="1061" w:type="dxa"/>
            <w:tcBorders>
              <w:top w:val="single" w:color="auto" w:sz="4" w:space="0"/>
              <w:left w:val="single" w:color="000000" w:sz="4" w:space="0"/>
              <w:bottom w:val="nil"/>
              <w:right w:val="single" w:color="auto" w:sz="4" w:space="0"/>
            </w:tcBorders>
            <w:shd w:val="clear" w:color="auto" w:fill="auto"/>
            <w:vAlign w:val="center"/>
          </w:tcPr>
          <w:p>
            <w:pPr>
              <w:jc w:val="center"/>
              <w:rPr>
                <w:rFonts w:ascii="宋体" w:hAnsi="宋体" w:cs="宋体"/>
                <w:color w:val="auto"/>
              </w:rPr>
            </w:pPr>
            <w:r>
              <w:rPr>
                <w:rFonts w:hint="eastAsia" w:ascii="宋体" w:hAnsi="宋体" w:cs="宋体"/>
                <w:color w:val="auto"/>
                <w:lang w:bidi="ar"/>
              </w:rPr>
              <w:t>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49" w:hRule="exact"/>
          <w:jc w:val="center"/>
        </w:trPr>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ascii="宋体" w:hAnsi="宋体" w:cs="宋体"/>
                <w:color w:val="auto"/>
                <w:sz w:val="24"/>
                <w:szCs w:val="24"/>
              </w:rPr>
            </w:pPr>
            <w:r>
              <w:rPr>
                <w:rFonts w:hint="eastAsia" w:ascii="宋体" w:hAnsi="宋体" w:cs="宋体"/>
                <w:color w:val="auto"/>
                <w:sz w:val="24"/>
                <w:szCs w:val="24"/>
              </w:rPr>
              <w:t>2</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sz w:val="24"/>
                <w:szCs w:val="24"/>
              </w:rPr>
            </w:pPr>
            <w:r>
              <w:rPr>
                <w:rFonts w:hint="eastAsia" w:ascii="宋体" w:hAnsi="宋体" w:cs="宋体"/>
                <w:color w:val="auto"/>
                <w:spacing w:val="20"/>
                <w:sz w:val="24"/>
                <w:szCs w:val="24"/>
                <w:lang w:bidi="ar"/>
              </w:rPr>
              <w:t>7座商务车</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ascii="宋体" w:hAnsi="宋体" w:cs="宋体"/>
                <w:color w:val="auto"/>
                <w:szCs w:val="24"/>
                <w:lang w:bidi="ar"/>
              </w:rPr>
              <w:t>650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25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3.0</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lang w:bidi="ar"/>
              </w:rPr>
            </w:pPr>
            <w:r>
              <w:rPr>
                <w:rFonts w:hint="eastAsia" w:ascii="宋体" w:hAnsi="宋体" w:cs="宋体"/>
                <w:color w:val="auto"/>
                <w:lang w:bidi="ar"/>
              </w:rPr>
              <w:t>250</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350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400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700</w:t>
            </w:r>
          </w:p>
        </w:tc>
        <w:tc>
          <w:tcPr>
            <w:tcW w:w="1061" w:type="dxa"/>
            <w:tcBorders>
              <w:top w:val="single" w:color="auto" w:sz="4" w:space="0"/>
              <w:left w:val="single" w:color="000000" w:sz="4" w:space="0"/>
              <w:bottom w:val="single" w:color="auto" w:sz="4" w:space="0"/>
              <w:right w:val="single" w:color="auto" w:sz="4" w:space="0"/>
            </w:tcBorders>
            <w:shd w:val="clear" w:color="auto" w:fill="auto"/>
            <w:vAlign w:val="center"/>
          </w:tcPr>
          <w:p>
            <w:pPr>
              <w:jc w:val="center"/>
              <w:rPr>
                <w:rFonts w:ascii="宋体" w:hAnsi="宋体" w:cs="宋体"/>
                <w:color w:val="auto"/>
              </w:rPr>
            </w:pPr>
            <w:r>
              <w:rPr>
                <w:rFonts w:hint="eastAsia" w:ascii="宋体" w:hAnsi="宋体" w:cs="宋体"/>
                <w:color w:val="auto"/>
                <w:lang w:bidi="ar"/>
              </w:rPr>
              <w:t>800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exact"/>
          <w:jc w:val="center"/>
        </w:trPr>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ascii="宋体" w:hAnsi="宋体" w:cs="宋体"/>
                <w:color w:val="auto"/>
                <w:sz w:val="24"/>
                <w:szCs w:val="24"/>
              </w:rPr>
            </w:pPr>
            <w:r>
              <w:rPr>
                <w:rFonts w:hint="eastAsia" w:ascii="宋体" w:hAnsi="宋体" w:cs="宋体"/>
                <w:color w:val="auto"/>
                <w:sz w:val="24"/>
                <w:szCs w:val="24"/>
              </w:rPr>
              <w:t>3</w:t>
            </w:r>
          </w:p>
        </w:tc>
        <w:tc>
          <w:tcPr>
            <w:tcW w:w="1232"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center"/>
              <w:rPr>
                <w:rFonts w:ascii="宋体" w:hAnsi="宋体" w:cs="宋体"/>
                <w:color w:val="auto"/>
                <w:spacing w:val="20"/>
                <w:sz w:val="24"/>
                <w:szCs w:val="24"/>
              </w:rPr>
            </w:pPr>
            <w:r>
              <w:rPr>
                <w:rFonts w:hint="eastAsia" w:ascii="宋体" w:hAnsi="宋体" w:cs="宋体"/>
                <w:color w:val="auto"/>
                <w:spacing w:val="20"/>
                <w:sz w:val="24"/>
                <w:szCs w:val="24"/>
                <w:lang w:bidi="ar"/>
              </w:rPr>
              <w:t>13—17座中型客车</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ascii="宋体" w:hAnsi="宋体" w:cs="宋体"/>
                <w:color w:val="auto"/>
                <w:szCs w:val="24"/>
                <w:lang w:bidi="ar"/>
              </w:rPr>
              <w:t>800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40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6.0</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rPr>
            </w:pPr>
            <w:r>
              <w:rPr>
                <w:rFonts w:hint="eastAsia" w:ascii="宋体" w:hAnsi="宋体" w:cs="宋体"/>
                <w:color w:val="auto"/>
                <w:lang w:bidi="ar"/>
              </w:rPr>
              <w:t>400</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rPr>
            </w:pPr>
            <w:r>
              <w:rPr>
                <w:rFonts w:hint="eastAsia" w:ascii="宋体" w:hAnsi="宋体" w:cs="宋体"/>
                <w:color w:val="auto"/>
                <w:lang w:bidi="ar"/>
              </w:rPr>
              <w:t>600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rPr>
            </w:pPr>
            <w:r>
              <w:rPr>
                <w:rFonts w:hint="eastAsia" w:ascii="宋体" w:hAnsi="宋体" w:cs="宋体"/>
                <w:color w:val="auto"/>
                <w:lang w:bidi="ar"/>
              </w:rPr>
              <w:t>650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rPr>
            </w:pPr>
            <w:r>
              <w:rPr>
                <w:rFonts w:hint="eastAsia" w:ascii="宋体" w:hAnsi="宋体" w:cs="宋体"/>
                <w:color w:val="auto"/>
                <w:lang w:bidi="ar"/>
              </w:rPr>
              <w:t>950</w:t>
            </w:r>
          </w:p>
        </w:tc>
        <w:tc>
          <w:tcPr>
            <w:tcW w:w="1061" w:type="dxa"/>
            <w:tcBorders>
              <w:top w:val="nil"/>
              <w:left w:val="single" w:color="000000" w:sz="4" w:space="0"/>
              <w:bottom w:val="single" w:color="auto" w:sz="4" w:space="0"/>
              <w:right w:val="single" w:color="auto" w:sz="4" w:space="0"/>
            </w:tcBorders>
            <w:shd w:val="clear" w:color="auto" w:fill="auto"/>
            <w:vAlign w:val="center"/>
          </w:tcPr>
          <w:p>
            <w:pPr>
              <w:pStyle w:val="38"/>
              <w:spacing w:before="0" w:beforeAutospacing="0" w:after="0" w:afterAutospacing="0"/>
              <w:jc w:val="center"/>
              <w:rPr>
                <w:color w:val="auto"/>
              </w:rPr>
            </w:pPr>
            <w:r>
              <w:rPr>
                <w:rFonts w:hint="eastAsia"/>
                <w:color w:val="auto"/>
                <w:szCs w:val="21"/>
                <w:lang w:bidi="ar"/>
              </w:rPr>
              <w:t>1050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1" w:hRule="exact"/>
          <w:jc w:val="center"/>
        </w:trPr>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ascii="宋体" w:hAnsi="宋体" w:cs="宋体"/>
                <w:color w:val="auto"/>
                <w:sz w:val="24"/>
                <w:szCs w:val="24"/>
              </w:rPr>
            </w:pPr>
            <w:r>
              <w:rPr>
                <w:rFonts w:hint="eastAsia" w:ascii="宋体" w:hAnsi="宋体" w:cs="宋体"/>
                <w:color w:val="auto"/>
                <w:sz w:val="24"/>
                <w:szCs w:val="24"/>
              </w:rPr>
              <w:t>4</w:t>
            </w:r>
          </w:p>
        </w:tc>
        <w:tc>
          <w:tcPr>
            <w:tcW w:w="1232" w:type="dxa"/>
            <w:tcBorders>
              <w:top w:val="single" w:color="auto" w:sz="4" w:space="0"/>
              <w:left w:val="single" w:color="000000" w:sz="4" w:space="0"/>
              <w:bottom w:val="single" w:color="auto" w:sz="4" w:space="0"/>
              <w:right w:val="single" w:color="000000" w:sz="4" w:space="0"/>
            </w:tcBorders>
            <w:shd w:val="clear" w:color="auto" w:fill="auto"/>
            <w:vAlign w:val="center"/>
          </w:tcPr>
          <w:p>
            <w:pPr>
              <w:widowControl/>
              <w:jc w:val="center"/>
              <w:rPr>
                <w:rFonts w:ascii="宋体" w:hAnsi="宋体" w:cs="宋体"/>
                <w:b/>
                <w:color w:val="auto"/>
                <w:sz w:val="24"/>
                <w:szCs w:val="24"/>
              </w:rPr>
            </w:pPr>
            <w:r>
              <w:rPr>
                <w:rFonts w:hint="eastAsia" w:ascii="宋体" w:hAnsi="宋体" w:cs="宋体"/>
                <w:color w:val="auto"/>
                <w:spacing w:val="20"/>
                <w:sz w:val="24"/>
                <w:szCs w:val="24"/>
                <w:lang w:bidi="ar"/>
              </w:rPr>
              <w:t>19—35座大客车</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ascii="宋体" w:hAnsi="宋体" w:cs="宋体"/>
                <w:color w:val="auto"/>
                <w:szCs w:val="24"/>
                <w:lang w:bidi="ar"/>
              </w:rPr>
              <w:t>900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40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7.0</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550</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800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900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1200</w:t>
            </w:r>
          </w:p>
        </w:tc>
        <w:tc>
          <w:tcPr>
            <w:tcW w:w="1061" w:type="dxa"/>
            <w:tcBorders>
              <w:top w:val="nil"/>
              <w:left w:val="single" w:color="000000" w:sz="4" w:space="0"/>
              <w:bottom w:val="single" w:color="auto" w:sz="4" w:space="0"/>
              <w:right w:val="single" w:color="auto" w:sz="4" w:space="0"/>
            </w:tcBorders>
            <w:shd w:val="clear" w:color="auto" w:fill="auto"/>
            <w:vAlign w:val="center"/>
          </w:tcPr>
          <w:p>
            <w:pPr>
              <w:jc w:val="center"/>
              <w:rPr>
                <w:rFonts w:ascii="宋体" w:hAnsi="宋体" w:cs="宋体"/>
                <w:color w:val="auto"/>
              </w:rPr>
            </w:pPr>
            <w:r>
              <w:rPr>
                <w:rFonts w:hint="eastAsia" w:ascii="宋体" w:hAnsi="宋体" w:cs="宋体"/>
                <w:color w:val="auto"/>
                <w:lang w:bidi="ar"/>
              </w:rPr>
              <w:t>1500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0" w:hRule="exact"/>
          <w:jc w:val="center"/>
        </w:trPr>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ascii="宋体" w:hAnsi="宋体" w:cs="宋体"/>
                <w:color w:val="auto"/>
                <w:sz w:val="24"/>
                <w:szCs w:val="24"/>
              </w:rPr>
            </w:pPr>
            <w:r>
              <w:rPr>
                <w:rFonts w:hint="eastAsia" w:ascii="宋体" w:hAnsi="宋体" w:cs="宋体"/>
                <w:color w:val="auto"/>
                <w:sz w:val="24"/>
                <w:szCs w:val="24"/>
              </w:rPr>
              <w:t>5</w:t>
            </w:r>
          </w:p>
        </w:tc>
        <w:tc>
          <w:tcPr>
            <w:tcW w:w="1232" w:type="dxa"/>
            <w:tcBorders>
              <w:top w:val="single" w:color="auto" w:sz="4" w:space="0"/>
              <w:left w:val="single" w:color="000000" w:sz="4" w:space="0"/>
              <w:bottom w:val="single" w:color="auto" w:sz="4" w:space="0"/>
              <w:right w:val="single" w:color="000000" w:sz="4" w:space="0"/>
            </w:tcBorders>
            <w:shd w:val="clear" w:color="auto" w:fill="auto"/>
            <w:vAlign w:val="center"/>
          </w:tcPr>
          <w:p>
            <w:pPr>
              <w:widowControl/>
              <w:jc w:val="center"/>
              <w:rPr>
                <w:rFonts w:ascii="宋体" w:hAnsi="宋体" w:cs="宋体"/>
                <w:b/>
                <w:color w:val="auto"/>
                <w:sz w:val="24"/>
                <w:szCs w:val="24"/>
              </w:rPr>
            </w:pPr>
            <w:r>
              <w:rPr>
                <w:rFonts w:hint="eastAsia" w:ascii="宋体" w:hAnsi="宋体" w:cs="宋体"/>
                <w:color w:val="auto"/>
                <w:spacing w:val="20"/>
                <w:sz w:val="24"/>
                <w:szCs w:val="24"/>
                <w:lang w:bidi="ar"/>
              </w:rPr>
              <w:t>45座及以上大客车</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ascii="宋体" w:hAnsi="宋体" w:cs="宋体"/>
                <w:color w:val="auto"/>
                <w:szCs w:val="24"/>
                <w:lang w:bidi="ar"/>
              </w:rPr>
              <w:t>1100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40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8.0</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650</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900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1000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lang w:bidi="ar"/>
              </w:rPr>
              <w:t>1500</w:t>
            </w:r>
          </w:p>
        </w:tc>
        <w:tc>
          <w:tcPr>
            <w:tcW w:w="1061" w:type="dxa"/>
            <w:tcBorders>
              <w:top w:val="nil"/>
              <w:left w:val="single" w:color="000000" w:sz="4" w:space="0"/>
              <w:bottom w:val="single" w:color="auto" w:sz="4" w:space="0"/>
              <w:right w:val="single" w:color="auto" w:sz="4" w:space="0"/>
            </w:tcBorders>
            <w:shd w:val="clear" w:color="auto" w:fill="auto"/>
            <w:vAlign w:val="center"/>
          </w:tcPr>
          <w:p>
            <w:pPr>
              <w:jc w:val="center"/>
              <w:rPr>
                <w:color w:val="auto"/>
              </w:rPr>
            </w:pPr>
            <w:r>
              <w:rPr>
                <w:rFonts w:hint="eastAsia" w:ascii="宋体" w:hAnsi="宋体" w:cs="宋体"/>
                <w:color w:val="auto"/>
                <w:lang w:bidi="ar"/>
              </w:rPr>
              <w:t>1700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18" w:hRule="exact"/>
          <w:jc w:val="center"/>
        </w:trPr>
        <w:tc>
          <w:tcPr>
            <w:tcW w:w="696" w:type="dxa"/>
            <w:tcBorders>
              <w:top w:val="single" w:color="auto"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4"/>
                <w:szCs w:val="24"/>
              </w:rPr>
            </w:pPr>
            <w:r>
              <w:rPr>
                <w:rFonts w:hint="eastAsia" w:ascii="宋体" w:hAnsi="宋体" w:cs="宋体"/>
                <w:color w:val="auto"/>
                <w:sz w:val="24"/>
                <w:szCs w:val="24"/>
              </w:rPr>
              <w:t>6</w:t>
            </w:r>
          </w:p>
        </w:tc>
        <w:tc>
          <w:tcPr>
            <w:tcW w:w="1232" w:type="dxa"/>
            <w:tcBorders>
              <w:top w:val="single" w:color="auto"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auto"/>
                <w:spacing w:val="20"/>
                <w:sz w:val="24"/>
                <w:szCs w:val="24"/>
              </w:rPr>
            </w:pPr>
            <w:r>
              <w:rPr>
                <w:rFonts w:hint="eastAsia" w:ascii="宋体" w:hAnsi="宋体" w:cs="宋体"/>
                <w:color w:val="auto"/>
                <w:spacing w:val="20"/>
                <w:sz w:val="24"/>
                <w:szCs w:val="24"/>
                <w:lang w:bidi="ar"/>
              </w:rPr>
              <w:t>新能源5座轿车</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ascii="宋体" w:hAnsi="宋体" w:cs="宋体"/>
                <w:color w:val="auto"/>
                <w:szCs w:val="24"/>
                <w:lang w:bidi="ar"/>
              </w:rPr>
              <w:t>400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25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4"/>
              </w:rPr>
            </w:pPr>
            <w:r>
              <w:rPr>
                <w:rFonts w:hint="eastAsia" w:ascii="宋体" w:hAnsi="宋体" w:cs="宋体"/>
                <w:color w:val="auto"/>
                <w:szCs w:val="24"/>
                <w:lang w:bidi="ar"/>
              </w:rPr>
              <w:t>2.0</w:t>
            </w:r>
          </w:p>
        </w:tc>
        <w:tc>
          <w:tcPr>
            <w:tcW w:w="9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rPr>
            </w:pPr>
            <w:r>
              <w:rPr>
                <w:rFonts w:hint="eastAsia" w:ascii="宋体" w:hAnsi="宋体" w:cs="宋体"/>
                <w:color w:val="auto"/>
                <w:lang w:bidi="ar"/>
              </w:rPr>
              <w:t>150</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rPr>
            </w:pPr>
            <w:r>
              <w:rPr>
                <w:rFonts w:ascii="宋体" w:hAnsi="宋体" w:cs="宋体"/>
                <w:color w:val="auto"/>
                <w:lang w:bidi="ar"/>
              </w:rPr>
              <w:t>250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rPr>
            </w:pPr>
            <w:r>
              <w:rPr>
                <w:rFonts w:ascii="宋体" w:hAnsi="宋体" w:cs="宋体"/>
                <w:color w:val="auto"/>
                <w:lang w:bidi="ar"/>
              </w:rPr>
              <w:t>300</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rPr>
            </w:pPr>
            <w:r>
              <w:rPr>
                <w:rFonts w:ascii="宋体" w:hAnsi="宋体" w:cs="宋体"/>
                <w:color w:val="auto"/>
                <w:lang w:bidi="ar"/>
              </w:rPr>
              <w:t>450</w:t>
            </w:r>
          </w:p>
        </w:tc>
        <w:tc>
          <w:tcPr>
            <w:tcW w:w="1061" w:type="dxa"/>
            <w:tcBorders>
              <w:top w:val="nil"/>
              <w:left w:val="single" w:color="000000" w:sz="4" w:space="0"/>
              <w:bottom w:val="single" w:color="auto" w:sz="4" w:space="0"/>
              <w:right w:val="single" w:color="auto" w:sz="4" w:space="0"/>
            </w:tcBorders>
            <w:shd w:val="clear" w:color="auto" w:fill="auto"/>
            <w:vAlign w:val="center"/>
          </w:tcPr>
          <w:p>
            <w:pPr>
              <w:jc w:val="center"/>
              <w:rPr>
                <w:rFonts w:ascii="宋体" w:hAnsi="宋体" w:cs="宋体"/>
                <w:color w:val="auto"/>
              </w:rPr>
            </w:pPr>
          </w:p>
          <w:p>
            <w:pPr>
              <w:jc w:val="center"/>
              <w:rPr>
                <w:rFonts w:ascii="宋体" w:hAnsi="宋体" w:cs="宋体"/>
                <w:color w:val="auto"/>
              </w:rPr>
            </w:pPr>
            <w:r>
              <w:rPr>
                <w:rFonts w:ascii="宋体" w:hAnsi="宋体" w:cs="宋体"/>
                <w:color w:val="auto"/>
                <w:szCs w:val="21"/>
                <w:lang w:bidi="ar"/>
              </w:rPr>
              <w:t>600</w:t>
            </w:r>
          </w:p>
          <w:bookmarkEnd w:id="213"/>
          <w:p>
            <w:pPr>
              <w:jc w:val="center"/>
              <w:rPr>
                <w:rFonts w:ascii="宋体" w:hAnsi="宋体" w:cs="宋体"/>
                <w:color w:val="auto"/>
              </w:rPr>
            </w:pPr>
          </w:p>
        </w:tc>
      </w:tr>
    </w:tbl>
    <w:p>
      <w:pPr>
        <w:spacing w:line="440" w:lineRule="exact"/>
        <w:jc w:val="left"/>
        <w:rPr>
          <w:rFonts w:hint="eastAsia" w:ascii="宋体" w:hAnsi="宋体" w:cs="宋体"/>
          <w:sz w:val="24"/>
          <w:szCs w:val="24"/>
          <w:lang w:bidi="ar"/>
        </w:rPr>
      </w:pPr>
      <w:r>
        <w:rPr>
          <w:rFonts w:hint="eastAsia" w:ascii="宋体" w:hAnsi="宋体" w:cs="宋体"/>
          <w:sz w:val="24"/>
          <w:szCs w:val="24"/>
          <w:lang w:bidi="ar"/>
        </w:rPr>
        <w:t>备注：1</w:t>
      </w:r>
      <w:r>
        <w:rPr>
          <w:rFonts w:hint="eastAsia" w:ascii="宋体" w:hAnsi="宋体" w:cs="宋体"/>
          <w:sz w:val="24"/>
          <w:szCs w:val="24"/>
          <w:lang w:eastAsia="zh-CN" w:bidi="ar"/>
        </w:rPr>
        <w:t>、</w:t>
      </w:r>
      <w:r>
        <w:rPr>
          <w:rFonts w:hint="eastAsia" w:ascii="宋体" w:hAnsi="宋体" w:cs="宋体"/>
          <w:sz w:val="24"/>
          <w:szCs w:val="24"/>
          <w:lang w:bidi="ar"/>
        </w:rPr>
        <w:t>租赁时长：租赁通知的出发时间到实际任务结束时间；</w:t>
      </w:r>
    </w:p>
    <w:p>
      <w:pPr>
        <w:spacing w:line="440" w:lineRule="exact"/>
        <w:ind w:firstLine="787" w:firstLineChars="328"/>
        <w:jc w:val="left"/>
        <w:rPr>
          <w:rFonts w:hint="eastAsia"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eastAsia="zh-CN" w:bidi="ar"/>
        </w:rPr>
        <w:t>、</w:t>
      </w:r>
      <w:r>
        <w:rPr>
          <w:rFonts w:hint="eastAsia" w:ascii="宋体" w:hAnsi="宋体" w:cs="宋体"/>
          <w:sz w:val="24"/>
          <w:szCs w:val="24"/>
          <w:lang w:bidi="ar"/>
        </w:rPr>
        <w:t>不足4小时按包天的50%计算，超过4小时按日租计算。</w:t>
      </w:r>
    </w:p>
    <w:p>
      <w:pPr>
        <w:spacing w:line="440" w:lineRule="exact"/>
        <w:ind w:firstLine="787" w:firstLineChars="328"/>
        <w:jc w:val="left"/>
        <w:rPr>
          <w:rFonts w:hint="eastAsia" w:ascii="宋体" w:hAnsi="宋体" w:cs="宋体"/>
          <w:sz w:val="24"/>
          <w:szCs w:val="24"/>
          <w:lang w:bidi="ar"/>
        </w:rPr>
      </w:pPr>
      <w:r>
        <w:rPr>
          <w:rFonts w:hint="eastAsia" w:ascii="宋体" w:hAnsi="宋体" w:cs="宋体"/>
          <w:sz w:val="24"/>
          <w:szCs w:val="24"/>
          <w:lang w:bidi="ar"/>
        </w:rPr>
        <w:t>3</w:t>
      </w:r>
      <w:r>
        <w:rPr>
          <w:rFonts w:hint="eastAsia" w:ascii="宋体" w:hAnsi="宋体" w:cs="宋体"/>
          <w:sz w:val="24"/>
          <w:szCs w:val="24"/>
          <w:lang w:eastAsia="zh-CN" w:bidi="ar"/>
        </w:rPr>
        <w:t>、</w:t>
      </w:r>
      <w:r>
        <w:rPr>
          <w:rFonts w:hint="eastAsia" w:ascii="宋体" w:hAnsi="宋体" w:cs="宋体"/>
          <w:sz w:val="24"/>
          <w:szCs w:val="24"/>
          <w:lang w:bidi="ar"/>
        </w:rPr>
        <w:t>未超8小时超100公里计算方式：包天价+(超出公里*车型超公里单价)=实际金额。</w:t>
      </w:r>
    </w:p>
    <w:p>
      <w:pPr>
        <w:spacing w:line="440" w:lineRule="exact"/>
        <w:ind w:firstLine="787" w:firstLineChars="328"/>
        <w:jc w:val="left"/>
        <w:rPr>
          <w:rFonts w:hint="eastAsia" w:ascii="宋体" w:hAnsi="宋体" w:cs="宋体"/>
          <w:sz w:val="24"/>
          <w:szCs w:val="24"/>
          <w:lang w:bidi="ar"/>
        </w:rPr>
      </w:pPr>
      <w:r>
        <w:rPr>
          <w:rFonts w:hint="eastAsia" w:ascii="宋体" w:hAnsi="宋体" w:cs="宋体"/>
          <w:sz w:val="24"/>
          <w:szCs w:val="24"/>
          <w:lang w:bidi="ar"/>
        </w:rPr>
        <w:t>4</w:t>
      </w:r>
      <w:r>
        <w:rPr>
          <w:rFonts w:hint="eastAsia" w:ascii="宋体" w:hAnsi="宋体" w:cs="宋体"/>
          <w:sz w:val="24"/>
          <w:szCs w:val="24"/>
          <w:lang w:eastAsia="zh-CN" w:bidi="ar"/>
        </w:rPr>
        <w:t>、</w:t>
      </w:r>
      <w:r>
        <w:rPr>
          <w:rFonts w:hint="eastAsia" w:ascii="宋体" w:hAnsi="宋体" w:cs="宋体"/>
          <w:sz w:val="24"/>
          <w:szCs w:val="24"/>
          <w:lang w:bidi="ar"/>
        </w:rPr>
        <w:t>未超100公里超8小时计算方式：包天价+超每小时单价*超出小时=实际金额。</w:t>
      </w:r>
    </w:p>
    <w:p>
      <w:pPr>
        <w:spacing w:line="440" w:lineRule="exact"/>
        <w:ind w:firstLine="787" w:firstLineChars="328"/>
        <w:jc w:val="left"/>
        <w:rPr>
          <w:rFonts w:hint="eastAsia" w:ascii="宋体" w:hAnsi="宋体" w:cs="宋体"/>
          <w:sz w:val="24"/>
          <w:szCs w:val="24"/>
          <w:lang w:bidi="ar"/>
        </w:rPr>
      </w:pPr>
      <w:r>
        <w:rPr>
          <w:rFonts w:hint="eastAsia" w:ascii="宋体" w:hAnsi="宋体" w:cs="宋体"/>
          <w:sz w:val="24"/>
          <w:szCs w:val="24"/>
          <w:lang w:bidi="ar"/>
        </w:rPr>
        <w:t>5</w:t>
      </w:r>
      <w:r>
        <w:rPr>
          <w:rFonts w:hint="eastAsia" w:ascii="宋体" w:hAnsi="宋体" w:cs="宋体"/>
          <w:sz w:val="24"/>
          <w:szCs w:val="24"/>
          <w:lang w:eastAsia="zh-CN" w:bidi="ar"/>
        </w:rPr>
        <w:t>、</w:t>
      </w:r>
      <w:r>
        <w:rPr>
          <w:rFonts w:hint="eastAsia" w:ascii="宋体" w:hAnsi="宋体" w:cs="宋体"/>
          <w:sz w:val="24"/>
          <w:szCs w:val="24"/>
          <w:lang w:bidi="ar"/>
        </w:rPr>
        <w:t>超8小时超100公里计算方式：包天价+(超出公里*车型超公里单价)+超每小时单价*</w:t>
      </w:r>
    </w:p>
    <w:p>
      <w:pPr>
        <w:spacing w:line="440" w:lineRule="exact"/>
        <w:ind w:firstLine="480"/>
        <w:jc w:val="left"/>
        <w:rPr>
          <w:rFonts w:hint="eastAsia" w:ascii="宋体" w:hAnsi="宋体" w:cs="宋体"/>
          <w:sz w:val="24"/>
          <w:szCs w:val="24"/>
          <w:lang w:bidi="ar"/>
        </w:rPr>
      </w:pPr>
      <w:r>
        <w:rPr>
          <w:rFonts w:hint="eastAsia" w:ascii="宋体" w:hAnsi="宋体" w:cs="宋体"/>
          <w:sz w:val="24"/>
          <w:szCs w:val="24"/>
          <w:lang w:bidi="ar"/>
        </w:rPr>
        <w:t>超出小时=实际金额。</w:t>
      </w:r>
    </w:p>
    <w:p>
      <w:pPr>
        <w:spacing w:line="440" w:lineRule="exact"/>
        <w:ind w:firstLine="787" w:firstLineChars="328"/>
        <w:jc w:val="left"/>
        <w:rPr>
          <w:rFonts w:hint="eastAsia" w:ascii="宋体" w:hAnsi="宋体" w:cs="宋体"/>
          <w:sz w:val="24"/>
          <w:szCs w:val="24"/>
          <w:lang w:bidi="ar"/>
        </w:rPr>
      </w:pPr>
      <w:r>
        <w:rPr>
          <w:rFonts w:hint="eastAsia" w:ascii="宋体" w:hAnsi="宋体" w:cs="宋体"/>
          <w:sz w:val="24"/>
          <w:szCs w:val="24"/>
          <w:lang w:bidi="ar"/>
        </w:rPr>
        <w:t>6</w:t>
      </w:r>
      <w:r>
        <w:rPr>
          <w:rFonts w:hint="eastAsia" w:ascii="宋体" w:hAnsi="宋体" w:cs="宋体"/>
          <w:sz w:val="24"/>
          <w:szCs w:val="24"/>
          <w:lang w:eastAsia="zh-CN" w:bidi="ar"/>
        </w:rPr>
        <w:t>、</w:t>
      </w:r>
      <w:r>
        <w:rPr>
          <w:rFonts w:hint="eastAsia" w:ascii="宋体" w:hAnsi="宋体" w:cs="宋体"/>
          <w:sz w:val="24"/>
          <w:szCs w:val="24"/>
          <w:lang w:bidi="ar"/>
        </w:rPr>
        <w:t>对于一些特殊情形下的短时间(1小时以内)，短距离(5公里以内)租赁，以出租车市场</w:t>
      </w:r>
    </w:p>
    <w:p>
      <w:pPr>
        <w:spacing w:line="440" w:lineRule="exact"/>
        <w:ind w:firstLine="480"/>
        <w:jc w:val="left"/>
        <w:rPr>
          <w:rFonts w:hint="eastAsia" w:ascii="宋体" w:hAnsi="宋体" w:cs="宋体"/>
          <w:sz w:val="24"/>
          <w:szCs w:val="24"/>
          <w:lang w:bidi="ar"/>
        </w:rPr>
      </w:pPr>
      <w:r>
        <w:rPr>
          <w:rFonts w:hint="eastAsia" w:ascii="宋体" w:hAnsi="宋体" w:cs="宋体"/>
          <w:sz w:val="24"/>
          <w:szCs w:val="24"/>
          <w:lang w:bidi="ar"/>
        </w:rPr>
        <w:t>价为基准另行协商约定。</w:t>
      </w:r>
    </w:p>
    <w:p>
      <w:pPr>
        <w:spacing w:line="440" w:lineRule="exact"/>
        <w:ind w:firstLine="787" w:firstLineChars="328"/>
        <w:jc w:val="left"/>
        <w:rPr>
          <w:rFonts w:hint="eastAsia" w:ascii="宋体" w:hAnsi="宋体" w:cs="宋体"/>
          <w:sz w:val="24"/>
          <w:szCs w:val="24"/>
          <w:lang w:bidi="ar"/>
        </w:rPr>
      </w:pPr>
      <w:r>
        <w:rPr>
          <w:rFonts w:hint="eastAsia" w:ascii="宋体" w:hAnsi="宋体" w:cs="宋体"/>
          <w:sz w:val="24"/>
          <w:szCs w:val="24"/>
          <w:lang w:bidi="ar"/>
        </w:rPr>
        <w:t>7</w:t>
      </w:r>
      <w:r>
        <w:rPr>
          <w:rFonts w:hint="eastAsia" w:ascii="宋体" w:hAnsi="宋体" w:cs="宋体"/>
          <w:sz w:val="24"/>
          <w:szCs w:val="24"/>
          <w:lang w:eastAsia="zh-CN" w:bidi="ar"/>
        </w:rPr>
        <w:t>、</w:t>
      </w:r>
      <w:r>
        <w:rPr>
          <w:rFonts w:hint="eastAsia" w:ascii="宋体" w:hAnsi="宋体" w:cs="宋体"/>
          <w:sz w:val="24"/>
          <w:szCs w:val="24"/>
          <w:lang w:bidi="ar"/>
        </w:rPr>
        <w:t>以上价格包含发票税收，过境过路费，停车费等费用，结算时按照有利于采购人的租</w:t>
      </w:r>
    </w:p>
    <w:p>
      <w:pPr>
        <w:spacing w:line="440" w:lineRule="exact"/>
        <w:ind w:firstLine="480"/>
        <w:jc w:val="left"/>
        <w:rPr>
          <w:rFonts w:hint="eastAsia" w:ascii="宋体" w:hAnsi="宋体" w:cs="宋体"/>
          <w:sz w:val="24"/>
          <w:szCs w:val="24"/>
          <w:lang w:bidi="ar"/>
        </w:rPr>
      </w:pPr>
      <w:r>
        <w:rPr>
          <w:rFonts w:hint="eastAsia" w:ascii="宋体" w:hAnsi="宋体" w:cs="宋体"/>
          <w:sz w:val="24"/>
          <w:szCs w:val="24"/>
          <w:lang w:bidi="ar"/>
        </w:rPr>
        <w:t>赁方式进行结算。</w:t>
      </w:r>
    </w:p>
    <w:p>
      <w:pPr>
        <w:spacing w:line="440" w:lineRule="exact"/>
        <w:rPr>
          <w:rFonts w:ascii="宋体" w:hAnsi="宋体" w:cs="宋体"/>
          <w:b/>
          <w:sz w:val="28"/>
          <w:szCs w:val="28"/>
        </w:rPr>
      </w:pPr>
      <w:r>
        <w:rPr>
          <w:rFonts w:hint="eastAsia" w:ascii="宋体" w:hAnsi="宋体" w:cs="宋体"/>
          <w:b/>
          <w:color w:val="auto"/>
          <w:sz w:val="28"/>
          <w:szCs w:val="28"/>
          <w:lang w:bidi="ar"/>
        </w:rPr>
        <w:t>四、商务要求：</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1、保证能接受采购人的监督、检查。</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2、保证所提供的服务符合国家有关质量技术标准及相关法律、法规规定的要求。</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3、保证本项目采购人优先享受各项服务。</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4、针对本项目成立服务小组，指派专人负责日常管理及联络工作。</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5、建立采购人投诉及处理台账，记录投诉内容及协调处理方法，有效督促严格履约。</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6、提供技术服务热线（7*24小时），负责解答采购人遇到的问题。</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7、协助有关部门做好廉政工作，防止腐败现象的出现。</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8、投标人提供的其他服务承诺。</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9、投标人应按照管理相关规定，主动配合采购人和各级财政部门的管理，按照相关的要求实施，并应做好信息维护、履约管理等工作。</w:t>
      </w:r>
    </w:p>
    <w:p>
      <w:pPr>
        <w:spacing w:line="440" w:lineRule="exact"/>
        <w:ind w:firstLine="480"/>
        <w:jc w:val="left"/>
        <w:rPr>
          <w:rFonts w:ascii="宋体" w:hAnsi="宋体" w:cs="宋体"/>
          <w:b/>
          <w:sz w:val="28"/>
          <w:szCs w:val="28"/>
          <w:lang w:bidi="ar"/>
        </w:rPr>
      </w:pPr>
      <w:r>
        <w:rPr>
          <w:rFonts w:hint="eastAsia" w:ascii="宋体" w:hAnsi="宋体" w:cs="宋体"/>
          <w:sz w:val="24"/>
          <w:szCs w:val="24"/>
          <w:lang w:bidi="ar"/>
        </w:rPr>
        <w:t>10、验收：采购人组织验收，符合采购文件和投标文件要求和承诺书承诺方可验收。</w:t>
      </w:r>
    </w:p>
    <w:p>
      <w:pPr>
        <w:spacing w:line="440" w:lineRule="exact"/>
        <w:rPr>
          <w:rFonts w:ascii="宋体" w:hAnsi="宋体" w:cs="宋体"/>
          <w:b/>
          <w:sz w:val="28"/>
          <w:szCs w:val="28"/>
        </w:rPr>
      </w:pPr>
      <w:r>
        <w:rPr>
          <w:rFonts w:hint="eastAsia" w:ascii="宋体" w:hAnsi="宋体" w:cs="宋体"/>
          <w:b/>
          <w:sz w:val="28"/>
          <w:szCs w:val="28"/>
          <w:lang w:bidi="ar"/>
        </w:rPr>
        <w:t>五、履约管理要求：</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1、管理形式</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采购人通过满意度调查、随机抽查、投诉举报处理等方式，对中标人开展履约及售后服务监督，检查和处理结果将在一定范围内公布。</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2、管理标准</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 xml:space="preserve">在监管检查中，如发现以下情形，视为不合格行为。采购人在核实情况后将对相关责任中标人予以处理： </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2.1服务不符合国家有关规定、投标承诺和招标文件规定。</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2.2无正当理由不按照承诺服务或提供售后服务。</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2.3具体项目成交价高于其投标价格或服务承诺。</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2.4使用不正当竞争手段，影响采购单位正常采购活动。</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2.5满意度调查中采购人反馈不满意，经核实确系中标人责任。</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2.6无正当理由放弃资格。</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2.7其他违法违规行为。</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3、管理措施</w:t>
      </w:r>
    </w:p>
    <w:p>
      <w:pPr>
        <w:spacing w:line="440" w:lineRule="exact"/>
        <w:ind w:firstLine="480"/>
        <w:jc w:val="left"/>
        <w:rPr>
          <w:rFonts w:ascii="宋体" w:hAnsi="宋体" w:cs="宋体"/>
          <w:sz w:val="24"/>
          <w:szCs w:val="24"/>
          <w:lang w:bidi="ar"/>
        </w:rPr>
      </w:pPr>
      <w:r>
        <w:rPr>
          <w:rFonts w:hint="eastAsia" w:ascii="宋体" w:hAnsi="宋体" w:cs="宋体"/>
          <w:sz w:val="24"/>
          <w:szCs w:val="24"/>
          <w:lang w:bidi="ar"/>
        </w:rPr>
        <w:t>对履约监管中发现的不合格行为，按以下措施处理：</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3.1整改</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中标人在服务期间存在不合格行为，采购人出具《责令整改通知书》，限定时间完成整改。被开具《责令整改通知书》的中标人，视作差评，记录在案。</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3.2暂停交易资格</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对拒不接受采购人约谈，或者规定时间未按《责令整改通知书》完成整改的中标人，暂停其资格三个月，并在校内网站公示。</w:t>
      </w:r>
    </w:p>
    <w:p>
      <w:pPr>
        <w:spacing w:line="440" w:lineRule="exact"/>
        <w:ind w:firstLine="720"/>
        <w:jc w:val="left"/>
        <w:rPr>
          <w:rFonts w:ascii="宋体" w:hAnsi="宋体" w:cs="宋体"/>
          <w:sz w:val="24"/>
          <w:szCs w:val="24"/>
          <w:lang w:bidi="ar"/>
        </w:rPr>
      </w:pPr>
      <w:r>
        <w:rPr>
          <w:rFonts w:hint="eastAsia" w:ascii="宋体" w:hAnsi="宋体" w:cs="宋体"/>
          <w:sz w:val="24"/>
          <w:szCs w:val="24"/>
          <w:lang w:bidi="ar"/>
        </w:rPr>
        <w:t>3.3终止交易资格</w:t>
      </w:r>
    </w:p>
    <w:p>
      <w:pPr>
        <w:spacing w:line="440" w:lineRule="exact"/>
        <w:ind w:firstLine="720"/>
        <w:jc w:val="left"/>
      </w:pPr>
      <w:r>
        <w:rPr>
          <w:rFonts w:hint="eastAsia" w:ascii="宋体" w:hAnsi="宋体" w:cs="宋体"/>
          <w:sz w:val="24"/>
          <w:szCs w:val="24"/>
          <w:lang w:bidi="ar"/>
        </w:rPr>
        <w:t>中标人在被发现存在恶意违规，造成严重后果，或在服务有效期内两次被开具《责令整改通知单》，解除当期资格，同时报请学校采购管理部门，记录在案。</w:t>
      </w:r>
    </w:p>
    <w:p>
      <w:pPr>
        <w:spacing w:line="440" w:lineRule="exact"/>
        <w:rPr>
          <w:rFonts w:ascii="宋体" w:hAnsi="宋体" w:cs="宋体"/>
          <w:b/>
          <w:sz w:val="28"/>
          <w:szCs w:val="28"/>
        </w:rPr>
      </w:pPr>
      <w:r>
        <w:rPr>
          <w:rFonts w:hint="eastAsia" w:ascii="宋体" w:hAnsi="宋体" w:cs="宋体"/>
          <w:b/>
          <w:sz w:val="28"/>
          <w:szCs w:val="28"/>
          <w:lang w:bidi="ar"/>
        </w:rPr>
        <w:t>六、其他要求：</w:t>
      </w:r>
    </w:p>
    <w:p>
      <w:pPr>
        <w:spacing w:line="440" w:lineRule="exact"/>
        <w:ind w:firstLine="482"/>
        <w:jc w:val="left"/>
        <w:rPr>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1、“第四章  采购需求”中，斜体且有下划线部分为实质性要求，</w:t>
      </w:r>
      <w:r>
        <w:rPr>
          <w:rFonts w:hint="eastAsia" w:ascii="Times New Roman" w:hAnsi="Times New Roman"/>
          <w:b/>
          <w:bCs/>
          <w:color w:val="000000" w:themeColor="text1"/>
          <w:sz w:val="24"/>
          <w:szCs w:val="24"/>
          <w14:textFill>
            <w14:solidFill>
              <w14:schemeClr w14:val="tx1"/>
            </w14:solidFill>
          </w14:textFill>
        </w:rPr>
        <w:t>任何一项</w:t>
      </w:r>
      <w:r>
        <w:rPr>
          <w:rFonts w:hint="eastAsia"/>
          <w:b/>
          <w:bCs/>
          <w:color w:val="000000" w:themeColor="text1"/>
          <w:sz w:val="24"/>
          <w14:textFill>
            <w14:solidFill>
              <w14:schemeClr w14:val="tx1"/>
            </w14:solidFill>
          </w14:textFill>
        </w:rPr>
        <w:t>实质性要求</w:t>
      </w:r>
      <w:r>
        <w:rPr>
          <w:rFonts w:hint="eastAsia" w:ascii="Times New Roman" w:hAnsi="Times New Roman"/>
          <w:b/>
          <w:bCs/>
          <w:color w:val="000000" w:themeColor="text1"/>
          <w:sz w:val="24"/>
          <w:szCs w:val="24"/>
          <w14:textFill>
            <w14:solidFill>
              <w14:schemeClr w14:val="tx1"/>
            </w14:solidFill>
          </w14:textFill>
        </w:rPr>
        <w:t>未满足的，</w:t>
      </w:r>
      <w:r>
        <w:rPr>
          <w:rFonts w:hint="eastAsia" w:ascii="Times New Roman" w:hAnsi="Times New Roman"/>
          <w:b/>
          <w:bCs/>
          <w:color w:val="000000" w:themeColor="text1"/>
          <w:sz w:val="24"/>
          <w14:textFill>
            <w14:solidFill>
              <w14:schemeClr w14:val="tx1"/>
            </w14:solidFill>
          </w14:textFill>
        </w:rPr>
        <w:t>将作无效投标处理</w:t>
      </w:r>
      <w:r>
        <w:rPr>
          <w:rFonts w:hint="eastAsia"/>
          <w:b/>
          <w:bCs/>
          <w:color w:val="000000" w:themeColor="text1"/>
          <w:sz w:val="24"/>
          <w14:textFill>
            <w14:solidFill>
              <w14:schemeClr w14:val="tx1"/>
            </w14:solidFill>
          </w14:textFill>
        </w:rPr>
        <w:t>。</w:t>
      </w:r>
    </w:p>
    <w:p>
      <w:pPr>
        <w:spacing w:line="440" w:lineRule="exact"/>
        <w:jc w:val="left"/>
        <w:rPr>
          <w:rFonts w:ascii="宋体" w:hAnsi="宋体" w:cs="宋体"/>
          <w:sz w:val="24"/>
          <w:szCs w:val="24"/>
          <w:lang w:bidi="ar"/>
        </w:rPr>
      </w:pPr>
      <w:r>
        <w:rPr>
          <w:rFonts w:hint="eastAsia" w:ascii="宋体" w:hAnsi="宋体" w:cs="宋体"/>
          <w:sz w:val="24"/>
          <w:szCs w:val="24"/>
          <w:lang w:bidi="ar"/>
        </w:rPr>
        <w:t xml:space="preserve">    </w:t>
      </w:r>
      <w:r>
        <w:rPr>
          <w:rFonts w:hint="eastAsia" w:ascii="宋体" w:hAnsi="宋体"/>
          <w:b/>
          <w:bCs/>
          <w:color w:val="000000" w:themeColor="text1"/>
          <w:sz w:val="24"/>
          <w:szCs w:val="24"/>
          <w14:textFill>
            <w14:solidFill>
              <w14:schemeClr w14:val="tx1"/>
            </w14:solidFill>
          </w14:textFill>
        </w:rPr>
        <w:t>2、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rPr>
          <w:rFonts w:hint="eastAsia" w:asciiTheme="minorEastAsia" w:hAnsiTheme="minorEastAsia" w:eastAsiaTheme="minorEastAsia" w:cstheme="minorEastAsia"/>
          <w:b/>
          <w:bCs/>
          <w:sz w:val="24"/>
          <w:szCs w:val="24"/>
        </w:rPr>
        <w:t>。</w:t>
      </w:r>
    </w:p>
    <w:p>
      <w:pPr>
        <w:spacing w:line="440" w:lineRule="exact"/>
        <w:jc w:val="left"/>
        <w:rPr>
          <w:rFonts w:ascii="宋体" w:hAnsi="宋体" w:cs="宋体"/>
          <w:sz w:val="24"/>
          <w:szCs w:val="24"/>
          <w:lang w:bidi="ar"/>
        </w:rPr>
      </w:pP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p>
    <w:p>
      <w:pPr>
        <w:keepNext/>
        <w:jc w:val="center"/>
        <w:outlineLvl w:val="0"/>
        <w:rPr>
          <w:rFonts w:ascii="黑体" w:hAnsi="Courier New" w:eastAsia="黑体" w:cs="Courier New"/>
          <w:bCs/>
          <w:color w:val="000000" w:themeColor="text1"/>
          <w:sz w:val="44"/>
          <w:szCs w:val="21"/>
          <w14:textFill>
            <w14:solidFill>
              <w14:schemeClr w14:val="tx1"/>
            </w14:solidFill>
          </w14:textFill>
        </w:rPr>
      </w:pPr>
      <w:bookmarkStart w:id="214" w:name="_Toc228349838"/>
      <w:r>
        <w:rPr>
          <w:rFonts w:hint="eastAsia" w:ascii="黑体" w:hAnsi="Courier New" w:eastAsia="黑体" w:cs="Courier New"/>
          <w:bCs/>
          <w:color w:val="000000" w:themeColor="text1"/>
          <w:sz w:val="44"/>
          <w:szCs w:val="21"/>
          <w14:textFill>
            <w14:solidFill>
              <w14:schemeClr w14:val="tx1"/>
            </w14:solidFill>
          </w14:textFill>
        </w:rPr>
        <w:t>第五章  评标方法与评标标准</w:t>
      </w:r>
      <w:bookmarkEnd w:id="214"/>
    </w:p>
    <w:p>
      <w:pPr>
        <w:rPr>
          <w:rFonts w:ascii="Times New Roman" w:hAnsi="Times New Roman"/>
          <w:color w:val="000000" w:themeColor="text1"/>
          <w:szCs w:val="21"/>
          <w14:textFill>
            <w14:solidFill>
              <w14:schemeClr w14:val="tx1"/>
            </w14:solidFill>
          </w14:textFill>
        </w:rPr>
      </w:pPr>
    </w:p>
    <w:p>
      <w:pPr>
        <w:keepNext/>
        <w:ind w:firstLine="281"/>
        <w:jc w:val="left"/>
        <w:outlineLvl w:val="0"/>
        <w:rPr>
          <w:b/>
          <w:bCs/>
          <w:color w:val="000000" w:themeColor="text1"/>
          <w:sz w:val="28"/>
          <w:szCs w:val="28"/>
          <w14:textFill>
            <w14:solidFill>
              <w14:schemeClr w14:val="tx1"/>
            </w14:solidFill>
          </w14:textFill>
        </w:rPr>
      </w:pPr>
      <w:bookmarkStart w:id="215" w:name="_Toc228349839"/>
      <w:bookmarkStart w:id="216" w:name="_Toc16264"/>
      <w:bookmarkStart w:id="217" w:name="_Toc17476"/>
      <w:bookmarkStart w:id="218" w:name="_Toc698"/>
      <w:r>
        <w:rPr>
          <w:rFonts w:hint="eastAsia" w:ascii="Times New Roman" w:hAnsi="Times New Roman"/>
          <w:b/>
          <w:sz w:val="28"/>
          <w:szCs w:val="28"/>
          <w:lang w:bidi="ar"/>
        </w:rPr>
        <w:t>标段一、标段二</w:t>
      </w:r>
      <w:bookmarkEnd w:id="215"/>
    </w:p>
    <w:p>
      <w:pPr>
        <w:spacing w:line="480" w:lineRule="exact"/>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一、评标办法：</w:t>
      </w:r>
      <w:bookmarkEnd w:id="216"/>
      <w:bookmarkEnd w:id="217"/>
      <w:bookmarkEnd w:id="218"/>
    </w:p>
    <w:p>
      <w:pPr>
        <w:spacing w:line="460" w:lineRule="exact"/>
        <w:ind w:firstLine="480"/>
        <w:rPr>
          <w:rFonts w:ascii="宋体" w:hAnsi="宋体" w:cs="宋体"/>
          <w:bCs/>
          <w:sz w:val="24"/>
          <w:szCs w:val="20"/>
          <w:lang w:bidi="ar"/>
        </w:rPr>
      </w:pPr>
      <w:r>
        <w:rPr>
          <w:rFonts w:hint="eastAsia" w:ascii="宋体" w:hAnsi="宋体"/>
          <w:sz w:val="24"/>
          <w:szCs w:val="24"/>
        </w:rPr>
        <w:t>本项目根据标段</w:t>
      </w:r>
      <w:r>
        <w:rPr>
          <w:rFonts w:ascii="宋体" w:hAnsi="宋体"/>
          <w:sz w:val="24"/>
          <w:szCs w:val="24"/>
        </w:rPr>
        <w:t>进行</w:t>
      </w:r>
      <w:r>
        <w:rPr>
          <w:rFonts w:hint="eastAsia" w:ascii="宋体" w:hAnsi="宋体"/>
          <w:sz w:val="24"/>
          <w:szCs w:val="24"/>
        </w:rPr>
        <w:t>独立</w:t>
      </w:r>
      <w:r>
        <w:rPr>
          <w:rFonts w:ascii="宋体" w:hAnsi="宋体"/>
          <w:sz w:val="24"/>
          <w:szCs w:val="24"/>
        </w:rPr>
        <w:t>评审，</w:t>
      </w:r>
      <w:r>
        <w:rPr>
          <w:rFonts w:hint="eastAsia" w:ascii="宋体" w:hAnsi="宋体"/>
          <w:sz w:val="24"/>
          <w:szCs w:val="24"/>
        </w:rPr>
        <w:t>按标段</w:t>
      </w:r>
      <w:r>
        <w:rPr>
          <w:rFonts w:ascii="宋体" w:hAnsi="宋体"/>
          <w:sz w:val="24"/>
          <w:szCs w:val="24"/>
        </w:rPr>
        <w:t>一</w:t>
      </w:r>
      <w:r>
        <w:rPr>
          <w:rFonts w:hint="eastAsia" w:ascii="宋体" w:hAnsi="宋体"/>
          <w:sz w:val="24"/>
          <w:szCs w:val="24"/>
        </w:rPr>
        <w:t>、标段</w:t>
      </w:r>
      <w:r>
        <w:rPr>
          <w:rFonts w:ascii="宋体" w:hAnsi="宋体"/>
          <w:sz w:val="24"/>
          <w:szCs w:val="24"/>
        </w:rPr>
        <w:t>二的</w:t>
      </w:r>
      <w:r>
        <w:rPr>
          <w:rFonts w:hint="eastAsia" w:ascii="宋体" w:hAnsi="宋体"/>
          <w:sz w:val="24"/>
          <w:szCs w:val="24"/>
        </w:rPr>
        <w:t>顺序进行。已评审完的标段中被确定中标人的，在后续标段中不具有得标权。</w:t>
      </w:r>
    </w:p>
    <w:p>
      <w:pPr>
        <w:spacing w:line="460" w:lineRule="exact"/>
        <w:ind w:firstLine="480"/>
        <w:rPr>
          <w:rFonts w:ascii="宋体" w:hAnsi="宋体" w:cs="宋体"/>
          <w:bCs/>
          <w:sz w:val="24"/>
          <w:szCs w:val="20"/>
          <w:lang w:bidi="ar"/>
        </w:rPr>
      </w:pPr>
      <w:r>
        <w:rPr>
          <w:rFonts w:hint="eastAsia" w:ascii="宋体" w:hAnsi="宋体" w:cs="宋体"/>
          <w:bCs/>
          <w:sz w:val="24"/>
          <w:szCs w:val="20"/>
          <w:lang w:bidi="ar"/>
        </w:rPr>
        <w:t>1、评标办法采用综合评分法。评审结果按评审后得分由高到低顺序排列。得分相同的，按最后报价由低到高顺序排列。得分且最后报价相同的，按技术指标优劣顺序排列。</w:t>
      </w:r>
    </w:p>
    <w:p>
      <w:pPr>
        <w:spacing w:line="460" w:lineRule="exact"/>
        <w:ind w:firstLine="480"/>
        <w:rPr>
          <w:rFonts w:ascii="宋体" w:hAnsi="宋体" w:cs="宋体"/>
          <w:bCs/>
          <w:sz w:val="24"/>
          <w:szCs w:val="20"/>
          <w:lang w:bidi="ar"/>
        </w:rPr>
      </w:pPr>
      <w:r>
        <w:rPr>
          <w:rFonts w:hint="eastAsia" w:ascii="宋体" w:hAnsi="宋体" w:cs="宋体"/>
          <w:bCs/>
          <w:sz w:val="24"/>
          <w:szCs w:val="20"/>
          <w:lang w:bidi="ar"/>
        </w:rPr>
        <w:t>2、中标人确定规则：</w:t>
      </w:r>
    </w:p>
    <w:p>
      <w:pPr>
        <w:spacing w:line="440" w:lineRule="exact"/>
        <w:ind w:firstLine="480"/>
        <w:rPr>
          <w:rFonts w:ascii="宋体" w:hAnsi="宋体"/>
          <w:sz w:val="24"/>
          <w:szCs w:val="24"/>
        </w:rPr>
      </w:pPr>
      <w:r>
        <w:rPr>
          <w:rFonts w:hint="eastAsia" w:ascii="宋体" w:hAnsi="宋体"/>
          <w:sz w:val="24"/>
          <w:szCs w:val="24"/>
        </w:rPr>
        <w:t>（</w:t>
      </w:r>
      <w:r>
        <w:rPr>
          <w:rFonts w:ascii="宋体" w:hAnsi="宋体"/>
          <w:sz w:val="24"/>
          <w:szCs w:val="24"/>
        </w:rPr>
        <w:t>1）若</w:t>
      </w:r>
      <w:r>
        <w:rPr>
          <w:rFonts w:hint="eastAsia" w:ascii="宋体" w:hAnsi="宋体"/>
          <w:sz w:val="24"/>
          <w:szCs w:val="24"/>
        </w:rPr>
        <w:t>通过资格性和符合性审查，具有得标权的投标人</w:t>
      </w:r>
      <w:r>
        <w:rPr>
          <w:rFonts w:ascii="宋体" w:hAnsi="宋体"/>
          <w:sz w:val="24"/>
          <w:szCs w:val="24"/>
        </w:rPr>
        <w:t>≥3家时，评标委员会根据排列情况将推荐前3名为中标候选人，并根据采购人委托直接确定</w:t>
      </w:r>
      <w:r>
        <w:rPr>
          <w:rFonts w:hint="eastAsia" w:ascii="宋体" w:hAnsi="宋体"/>
          <w:sz w:val="24"/>
          <w:szCs w:val="24"/>
        </w:rPr>
        <w:t>第1</w:t>
      </w:r>
      <w:r>
        <w:rPr>
          <w:rFonts w:ascii="宋体" w:hAnsi="宋体"/>
          <w:sz w:val="24"/>
          <w:szCs w:val="24"/>
        </w:rPr>
        <w:t>名为中标人。中标候选人并列的，采取随机抽取的方式确定。</w:t>
      </w:r>
    </w:p>
    <w:p>
      <w:pPr>
        <w:spacing w:line="440" w:lineRule="exact"/>
        <w:ind w:firstLine="480"/>
        <w:rPr>
          <w:rFonts w:ascii="宋体" w:hAnsi="宋体"/>
          <w:sz w:val="24"/>
          <w:szCs w:val="24"/>
        </w:rPr>
      </w:pPr>
      <w:r>
        <w:rPr>
          <w:rFonts w:hint="eastAsia" w:ascii="宋体" w:hAnsi="宋体"/>
          <w:sz w:val="24"/>
          <w:szCs w:val="24"/>
        </w:rPr>
        <w:t>（</w:t>
      </w:r>
      <w:r>
        <w:rPr>
          <w:rFonts w:ascii="宋体" w:hAnsi="宋体"/>
          <w:sz w:val="24"/>
          <w:szCs w:val="24"/>
        </w:rPr>
        <w:t>2）若</w:t>
      </w:r>
      <w:r>
        <w:rPr>
          <w:rFonts w:hint="eastAsia" w:ascii="宋体" w:hAnsi="宋体"/>
          <w:sz w:val="24"/>
          <w:szCs w:val="24"/>
        </w:rPr>
        <w:t>通过资格性和符合性审查，具有得标权的投标人</w:t>
      </w:r>
      <w:r>
        <w:rPr>
          <w:rFonts w:ascii="宋体" w:hAnsi="宋体"/>
          <w:sz w:val="24"/>
          <w:szCs w:val="24"/>
        </w:rPr>
        <w:t>≤2家时，本项目终止采购活动。</w:t>
      </w:r>
    </w:p>
    <w:p>
      <w:pPr>
        <w:spacing w:line="460" w:lineRule="exact"/>
        <w:ind w:firstLine="480"/>
        <w:rPr>
          <w:rFonts w:ascii="宋体" w:hAnsi="宋体" w:cs="宋体"/>
          <w:b/>
          <w:sz w:val="24"/>
          <w:szCs w:val="20"/>
          <w:lang w:bidi="ar"/>
        </w:rPr>
      </w:pPr>
      <w:r>
        <w:rPr>
          <w:rFonts w:hint="eastAsia" w:ascii="宋体" w:hAnsi="宋体"/>
          <w:sz w:val="24"/>
          <w:szCs w:val="24"/>
        </w:rPr>
        <w:t>（</w:t>
      </w:r>
      <w:r>
        <w:rPr>
          <w:rFonts w:ascii="宋体" w:hAnsi="宋体"/>
          <w:sz w:val="24"/>
          <w:szCs w:val="24"/>
        </w:rPr>
        <w:t>3）中标人放弃中标、因不可抗力不能履行合同，或者被查实存在影响成交结果的违法行为等情形，不符合中标条件的，或法律规定被取消成交资格的，采购人可按照评标委员会提出的中标选人名单排序依次确定其他中标候选人为中标人，也可以重新组织采购。</w:t>
      </w:r>
    </w:p>
    <w:p>
      <w:pPr>
        <w:spacing w:line="480" w:lineRule="exact"/>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二、评分标准：</w:t>
      </w:r>
    </w:p>
    <w:p>
      <w:pPr>
        <w:spacing w:line="460" w:lineRule="exact"/>
        <w:ind w:firstLine="482"/>
        <w:rPr>
          <w:rFonts w:ascii="宋体" w:hAnsi="宋体" w:cs="宋体"/>
          <w:b/>
          <w:sz w:val="28"/>
          <w:szCs w:val="20"/>
        </w:rPr>
      </w:pPr>
      <w:r>
        <w:rPr>
          <w:rFonts w:hint="eastAsia" w:ascii="宋体" w:hAnsi="宋体" w:cs="宋体"/>
          <w:b/>
          <w:sz w:val="24"/>
          <w:szCs w:val="20"/>
          <w:lang w:bidi="ar"/>
        </w:rPr>
        <w:t>1、投标报价25分</w:t>
      </w:r>
    </w:p>
    <w:p>
      <w:pPr>
        <w:spacing w:line="460" w:lineRule="exact"/>
        <w:ind w:firstLine="470"/>
        <w:rPr>
          <w:rFonts w:ascii="宋体" w:hAnsi="宋体" w:cs="宋体"/>
          <w:sz w:val="24"/>
          <w:szCs w:val="20"/>
        </w:rPr>
      </w:pPr>
      <w:r>
        <w:rPr>
          <w:rFonts w:hint="eastAsia" w:ascii="宋体" w:hAnsi="宋体" w:cs="宋体"/>
          <w:color w:val="000000" w:themeColor="text1"/>
          <w:sz w:val="24"/>
          <w:szCs w:val="24"/>
          <w14:textFill>
            <w14:solidFill>
              <w14:schemeClr w14:val="tx1"/>
            </w14:solidFill>
          </w14:textFill>
        </w:rPr>
        <w:t>满足招标文件要求且</w:t>
      </w:r>
      <w:r>
        <w:rPr>
          <w:rFonts w:hint="eastAsia" w:ascii="宋体" w:hAnsi="宋体" w:cs="宋体"/>
          <w:b/>
          <w:bCs/>
          <w:color w:val="000000" w:themeColor="text1"/>
          <w:sz w:val="24"/>
          <w:szCs w:val="24"/>
          <w14:textFill>
            <w14:solidFill>
              <w14:schemeClr w14:val="tx1"/>
            </w14:solidFill>
          </w14:textFill>
        </w:rPr>
        <w:t>优惠率最高</w:t>
      </w:r>
      <w:r>
        <w:rPr>
          <w:rFonts w:hint="eastAsia" w:ascii="宋体" w:hAnsi="宋体" w:cs="宋体"/>
          <w:color w:val="000000" w:themeColor="text1"/>
          <w:sz w:val="24"/>
          <w:szCs w:val="24"/>
          <w14:textFill>
            <w14:solidFill>
              <w14:schemeClr w14:val="tx1"/>
            </w14:solidFill>
          </w14:textFill>
        </w:rPr>
        <w:t>的投标报价为评标基准价，其价格分为25分；其他投标人的价格分按下列公式计算：投标报价得分＝（1-评标基准价）／（1-投标优惠率）×25分</w:t>
      </w:r>
      <w:r>
        <w:rPr>
          <w:rFonts w:hint="eastAsia"/>
          <w:sz w:val="24"/>
          <w:szCs w:val="24"/>
        </w:rPr>
        <w:t>。</w:t>
      </w:r>
    </w:p>
    <w:p>
      <w:pPr>
        <w:spacing w:line="440" w:lineRule="exact"/>
        <w:ind w:firstLine="47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评审过程中出现下列情形之一的，评审委员会应当启动异常低价投标（响应）审查程序：</w:t>
      </w:r>
    </w:p>
    <w:p>
      <w:pPr>
        <w:spacing w:line="440" w:lineRule="exact"/>
        <w:ind w:firstLine="47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1、投标（响应）报价低于全部通过符合性审查供应商投标（响应）报价平均值50%的，即投标（响应）报价&lt;全部通过符合性审查供应商投标（响应）报价平均值×50%；</w:t>
      </w:r>
    </w:p>
    <w:p>
      <w:pPr>
        <w:spacing w:line="440" w:lineRule="exact"/>
        <w:ind w:firstLine="47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2、投标（响应）报价低于通过符合性审查的次低报价供应商投标（响应）报价50%的，即投标（响应）报价&lt;通过符合性审查的次低报价供应商投标（响应）报价×50%；</w:t>
      </w:r>
    </w:p>
    <w:p>
      <w:pPr>
        <w:spacing w:line="440" w:lineRule="exact"/>
        <w:ind w:firstLine="47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3、投标（响应）报价低于采购项目最高限价45%的，即投标（响应）报价&lt;采购项目最高限价×45%；</w:t>
      </w:r>
    </w:p>
    <w:p>
      <w:pPr>
        <w:spacing w:line="440" w:lineRule="exact"/>
        <w:ind w:firstLine="47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4、评审委员会基于专业判断，认为供应商报价过低，有可能影响产品质量或者不能诚信履约的其他情形。</w:t>
      </w:r>
    </w:p>
    <w:p>
      <w:pPr>
        <w:spacing w:line="460" w:lineRule="exact"/>
        <w:ind w:firstLine="480"/>
        <w:rPr>
          <w:rFonts w:ascii="Times New Roman" w:hAnsi="Times New Roman"/>
          <w:b/>
          <w:sz w:val="24"/>
          <w:szCs w:val="24"/>
        </w:rPr>
      </w:pPr>
      <w:r>
        <w:rPr>
          <w:rFonts w:hint="eastAsia"/>
          <w:color w:val="000000" w:themeColor="text1"/>
          <w:sz w:val="24"/>
          <w14:textFill>
            <w14:solidFill>
              <w14:schemeClr w14:val="tx1"/>
            </w14:solidFill>
          </w14:textFill>
        </w:rPr>
        <w:t>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460" w:lineRule="exact"/>
        <w:ind w:firstLine="482"/>
        <w:rPr>
          <w:rFonts w:ascii="宋体" w:hAnsi="宋体" w:cs="宋体"/>
          <w:b/>
          <w:sz w:val="24"/>
          <w:szCs w:val="20"/>
        </w:rPr>
      </w:pPr>
      <w:r>
        <w:rPr>
          <w:rFonts w:hint="eastAsia" w:ascii="宋体" w:hAnsi="宋体" w:cs="宋体"/>
          <w:b/>
          <w:sz w:val="24"/>
          <w:szCs w:val="20"/>
          <w:lang w:bidi="ar"/>
        </w:rPr>
        <w:t>2、服务方案37分</w:t>
      </w:r>
    </w:p>
    <w:tbl>
      <w:tblPr>
        <w:tblStyle w:val="46"/>
        <w:tblW w:w="97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276"/>
        <w:gridCol w:w="839"/>
        <w:gridCol w:w="6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8"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序号</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评审因素</w:t>
            </w:r>
          </w:p>
        </w:tc>
        <w:tc>
          <w:tcPr>
            <w:tcW w:w="83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分值</w:t>
            </w:r>
          </w:p>
        </w:tc>
        <w:tc>
          <w:tcPr>
            <w:tcW w:w="685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lang w:bidi="ar"/>
              </w:rPr>
            </w:pPr>
            <w:r>
              <w:rPr>
                <w:rFonts w:hint="eastAsia" w:ascii="宋体" w:hAnsi="宋体" w:cs="宋体"/>
                <w:sz w:val="24"/>
                <w:szCs w:val="20"/>
                <w:lang w:bidi="ar"/>
              </w:rPr>
              <w:t>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rPr>
            </w:pPr>
            <w:r>
              <w:rPr>
                <w:sz w:val="24"/>
              </w:rPr>
              <w:t>服务响应情况</w:t>
            </w:r>
          </w:p>
        </w:tc>
        <w:tc>
          <w:tcPr>
            <w:tcW w:w="83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lang w:bidi="ar"/>
              </w:rPr>
            </w:pPr>
            <w:r>
              <w:rPr>
                <w:rFonts w:hint="eastAsia" w:ascii="宋体" w:hAnsi="宋体" w:cs="宋体"/>
                <w:sz w:val="24"/>
                <w:szCs w:val="24"/>
                <w:lang w:bidi="ar"/>
              </w:rPr>
              <w:t>6</w:t>
            </w:r>
            <w:r>
              <w:rPr>
                <w:rFonts w:ascii="宋体" w:hAnsi="宋体" w:cs="宋体"/>
                <w:sz w:val="24"/>
                <w:szCs w:val="24"/>
                <w:lang w:bidi="ar"/>
              </w:rPr>
              <w:t>分</w:t>
            </w:r>
          </w:p>
        </w:tc>
        <w:tc>
          <w:tcPr>
            <w:tcW w:w="685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bCs/>
                <w:color w:val="000000"/>
                <w:sz w:val="24"/>
                <w:szCs w:val="21"/>
                <w:lang w:bidi="ar"/>
              </w:rPr>
            </w:pPr>
            <w:r>
              <w:rPr>
                <w:rFonts w:ascii="宋体" w:hAnsi="宋体"/>
                <w:bCs/>
                <w:color w:val="000000"/>
                <w:sz w:val="24"/>
                <w:szCs w:val="21"/>
                <w:lang w:bidi="ar"/>
              </w:rPr>
              <w:t>投标人承诺提供的服务全部满足招标文件要求</w:t>
            </w:r>
            <w:r>
              <w:rPr>
                <w:rFonts w:hint="eastAsia" w:ascii="宋体" w:hAnsi="宋体"/>
                <w:bCs/>
                <w:color w:val="000000"/>
                <w:sz w:val="24"/>
                <w:szCs w:val="21"/>
                <w:lang w:bidi="ar"/>
              </w:rPr>
              <w:t>（30条）</w:t>
            </w:r>
            <w:r>
              <w:rPr>
                <w:rFonts w:ascii="宋体" w:hAnsi="宋体"/>
                <w:bCs/>
                <w:color w:val="000000"/>
                <w:sz w:val="24"/>
                <w:szCs w:val="21"/>
                <w:lang w:bidi="ar"/>
              </w:rPr>
              <w:t>的得基本分</w:t>
            </w:r>
            <w:r>
              <w:rPr>
                <w:rFonts w:hint="eastAsia" w:ascii="宋体" w:hAnsi="宋体"/>
                <w:bCs/>
                <w:color w:val="000000"/>
                <w:sz w:val="24"/>
                <w:szCs w:val="21"/>
                <w:lang w:bidi="ar"/>
              </w:rPr>
              <w:t>6</w:t>
            </w:r>
            <w:r>
              <w:rPr>
                <w:rFonts w:ascii="宋体" w:hAnsi="宋体"/>
                <w:bCs/>
                <w:color w:val="000000"/>
                <w:sz w:val="24"/>
                <w:szCs w:val="21"/>
                <w:lang w:bidi="ar"/>
              </w:rPr>
              <w:t>分；有</w:t>
            </w:r>
            <w:r>
              <w:rPr>
                <w:rFonts w:hint="eastAsia" w:ascii="宋体" w:hAnsi="宋体"/>
                <w:bCs/>
                <w:color w:val="000000"/>
                <w:sz w:val="24"/>
                <w:szCs w:val="21"/>
                <w:lang w:bidi="ar"/>
              </w:rPr>
              <w:t>负</w:t>
            </w:r>
            <w:r>
              <w:rPr>
                <w:rFonts w:ascii="宋体" w:hAnsi="宋体"/>
                <w:bCs/>
                <w:color w:val="000000"/>
                <w:sz w:val="24"/>
                <w:szCs w:val="21"/>
                <w:lang w:bidi="ar"/>
              </w:rPr>
              <w:t>偏离</w:t>
            </w:r>
            <w:r>
              <w:rPr>
                <w:rFonts w:hint="eastAsia" w:ascii="宋体" w:hAnsi="宋体"/>
                <w:bCs/>
                <w:color w:val="000000"/>
                <w:sz w:val="24"/>
                <w:szCs w:val="21"/>
                <w:lang w:bidi="ar"/>
              </w:rPr>
              <w:t>的</w:t>
            </w:r>
            <w:r>
              <w:rPr>
                <w:rFonts w:ascii="宋体" w:hAnsi="宋体"/>
                <w:bCs/>
                <w:color w:val="000000"/>
                <w:sz w:val="24"/>
                <w:szCs w:val="21"/>
                <w:lang w:bidi="ar"/>
              </w:rPr>
              <w:t>，每条扣</w:t>
            </w:r>
            <w:r>
              <w:rPr>
                <w:rFonts w:hint="eastAsia" w:ascii="宋体" w:hAnsi="宋体"/>
                <w:bCs/>
                <w:color w:val="000000"/>
                <w:sz w:val="24"/>
                <w:szCs w:val="21"/>
                <w:lang w:bidi="ar"/>
              </w:rPr>
              <w:t>0.2</w:t>
            </w:r>
            <w:r>
              <w:rPr>
                <w:rFonts w:ascii="宋体" w:hAnsi="宋体"/>
                <w:bCs/>
                <w:color w:val="000000"/>
                <w:sz w:val="24"/>
                <w:szCs w:val="21"/>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2</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rPr>
            </w:pPr>
            <w:r>
              <w:rPr>
                <w:rFonts w:hint="eastAsia" w:ascii="宋体" w:hAnsi="宋体" w:cs="宋体"/>
                <w:sz w:val="24"/>
                <w:szCs w:val="24"/>
              </w:rPr>
              <w:t xml:space="preserve">整体方案 </w:t>
            </w:r>
          </w:p>
        </w:tc>
        <w:tc>
          <w:tcPr>
            <w:tcW w:w="83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rPr>
            </w:pPr>
            <w:r>
              <w:rPr>
                <w:rFonts w:hint="eastAsia" w:ascii="宋体" w:hAnsi="宋体" w:cs="宋体"/>
                <w:sz w:val="24"/>
                <w:szCs w:val="24"/>
                <w:lang w:bidi="ar"/>
              </w:rPr>
              <w:t>7分</w:t>
            </w:r>
          </w:p>
        </w:tc>
        <w:tc>
          <w:tcPr>
            <w:tcW w:w="685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cs="宋体"/>
                <w:bCs/>
                <w:sz w:val="24"/>
                <w:szCs w:val="20"/>
              </w:rPr>
            </w:pPr>
            <w:bookmarkStart w:id="219" w:name="OLE_LINK5"/>
            <w:r>
              <w:rPr>
                <w:rFonts w:hint="eastAsia" w:ascii="宋体" w:hAnsi="宋体"/>
                <w:bCs/>
                <w:color w:val="000000"/>
                <w:sz w:val="24"/>
                <w:szCs w:val="21"/>
                <w:lang w:bidi="ar"/>
              </w:rPr>
              <w:t>根据项目需求和特点，投标人提供社会化车辆包车整体方案: 拟投入服务车辆介绍、设置专线电话、提供24小时叫车服务、公布24小时叫车电话、服务车辆团队人员配置齐备、岗位分工明确、科学，执行力强等情况进行综合评定。方案完善、与实际情况贴合、可行性强的得7分；方案基本符合要求，可行性一般的得5分；方案有所欠缺的得3分；未作说明的不得分。</w:t>
            </w:r>
            <w:bookmarkEnd w:id="2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rPr>
            </w:pPr>
            <w:r>
              <w:rPr>
                <w:rFonts w:hint="eastAsia" w:ascii="宋体" w:hAnsi="宋体" w:cs="宋体"/>
                <w:sz w:val="24"/>
                <w:szCs w:val="24"/>
                <w:lang w:bidi="ar"/>
              </w:rPr>
              <w:t>3</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rPr>
            </w:pPr>
            <w:r>
              <w:rPr>
                <w:rFonts w:hint="eastAsia" w:ascii="宋体" w:hAnsi="宋体" w:cs="宋体"/>
                <w:sz w:val="24"/>
                <w:szCs w:val="24"/>
              </w:rPr>
              <w:t>保障配套方案</w:t>
            </w:r>
          </w:p>
        </w:tc>
        <w:tc>
          <w:tcPr>
            <w:tcW w:w="83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rPr>
            </w:pPr>
            <w:r>
              <w:rPr>
                <w:rFonts w:hint="eastAsia" w:ascii="宋体" w:hAnsi="宋体" w:cs="宋体"/>
                <w:sz w:val="24"/>
                <w:szCs w:val="24"/>
                <w:lang w:bidi="ar"/>
              </w:rPr>
              <w:t>5分</w:t>
            </w:r>
          </w:p>
        </w:tc>
        <w:tc>
          <w:tcPr>
            <w:tcW w:w="685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cs="宋体"/>
                <w:sz w:val="24"/>
                <w:szCs w:val="24"/>
              </w:rPr>
            </w:pPr>
            <w:r>
              <w:rPr>
                <w:rFonts w:hint="eastAsia" w:ascii="宋体" w:hAnsi="宋体"/>
                <w:bCs/>
                <w:color w:val="000000"/>
                <w:sz w:val="24"/>
                <w:szCs w:val="21"/>
                <w:lang w:bidi="ar"/>
              </w:rPr>
              <w:t>根据投标人提供的保障配套方案（包括包车客运、车辆保养、车辆维修等方面保障配套、服务及时便捷）进行综合评定。方案完善、与实际情况贴合、可行性强的得5分；方案基本符合要求，可行性一般的得3分；方案有所欠缺的得1分；未作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lang w:bidi="ar"/>
              </w:rPr>
            </w:pPr>
            <w:r>
              <w:rPr>
                <w:rFonts w:hint="eastAsia" w:ascii="宋体" w:hAnsi="宋体" w:cs="宋体"/>
                <w:sz w:val="24"/>
                <w:szCs w:val="24"/>
                <w:lang w:bidi="ar"/>
              </w:rPr>
              <w:t>4</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rPr>
            </w:pPr>
            <w:r>
              <w:rPr>
                <w:rFonts w:hint="eastAsia" w:ascii="宋体" w:hAnsi="宋体"/>
                <w:bCs/>
                <w:color w:val="000000"/>
                <w:sz w:val="24"/>
                <w:szCs w:val="21"/>
                <w:lang w:bidi="ar"/>
              </w:rPr>
              <w:t>服务质量跟踪及管理措施</w:t>
            </w:r>
          </w:p>
        </w:tc>
        <w:tc>
          <w:tcPr>
            <w:tcW w:w="83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lang w:bidi="ar"/>
              </w:rPr>
            </w:pPr>
            <w:r>
              <w:rPr>
                <w:rFonts w:hint="eastAsia" w:ascii="宋体" w:hAnsi="宋体" w:cs="宋体"/>
                <w:sz w:val="24"/>
                <w:szCs w:val="24"/>
                <w:lang w:bidi="ar"/>
              </w:rPr>
              <w:t>5分</w:t>
            </w:r>
          </w:p>
        </w:tc>
        <w:tc>
          <w:tcPr>
            <w:tcW w:w="685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bCs/>
                <w:color w:val="000000"/>
                <w:sz w:val="24"/>
                <w:szCs w:val="21"/>
                <w:lang w:bidi="ar"/>
              </w:rPr>
            </w:pPr>
            <w:r>
              <w:rPr>
                <w:rFonts w:hint="eastAsia" w:ascii="宋体" w:hAnsi="宋体"/>
                <w:bCs/>
                <w:color w:val="000000"/>
                <w:sz w:val="24"/>
                <w:szCs w:val="21"/>
                <w:lang w:bidi="ar"/>
              </w:rPr>
              <w:t>根据投标人提供的服务质量跟踪及管理措施方案（包括设置服务质量监督部门，提供投诉受理场所，配备专职服务质量监督岗位人员等）进行综合评定。方案完善、与实际情况贴合、可行性强的得5分；方案基本符合要求，可行性一般的得3分；方案有所欠缺的得1分；未作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lang w:bidi="ar"/>
              </w:rPr>
            </w:pPr>
            <w:r>
              <w:rPr>
                <w:rFonts w:hint="eastAsia" w:ascii="宋体" w:hAnsi="宋体" w:cs="宋体"/>
                <w:sz w:val="24"/>
                <w:szCs w:val="24"/>
                <w:lang w:bidi="ar"/>
              </w:rPr>
              <w:t>5</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bCs/>
                <w:color w:val="000000"/>
                <w:sz w:val="24"/>
                <w:szCs w:val="21"/>
                <w:lang w:bidi="ar"/>
              </w:rPr>
            </w:pPr>
            <w:r>
              <w:rPr>
                <w:rFonts w:hint="eastAsia" w:ascii="宋体" w:hAnsi="宋体"/>
                <w:bCs/>
                <w:color w:val="000000"/>
                <w:sz w:val="24"/>
                <w:szCs w:val="21"/>
                <w:lang w:bidi="ar"/>
              </w:rPr>
              <w:t>应急方案及服务保障承诺</w:t>
            </w:r>
          </w:p>
        </w:tc>
        <w:tc>
          <w:tcPr>
            <w:tcW w:w="83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lang w:bidi="ar"/>
              </w:rPr>
            </w:pPr>
            <w:r>
              <w:rPr>
                <w:rFonts w:hint="eastAsia" w:ascii="宋体" w:hAnsi="宋体" w:cs="宋体"/>
                <w:sz w:val="24"/>
                <w:szCs w:val="24"/>
                <w:lang w:bidi="ar"/>
              </w:rPr>
              <w:t>5分</w:t>
            </w:r>
          </w:p>
        </w:tc>
        <w:tc>
          <w:tcPr>
            <w:tcW w:w="685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bCs/>
                <w:color w:val="000000"/>
                <w:sz w:val="24"/>
                <w:szCs w:val="21"/>
                <w:lang w:bidi="ar"/>
              </w:rPr>
            </w:pPr>
            <w:r>
              <w:rPr>
                <w:rFonts w:hint="eastAsia" w:ascii="宋体" w:hAnsi="宋体"/>
                <w:bCs/>
                <w:color w:val="000000"/>
                <w:sz w:val="24"/>
                <w:szCs w:val="21"/>
                <w:lang w:bidi="ar"/>
              </w:rPr>
              <w:t>根据投标人提供的应急方案及服务保障承诺方案（投标人根据自身情况，除基本服务质量要求外，在保持车辆车身内外整洁，以顾客为中心的服务保障创新，驾驶员按时接送站和安全文明驾驶的控制机制，服务监督、应急、重大活动服务保障的人员、车辆、工作机制等方面提供相应方案和承诺）进行综合评定。方案完善、与实际情况贴合、可行性强的得5分；方案基本符合要求，可行性一般的得3分；方案有所欠缺的得1分；未作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lang w:bidi="ar"/>
              </w:rPr>
            </w:pPr>
            <w:r>
              <w:rPr>
                <w:rFonts w:hint="eastAsia" w:ascii="宋体" w:hAnsi="宋体" w:cs="宋体"/>
                <w:sz w:val="24"/>
                <w:szCs w:val="24"/>
                <w:lang w:bidi="ar"/>
              </w:rPr>
              <w:t>6</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bCs/>
                <w:color w:val="000000"/>
                <w:sz w:val="24"/>
                <w:szCs w:val="21"/>
                <w:lang w:bidi="ar"/>
              </w:rPr>
            </w:pPr>
            <w:r>
              <w:rPr>
                <w:rFonts w:hint="eastAsia" w:ascii="宋体" w:hAnsi="宋体"/>
                <w:bCs/>
                <w:color w:val="000000"/>
                <w:sz w:val="24"/>
                <w:szCs w:val="21"/>
                <w:lang w:bidi="ar"/>
              </w:rPr>
              <w:t>从业人员岗位培训情况</w:t>
            </w:r>
          </w:p>
        </w:tc>
        <w:tc>
          <w:tcPr>
            <w:tcW w:w="83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lang w:bidi="ar"/>
              </w:rPr>
            </w:pPr>
            <w:r>
              <w:rPr>
                <w:rFonts w:hint="eastAsia" w:ascii="宋体" w:hAnsi="宋体" w:cs="宋体"/>
                <w:sz w:val="24"/>
                <w:szCs w:val="24"/>
                <w:lang w:bidi="ar"/>
              </w:rPr>
              <w:t>4分</w:t>
            </w:r>
          </w:p>
        </w:tc>
        <w:tc>
          <w:tcPr>
            <w:tcW w:w="685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bCs/>
                <w:color w:val="000000"/>
                <w:sz w:val="24"/>
                <w:szCs w:val="21"/>
                <w:lang w:bidi="ar"/>
              </w:rPr>
            </w:pPr>
            <w:r>
              <w:rPr>
                <w:rFonts w:hint="eastAsia" w:ascii="宋体" w:hAnsi="宋体"/>
                <w:bCs/>
                <w:color w:val="000000"/>
                <w:sz w:val="24"/>
                <w:szCs w:val="21"/>
                <w:lang w:bidi="ar"/>
              </w:rPr>
              <w:t>根据投标人提供的从业人员岗位培训情况方案（驾驶员或运营人员聘用程序规范、从业资质符合要求，岗前培训、安全教育培训有长效机制，从业行为考核奖罚分明，安全告诫（行车提醒）方案、行车日志方案完备，防止疲劳驾驶、超速行驶管理措施有操作性等情况完整规范。）进行综合评定。方案完善、与实际情况贴合、可行性强的得4分；方案基本符合要求，可行性一般的得2.5分；方案有所欠缺的得1分；未作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lang w:bidi="ar"/>
              </w:rPr>
            </w:pPr>
            <w:r>
              <w:rPr>
                <w:rFonts w:hint="eastAsia" w:ascii="宋体" w:hAnsi="宋体" w:cs="宋体"/>
                <w:sz w:val="24"/>
                <w:szCs w:val="24"/>
                <w:lang w:bidi="ar"/>
              </w:rPr>
              <w:t>7</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bCs/>
                <w:color w:val="000000"/>
                <w:sz w:val="24"/>
                <w:szCs w:val="21"/>
                <w:lang w:bidi="ar"/>
              </w:rPr>
            </w:pPr>
            <w:r>
              <w:rPr>
                <w:rFonts w:hint="eastAsia" w:ascii="宋体" w:hAnsi="宋体"/>
                <w:bCs/>
                <w:color w:val="000000"/>
                <w:sz w:val="24"/>
                <w:szCs w:val="21"/>
                <w:lang w:bidi="ar"/>
              </w:rPr>
              <w:t>安全管理方案及措施</w:t>
            </w:r>
          </w:p>
        </w:tc>
        <w:tc>
          <w:tcPr>
            <w:tcW w:w="83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lang w:bidi="ar"/>
              </w:rPr>
            </w:pPr>
            <w:r>
              <w:rPr>
                <w:rFonts w:hint="eastAsia" w:ascii="宋体" w:hAnsi="宋体" w:cs="宋体"/>
                <w:sz w:val="24"/>
                <w:szCs w:val="24"/>
                <w:lang w:bidi="ar"/>
              </w:rPr>
              <w:t>5分</w:t>
            </w:r>
          </w:p>
        </w:tc>
        <w:tc>
          <w:tcPr>
            <w:tcW w:w="685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bCs/>
                <w:color w:val="000000"/>
                <w:sz w:val="24"/>
                <w:szCs w:val="21"/>
                <w:lang w:bidi="ar"/>
              </w:rPr>
            </w:pPr>
            <w:r>
              <w:rPr>
                <w:rFonts w:hint="eastAsia" w:ascii="宋体" w:hAnsi="宋体"/>
                <w:bCs/>
                <w:color w:val="000000"/>
                <w:sz w:val="24"/>
                <w:szCs w:val="21"/>
                <w:lang w:bidi="ar"/>
              </w:rPr>
              <w:t>根据投标人提供的安全管理方案及措施方案（客运驾驶员管理、车辆管理、动态监控、运输组织、安全生产操作规程、安全生产管理制度等情况。）进行综合评定。方案完善、与实际情况贴合、可行性强的得5分；方案基本符合要求，可行性一般的得3分；方案有所欠缺的得1分；未作说明的不得分。</w:t>
            </w:r>
          </w:p>
        </w:tc>
      </w:tr>
    </w:tbl>
    <w:p>
      <w:pPr>
        <w:spacing w:line="460" w:lineRule="exact"/>
        <w:ind w:firstLine="482"/>
        <w:rPr>
          <w:rFonts w:ascii="宋体" w:hAnsi="宋体" w:cs="宋体"/>
          <w:b/>
          <w:sz w:val="24"/>
          <w:szCs w:val="20"/>
        </w:rPr>
      </w:pPr>
      <w:r>
        <w:rPr>
          <w:rFonts w:hint="eastAsia" w:ascii="宋体" w:hAnsi="宋体" w:cs="宋体"/>
          <w:b/>
          <w:sz w:val="24"/>
          <w:szCs w:val="20"/>
          <w:lang w:bidi="ar"/>
        </w:rPr>
        <w:t>3、人员及车辆28分</w:t>
      </w:r>
    </w:p>
    <w:tbl>
      <w:tblPr>
        <w:tblStyle w:val="46"/>
        <w:tblW w:w="98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238"/>
        <w:gridCol w:w="888"/>
        <w:gridCol w:w="6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81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序号</w:t>
            </w:r>
          </w:p>
        </w:tc>
        <w:tc>
          <w:tcPr>
            <w:tcW w:w="123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评审因素</w:t>
            </w:r>
          </w:p>
        </w:tc>
        <w:tc>
          <w:tcPr>
            <w:tcW w:w="88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分值</w:t>
            </w:r>
          </w:p>
        </w:tc>
        <w:tc>
          <w:tcPr>
            <w:tcW w:w="69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3" w:hRule="atLeast"/>
          <w:jc w:val="center"/>
        </w:trPr>
        <w:tc>
          <w:tcPr>
            <w:tcW w:w="81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rPr>
            </w:pPr>
            <w:r>
              <w:rPr>
                <w:rFonts w:hint="eastAsia" w:ascii="宋体" w:hAnsi="宋体" w:cs="宋体"/>
                <w:sz w:val="24"/>
                <w:szCs w:val="24"/>
                <w:lang w:bidi="ar"/>
              </w:rPr>
              <w:t>1</w:t>
            </w:r>
          </w:p>
        </w:tc>
        <w:tc>
          <w:tcPr>
            <w:tcW w:w="12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rPr>
            </w:pPr>
            <w:r>
              <w:rPr>
                <w:rFonts w:hint="eastAsia" w:ascii="宋体" w:hAnsi="宋体" w:cs="宋体"/>
                <w:sz w:val="24"/>
                <w:szCs w:val="20"/>
                <w:lang w:bidi="ar"/>
              </w:rPr>
              <w:t>驾驶人员</w:t>
            </w:r>
          </w:p>
        </w:tc>
        <w:tc>
          <w:tcPr>
            <w:tcW w:w="8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rPr>
            </w:pPr>
            <w:r>
              <w:rPr>
                <w:rFonts w:hint="eastAsia" w:ascii="宋体" w:hAnsi="宋体" w:cs="宋体"/>
                <w:sz w:val="24"/>
                <w:szCs w:val="24"/>
                <w:lang w:bidi="ar"/>
              </w:rPr>
              <w:t>10分</w:t>
            </w:r>
          </w:p>
        </w:tc>
        <w:tc>
          <w:tcPr>
            <w:tcW w:w="6908" w:type="dxa"/>
            <w:tcBorders>
              <w:top w:val="single" w:color="auto" w:sz="4" w:space="0"/>
              <w:left w:val="single" w:color="auto" w:sz="4" w:space="0"/>
              <w:bottom w:val="single" w:color="auto" w:sz="4" w:space="0"/>
              <w:right w:val="single" w:color="auto" w:sz="4" w:space="0"/>
            </w:tcBorders>
            <w:shd w:val="clear" w:color="auto" w:fill="auto"/>
          </w:tcPr>
          <w:p>
            <w:pPr>
              <w:numPr>
                <w:ilvl w:val="0"/>
                <w:numId w:val="5"/>
              </w:numPr>
              <w:tabs>
                <w:tab w:val="left" w:pos="430"/>
              </w:tabs>
              <w:jc w:val="left"/>
              <w:rPr>
                <w:rFonts w:ascii="宋体" w:hAnsi="宋体" w:cs="宋体"/>
                <w:color w:val="000000"/>
                <w:sz w:val="24"/>
                <w:szCs w:val="24"/>
                <w:lang w:bidi="ar"/>
              </w:rPr>
            </w:pPr>
            <w:r>
              <w:rPr>
                <w:rFonts w:hint="eastAsia" w:ascii="宋体" w:hAnsi="宋体" w:cs="宋体"/>
                <w:color w:val="000000"/>
                <w:sz w:val="24"/>
                <w:szCs w:val="24"/>
                <w:lang w:bidi="ar"/>
              </w:rPr>
              <w:t>投标人提供的驾驶人员满足项目需求的得基本分6分。</w:t>
            </w:r>
          </w:p>
          <w:p>
            <w:pPr>
              <w:tabs>
                <w:tab w:val="left" w:pos="430"/>
              </w:tabs>
              <w:jc w:val="left"/>
              <w:rPr>
                <w:rFonts w:ascii="宋体" w:hAnsi="宋体" w:cs="宋体"/>
                <w:sz w:val="24"/>
                <w:szCs w:val="20"/>
                <w:lang w:bidi="ar"/>
              </w:rPr>
            </w:pPr>
            <w:r>
              <w:rPr>
                <w:rFonts w:hint="eastAsia" w:ascii="宋体" w:hAnsi="宋体" w:cs="宋体"/>
                <w:color w:val="000000"/>
                <w:sz w:val="24"/>
                <w:szCs w:val="24"/>
                <w:lang w:bidi="ar"/>
              </w:rPr>
              <w:t>2、在满足项目采购需求驾驶人员要求基础上</w:t>
            </w:r>
            <w:r>
              <w:rPr>
                <w:rFonts w:hint="eastAsia" w:ascii="宋体" w:hAnsi="宋体" w:cs="宋体"/>
                <w:sz w:val="24"/>
                <w:szCs w:val="24"/>
                <w:lang w:bidi="ar"/>
              </w:rPr>
              <w:t>，每增加1人得1分，最高加4分。</w:t>
            </w:r>
            <w:r>
              <w:rPr>
                <w:rFonts w:hint="eastAsia"/>
                <w:b/>
                <w:sz w:val="24"/>
                <w:szCs w:val="24"/>
              </w:rPr>
              <w:t>注：投标文件中须提供驾驶员身份证、驾驶证及投标人为其缴纳的近3个月中任意一个月的社保证明材料扫描件，未提供的不得分。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6" w:hRule="atLeast"/>
          <w:jc w:val="center"/>
        </w:trPr>
        <w:tc>
          <w:tcPr>
            <w:tcW w:w="81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rPr>
            </w:pPr>
            <w:r>
              <w:rPr>
                <w:rFonts w:hint="eastAsia" w:ascii="宋体" w:hAnsi="宋体" w:cs="宋体"/>
                <w:sz w:val="24"/>
                <w:szCs w:val="24"/>
                <w:lang w:bidi="ar"/>
              </w:rPr>
              <w:t>2</w:t>
            </w:r>
          </w:p>
        </w:tc>
        <w:tc>
          <w:tcPr>
            <w:tcW w:w="12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rPr>
            </w:pPr>
            <w:r>
              <w:rPr>
                <w:rFonts w:hint="eastAsia" w:ascii="宋体" w:hAnsi="宋体" w:cs="宋体"/>
                <w:sz w:val="24"/>
                <w:szCs w:val="24"/>
                <w:lang w:bidi="ar"/>
              </w:rPr>
              <w:t>车辆条件</w:t>
            </w:r>
          </w:p>
        </w:tc>
        <w:tc>
          <w:tcPr>
            <w:tcW w:w="8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rPr>
            </w:pPr>
            <w:r>
              <w:rPr>
                <w:rFonts w:hint="eastAsia" w:ascii="宋体" w:hAnsi="宋体" w:cs="宋体"/>
                <w:sz w:val="24"/>
                <w:szCs w:val="24"/>
                <w:lang w:bidi="ar"/>
              </w:rPr>
              <w:t>16分</w:t>
            </w:r>
          </w:p>
        </w:tc>
        <w:tc>
          <w:tcPr>
            <w:tcW w:w="6908" w:type="dxa"/>
            <w:tcBorders>
              <w:top w:val="single" w:color="auto" w:sz="4" w:space="0"/>
              <w:left w:val="single" w:color="auto" w:sz="4" w:space="0"/>
              <w:bottom w:val="single" w:color="auto" w:sz="4" w:space="0"/>
              <w:right w:val="single" w:color="auto" w:sz="4" w:space="0"/>
            </w:tcBorders>
            <w:shd w:val="clear" w:color="auto" w:fill="auto"/>
          </w:tcPr>
          <w:p>
            <w:pPr>
              <w:tabs>
                <w:tab w:val="left" w:pos="430"/>
              </w:tabs>
              <w:jc w:val="left"/>
              <w:rPr>
                <w:rFonts w:ascii="宋体" w:hAnsi="宋体" w:cs="宋体"/>
                <w:color w:val="000000"/>
                <w:sz w:val="24"/>
                <w:szCs w:val="24"/>
                <w:lang w:bidi="ar"/>
              </w:rPr>
            </w:pPr>
            <w:r>
              <w:rPr>
                <w:rFonts w:hint="eastAsia" w:ascii="宋体" w:hAnsi="宋体" w:cs="宋体"/>
                <w:color w:val="000000"/>
                <w:sz w:val="24"/>
                <w:szCs w:val="24"/>
                <w:lang w:bidi="ar"/>
              </w:rPr>
              <w:t>投标人提供的自有或租赁的各车型数量全部满足项目需求的得基本分10分。</w:t>
            </w:r>
          </w:p>
          <w:p>
            <w:pPr>
              <w:tabs>
                <w:tab w:val="left" w:pos="430"/>
              </w:tabs>
              <w:jc w:val="left"/>
              <w:rPr>
                <w:rFonts w:ascii="宋体" w:hAnsi="宋体" w:cs="宋体"/>
                <w:color w:val="000000"/>
                <w:sz w:val="24"/>
                <w:szCs w:val="24"/>
                <w:lang w:bidi="ar"/>
              </w:rPr>
            </w:pPr>
            <w:r>
              <w:rPr>
                <w:rFonts w:hint="eastAsia" w:ascii="宋体" w:hAnsi="宋体" w:cs="宋体"/>
                <w:color w:val="000000"/>
                <w:sz w:val="24"/>
                <w:szCs w:val="24"/>
                <w:lang w:bidi="ar"/>
              </w:rPr>
              <w:t>1、投标人在满足项目采购需求车辆要求基础上，每多提供一辆属于投标人自有或租赁的5座轿车的得0.5分，最多得1分,并承诺当采购人需要用车时，无条件满足要求。</w:t>
            </w:r>
          </w:p>
          <w:p>
            <w:pPr>
              <w:tabs>
                <w:tab w:val="left" w:pos="430"/>
              </w:tabs>
              <w:jc w:val="left"/>
              <w:rPr>
                <w:rFonts w:ascii="宋体" w:hAnsi="宋体" w:cs="宋体"/>
                <w:color w:val="000000"/>
                <w:sz w:val="24"/>
                <w:szCs w:val="24"/>
                <w:lang w:bidi="ar"/>
              </w:rPr>
            </w:pPr>
            <w:r>
              <w:rPr>
                <w:rFonts w:hint="eastAsia" w:ascii="宋体" w:hAnsi="宋体" w:cs="宋体"/>
                <w:color w:val="000000"/>
                <w:sz w:val="24"/>
                <w:szCs w:val="24"/>
                <w:lang w:bidi="ar"/>
              </w:rPr>
              <w:t>2、投标人在满足项目采购需求车辆要求基础上，每多提供一辆属于投标人自有或租赁的7座商务车的得0.5分，最多得1分,并承诺当采购人需要用车时，无条件满足要求。</w:t>
            </w:r>
          </w:p>
          <w:p>
            <w:pPr>
              <w:tabs>
                <w:tab w:val="left" w:pos="430"/>
              </w:tabs>
              <w:jc w:val="left"/>
              <w:rPr>
                <w:rFonts w:ascii="宋体" w:hAnsi="宋体" w:cs="宋体"/>
                <w:color w:val="000000"/>
                <w:sz w:val="24"/>
                <w:szCs w:val="24"/>
                <w:lang w:bidi="ar"/>
              </w:rPr>
            </w:pPr>
            <w:r>
              <w:rPr>
                <w:rFonts w:hint="eastAsia" w:ascii="宋体" w:hAnsi="宋体" w:cs="宋体"/>
                <w:color w:val="000000"/>
                <w:sz w:val="24"/>
                <w:szCs w:val="24"/>
                <w:lang w:bidi="ar"/>
              </w:rPr>
              <w:t>3、投标人在满足项目采购需求车辆要求基础上，每多提供一辆属于投标人自有或租赁的13—17座中型客车的得0.5分，最多得1分,并承诺当采购人需要用车时，无条件满足要求。</w:t>
            </w:r>
          </w:p>
          <w:p>
            <w:pPr>
              <w:tabs>
                <w:tab w:val="left" w:pos="430"/>
              </w:tabs>
              <w:jc w:val="left"/>
              <w:rPr>
                <w:rFonts w:ascii="宋体" w:hAnsi="宋体" w:cs="宋体"/>
                <w:color w:val="000000"/>
                <w:sz w:val="24"/>
                <w:szCs w:val="24"/>
                <w:lang w:bidi="ar"/>
              </w:rPr>
            </w:pPr>
            <w:r>
              <w:rPr>
                <w:rFonts w:hint="eastAsia" w:ascii="宋体" w:hAnsi="宋体" w:cs="宋体"/>
                <w:color w:val="000000"/>
                <w:sz w:val="24"/>
                <w:szCs w:val="24"/>
                <w:lang w:bidi="ar"/>
              </w:rPr>
              <w:t>4、投标人在满足项目采购需求车辆要求基础上，每多提供一辆属于投标人自有或租赁的19—35座大型客车的得0.5分，最多得1分,并承诺当采购人需要用车时，无条件满足要求。</w:t>
            </w:r>
          </w:p>
          <w:p>
            <w:pPr>
              <w:tabs>
                <w:tab w:val="left" w:pos="430"/>
              </w:tabs>
              <w:jc w:val="left"/>
              <w:rPr>
                <w:rFonts w:ascii="宋体" w:hAnsi="宋体" w:cs="宋体"/>
                <w:color w:val="000000"/>
                <w:sz w:val="24"/>
                <w:szCs w:val="24"/>
                <w:lang w:bidi="ar"/>
              </w:rPr>
            </w:pPr>
            <w:r>
              <w:rPr>
                <w:rFonts w:hint="eastAsia" w:ascii="宋体" w:hAnsi="宋体" w:cs="宋体"/>
                <w:color w:val="000000"/>
                <w:sz w:val="24"/>
                <w:szCs w:val="24"/>
                <w:lang w:bidi="ar"/>
              </w:rPr>
              <w:t>5、投标人在满足项目采购需求车辆要求基础上，每多提供一辆属于投标人自有或租赁的45座及以上大客车的得0.5分，最多得1分,并承诺当采购人需要用车时，无条件满足要求。</w:t>
            </w:r>
          </w:p>
          <w:p>
            <w:pPr>
              <w:tabs>
                <w:tab w:val="left" w:pos="430"/>
              </w:tabs>
              <w:jc w:val="left"/>
              <w:rPr>
                <w:rFonts w:ascii="宋体" w:hAnsi="宋体" w:cs="宋体"/>
                <w:color w:val="000000"/>
                <w:sz w:val="24"/>
                <w:szCs w:val="24"/>
                <w:lang w:bidi="ar"/>
              </w:rPr>
            </w:pPr>
            <w:r>
              <w:rPr>
                <w:rFonts w:hint="eastAsia" w:ascii="宋体" w:hAnsi="宋体" w:cs="宋体"/>
                <w:color w:val="000000"/>
                <w:sz w:val="24"/>
                <w:szCs w:val="24"/>
                <w:lang w:bidi="ar"/>
              </w:rPr>
              <w:t>6、投标人在满足项目采购需求车辆要求基础上，每多提供一辆属于投标人自有或租赁的新能源5座轿车的得0.5分，最多得1分,并承诺当采购人需要用车时，无条件满足要求。</w:t>
            </w:r>
          </w:p>
          <w:p>
            <w:pPr>
              <w:tabs>
                <w:tab w:val="left" w:pos="430"/>
              </w:tabs>
              <w:jc w:val="left"/>
              <w:rPr>
                <w:rFonts w:ascii="宋体" w:hAnsi="宋体" w:cs="宋体"/>
                <w:color w:val="000000"/>
                <w:sz w:val="24"/>
                <w:szCs w:val="24"/>
                <w:lang w:bidi="ar"/>
              </w:rPr>
            </w:pPr>
            <w:r>
              <w:rPr>
                <w:rFonts w:hint="eastAsia"/>
                <w:b/>
                <w:sz w:val="24"/>
                <w:szCs w:val="24"/>
              </w:rPr>
              <w:t>注：投标文件中自有的需提供行驶证及承诺函（承诺函需盖章），租赁的需提供行驶证、租赁合同及承诺函（承诺函需盖章）未提供的不得分。（承诺函格式自拟）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5" w:hRule="atLeast"/>
          <w:jc w:val="center"/>
        </w:trPr>
        <w:tc>
          <w:tcPr>
            <w:tcW w:w="81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rPr>
            </w:pPr>
            <w:r>
              <w:rPr>
                <w:rFonts w:hint="eastAsia" w:ascii="宋体" w:hAnsi="宋体" w:cs="宋体"/>
                <w:sz w:val="24"/>
                <w:szCs w:val="24"/>
                <w:lang w:bidi="ar"/>
              </w:rPr>
              <w:t>3</w:t>
            </w:r>
          </w:p>
        </w:tc>
        <w:tc>
          <w:tcPr>
            <w:tcW w:w="12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lang w:val="zh-CN"/>
              </w:rPr>
            </w:pPr>
            <w:r>
              <w:rPr>
                <w:rFonts w:ascii="宋体" w:hAnsi="宋体" w:cs="宋体"/>
                <w:sz w:val="24"/>
                <w:szCs w:val="24"/>
                <w:lang w:val="zh-CN"/>
              </w:rPr>
              <w:t>安全资质条件</w:t>
            </w:r>
          </w:p>
        </w:tc>
        <w:tc>
          <w:tcPr>
            <w:tcW w:w="8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sz w:val="24"/>
                <w:szCs w:val="24"/>
                <w:lang w:val="zh-CN"/>
              </w:rPr>
            </w:pPr>
            <w:r>
              <w:rPr>
                <w:rFonts w:hint="eastAsia" w:ascii="宋体" w:hAnsi="宋体" w:cs="宋体"/>
                <w:sz w:val="24"/>
                <w:szCs w:val="24"/>
                <w:lang w:bidi="ar"/>
              </w:rPr>
              <w:t>2</w:t>
            </w:r>
            <w:r>
              <w:rPr>
                <w:rFonts w:hint="eastAsia" w:ascii="宋体" w:hAnsi="宋体" w:cs="宋体"/>
                <w:sz w:val="24"/>
                <w:szCs w:val="24"/>
                <w:lang w:val="zh-CN" w:bidi="ar"/>
              </w:rPr>
              <w:t>分</w:t>
            </w:r>
          </w:p>
        </w:tc>
        <w:tc>
          <w:tcPr>
            <w:tcW w:w="6908" w:type="dxa"/>
            <w:tcBorders>
              <w:top w:val="single" w:color="auto" w:sz="4" w:space="0"/>
              <w:left w:val="single" w:color="auto" w:sz="4" w:space="0"/>
              <w:bottom w:val="single" w:color="auto" w:sz="4" w:space="0"/>
              <w:right w:val="single" w:color="auto" w:sz="4" w:space="0"/>
            </w:tcBorders>
            <w:shd w:val="clear" w:color="auto" w:fill="auto"/>
          </w:tcPr>
          <w:p>
            <w:pPr>
              <w:tabs>
                <w:tab w:val="left" w:pos="430"/>
              </w:tabs>
              <w:jc w:val="left"/>
              <w:rPr>
                <w:rFonts w:ascii="宋体" w:hAnsi="宋体" w:cs="宋体"/>
                <w:sz w:val="24"/>
                <w:szCs w:val="20"/>
                <w:lang w:val="zh-CN" w:bidi="ar"/>
              </w:rPr>
            </w:pPr>
            <w:r>
              <w:rPr>
                <w:rFonts w:ascii="宋体" w:hAnsi="宋体" w:cs="宋体"/>
                <w:sz w:val="24"/>
                <w:szCs w:val="20"/>
                <w:lang w:val="zh-CN" w:bidi="ar"/>
              </w:rPr>
              <w:t>投标人承诺投入运营的全部车辆</w:t>
            </w:r>
            <w:r>
              <w:rPr>
                <w:rFonts w:hint="eastAsia" w:ascii="宋体" w:hAnsi="宋体"/>
                <w:bCs/>
                <w:color w:val="000000"/>
                <w:sz w:val="24"/>
                <w:szCs w:val="21"/>
                <w:lang w:bidi="ar"/>
              </w:rPr>
              <w:t>连续5年安全出车超过150万公里，未发生过重大及以上等级安全事故（一次造成死亡1至2人，或者重伤3人以上10人以下，或者财产损失3万元以上不足6万元的事故）的</w:t>
            </w:r>
            <w:r>
              <w:rPr>
                <w:rFonts w:ascii="宋体" w:hAnsi="宋体" w:cs="宋体"/>
                <w:sz w:val="24"/>
                <w:szCs w:val="20"/>
                <w:lang w:val="zh-CN" w:bidi="ar"/>
              </w:rPr>
              <w:t>，得</w:t>
            </w:r>
            <w:r>
              <w:rPr>
                <w:rFonts w:hint="eastAsia" w:ascii="宋体" w:hAnsi="宋体" w:cs="宋体"/>
                <w:sz w:val="24"/>
                <w:szCs w:val="20"/>
                <w:lang w:bidi="ar"/>
              </w:rPr>
              <w:t>2</w:t>
            </w:r>
            <w:r>
              <w:rPr>
                <w:rFonts w:ascii="宋体" w:hAnsi="宋体" w:cs="宋体"/>
                <w:sz w:val="24"/>
                <w:szCs w:val="20"/>
                <w:lang w:val="zh-CN" w:bidi="ar"/>
              </w:rPr>
              <w:t>分，未提供不得分。</w:t>
            </w:r>
            <w:r>
              <w:rPr>
                <w:rFonts w:hint="eastAsia"/>
                <w:b/>
                <w:sz w:val="24"/>
                <w:szCs w:val="24"/>
              </w:rPr>
              <w:t>投标文件中须提供承诺函（承诺函需盖章），未提供的不得分。（承诺函格式自拟）</w:t>
            </w:r>
          </w:p>
        </w:tc>
      </w:tr>
    </w:tbl>
    <w:p>
      <w:pPr>
        <w:spacing w:line="460" w:lineRule="exact"/>
        <w:ind w:firstLine="482"/>
        <w:rPr>
          <w:rFonts w:ascii="宋体" w:hAnsi="宋体" w:cs="宋体"/>
          <w:b/>
          <w:sz w:val="24"/>
          <w:szCs w:val="20"/>
        </w:rPr>
      </w:pPr>
      <w:r>
        <w:rPr>
          <w:rFonts w:hint="eastAsia" w:ascii="宋体" w:hAnsi="宋体" w:cs="宋体"/>
          <w:b/>
          <w:sz w:val="24"/>
          <w:szCs w:val="20"/>
          <w:lang w:bidi="ar"/>
        </w:rPr>
        <w:t>5、综合能力10分</w:t>
      </w:r>
    </w:p>
    <w:tbl>
      <w:tblPr>
        <w:tblStyle w:val="46"/>
        <w:tblW w:w="98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276"/>
        <w:gridCol w:w="882"/>
        <w:gridCol w:w="6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7" w:hRule="atLeast"/>
          <w:jc w:val="center"/>
        </w:trPr>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序号</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评审因素</w:t>
            </w:r>
          </w:p>
        </w:tc>
        <w:tc>
          <w:tcPr>
            <w:tcW w:w="88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分值</w:t>
            </w:r>
          </w:p>
        </w:tc>
        <w:tc>
          <w:tcPr>
            <w:tcW w:w="69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430"/>
              </w:tabs>
              <w:jc w:val="center"/>
              <w:rPr>
                <w:rFonts w:ascii="宋体" w:hAnsi="宋体" w:cs="宋体"/>
                <w:sz w:val="24"/>
                <w:szCs w:val="20"/>
              </w:rPr>
            </w:pPr>
            <w:r>
              <w:rPr>
                <w:rFonts w:hint="eastAsia" w:ascii="宋体" w:hAnsi="宋体" w:cs="宋体"/>
                <w:sz w:val="24"/>
                <w:szCs w:val="20"/>
                <w:lang w:bidi="ar"/>
              </w:rPr>
              <w:t>商务条件响应性</w:t>
            </w:r>
          </w:p>
        </w:tc>
        <w:tc>
          <w:tcPr>
            <w:tcW w:w="88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2分</w:t>
            </w:r>
          </w:p>
        </w:tc>
        <w:tc>
          <w:tcPr>
            <w:tcW w:w="6914"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430"/>
              </w:tabs>
              <w:jc w:val="left"/>
              <w:rPr>
                <w:rFonts w:ascii="宋体" w:hAnsi="宋体" w:cs="宋体"/>
                <w:sz w:val="24"/>
                <w:szCs w:val="20"/>
              </w:rPr>
            </w:pPr>
            <w:r>
              <w:rPr>
                <w:rFonts w:hint="eastAsia" w:ascii="宋体" w:hAnsi="宋体" w:cs="宋体"/>
                <w:sz w:val="24"/>
                <w:szCs w:val="20"/>
                <w:lang w:bidi="ar"/>
              </w:rPr>
              <w:t>投标人对招标文件中合同条款等商务条件完全响应的得2分，</w:t>
            </w:r>
            <w:r>
              <w:rPr>
                <w:rFonts w:hint="eastAsia" w:ascii="宋体" w:hAnsi="宋体" w:cs="宋体"/>
                <w:sz w:val="24"/>
                <w:szCs w:val="24"/>
                <w:lang w:bidi="ar"/>
              </w:rPr>
              <w:t>有负偏离的每条扣0.1分；扣完为止。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0" w:hRule="atLeast"/>
          <w:jc w:val="center"/>
        </w:trPr>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0"/>
              </w:rPr>
            </w:pPr>
            <w:r>
              <w:rPr>
                <w:rFonts w:hint="eastAsia" w:ascii="宋体" w:hAnsi="宋体" w:cs="宋体"/>
                <w:sz w:val="24"/>
                <w:szCs w:val="20"/>
                <w:lang w:bidi="ar"/>
              </w:rPr>
              <w:t>2</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8"/>
                <w:szCs w:val="24"/>
              </w:rPr>
            </w:pPr>
            <w:r>
              <w:rPr>
                <w:rFonts w:hint="eastAsia" w:ascii="宋体" w:hAnsi="宋体" w:cs="宋体"/>
                <w:sz w:val="24"/>
                <w:szCs w:val="20"/>
                <w:lang w:bidi="ar"/>
              </w:rPr>
              <w:t>业绩情况</w:t>
            </w:r>
          </w:p>
        </w:tc>
        <w:tc>
          <w:tcPr>
            <w:tcW w:w="882"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80" w:lineRule="exact"/>
              <w:jc w:val="center"/>
              <w:rPr>
                <w:rFonts w:ascii="宋体" w:hAnsi="宋体" w:cs="宋体"/>
                <w:sz w:val="24"/>
                <w:szCs w:val="20"/>
              </w:rPr>
            </w:pPr>
            <w:r>
              <w:rPr>
                <w:rFonts w:hint="eastAsia" w:ascii="宋体" w:hAnsi="宋体" w:cs="宋体"/>
                <w:sz w:val="24"/>
                <w:szCs w:val="20"/>
                <w:lang w:bidi="ar"/>
              </w:rPr>
              <w:t>8分</w:t>
            </w:r>
          </w:p>
        </w:tc>
        <w:tc>
          <w:tcPr>
            <w:tcW w:w="6914"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s="宋体"/>
                <w:sz w:val="24"/>
                <w:szCs w:val="24"/>
              </w:rPr>
            </w:pPr>
            <w:r>
              <w:rPr>
                <w:rFonts w:hint="eastAsia" w:ascii="宋体" w:hAnsi="宋体" w:cs="宋体"/>
                <w:sz w:val="24"/>
                <w:szCs w:val="24"/>
                <w:lang w:bidi="ar"/>
              </w:rPr>
              <w:t>根据投标人自2023年1月1日至今（时间以合同签订日期为准）承接过的车辆租赁服务项目业绩情况进行评定，每提供一个得2分，最高得8分。</w:t>
            </w:r>
            <w:r>
              <w:rPr>
                <w:rFonts w:hint="eastAsia" w:ascii="宋体" w:hAnsi="宋体" w:cs="宋体"/>
                <w:b/>
                <w:sz w:val="24"/>
                <w:szCs w:val="20"/>
                <w:lang w:bidi="ar"/>
              </w:rPr>
              <w:t>（投标文件中提供合同的证明材料，未提供的不得分）</w:t>
            </w:r>
          </w:p>
        </w:tc>
      </w:tr>
    </w:tbl>
    <w:p>
      <w:pPr>
        <w:spacing w:line="480" w:lineRule="exact"/>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三、政府采购政策：</w:t>
      </w:r>
    </w:p>
    <w:p>
      <w:pPr>
        <w:spacing w:line="440" w:lineRule="exact"/>
        <w:ind w:firstLine="360"/>
        <w:rPr>
          <w:color w:val="000000"/>
          <w:sz w:val="24"/>
          <w:szCs w:val="20"/>
        </w:rPr>
      </w:pPr>
      <w:r>
        <w:rPr>
          <w:rFonts w:ascii="Times New Roman" w:hAnsi="Times New Roman"/>
          <w:color w:val="000000"/>
          <w:sz w:val="24"/>
          <w:szCs w:val="20"/>
          <w:lang w:bidi="ar"/>
        </w:rPr>
        <w:t>1</w:t>
      </w:r>
      <w:r>
        <w:rPr>
          <w:rFonts w:hint="eastAsia" w:ascii="Times New Roman" w:hAnsi="Times New Roman" w:cs="宋体"/>
          <w:color w:val="000000"/>
          <w:sz w:val="24"/>
          <w:szCs w:val="20"/>
          <w:lang w:bidi="ar"/>
        </w:rPr>
        <w:t>、针对中小型企业、残疾人福利单位和监狱企业的评审：</w:t>
      </w:r>
    </w:p>
    <w:p>
      <w:pPr>
        <w:spacing w:line="440" w:lineRule="exact"/>
        <w:ind w:firstLine="360"/>
        <w:rPr>
          <w:color w:val="000000"/>
          <w:sz w:val="24"/>
          <w:szCs w:val="20"/>
        </w:rPr>
      </w:pPr>
      <w:r>
        <w:rPr>
          <w:rFonts w:hint="eastAsia" w:ascii="Times New Roman" w:hAnsi="Times New Roman" w:cs="宋体"/>
          <w:color w:val="000000"/>
          <w:sz w:val="24"/>
          <w:szCs w:val="20"/>
          <w:lang w:bidi="ar"/>
        </w:rPr>
        <w:t>（</w:t>
      </w:r>
      <w:r>
        <w:rPr>
          <w:rFonts w:ascii="Times New Roman" w:hAnsi="Times New Roman"/>
          <w:color w:val="000000"/>
          <w:sz w:val="24"/>
          <w:szCs w:val="20"/>
          <w:lang w:bidi="ar"/>
        </w:rPr>
        <w:t>1</w:t>
      </w:r>
      <w:r>
        <w:rPr>
          <w:rFonts w:hint="eastAsia" w:ascii="Times New Roman" w:hAnsi="Times New Roman" w:cs="宋体"/>
          <w:color w:val="000000"/>
          <w:sz w:val="24"/>
          <w:szCs w:val="20"/>
          <w:lang w:bidi="ar"/>
        </w:rPr>
        <w:t>）</w:t>
      </w:r>
      <w:r>
        <w:rPr>
          <w:rFonts w:hint="eastAsia" w:ascii="宋体" w:hAnsi="宋体"/>
          <w:sz w:val="24"/>
          <w:szCs w:val="24"/>
        </w:rPr>
        <w:t>根据《政府采购促进中小企业发展管理办法》（财库〔</w:t>
      </w:r>
      <w:r>
        <w:rPr>
          <w:rFonts w:ascii="宋体" w:hAnsi="宋体"/>
          <w:sz w:val="24"/>
          <w:szCs w:val="24"/>
        </w:rPr>
        <w:t>2020</w:t>
      </w:r>
      <w:r>
        <w:rPr>
          <w:rFonts w:hint="eastAsia" w:ascii="宋体" w:hAnsi="宋体"/>
          <w:sz w:val="24"/>
          <w:szCs w:val="24"/>
        </w:rPr>
        <w:t>〕</w:t>
      </w:r>
      <w:r>
        <w:rPr>
          <w:rFonts w:ascii="宋体" w:hAnsi="宋体"/>
          <w:sz w:val="24"/>
          <w:szCs w:val="24"/>
        </w:rPr>
        <w:t>46</w:t>
      </w:r>
      <w:r>
        <w:rPr>
          <w:rFonts w:hint="eastAsia" w:ascii="宋体" w:hAnsi="宋体"/>
          <w:sz w:val="24"/>
          <w:szCs w:val="24"/>
        </w:rPr>
        <w:t>号）、《关于促进残疾人就业政府采购政策的通知》（财库〔</w:t>
      </w:r>
      <w:r>
        <w:rPr>
          <w:rFonts w:ascii="宋体" w:hAnsi="宋体"/>
          <w:sz w:val="24"/>
          <w:szCs w:val="24"/>
        </w:rPr>
        <w:t>2017</w:t>
      </w:r>
      <w:r>
        <w:rPr>
          <w:rFonts w:hint="eastAsia" w:ascii="宋体" w:hAnsi="宋体"/>
          <w:sz w:val="24"/>
          <w:szCs w:val="24"/>
        </w:rPr>
        <w:t>〕</w:t>
      </w:r>
      <w:r>
        <w:rPr>
          <w:rFonts w:ascii="宋体" w:hAnsi="宋体"/>
          <w:sz w:val="24"/>
          <w:szCs w:val="24"/>
        </w:rPr>
        <w:t>141</w:t>
      </w:r>
      <w:r>
        <w:rPr>
          <w:rFonts w:hint="eastAsia" w:ascii="宋体" w:hAnsi="宋体"/>
          <w:sz w:val="24"/>
          <w:szCs w:val="24"/>
        </w:rPr>
        <w:t>号）、《关于政府采购支持监狱企业发展有关问题的通知》（财库〔</w:t>
      </w:r>
      <w:r>
        <w:rPr>
          <w:rFonts w:ascii="宋体" w:hAnsi="宋体"/>
          <w:sz w:val="24"/>
          <w:szCs w:val="24"/>
        </w:rPr>
        <w:t>2014</w:t>
      </w:r>
      <w:r>
        <w:rPr>
          <w:rFonts w:hint="eastAsia" w:ascii="宋体" w:hAnsi="宋体"/>
          <w:sz w:val="24"/>
          <w:szCs w:val="24"/>
        </w:rPr>
        <w:t>〕</w:t>
      </w:r>
      <w:r>
        <w:rPr>
          <w:rFonts w:ascii="宋体" w:hAnsi="宋体"/>
          <w:sz w:val="24"/>
          <w:szCs w:val="24"/>
        </w:rPr>
        <w:t>68</w:t>
      </w:r>
      <w:r>
        <w:rPr>
          <w:rFonts w:hint="eastAsia" w:ascii="宋体" w:hAnsi="宋体"/>
          <w:sz w:val="24"/>
          <w:szCs w:val="24"/>
        </w:rPr>
        <w:t>号）和《关于印发＜苏州市政府采购促进中小企业发展实施意见＞的通知》（苏财购〔</w:t>
      </w:r>
      <w:r>
        <w:rPr>
          <w:rFonts w:ascii="宋体" w:hAnsi="宋体"/>
          <w:sz w:val="24"/>
          <w:szCs w:val="24"/>
        </w:rPr>
        <w:t>2022</w:t>
      </w:r>
      <w:r>
        <w:rPr>
          <w:rFonts w:hint="eastAsia" w:ascii="宋体" w:hAnsi="宋体"/>
          <w:sz w:val="24"/>
          <w:szCs w:val="24"/>
        </w:rPr>
        <w:t>〕</w:t>
      </w:r>
      <w:r>
        <w:rPr>
          <w:rFonts w:ascii="宋体" w:hAnsi="宋体"/>
          <w:sz w:val="24"/>
          <w:szCs w:val="24"/>
        </w:rPr>
        <w:t>16</w:t>
      </w:r>
      <w:r>
        <w:rPr>
          <w:rFonts w:hint="eastAsia" w:ascii="宋体" w:hAnsi="宋体"/>
          <w:sz w:val="24"/>
          <w:szCs w:val="24"/>
        </w:rPr>
        <w:t>号）</w:t>
      </w:r>
      <w:r>
        <w:rPr>
          <w:rFonts w:hint="eastAsia" w:ascii="Times New Roman" w:hAnsi="Times New Roman" w:cs="宋体"/>
          <w:color w:val="000000"/>
          <w:sz w:val="24"/>
          <w:szCs w:val="20"/>
          <w:lang w:bidi="ar"/>
        </w:rPr>
        <w:t>，对属于小微企业、残疾人福利性单位、监狱企业给予评审优惠，其价格给予</w:t>
      </w:r>
      <w:r>
        <w:rPr>
          <w:rFonts w:ascii="Times New Roman" w:hAnsi="Times New Roman"/>
          <w:color w:val="000000"/>
          <w:sz w:val="24"/>
          <w:szCs w:val="20"/>
          <w:lang w:bidi="ar"/>
        </w:rPr>
        <w:t>10%</w:t>
      </w:r>
      <w:r>
        <w:rPr>
          <w:rFonts w:hint="eastAsia" w:ascii="Times New Roman" w:hAnsi="Times New Roman" w:cs="宋体"/>
          <w:color w:val="000000"/>
          <w:sz w:val="24"/>
          <w:szCs w:val="20"/>
          <w:lang w:bidi="ar"/>
        </w:rPr>
        <w:t>的扣除，用扣除后的价格参与评审，如扣除后的价格为最低价的，则作为评标基准价，中标金额则以实际投标报价为准。残疾人福利性单位、监狱企业属于小型、微型企业的，不重复享受政策。</w:t>
      </w:r>
    </w:p>
    <w:p>
      <w:pPr>
        <w:spacing w:line="440" w:lineRule="exact"/>
        <w:ind w:firstLine="360"/>
        <w:rPr>
          <w:color w:val="000000"/>
          <w:sz w:val="24"/>
          <w:szCs w:val="20"/>
        </w:rPr>
      </w:pPr>
      <w:r>
        <w:rPr>
          <w:rFonts w:hint="eastAsia" w:ascii="Times New Roman" w:hAnsi="Times New Roman" w:cs="宋体"/>
          <w:color w:val="000000"/>
          <w:sz w:val="24"/>
          <w:szCs w:val="20"/>
          <w:lang w:bidi="ar"/>
        </w:rPr>
        <w:t>（</w:t>
      </w:r>
      <w:r>
        <w:rPr>
          <w:rFonts w:ascii="Times New Roman" w:hAnsi="Times New Roman"/>
          <w:color w:val="000000"/>
          <w:sz w:val="24"/>
          <w:szCs w:val="20"/>
          <w:lang w:bidi="ar"/>
        </w:rPr>
        <w:t>2</w:t>
      </w:r>
      <w:r>
        <w:rPr>
          <w:rFonts w:hint="eastAsia" w:ascii="Times New Roman" w:hAnsi="Times New Roman" w:cs="宋体"/>
          <w:color w:val="000000"/>
          <w:sz w:val="24"/>
          <w:szCs w:val="20"/>
          <w:lang w:bidi="ar"/>
        </w:rPr>
        <w:t>）在政府采购活动中，供应商提供的货物符合下列情形的，享受中小企业扶持政策：货物由中小企业制造，即货物由中小企业生产且使用该中小企业商号或者注册商标。</w:t>
      </w:r>
    </w:p>
    <w:p>
      <w:pPr>
        <w:spacing w:line="440" w:lineRule="exact"/>
        <w:ind w:firstLine="360"/>
        <w:rPr>
          <w:color w:val="000000"/>
          <w:sz w:val="24"/>
          <w:szCs w:val="20"/>
        </w:rPr>
      </w:pPr>
      <w:r>
        <w:rPr>
          <w:rFonts w:hint="eastAsia" w:ascii="Times New Roman" w:hAnsi="Times New Roman" w:cs="宋体"/>
          <w:color w:val="000000"/>
          <w:sz w:val="24"/>
          <w:szCs w:val="20"/>
          <w:lang w:bidi="ar"/>
        </w:rPr>
        <w:t>在货物采购项目中，供应商提供的货物既有中小企业制造货物，也有大型企业制造货物的，不享受中小企业扶持政策。</w:t>
      </w:r>
    </w:p>
    <w:p>
      <w:pPr>
        <w:spacing w:line="440" w:lineRule="exact"/>
        <w:ind w:firstLine="360"/>
        <w:rPr>
          <w:color w:val="000000"/>
          <w:sz w:val="24"/>
          <w:szCs w:val="20"/>
        </w:rPr>
      </w:pPr>
      <w:r>
        <w:rPr>
          <w:rFonts w:hint="eastAsia" w:ascii="Times New Roman" w:hAnsi="Times New Roman" w:cs="宋体"/>
          <w:color w:val="000000"/>
          <w:sz w:val="24"/>
          <w:szCs w:val="20"/>
          <w:lang w:bidi="ar"/>
        </w:rPr>
        <w:t>（</w:t>
      </w:r>
      <w:r>
        <w:rPr>
          <w:rFonts w:ascii="Times New Roman" w:hAnsi="Times New Roman"/>
          <w:color w:val="000000"/>
          <w:sz w:val="24"/>
          <w:szCs w:val="20"/>
          <w:lang w:bidi="ar"/>
        </w:rPr>
        <w:t>3</w:t>
      </w:r>
      <w:r>
        <w:rPr>
          <w:rFonts w:hint="eastAsia" w:ascii="Times New Roman" w:hAnsi="Times New Roman" w:cs="宋体"/>
          <w:color w:val="000000"/>
          <w:sz w:val="24"/>
          <w:szCs w:val="20"/>
          <w:lang w:bidi="ar"/>
        </w:rPr>
        <w:t>）在投标文件中，小微企业需提供《中小企业声明函》（填报严格按“工信部联企业〔</w:t>
      </w:r>
      <w:r>
        <w:rPr>
          <w:rFonts w:ascii="Times New Roman" w:hAnsi="Times New Roman"/>
          <w:color w:val="000000"/>
          <w:sz w:val="24"/>
          <w:szCs w:val="20"/>
          <w:lang w:bidi="ar"/>
        </w:rPr>
        <w:t>2011</w:t>
      </w:r>
      <w:r>
        <w:rPr>
          <w:rFonts w:hint="eastAsia" w:ascii="Times New Roman" w:hAnsi="Times New Roman" w:cs="宋体"/>
          <w:color w:val="000000"/>
          <w:sz w:val="24"/>
          <w:szCs w:val="20"/>
          <w:lang w:bidi="ar"/>
        </w:rPr>
        <w:t>〕</w:t>
      </w:r>
      <w:r>
        <w:rPr>
          <w:rFonts w:ascii="Times New Roman" w:hAnsi="Times New Roman"/>
          <w:color w:val="000000"/>
          <w:sz w:val="24"/>
          <w:szCs w:val="20"/>
          <w:lang w:bidi="ar"/>
        </w:rPr>
        <w:t>300</w:t>
      </w:r>
      <w:r>
        <w:rPr>
          <w:rFonts w:hint="eastAsia" w:ascii="Times New Roman" w:hAnsi="Times New Roman" w:cs="宋体"/>
          <w:color w:val="000000"/>
          <w:sz w:val="24"/>
          <w:szCs w:val="20"/>
          <w:lang w:bidi="ar"/>
        </w:rPr>
        <w:t>号通知中的《中小企业划型标准规定》进行。）；残疾人福利性单位需提供《残疾人福利性单位声明函》；监狱企业需提供由省级以上监狱管理局、戒毒管理局（含新疆生产建设兵团）出具的属于监狱企业的证明文件。</w:t>
      </w:r>
    </w:p>
    <w:p>
      <w:pPr>
        <w:spacing w:line="440" w:lineRule="exact"/>
        <w:ind w:firstLine="360"/>
        <w:rPr>
          <w:color w:val="000000"/>
          <w:sz w:val="24"/>
          <w:szCs w:val="20"/>
        </w:rPr>
      </w:pPr>
      <w:r>
        <w:rPr>
          <w:rFonts w:hint="eastAsia" w:ascii="Times New Roman" w:hAnsi="Times New Roman" w:cs="宋体"/>
          <w:color w:val="000000"/>
          <w:sz w:val="24"/>
          <w:szCs w:val="20"/>
          <w:lang w:bidi="ar"/>
        </w:rPr>
        <w:t>投标人如不提供以上声明函或证明材料的，则不享受评审优惠政策。</w:t>
      </w:r>
    </w:p>
    <w:p>
      <w:pPr>
        <w:spacing w:line="440" w:lineRule="exact"/>
        <w:ind w:firstLine="360"/>
        <w:rPr>
          <w:color w:val="000000"/>
          <w:sz w:val="24"/>
          <w:szCs w:val="20"/>
        </w:rPr>
      </w:pPr>
      <w:r>
        <w:rPr>
          <w:rFonts w:hint="eastAsia" w:ascii="Times New Roman" w:hAnsi="Times New Roman" w:cs="宋体"/>
          <w:color w:val="000000"/>
          <w:sz w:val="24"/>
          <w:szCs w:val="20"/>
          <w:lang w:bidi="ar"/>
        </w:rPr>
        <w:t>（</w:t>
      </w:r>
      <w:r>
        <w:rPr>
          <w:rFonts w:ascii="Times New Roman" w:hAnsi="Times New Roman"/>
          <w:color w:val="000000"/>
          <w:sz w:val="24"/>
          <w:szCs w:val="20"/>
          <w:lang w:bidi="ar"/>
        </w:rPr>
        <w:t>4</w:t>
      </w:r>
      <w:r>
        <w:rPr>
          <w:rFonts w:hint="eastAsia" w:ascii="Times New Roman" w:hAnsi="Times New Roman" w:cs="宋体"/>
          <w:color w:val="000000"/>
          <w:sz w:val="24"/>
          <w:szCs w:val="20"/>
          <w:lang w:bidi="ar"/>
        </w:rPr>
        <w:t>）享受政府采购支持政策的残疾人福利性单位应当同时满足以下条件：</w:t>
      </w:r>
    </w:p>
    <w:p>
      <w:pPr>
        <w:spacing w:line="440" w:lineRule="exact"/>
        <w:ind w:firstLine="360"/>
        <w:rPr>
          <w:color w:val="000000"/>
          <w:sz w:val="24"/>
          <w:szCs w:val="20"/>
        </w:rPr>
      </w:pPr>
      <w:r>
        <w:rPr>
          <w:rFonts w:hint="eastAsia" w:ascii="Times New Roman" w:hAnsi="Times New Roman" w:cs="宋体"/>
          <w:color w:val="000000"/>
          <w:sz w:val="24"/>
          <w:szCs w:val="20"/>
          <w:lang w:bidi="ar"/>
        </w:rPr>
        <w:t>安置的残疾人占本单位在职职工人数的比例不低于</w:t>
      </w:r>
      <w:r>
        <w:rPr>
          <w:rFonts w:ascii="Times New Roman" w:hAnsi="Times New Roman"/>
          <w:color w:val="000000"/>
          <w:sz w:val="24"/>
          <w:szCs w:val="20"/>
          <w:lang w:bidi="ar"/>
        </w:rPr>
        <w:t>25%</w:t>
      </w:r>
      <w:r>
        <w:rPr>
          <w:rFonts w:hint="eastAsia" w:ascii="Times New Roman" w:hAnsi="Times New Roman" w:cs="宋体"/>
          <w:color w:val="000000"/>
          <w:sz w:val="24"/>
          <w:szCs w:val="20"/>
          <w:lang w:bidi="ar"/>
        </w:rPr>
        <w:t>（含</w:t>
      </w:r>
      <w:r>
        <w:rPr>
          <w:rFonts w:ascii="Times New Roman" w:hAnsi="Times New Roman"/>
          <w:color w:val="000000"/>
          <w:sz w:val="24"/>
          <w:szCs w:val="20"/>
          <w:lang w:bidi="ar"/>
        </w:rPr>
        <w:t>25%</w:t>
      </w:r>
      <w:r>
        <w:rPr>
          <w:rFonts w:hint="eastAsia" w:ascii="Times New Roman" w:hAnsi="Times New Roman" w:cs="宋体"/>
          <w:color w:val="000000"/>
          <w:sz w:val="24"/>
          <w:szCs w:val="20"/>
          <w:lang w:bidi="ar"/>
        </w:rPr>
        <w:t>），并且安置的残疾人人数不少于</w:t>
      </w:r>
      <w:r>
        <w:rPr>
          <w:rFonts w:ascii="Times New Roman" w:hAnsi="Times New Roman"/>
          <w:color w:val="000000"/>
          <w:sz w:val="24"/>
          <w:szCs w:val="20"/>
          <w:lang w:bidi="ar"/>
        </w:rPr>
        <w:t>10</w:t>
      </w:r>
      <w:r>
        <w:rPr>
          <w:rFonts w:hint="eastAsia" w:ascii="Times New Roman" w:hAnsi="Times New Roman" w:cs="宋体"/>
          <w:color w:val="000000"/>
          <w:sz w:val="24"/>
          <w:szCs w:val="20"/>
          <w:lang w:bidi="ar"/>
        </w:rPr>
        <w:t>人（含</w:t>
      </w:r>
      <w:r>
        <w:rPr>
          <w:rFonts w:ascii="Times New Roman" w:hAnsi="Times New Roman"/>
          <w:color w:val="000000"/>
          <w:sz w:val="24"/>
          <w:szCs w:val="20"/>
          <w:lang w:bidi="ar"/>
        </w:rPr>
        <w:t>10</w:t>
      </w:r>
      <w:r>
        <w:rPr>
          <w:rFonts w:hint="eastAsia" w:ascii="Times New Roman" w:hAnsi="Times New Roman" w:cs="宋体"/>
          <w:color w:val="000000"/>
          <w:sz w:val="24"/>
          <w:szCs w:val="20"/>
          <w:lang w:bidi="ar"/>
        </w:rPr>
        <w:t>人）；依法与安置的每位残疾人签订了一年以上（含一年）的劳动合同或服务协议；</w:t>
      </w:r>
    </w:p>
    <w:p>
      <w:pPr>
        <w:spacing w:line="440" w:lineRule="exact"/>
        <w:ind w:firstLine="360"/>
        <w:rPr>
          <w:color w:val="000000"/>
          <w:sz w:val="24"/>
          <w:szCs w:val="20"/>
        </w:rPr>
      </w:pPr>
      <w:r>
        <w:rPr>
          <w:rFonts w:hint="eastAsia" w:ascii="Times New Roman" w:hAnsi="Times New Roman" w:cs="宋体"/>
          <w:color w:val="000000"/>
          <w:sz w:val="24"/>
          <w:szCs w:val="20"/>
          <w:lang w:bidi="ar"/>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pPr>
        <w:spacing w:line="440" w:lineRule="exact"/>
        <w:ind w:firstLine="360"/>
        <w:rPr>
          <w:color w:val="000000"/>
          <w:sz w:val="24"/>
          <w:szCs w:val="20"/>
        </w:rPr>
      </w:pPr>
      <w:r>
        <w:rPr>
          <w:rFonts w:hint="eastAsia" w:ascii="Times New Roman" w:hAnsi="Times New Roman" w:cs="宋体"/>
          <w:color w:val="000000"/>
          <w:sz w:val="24"/>
          <w:szCs w:val="20"/>
          <w:lang w:bidi="ar"/>
        </w:rPr>
        <w:t>提供本单位制造的货物、承担的工程或者服务，或者提供其他残疾人福利性单位制造的货物（不包括使用非残疾人福利性单位注册商标的货物）。</w:t>
      </w:r>
    </w:p>
    <w:p>
      <w:pPr>
        <w:spacing w:line="440" w:lineRule="exact"/>
        <w:ind w:firstLine="360"/>
        <w:rPr>
          <w:color w:val="000000"/>
          <w:sz w:val="24"/>
          <w:szCs w:val="20"/>
        </w:rPr>
      </w:pPr>
      <w:r>
        <w:rPr>
          <w:rFonts w:hint="eastAsia" w:ascii="Times New Roman" w:hAnsi="Times New Roman" w:cs="宋体"/>
          <w:color w:val="000000"/>
          <w:sz w:val="24"/>
          <w:szCs w:val="20"/>
          <w:lang w:bidi="ar"/>
        </w:rPr>
        <w:t>前款所称残疾人是指法定劳动年龄内，持有《中华人民共和国残疾人证》或者《中华人民共和国残疾军人证（</w:t>
      </w:r>
      <w:r>
        <w:rPr>
          <w:rFonts w:ascii="Times New Roman" w:hAnsi="Times New Roman"/>
          <w:color w:val="000000"/>
          <w:sz w:val="24"/>
          <w:szCs w:val="20"/>
          <w:lang w:bidi="ar"/>
        </w:rPr>
        <w:t>1</w:t>
      </w:r>
      <w:r>
        <w:rPr>
          <w:rFonts w:hint="eastAsia" w:ascii="Times New Roman" w:hAnsi="Times New Roman" w:cs="宋体"/>
          <w:color w:val="000000"/>
          <w:sz w:val="24"/>
          <w:szCs w:val="20"/>
          <w:lang w:bidi="ar"/>
        </w:rPr>
        <w:t>至</w:t>
      </w:r>
      <w:r>
        <w:rPr>
          <w:rFonts w:ascii="Times New Roman" w:hAnsi="Times New Roman"/>
          <w:color w:val="000000"/>
          <w:sz w:val="24"/>
          <w:szCs w:val="20"/>
          <w:lang w:bidi="ar"/>
        </w:rPr>
        <w:t>8</w:t>
      </w:r>
      <w:r>
        <w:rPr>
          <w:rFonts w:hint="eastAsia" w:ascii="Times New Roman" w:hAnsi="Times New Roman" w:cs="宋体"/>
          <w:color w:val="000000"/>
          <w:sz w:val="24"/>
          <w:szCs w:val="20"/>
          <w:lang w:bidi="ar"/>
        </w:rPr>
        <w:t>级）》的自然人，包括具有劳动条件和劳动意愿的精神残疾人。在职职工人数是指与残疾人福利性单位建立劳动关系并依法签订劳动合同或者服务协议的雇员人数。</w:t>
      </w:r>
    </w:p>
    <w:p>
      <w:pPr>
        <w:spacing w:line="440" w:lineRule="exact"/>
        <w:ind w:firstLine="360"/>
        <w:rPr>
          <w:color w:val="000000"/>
          <w:sz w:val="24"/>
          <w:szCs w:val="20"/>
        </w:rPr>
      </w:pPr>
      <w:r>
        <w:rPr>
          <w:rFonts w:hint="eastAsia" w:ascii="Times New Roman" w:hAnsi="Times New Roman" w:cs="宋体"/>
          <w:color w:val="000000"/>
          <w:sz w:val="24"/>
          <w:szCs w:val="20"/>
          <w:lang w:bidi="ar"/>
        </w:rPr>
        <w:t>（</w:t>
      </w:r>
      <w:r>
        <w:rPr>
          <w:rFonts w:ascii="Times New Roman" w:hAnsi="Times New Roman"/>
          <w:color w:val="000000"/>
          <w:sz w:val="24"/>
          <w:szCs w:val="20"/>
          <w:lang w:bidi="ar"/>
        </w:rPr>
        <w:t>5</w:t>
      </w:r>
      <w:r>
        <w:rPr>
          <w:rFonts w:hint="eastAsia" w:ascii="Times New Roman" w:hAnsi="Times New Roman" w:cs="宋体"/>
          <w:color w:val="000000"/>
          <w:sz w:val="24"/>
          <w:szCs w:val="20"/>
          <w:lang w:bidi="ar"/>
        </w:rPr>
        <w:t>）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pPr>
        <w:spacing w:line="440" w:lineRule="exact"/>
        <w:ind w:firstLine="360"/>
        <w:rPr>
          <w:color w:val="000000"/>
          <w:sz w:val="24"/>
          <w:szCs w:val="20"/>
        </w:rPr>
      </w:pPr>
      <w:bookmarkStart w:id="220" w:name="_Hlk100141537"/>
      <w:r>
        <w:rPr>
          <w:rFonts w:ascii="Times New Roman" w:hAnsi="Times New Roman"/>
          <w:color w:val="000000"/>
          <w:sz w:val="24"/>
          <w:szCs w:val="20"/>
          <w:lang w:bidi="ar"/>
        </w:rPr>
        <w:t>2</w:t>
      </w:r>
      <w:r>
        <w:rPr>
          <w:rFonts w:hint="eastAsia" w:ascii="Times New Roman" w:hAnsi="Times New Roman" w:cs="宋体"/>
          <w:color w:val="000000"/>
          <w:sz w:val="24"/>
          <w:szCs w:val="20"/>
          <w:lang w:bidi="ar"/>
        </w:rPr>
        <w:t>、针对节能产品和环境标志产品的评审：</w:t>
      </w:r>
      <w:bookmarkEnd w:id="220"/>
    </w:p>
    <w:p>
      <w:pPr>
        <w:spacing w:line="440" w:lineRule="exact"/>
        <w:ind w:firstLine="360"/>
        <w:rPr>
          <w:color w:val="000000"/>
          <w:sz w:val="24"/>
          <w:szCs w:val="20"/>
        </w:rPr>
      </w:pPr>
      <w:r>
        <w:rPr>
          <w:rFonts w:hint="eastAsia" w:ascii="Times New Roman" w:hAnsi="Times New Roman" w:cs="宋体"/>
          <w:color w:val="000000"/>
          <w:sz w:val="24"/>
          <w:szCs w:val="20"/>
          <w:lang w:bidi="ar"/>
        </w:rPr>
        <w:t>（</w:t>
      </w:r>
      <w:r>
        <w:rPr>
          <w:rFonts w:ascii="Times New Roman" w:hAnsi="Times New Roman"/>
          <w:color w:val="000000"/>
          <w:sz w:val="24"/>
          <w:szCs w:val="20"/>
          <w:lang w:bidi="ar"/>
        </w:rPr>
        <w:t>1</w:t>
      </w:r>
      <w:r>
        <w:rPr>
          <w:rFonts w:hint="eastAsia" w:ascii="Times New Roman" w:hAnsi="Times New Roman" w:cs="宋体"/>
          <w:color w:val="000000"/>
          <w:sz w:val="24"/>
          <w:szCs w:val="20"/>
          <w:lang w:bidi="ar"/>
        </w:rPr>
        <w:t>）根据《关于调整优化节能产品、环境标志产品政府采购执行机制的通知》（财库〔</w:t>
      </w:r>
      <w:r>
        <w:rPr>
          <w:rFonts w:ascii="Times New Roman" w:hAnsi="Times New Roman"/>
          <w:color w:val="000000"/>
          <w:sz w:val="24"/>
          <w:szCs w:val="20"/>
          <w:lang w:bidi="ar"/>
        </w:rPr>
        <w:t>2019</w:t>
      </w:r>
      <w:r>
        <w:rPr>
          <w:rFonts w:hint="eastAsia" w:ascii="Times New Roman" w:hAnsi="Times New Roman" w:cs="宋体"/>
          <w:color w:val="000000"/>
          <w:sz w:val="24"/>
          <w:szCs w:val="20"/>
          <w:lang w:bidi="ar"/>
        </w:rPr>
        <w:t>〕</w:t>
      </w:r>
      <w:r>
        <w:rPr>
          <w:rFonts w:ascii="Times New Roman" w:hAnsi="Times New Roman"/>
          <w:color w:val="000000"/>
          <w:sz w:val="24"/>
          <w:szCs w:val="20"/>
          <w:lang w:bidi="ar"/>
        </w:rPr>
        <w:t>9</w:t>
      </w:r>
      <w:r>
        <w:rPr>
          <w:rFonts w:hint="eastAsia" w:ascii="Times New Roman" w:hAnsi="Times New Roman" w:cs="宋体"/>
          <w:color w:val="000000"/>
          <w:sz w:val="24"/>
          <w:szCs w:val="20"/>
          <w:lang w:bidi="ar"/>
        </w:rPr>
        <w:t>号）等相关文件的规定，对属于《节能产品政府采购品目清单》、《环境标志产品政府采购品目清单》范围内产品实施政府优先采购或强制采购，上述品目清单可通过“中国政府采购网”（</w:t>
      </w:r>
      <w:r>
        <w:rPr>
          <w:rFonts w:ascii="Times New Roman" w:hAnsi="Times New Roman"/>
          <w:color w:val="000000"/>
          <w:sz w:val="24"/>
          <w:szCs w:val="20"/>
          <w:lang w:bidi="ar"/>
        </w:rPr>
        <w:t>http://www.ccgp.gov.cn</w:t>
      </w:r>
      <w:r>
        <w:rPr>
          <w:rFonts w:hint="eastAsia" w:ascii="Times New Roman" w:hAnsi="Times New Roman" w:cs="宋体"/>
          <w:color w:val="000000"/>
          <w:sz w:val="24"/>
          <w:szCs w:val="20"/>
          <w:lang w:bidi="ar"/>
        </w:rPr>
        <w:t>）查询。</w:t>
      </w:r>
    </w:p>
    <w:p>
      <w:pPr>
        <w:spacing w:line="430" w:lineRule="exact"/>
        <w:ind w:firstLine="470"/>
        <w:rPr>
          <w:rFonts w:ascii="宋体" w:hAnsi="宋体" w:cs="宋体"/>
          <w:color w:val="000000"/>
          <w:sz w:val="24"/>
          <w:szCs w:val="20"/>
        </w:rPr>
      </w:pPr>
      <w:r>
        <w:rPr>
          <w:rFonts w:hint="eastAsia" w:ascii="Times New Roman" w:hAnsi="Times New Roman" w:cs="宋体"/>
          <w:color w:val="000000"/>
          <w:sz w:val="24"/>
          <w:szCs w:val="20"/>
          <w:lang w:bidi="ar"/>
        </w:rPr>
        <w:t>（</w:t>
      </w:r>
      <w:r>
        <w:rPr>
          <w:rFonts w:ascii="Times New Roman" w:hAnsi="Times New Roman"/>
          <w:color w:val="000000"/>
          <w:sz w:val="24"/>
          <w:szCs w:val="20"/>
          <w:lang w:bidi="ar"/>
        </w:rPr>
        <w:t>2</w:t>
      </w:r>
      <w:r>
        <w:rPr>
          <w:rFonts w:hint="eastAsia" w:ascii="Times New Roman" w:hAnsi="Times New Roman" w:cs="宋体"/>
          <w:color w:val="000000"/>
          <w:sz w:val="24"/>
          <w:szCs w:val="20"/>
          <w:lang w:bidi="ar"/>
        </w:rPr>
        <w:t>）投标人在投标文件中提供由国家确定的认证机构出具的、处于有效期之内的节能产品、环境标志产品认证证书电子扫描件。若属于政府强制采购产品范围但相关认证证书电子件未提供或提供不全的，将视为未实质性响应采购要求。</w:t>
      </w:r>
    </w:p>
    <w:p>
      <w:pPr>
        <w:spacing w:line="480" w:lineRule="exact"/>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四、信用记录：</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1、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依法拒绝其参与政府采购活动。</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2、查询时间：进入评审环节前。</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3、查询渠道：</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采购人、采购代理机构应当通过中国政府采购网(http://www.ccgp.gov.cn/search/cr/)、信用中国（ https://www.creditchina.gov.cn/ ）、信用江苏（http://credit.jiangsu.gov.cn/）、信用中国（江苏苏州）（https://credit.suzhou.gov.cn/）等渠道查询相关主体信用记录，并采取必要方式做好信用信息报告等查询记录留存。</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4、信用记录使用规则：</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代理机构应根据查询结果对投标人的不良信用记录逐项甄别确认。按照《中华人民共和国政府采购法》第二十二条规定，下列信用记录属于应依法拒绝投标人参加政府采购的失信信息：</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（一）政府采购严重违法记录，即供应商被全国各级财政部门列入“政府采购严重违法失信行为记录名单”，且在处罚有效期内的。</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（二）财政部门与法院、工商、税务等部门联合惩戒的失信信息，包括：</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1) 被列入失信被执行人名单；</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2) 被列入重大税收违法案件当事人名单；</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以上失信信息应按苏财购[2017]11号第十一条规定的办法进行查询确认。</w:t>
      </w:r>
    </w:p>
    <w:p>
      <w:pPr>
        <w:spacing w:line="440" w:lineRule="exact"/>
        <w:ind w:firstLine="480"/>
        <w:rPr>
          <w:rFonts w:ascii="宋体" w:hAnsi="宋体" w:cs="宋体"/>
          <w:bCs/>
          <w:color w:val="000000"/>
          <w:sz w:val="24"/>
          <w:szCs w:val="20"/>
        </w:rPr>
      </w:pPr>
      <w:r>
        <w:rPr>
          <w:rFonts w:hint="eastAsia" w:ascii="宋体" w:hAnsi="宋体" w:cs="宋体"/>
          <w:bCs/>
          <w:color w:val="000000"/>
          <w:sz w:val="24"/>
          <w:szCs w:val="20"/>
          <w:lang w:bidi="ar"/>
        </w:rPr>
        <w:t>5、查询证据留存方式：</w:t>
      </w:r>
    </w:p>
    <w:p>
      <w:pPr>
        <w:spacing w:line="440" w:lineRule="exact"/>
        <w:ind w:firstLine="480"/>
        <w:rPr>
          <w:rFonts w:ascii="宋体" w:hAnsi="宋体" w:cs="宋体"/>
          <w:bCs/>
          <w:color w:val="000000"/>
          <w:sz w:val="24"/>
          <w:szCs w:val="20"/>
          <w:lang w:bidi="ar"/>
        </w:rPr>
      </w:pPr>
      <w:r>
        <w:rPr>
          <w:rFonts w:hint="eastAsia" w:ascii="宋体" w:hAnsi="宋体" w:cs="宋体"/>
          <w:bCs/>
          <w:color w:val="000000"/>
          <w:sz w:val="24"/>
          <w:szCs w:val="20"/>
          <w:lang w:bidi="ar"/>
        </w:rPr>
        <w:t>按照相关管理办法查询有关主体的信用记录，并保存好相关证据材料。对存在的失信信息，应登录到来源网站页面进行复核并打印，作为证据留存。</w:t>
      </w:r>
    </w:p>
    <w:p>
      <w:pPr>
        <w:spacing w:line="440" w:lineRule="exact"/>
        <w:ind w:firstLine="480"/>
        <w:rPr>
          <w:rFonts w:ascii="Times New Roman" w:hAnsi="Times New Roman"/>
          <w:b/>
          <w:sz w:val="28"/>
          <w:szCs w:val="28"/>
          <w:lang w:bidi="ar"/>
        </w:rPr>
      </w:pPr>
      <w:r>
        <w:rPr>
          <w:rFonts w:hint="eastAsia" w:ascii="宋体" w:hAnsi="宋体" w:cs="宋体"/>
          <w:bCs/>
          <w:color w:val="000000"/>
          <w:sz w:val="24"/>
          <w:szCs w:val="20"/>
          <w:lang w:bidi="ar"/>
        </w:rPr>
        <w:t>6、经查询发现供应商存在应依法拒绝参加政府采购的失信信息，并对此不良信用记录甄别确认的，作无效投标处理</w:t>
      </w:r>
      <w:r>
        <w:rPr>
          <w:color w:val="000000" w:themeColor="text1"/>
          <w:sz w:val="24"/>
          <w:szCs w:val="24"/>
          <w14:textFill>
            <w14:solidFill>
              <w14:schemeClr w14:val="tx1"/>
            </w14:solidFill>
          </w14:textFill>
        </w:rPr>
        <w:t>。</w:t>
      </w:r>
    </w:p>
    <w:p>
      <w:pPr>
        <w:keepNext/>
        <w:jc w:val="center"/>
        <w:outlineLvl w:val="0"/>
        <w:rPr>
          <w:rFonts w:ascii="黑体" w:hAnsi="Courier New" w:eastAsia="黑体" w:cs="Courier New"/>
          <w:bCs/>
          <w:color w:val="000000" w:themeColor="text1"/>
          <w:sz w:val="44"/>
          <w:szCs w:val="21"/>
          <w14:textFill>
            <w14:solidFill>
              <w14:schemeClr w14:val="tx1"/>
            </w14:solidFill>
          </w14:textFill>
        </w:rPr>
      </w:pPr>
      <w:r>
        <w:rPr>
          <w:color w:val="000000" w:themeColor="text1"/>
          <w:sz w:val="24"/>
          <w:szCs w:val="24"/>
          <w14:textFill>
            <w14:solidFill>
              <w14:schemeClr w14:val="tx1"/>
            </w14:solidFill>
          </w14:textFill>
        </w:rPr>
        <w:br w:type="page" w:clear="all"/>
      </w:r>
      <w:bookmarkStart w:id="221" w:name="_Toc228349840"/>
      <w:r>
        <w:rPr>
          <w:rFonts w:hint="eastAsia" w:ascii="黑体" w:hAnsi="Courier New" w:eastAsia="黑体" w:cs="Courier New"/>
          <w:bCs/>
          <w:color w:val="000000" w:themeColor="text1"/>
          <w:sz w:val="44"/>
          <w:szCs w:val="21"/>
          <w14:textFill>
            <w14:solidFill>
              <w14:schemeClr w14:val="tx1"/>
            </w14:solidFill>
          </w14:textFill>
        </w:rPr>
        <w:t>第六章  投标</w:t>
      </w:r>
      <w:bookmarkEnd w:id="206"/>
      <w:bookmarkEnd w:id="207"/>
      <w:bookmarkEnd w:id="208"/>
      <w:r>
        <w:rPr>
          <w:rFonts w:hint="eastAsia" w:ascii="黑体" w:hAnsi="Courier New" w:eastAsia="黑体" w:cs="Courier New"/>
          <w:bCs/>
          <w:color w:val="000000" w:themeColor="text1"/>
          <w:sz w:val="44"/>
          <w:szCs w:val="21"/>
          <w14:textFill>
            <w14:solidFill>
              <w14:schemeClr w14:val="tx1"/>
            </w14:solidFill>
          </w14:textFill>
        </w:rPr>
        <w:t>文件格式</w:t>
      </w:r>
      <w:bookmarkEnd w:id="221"/>
    </w:p>
    <w:p>
      <w:pPr>
        <w:ind w:firstLine="1446"/>
        <w:jc w:val="center"/>
        <w:rPr>
          <w:rFonts w:ascii="宋体" w:hAnsi="宋体"/>
          <w:b/>
          <w:color w:val="000000" w:themeColor="text1"/>
          <w:sz w:val="72"/>
          <w:szCs w:val="21"/>
          <w14:textFill>
            <w14:solidFill>
              <w14:schemeClr w14:val="tx1"/>
            </w14:solidFill>
          </w14:textFill>
        </w:rPr>
      </w:pPr>
      <w:bookmarkStart w:id="222" w:name="_Hlt26955039"/>
      <w:bookmarkEnd w:id="222"/>
      <w:bookmarkStart w:id="223" w:name="_Hlt26671244"/>
      <w:bookmarkEnd w:id="223"/>
      <w:bookmarkStart w:id="224" w:name="_Toc120614282"/>
      <w:bookmarkStart w:id="225" w:name="_Toc26554094"/>
      <w:bookmarkStart w:id="226" w:name="_Toc49090576"/>
    </w:p>
    <w:p>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投  标  文  件</w:t>
      </w:r>
    </w:p>
    <w:p>
      <w:pPr>
        <w:ind w:firstLine="1446"/>
        <w:jc w:val="center"/>
        <w:rPr>
          <w:rFonts w:ascii="宋体" w:hAnsi="宋体"/>
          <w:b/>
          <w:color w:val="000000" w:themeColor="text1"/>
          <w:sz w:val="72"/>
          <w:szCs w:val="21"/>
          <w14:textFill>
            <w14:solidFill>
              <w14:schemeClr w14:val="tx1"/>
            </w14:solidFill>
          </w14:textFill>
        </w:rPr>
      </w:pPr>
    </w:p>
    <w:p>
      <w:pPr>
        <w:ind w:firstLine="1446"/>
        <w:jc w:val="center"/>
        <w:rPr>
          <w:rFonts w:ascii="宋体" w:hAnsi="宋体"/>
          <w:b/>
          <w:color w:val="000000" w:themeColor="text1"/>
          <w:sz w:val="72"/>
          <w:szCs w:val="21"/>
          <w14:textFill>
            <w14:solidFill>
              <w14:schemeClr w14:val="tx1"/>
            </w14:solidFill>
          </w14:textFill>
        </w:rPr>
      </w:pPr>
    </w:p>
    <w:p>
      <w:pPr>
        <w:ind w:firstLine="723"/>
        <w:jc w:val="center"/>
        <w:rPr>
          <w:rFonts w:ascii="宋体" w:hAnsi="宋体"/>
          <w:b/>
          <w:color w:val="000000" w:themeColor="text1"/>
          <w:sz w:val="36"/>
          <w:szCs w:val="21"/>
          <w14:textFill>
            <w14:solidFill>
              <w14:schemeClr w14:val="tx1"/>
            </w14:solidFill>
          </w14:textFill>
        </w:rPr>
      </w:pPr>
    </w:p>
    <w:p>
      <w:pPr>
        <w:ind w:firstLine="723"/>
        <w:jc w:val="center"/>
        <w:rPr>
          <w:rFonts w:ascii="宋体" w:hAnsi="宋体"/>
          <w:b/>
          <w:color w:val="000000" w:themeColor="text1"/>
          <w:sz w:val="36"/>
          <w:szCs w:val="21"/>
          <w14:textFill>
            <w14:solidFill>
              <w14:schemeClr w14:val="tx1"/>
            </w14:solidFill>
          </w14:textFill>
        </w:rPr>
      </w:pPr>
    </w:p>
    <w:p>
      <w:pPr>
        <w:ind w:firstLine="723"/>
        <w:jc w:val="center"/>
        <w:rPr>
          <w:rFonts w:ascii="宋体" w:hAnsi="宋体"/>
          <w:b/>
          <w:color w:val="000000" w:themeColor="text1"/>
          <w:sz w:val="36"/>
          <w:szCs w:val="21"/>
          <w14:textFill>
            <w14:solidFill>
              <w14:schemeClr w14:val="tx1"/>
            </w14:solidFill>
          </w14:textFill>
        </w:rPr>
      </w:pPr>
    </w:p>
    <w:p>
      <w:pPr>
        <w:spacing w:line="360" w:lineRule="auto"/>
        <w:ind w:firstLine="1606"/>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项 目 名 称：</w:t>
      </w:r>
      <w:r>
        <w:rPr>
          <w:rFonts w:hint="eastAsia" w:ascii="宋体" w:hAnsi="宋体"/>
          <w:b/>
          <w:color w:val="000000" w:themeColor="text1"/>
          <w:sz w:val="36"/>
          <w:szCs w:val="24"/>
          <w14:textFill>
            <w14:solidFill>
              <w14:schemeClr w14:val="tx1"/>
            </w14:solidFill>
          </w14:textFill>
        </w:rPr>
        <w:t>苏州工学院社会车辆租赁服务</w:t>
      </w:r>
    </w:p>
    <w:p>
      <w:pPr>
        <w:spacing w:line="360" w:lineRule="auto"/>
        <w:ind w:firstLine="1606"/>
        <w:rPr>
          <w:rFonts w:hint="eastAsia" w:ascii="宋体" w:hAnsi="宋体" w:eastAsia="宋体"/>
          <w:b/>
          <w:color w:val="000000" w:themeColor="text1"/>
          <w:sz w:val="40"/>
          <w:u w:val="single"/>
          <w:lang w:eastAsia="zh-CN"/>
          <w14:textFill>
            <w14:solidFill>
              <w14:schemeClr w14:val="tx1"/>
            </w14:solidFill>
          </w14:textFill>
        </w:rPr>
      </w:pPr>
      <w:r>
        <w:rPr>
          <w:rFonts w:hint="eastAsia" w:ascii="宋体" w:hAnsi="宋体"/>
          <w:b/>
          <w:color w:val="000000" w:themeColor="text1"/>
          <w:sz w:val="40"/>
          <w14:textFill>
            <w14:solidFill>
              <w14:schemeClr w14:val="tx1"/>
            </w14:solidFill>
          </w14:textFill>
        </w:rPr>
        <w:t>项 目 编 号：</w:t>
      </w:r>
      <w:r>
        <w:rPr>
          <w:rFonts w:hint="eastAsia" w:ascii="宋体" w:hAnsi="宋体"/>
          <w:b/>
          <w:color w:val="000000" w:themeColor="text1"/>
          <w:sz w:val="36"/>
          <w:szCs w:val="24"/>
          <w:lang w:eastAsia="zh-CN"/>
          <w14:textFill>
            <w14:solidFill>
              <w14:schemeClr w14:val="tx1"/>
            </w14:solidFill>
          </w14:textFill>
        </w:rPr>
        <w:t>JSZC-320581-SZXY-G2026-0016</w:t>
      </w:r>
    </w:p>
    <w:p>
      <w:pPr>
        <w:spacing w:line="360" w:lineRule="auto"/>
        <w:ind w:firstLine="1606"/>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项 目 分 包：</w:t>
      </w:r>
    </w:p>
    <w:p>
      <w:pPr>
        <w:spacing w:line="360" w:lineRule="auto"/>
        <w:ind w:firstLine="1606"/>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投标人名称 ：</w:t>
      </w:r>
      <w:r>
        <w:rPr>
          <w:rFonts w:hint="eastAsia" w:ascii="宋体" w:hAnsi="宋体"/>
          <w:b/>
          <w:color w:val="000000" w:themeColor="text1"/>
          <w:sz w:val="40"/>
          <w:u w:val="single"/>
          <w14:textFill>
            <w14:solidFill>
              <w14:schemeClr w14:val="tx1"/>
            </w14:solidFill>
          </w14:textFill>
        </w:rPr>
        <w:t>（加盖CA电子公章）</w:t>
      </w:r>
    </w:p>
    <w:p>
      <w:pPr>
        <w:spacing w:line="360" w:lineRule="auto"/>
        <w:ind w:firstLine="1606"/>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日      期 ：2026年   月     日</w:t>
      </w: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80" w:lineRule="exact"/>
        <w:ind w:firstLine="803"/>
        <w:rPr>
          <w:rFonts w:ascii="宋体" w:hAnsi="宋体"/>
          <w:b/>
          <w:color w:val="000000" w:themeColor="text1"/>
          <w:sz w:val="40"/>
          <w14:textFill>
            <w14:solidFill>
              <w14:schemeClr w14:val="tx1"/>
            </w14:solidFill>
          </w14:textFill>
        </w:rPr>
      </w:pPr>
    </w:p>
    <w:p>
      <w:pPr>
        <w:spacing w:line="440" w:lineRule="exact"/>
        <w:rPr>
          <w:rFonts w:ascii="宋体" w:hAnsi="宋体"/>
          <w:color w:val="000000" w:themeColor="text1"/>
          <w:szCs w:val="21"/>
          <w14:textFill>
            <w14:solidFill>
              <w14:schemeClr w14:val="tx1"/>
            </w14:solidFill>
          </w14:textFill>
        </w:rPr>
      </w:pPr>
    </w:p>
    <w:p>
      <w:pPr>
        <w:widowControl/>
        <w:ind w:firstLine="643"/>
        <w:jc w:val="lef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p>
    <w:p>
      <w:pPr>
        <w:keepNext/>
        <w:ind w:firstLine="281"/>
        <w:jc w:val="left"/>
        <w:outlineLvl w:val="0"/>
        <w:rPr>
          <w:rFonts w:ascii="宋体" w:hAnsi="宋体"/>
          <w:b/>
          <w:bCs/>
          <w:color w:val="000000" w:themeColor="text1"/>
          <w:sz w:val="32"/>
          <w:szCs w:val="32"/>
          <w14:textFill>
            <w14:solidFill>
              <w14:schemeClr w14:val="tx1"/>
            </w14:solidFill>
          </w14:textFill>
        </w:rPr>
      </w:pPr>
      <w:bookmarkStart w:id="227" w:name="_Toc228349841"/>
      <w:r>
        <w:rPr>
          <w:rFonts w:hint="eastAsia" w:ascii="Times New Roman" w:hAnsi="Times New Roman"/>
          <w:b/>
          <w:sz w:val="28"/>
          <w:szCs w:val="28"/>
          <w:lang w:bidi="ar"/>
        </w:rPr>
        <w:t>标段一、标段二</w:t>
      </w:r>
      <w:bookmarkEnd w:id="227"/>
    </w:p>
    <w:p>
      <w:pPr>
        <w:spacing w:line="440" w:lineRule="exact"/>
        <w:ind w:firstLine="643"/>
        <w:jc w:val="cente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投标文件目录</w:t>
      </w:r>
    </w:p>
    <w:p>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一、投标文件内容</w:t>
      </w:r>
    </w:p>
    <w:p>
      <w:pPr>
        <w:spacing w:line="440" w:lineRule="exact"/>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1、开标一览表（格式见附件）</w:t>
      </w:r>
    </w:p>
    <w:p>
      <w:pPr>
        <w:spacing w:line="440" w:lineRule="exact"/>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2、服务要求响应及偏离表（格式见附件）</w:t>
      </w:r>
    </w:p>
    <w:p>
      <w:pPr>
        <w:spacing w:line="440" w:lineRule="exact"/>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3、项目方案（格式见附件）</w:t>
      </w:r>
    </w:p>
    <w:p>
      <w:pPr>
        <w:spacing w:line="440" w:lineRule="exact"/>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4、人员及车辆一览表（格式见附件）</w:t>
      </w:r>
    </w:p>
    <w:p>
      <w:pPr>
        <w:spacing w:line="440" w:lineRule="exact"/>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5、业绩一览表（格式见附件）</w:t>
      </w:r>
    </w:p>
    <w:p>
      <w:pPr>
        <w:spacing w:line="440" w:lineRule="exact"/>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6、商务要求响应及偏离表（格式见附件）</w:t>
      </w:r>
    </w:p>
    <w:p>
      <w:pPr>
        <w:spacing w:line="440" w:lineRule="exact"/>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7、其他（格式详见附件）</w:t>
      </w:r>
    </w:p>
    <w:p>
      <w:pPr>
        <w:spacing w:line="440" w:lineRule="exact"/>
        <w:ind w:firstLine="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bookmarkStart w:id="228" w:name="OLE_LINK12"/>
      <w:bookmarkStart w:id="229" w:name="OLE_LINK14"/>
      <w:r>
        <w:rPr>
          <w:rFonts w:hint="eastAsia" w:ascii="宋体" w:hAnsi="宋体" w:cs="宋体"/>
          <w:color w:val="000000" w:themeColor="text1"/>
          <w:sz w:val="24"/>
          <w14:textFill>
            <w14:solidFill>
              <w14:schemeClr w14:val="tx1"/>
            </w14:solidFill>
          </w14:textFill>
        </w:rPr>
        <w:t>中小企业声明函（格式见附件）或残疾人福利性单位声明函（格式见附件）或省级以上监狱管理局、戒毒管理局（含新疆生产建设兵团）出具的属于监狱企业的证明文件。</w:t>
      </w:r>
      <w:bookmarkEnd w:id="228"/>
      <w:bookmarkEnd w:id="229"/>
    </w:p>
    <w:p>
      <w:pPr>
        <w:spacing w:line="440" w:lineRule="exact"/>
        <w:ind w:firstLine="720"/>
        <w:rPr>
          <w:rFonts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9、企业关联信息证明材料</w:t>
      </w:r>
      <w:r>
        <w:rPr>
          <w:rFonts w:hint="eastAsia" w:ascii="宋体" w:hAnsi="宋体" w:cs="宋体"/>
          <w:color w:val="000000" w:themeColor="text1"/>
          <w:sz w:val="24"/>
          <w14:textFill>
            <w14:solidFill>
              <w14:schemeClr w14:val="tx1"/>
            </w14:solidFill>
          </w14:textFill>
        </w:rPr>
        <w:t>（格式详见附件）</w:t>
      </w:r>
    </w:p>
    <w:p>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二、资格审查内容</w:t>
      </w:r>
    </w:p>
    <w:p>
      <w:pPr>
        <w:spacing w:line="440" w:lineRule="exact"/>
        <w:ind w:firstLine="720"/>
        <w:rPr>
          <w:rFonts w:ascii="宋体" w:hAnsi="宋体"/>
          <w:b/>
          <w:sz w:val="24"/>
        </w:rPr>
      </w:pPr>
      <w:r>
        <w:rPr>
          <w:rFonts w:ascii="宋体" w:hAnsi="宋体"/>
          <w:sz w:val="24"/>
        </w:rPr>
        <w:t>1</w:t>
      </w:r>
      <w:r>
        <w:rPr>
          <w:rFonts w:hint="eastAsia" w:ascii="宋体" w:hAnsi="宋体"/>
          <w:sz w:val="24"/>
        </w:rPr>
        <w:t>、具有独立承担民事责任的能力</w:t>
      </w:r>
      <w:r>
        <w:rPr>
          <w:rFonts w:hint="eastAsia" w:ascii="宋体" w:hAnsi="宋体"/>
          <w:b/>
          <w:sz w:val="24"/>
        </w:rPr>
        <w:t>（</w:t>
      </w:r>
      <w:bookmarkStart w:id="230" w:name="OLE_LINK6"/>
      <w:r>
        <w:rPr>
          <w:rFonts w:hint="eastAsia" w:ascii="宋体" w:hAnsi="宋体"/>
          <w:b/>
          <w:sz w:val="24"/>
        </w:rPr>
        <w:t>提供法人或者其他组织的营业执照等证明文件</w:t>
      </w:r>
      <w:bookmarkEnd w:id="230"/>
      <w:r>
        <w:rPr>
          <w:rFonts w:hint="eastAsia" w:ascii="宋体" w:hAnsi="宋体"/>
          <w:b/>
          <w:sz w:val="24"/>
        </w:rPr>
        <w:t>）</w:t>
      </w:r>
    </w:p>
    <w:p>
      <w:pPr>
        <w:spacing w:line="440" w:lineRule="exact"/>
        <w:ind w:firstLine="720"/>
        <w:rPr>
          <w:rFonts w:ascii="宋体" w:hAnsi="宋体"/>
          <w:b/>
          <w:sz w:val="24"/>
        </w:rPr>
      </w:pPr>
      <w:r>
        <w:rPr>
          <w:rFonts w:ascii="宋体" w:hAnsi="宋体"/>
          <w:sz w:val="24"/>
        </w:rPr>
        <w:t>2</w:t>
      </w:r>
      <w:r>
        <w:rPr>
          <w:rFonts w:hint="eastAsia" w:ascii="宋体" w:hAnsi="宋体"/>
          <w:sz w:val="24"/>
        </w:rPr>
        <w:t>、具有良好的商业信誉和健全的财务会计制度</w:t>
      </w:r>
      <w:r>
        <w:rPr>
          <w:rFonts w:hint="eastAsia" w:ascii="宋体" w:hAnsi="宋体"/>
          <w:b/>
          <w:sz w:val="24"/>
        </w:rPr>
        <w:t>（</w:t>
      </w:r>
      <w:bookmarkStart w:id="231" w:name="OLE_LINK8"/>
      <w:r>
        <w:rPr>
          <w:rFonts w:hint="eastAsia" w:ascii="宋体" w:hAnsi="宋体"/>
          <w:b/>
          <w:sz w:val="24"/>
        </w:rPr>
        <w:t>提供最近一期的财务报告（财务报表）或金融机构（中介机构）出具的资信证明</w:t>
      </w:r>
      <w:bookmarkEnd w:id="231"/>
      <w:r>
        <w:rPr>
          <w:rFonts w:hint="eastAsia" w:ascii="宋体" w:hAnsi="宋体"/>
          <w:b/>
          <w:sz w:val="24"/>
        </w:rPr>
        <w:t>）</w:t>
      </w:r>
    </w:p>
    <w:p>
      <w:pPr>
        <w:spacing w:line="440" w:lineRule="exact"/>
        <w:ind w:firstLine="720"/>
        <w:rPr>
          <w:rFonts w:ascii="宋体" w:hAnsi="宋体" w:cs="宋体"/>
          <w:color w:val="000000" w:themeColor="text1"/>
          <w:sz w:val="24"/>
          <w14:textFill>
            <w14:solidFill>
              <w14:schemeClr w14:val="tx1"/>
            </w14:solidFill>
          </w14:textFill>
        </w:rPr>
      </w:pPr>
      <w:r>
        <w:rPr>
          <w:rFonts w:ascii="宋体" w:hAnsi="宋体"/>
          <w:sz w:val="24"/>
        </w:rPr>
        <w:t>3</w:t>
      </w:r>
      <w:r>
        <w:rPr>
          <w:rFonts w:hint="eastAsia" w:ascii="宋体" w:hAnsi="宋体"/>
          <w:sz w:val="24"/>
        </w:rPr>
        <w:t>、具有履行合同所必需的设备和专业技术能力</w:t>
      </w:r>
      <w:r>
        <w:rPr>
          <w:rFonts w:hint="eastAsia" w:ascii="宋体" w:hAnsi="宋体"/>
          <w:b/>
          <w:sz w:val="24"/>
        </w:rPr>
        <w:t>（</w:t>
      </w:r>
      <w:bookmarkStart w:id="232" w:name="OLE_LINK13"/>
      <w:r>
        <w:rPr>
          <w:rFonts w:hint="eastAsia" w:ascii="宋体" w:hAnsi="宋体"/>
          <w:b/>
          <w:sz w:val="24"/>
        </w:rPr>
        <w:t>提供具有履行合同所必需的设备和专业技术能力的声明函</w:t>
      </w:r>
      <w:bookmarkEnd w:id="232"/>
      <w:r>
        <w:rPr>
          <w:rFonts w:hint="eastAsia" w:ascii="宋体" w:hAnsi="宋体"/>
          <w:b/>
          <w:sz w:val="24"/>
        </w:rPr>
        <w:t>）</w:t>
      </w:r>
    </w:p>
    <w:p>
      <w:pPr>
        <w:spacing w:line="440" w:lineRule="exact"/>
        <w:ind w:firstLine="720"/>
        <w:rPr>
          <w:rFonts w:ascii="宋体" w:hAnsi="宋体"/>
          <w:b/>
          <w:sz w:val="24"/>
        </w:rPr>
      </w:pPr>
      <w:r>
        <w:rPr>
          <w:rFonts w:ascii="宋体" w:hAnsi="宋体"/>
          <w:sz w:val="24"/>
        </w:rPr>
        <w:t>4</w:t>
      </w:r>
      <w:r>
        <w:rPr>
          <w:rFonts w:hint="eastAsia" w:ascii="宋体" w:hAnsi="宋体"/>
          <w:sz w:val="24"/>
        </w:rPr>
        <w:t>、有依法缴纳税收和社会保障资金的良好记录</w:t>
      </w:r>
      <w:r>
        <w:rPr>
          <w:rFonts w:hint="eastAsia" w:ascii="宋体" w:hAnsi="宋体"/>
          <w:b/>
          <w:sz w:val="24"/>
        </w:rPr>
        <w:t>（</w:t>
      </w:r>
      <w:bookmarkStart w:id="233" w:name="OLE_LINK10"/>
      <w:r>
        <w:rPr>
          <w:rFonts w:hint="eastAsia" w:ascii="宋体" w:hAnsi="宋体"/>
          <w:b/>
          <w:sz w:val="24"/>
        </w:rPr>
        <w:t>提供开标时间前一年内至少一个月依法缴纳税收及缴纳社会保障资金的证明材料</w:t>
      </w:r>
      <w:r>
        <w:rPr>
          <w:rFonts w:ascii="宋体" w:hAnsi="宋体"/>
          <w:b/>
          <w:sz w:val="24"/>
          <w:szCs w:val="24"/>
        </w:rPr>
        <w:t>，如缴纳税收的凭据、缴纳社会保险的专用收据或社会保险缴纳清单</w:t>
      </w:r>
      <w:r>
        <w:rPr>
          <w:rFonts w:hint="eastAsia" w:ascii="宋体" w:hAnsi="宋体"/>
          <w:b/>
          <w:sz w:val="24"/>
        </w:rPr>
        <w:t>；依法享受免缴税收、社会保障资金的提供证明材料</w:t>
      </w:r>
      <w:bookmarkEnd w:id="233"/>
      <w:r>
        <w:rPr>
          <w:rFonts w:hint="eastAsia" w:ascii="宋体" w:hAnsi="宋体"/>
          <w:b/>
          <w:sz w:val="24"/>
        </w:rPr>
        <w:t>）</w:t>
      </w:r>
    </w:p>
    <w:p>
      <w:pPr>
        <w:spacing w:line="440" w:lineRule="exact"/>
        <w:ind w:firstLine="720"/>
        <w:rPr>
          <w:rFonts w:ascii="宋体" w:hAnsi="宋体" w:cs="宋体"/>
          <w:color w:val="000000" w:themeColor="text1"/>
          <w:sz w:val="24"/>
          <w14:textFill>
            <w14:solidFill>
              <w14:schemeClr w14:val="tx1"/>
            </w14:solidFill>
          </w14:textFill>
        </w:rPr>
      </w:pPr>
      <w:r>
        <w:rPr>
          <w:rFonts w:ascii="宋体" w:hAnsi="宋体"/>
          <w:sz w:val="24"/>
        </w:rPr>
        <w:t>5</w:t>
      </w:r>
      <w:r>
        <w:rPr>
          <w:rFonts w:hint="eastAsia" w:ascii="宋体" w:hAnsi="宋体"/>
          <w:sz w:val="24"/>
        </w:rPr>
        <w:t>、参加采购活动前三年内，在经营活动中没有重大违法记录</w:t>
      </w:r>
      <w:r>
        <w:rPr>
          <w:rFonts w:hint="eastAsia" w:ascii="宋体" w:hAnsi="宋体"/>
          <w:b/>
          <w:sz w:val="24"/>
        </w:rPr>
        <w:t>（</w:t>
      </w:r>
      <w:bookmarkStart w:id="234" w:name="OLE_LINK11"/>
      <w:r>
        <w:rPr>
          <w:rFonts w:hint="eastAsia" w:ascii="宋体" w:hAnsi="宋体"/>
          <w:b/>
          <w:sz w:val="24"/>
        </w:rPr>
        <w:t>提供承诺说明</w:t>
      </w:r>
      <w:bookmarkEnd w:id="234"/>
      <w:r>
        <w:rPr>
          <w:rFonts w:hint="eastAsia" w:ascii="宋体" w:hAnsi="宋体"/>
          <w:b/>
          <w:sz w:val="24"/>
        </w:rPr>
        <w:t>）</w:t>
      </w:r>
    </w:p>
    <w:p>
      <w:pPr>
        <w:spacing w:line="440" w:lineRule="exact"/>
        <w:ind w:firstLine="720"/>
        <w:rPr>
          <w:rFonts w:ascii="宋体" w:hAnsi="宋体"/>
          <w:sz w:val="24"/>
        </w:rPr>
      </w:pPr>
      <w:r>
        <w:rPr>
          <w:rFonts w:hint="eastAsia" w:ascii="宋体" w:hAnsi="宋体"/>
          <w:sz w:val="24"/>
        </w:rPr>
        <w:t>6、</w:t>
      </w:r>
      <w:r>
        <w:rPr>
          <w:rFonts w:hint="eastAsia" w:ascii="宋体" w:hAnsi="宋体" w:cs="宋体"/>
          <w:color w:val="000000"/>
          <w:sz w:val="24"/>
          <w:szCs w:val="24"/>
          <w:lang w:bidi="ar"/>
        </w:rPr>
        <w:t>具有合法有效的《道路运输经营许可证》（经营范围包括城市公共交通、省际包车客运），且道路运输经营许可证经营范围须包含汽车租赁或包车客运或旅游客运</w:t>
      </w:r>
      <w:r>
        <w:rPr>
          <w:rFonts w:hint="eastAsia" w:ascii="宋体" w:hAnsi="宋体" w:cs="宋体"/>
          <w:color w:val="000000" w:themeColor="text1"/>
          <w:sz w:val="24"/>
          <w:szCs w:val="24"/>
          <w14:textFill>
            <w14:solidFill>
              <w14:schemeClr w14:val="tx1"/>
            </w14:solidFill>
          </w14:textFill>
        </w:rPr>
        <w:t>。</w:t>
      </w:r>
    </w:p>
    <w:p>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三、符合性审查内容</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1、投标函（格式见附件）</w:t>
      </w:r>
    </w:p>
    <w:p>
      <w:pPr>
        <w:tabs>
          <w:tab w:val="left" w:pos="534"/>
        </w:tabs>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2、法人授权书（格式见附件）（</w:t>
      </w:r>
      <w:r>
        <w:rPr>
          <w:rFonts w:ascii="宋体" w:hAnsi="宋体"/>
          <w:b/>
          <w:sz w:val="24"/>
        </w:rPr>
        <w:t>①</w:t>
      </w:r>
      <w:r>
        <w:rPr>
          <w:rFonts w:hint="eastAsia" w:ascii="宋体" w:hAnsi="宋体"/>
          <w:b/>
          <w:sz w:val="24"/>
        </w:rPr>
        <w:t>如授权代表参加本项目投报，“法人授权书”必须提供，且须提供被授权人居民身份证正反面扫描件、被授权人的投标单位为其缴纳的近三个月任意一个月的社保证明材料及法定代表人居民身份证正反面扫描件。②如法定代表人参加本项目投报，“法人授权书”可不提供，但须提供法定代表人身份证正反面扫描件。</w:t>
      </w:r>
      <w:r>
        <w:rPr>
          <w:rFonts w:hint="eastAsia" w:ascii="宋体" w:hAnsi="宋体" w:cs="宋体"/>
          <w:color w:val="000000" w:themeColor="text1"/>
          <w:sz w:val="24"/>
          <w14:textFill>
            <w14:solidFill>
              <w14:schemeClr w14:val="tx1"/>
            </w14:solidFill>
          </w14:textFill>
        </w:rPr>
        <w:t>）</w:t>
      </w:r>
    </w:p>
    <w:p>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3、实质性要求响应及偏离表（格式见附件）</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olor w:val="000000"/>
          <w:sz w:val="24"/>
        </w:rPr>
        <w:t>4、承诺函(格式见附件）</w:t>
      </w:r>
    </w:p>
    <w:p>
      <w:pPr>
        <w:spacing w:line="440" w:lineRule="exact"/>
        <w:ind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备注：针对“二、资格审查内容”和“三、符合性审查内容”，投标人必须在投标文件中提供相关材料，若有缺失或无效的，将导致其投标无效。</w:t>
      </w: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35" w:name="_Toc228349842"/>
      <w:r>
        <w:rPr>
          <w:rFonts w:hint="eastAsia" w:ascii="Times New Roman" w:hAnsi="Times New Roman"/>
          <w:b/>
          <w:bCs/>
          <w:color w:val="000000" w:themeColor="text1"/>
          <w:sz w:val="28"/>
          <w:szCs w:val="28"/>
          <w14:textFill>
            <w14:solidFill>
              <w14:schemeClr w14:val="tx1"/>
            </w14:solidFill>
          </w14:textFill>
        </w:rPr>
        <w:t>附件1 开标一览表</w:t>
      </w:r>
      <w:bookmarkEnd w:id="235"/>
    </w:p>
    <w:p>
      <w:pPr>
        <w:ind w:firstLine="482"/>
        <w:rPr>
          <w:rFonts w:ascii="宋体" w:hAnsi="宋体"/>
          <w:b/>
          <w:color w:val="000000" w:themeColor="text1"/>
          <w:sz w:val="24"/>
          <w:szCs w:val="24"/>
          <w14:textFill>
            <w14:solidFill>
              <w14:schemeClr w14:val="tx1"/>
            </w14:solidFill>
          </w14:textFill>
        </w:rPr>
      </w:pPr>
    </w:p>
    <w:p>
      <w:pPr>
        <w:spacing w:line="440" w:lineRule="exact"/>
        <w:ind w:firstLine="482"/>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投标人全称（加盖CA电子签章）：</w:t>
      </w:r>
    </w:p>
    <w:p>
      <w:pPr>
        <w:spacing w:line="440" w:lineRule="exact"/>
        <w:ind w:firstLine="482"/>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项目名称：苏州工学院社会车辆租赁服务</w:t>
      </w:r>
    </w:p>
    <w:p>
      <w:pPr>
        <w:spacing w:line="440" w:lineRule="exact"/>
        <w:ind w:firstLine="482"/>
        <w:rPr>
          <w:rFonts w:ascii="宋体" w:hAnsi="宋体"/>
          <w:color w:val="000000" w:themeColor="text1"/>
          <w:sz w:val="24"/>
          <w:szCs w:val="24"/>
          <w14:textFill>
            <w14:solidFill>
              <w14:schemeClr w14:val="tx1"/>
            </w14:solidFill>
          </w14:textFill>
        </w:rPr>
      </w:pPr>
      <w:r>
        <w:rPr>
          <w:rFonts w:hint="eastAsia" w:ascii="Times New Roman" w:hAnsi="Times New Roman"/>
          <w:sz w:val="24"/>
          <w:szCs w:val="24"/>
          <w:lang w:bidi="ar"/>
        </w:rPr>
        <w:t>分</w:t>
      </w:r>
      <w:r>
        <w:rPr>
          <w:rFonts w:ascii="Times New Roman" w:hAnsi="Times New Roman"/>
          <w:sz w:val="24"/>
          <w:szCs w:val="24"/>
          <w:lang w:bidi="ar"/>
        </w:rPr>
        <w:t xml:space="preserve"> </w:t>
      </w:r>
      <w:r>
        <w:rPr>
          <w:rFonts w:hint="eastAsia" w:ascii="Times New Roman" w:hAnsi="Times New Roman"/>
          <w:sz w:val="24"/>
          <w:szCs w:val="24"/>
          <w:lang w:bidi="ar"/>
        </w:rPr>
        <w:t>包</w:t>
      </w:r>
      <w:r>
        <w:rPr>
          <w:rFonts w:ascii="Times New Roman" w:hAnsi="Times New Roman"/>
          <w:sz w:val="24"/>
          <w:szCs w:val="24"/>
          <w:lang w:bidi="ar"/>
        </w:rPr>
        <w:t xml:space="preserve"> </w:t>
      </w:r>
      <w:r>
        <w:rPr>
          <w:rFonts w:hint="eastAsia" w:ascii="Times New Roman" w:hAnsi="Times New Roman"/>
          <w:sz w:val="24"/>
          <w:szCs w:val="24"/>
          <w:lang w:bidi="ar"/>
        </w:rPr>
        <w:t>号：标段一、标段二</w:t>
      </w:r>
    </w:p>
    <w:p>
      <w:pPr>
        <w:spacing w:line="440" w:lineRule="exact"/>
        <w:ind w:firstLine="482"/>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项目编号：</w:t>
      </w:r>
      <w:bookmarkEnd w:id="199"/>
      <w:bookmarkEnd w:id="200"/>
      <w:bookmarkEnd w:id="224"/>
      <w:bookmarkEnd w:id="225"/>
      <w:bookmarkEnd w:id="226"/>
      <w:r>
        <w:rPr>
          <w:rFonts w:hint="eastAsia" w:ascii="宋体" w:hAnsi="宋体"/>
          <w:color w:val="000000" w:themeColor="text1"/>
          <w:sz w:val="24"/>
          <w:szCs w:val="24"/>
          <w:lang w:eastAsia="zh-CN"/>
          <w14:textFill>
            <w14:solidFill>
              <w14:schemeClr w14:val="tx1"/>
            </w14:solidFill>
          </w14:textFill>
        </w:rPr>
        <w:t>JSZC-320581-SZXY-G2026-0016</w:t>
      </w:r>
    </w:p>
    <w:tbl>
      <w:tblPr>
        <w:tblStyle w:val="47"/>
        <w:tblpPr w:leftFromText="180" w:rightFromText="180" w:vertAnchor="text" w:horzAnchor="page" w:tblpX="1318" w:tblpY="279"/>
        <w:tblW w:w="9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5"/>
        <w:gridCol w:w="4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4825" w:type="dxa"/>
            <w:vAlign w:val="center"/>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项目名称</w:t>
            </w:r>
          </w:p>
        </w:tc>
        <w:tc>
          <w:tcPr>
            <w:tcW w:w="4650" w:type="dxa"/>
            <w:vAlign w:val="center"/>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投标优惠率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4825" w:type="dxa"/>
            <w:vAlign w:val="center"/>
          </w:tcPr>
          <w:p>
            <w:pPr>
              <w:jc w:val="center"/>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苏州工学院社会车辆租赁服务（标段一、标段二）</w:t>
            </w:r>
          </w:p>
        </w:tc>
        <w:tc>
          <w:tcPr>
            <w:tcW w:w="4650" w:type="dxa"/>
            <w:vAlign w:val="center"/>
          </w:tcPr>
          <w:p>
            <w:pPr>
              <w:jc w:val="cente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w:t>
            </w:r>
          </w:p>
        </w:tc>
      </w:tr>
    </w:tbl>
    <w:p>
      <w:pPr>
        <w:rPr>
          <w:rFonts w:ascii="宋体" w:hAnsi="宋体"/>
          <w:color w:val="000000" w:themeColor="text1"/>
          <w:sz w:val="24"/>
          <w:szCs w:val="24"/>
          <w14:textFill>
            <w14:solidFill>
              <w14:schemeClr w14:val="tx1"/>
            </w14:solidFill>
          </w14:textFill>
        </w:rPr>
      </w:pPr>
    </w:p>
    <w:p>
      <w:pPr>
        <w:ind w:firstLine="482"/>
        <w:jc w:val="center"/>
        <w:rPr>
          <w:rFonts w:ascii="宋体" w:hAnsi="宋体"/>
          <w:bCs/>
          <w:color w:val="000000" w:themeColor="text1"/>
          <w:sz w:val="24"/>
          <w:szCs w:val="24"/>
          <w14:textFill>
            <w14:solidFill>
              <w14:schemeClr w14:val="tx1"/>
            </w14:solidFill>
          </w14:textFill>
        </w:rPr>
      </w:pPr>
    </w:p>
    <w:p>
      <w:pPr>
        <w:ind w:firstLine="482"/>
        <w:jc w:val="cente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日期</w:t>
      </w:r>
      <w:r>
        <w:rPr>
          <w:rFonts w:hint="eastAsia" w:ascii="宋体" w:hAnsi="宋体"/>
          <w:b/>
          <w:color w:val="000000" w:themeColor="text1"/>
          <w:sz w:val="24"/>
          <w:szCs w:val="24"/>
          <w14:textFill>
            <w14:solidFill>
              <w14:schemeClr w14:val="tx1"/>
            </w14:solidFill>
          </w14:textFill>
        </w:rPr>
        <w:t>：</w:t>
      </w: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ind w:firstLine="482"/>
        <w:rPr>
          <w:rFonts w:ascii="宋体" w:hAnsi="宋体"/>
          <w:b/>
          <w:color w:val="000000" w:themeColor="text1"/>
          <w:sz w:val="24"/>
          <w:szCs w:val="24"/>
          <w14:textFill>
            <w14:solidFill>
              <w14:schemeClr w14:val="tx1"/>
            </w14:solidFill>
          </w14:textFill>
        </w:rPr>
      </w:pPr>
    </w:p>
    <w:p>
      <w:pPr>
        <w:spacing w:line="440" w:lineRule="exact"/>
        <w:jc w:val="center"/>
        <w:outlineLvl w:val="1"/>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36" w:name="_Toc228349843"/>
      <w:r>
        <w:rPr>
          <w:rFonts w:hint="eastAsia" w:ascii="Times New Roman" w:hAnsi="Times New Roman"/>
          <w:b/>
          <w:bCs/>
          <w:color w:val="000000" w:themeColor="text1"/>
          <w:sz w:val="28"/>
          <w:szCs w:val="28"/>
          <w14:textFill>
            <w14:solidFill>
              <w14:schemeClr w14:val="tx1"/>
            </w14:solidFill>
          </w14:textFill>
        </w:rPr>
        <w:t>附件2</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服务要求响应及偏离表</w:t>
      </w:r>
      <w:bookmarkEnd w:id="236"/>
    </w:p>
    <w:tbl>
      <w:tblPr>
        <w:tblStyle w:val="46"/>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2897"/>
        <w:gridCol w:w="2333"/>
        <w:gridCol w:w="1889"/>
        <w:gridCol w:w="2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trPr>
        <w:tc>
          <w:tcPr>
            <w:tcW w:w="768" w:type="dxa"/>
            <w:vAlign w:val="center"/>
          </w:tcPr>
          <w:p>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2897" w:type="dxa"/>
            <w:vAlign w:val="center"/>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招标文件</w:t>
            </w:r>
            <w:r>
              <w:rPr>
                <w:color w:val="000000" w:themeColor="text1"/>
                <w:szCs w:val="21"/>
                <w14:textFill>
                  <w14:solidFill>
                    <w14:schemeClr w14:val="tx1"/>
                  </w14:solidFill>
                </w14:textFill>
              </w:rPr>
              <w:t>要求</w:t>
            </w:r>
          </w:p>
        </w:tc>
        <w:tc>
          <w:tcPr>
            <w:tcW w:w="2333" w:type="dxa"/>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投标人</w:t>
            </w:r>
            <w:r>
              <w:rPr>
                <w:color w:val="000000" w:themeColor="text1"/>
                <w:szCs w:val="21"/>
                <w14:textFill>
                  <w14:solidFill>
                    <w14:schemeClr w14:val="tx1"/>
                  </w14:solidFill>
                </w14:textFill>
              </w:rPr>
              <w:t>提供服务承诺</w:t>
            </w:r>
          </w:p>
        </w:tc>
        <w:tc>
          <w:tcPr>
            <w:tcW w:w="1889" w:type="dxa"/>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有无偏离</w:t>
            </w:r>
          </w:p>
        </w:tc>
        <w:tc>
          <w:tcPr>
            <w:tcW w:w="2110" w:type="dxa"/>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偏离内容及原因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1</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3" w:hRule="atLeast"/>
        </w:trPr>
        <w:tc>
          <w:tcPr>
            <w:tcW w:w="768" w:type="dxa"/>
            <w:vAlign w:val="center"/>
          </w:tcPr>
          <w:p>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trPr>
        <w:tc>
          <w:tcPr>
            <w:tcW w:w="768" w:type="dxa"/>
            <w:vAlign w:val="center"/>
          </w:tcPr>
          <w:p>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2897" w:type="dxa"/>
            <w:vAlign w:val="center"/>
          </w:tcPr>
          <w:p>
            <w:pPr>
              <w:spacing w:line="440" w:lineRule="exact"/>
              <w:jc w:val="center"/>
              <w:rPr>
                <w:color w:val="000000" w:themeColor="text1"/>
                <w14:textFill>
                  <w14:solidFill>
                    <w14:schemeClr w14:val="tx1"/>
                  </w14:solidFill>
                </w14:textFill>
              </w:rPr>
            </w:pPr>
          </w:p>
        </w:tc>
        <w:tc>
          <w:tcPr>
            <w:tcW w:w="2333" w:type="dxa"/>
            <w:vAlign w:val="center"/>
          </w:tcPr>
          <w:p>
            <w:pPr>
              <w:spacing w:line="440" w:lineRule="exact"/>
              <w:jc w:val="center"/>
              <w:rPr>
                <w:color w:val="000000" w:themeColor="text1"/>
                <w14:textFill>
                  <w14:solidFill>
                    <w14:schemeClr w14:val="tx1"/>
                  </w14:solidFill>
                </w14:textFill>
              </w:rPr>
            </w:pPr>
          </w:p>
        </w:tc>
        <w:tc>
          <w:tcPr>
            <w:tcW w:w="1889" w:type="dxa"/>
            <w:vAlign w:val="center"/>
          </w:tcPr>
          <w:p>
            <w:pPr>
              <w:spacing w:line="440" w:lineRule="exact"/>
              <w:jc w:val="center"/>
              <w:rPr>
                <w:color w:val="000000" w:themeColor="text1"/>
                <w14:textFill>
                  <w14:solidFill>
                    <w14:schemeClr w14:val="tx1"/>
                  </w14:solidFill>
                </w14:textFill>
              </w:rPr>
            </w:pPr>
          </w:p>
        </w:tc>
        <w:tc>
          <w:tcPr>
            <w:tcW w:w="2110" w:type="dxa"/>
            <w:vAlign w:val="center"/>
          </w:tcPr>
          <w:p>
            <w:pPr>
              <w:spacing w:line="440" w:lineRule="exact"/>
              <w:jc w:val="center"/>
              <w:rPr>
                <w:color w:val="000000" w:themeColor="text1"/>
                <w14:textFill>
                  <w14:solidFill>
                    <w14:schemeClr w14:val="tx1"/>
                  </w14:solidFill>
                </w14:textFill>
              </w:rPr>
            </w:pPr>
          </w:p>
        </w:tc>
      </w:tr>
    </w:tbl>
    <w:p>
      <w:pPr>
        <w:spacing w:line="460" w:lineRule="exact"/>
        <w:jc w:val="left"/>
        <w:rPr>
          <w:rFonts w:ascii="宋体" w:hAnsi="宋体" w:cs="宋体"/>
          <w:sz w:val="24"/>
          <w:szCs w:val="20"/>
        </w:rPr>
      </w:pPr>
    </w:p>
    <w:p>
      <w:pPr>
        <w:spacing w:line="460" w:lineRule="exact"/>
        <w:ind w:firstLine="480"/>
        <w:rPr>
          <w:rFonts w:ascii="宋体" w:hAnsi="宋体" w:cs="宋体"/>
          <w:bCs/>
          <w:sz w:val="24"/>
          <w:szCs w:val="24"/>
        </w:rPr>
      </w:pPr>
      <w:r>
        <w:rPr>
          <w:rFonts w:hint="eastAsia" w:ascii="宋体" w:hAnsi="宋体" w:cs="宋体"/>
          <w:bCs/>
          <w:sz w:val="24"/>
          <w:szCs w:val="24"/>
        </w:rPr>
        <w:t>注：1、供应商应根据“第四章 项目需求”中的“二、项目服务要求”对照所投报货物的技术性能参数进行逐项评议。</w:t>
      </w:r>
    </w:p>
    <w:p>
      <w:pPr>
        <w:spacing w:line="460" w:lineRule="exact"/>
        <w:ind w:firstLine="960"/>
        <w:rPr>
          <w:rFonts w:ascii="宋体" w:hAnsi="宋体" w:cs="宋体"/>
          <w:bCs/>
          <w:sz w:val="24"/>
          <w:szCs w:val="24"/>
        </w:rPr>
      </w:pPr>
      <w:r>
        <w:rPr>
          <w:rFonts w:hint="eastAsia" w:ascii="宋体" w:hAnsi="宋体" w:cs="宋体"/>
          <w:bCs/>
          <w:sz w:val="24"/>
          <w:szCs w:val="24"/>
        </w:rPr>
        <w:t>2、若无偏离，在“有无偏离”栏中填写“无”；若有偏离在“有无偏离”栏中填写“有”并在“偏离内容及原因”栏中作出说明。</w:t>
      </w:r>
    </w:p>
    <w:p>
      <w:pPr>
        <w:spacing w:line="460" w:lineRule="exact"/>
        <w:ind w:firstLine="960"/>
        <w:rPr>
          <w:rFonts w:ascii="宋体" w:hAnsi="宋体" w:cs="宋体"/>
          <w:bCs/>
          <w:sz w:val="24"/>
          <w:szCs w:val="20"/>
        </w:rPr>
      </w:pPr>
      <w:r>
        <w:rPr>
          <w:rFonts w:hint="eastAsia" w:ascii="宋体" w:hAnsi="宋体" w:cs="宋体"/>
          <w:bCs/>
          <w:sz w:val="24"/>
          <w:szCs w:val="24"/>
        </w:rPr>
        <w:t>3、表格不够可另接。</w:t>
      </w:r>
    </w:p>
    <w:p>
      <w:pPr>
        <w:spacing w:line="440" w:lineRule="exact"/>
        <w:jc w:val="center"/>
        <w:outlineLvl w:val="1"/>
        <w:rPr>
          <w:rFonts w:ascii="Times New Roman" w:hAnsi="Times New Roman"/>
          <w:b/>
          <w:bCs/>
          <w:color w:val="000000" w:themeColor="text1"/>
          <w:sz w:val="28"/>
          <w:szCs w:val="28"/>
          <w14:textFill>
            <w14:solidFill>
              <w14:schemeClr w14:val="tx1"/>
            </w14:solidFill>
          </w14:textFill>
        </w:rPr>
      </w:pPr>
      <w:r>
        <w:rPr>
          <w:color w:val="000000" w:themeColor="text1"/>
          <w14:textFill>
            <w14:solidFill>
              <w14:schemeClr w14:val="tx1"/>
            </w14:solidFill>
          </w14:textFill>
        </w:rPr>
        <w:br w:type="page" w:clear="all"/>
      </w:r>
      <w:bookmarkStart w:id="237" w:name="_Toc228349844"/>
      <w:bookmarkStart w:id="238" w:name="_Toc387400419"/>
      <w:bookmarkStart w:id="239" w:name="_Toc522610225"/>
      <w:bookmarkStart w:id="240" w:name="_Toc43821328"/>
      <w:bookmarkStart w:id="241" w:name="_Toc354834784"/>
      <w:bookmarkStart w:id="242" w:name="_Toc146524609"/>
      <w:r>
        <w:rPr>
          <w:rFonts w:hint="eastAsia" w:ascii="Times New Roman" w:hAnsi="Times New Roman"/>
          <w:b/>
          <w:bCs/>
          <w:color w:val="000000" w:themeColor="text1"/>
          <w:sz w:val="28"/>
          <w:szCs w:val="28"/>
          <w14:textFill>
            <w14:solidFill>
              <w14:schemeClr w14:val="tx1"/>
            </w14:solidFill>
          </w14:textFill>
        </w:rPr>
        <w:t>附件3</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项目方案</w:t>
      </w:r>
      <w:bookmarkEnd w:id="237"/>
    </w:p>
    <w:p>
      <w:pPr>
        <w:tabs>
          <w:tab w:val="left" w:pos="287"/>
        </w:tabs>
        <w:spacing w:line="440" w:lineRule="exact"/>
        <w:ind w:firstLine="480"/>
        <w:rPr>
          <w:rFonts w:ascii="宋体" w:hAnsi="宋体" w:cs="宋体"/>
          <w:sz w:val="24"/>
          <w:szCs w:val="24"/>
          <w:lang w:bidi="ar"/>
        </w:rPr>
      </w:pPr>
      <w:r>
        <w:rPr>
          <w:rFonts w:hint="eastAsia" w:ascii="宋体" w:hAnsi="宋体" w:cs="宋体"/>
          <w:sz w:val="24"/>
          <w:szCs w:val="24"/>
          <w:lang w:bidi="ar"/>
        </w:rPr>
        <w:t>请根据“第四章  项目需求”及“第五章  评审因素和评分标准”要求编写相关服务方案</w:t>
      </w:r>
      <w:r>
        <w:rPr>
          <w:rFonts w:hint="eastAsia" w:ascii="宋体" w:hAnsi="宋体" w:cs="宋体"/>
          <w:sz w:val="24"/>
          <w:szCs w:val="24"/>
          <w:lang w:bidi="ar"/>
        </w:rPr>
        <w:br w:type="page" w:clear="all"/>
      </w:r>
    </w:p>
    <w:p>
      <w:pPr>
        <w:pStyle w:val="2"/>
        <w:widowControl/>
        <w:jc w:val="center"/>
        <w:rPr>
          <w:rFonts w:ascii="Times New Roman" w:hAnsi="Times New Roman" w:eastAsia="宋体" w:cs="Times New Roman"/>
          <w:b/>
          <w:bCs/>
          <w:color w:val="000000" w:themeColor="text1"/>
          <w:sz w:val="28"/>
          <w:szCs w:val="28"/>
          <w14:textFill>
            <w14:solidFill>
              <w14:schemeClr w14:val="tx1"/>
            </w14:solidFill>
          </w14:textFill>
        </w:rPr>
      </w:pPr>
      <w:bookmarkStart w:id="243" w:name="_Toc164426719"/>
      <w:bookmarkStart w:id="244" w:name="_Toc228349845"/>
      <w:r>
        <w:rPr>
          <w:rFonts w:hint="eastAsia" w:ascii="Times New Roman" w:hAnsi="Times New Roman"/>
          <w:b/>
          <w:bCs/>
          <w:color w:val="000000" w:themeColor="text1"/>
          <w:sz w:val="28"/>
          <w:szCs w:val="28"/>
          <w14:textFill>
            <w14:solidFill>
              <w14:schemeClr w14:val="tx1"/>
            </w14:solidFill>
          </w14:textFill>
        </w:rPr>
        <w:t>附件</w:t>
      </w:r>
      <w:r>
        <w:rPr>
          <w:rFonts w:hint="eastAsia" w:ascii="Times New Roman" w:hAnsi="Times New Roman" w:eastAsia="宋体"/>
          <w:b/>
          <w:bCs/>
          <w:color w:val="000000" w:themeColor="text1"/>
          <w:sz w:val="28"/>
          <w:szCs w:val="28"/>
          <w14:textFill>
            <w14:solidFill>
              <w14:schemeClr w14:val="tx1"/>
            </w14:solidFill>
          </w14:textFill>
        </w:rPr>
        <w:t>4</w:t>
      </w:r>
      <w:r>
        <w:rPr>
          <w:rFonts w:hint="eastAsia" w:ascii="Times New Roman" w:hAnsi="Times New Roman" w:eastAsia="宋体" w:cs="Times New Roman"/>
          <w:b/>
          <w:bCs/>
          <w:color w:val="000000" w:themeColor="text1"/>
          <w:sz w:val="28"/>
          <w:szCs w:val="28"/>
          <w14:textFill>
            <w14:solidFill>
              <w14:schemeClr w14:val="tx1"/>
            </w14:solidFill>
          </w14:textFill>
        </w:rPr>
        <w:t xml:space="preserve"> </w:t>
      </w:r>
      <w:bookmarkEnd w:id="243"/>
      <w:r>
        <w:rPr>
          <w:rFonts w:hint="eastAsia" w:ascii="Times New Roman" w:hAnsi="Times New Roman" w:eastAsia="宋体" w:cs="Times New Roman"/>
          <w:b/>
          <w:bCs/>
          <w:color w:val="000000" w:themeColor="text1"/>
          <w:sz w:val="28"/>
          <w:szCs w:val="28"/>
          <w14:textFill>
            <w14:solidFill>
              <w14:schemeClr w14:val="tx1"/>
            </w14:solidFill>
          </w14:textFill>
        </w:rPr>
        <w:t>人员及车辆一览表</w:t>
      </w:r>
      <w:bookmarkEnd w:id="244"/>
    </w:p>
    <w:p>
      <w:pPr>
        <w:spacing w:line="460" w:lineRule="exact"/>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（一）驾驶员</w:t>
      </w:r>
    </w:p>
    <w:p>
      <w:pPr>
        <w:spacing w:line="460" w:lineRule="exact"/>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1、5座轿车驾驶员</w:t>
      </w:r>
    </w:p>
    <w:tbl>
      <w:tblPr>
        <w:tblStyle w:val="46"/>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626"/>
        <w:gridCol w:w="739"/>
        <w:gridCol w:w="886"/>
        <w:gridCol w:w="739"/>
        <w:gridCol w:w="739"/>
        <w:gridCol w:w="1774"/>
        <w:gridCol w:w="886"/>
        <w:gridCol w:w="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序号</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本项目中拟担任的职务</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姓名</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专业</w:t>
            </w:r>
          </w:p>
        </w:tc>
        <w:tc>
          <w:tcPr>
            <w:tcW w:w="7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职称</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学历</w:t>
            </w:r>
          </w:p>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学位</w:t>
            </w: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具有证书情况</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从业经验</w:t>
            </w: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履历情况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5"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bl>
    <w:p>
      <w:pPr>
        <w:spacing w:line="460" w:lineRule="exact"/>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 、7座商务车驾驶员</w:t>
      </w:r>
    </w:p>
    <w:tbl>
      <w:tblPr>
        <w:tblStyle w:val="46"/>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626"/>
        <w:gridCol w:w="739"/>
        <w:gridCol w:w="886"/>
        <w:gridCol w:w="739"/>
        <w:gridCol w:w="739"/>
        <w:gridCol w:w="1774"/>
        <w:gridCol w:w="886"/>
        <w:gridCol w:w="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序号</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本项目中拟担任的职务</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姓名</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专业</w:t>
            </w:r>
          </w:p>
        </w:tc>
        <w:tc>
          <w:tcPr>
            <w:tcW w:w="7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职称</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学历</w:t>
            </w:r>
          </w:p>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学位</w:t>
            </w: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具有证书情况</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从业经验</w:t>
            </w: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履历情况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5"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bl>
    <w:p>
      <w:pPr>
        <w:spacing w:line="460" w:lineRule="exact"/>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3、13—17座中型客车驾驶员</w:t>
      </w:r>
    </w:p>
    <w:tbl>
      <w:tblPr>
        <w:tblStyle w:val="46"/>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626"/>
        <w:gridCol w:w="739"/>
        <w:gridCol w:w="886"/>
        <w:gridCol w:w="739"/>
        <w:gridCol w:w="739"/>
        <w:gridCol w:w="1774"/>
        <w:gridCol w:w="886"/>
        <w:gridCol w:w="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序号</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本项目中拟担任的职务</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姓名</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专业</w:t>
            </w:r>
          </w:p>
        </w:tc>
        <w:tc>
          <w:tcPr>
            <w:tcW w:w="7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职称</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学历</w:t>
            </w:r>
          </w:p>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学位</w:t>
            </w: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具有证书情况</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从业经验</w:t>
            </w: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履历情况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5"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bl>
    <w:p>
      <w:pPr>
        <w:spacing w:line="460" w:lineRule="exact"/>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4、19—35座大型客车驾驶员</w:t>
      </w:r>
    </w:p>
    <w:tbl>
      <w:tblPr>
        <w:tblStyle w:val="46"/>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626"/>
        <w:gridCol w:w="739"/>
        <w:gridCol w:w="886"/>
        <w:gridCol w:w="739"/>
        <w:gridCol w:w="739"/>
        <w:gridCol w:w="1774"/>
        <w:gridCol w:w="886"/>
        <w:gridCol w:w="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序号</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本项目中拟担任的职务</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姓名</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专业</w:t>
            </w:r>
          </w:p>
        </w:tc>
        <w:tc>
          <w:tcPr>
            <w:tcW w:w="7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职称</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学历</w:t>
            </w:r>
          </w:p>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学位</w:t>
            </w: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具有证书情况</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从业经验</w:t>
            </w: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履历情况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5"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bl>
    <w:p>
      <w:pPr>
        <w:spacing w:line="460" w:lineRule="exact"/>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5、45座及以上大客车驾驶员</w:t>
      </w:r>
    </w:p>
    <w:tbl>
      <w:tblPr>
        <w:tblStyle w:val="46"/>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626"/>
        <w:gridCol w:w="739"/>
        <w:gridCol w:w="886"/>
        <w:gridCol w:w="739"/>
        <w:gridCol w:w="739"/>
        <w:gridCol w:w="1774"/>
        <w:gridCol w:w="886"/>
        <w:gridCol w:w="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序号</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本项目中拟担任的职务</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姓名</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专业</w:t>
            </w:r>
          </w:p>
        </w:tc>
        <w:tc>
          <w:tcPr>
            <w:tcW w:w="7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职称</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学历</w:t>
            </w:r>
          </w:p>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学位</w:t>
            </w: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具有证书情况</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从业经验</w:t>
            </w: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履历情况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5"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bl>
    <w:p>
      <w:pPr>
        <w:spacing w:line="460" w:lineRule="exact"/>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6、新能源5座轿车驾驶员</w:t>
      </w:r>
    </w:p>
    <w:tbl>
      <w:tblPr>
        <w:tblStyle w:val="46"/>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626"/>
        <w:gridCol w:w="739"/>
        <w:gridCol w:w="886"/>
        <w:gridCol w:w="739"/>
        <w:gridCol w:w="739"/>
        <w:gridCol w:w="1774"/>
        <w:gridCol w:w="886"/>
        <w:gridCol w:w="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序号</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本项目中拟担任的职务</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姓名</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专业</w:t>
            </w:r>
          </w:p>
        </w:tc>
        <w:tc>
          <w:tcPr>
            <w:tcW w:w="7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职称</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学历</w:t>
            </w:r>
          </w:p>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学位</w:t>
            </w: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具有证书情况</w:t>
            </w: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从业经验</w:t>
            </w: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履历情况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5"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w:t>
            </w:r>
          </w:p>
        </w:tc>
        <w:tc>
          <w:tcPr>
            <w:tcW w:w="162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z w:val="24"/>
                <w:szCs w:val="24"/>
                <w14:textFill>
                  <w14:solidFill>
                    <w14:schemeClr w14:val="tx1"/>
                  </w14:solidFill>
                </w14:textFill>
              </w:rPr>
            </w:pPr>
          </w:p>
        </w:tc>
      </w:tr>
    </w:tbl>
    <w:p>
      <w:pPr>
        <w:spacing w:line="460" w:lineRule="exact"/>
        <w:jc w:val="left"/>
        <w:rPr>
          <w:rFonts w:ascii="宋体" w:hAnsi="宋体" w:cs="宋体"/>
          <w:color w:val="000000" w:themeColor="text1"/>
          <w:sz w:val="24"/>
          <w:szCs w:val="24"/>
          <w:lang w:bidi="ar"/>
          <w14:textFill>
            <w14:solidFill>
              <w14:schemeClr w14:val="tx1"/>
            </w14:solidFill>
          </w14:textFill>
        </w:rPr>
      </w:pPr>
    </w:p>
    <w:p>
      <w:pPr>
        <w:spacing w:line="460" w:lineRule="exact"/>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注：1、投标人根据项目实际情况配置人员，如实详细填写上述表格。</w:t>
      </w:r>
    </w:p>
    <w:p>
      <w:pPr>
        <w:spacing w:line="460" w:lineRule="exact"/>
        <w:ind w:firstLine="480"/>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2、相关人员从业经验、履历情况等内容可另附详细说明，需按“第五章  评标方法与评标标准”要求提供相关证明材料。</w:t>
      </w:r>
    </w:p>
    <w:p>
      <w:pPr>
        <w:spacing w:line="460" w:lineRule="exact"/>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（二）车辆</w:t>
      </w:r>
    </w:p>
    <w:p>
      <w:pPr>
        <w:spacing w:line="460" w:lineRule="exact"/>
        <w:jc w:val="left"/>
      </w:pPr>
      <w:r>
        <w:rPr>
          <w:rFonts w:hint="eastAsia" w:ascii="宋体" w:hAnsi="宋体" w:cs="宋体"/>
          <w:color w:val="000000" w:themeColor="text1"/>
          <w:sz w:val="24"/>
          <w:szCs w:val="24"/>
          <w:lang w:bidi="ar"/>
          <w14:textFill>
            <w14:solidFill>
              <w14:schemeClr w14:val="tx1"/>
            </w14:solidFill>
          </w14:textFill>
        </w:rPr>
        <w:t>1、</w:t>
      </w:r>
    </w:p>
    <w:tbl>
      <w:tblPr>
        <w:tblStyle w:val="46"/>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35"/>
        <w:gridCol w:w="1383"/>
        <w:gridCol w:w="3113"/>
        <w:gridCol w:w="3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10065"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5座轿车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序号</w:t>
            </w: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车辆名称</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数量</w:t>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（单位）</w:t>
            </w: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照片</w:t>
            </w: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bl>
    <w:p>
      <w:pPr>
        <w:spacing w:line="460" w:lineRule="exact"/>
        <w:jc w:val="left"/>
      </w:pPr>
      <w:r>
        <w:rPr>
          <w:rFonts w:hint="eastAsia" w:ascii="宋体" w:hAnsi="宋体" w:cs="宋体"/>
          <w:color w:val="000000" w:themeColor="text1"/>
          <w:sz w:val="24"/>
          <w:szCs w:val="24"/>
          <w:lang w:bidi="ar"/>
          <w14:textFill>
            <w14:solidFill>
              <w14:schemeClr w14:val="tx1"/>
            </w14:solidFill>
          </w14:textFill>
        </w:rPr>
        <w:t>2、</w:t>
      </w:r>
    </w:p>
    <w:tbl>
      <w:tblPr>
        <w:tblStyle w:val="46"/>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35"/>
        <w:gridCol w:w="1383"/>
        <w:gridCol w:w="3113"/>
        <w:gridCol w:w="3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10065"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7座商务车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序号</w:t>
            </w: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车辆名称</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数量</w:t>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（单位）</w:t>
            </w: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照片</w:t>
            </w: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bl>
    <w:p>
      <w:pPr>
        <w:spacing w:line="460" w:lineRule="exact"/>
        <w:jc w:val="left"/>
      </w:pPr>
      <w:r>
        <w:rPr>
          <w:rFonts w:hint="eastAsia" w:ascii="宋体" w:hAnsi="宋体" w:cs="宋体"/>
          <w:color w:val="000000" w:themeColor="text1"/>
          <w:sz w:val="24"/>
          <w:szCs w:val="24"/>
          <w:lang w:bidi="ar"/>
          <w14:textFill>
            <w14:solidFill>
              <w14:schemeClr w14:val="tx1"/>
            </w14:solidFill>
          </w14:textFill>
        </w:rPr>
        <w:t>3、</w:t>
      </w:r>
    </w:p>
    <w:tbl>
      <w:tblPr>
        <w:tblStyle w:val="46"/>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35"/>
        <w:gridCol w:w="1383"/>
        <w:gridCol w:w="3113"/>
        <w:gridCol w:w="3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10065"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13—17座中型客车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序号</w:t>
            </w: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车辆名称</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数量</w:t>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（单位）</w:t>
            </w: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照片</w:t>
            </w: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bl>
    <w:p>
      <w:pPr>
        <w:spacing w:line="460" w:lineRule="exact"/>
        <w:jc w:val="left"/>
      </w:pPr>
      <w:r>
        <w:rPr>
          <w:rFonts w:hint="eastAsia" w:ascii="宋体" w:hAnsi="宋体" w:cs="宋体"/>
          <w:color w:val="000000" w:themeColor="text1"/>
          <w:sz w:val="24"/>
          <w:szCs w:val="24"/>
          <w:lang w:bidi="ar"/>
          <w14:textFill>
            <w14:solidFill>
              <w14:schemeClr w14:val="tx1"/>
            </w14:solidFill>
          </w14:textFill>
        </w:rPr>
        <w:t>4、</w:t>
      </w:r>
    </w:p>
    <w:tbl>
      <w:tblPr>
        <w:tblStyle w:val="46"/>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35"/>
        <w:gridCol w:w="1383"/>
        <w:gridCol w:w="3113"/>
        <w:gridCol w:w="3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10065"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19—35座大型客车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序号</w:t>
            </w: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车辆名称</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数量</w:t>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（单位）</w:t>
            </w: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照片</w:t>
            </w: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bl>
    <w:p>
      <w:pPr>
        <w:spacing w:line="460" w:lineRule="exact"/>
        <w:jc w:val="left"/>
      </w:pPr>
      <w:r>
        <w:rPr>
          <w:rFonts w:hint="eastAsia" w:ascii="宋体" w:hAnsi="宋体" w:cs="宋体"/>
          <w:color w:val="000000" w:themeColor="text1"/>
          <w:sz w:val="24"/>
          <w:szCs w:val="24"/>
          <w:lang w:bidi="ar"/>
          <w14:textFill>
            <w14:solidFill>
              <w14:schemeClr w14:val="tx1"/>
            </w14:solidFill>
          </w14:textFill>
        </w:rPr>
        <w:t>5、</w:t>
      </w:r>
    </w:p>
    <w:tbl>
      <w:tblPr>
        <w:tblStyle w:val="46"/>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35"/>
        <w:gridCol w:w="1383"/>
        <w:gridCol w:w="3113"/>
        <w:gridCol w:w="3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10065"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45座及以上大客车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序号</w:t>
            </w: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车辆名称</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数量</w:t>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（单位）</w:t>
            </w: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照片</w:t>
            </w: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bl>
    <w:p>
      <w:pPr>
        <w:spacing w:line="460" w:lineRule="exact"/>
        <w:jc w:val="left"/>
      </w:pPr>
      <w:r>
        <w:rPr>
          <w:rFonts w:hint="eastAsia" w:ascii="宋体" w:hAnsi="宋体" w:cs="宋体"/>
          <w:color w:val="000000" w:themeColor="text1"/>
          <w:sz w:val="24"/>
          <w:szCs w:val="24"/>
          <w:lang w:bidi="ar"/>
          <w14:textFill>
            <w14:solidFill>
              <w14:schemeClr w14:val="tx1"/>
            </w14:solidFill>
          </w14:textFill>
        </w:rPr>
        <w:t>6、</w:t>
      </w:r>
    </w:p>
    <w:tbl>
      <w:tblPr>
        <w:tblStyle w:val="46"/>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35"/>
        <w:gridCol w:w="1383"/>
        <w:gridCol w:w="3113"/>
        <w:gridCol w:w="3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10065"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新能源5座轿车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序号</w:t>
            </w: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车辆名称</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数量</w:t>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（单位）</w:t>
            </w: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照片</w:t>
            </w: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1</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4"/>
                <w:szCs w:val="24"/>
                <w14:textFill>
                  <w14:solidFill>
                    <w14:schemeClr w14:val="tx1"/>
                  </w14:solidFill>
                </w14:textFill>
              </w:rPr>
            </w:pPr>
          </w:p>
        </w:tc>
      </w:tr>
    </w:tbl>
    <w:p>
      <w:pPr>
        <w:spacing w:line="460" w:lineRule="exact"/>
        <w:jc w:val="left"/>
        <w:rPr>
          <w:rFonts w:ascii="宋体" w:hAnsi="宋体" w:cs="宋体"/>
          <w:color w:val="000000" w:themeColor="text1"/>
          <w:sz w:val="24"/>
          <w:szCs w:val="24"/>
          <w:lang w:bidi="ar"/>
          <w14:textFill>
            <w14:solidFill>
              <w14:schemeClr w14:val="tx1"/>
            </w14:solidFill>
          </w14:textFill>
        </w:rPr>
      </w:pPr>
    </w:p>
    <w:p>
      <w:pPr>
        <w:spacing w:line="460" w:lineRule="exact"/>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注：1、投标文件中需根据“第五章  评标方法与评标标准”要求提供相关证明材料，因表述含糊导致的评标风险将由投标人承担。</w:t>
      </w:r>
    </w:p>
    <w:p>
      <w:pPr>
        <w:spacing w:line="460" w:lineRule="exact"/>
        <w:ind w:firstLine="480"/>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2、如有需要说明的事项，请在备注中列明。</w:t>
      </w:r>
    </w:p>
    <w:p>
      <w:pPr>
        <w:spacing w:line="460" w:lineRule="exact"/>
        <w:ind w:firstLine="480"/>
        <w:jc w:val="lef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3、表格不够可另接。</w:t>
      </w:r>
    </w:p>
    <w:p>
      <w:pPr>
        <w:rPr>
          <w:rFonts w:ascii="Times New Roman" w:hAnsi="Times New Roman"/>
          <w:b/>
          <w:bCs/>
          <w:color w:val="000000" w:themeColor="text1"/>
          <w:sz w:val="28"/>
          <w:szCs w:val="28"/>
          <w14:textFill>
            <w14:solidFill>
              <w14:schemeClr w14:val="tx1"/>
            </w14:solidFill>
          </w14:textFill>
        </w:rPr>
      </w:pPr>
      <w:r>
        <w:rPr>
          <w:rFonts w:hint="eastAsia" w:ascii="Times New Roman" w:hAnsi="Times New Roman"/>
          <w:b/>
          <w:bCs/>
          <w:color w:val="000000" w:themeColor="text1"/>
          <w:sz w:val="28"/>
          <w:szCs w:val="28"/>
          <w14:textFill>
            <w14:solidFill>
              <w14:schemeClr w14:val="tx1"/>
            </w14:solidFill>
          </w14:textFill>
        </w:rPr>
        <w:br w:type="page" w:clear="all"/>
      </w:r>
    </w:p>
    <w:p>
      <w:pPr>
        <w:spacing w:line="480" w:lineRule="exact"/>
        <w:ind w:firstLine="840"/>
        <w:rPr>
          <w:color w:val="000000" w:themeColor="text1"/>
          <w14:textFill>
            <w14:solidFill>
              <w14:schemeClr w14:val="tx1"/>
            </w14:solidFill>
          </w14:textFill>
        </w:rPr>
      </w:pP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bookmarkStart w:id="245" w:name="_Toc228349846"/>
      <w:r>
        <w:rPr>
          <w:rFonts w:hint="eastAsia" w:ascii="Times New Roman" w:hAnsi="Times New Roman"/>
          <w:b/>
          <w:bCs/>
          <w:color w:val="000000" w:themeColor="text1"/>
          <w:sz w:val="28"/>
          <w:szCs w:val="28"/>
          <w14:textFill>
            <w14:solidFill>
              <w14:schemeClr w14:val="tx1"/>
            </w14:solidFill>
          </w14:textFill>
        </w:rPr>
        <w:t>附件5</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业绩一览表</w:t>
      </w:r>
      <w:bookmarkEnd w:id="238"/>
      <w:bookmarkEnd w:id="239"/>
      <w:bookmarkEnd w:id="240"/>
      <w:bookmarkEnd w:id="241"/>
      <w:bookmarkEnd w:id="242"/>
      <w:bookmarkEnd w:id="245"/>
    </w:p>
    <w:tbl>
      <w:tblPr>
        <w:tblStyle w:val="46"/>
        <w:tblW w:w="10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2832"/>
        <w:gridCol w:w="1743"/>
        <w:gridCol w:w="2124"/>
        <w:gridCol w:w="1617"/>
        <w:gridCol w:w="1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3" w:hRule="atLeast"/>
        </w:trPr>
        <w:tc>
          <w:tcPr>
            <w:tcW w:w="765" w:type="dxa"/>
            <w:tcBorders>
              <w:top w:val="single" w:color="auto" w:sz="4" w:space="0"/>
              <w:left w:val="single" w:color="auto" w:sz="4" w:space="0"/>
              <w:bottom w:val="single" w:color="000000" w:sz="4" w:space="0"/>
              <w:right w:val="single" w:color="auto" w:sz="4" w:space="0"/>
            </w:tcBorders>
            <w:vAlign w:val="center"/>
          </w:tcPr>
          <w:p>
            <w:pPr>
              <w:spacing w:after="120"/>
              <w:jc w:val="center"/>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序号</w:t>
            </w:r>
          </w:p>
        </w:tc>
        <w:tc>
          <w:tcPr>
            <w:tcW w:w="2832" w:type="dxa"/>
            <w:tcBorders>
              <w:top w:val="single" w:color="auto" w:sz="4" w:space="0"/>
              <w:left w:val="single" w:color="auto" w:sz="4" w:space="0"/>
              <w:bottom w:val="single" w:color="auto" w:sz="4" w:space="0"/>
              <w:right w:val="single" w:color="auto" w:sz="4" w:space="0"/>
            </w:tcBorders>
            <w:vAlign w:val="center"/>
          </w:tcPr>
          <w:p>
            <w:pPr>
              <w:spacing w:after="120"/>
              <w:jc w:val="center"/>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项目名称</w:t>
            </w:r>
          </w:p>
        </w:tc>
        <w:tc>
          <w:tcPr>
            <w:tcW w:w="1743" w:type="dxa"/>
            <w:tcBorders>
              <w:top w:val="single" w:color="auto" w:sz="4" w:space="0"/>
              <w:left w:val="single" w:color="auto" w:sz="4" w:space="0"/>
              <w:bottom w:val="single" w:color="auto" w:sz="4" w:space="0"/>
              <w:right w:val="single" w:color="auto" w:sz="4" w:space="0"/>
            </w:tcBorders>
            <w:vAlign w:val="center"/>
          </w:tcPr>
          <w:p>
            <w:pPr>
              <w:spacing w:after="120"/>
              <w:jc w:val="center"/>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合同金额</w:t>
            </w:r>
          </w:p>
        </w:tc>
        <w:tc>
          <w:tcPr>
            <w:tcW w:w="2124" w:type="dxa"/>
            <w:tcBorders>
              <w:top w:val="single" w:color="auto" w:sz="4" w:space="0"/>
              <w:left w:val="single" w:color="auto" w:sz="4" w:space="0"/>
              <w:bottom w:val="single" w:color="auto" w:sz="4" w:space="0"/>
              <w:right w:val="single" w:color="auto" w:sz="4" w:space="0"/>
            </w:tcBorders>
            <w:vAlign w:val="center"/>
          </w:tcPr>
          <w:p>
            <w:pPr>
              <w:spacing w:after="120"/>
              <w:jc w:val="center"/>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实施日期</w:t>
            </w:r>
          </w:p>
        </w:tc>
        <w:tc>
          <w:tcPr>
            <w:tcW w:w="1617" w:type="dxa"/>
            <w:tcBorders>
              <w:top w:val="single" w:color="auto" w:sz="4" w:space="0"/>
              <w:left w:val="single" w:color="auto" w:sz="4" w:space="0"/>
              <w:bottom w:val="single" w:color="auto" w:sz="4" w:space="0"/>
              <w:right w:val="single" w:color="auto" w:sz="4" w:space="0"/>
            </w:tcBorders>
            <w:vAlign w:val="center"/>
          </w:tcPr>
          <w:p>
            <w:pPr>
              <w:spacing w:after="120"/>
              <w:jc w:val="center"/>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联系人及联系电话</w:t>
            </w:r>
          </w:p>
        </w:tc>
        <w:tc>
          <w:tcPr>
            <w:tcW w:w="1176"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765" w:type="dxa"/>
            <w:tcBorders>
              <w:top w:val="single" w:color="000000"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w:t>
            </w:r>
          </w:p>
        </w:tc>
        <w:tc>
          <w:tcPr>
            <w:tcW w:w="2832"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743"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2124"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617" w:type="dxa"/>
            <w:tcBorders>
              <w:top w:val="single" w:color="auto" w:sz="4" w:space="0"/>
              <w:left w:val="single" w:color="auto" w:sz="4" w:space="0"/>
              <w:bottom w:val="single" w:color="auto" w:sz="4" w:space="0"/>
              <w:right w:val="single" w:color="auto" w:sz="4" w:space="0"/>
            </w:tcBorders>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176"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765"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832"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743"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2124"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617" w:type="dxa"/>
            <w:tcBorders>
              <w:top w:val="single" w:color="auto" w:sz="4" w:space="0"/>
              <w:left w:val="single" w:color="auto" w:sz="4" w:space="0"/>
              <w:bottom w:val="single" w:color="auto" w:sz="4" w:space="0"/>
              <w:right w:val="single" w:color="auto" w:sz="4" w:space="0"/>
            </w:tcBorders>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176"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765"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w:t>
            </w:r>
          </w:p>
        </w:tc>
        <w:tc>
          <w:tcPr>
            <w:tcW w:w="2832"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743"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2124"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617" w:type="dxa"/>
            <w:tcBorders>
              <w:top w:val="single" w:color="auto" w:sz="4" w:space="0"/>
              <w:left w:val="single" w:color="auto" w:sz="4" w:space="0"/>
              <w:bottom w:val="single" w:color="auto" w:sz="4" w:space="0"/>
              <w:right w:val="single" w:color="auto" w:sz="4" w:space="0"/>
            </w:tcBorders>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176"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765"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4</w:t>
            </w:r>
          </w:p>
        </w:tc>
        <w:tc>
          <w:tcPr>
            <w:tcW w:w="2832"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743"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2124"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617" w:type="dxa"/>
            <w:tcBorders>
              <w:top w:val="single" w:color="auto" w:sz="4" w:space="0"/>
              <w:left w:val="single" w:color="auto" w:sz="4" w:space="0"/>
              <w:bottom w:val="single" w:color="auto" w:sz="4" w:space="0"/>
              <w:right w:val="single" w:color="auto" w:sz="4" w:space="0"/>
            </w:tcBorders>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176"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trPr>
        <w:tc>
          <w:tcPr>
            <w:tcW w:w="765"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p>
        </w:tc>
        <w:tc>
          <w:tcPr>
            <w:tcW w:w="2832"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743"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2124"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617" w:type="dxa"/>
            <w:tcBorders>
              <w:top w:val="single" w:color="auto" w:sz="4" w:space="0"/>
              <w:left w:val="single" w:color="auto" w:sz="4" w:space="0"/>
              <w:bottom w:val="single" w:color="auto" w:sz="4" w:space="0"/>
              <w:right w:val="single" w:color="auto" w:sz="4" w:space="0"/>
            </w:tcBorders>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c>
          <w:tcPr>
            <w:tcW w:w="1176" w:type="dxa"/>
            <w:tcBorders>
              <w:top w:val="single" w:color="auto" w:sz="4" w:space="0"/>
              <w:left w:val="single" w:color="auto" w:sz="4" w:space="0"/>
              <w:bottom w:val="single" w:color="auto" w:sz="4" w:space="0"/>
              <w:right w:val="single" w:color="auto" w:sz="4" w:space="0"/>
            </w:tcBorders>
            <w:vAlign w:val="center"/>
          </w:tcPr>
          <w:p>
            <w:pPr>
              <w:spacing w:after="120" w:line="440" w:lineRule="exact"/>
              <w:jc w:val="center"/>
              <w:rPr>
                <w:rFonts w:ascii="Times New Roman" w:hAnsi="Times New Roman"/>
                <w:color w:val="000000" w:themeColor="text1"/>
                <w:sz w:val="24"/>
                <w:szCs w:val="24"/>
                <w14:textFill>
                  <w14:solidFill>
                    <w14:schemeClr w14:val="tx1"/>
                  </w14:solidFill>
                </w14:textFill>
              </w:rPr>
            </w:pPr>
          </w:p>
        </w:tc>
      </w:tr>
    </w:tbl>
    <w:p>
      <w:pPr>
        <w:spacing w:line="440" w:lineRule="exact"/>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注：1、上述表格内容为投标人2023年1月1日（以合同签订时间为准）至今具有的符合“第五章  评标方法与评标标准”的业绩。</w:t>
      </w:r>
    </w:p>
    <w:p>
      <w:pPr>
        <w:spacing w:line="440" w:lineRule="exact"/>
        <w:ind w:firstLine="7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2、请投标人提供上述一览表中主要业绩的合同证明材料。</w:t>
      </w:r>
    </w:p>
    <w:p>
      <w:pPr>
        <w:spacing w:line="440" w:lineRule="exact"/>
        <w:ind w:firstLine="7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3、如有需要说明的事项，请在备注中列明。</w:t>
      </w: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46" w:name="_Toc228349847"/>
      <w:r>
        <w:rPr>
          <w:rFonts w:hint="eastAsia" w:ascii="Times New Roman" w:hAnsi="Times New Roman"/>
          <w:b/>
          <w:bCs/>
          <w:color w:val="000000" w:themeColor="text1"/>
          <w:sz w:val="28"/>
          <w:szCs w:val="28"/>
          <w14:textFill>
            <w14:solidFill>
              <w14:schemeClr w14:val="tx1"/>
            </w14:solidFill>
          </w14:textFill>
        </w:rPr>
        <w:t>附件6 商务要求响应及偏离表</w:t>
      </w:r>
      <w:bookmarkEnd w:id="246"/>
    </w:p>
    <w:tbl>
      <w:tblPr>
        <w:tblStyle w:val="46"/>
        <w:tblW w:w="903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gridCol w:w="2310"/>
        <w:gridCol w:w="2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rPr>
            </w:pPr>
            <w:r>
              <w:rPr>
                <w:rFonts w:hint="eastAsia" w:ascii="宋体" w:hAnsi="宋体" w:cs="宋体"/>
                <w:sz w:val="24"/>
                <w:szCs w:val="24"/>
                <w:lang w:bidi="ar"/>
              </w:rPr>
              <w:t>合同条款</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rPr>
            </w:pPr>
            <w:r>
              <w:rPr>
                <w:rFonts w:hint="eastAsia" w:ascii="宋体" w:hAnsi="宋体" w:cs="宋体"/>
                <w:sz w:val="24"/>
                <w:szCs w:val="24"/>
                <w:lang w:bidi="ar"/>
              </w:rPr>
              <w:t>有无偏离</w:t>
            </w: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szCs w:val="24"/>
              </w:rPr>
            </w:pPr>
            <w:r>
              <w:rPr>
                <w:rFonts w:hint="eastAsia" w:ascii="宋体" w:hAnsi="宋体" w:cs="宋体"/>
                <w:sz w:val="24"/>
                <w:szCs w:val="24"/>
                <w:lang w:bidi="ar"/>
              </w:rPr>
              <w:t>偏离内容及原因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第一条 定义</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第二条 组成本合同的文件</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lang w:bidi="ar"/>
              </w:rPr>
            </w:pPr>
            <w:r>
              <w:rPr>
                <w:rFonts w:hint="eastAsia" w:ascii="宋体" w:hAnsi="宋体" w:cs="宋体"/>
                <w:sz w:val="24"/>
                <w:szCs w:val="24"/>
                <w:lang w:bidi="ar"/>
              </w:rPr>
              <w:t>第三条 合同货物</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lang w:bidi="ar"/>
              </w:rPr>
            </w:pPr>
            <w:r>
              <w:rPr>
                <w:rFonts w:hint="eastAsia" w:ascii="宋体" w:hAnsi="宋体" w:cs="宋体"/>
                <w:sz w:val="24"/>
                <w:szCs w:val="24"/>
                <w:lang w:bidi="ar"/>
              </w:rPr>
              <w:t>第四条 合同总价</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lang w:bidi="ar"/>
              </w:rPr>
            </w:pPr>
            <w:r>
              <w:rPr>
                <w:rFonts w:hint="eastAsia" w:ascii="宋体" w:hAnsi="宋体" w:cs="宋体"/>
                <w:sz w:val="24"/>
                <w:szCs w:val="24"/>
                <w:lang w:bidi="ar"/>
              </w:rPr>
              <w:t>第五条 付款方式</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第六条 权利保证</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第七条 质量保证</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 xml:space="preserve">第八条 包装要求 </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lang w:bidi="ar"/>
              </w:rPr>
            </w:pPr>
            <w:r>
              <w:rPr>
                <w:rFonts w:hint="eastAsia" w:ascii="宋体" w:hAnsi="宋体" w:cs="宋体"/>
                <w:sz w:val="24"/>
                <w:szCs w:val="24"/>
                <w:lang w:bidi="ar"/>
              </w:rPr>
              <w:t>第九条 交货</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 xml:space="preserve">第十条 到货验收 </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第十一条 伴随服务</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第十二条 最终验收</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第十三条 售后服务</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第十四条 违约责任</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第十五条 不可抗力</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第十六条 合同的补充</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第十七条 合同的变更、中止</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第十八条 合同的终止</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第十九条 合同的转让</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第二十条 履约保证金</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第二十一条 争议解决方式</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r>
              <w:rPr>
                <w:rFonts w:hint="eastAsia" w:ascii="宋体" w:hAnsi="宋体" w:cs="宋体"/>
                <w:sz w:val="24"/>
                <w:szCs w:val="24"/>
                <w:lang w:bidi="ar"/>
              </w:rPr>
              <w:t>第二十二条 合同生效及其他</w:t>
            </w:r>
          </w:p>
        </w:tc>
        <w:tc>
          <w:tcPr>
            <w:tcW w:w="231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c>
          <w:tcPr>
            <w:tcW w:w="294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szCs w:val="24"/>
              </w:rPr>
            </w:pPr>
          </w:p>
        </w:tc>
      </w:tr>
    </w:tbl>
    <w:p>
      <w:pPr>
        <w:spacing w:line="440" w:lineRule="exact"/>
        <w:ind w:firstLine="240"/>
        <w:rPr>
          <w:rFonts w:ascii="宋体" w:hAnsi="宋体"/>
          <w:color w:val="000000" w:themeColor="text1"/>
          <w:sz w:val="24"/>
          <w14:textFill>
            <w14:solidFill>
              <w14:schemeClr w14:val="tx1"/>
            </w14:solidFill>
          </w14:textFill>
        </w:rPr>
      </w:pPr>
    </w:p>
    <w:p>
      <w:pPr>
        <w:spacing w:line="440" w:lineRule="exact"/>
        <w:ind w:firstLine="24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注：1、投标人应据实、详细填写上述表格，因表述含糊导致的评标风险将由投标人承担。</w:t>
      </w:r>
    </w:p>
    <w:p>
      <w:pPr>
        <w:spacing w:line="440" w:lineRule="exact"/>
        <w:ind w:firstLine="7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2、若无偏离，在“有无偏离”栏中填写“无”；若有偏离在“有无偏离”栏中填写“有”并在“偏离内容及原因”栏中作出说明。</w:t>
      </w:r>
    </w:p>
    <w:p>
      <w:pPr>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47" w:name="_Toc228349848"/>
      <w:r>
        <w:rPr>
          <w:rFonts w:hint="eastAsia" w:ascii="Times New Roman" w:hAnsi="Times New Roman"/>
          <w:b/>
          <w:bCs/>
          <w:color w:val="000000" w:themeColor="text1"/>
          <w:sz w:val="28"/>
          <w:szCs w:val="28"/>
          <w14:textFill>
            <w14:solidFill>
              <w14:schemeClr w14:val="tx1"/>
            </w14:solidFill>
          </w14:textFill>
        </w:rPr>
        <w:t>附件7 其他</w:t>
      </w:r>
      <w:bookmarkEnd w:id="247"/>
    </w:p>
    <w:p>
      <w:pPr>
        <w:spacing w:line="400" w:lineRule="exact"/>
        <w:ind w:firstLine="480"/>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1、投标人根据 “第五章 ”提供相关其他证明材料。</w:t>
      </w: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48" w:name="_Toc228349849"/>
      <w:r>
        <w:rPr>
          <w:rFonts w:hint="eastAsia" w:ascii="Times New Roman" w:hAnsi="Times New Roman"/>
          <w:b/>
          <w:bCs/>
          <w:color w:val="000000" w:themeColor="text1"/>
          <w:sz w:val="28"/>
          <w:szCs w:val="28"/>
          <w14:textFill>
            <w14:solidFill>
              <w14:schemeClr w14:val="tx1"/>
            </w14:solidFill>
          </w14:textFill>
        </w:rPr>
        <w:t>附件8 具备履行合同所必需的人员和专业技术能力的书面声明</w:t>
      </w:r>
      <w:bookmarkEnd w:id="248"/>
    </w:p>
    <w:p>
      <w:pPr>
        <w:spacing w:line="46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我单位郑重声明：我单位具备履行本项采购合同所必需的人员和专业技术能力，为履行本项采购合同我公司具备如下主要人员和主要专业技术能力：</w:t>
      </w:r>
    </w:p>
    <w:p>
      <w:pPr>
        <w:spacing w:line="46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主要人员有：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w:t>
      </w:r>
    </w:p>
    <w:p>
      <w:pPr>
        <w:spacing w:line="46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主要专业技术能力有：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w:t>
      </w:r>
    </w:p>
    <w:p>
      <w:pPr>
        <w:ind w:left="480" w:firstLine="482"/>
        <w:jc w:val="center"/>
        <w:rPr>
          <w:rFonts w:ascii="宋体" w:hAnsi="宋体"/>
          <w:b/>
          <w:color w:val="000000" w:themeColor="text1"/>
          <w:sz w:val="24"/>
          <w14:textFill>
            <w14:solidFill>
              <w14:schemeClr w14:val="tx1"/>
            </w14:solidFill>
          </w14:textFill>
        </w:rPr>
      </w:pP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49" w:name="_Toc228349850"/>
      <w:r>
        <w:rPr>
          <w:rFonts w:hint="eastAsia" w:ascii="Times New Roman" w:hAnsi="Times New Roman"/>
          <w:b/>
          <w:bCs/>
          <w:color w:val="000000" w:themeColor="text1"/>
          <w:sz w:val="28"/>
          <w:szCs w:val="28"/>
          <w14:textFill>
            <w14:solidFill>
              <w14:schemeClr w14:val="tx1"/>
            </w14:solidFill>
          </w14:textFill>
        </w:rPr>
        <w:t>附件9</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参加政府采购活动前 3 年内在经营活动中没有重大违法记录的书面声明</w:t>
      </w:r>
      <w:bookmarkEnd w:id="249"/>
    </w:p>
    <w:p>
      <w:pPr>
        <w:spacing w:line="460" w:lineRule="exact"/>
        <w:ind w:firstLine="482"/>
        <w:jc w:val="center"/>
        <w:rPr>
          <w:rFonts w:ascii="宋体" w:hAnsi="宋体"/>
          <w:b/>
          <w:bCs/>
          <w:color w:val="000000" w:themeColor="text1"/>
          <w:sz w:val="24"/>
          <w14:textFill>
            <w14:solidFill>
              <w14:schemeClr w14:val="tx1"/>
            </w14:solidFill>
          </w14:textFill>
        </w:rPr>
      </w:pPr>
    </w:p>
    <w:p>
      <w:pPr>
        <w:spacing w:line="460" w:lineRule="exact"/>
        <w:ind w:firstLine="482"/>
        <w:jc w:val="center"/>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声  明</w:t>
      </w:r>
    </w:p>
    <w:p>
      <w:pPr>
        <w:spacing w:line="46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pPr>
        <w:ind w:left="480" w:firstLine="482"/>
        <w:jc w:val="center"/>
        <w:rPr>
          <w:rFonts w:ascii="宋体" w:hAnsi="宋体"/>
          <w:b/>
          <w:color w:val="000000" w:themeColor="text1"/>
          <w:sz w:val="24"/>
          <w14:textFill>
            <w14:solidFill>
              <w14:schemeClr w14:val="tx1"/>
            </w14:solidFill>
          </w14:textFill>
        </w:rPr>
      </w:pPr>
    </w:p>
    <w:p>
      <w:pPr>
        <w:spacing w:line="460" w:lineRule="exact"/>
        <w:ind w:firstLine="482"/>
        <w:rPr>
          <w:rFonts w:ascii="宋体" w:hAnsi="宋体"/>
          <w:bCs/>
          <w:color w:val="000000" w:themeColor="text1"/>
          <w:sz w:val="24"/>
          <w:szCs w:val="2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50" w:name="_Toc228349851"/>
      <w:r>
        <w:rPr>
          <w:rFonts w:hint="eastAsia" w:ascii="Times New Roman" w:hAnsi="Times New Roman"/>
          <w:b/>
          <w:bCs/>
          <w:color w:val="000000" w:themeColor="text1"/>
          <w:sz w:val="28"/>
          <w:szCs w:val="28"/>
          <w14:textFill>
            <w14:solidFill>
              <w14:schemeClr w14:val="tx1"/>
            </w14:solidFill>
          </w14:textFill>
        </w:rPr>
        <w:t>附件10</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法人授权书</w:t>
      </w:r>
      <w:bookmarkEnd w:id="250"/>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本授权书声明：____________（投标人名称）授权________________（被授权人的姓名）为我方就</w:t>
      </w:r>
      <w:r>
        <w:rPr>
          <w:rFonts w:hint="eastAsia" w:ascii="Times New Roman" w:hAnsi="Times New Roman"/>
          <w:color w:val="000000" w:themeColor="text1"/>
          <w:sz w:val="24"/>
          <w:szCs w:val="24"/>
          <w:lang w:eastAsia="zh-CN"/>
          <w14:textFill>
            <w14:solidFill>
              <w14:schemeClr w14:val="tx1"/>
            </w14:solidFill>
          </w14:textFill>
        </w:rPr>
        <w:t>JSZC-320581-SZXY-G2026-0016</w:t>
      </w:r>
      <w:r>
        <w:rPr>
          <w:rFonts w:ascii="Times New Roman" w:hAnsi="Times New Roman"/>
          <w:color w:val="000000" w:themeColor="text1"/>
          <w:sz w:val="24"/>
          <w:szCs w:val="24"/>
          <w14:textFill>
            <w14:solidFill>
              <w14:schemeClr w14:val="tx1"/>
            </w14:solidFill>
          </w14:textFill>
        </w:rPr>
        <w:t>号项目采购活动的合法代理人，以本单位名义全权处理一切与该项目采购有关的事务。</w:t>
      </w:r>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本授权书于</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年____月____日起生效，特此声明。</w:t>
      </w:r>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p>
    <w:p>
      <w:pPr>
        <w:tabs>
          <w:tab w:val="left" w:pos="360"/>
        </w:tabs>
        <w:spacing w:line="440" w:lineRule="exact"/>
        <w:ind w:firstLine="48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被授权人身份证号码：</w:t>
      </w:r>
      <w:r>
        <w:rPr>
          <w:rFonts w:ascii="Times New Roman" w:hAnsi="Times New Roman"/>
          <w:color w:val="000000" w:themeColor="text1"/>
          <w:sz w:val="24"/>
          <w:szCs w:val="24"/>
          <w:u w:val="single"/>
          <w14:textFill>
            <w14:solidFill>
              <w14:schemeClr w14:val="tx1"/>
            </w14:solidFill>
          </w14:textFill>
        </w:rPr>
        <w:t xml:space="preserve">                              </w:t>
      </w:r>
    </w:p>
    <w:p>
      <w:pPr>
        <w:tabs>
          <w:tab w:val="left" w:pos="360"/>
        </w:tabs>
        <w:spacing w:line="440" w:lineRule="exact"/>
        <w:ind w:firstLine="48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被授权人联系电话：（手机）</w:t>
      </w:r>
      <w:r>
        <w:rPr>
          <w:rFonts w:ascii="Times New Roman" w:hAnsi="Times New Roman"/>
          <w:color w:val="000000" w:themeColor="text1"/>
          <w:sz w:val="24"/>
          <w:szCs w:val="24"/>
          <w:u w:val="single"/>
          <w14:textFill>
            <w14:solidFill>
              <w14:schemeClr w14:val="tx1"/>
            </w14:solidFill>
          </w14:textFill>
        </w:rPr>
        <w:t xml:space="preserve">                          </w:t>
      </w:r>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授权单位名称：</w:t>
      </w:r>
      <w:r>
        <w:rPr>
          <w:rFonts w:ascii="Times New Roman" w:hAnsi="Times New Roman"/>
          <w:color w:val="000000" w:themeColor="text1"/>
          <w:sz w:val="24"/>
          <w:szCs w:val="24"/>
          <w:u w:val="single"/>
          <w14:textFill>
            <w14:solidFill>
              <w14:schemeClr w14:val="tx1"/>
            </w14:solidFill>
          </w14:textFill>
        </w:rPr>
        <w:t>（加盖CA电子公章）</w:t>
      </w:r>
    </w:p>
    <w:p>
      <w:pPr>
        <w:tabs>
          <w:tab w:val="left" w:pos="360"/>
        </w:tabs>
        <w:spacing w:line="440" w:lineRule="exact"/>
        <w:ind w:firstLine="48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单位地址：</w:t>
      </w:r>
      <w:r>
        <w:rPr>
          <w:rFonts w:ascii="Times New Roman" w:hAnsi="Times New Roman"/>
          <w:color w:val="000000" w:themeColor="text1"/>
          <w:sz w:val="24"/>
          <w:szCs w:val="24"/>
          <w:u w:val="single"/>
          <w14:textFill>
            <w14:solidFill>
              <w14:schemeClr w14:val="tx1"/>
            </w14:solidFill>
          </w14:textFill>
        </w:rPr>
        <w:t xml:space="preserve">                                         </w:t>
      </w:r>
    </w:p>
    <w:p>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日期：</w:t>
      </w:r>
      <w:r>
        <w:rPr>
          <w:rFonts w:ascii="Times New Roman" w:hAnsi="Times New Roman"/>
          <w:color w:val="000000" w:themeColor="text1"/>
          <w:sz w:val="24"/>
          <w:szCs w:val="24"/>
          <w:u w:val="single"/>
          <w14:textFill>
            <w14:solidFill>
              <w14:schemeClr w14:val="tx1"/>
            </w14:solidFill>
          </w14:textFill>
        </w:rPr>
        <w:t xml:space="preserve">                                         </w:t>
      </w:r>
    </w:p>
    <w:p>
      <w:pPr>
        <w:spacing w:line="400" w:lineRule="exact"/>
        <w:ind w:firstLine="480"/>
        <w:rPr>
          <w:rFonts w:ascii="楷体" w:hAnsi="楷体" w:eastAsia="楷体"/>
          <w:color w:val="000000" w:themeColor="text1"/>
          <w:sz w:val="24"/>
          <w:szCs w:val="24"/>
          <w14:textFill>
            <w14:solidFill>
              <w14:schemeClr w14:val="tx1"/>
            </w14:solidFill>
          </w14:textFill>
        </w:rPr>
      </w:pPr>
    </w:p>
    <w:p>
      <w:pPr>
        <w:spacing w:line="400" w:lineRule="exact"/>
        <w:ind w:firstLine="480"/>
        <w:rPr>
          <w:rFonts w:ascii="Times New Roman" w:hAnsi="Times New Roman"/>
          <w:i/>
          <w:color w:val="000000" w:themeColor="text1"/>
          <w:sz w:val="24"/>
          <w:szCs w:val="24"/>
          <w:u w:val="single"/>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注：</w:t>
      </w:r>
      <w:r>
        <w:rPr>
          <w:rFonts w:ascii="宋体" w:hAnsi="宋体"/>
          <w:b/>
          <w:sz w:val="24"/>
        </w:rPr>
        <w:t>①</w:t>
      </w:r>
      <w:r>
        <w:rPr>
          <w:rFonts w:hint="eastAsia" w:ascii="宋体" w:hAnsi="宋体"/>
          <w:b/>
          <w:sz w:val="24"/>
        </w:rPr>
        <w:t>如授权代表参加本项目投报，“法人授权书”必须提供，且须提供被授权人居民身份证正反面扫描件、被授权人的投标单位为其缴纳的近三个月任意一个月的社保证明材料及法定代表人居民身份证正反面扫描件。②如法定代表人参加本项目投报，“法人授权书”可不提供，但须提供法定代表人身份证正反面扫描件。</w:t>
      </w:r>
    </w:p>
    <w:p>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bookmarkStart w:id="251" w:name="_Toc228349852"/>
      <w:bookmarkStart w:id="252" w:name="OLE_LINK18"/>
      <w:bookmarkStart w:id="253" w:name="OLE_LINK16"/>
      <w:r>
        <w:rPr>
          <w:rFonts w:hint="eastAsia" w:ascii="Times New Roman" w:hAnsi="Times New Roman"/>
          <w:b/>
          <w:bCs/>
          <w:color w:val="000000" w:themeColor="text1"/>
          <w:sz w:val="28"/>
          <w:szCs w:val="28"/>
          <w14:textFill>
            <w14:solidFill>
              <w14:schemeClr w14:val="tx1"/>
            </w14:solidFill>
          </w14:textFill>
        </w:rPr>
        <w:t>附件11 中小企业声明函</w:t>
      </w:r>
      <w:bookmarkEnd w:id="251"/>
    </w:p>
    <w:p>
      <w:pPr>
        <w:spacing w:line="440" w:lineRule="exact"/>
        <w:ind w:firstLine="48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本公司（联合体）郑重声明，根据《政府采购促进中小企业发展管理办法》（财库</w:t>
      </w:r>
      <w:r>
        <w:rPr>
          <w:rFonts w:hint="eastAsia" w:ascii="宋体" w:hAnsi="宋体" w:cs="宋体"/>
          <w:color w:val="000000" w:themeColor="text1"/>
          <w:sz w:val="24"/>
          <w:szCs w:val="24"/>
          <w14:textFill>
            <w14:solidFill>
              <w14:schemeClr w14:val="tx1"/>
            </w14:solidFill>
          </w14:textFill>
        </w:rPr>
        <w:t>﹝</w:t>
      </w:r>
      <w:r>
        <w:rPr>
          <w:rFonts w:ascii="宋体" w:hAnsi="宋体" w:cs="仿宋"/>
          <w:color w:val="000000" w:themeColor="text1"/>
          <w:sz w:val="24"/>
          <w:szCs w:val="24"/>
          <w14:textFill>
            <w14:solidFill>
              <w14:schemeClr w14:val="tx1"/>
            </w14:solidFill>
          </w14:textFill>
        </w:rPr>
        <w:t>2020</w:t>
      </w:r>
      <w:r>
        <w:rPr>
          <w:rFonts w:hint="eastAsia" w:ascii="宋体" w:hAnsi="宋体" w:cs="宋体"/>
          <w:color w:val="000000" w:themeColor="text1"/>
          <w:sz w:val="24"/>
          <w:szCs w:val="24"/>
          <w14:textFill>
            <w14:solidFill>
              <w14:schemeClr w14:val="tx1"/>
            </w14:solidFill>
          </w14:textFill>
        </w:rPr>
        <w:t>﹞</w:t>
      </w:r>
      <w:r>
        <w:rPr>
          <w:rFonts w:ascii="宋体" w:hAnsi="宋体" w:cs="仿宋"/>
          <w:color w:val="000000" w:themeColor="text1"/>
          <w:sz w:val="24"/>
          <w:szCs w:val="24"/>
          <w14:textFill>
            <w14:solidFill>
              <w14:schemeClr w14:val="tx1"/>
            </w14:solidFill>
          </w14:textFill>
        </w:rPr>
        <w:t xml:space="preserve">46 </w:t>
      </w:r>
      <w:r>
        <w:rPr>
          <w:rFonts w:hint="eastAsia" w:ascii="宋体" w:hAnsi="宋体" w:cs="仿宋"/>
          <w:color w:val="000000" w:themeColor="text1"/>
          <w:sz w:val="24"/>
          <w:szCs w:val="24"/>
          <w14:textFill>
            <w14:solidFill>
              <w14:schemeClr w14:val="tx1"/>
            </w14:solidFill>
          </w14:textFill>
        </w:rPr>
        <w:t>号）的规定，本公司（联合体）参加</w:t>
      </w:r>
      <w:r>
        <w:rPr>
          <w:rFonts w:hint="eastAsia" w:ascii="宋体" w:hAnsi="宋体" w:cs="仿宋"/>
          <w:color w:val="000000" w:themeColor="text1"/>
          <w:sz w:val="24"/>
          <w:szCs w:val="24"/>
          <w:u w:val="single"/>
          <w14:textFill>
            <w14:solidFill>
              <w14:schemeClr w14:val="tx1"/>
            </w14:solidFill>
          </w14:textFill>
        </w:rPr>
        <w:t>苏州工学院</w:t>
      </w:r>
      <w:r>
        <w:rPr>
          <w:rFonts w:hint="eastAsia" w:ascii="宋体" w:hAnsi="宋体" w:cs="仿宋"/>
          <w:color w:val="000000" w:themeColor="text1"/>
          <w:sz w:val="24"/>
          <w:szCs w:val="24"/>
          <w14:textFill>
            <w14:solidFill>
              <w14:schemeClr w14:val="tx1"/>
            </w14:solidFill>
          </w14:textFill>
        </w:rPr>
        <w:t>的</w:t>
      </w:r>
      <w:r>
        <w:rPr>
          <w:rFonts w:hint="eastAsia" w:ascii="宋体" w:hAnsi="宋体" w:cs="仿宋"/>
          <w:color w:val="000000" w:themeColor="text1"/>
          <w:sz w:val="24"/>
          <w:szCs w:val="24"/>
          <w:u w:val="single"/>
          <w14:textFill>
            <w14:solidFill>
              <w14:schemeClr w14:val="tx1"/>
            </w14:solidFill>
          </w14:textFill>
        </w:rPr>
        <w:t>苏州工学院社会车辆租赁服务</w:t>
      </w:r>
      <w:r>
        <w:rPr>
          <w:rFonts w:hint="eastAsia" w:ascii="宋体" w:hAnsi="宋体" w:cs="仿宋"/>
          <w:color w:val="000000" w:themeColor="text1"/>
          <w:sz w:val="24"/>
          <w:szCs w:val="24"/>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pPr>
        <w:widowControl/>
        <w:shd w:val="clear" w:color="auto" w:fill="FFFFFF"/>
        <w:spacing w:line="440" w:lineRule="exact"/>
        <w:ind w:firstLine="480"/>
        <w:jc w:val="left"/>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t>1、</w:t>
      </w:r>
      <w:r>
        <w:rPr>
          <w:rFonts w:hint="eastAsia" w:ascii="宋体" w:hAnsi="宋体" w:cs="仿宋"/>
          <w:color w:val="000000" w:themeColor="text1"/>
          <w:sz w:val="24"/>
          <w:szCs w:val="24"/>
          <w:u w:val="single"/>
          <w14:textFill>
            <w14:solidFill>
              <w14:schemeClr w14:val="tx1"/>
            </w14:solidFill>
          </w14:textFill>
        </w:rPr>
        <w:t>苏州工学院社会车辆租赁服务</w:t>
      </w:r>
      <w:r>
        <w:rPr>
          <w:rFonts w:hint="eastAsia" w:ascii="宋体" w:hAnsi="宋体" w:cs="仿宋"/>
          <w:color w:val="000000" w:themeColor="text1"/>
          <w:sz w:val="24"/>
          <w:szCs w:val="24"/>
          <w14:textFill>
            <w14:solidFill>
              <w14:schemeClr w14:val="tx1"/>
            </w14:solidFill>
          </w14:textFill>
        </w:rPr>
        <w:t>，属于</w:t>
      </w:r>
      <w:r>
        <w:rPr>
          <w:rFonts w:hint="eastAsia" w:ascii="宋体" w:hAnsi="宋体" w:cs="仿宋"/>
          <w:color w:val="000000" w:themeColor="text1"/>
          <w:sz w:val="24"/>
          <w:szCs w:val="24"/>
          <w:u w:val="single"/>
          <w14:textFill>
            <w14:solidFill>
              <w14:schemeClr w14:val="tx1"/>
            </w14:solidFill>
          </w14:textFill>
        </w:rPr>
        <w:t>交通运输业</w:t>
      </w:r>
      <w:r>
        <w:rPr>
          <w:rFonts w:hint="eastAsia" w:ascii="宋体" w:hAnsi="宋体" w:cs="仿宋"/>
          <w:color w:val="000000" w:themeColor="text1"/>
          <w:sz w:val="24"/>
          <w:szCs w:val="24"/>
          <w14:textFill>
            <w14:solidFill>
              <w14:schemeClr w14:val="tx1"/>
            </w14:solidFill>
          </w14:textFill>
        </w:rPr>
        <w:t>；承建（承接）企业为</w:t>
      </w:r>
      <w:r>
        <w:rPr>
          <w:rFonts w:hint="eastAsia" w:ascii="宋体" w:hAnsi="宋体" w:cs="仿宋"/>
          <w:color w:val="000000" w:themeColor="text1"/>
          <w:sz w:val="24"/>
          <w:szCs w:val="24"/>
          <w:u w:val="single"/>
          <w14:textFill>
            <w14:solidFill>
              <w14:schemeClr w14:val="tx1"/>
            </w14:solidFill>
          </w14:textFill>
        </w:rPr>
        <w:t>（企业名称）</w:t>
      </w:r>
      <w:r>
        <w:rPr>
          <w:rFonts w:hint="eastAsia" w:ascii="宋体" w:hAnsi="宋体" w:cs="仿宋"/>
          <w:color w:val="000000" w:themeColor="text1"/>
          <w:sz w:val="24"/>
          <w:szCs w:val="24"/>
          <w14:textFill>
            <w14:solidFill>
              <w14:schemeClr w14:val="tx1"/>
            </w14:solidFill>
          </w14:textFill>
        </w:rPr>
        <w:t>，从业人员</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人，营业收入为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万元，资产总额为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万元，属于</w:t>
      </w:r>
      <w:r>
        <w:rPr>
          <w:rFonts w:hint="eastAsia" w:ascii="宋体" w:hAnsi="宋体" w:cs="仿宋"/>
          <w:color w:val="000000" w:themeColor="text1"/>
          <w:sz w:val="24"/>
          <w:szCs w:val="24"/>
          <w:u w:val="single"/>
          <w14:textFill>
            <w14:solidFill>
              <w14:schemeClr w14:val="tx1"/>
            </w14:solidFill>
          </w14:textFill>
        </w:rPr>
        <w:t>（中型企业、小型企业、微型企业）</w:t>
      </w:r>
      <w:r>
        <w:rPr>
          <w:rFonts w:hint="eastAsia" w:ascii="宋体" w:hAnsi="宋体" w:cs="仿宋"/>
          <w:color w:val="000000" w:themeColor="text1"/>
          <w:sz w:val="24"/>
          <w:szCs w:val="24"/>
          <w14:textFill>
            <w14:solidFill>
              <w14:schemeClr w14:val="tx1"/>
            </w14:solidFill>
          </w14:textFill>
        </w:rPr>
        <w:t>；</w:t>
      </w:r>
    </w:p>
    <w:p>
      <w:pPr>
        <w:spacing w:line="440" w:lineRule="exact"/>
        <w:ind w:firstLine="48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pPr>
        <w:spacing w:line="440" w:lineRule="exact"/>
        <w:ind w:firstLine="48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本企业对上述声明内容的真实性负责。如有虚假，将依法承担相应责任。</w:t>
      </w:r>
    </w:p>
    <w:p>
      <w:pPr>
        <w:spacing w:line="560" w:lineRule="exact"/>
        <w:ind w:right="2640" w:firstLine="480"/>
        <w:jc w:val="righ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投标人名称</w:t>
      </w:r>
      <w:r>
        <w:rPr>
          <w:rFonts w:hint="eastAsia" w:ascii="宋体" w:hAnsi="宋体"/>
          <w:color w:val="000000" w:themeColor="text1"/>
          <w:sz w:val="24"/>
          <w:szCs w:val="24"/>
          <w14:textFill>
            <w14:solidFill>
              <w14:schemeClr w14:val="tx1"/>
            </w14:solidFill>
          </w14:textFill>
        </w:rPr>
        <w:t>（加盖CA电子公章）</w:t>
      </w:r>
      <w:r>
        <w:rPr>
          <w:rFonts w:hint="eastAsia" w:ascii="宋体" w:hAnsi="宋体"/>
          <w:color w:val="000000" w:themeColor="text1"/>
          <w:sz w:val="24"/>
          <w:szCs w:val="21"/>
          <w14:textFill>
            <w14:solidFill>
              <w14:schemeClr w14:val="tx1"/>
            </w14:solidFill>
          </w14:textFill>
        </w:rPr>
        <w:t>：</w:t>
      </w:r>
    </w:p>
    <w:p>
      <w:pPr>
        <w:spacing w:line="560" w:lineRule="exact"/>
        <w:ind w:right="2640" w:firstLine="480"/>
        <w:jc w:val="righ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日 </w:t>
      </w: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期：</w:t>
      </w:r>
    </w:p>
    <w:p>
      <w:pPr>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注：（1）从业人员、营业收入、资产总额填报上一年度数据，无上一年度数据的新成立企业可不填报。</w:t>
      </w:r>
    </w:p>
    <w:p>
      <w:pPr>
        <w:spacing w:line="440" w:lineRule="exact"/>
        <w:ind w:firstLine="482"/>
        <w:jc w:val="lef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2</w:t>
      </w:r>
      <w:r>
        <w:rPr>
          <w:rFonts w:hint="eastAsia"/>
          <w:b/>
          <w:bCs/>
          <w:color w:val="000000" w:themeColor="text1"/>
          <w:sz w:val="24"/>
          <w:szCs w:val="24"/>
          <w14:textFill>
            <w14:solidFill>
              <w14:schemeClr w14:val="tx1"/>
            </w14:solidFill>
          </w14:textFill>
        </w:rPr>
        <w:t>）本项目所属行业为：交通运输业。</w:t>
      </w:r>
    </w:p>
    <w:p>
      <w:pPr>
        <w:spacing w:line="440" w:lineRule="exact"/>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（3）上述</w:t>
      </w: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中小企业声明函</w:t>
      </w: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格式原则上不得改动，因擅自改动引起的评审风险由</w:t>
      </w:r>
      <w:r>
        <w:rPr>
          <w:rFonts w:hint="eastAsia"/>
          <w:b/>
          <w:bCs/>
          <w:color w:val="000000" w:themeColor="text1"/>
          <w:sz w:val="24"/>
          <w:szCs w:val="24"/>
          <w14:textFill>
            <w14:solidFill>
              <w14:schemeClr w14:val="tx1"/>
            </w14:solidFill>
          </w14:textFill>
        </w:rPr>
        <w:t>投标人</w:t>
      </w:r>
      <w:r>
        <w:rPr>
          <w:b/>
          <w:bCs/>
          <w:color w:val="000000" w:themeColor="text1"/>
          <w:sz w:val="24"/>
          <w:szCs w:val="24"/>
          <w14:textFill>
            <w14:solidFill>
              <w14:schemeClr w14:val="tx1"/>
            </w14:solidFill>
          </w14:textFill>
        </w:rPr>
        <w:t>自行承担。</w:t>
      </w:r>
    </w:p>
    <w:p>
      <w:pPr>
        <w:spacing w:line="440" w:lineRule="exact"/>
        <w:ind w:firstLine="482"/>
        <w:rPr>
          <w:color w:val="000000" w:themeColor="text1"/>
          <w:sz w:val="24"/>
          <w:szCs w:val="24"/>
          <w14:textFill>
            <w14:solidFill>
              <w14:schemeClr w14:val="tx1"/>
            </w14:solidFill>
          </w14:textFill>
        </w:rPr>
      </w:pPr>
      <w:bookmarkStart w:id="254" w:name="_Hlk100143292"/>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4</w:t>
      </w:r>
      <w:r>
        <w:rPr>
          <w:rFonts w:hint="eastAsia"/>
          <w:b/>
          <w:bCs/>
          <w:color w:val="000000" w:themeColor="text1"/>
          <w:sz w:val="24"/>
          <w:szCs w:val="24"/>
          <w14:textFill>
            <w14:solidFill>
              <w14:schemeClr w14:val="tx1"/>
            </w14:solidFill>
          </w14:textFill>
        </w:rPr>
        <w:t>）如未对上述声明函内（中型企业、小型企业、微型企业）进行勾选或明确，</w:t>
      </w:r>
      <w:r>
        <w:rPr>
          <w:b/>
          <w:bCs/>
          <w:color w:val="000000" w:themeColor="text1"/>
          <w:sz w:val="24"/>
          <w:szCs w:val="24"/>
          <w14:textFill>
            <w14:solidFill>
              <w14:schemeClr w14:val="tx1"/>
            </w14:solidFill>
          </w14:textFill>
        </w:rPr>
        <w:t>引起的评审风险由</w:t>
      </w:r>
      <w:r>
        <w:rPr>
          <w:rFonts w:hint="eastAsia"/>
          <w:b/>
          <w:bCs/>
          <w:color w:val="000000" w:themeColor="text1"/>
          <w:sz w:val="24"/>
          <w:szCs w:val="24"/>
          <w14:textFill>
            <w14:solidFill>
              <w14:schemeClr w14:val="tx1"/>
            </w14:solidFill>
          </w14:textFill>
        </w:rPr>
        <w:t>投标人</w:t>
      </w:r>
      <w:r>
        <w:rPr>
          <w:b/>
          <w:bCs/>
          <w:color w:val="000000" w:themeColor="text1"/>
          <w:sz w:val="24"/>
          <w:szCs w:val="24"/>
          <w14:textFill>
            <w14:solidFill>
              <w14:schemeClr w14:val="tx1"/>
            </w14:solidFill>
          </w14:textFill>
        </w:rPr>
        <w:t>自行承担。</w:t>
      </w:r>
      <w:bookmarkEnd w:id="254"/>
    </w:p>
    <w:bookmarkEnd w:id="252"/>
    <w:p>
      <w:pPr>
        <w:spacing w:line="440" w:lineRule="exact"/>
        <w:ind w:firstLine="643"/>
        <w:jc w:val="center"/>
        <w:outlineLvl w:val="1"/>
        <w:rPr>
          <w:rFonts w:ascii="Times New Roman" w:hAnsi="Times New Roman"/>
          <w:b/>
          <w:bCs/>
          <w:color w:val="000000" w:themeColor="text1"/>
          <w:sz w:val="28"/>
          <w:szCs w:val="28"/>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br w:type="page" w:clear="all"/>
      </w:r>
      <w:bookmarkEnd w:id="253"/>
      <w:bookmarkStart w:id="255" w:name="_Toc228349853"/>
      <w:bookmarkStart w:id="256" w:name="OLE_LINK17"/>
      <w:r>
        <w:rPr>
          <w:rFonts w:hint="eastAsia" w:ascii="Times New Roman" w:hAnsi="Times New Roman"/>
          <w:b/>
          <w:bCs/>
          <w:color w:val="000000" w:themeColor="text1"/>
          <w:sz w:val="28"/>
          <w:szCs w:val="28"/>
          <w14:textFill>
            <w14:solidFill>
              <w14:schemeClr w14:val="tx1"/>
            </w14:solidFill>
          </w14:textFill>
        </w:rPr>
        <w:t>附件12 残疾人福利性单位声明函</w:t>
      </w:r>
      <w:bookmarkEnd w:id="255"/>
    </w:p>
    <w:p>
      <w:pPr>
        <w:spacing w:line="588" w:lineRule="exact"/>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项目（分包号：**）采购活动提供本单位制造的货物，或者提供其他残疾人福利性单位制造的货物（不包括使用非残疾人福利性单位注册商标的货物）。</w:t>
      </w:r>
    </w:p>
    <w:p>
      <w:pPr>
        <w:spacing w:line="588" w:lineRule="exact"/>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本单位对上述声明的真实性负责。如有虚假，将依法承担相应责任。</w:t>
      </w:r>
    </w:p>
    <w:p>
      <w:pPr>
        <w:spacing w:line="588" w:lineRule="exact"/>
        <w:ind w:firstLine="480"/>
        <w:rPr>
          <w:rFonts w:ascii="宋体" w:hAnsi="宋体"/>
          <w:color w:val="000000" w:themeColor="text1"/>
          <w:sz w:val="24"/>
          <w:szCs w:val="21"/>
          <w14:textFill>
            <w14:solidFill>
              <w14:schemeClr w14:val="tx1"/>
            </w14:solidFill>
          </w14:textFill>
        </w:rPr>
      </w:pPr>
    </w:p>
    <w:p>
      <w:pPr>
        <w:spacing w:line="588" w:lineRule="exact"/>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（备注：1、</w:t>
      </w:r>
      <w:r>
        <w:rPr>
          <w:rFonts w:hint="eastAsia" w:ascii="宋体" w:hAnsi="宋体"/>
          <w:color w:val="000000" w:themeColor="text1"/>
          <w:sz w:val="24"/>
          <w:szCs w:val="24"/>
          <w14:textFill>
            <w14:solidFill>
              <w14:schemeClr w14:val="tx1"/>
            </w14:solidFill>
          </w14:textFill>
        </w:rPr>
        <w:t>投标人</w:t>
      </w:r>
      <w:r>
        <w:rPr>
          <w:rFonts w:hint="eastAsia" w:ascii="宋体" w:hAnsi="宋体"/>
          <w:color w:val="000000" w:themeColor="text1"/>
          <w:sz w:val="24"/>
          <w:szCs w:val="21"/>
          <w14:textFill>
            <w14:solidFill>
              <w14:schemeClr w14:val="tx1"/>
            </w14:solidFill>
          </w14:textFill>
        </w:rPr>
        <w:t>如不提供此声明函，价格将不做相应扣除。2、中标人为残疾人福利单位的，此声明函将随中标结果同时公告，接受社会监督）</w:t>
      </w:r>
    </w:p>
    <w:p>
      <w:pPr>
        <w:spacing w:line="588" w:lineRule="exact"/>
        <w:ind w:firstLine="624"/>
        <w:rPr>
          <w:rFonts w:ascii="仿宋_GB2312" w:hAnsi="Times New Roman" w:eastAsia="仿宋_GB2312"/>
          <w:color w:val="000000" w:themeColor="text1"/>
          <w:spacing w:val="6"/>
          <w:sz w:val="30"/>
          <w:szCs w:val="30"/>
          <w14:textFill>
            <w14:solidFill>
              <w14:schemeClr w14:val="tx1"/>
            </w14:solidFill>
          </w14:textFill>
        </w:rPr>
      </w:pPr>
    </w:p>
    <w:p>
      <w:pPr>
        <w:tabs>
          <w:tab w:val="left" w:pos="4860"/>
        </w:tabs>
        <w:spacing w:line="588" w:lineRule="exact"/>
        <w:ind w:right="1560" w:firstLine="624"/>
        <w:jc w:val="center"/>
        <w:rPr>
          <w:rFonts w:ascii="宋体" w:hAnsi="宋体"/>
          <w:color w:val="000000" w:themeColor="text1"/>
          <w:sz w:val="24"/>
          <w:szCs w:val="21"/>
          <w14:textFill>
            <w14:solidFill>
              <w14:schemeClr w14:val="tx1"/>
            </w14:solidFill>
          </w14:textFill>
        </w:rPr>
      </w:pPr>
      <w:r>
        <w:rPr>
          <w:rFonts w:hint="eastAsia" w:ascii="仿宋_GB2312" w:hAnsi="Times New Roman"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投标人</w:t>
      </w:r>
      <w:r>
        <w:rPr>
          <w:rFonts w:hint="eastAsia" w:ascii="宋体" w:hAnsi="宋体"/>
          <w:color w:val="000000" w:themeColor="text1"/>
          <w:sz w:val="24"/>
          <w:szCs w:val="21"/>
          <w14:textFill>
            <w14:solidFill>
              <w14:schemeClr w14:val="tx1"/>
            </w14:solidFill>
          </w14:textFill>
        </w:rPr>
        <w:t>全称（加盖CA电子公章）：</w:t>
      </w:r>
    </w:p>
    <w:p>
      <w:pPr>
        <w:tabs>
          <w:tab w:val="left" w:pos="4860"/>
        </w:tabs>
        <w:spacing w:line="588" w:lineRule="exact"/>
        <w:ind w:right="1560" w:firstLine="480"/>
        <w:jc w:val="center"/>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日  期：</w:t>
      </w:r>
    </w:p>
    <w:bookmarkEnd w:id="256"/>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clear="all"/>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57" w:name="_Toc155086474"/>
      <w:bookmarkStart w:id="258" w:name="_Toc155086574"/>
      <w:bookmarkStart w:id="259" w:name="_Toc17235"/>
      <w:bookmarkStart w:id="260" w:name="_Toc228349854"/>
      <w:r>
        <w:rPr>
          <w:rFonts w:hint="eastAsia" w:ascii="Times New Roman" w:hAnsi="Times New Roman"/>
          <w:b/>
          <w:bCs/>
          <w:color w:val="000000" w:themeColor="text1"/>
          <w:sz w:val="28"/>
          <w:szCs w:val="28"/>
          <w14:textFill>
            <w14:solidFill>
              <w14:schemeClr w14:val="tx1"/>
            </w14:solidFill>
          </w14:textFill>
        </w:rPr>
        <w:t>附件13</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投标函</w:t>
      </w:r>
      <w:bookmarkEnd w:id="257"/>
      <w:bookmarkEnd w:id="258"/>
      <w:bookmarkEnd w:id="259"/>
      <w:bookmarkEnd w:id="260"/>
    </w:p>
    <w:p>
      <w:pPr>
        <w:spacing w:line="420" w:lineRule="exact"/>
        <w:jc w:val="left"/>
        <w:rPr>
          <w:rFonts w:ascii="宋体" w:hAnsi="宋体"/>
          <w:color w:val="000000" w:themeColor="text1"/>
          <w:sz w:val="24"/>
          <w:szCs w:val="21"/>
          <w14:textFill>
            <w14:solidFill>
              <w14:schemeClr w14:val="tx1"/>
            </w14:solidFill>
          </w14:textFill>
        </w:rPr>
      </w:pPr>
    </w:p>
    <w:p>
      <w:pPr>
        <w:spacing w:line="440" w:lineRule="exact"/>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致：</w:t>
      </w:r>
      <w:r>
        <w:rPr>
          <w:rFonts w:hint="eastAsia" w:ascii="宋体" w:hAnsi="宋体"/>
          <w:color w:val="000000" w:themeColor="text1"/>
          <w:sz w:val="24"/>
          <w:szCs w:val="24"/>
          <w:u w:val="single"/>
          <w:lang w:val="zh-CN"/>
          <w14:textFill>
            <w14:solidFill>
              <w14:schemeClr w14:val="tx1"/>
            </w14:solidFill>
          </w14:textFill>
        </w:rPr>
        <w:t>苏州新一造价师价格事务所有限公司</w:t>
      </w:r>
    </w:p>
    <w:p>
      <w:pPr>
        <w:pStyle w:val="28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根据贵方的</w:t>
      </w:r>
      <w:r>
        <w:rPr>
          <w:rFonts w:hint="eastAsia" w:ascii="宋体" w:hAnsi="宋体"/>
          <w:color w:val="000000" w:themeColor="text1"/>
          <w:szCs w:val="21"/>
          <w:lang w:eastAsia="zh-CN"/>
          <w14:textFill>
            <w14:solidFill>
              <w14:schemeClr w14:val="tx1"/>
            </w14:solidFill>
          </w14:textFill>
        </w:rPr>
        <w:t>JSZC-320581-SZXY-G2026-0016</w:t>
      </w:r>
      <w:r>
        <w:rPr>
          <w:rFonts w:hint="eastAsia" w:ascii="宋体" w:hAnsi="宋体"/>
          <w:color w:val="000000" w:themeColor="text1"/>
          <w:szCs w:val="21"/>
          <w14:textFill>
            <w14:solidFill>
              <w14:schemeClr w14:val="tx1"/>
            </w14:solidFill>
          </w14:textFill>
        </w:rPr>
        <w:t>号招标文件，正式授权下述_____(姓名)代表我方_____________（投标人的名称），全权处理本次项目投标的有关事宜。</w:t>
      </w:r>
    </w:p>
    <w:p>
      <w:pPr>
        <w:pStyle w:val="28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据此函，_________(姓名)代表兹宣布同意如下：</w:t>
      </w:r>
    </w:p>
    <w:p>
      <w:pPr>
        <w:pStyle w:val="28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1.按招标文件规定的各项要求，向买方提供所需服务（包含与服务相关的货物）。</w:t>
      </w:r>
    </w:p>
    <w:p>
      <w:pPr>
        <w:pStyle w:val="28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2.我们完全理解贵方不一定将合同授予最低报价的投标人。</w:t>
      </w:r>
    </w:p>
    <w:p>
      <w:pPr>
        <w:pStyle w:val="28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3.我们已详细审核全部招标文件及其有效补充文件，我们知道必须放弃提出含糊不清或误解问题的权利。</w:t>
      </w:r>
    </w:p>
    <w:p>
      <w:pPr>
        <w:pStyle w:val="28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4.我们同意从规定的开标日期起遵循本投标文件，并在规定的投标有效期期满之前均具有约束力。</w:t>
      </w:r>
    </w:p>
    <w:p>
      <w:pPr>
        <w:pStyle w:val="282"/>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.同意向贵方提供贵方可能另外要求的与投标有关的任何证据或资料，并保证我方已提供和将要提供的文件是真实的、准确的。</w:t>
      </w:r>
    </w:p>
    <w:p>
      <w:pPr>
        <w:pStyle w:val="282"/>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.一旦我方中标,我方将根据招标文件的规定，严格履行合同的责任和义务,并保证在招标文件规定的时间完成项目，交付买方验收、使用。</w:t>
      </w:r>
    </w:p>
    <w:p>
      <w:pPr>
        <w:pStyle w:val="282"/>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7</w:t>
      </w:r>
      <w:r>
        <w:rPr>
          <w:rFonts w:hint="eastAsia" w:ascii="宋体" w:hAnsi="宋体"/>
          <w:color w:val="000000" w:themeColor="text1"/>
          <w:szCs w:val="21"/>
          <w14:textFill>
            <w14:solidFill>
              <w14:schemeClr w14:val="tx1"/>
            </w14:solidFill>
          </w14:textFill>
        </w:rPr>
        <w:t>.与本投标有关的正式通讯地址为：</w:t>
      </w:r>
    </w:p>
    <w:p>
      <w:pPr>
        <w:pStyle w:val="282"/>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p>
    <w:p>
      <w:pPr>
        <w:pStyle w:val="282"/>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邮          编：</w:t>
      </w:r>
    </w:p>
    <w:p>
      <w:pPr>
        <w:pStyle w:val="282"/>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p>
    <w:p>
      <w:pPr>
        <w:pStyle w:val="282"/>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传          真：</w:t>
      </w:r>
    </w:p>
    <w:p>
      <w:pPr>
        <w:pStyle w:val="282"/>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 标 人开户行：</w:t>
      </w:r>
    </w:p>
    <w:p>
      <w:pPr>
        <w:pStyle w:val="282"/>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 </w:t>
      </w:r>
    </w:p>
    <w:p>
      <w:pPr>
        <w:pStyle w:val="282"/>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          期：________年____月____日</w:t>
      </w:r>
    </w:p>
    <w:p>
      <w:pPr>
        <w:ind w:firstLine="480"/>
        <w:rPr>
          <w:rFonts w:ascii="Times New Roman" w:hAnsi="Times New Roman"/>
          <w:i/>
          <w:color w:val="000000" w:themeColor="text1"/>
          <w:sz w:val="24"/>
          <w:szCs w:val="24"/>
          <w:u w:val="single"/>
          <w14:textFill>
            <w14:solidFill>
              <w14:schemeClr w14:val="tx1"/>
            </w14:solidFill>
          </w14:textFill>
        </w:rPr>
      </w:pPr>
    </w:p>
    <w:p>
      <w:pPr>
        <w:pStyle w:val="15"/>
        <w:ind w:firstLine="482"/>
        <w:rPr>
          <w:color w:val="000000" w:themeColor="text1"/>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61" w:name="_Toc228349855"/>
      <w:r>
        <w:rPr>
          <w:rFonts w:hint="eastAsia" w:ascii="Times New Roman" w:hAnsi="Times New Roman"/>
          <w:b/>
          <w:bCs/>
          <w:color w:val="000000" w:themeColor="text1"/>
          <w:sz w:val="28"/>
          <w:szCs w:val="28"/>
          <w14:textFill>
            <w14:solidFill>
              <w14:schemeClr w14:val="tx1"/>
            </w14:solidFill>
          </w14:textFill>
        </w:rPr>
        <w:t>附件14 实质性要求响应及偏离表</w:t>
      </w:r>
      <w:bookmarkEnd w:id="261"/>
    </w:p>
    <w:tbl>
      <w:tblPr>
        <w:tblStyle w:val="46"/>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5"/>
        <w:gridCol w:w="5451"/>
        <w:gridCol w:w="1902"/>
        <w:gridCol w:w="1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66" w:hRule="atLeast"/>
          <w:jc w:val="center"/>
        </w:trPr>
        <w:tc>
          <w:tcPr>
            <w:tcW w:w="885"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5451"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服务</w:t>
            </w:r>
            <w:r>
              <w:rPr>
                <w:rFonts w:ascii="宋体" w:hAnsi="宋体"/>
                <w:color w:val="000000" w:themeColor="text1"/>
                <w:sz w:val="24"/>
                <w:szCs w:val="24"/>
                <w14:textFill>
                  <w14:solidFill>
                    <w14:schemeClr w14:val="tx1"/>
                  </w14:solidFill>
                </w14:textFill>
              </w:rPr>
              <w:t>要求和商务要求中的实质性要求</w:t>
            </w:r>
          </w:p>
        </w:tc>
        <w:tc>
          <w:tcPr>
            <w:tcW w:w="1902"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投标响应情况</w:t>
            </w:r>
          </w:p>
        </w:tc>
        <w:tc>
          <w:tcPr>
            <w:tcW w:w="1620"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19" w:hRule="atLeast"/>
          <w:jc w:val="center"/>
        </w:trPr>
        <w:tc>
          <w:tcPr>
            <w:tcW w:w="885"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5451" w:type="dxa"/>
            <w:vAlign w:val="center"/>
          </w:tcPr>
          <w:p>
            <w:pPr>
              <w:spacing w:line="480" w:lineRule="exact"/>
              <w:ind w:firstLine="480"/>
              <w:rPr>
                <w:iCs/>
                <w:color w:val="000000" w:themeColor="text1"/>
                <w:sz w:val="24"/>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合同履行期限：自签订合同之日起2年。</w:t>
            </w:r>
          </w:p>
        </w:tc>
        <w:tc>
          <w:tcPr>
            <w:tcW w:w="1902"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6" w:hRule="atLeast"/>
          <w:jc w:val="center"/>
        </w:trPr>
        <w:tc>
          <w:tcPr>
            <w:tcW w:w="885"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5451" w:type="dxa"/>
            <w:vAlign w:val="center"/>
          </w:tcPr>
          <w:p>
            <w:pPr>
              <w:spacing w:line="480" w:lineRule="exact"/>
              <w:ind w:firstLine="480"/>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结算方式：结算费用=各类车型校内用车服务最高单价限价*实际数量*（1-中标优惠率）</w:t>
            </w:r>
          </w:p>
          <w:p>
            <w:pPr>
              <w:spacing w:line="480" w:lineRule="exact"/>
              <w:ind w:firstLine="480"/>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付款方式：</w:t>
            </w:r>
          </w:p>
          <w:p>
            <w:pPr>
              <w:spacing w:line="480" w:lineRule="exact"/>
              <w:ind w:firstLine="482"/>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（1）承运方与采购人协商确定校内用车服务费用支付事项，签订采购合同。承运方与用车方按照合同约定的付款计划进行结算。结算时承运方需提供正规发票、由用车方签字确认的《出车单》及汇总单等凭证。</w:t>
            </w:r>
          </w:p>
          <w:p>
            <w:pPr>
              <w:spacing w:line="480" w:lineRule="exact"/>
              <w:ind w:firstLine="482"/>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（2）校内用车服务费用支付要严格执行学校财务相关制度，不得以现金方式支付。</w:t>
            </w:r>
          </w:p>
          <w:p>
            <w:pPr>
              <w:spacing w:line="480" w:lineRule="exact"/>
              <w:ind w:firstLine="482"/>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（3）用车方应在满足采购合同的结算条件下，自收到发票后15日内，将校内用车服务费用支付到承运方账户。</w:t>
            </w:r>
          </w:p>
          <w:p>
            <w:pPr>
              <w:spacing w:line="480" w:lineRule="exact"/>
              <w:ind w:firstLine="482"/>
              <w:rPr>
                <w:rFonts w:ascii="宋体" w:hAnsi="宋体"/>
                <w:b/>
                <w:i/>
                <w:color w:val="000000" w:themeColor="text1"/>
                <w:sz w:val="24"/>
                <w:szCs w:val="24"/>
                <w:u w:val="single"/>
                <w14:textFill>
                  <w14:solidFill>
                    <w14:schemeClr w14:val="tx1"/>
                  </w14:solidFill>
                </w14:textFill>
              </w:rPr>
            </w:pPr>
            <w:r>
              <w:rPr>
                <w:rFonts w:hint="eastAsia" w:ascii="宋体" w:hAnsi="宋体"/>
                <w:b/>
                <w:i/>
                <w:color w:val="000000" w:themeColor="text1"/>
                <w:sz w:val="24"/>
                <w:szCs w:val="24"/>
                <w:u w:val="single"/>
                <w14:textFill>
                  <w14:solidFill>
                    <w14:schemeClr w14:val="tx1"/>
                  </w14:solidFill>
                </w14:textFill>
              </w:rPr>
              <w:t>注：（1）以上付款前，承运方均应提供符合采购人要求的同等金额的合法有效发票。否则，采购人有权顺延付款时间，且不承担任何违约及/或赔偿责任。</w:t>
            </w:r>
          </w:p>
          <w:p>
            <w:pPr>
              <w:spacing w:line="480" w:lineRule="exact"/>
              <w:ind w:firstLine="482"/>
              <w:rPr>
                <w:rFonts w:ascii="宋体" w:hAnsi="宋体"/>
                <w:b/>
                <w:iCs/>
                <w:color w:val="000000" w:themeColor="text1"/>
                <w:sz w:val="24"/>
                <w:szCs w:val="24"/>
                <w:u w:val="single"/>
                <w14:textFill>
                  <w14:solidFill>
                    <w14:schemeClr w14:val="tx1"/>
                  </w14:solidFill>
                </w14:textFill>
              </w:rPr>
            </w:pPr>
            <w:r>
              <w:rPr>
                <w:rFonts w:hint="eastAsia" w:ascii="宋体" w:hAnsi="宋体"/>
                <w:b/>
                <w:i/>
                <w:color w:val="000000" w:themeColor="text1"/>
                <w:sz w:val="24"/>
                <w:szCs w:val="24"/>
                <w:u w:val="single"/>
                <w14:textFill>
                  <w14:solidFill>
                    <w14:schemeClr w14:val="tx1"/>
                  </w14:solidFill>
                </w14:textFill>
              </w:rPr>
              <w:t>（2）本项目支付方式支持数字人民币方式。</w:t>
            </w:r>
          </w:p>
        </w:tc>
        <w:tc>
          <w:tcPr>
            <w:tcW w:w="1902"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235" w:hRule="atLeast"/>
          <w:jc w:val="center"/>
        </w:trPr>
        <w:tc>
          <w:tcPr>
            <w:tcW w:w="885"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tc>
        <w:tc>
          <w:tcPr>
            <w:tcW w:w="5451" w:type="dxa"/>
            <w:vAlign w:val="center"/>
          </w:tcPr>
          <w:p>
            <w:pPr>
              <w:spacing w:line="480" w:lineRule="exact"/>
              <w:ind w:firstLine="482"/>
              <w:rPr>
                <w:rFonts w:ascii="宋体" w:hAnsi="宋体"/>
                <w:b/>
                <w:i/>
                <w:color w:val="000000" w:themeColor="text1"/>
                <w:sz w:val="24"/>
                <w:szCs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自愿按照不高于苏州工学院校内用车服务结算标准为学校用车部门和师生提供用车服务，并自觉遵守采购人相关车辆管理规定，接受苏州工学院监督管理。</w:t>
            </w:r>
          </w:p>
        </w:tc>
        <w:tc>
          <w:tcPr>
            <w:tcW w:w="1902"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235" w:hRule="atLeast"/>
          <w:jc w:val="center"/>
        </w:trPr>
        <w:tc>
          <w:tcPr>
            <w:tcW w:w="885" w:type="dxa"/>
            <w:vAlign w:val="center"/>
          </w:tcPr>
          <w:p>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p>
        </w:tc>
        <w:tc>
          <w:tcPr>
            <w:tcW w:w="5451" w:type="dxa"/>
            <w:vAlign w:val="center"/>
          </w:tcPr>
          <w:p>
            <w:pPr>
              <w:spacing w:line="480" w:lineRule="exact"/>
              <w:ind w:firstLine="482"/>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除国家规定的必保险种，投标人还应为提供校内用车服务的车辆投保第三者责任险（不低于100万元）、承运人责任险或车上人员责任险（不低于50万/座位），保证合同签订前提供的车辆保险险种、限额达到上述要求，否则投标人承担由此产生的所有责任。</w:t>
            </w:r>
          </w:p>
        </w:tc>
        <w:tc>
          <w:tcPr>
            <w:tcW w:w="1902"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pPr>
              <w:spacing w:line="400" w:lineRule="exact"/>
              <w:jc w:val="center"/>
              <w:rPr>
                <w:rFonts w:ascii="宋体" w:hAnsi="宋体"/>
                <w:color w:val="000000" w:themeColor="text1"/>
                <w:sz w:val="24"/>
                <w:szCs w:val="24"/>
                <w14:textFill>
                  <w14:solidFill>
                    <w14:schemeClr w14:val="tx1"/>
                  </w14:solidFill>
                </w14:textFill>
              </w:rPr>
            </w:pP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备注</w:t>
      </w:r>
      <w:r>
        <w:rPr>
          <w:rFonts w:ascii="宋体" w:hAnsi="宋体"/>
          <w:color w:val="000000" w:themeColor="text1"/>
          <w:sz w:val="24"/>
          <w:szCs w:val="24"/>
          <w14:textFill>
            <w14:solidFill>
              <w14:schemeClr w14:val="tx1"/>
            </w14:solidFill>
          </w14:textFill>
        </w:rPr>
        <w:t>：</w:t>
      </w:r>
    </w:p>
    <w:p>
      <w:pPr>
        <w:spacing w:line="4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1.投标人必须</w:t>
      </w:r>
      <w:r>
        <w:rPr>
          <w:rFonts w:ascii="宋体" w:hAnsi="宋体"/>
          <w:color w:val="000000" w:themeColor="text1"/>
          <w:sz w:val="24"/>
          <w:szCs w:val="24"/>
          <w14:textFill>
            <w14:solidFill>
              <w14:schemeClr w14:val="tx1"/>
            </w14:solidFill>
          </w14:textFill>
        </w:rPr>
        <w:t>对技术</w:t>
      </w:r>
      <w:r>
        <w:rPr>
          <w:rFonts w:hint="eastAsia" w:ascii="宋体" w:hAnsi="宋体"/>
          <w:color w:val="000000" w:themeColor="text1"/>
          <w:sz w:val="24"/>
          <w:szCs w:val="24"/>
          <w14:textFill>
            <w14:solidFill>
              <w14:schemeClr w14:val="tx1"/>
            </w14:solidFill>
          </w14:textFill>
        </w:rPr>
        <w:t>要求</w:t>
      </w:r>
      <w:r>
        <w:rPr>
          <w:rFonts w:ascii="宋体" w:hAnsi="宋体"/>
          <w:color w:val="000000" w:themeColor="text1"/>
          <w:sz w:val="24"/>
          <w:szCs w:val="24"/>
          <w14:textFill>
            <w14:solidFill>
              <w14:schemeClr w14:val="tx1"/>
            </w14:solidFill>
          </w14:textFill>
        </w:rPr>
        <w:t>和商务要求中的实质性要求逐条做出明确响应</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14:textFill>
            <w14:solidFill>
              <w14:schemeClr w14:val="tx1"/>
            </w14:solidFill>
          </w14:textFill>
        </w:rPr>
        <w:t>否则作无效投标处理</w:t>
      </w:r>
      <w:r>
        <w:rPr>
          <w:rFonts w:ascii="宋体" w:hAnsi="宋体"/>
          <w:color w:val="000000" w:themeColor="text1"/>
          <w:sz w:val="24"/>
          <w14:textFill>
            <w14:solidFill>
              <w14:schemeClr w14:val="tx1"/>
            </w14:solidFill>
          </w14:textFill>
        </w:rPr>
        <w:t>。</w:t>
      </w:r>
    </w:p>
    <w:p>
      <w:pPr>
        <w:spacing w:line="4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.投标人未对实质性要求逐条作出明确响应的，或未按招标文件要求提供证明材料（如有）的，该项目作无效投标处理。</w:t>
      </w:r>
    </w:p>
    <w:p>
      <w:pPr>
        <w:pStyle w:val="15"/>
      </w:pPr>
      <w:r>
        <w:rPr/>
        <w:br w:type="page" w:clear="all"/>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62" w:name="_Toc75700861"/>
      <w:bookmarkStart w:id="263" w:name="_Toc133395929"/>
      <w:bookmarkStart w:id="264" w:name="_Toc228349856"/>
      <w:bookmarkStart w:id="265" w:name="_Toc525724792"/>
      <w:bookmarkStart w:id="266" w:name="_Toc524946938"/>
      <w:bookmarkStart w:id="267" w:name="_Toc525220773"/>
      <w:r>
        <w:rPr>
          <w:rFonts w:hint="eastAsia" w:ascii="Times New Roman" w:hAnsi="Times New Roman"/>
          <w:b/>
          <w:bCs/>
          <w:color w:val="000000" w:themeColor="text1"/>
          <w:sz w:val="28"/>
          <w:szCs w:val="28"/>
          <w14:textFill>
            <w14:solidFill>
              <w14:schemeClr w14:val="tx1"/>
            </w14:solidFill>
          </w14:textFill>
        </w:rPr>
        <w:t xml:space="preserve">附件15 </w:t>
      </w:r>
      <w:bookmarkEnd w:id="262"/>
      <w:bookmarkEnd w:id="263"/>
      <w:r>
        <w:rPr>
          <w:rFonts w:hint="eastAsia" w:ascii="Times New Roman" w:hAnsi="Times New Roman"/>
          <w:b/>
          <w:bCs/>
          <w:color w:val="000000" w:themeColor="text1"/>
          <w:sz w:val="28"/>
          <w:szCs w:val="28"/>
          <w14:textFill>
            <w14:solidFill>
              <w14:schemeClr w14:val="tx1"/>
            </w14:solidFill>
          </w14:textFill>
        </w:rPr>
        <w:t>承 诺 函</w:t>
      </w:r>
      <w:bookmarkEnd w:id="264"/>
    </w:p>
    <w:p>
      <w:pPr>
        <w:spacing w:line="460" w:lineRule="exact"/>
        <w:rPr>
          <w:rFonts w:ascii="宋体" w:hAnsi="宋体"/>
          <w:bCs/>
          <w:sz w:val="24"/>
        </w:rPr>
      </w:pPr>
      <w:r>
        <w:rPr>
          <w:rFonts w:hint="eastAsia" w:ascii="宋体" w:hAnsi="宋体"/>
          <w:bCs/>
          <w:sz w:val="24"/>
        </w:rPr>
        <w:t>本单位郑重承诺：</w:t>
      </w:r>
    </w:p>
    <w:p>
      <w:pPr>
        <w:spacing w:line="460" w:lineRule="exact"/>
        <w:ind w:firstLine="480"/>
        <w:rPr>
          <w:rFonts w:ascii="宋体" w:hAnsi="宋体"/>
          <w:bCs/>
          <w:sz w:val="24"/>
        </w:rPr>
      </w:pPr>
      <w:r>
        <w:rPr>
          <w:rFonts w:hint="eastAsia" w:ascii="宋体" w:hAnsi="宋体"/>
          <w:bCs/>
          <w:sz w:val="24"/>
        </w:rPr>
        <w:t>1.</w:t>
      </w:r>
      <w:r>
        <w:rPr>
          <w:rFonts w:ascii="宋体" w:hAnsi="宋体"/>
          <w:bCs/>
          <w:sz w:val="24"/>
        </w:rPr>
        <w:t xml:space="preserve"> </w:t>
      </w:r>
      <w:r>
        <w:rPr>
          <w:rFonts w:hint="eastAsia" w:ascii="宋体" w:hAnsi="宋体"/>
          <w:bCs/>
          <w:sz w:val="24"/>
        </w:rPr>
        <w:t>具备履行本项采购活动所必需的设备/服务和专业技术能力；</w:t>
      </w:r>
    </w:p>
    <w:p>
      <w:pPr>
        <w:spacing w:line="460" w:lineRule="exact"/>
        <w:ind w:firstLine="480"/>
        <w:rPr>
          <w:rFonts w:ascii="宋体" w:hAnsi="宋体"/>
          <w:bCs/>
          <w:sz w:val="24"/>
        </w:rPr>
      </w:pPr>
      <w:r>
        <w:rPr>
          <w:rFonts w:ascii="宋体" w:hAnsi="宋体"/>
          <w:bCs/>
          <w:sz w:val="24"/>
        </w:rPr>
        <w:t>2</w:t>
      </w:r>
      <w:r>
        <w:rPr>
          <w:rFonts w:hint="eastAsia" w:ascii="宋体" w:hAnsi="宋体"/>
          <w:bCs/>
          <w:sz w:val="24"/>
        </w:rPr>
        <w:t>.</w:t>
      </w:r>
      <w:r>
        <w:rPr>
          <w:rFonts w:ascii="宋体" w:hAnsi="宋体"/>
          <w:bCs/>
          <w:sz w:val="24"/>
        </w:rPr>
        <w:t xml:space="preserve"> </w:t>
      </w:r>
      <w:r>
        <w:rPr>
          <w:rFonts w:hint="eastAsia" w:ascii="宋体" w:hAnsi="宋体"/>
          <w:bCs/>
          <w:sz w:val="24"/>
        </w:rPr>
        <w:t>参加本项采购活动前3年内，我单位在经营活动中没有因违法经营受到刑事处罚或者责令停产停业、吊销许可证或者执照、较大数额罚款等行政处罚；</w:t>
      </w:r>
    </w:p>
    <w:p>
      <w:pPr>
        <w:spacing w:line="460" w:lineRule="exact"/>
        <w:ind w:firstLine="480"/>
        <w:rPr>
          <w:rFonts w:ascii="宋体" w:hAnsi="宋体"/>
          <w:bCs/>
          <w:sz w:val="24"/>
        </w:rPr>
      </w:pPr>
      <w:r>
        <w:rPr>
          <w:rFonts w:hint="eastAsia" w:ascii="宋体" w:hAnsi="宋体"/>
          <w:bCs/>
          <w:sz w:val="24"/>
        </w:rPr>
        <w:t>3.</w:t>
      </w:r>
      <w:r>
        <w:rPr>
          <w:rFonts w:ascii="宋体" w:hAnsi="宋体"/>
          <w:bCs/>
          <w:sz w:val="24"/>
        </w:rPr>
        <w:t xml:space="preserve"> </w:t>
      </w:r>
      <w:r>
        <w:rPr>
          <w:rFonts w:hint="eastAsia" w:ascii="宋体" w:hAnsi="宋体"/>
          <w:bCs/>
          <w:sz w:val="24"/>
        </w:rPr>
        <w:t>本项采购活动中不存在“单位负责人为同一人或者存在直接控股、管理关系的不同供应商”等恶意串通投标行为；</w:t>
      </w:r>
    </w:p>
    <w:p>
      <w:pPr>
        <w:spacing w:line="460" w:lineRule="exact"/>
        <w:ind w:firstLine="480"/>
        <w:rPr>
          <w:rFonts w:ascii="宋体" w:hAnsi="宋体"/>
          <w:bCs/>
          <w:sz w:val="24"/>
        </w:rPr>
      </w:pPr>
      <w:r>
        <w:rPr>
          <w:rFonts w:hint="eastAsia" w:ascii="宋体" w:hAnsi="宋体"/>
          <w:bCs/>
          <w:sz w:val="24"/>
        </w:rPr>
        <w:t>4.</w:t>
      </w:r>
      <w:r>
        <w:rPr>
          <w:rFonts w:ascii="宋体" w:hAnsi="宋体"/>
          <w:bCs/>
          <w:sz w:val="24"/>
        </w:rPr>
        <w:t xml:space="preserve"> </w:t>
      </w:r>
      <w:r>
        <w:rPr>
          <w:rFonts w:hint="eastAsia" w:ascii="宋体" w:hAnsi="宋体"/>
          <w:bCs/>
          <w:sz w:val="24"/>
        </w:rPr>
        <w:t>参加本项采购活动不存在违反《中华人民共和国政府采购法》及其实施条例等有关法律法规行为；</w:t>
      </w:r>
    </w:p>
    <w:p>
      <w:pPr>
        <w:spacing w:line="460" w:lineRule="exact"/>
        <w:ind w:firstLine="480"/>
        <w:rPr>
          <w:rFonts w:ascii="宋体" w:hAnsi="宋体"/>
          <w:bCs/>
          <w:sz w:val="24"/>
        </w:rPr>
      </w:pPr>
      <w:r>
        <w:rPr>
          <w:rFonts w:hint="eastAsia" w:ascii="宋体" w:hAnsi="宋体"/>
          <w:bCs/>
          <w:sz w:val="24"/>
        </w:rPr>
        <w:t>5</w:t>
      </w:r>
      <w:r>
        <w:rPr>
          <w:rFonts w:ascii="宋体" w:hAnsi="宋体"/>
          <w:bCs/>
          <w:sz w:val="24"/>
        </w:rPr>
        <w:t xml:space="preserve">. </w:t>
      </w:r>
      <w:r>
        <w:rPr>
          <w:rFonts w:hint="eastAsia" w:ascii="宋体" w:hAnsi="宋体"/>
          <w:bCs/>
          <w:sz w:val="24"/>
        </w:rPr>
        <w:t>所提供的投标材料均真实、有效；</w:t>
      </w:r>
    </w:p>
    <w:p>
      <w:pPr>
        <w:spacing w:line="460" w:lineRule="exact"/>
        <w:ind w:firstLine="480"/>
        <w:rPr>
          <w:rFonts w:ascii="宋体" w:hAnsi="宋体"/>
          <w:bCs/>
          <w:sz w:val="24"/>
        </w:rPr>
      </w:pPr>
      <w:r>
        <w:rPr>
          <w:rFonts w:ascii="宋体" w:hAnsi="宋体"/>
          <w:bCs/>
          <w:sz w:val="24"/>
        </w:rPr>
        <w:t xml:space="preserve">6. </w:t>
      </w:r>
      <w:r>
        <w:rPr>
          <w:rFonts w:hint="eastAsia" w:ascii="宋体" w:hAnsi="宋体"/>
          <w:bCs/>
          <w:sz w:val="24"/>
        </w:rPr>
        <w:t>如果我单位经本项目评审委员会推荐为中标（成交）候选人，在公示期间被他人举报并经核实，确认我单位违反以上承诺内容之一，我单位自动放弃中标（成交）资格，三年内不参加贵单位任何经济活动。</w:t>
      </w:r>
    </w:p>
    <w:p>
      <w:pPr>
        <w:spacing w:line="460" w:lineRule="exact"/>
        <w:rPr>
          <w:rFonts w:ascii="宋体" w:hAnsi="宋体"/>
          <w:bCs/>
          <w:sz w:val="24"/>
        </w:rPr>
      </w:pPr>
    </w:p>
    <w:p>
      <w:pPr>
        <w:widowControl/>
        <w:ind w:firstLine="480"/>
        <w:jc w:val="left"/>
        <w:rPr>
          <w:color w:val="000000"/>
          <w:sz w:val="24"/>
          <w:szCs w:val="24"/>
        </w:rPr>
      </w:pPr>
      <w:r>
        <w:rPr>
          <w:rFonts w:ascii="宋体" w:hAnsi="宋体" w:cs="宋体"/>
          <w:sz w:val="24"/>
        </w:rPr>
        <w:t>本</w:t>
      </w:r>
      <w:r>
        <w:rPr>
          <w:rFonts w:hint="eastAsia" w:ascii="宋体" w:hAnsi="宋体" w:cs="宋体"/>
          <w:sz w:val="24"/>
        </w:rPr>
        <w:t>单位</w:t>
      </w:r>
      <w:r>
        <w:rPr>
          <w:rFonts w:ascii="宋体" w:hAnsi="宋体" w:cs="宋体"/>
          <w:sz w:val="24"/>
        </w:rPr>
        <w:t>对上述</w:t>
      </w:r>
      <w:r>
        <w:rPr>
          <w:rFonts w:hint="eastAsia" w:ascii="宋体" w:hAnsi="宋体" w:cs="宋体"/>
          <w:sz w:val="24"/>
        </w:rPr>
        <w:t>承诺</w:t>
      </w:r>
      <w:r>
        <w:rPr>
          <w:rFonts w:ascii="宋体" w:hAnsi="宋体" w:cs="宋体"/>
          <w:sz w:val="24"/>
        </w:rPr>
        <w:t>的真实性负责。如有虚假，将依法承担相应责任</w:t>
      </w:r>
      <w:r>
        <w:rPr>
          <w:rFonts w:hint="eastAsia"/>
          <w:color w:val="000000"/>
          <w:sz w:val="24"/>
          <w:szCs w:val="24"/>
        </w:rPr>
        <w:t>。</w:t>
      </w:r>
    </w:p>
    <w:p>
      <w:pPr>
        <w:spacing w:line="480" w:lineRule="auto"/>
        <w:rPr>
          <w:rFonts w:ascii="宋体" w:hAnsi="宋体"/>
          <w:color w:val="000000"/>
          <w:sz w:val="24"/>
          <w:szCs w:val="24"/>
        </w:rPr>
      </w:pPr>
    </w:p>
    <w:p>
      <w:pPr>
        <w:spacing w:line="480" w:lineRule="auto"/>
        <w:rPr>
          <w:rFonts w:ascii="宋体" w:hAnsi="宋体"/>
          <w:color w:val="000000"/>
          <w:sz w:val="24"/>
          <w:szCs w:val="24"/>
        </w:rPr>
      </w:pPr>
    </w:p>
    <w:p>
      <w:pPr>
        <w:spacing w:line="360" w:lineRule="auto"/>
        <w:ind w:firstLine="4216"/>
        <w:rPr>
          <w:rFonts w:ascii="宋体" w:hAnsi="宋体"/>
          <w:b/>
          <w:color w:val="000000"/>
          <w:sz w:val="24"/>
          <w:szCs w:val="24"/>
        </w:rPr>
      </w:pPr>
      <w:r>
        <w:rPr>
          <w:rFonts w:hint="eastAsia" w:ascii="宋体" w:hAnsi="宋体"/>
          <w:b/>
          <w:color w:val="000000"/>
          <w:sz w:val="24"/>
          <w:szCs w:val="24"/>
        </w:rPr>
        <w:t>投标人（加盖CA电子公章）</w:t>
      </w:r>
      <w:r>
        <w:rPr>
          <w:rFonts w:ascii="宋体" w:hAnsi="宋体"/>
          <w:b/>
          <w:color w:val="000000"/>
          <w:sz w:val="24"/>
          <w:szCs w:val="24"/>
        </w:rPr>
        <w:t>：</w:t>
      </w:r>
    </w:p>
    <w:p>
      <w:pPr>
        <w:spacing w:line="360" w:lineRule="auto"/>
        <w:ind w:firstLine="4216"/>
        <w:rPr>
          <w:rFonts w:ascii="宋体" w:hAnsi="宋体"/>
          <w:b/>
          <w:color w:val="000000"/>
          <w:sz w:val="24"/>
          <w:szCs w:val="24"/>
        </w:rPr>
      </w:pPr>
      <w:r>
        <w:rPr>
          <w:rFonts w:ascii="宋体" w:hAnsi="宋体"/>
          <w:b/>
          <w:color w:val="000000"/>
          <w:sz w:val="24"/>
          <w:szCs w:val="24"/>
        </w:rPr>
        <w:t>日期：</w:t>
      </w:r>
      <w:r>
        <w:rPr>
          <w:rFonts w:hint="eastAsia" w:ascii="宋体" w:hAnsi="宋体"/>
          <w:b/>
          <w:color w:val="000000"/>
          <w:sz w:val="24"/>
          <w:szCs w:val="24"/>
        </w:rPr>
        <w:t xml:space="preserve"> </w:t>
      </w:r>
      <w:bookmarkEnd w:id="265"/>
      <w:bookmarkEnd w:id="266"/>
      <w:bookmarkEnd w:id="267"/>
    </w:p>
    <w:p>
      <w:pPr>
        <w:pStyle w:val="14"/>
        <w:ind w:firstLine="0"/>
      </w:pPr>
      <w:r>
        <w:rPr/>
        <w:br w:type="page" w:clear="all"/>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68" w:name="_Toc228349857"/>
      <w:r>
        <w:rPr>
          <w:rFonts w:hint="eastAsia" w:ascii="Times New Roman" w:hAnsi="Times New Roman"/>
          <w:b/>
          <w:bCs/>
          <w:color w:val="000000" w:themeColor="text1"/>
          <w:sz w:val="28"/>
          <w:szCs w:val="28"/>
          <w14:textFill>
            <w14:solidFill>
              <w14:schemeClr w14:val="tx1"/>
            </w14:solidFill>
          </w14:textFill>
        </w:rPr>
        <w:t>附件16 企业关联信息证明材料</w:t>
      </w:r>
      <w:bookmarkEnd w:id="268"/>
    </w:p>
    <w:p>
      <w:pPr>
        <w:spacing w:line="460" w:lineRule="exact"/>
        <w:rPr>
          <w:rFonts w:ascii="宋体" w:hAnsi="宋体"/>
          <w:b/>
          <w:sz w:val="24"/>
        </w:rPr>
      </w:pPr>
      <w:r>
        <w:rPr>
          <w:rFonts w:hint="eastAsia" w:ascii="宋体" w:hAnsi="宋体"/>
          <w:b/>
          <w:sz w:val="24"/>
        </w:rPr>
        <w:t>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p>
    <w:p>
      <w:pPr>
        <w:spacing w:line="480" w:lineRule="auto"/>
        <w:rPr>
          <w:rFonts w:ascii="宋体" w:hAnsi="宋体"/>
          <w:color w:val="000000"/>
          <w:sz w:val="24"/>
          <w:szCs w:val="24"/>
        </w:rPr>
      </w:pPr>
    </w:p>
    <w:p>
      <w:pPr>
        <w:spacing w:line="360" w:lineRule="auto"/>
        <w:ind w:firstLine="4216"/>
        <w:rPr>
          <w:rFonts w:ascii="宋体" w:hAnsi="宋体"/>
          <w:b/>
          <w:color w:val="000000"/>
          <w:sz w:val="24"/>
          <w:szCs w:val="24"/>
        </w:rPr>
      </w:pPr>
      <w:r>
        <w:rPr>
          <w:rFonts w:hint="eastAsia" w:ascii="宋体" w:hAnsi="宋体"/>
          <w:b/>
          <w:color w:val="000000"/>
          <w:sz w:val="24"/>
          <w:szCs w:val="24"/>
        </w:rPr>
        <w:t>投标人</w:t>
      </w:r>
      <w:r>
        <w:rPr>
          <w:rFonts w:ascii="宋体" w:hAnsi="宋体"/>
          <w:b/>
          <w:color w:val="000000"/>
          <w:sz w:val="24"/>
          <w:szCs w:val="24"/>
        </w:rPr>
        <w:t>：</w:t>
      </w:r>
    </w:p>
    <w:p>
      <w:pPr>
        <w:spacing w:line="360" w:lineRule="auto"/>
        <w:ind w:firstLine="4216"/>
        <w:rPr>
          <w:rFonts w:ascii="宋体" w:hAnsi="宋体"/>
          <w:b/>
          <w:color w:val="000000"/>
          <w:sz w:val="24"/>
          <w:szCs w:val="24"/>
        </w:rPr>
      </w:pPr>
      <w:r>
        <w:rPr>
          <w:rFonts w:ascii="宋体" w:hAnsi="宋体"/>
          <w:b/>
          <w:color w:val="000000"/>
          <w:sz w:val="24"/>
          <w:szCs w:val="24"/>
        </w:rPr>
        <w:t>日期：</w:t>
      </w:r>
      <w:r>
        <w:rPr>
          <w:rFonts w:hint="eastAsia" w:ascii="宋体" w:hAnsi="宋体"/>
          <w:b/>
          <w:color w:val="000000"/>
          <w:sz w:val="24"/>
          <w:szCs w:val="24"/>
        </w:rPr>
        <w:t xml:space="preserve"> </w:t>
      </w:r>
    </w:p>
    <w:p>
      <w:pPr>
        <w:pStyle w:val="16"/>
        <w:ind w:firstLine="0"/>
      </w:pPr>
      <w:r>
        <w:rPr/>
        <w:br w:type="page" w:clear="all"/>
      </w:r>
    </w:p>
    <w:p>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69" w:name="_Toc228349858"/>
      <w:r>
        <w:rPr>
          <w:rFonts w:hint="eastAsia" w:ascii="Times New Roman" w:hAnsi="Times New Roman"/>
          <w:b/>
          <w:bCs/>
          <w:color w:val="000000" w:themeColor="text1"/>
          <w:sz w:val="28"/>
          <w:szCs w:val="28"/>
          <w14:textFill>
            <w14:solidFill>
              <w14:schemeClr w14:val="tx1"/>
            </w14:solidFill>
          </w14:textFill>
        </w:rPr>
        <w:t>附件17 校内用车年度考核评分表</w:t>
      </w:r>
      <w:bookmarkEnd w:id="269"/>
    </w:p>
    <w:tbl>
      <w:tblPr>
        <w:tblStyle w:val="46"/>
        <w:tblW w:w="1062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5" w:type="dxa"/>
          <w:left w:w="15" w:type="dxa"/>
          <w:bottom w:w="15" w:type="dxa"/>
          <w:right w:w="15" w:type="dxa"/>
        </w:tblCellMar>
      </w:tblPr>
      <w:tblGrid>
        <w:gridCol w:w="508"/>
        <w:gridCol w:w="1084"/>
        <w:gridCol w:w="1650"/>
        <w:gridCol w:w="1485"/>
        <w:gridCol w:w="3840"/>
        <w:gridCol w:w="20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5" w:type="dxa"/>
            <w:left w:w="15" w:type="dxa"/>
            <w:bottom w:w="15" w:type="dxa"/>
            <w:right w:w="15" w:type="dxa"/>
          </w:tblCellMar>
        </w:tblPrEx>
        <w:trPr>
          <w:trHeight w:val="1150" w:hRule="atLeast"/>
        </w:trPr>
        <w:tc>
          <w:tcPr>
            <w:tcW w:w="508" w:type="dxa"/>
            <w:tcBorders>
              <w:bottom w:val="single" w:color="000000" w:sz="4" w:space="0"/>
              <w:right w:val="single" w:color="000000" w:sz="4" w:space="0"/>
            </w:tcBorders>
            <w:shd w:val="clear" w:color="auto" w:fill="auto"/>
            <w:vAlign w:val="center"/>
          </w:tcPr>
          <w:p>
            <w:pPr>
              <w:widowControl/>
              <w:jc w:val="center"/>
              <w:rPr>
                <w:rFonts w:ascii="宋体" w:hAnsi="宋体" w:cs="宋体"/>
                <w:b/>
                <w:color w:val="000000"/>
                <w:sz w:val="24"/>
                <w:szCs w:val="24"/>
              </w:rPr>
            </w:pPr>
            <w:r>
              <w:rPr>
                <w:rFonts w:hint="eastAsia" w:ascii="宋体" w:hAnsi="宋体" w:cs="宋体"/>
                <w:b/>
                <w:color w:val="000000"/>
                <w:sz w:val="24"/>
                <w:szCs w:val="24"/>
                <w:lang w:bidi="ar"/>
              </w:rPr>
              <w:t>年度</w:t>
            </w:r>
          </w:p>
        </w:tc>
        <w:tc>
          <w:tcPr>
            <w:tcW w:w="1084" w:type="dxa"/>
            <w:tcBorders>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b/>
                <w:color w:val="000000"/>
                <w:sz w:val="24"/>
                <w:szCs w:val="24"/>
              </w:rPr>
            </w:pPr>
            <w:r>
              <w:rPr>
                <w:rFonts w:hint="eastAsia" w:ascii="宋体" w:hAnsi="宋体" w:cs="宋体"/>
                <w:b/>
                <w:color w:val="000000"/>
                <w:sz w:val="24"/>
                <w:szCs w:val="24"/>
                <w:lang w:bidi="ar"/>
              </w:rPr>
              <w:t>租车公司</w:t>
            </w:r>
          </w:p>
        </w:tc>
        <w:tc>
          <w:tcPr>
            <w:tcW w:w="1650" w:type="dxa"/>
            <w:tcBorders>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b/>
                <w:color w:val="000000"/>
                <w:sz w:val="24"/>
                <w:szCs w:val="24"/>
              </w:rPr>
            </w:pPr>
            <w:r>
              <w:rPr>
                <w:rFonts w:hint="eastAsia" w:ascii="宋体" w:hAnsi="宋体" w:cs="宋体"/>
                <w:b/>
                <w:color w:val="000000"/>
                <w:sz w:val="24"/>
                <w:szCs w:val="24"/>
                <w:lang w:bidi="ar"/>
              </w:rPr>
              <w:t>评分要素</w:t>
            </w:r>
          </w:p>
        </w:tc>
        <w:tc>
          <w:tcPr>
            <w:tcW w:w="1485" w:type="dxa"/>
            <w:tcBorders>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b/>
                <w:color w:val="000000"/>
                <w:sz w:val="24"/>
                <w:szCs w:val="24"/>
                <w:lang w:bidi="ar"/>
              </w:rPr>
            </w:pPr>
            <w:r>
              <w:rPr>
                <w:rFonts w:hint="eastAsia" w:ascii="宋体" w:hAnsi="宋体" w:cs="宋体"/>
                <w:b/>
                <w:color w:val="000000"/>
                <w:sz w:val="24"/>
                <w:szCs w:val="24"/>
                <w:lang w:bidi="ar"/>
              </w:rPr>
              <w:t>分值</w:t>
            </w:r>
          </w:p>
          <w:p>
            <w:pPr>
              <w:widowControl/>
              <w:jc w:val="center"/>
              <w:rPr>
                <w:rFonts w:ascii="宋体" w:hAnsi="宋体" w:cs="宋体"/>
                <w:b/>
                <w:color w:val="000000"/>
                <w:sz w:val="24"/>
                <w:szCs w:val="24"/>
              </w:rPr>
            </w:pPr>
            <w:r>
              <w:rPr>
                <w:rFonts w:hint="eastAsia" w:ascii="宋体" w:hAnsi="宋体" w:cs="宋体"/>
                <w:b/>
                <w:color w:val="000000"/>
                <w:sz w:val="24"/>
                <w:szCs w:val="24"/>
                <w:lang w:bidi="ar"/>
              </w:rPr>
              <w:t>（合计100）</w:t>
            </w:r>
          </w:p>
        </w:tc>
        <w:tc>
          <w:tcPr>
            <w:tcW w:w="3840" w:type="dxa"/>
            <w:tcBorders>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b/>
                <w:color w:val="000000"/>
                <w:sz w:val="24"/>
                <w:szCs w:val="24"/>
              </w:rPr>
            </w:pPr>
            <w:r>
              <w:rPr>
                <w:rFonts w:hint="eastAsia" w:ascii="宋体" w:hAnsi="宋体" w:cs="宋体"/>
                <w:b/>
                <w:color w:val="000000"/>
                <w:sz w:val="24"/>
                <w:szCs w:val="24"/>
                <w:lang w:bidi="ar"/>
              </w:rPr>
              <w:t>评分标准</w:t>
            </w:r>
          </w:p>
        </w:tc>
        <w:tc>
          <w:tcPr>
            <w:tcW w:w="2055" w:type="dxa"/>
            <w:tcBorders>
              <w:left w:val="single" w:color="000000" w:sz="4" w:space="0"/>
              <w:bottom w:val="single" w:color="000000" w:sz="4" w:space="0"/>
            </w:tcBorders>
            <w:shd w:val="clear" w:color="auto" w:fill="auto"/>
            <w:vAlign w:val="center"/>
          </w:tcPr>
          <w:p>
            <w:pPr>
              <w:widowControl/>
              <w:jc w:val="center"/>
              <w:rPr>
                <w:rFonts w:ascii="宋体" w:hAnsi="宋体" w:cs="宋体"/>
                <w:b/>
                <w:color w:val="000000"/>
                <w:sz w:val="24"/>
                <w:szCs w:val="24"/>
                <w:lang w:bidi="ar"/>
              </w:rPr>
            </w:pPr>
            <w:r>
              <w:rPr>
                <w:rFonts w:hint="eastAsia" w:ascii="宋体" w:hAnsi="宋体" w:cs="宋体"/>
                <w:b/>
                <w:color w:val="000000"/>
                <w:sz w:val="24"/>
                <w:szCs w:val="24"/>
                <w:lang w:bidi="ar"/>
              </w:rPr>
              <w:t>校内各单位打分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5" w:type="dxa"/>
            <w:left w:w="15" w:type="dxa"/>
            <w:bottom w:w="15" w:type="dxa"/>
            <w:right w:w="15" w:type="dxa"/>
          </w:tblCellMar>
        </w:tblPrEx>
        <w:trPr>
          <w:trHeight w:val="1351" w:hRule="atLeast"/>
        </w:trPr>
        <w:tc>
          <w:tcPr>
            <w:tcW w:w="508" w:type="dxa"/>
            <w:vMerge w:val="restart"/>
            <w:tcBorders>
              <w:top w:val="single" w:color="000000" w:sz="4" w:space="0"/>
              <w:right w:val="single" w:color="000000" w:sz="4" w:space="0"/>
            </w:tcBorders>
            <w:shd w:val="clear" w:color="auto" w:fill="auto"/>
            <w:vAlign w:val="center"/>
          </w:tcPr>
          <w:p>
            <w:pPr>
              <w:jc w:val="center"/>
              <w:rPr>
                <w:rFonts w:ascii="宋体" w:hAnsi="宋体" w:cs="宋体"/>
                <w:b/>
                <w:color w:val="000000"/>
                <w:sz w:val="24"/>
                <w:szCs w:val="24"/>
              </w:rPr>
            </w:pPr>
          </w:p>
        </w:tc>
        <w:tc>
          <w:tcPr>
            <w:tcW w:w="10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服务流程规范</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30</w:t>
            </w:r>
          </w:p>
        </w:tc>
        <w:tc>
          <w:tcPr>
            <w:tcW w:w="3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对用车单位整体服务流程打分，从沟通服务；派车响应；接送时长；行车安全；结算金额；乘客评价等6点打分，单点满分5分。</w:t>
            </w:r>
          </w:p>
        </w:tc>
        <w:tc>
          <w:tcPr>
            <w:tcW w:w="2055" w:type="dxa"/>
            <w:tcBorders>
              <w:top w:val="single" w:color="000000" w:sz="4" w:space="0"/>
              <w:left w:val="single" w:color="000000" w:sz="4" w:space="0"/>
              <w:bottom w:val="single" w:color="000000" w:sz="4" w:space="0"/>
            </w:tcBorders>
            <w:shd w:val="clear" w:color="auto" w:fill="auto"/>
            <w:vAlign w:val="center"/>
          </w:tcPr>
          <w:p>
            <w:pPr>
              <w:widowControl/>
              <w:jc w:val="center"/>
              <w:rPr>
                <w:rFonts w:ascii="宋体" w:hAnsi="宋体" w:cs="宋体"/>
                <w:color w:val="000000"/>
                <w:sz w:val="24"/>
                <w:szCs w:val="24"/>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5" w:type="dxa"/>
            <w:left w:w="15" w:type="dxa"/>
            <w:bottom w:w="15" w:type="dxa"/>
            <w:right w:w="15" w:type="dxa"/>
          </w:tblCellMar>
        </w:tblPrEx>
        <w:trPr>
          <w:trHeight w:val="1351" w:hRule="atLeast"/>
        </w:trPr>
        <w:tc>
          <w:tcPr>
            <w:tcW w:w="508" w:type="dxa"/>
            <w:vMerge w:val="continue"/>
            <w:tcBorders>
              <w:top w:val="single" w:color="000000" w:sz="4" w:space="0"/>
              <w:right w:val="single" w:color="000000" w:sz="4" w:space="0"/>
            </w:tcBorders>
            <w:shd w:val="clear" w:color="auto" w:fill="auto"/>
            <w:vAlign w:val="center"/>
          </w:tcPr>
          <w:p>
            <w:pPr>
              <w:jc w:val="center"/>
              <w:rPr>
                <w:rFonts w:ascii="宋体" w:hAnsi="宋体" w:cs="宋体"/>
                <w:b/>
                <w:color w:val="000000"/>
                <w:sz w:val="24"/>
                <w:szCs w:val="24"/>
              </w:rPr>
            </w:pPr>
          </w:p>
        </w:tc>
        <w:tc>
          <w:tcPr>
            <w:tcW w:w="10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车辆条件评估</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25</w:t>
            </w:r>
          </w:p>
        </w:tc>
        <w:tc>
          <w:tcPr>
            <w:tcW w:w="3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整车配件齐全；车况良好；车身整洁及车内清洁度；空调及其他设备完好；矿泉水、雨伞等配备齐全等5点打分，单点满分5分。</w:t>
            </w:r>
          </w:p>
        </w:tc>
        <w:tc>
          <w:tcPr>
            <w:tcW w:w="2055" w:type="dxa"/>
            <w:tcBorders>
              <w:top w:val="single" w:color="000000" w:sz="4" w:space="0"/>
              <w:left w:val="single" w:color="000000" w:sz="4" w:space="0"/>
              <w:bottom w:val="single" w:color="000000" w:sz="4" w:space="0"/>
            </w:tcBorders>
            <w:shd w:val="clear" w:color="auto" w:fill="auto"/>
            <w:vAlign w:val="center"/>
          </w:tcPr>
          <w:p>
            <w:pPr>
              <w:widowControl/>
              <w:jc w:val="center"/>
              <w:rPr>
                <w:rFonts w:ascii="宋体" w:hAnsi="宋体" w:cs="宋体"/>
                <w:color w:val="000000"/>
                <w:sz w:val="24"/>
                <w:szCs w:val="24"/>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508" w:type="dxa"/>
            <w:vMerge w:val="continue"/>
            <w:tcBorders>
              <w:top w:val="single" w:color="000000" w:sz="4" w:space="0"/>
              <w:right w:val="single" w:color="000000" w:sz="4" w:space="0"/>
            </w:tcBorders>
            <w:shd w:val="clear" w:color="auto" w:fill="auto"/>
            <w:vAlign w:val="center"/>
          </w:tcPr>
          <w:p>
            <w:pPr>
              <w:jc w:val="center"/>
              <w:rPr>
                <w:rFonts w:ascii="宋体" w:hAnsi="宋体" w:cs="宋体"/>
                <w:b/>
                <w:color w:val="000000"/>
                <w:sz w:val="24"/>
                <w:szCs w:val="24"/>
              </w:rPr>
            </w:pPr>
          </w:p>
        </w:tc>
        <w:tc>
          <w:tcPr>
            <w:tcW w:w="10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司机素质评估</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25</w:t>
            </w:r>
          </w:p>
        </w:tc>
        <w:tc>
          <w:tcPr>
            <w:tcW w:w="3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司机着装；仪容仪表；礼貌周到；司机响应速度；不在车内抽烟等5点打分，单点满分5分。</w:t>
            </w:r>
          </w:p>
        </w:tc>
        <w:tc>
          <w:tcPr>
            <w:tcW w:w="2055" w:type="dxa"/>
            <w:tcBorders>
              <w:top w:val="single" w:color="000000" w:sz="4" w:space="0"/>
              <w:left w:val="single" w:color="000000" w:sz="4" w:space="0"/>
              <w:bottom w:val="single" w:color="000000" w:sz="4" w:space="0"/>
            </w:tcBorders>
            <w:shd w:val="clear" w:color="auto" w:fill="auto"/>
            <w:vAlign w:val="center"/>
          </w:tcPr>
          <w:p>
            <w:pPr>
              <w:widowControl/>
              <w:jc w:val="center"/>
              <w:rPr>
                <w:rFonts w:ascii="宋体" w:hAnsi="宋体" w:cs="宋体"/>
                <w:color w:val="000000"/>
                <w:sz w:val="24"/>
                <w:szCs w:val="24"/>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5" w:type="dxa"/>
            <w:left w:w="15" w:type="dxa"/>
            <w:bottom w:w="15" w:type="dxa"/>
            <w:right w:w="15" w:type="dxa"/>
          </w:tblCellMar>
        </w:tblPrEx>
        <w:trPr>
          <w:trHeight w:val="810" w:hRule="atLeast"/>
        </w:trPr>
        <w:tc>
          <w:tcPr>
            <w:tcW w:w="508" w:type="dxa"/>
            <w:vMerge w:val="continue"/>
            <w:tcBorders>
              <w:top w:val="single" w:color="000000" w:sz="4" w:space="0"/>
              <w:right w:val="single" w:color="000000" w:sz="4" w:space="0"/>
            </w:tcBorders>
            <w:shd w:val="clear" w:color="auto" w:fill="auto"/>
            <w:vAlign w:val="center"/>
          </w:tcPr>
          <w:p>
            <w:pPr>
              <w:jc w:val="center"/>
              <w:rPr>
                <w:rFonts w:ascii="宋体" w:hAnsi="宋体" w:cs="宋体"/>
                <w:b/>
                <w:color w:val="000000"/>
                <w:sz w:val="24"/>
                <w:szCs w:val="24"/>
              </w:rPr>
            </w:pPr>
          </w:p>
        </w:tc>
        <w:tc>
          <w:tcPr>
            <w:tcW w:w="10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车辆使用率</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10</w:t>
            </w:r>
          </w:p>
        </w:tc>
        <w:tc>
          <w:tcPr>
            <w:tcW w:w="3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使用率较高、满意度高的租车单位得6-10分，使用率一般的用车单位得3-5分。</w:t>
            </w:r>
          </w:p>
        </w:tc>
        <w:tc>
          <w:tcPr>
            <w:tcW w:w="2055" w:type="dxa"/>
            <w:tcBorders>
              <w:top w:val="single" w:color="000000" w:sz="4" w:space="0"/>
              <w:left w:val="single" w:color="000000" w:sz="4" w:space="0"/>
              <w:bottom w:val="single" w:color="000000" w:sz="4" w:space="0"/>
            </w:tcBorders>
            <w:shd w:val="clear" w:color="auto" w:fill="auto"/>
            <w:vAlign w:val="center"/>
          </w:tcPr>
          <w:p>
            <w:pPr>
              <w:widowControl/>
              <w:jc w:val="center"/>
              <w:rPr>
                <w:rFonts w:ascii="宋体" w:hAnsi="宋体" w:cs="宋体"/>
                <w:color w:val="000000"/>
                <w:sz w:val="24"/>
                <w:szCs w:val="24"/>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5" w:type="dxa"/>
            <w:left w:w="15" w:type="dxa"/>
            <w:bottom w:w="15" w:type="dxa"/>
            <w:right w:w="15" w:type="dxa"/>
          </w:tblCellMar>
        </w:tblPrEx>
        <w:trPr>
          <w:trHeight w:val="810" w:hRule="atLeast"/>
        </w:trPr>
        <w:tc>
          <w:tcPr>
            <w:tcW w:w="508" w:type="dxa"/>
            <w:vMerge w:val="continue"/>
            <w:tcBorders>
              <w:top w:val="single" w:color="000000" w:sz="4" w:space="0"/>
              <w:right w:val="single" w:color="000000" w:sz="4" w:space="0"/>
            </w:tcBorders>
            <w:shd w:val="clear" w:color="auto" w:fill="auto"/>
            <w:vAlign w:val="center"/>
          </w:tcPr>
          <w:p>
            <w:pPr>
              <w:jc w:val="center"/>
              <w:rPr>
                <w:rFonts w:ascii="宋体" w:hAnsi="宋体" w:cs="宋体"/>
                <w:b/>
                <w:color w:val="000000"/>
                <w:sz w:val="24"/>
                <w:szCs w:val="24"/>
              </w:rPr>
            </w:pPr>
          </w:p>
        </w:tc>
        <w:tc>
          <w:tcPr>
            <w:tcW w:w="10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投诉及事故</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10</w:t>
            </w:r>
          </w:p>
        </w:tc>
        <w:tc>
          <w:tcPr>
            <w:tcW w:w="3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szCs w:val="24"/>
              </w:rPr>
            </w:pPr>
            <w:r>
              <w:rPr>
                <w:rFonts w:hint="eastAsia" w:ascii="宋体" w:hAnsi="宋体" w:cs="宋体"/>
                <w:color w:val="000000"/>
                <w:sz w:val="24"/>
                <w:szCs w:val="24"/>
                <w:lang w:bidi="ar"/>
              </w:rPr>
              <w:t>有一起投诉扣5分，有一起事故本项不得分，无投诉及事故得满分。</w:t>
            </w:r>
          </w:p>
        </w:tc>
        <w:tc>
          <w:tcPr>
            <w:tcW w:w="2055" w:type="dxa"/>
            <w:tcBorders>
              <w:top w:val="single" w:color="000000" w:sz="4" w:space="0"/>
              <w:left w:val="single" w:color="000000" w:sz="4" w:space="0"/>
              <w:bottom w:val="single" w:color="000000" w:sz="4" w:space="0"/>
            </w:tcBorders>
            <w:shd w:val="clear" w:color="auto" w:fill="auto"/>
            <w:vAlign w:val="center"/>
          </w:tcPr>
          <w:p>
            <w:pPr>
              <w:widowControl/>
              <w:jc w:val="center"/>
              <w:rPr>
                <w:rFonts w:ascii="宋体" w:hAnsi="宋体" w:cs="宋体"/>
                <w:color w:val="000000"/>
                <w:sz w:val="24"/>
                <w:szCs w:val="24"/>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5" w:type="dxa"/>
            <w:left w:w="15" w:type="dxa"/>
            <w:bottom w:w="15" w:type="dxa"/>
            <w:right w:w="15" w:type="dxa"/>
          </w:tblCellMar>
        </w:tblPrEx>
        <w:trPr>
          <w:trHeight w:val="525" w:hRule="atLeast"/>
        </w:trPr>
        <w:tc>
          <w:tcPr>
            <w:tcW w:w="508" w:type="dxa"/>
            <w:tcBorders>
              <w:top w:val="single" w:color="000000" w:sz="4" w:space="0"/>
              <w:right w:val="single" w:color="000000" w:sz="4" w:space="0"/>
            </w:tcBorders>
            <w:shd w:val="clear" w:color="auto" w:fill="auto"/>
            <w:vAlign w:val="center"/>
          </w:tcPr>
          <w:p>
            <w:pPr>
              <w:rPr>
                <w:rFonts w:ascii="宋体" w:hAnsi="宋体" w:cs="宋体"/>
                <w:b/>
                <w:color w:val="000000"/>
                <w:sz w:val="24"/>
                <w:szCs w:val="24"/>
              </w:rPr>
            </w:pPr>
          </w:p>
        </w:tc>
        <w:tc>
          <w:tcPr>
            <w:tcW w:w="2734" w:type="dxa"/>
            <w:gridSpan w:val="2"/>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b/>
                <w:color w:val="000000"/>
                <w:sz w:val="24"/>
                <w:szCs w:val="24"/>
              </w:rPr>
            </w:pPr>
            <w:r>
              <w:rPr>
                <w:rFonts w:hint="eastAsia" w:ascii="宋体" w:hAnsi="宋体" w:cs="宋体"/>
                <w:b/>
                <w:color w:val="000000"/>
                <w:sz w:val="24"/>
                <w:szCs w:val="24"/>
                <w:lang w:bidi="ar"/>
              </w:rPr>
              <w:t>总 得 分</w:t>
            </w:r>
          </w:p>
        </w:tc>
        <w:tc>
          <w:tcPr>
            <w:tcW w:w="5325" w:type="dxa"/>
            <w:gridSpan w:val="2"/>
            <w:tcBorders>
              <w:top w:val="single" w:color="000000" w:sz="4" w:space="0"/>
              <w:left w:val="single" w:color="000000" w:sz="4" w:space="0"/>
              <w:right w:val="single" w:color="000000" w:sz="4" w:space="0"/>
            </w:tcBorders>
            <w:shd w:val="clear" w:color="auto" w:fill="auto"/>
            <w:vAlign w:val="center"/>
          </w:tcPr>
          <w:p>
            <w:pPr>
              <w:jc w:val="center"/>
              <w:rPr>
                <w:rFonts w:ascii="宋体" w:hAnsi="宋体" w:cs="宋体"/>
                <w:b/>
                <w:color w:val="000000"/>
                <w:sz w:val="24"/>
                <w:szCs w:val="24"/>
              </w:rPr>
            </w:pPr>
          </w:p>
        </w:tc>
        <w:tc>
          <w:tcPr>
            <w:tcW w:w="2055" w:type="dxa"/>
            <w:tcBorders>
              <w:top w:val="single" w:color="000000" w:sz="4" w:space="0"/>
              <w:left w:val="single" w:color="000000" w:sz="4" w:space="0"/>
            </w:tcBorders>
            <w:shd w:val="clear" w:color="auto" w:fill="auto"/>
            <w:vAlign w:val="center"/>
          </w:tcPr>
          <w:p>
            <w:pPr>
              <w:jc w:val="center"/>
              <w:rPr>
                <w:rFonts w:ascii="宋体" w:hAnsi="宋体" w:cs="宋体"/>
                <w:b/>
                <w:color w:val="000000"/>
                <w:sz w:val="24"/>
                <w:szCs w:val="24"/>
              </w:rPr>
            </w:pPr>
          </w:p>
        </w:tc>
      </w:tr>
    </w:tbl>
    <w:p>
      <w:pPr>
        <w:pStyle w:val="14"/>
        <w:ind w:firstLine="0"/>
        <w:rPr>
          <w:rFonts w:ascii="宋体" w:hAnsi="宋体" w:eastAsia="宋体" w:cs="宋体"/>
          <w:b/>
          <w:color w:val="000000"/>
          <w:sz w:val="24"/>
          <w:szCs w:val="24"/>
        </w:rPr>
      </w:pPr>
    </w:p>
    <w:p>
      <w:pPr>
        <w:pStyle w:val="14"/>
        <w:ind w:firstLine="0"/>
        <w:rPr>
          <w:rFonts w:ascii="宋体" w:hAnsi="宋体" w:eastAsia="宋体" w:cs="宋体"/>
          <w:sz w:val="24"/>
          <w:szCs w:val="24"/>
        </w:rPr>
      </w:pPr>
      <w:r>
        <w:rPr>
          <w:rFonts w:hint="eastAsia" w:ascii="宋体" w:hAnsi="宋体" w:eastAsia="宋体" w:cs="宋体"/>
          <w:b/>
          <w:color w:val="000000"/>
          <w:sz w:val="24"/>
          <w:szCs w:val="24"/>
        </w:rPr>
        <w:t>注：各部门（学院）根据5项评分要素进行打分，每项最终分值为所有部门（学院）打分平均值，总得分等于或高于80分为合格，低于80分为不合格。</w:t>
      </w:r>
    </w:p>
    <w:sectPr>
      <w:headerReference r:id="rId3" w:type="default"/>
      <w:footerReference r:id="rId4" w:type="default"/>
      <w:footerReference r:id="rId5" w:type="even"/>
      <w:pgSz w:w="11906" w:h="16838"/>
      <w:pgMar w:top="771" w:right="720" w:bottom="720" w:left="720" w:header="231" w:footer="26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2"/>
      <w:framePr w:wrap="around" w:vAnchor="text" w:hAnchor="margin" w:xAlign="center" w:y="1"/>
      <w:ind w:firstLine="360"/>
      <w:rPr>
        <w:rStyle w:val="260"/>
        <w:rFonts w:ascii="宋体" w:hAnsi="宋体"/>
      </w:rPr>
    </w:pPr>
    <w:r>
      <w:rPr>
        <w:rFonts w:ascii="宋体" w:hAnsi="宋体"/>
      </w:rPr>
      <w:fldChar w:fldCharType="begin"/>
    </w:r>
    <w:r>
      <w:rPr>
        <w:rStyle w:val="260"/>
        <w:rFonts w:ascii="宋体" w:hAnsi="宋体"/>
      </w:rPr>
      <w:instrText xml:space="preserve">PAGE  </w:instrText>
    </w:r>
    <w:r>
      <w:rPr>
        <w:rFonts w:ascii="宋体" w:hAnsi="宋体"/>
      </w:rPr>
      <w:fldChar w:fldCharType="separate"/>
    </w:r>
    <w:r>
      <w:rPr>
        <w:rStyle w:val="260"/>
        <w:rFonts w:ascii="宋体" w:hAnsi="宋体"/>
      </w:rPr>
      <w:t>3</w:t>
    </w:r>
    <w:r>
      <w:rPr>
        <w:rFonts w:ascii="宋体" w:hAnsi="宋体"/>
      </w:rPr>
      <w:fldChar w:fldCharType="end"/>
    </w:r>
  </w:p>
  <w:p>
    <w:pPr>
      <w:pStyle w:val="332"/>
      <w:ind w:firstLine="361"/>
      <w:rPr>
        <w:b/>
        <w:i/>
      </w:rPr>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2"/>
      <w:framePr w:wrap="around" w:vAnchor="text" w:hAnchor="margin" w:xAlign="center" w:y="1"/>
      <w:ind w:firstLine="360"/>
      <w:rPr>
        <w:rStyle w:val="260"/>
      </w:rPr>
    </w:pPr>
    <w:r>
      <w:fldChar w:fldCharType="begin"/>
    </w:r>
    <w:r>
      <w:rPr>
        <w:rStyle w:val="260"/>
      </w:rPr>
      <w:instrText xml:space="preserve">PAGE  </w:instrText>
    </w:r>
    <w:r>
      <w:fldChar w:fldCharType="separate"/>
    </w:r>
    <w:r>
      <w:rPr>
        <w:rStyle w:val="260"/>
      </w:rPr>
      <w:t>1</w:t>
    </w:r>
    <w:r>
      <w:fldChar w:fldCharType="end"/>
    </w:r>
  </w:p>
  <w:p>
    <w:pPr>
      <w:pStyle w:val="332"/>
      <w:ind w:firstLine="360"/>
    </w:pPr>
  </w:p>
  <w:p/>
  <w:p/>
  <w:p/>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A592B"/>
    <w:multiLevelType w:val="multilevel"/>
    <w:tmpl w:val="2BEA592B"/>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9"/>
      <w:suff w:val="nothing"/>
      <w:lvlText w:val=""/>
      <w:lvlJc w:val="left"/>
      <w:pPr>
        <w:ind w:left="0" w:firstLine="0"/>
      </w:pPr>
      <w:rPr>
        <w:rFonts w:hint="eastAsia"/>
      </w:rPr>
    </w:lvl>
    <w:lvl w:ilvl="6" w:tentative="0">
      <w:start w:val="1"/>
      <w:numFmt w:val="decimal"/>
      <w:pStyle w:val="240"/>
      <w:suff w:val="nothing"/>
      <w:lvlText w:val=""/>
      <w:lvlJc w:val="left"/>
      <w:pPr>
        <w:ind w:left="0" w:firstLine="0"/>
      </w:pPr>
      <w:rPr>
        <w:rFonts w:hint="eastAsia"/>
      </w:rPr>
    </w:lvl>
    <w:lvl w:ilvl="7" w:tentative="0">
      <w:start w:val="1"/>
      <w:numFmt w:val="decimal"/>
      <w:pStyle w:val="241"/>
      <w:suff w:val="nothing"/>
      <w:lvlText w:val=""/>
      <w:lvlJc w:val="left"/>
      <w:pPr>
        <w:ind w:left="0" w:firstLine="0"/>
      </w:pPr>
      <w:rPr>
        <w:rFonts w:hint="eastAsia"/>
      </w:rPr>
    </w:lvl>
    <w:lvl w:ilvl="8" w:tentative="0">
      <w:start w:val="1"/>
      <w:numFmt w:val="decimal"/>
      <w:pStyle w:val="242"/>
      <w:suff w:val="nothing"/>
      <w:lvlText w:val=""/>
      <w:lvlJc w:val="left"/>
      <w:pPr>
        <w:ind w:left="0" w:firstLine="0"/>
      </w:pPr>
      <w:rPr>
        <w:rFonts w:hint="eastAsia"/>
      </w:rPr>
    </w:lvl>
  </w:abstractNum>
  <w:abstractNum w:abstractNumId="1">
    <w:nsid w:val="2EDE3A3C"/>
    <w:multiLevelType w:val="multilevel"/>
    <w:tmpl w:val="2EDE3A3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E446849"/>
    <w:multiLevelType w:val="multilevel"/>
    <w:tmpl w:val="3E446849"/>
    <w:lvl w:ilvl="0" w:tentative="0">
      <w:start w:val="1"/>
      <w:numFmt w:val="decimal"/>
      <w:pStyle w:val="30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5DF12DF6"/>
    <w:multiLevelType w:val="multilevel"/>
    <w:tmpl w:val="5DF12DF6"/>
    <w:lvl w:ilvl="0" w:tentative="0">
      <w:start w:val="1"/>
      <w:numFmt w:val="upperLetter"/>
      <w:pStyle w:val="28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9D77ADE"/>
    <w:multiLevelType w:val="multilevel"/>
    <w:tmpl w:val="79D77ADE"/>
    <w:lvl w:ilvl="0" w:tentative="0">
      <w:start w:val="1"/>
      <w:numFmt w:val="decimal"/>
      <w:pStyle w:val="376"/>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543"/>
    <w:rsid w:val="0000099D"/>
    <w:rsid w:val="003273C1"/>
    <w:rsid w:val="003918BB"/>
    <w:rsid w:val="00490FB5"/>
    <w:rsid w:val="005409B7"/>
    <w:rsid w:val="006A3543"/>
    <w:rsid w:val="008470DA"/>
    <w:rsid w:val="00B260E3"/>
    <w:rsid w:val="00D35E89"/>
    <w:rsid w:val="00EB39F8"/>
    <w:rsid w:val="00FD3F2D"/>
    <w:rsid w:val="1EDE020B"/>
    <w:rsid w:val="3B843BDD"/>
    <w:rsid w:val="4180791F"/>
    <w:rsid w:val="459D29A1"/>
    <w:rsid w:val="71BC2435"/>
    <w:rsid w:val="73D87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85"/>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link w:val="8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2"/>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9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92"/>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3"/>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uiPriority w:val="1"/>
  </w:style>
  <w:style w:type="table" w:default="1" w:styleId="46">
    <w:name w:val="Normal Table"/>
    <w:semiHidden/>
    <w:unhideWhenUsed/>
    <w:uiPriority w:val="99"/>
    <w:tblPr>
      <w:tblLayout w:type="fixed"/>
      <w:tblCellMar>
        <w:top w:w="0" w:type="dxa"/>
        <w:left w:w="108" w:type="dxa"/>
        <w:bottom w:w="0" w:type="dxa"/>
        <w:right w:w="108" w:type="dxa"/>
      </w:tblCellMar>
    </w:tblPr>
  </w:style>
  <w:style w:type="paragraph" w:styleId="11">
    <w:name w:val="annotation subject"/>
    <w:basedOn w:val="12"/>
    <w:next w:val="12"/>
    <w:link w:val="401"/>
    <w:semiHidden/>
    <w:unhideWhenUsed/>
    <w:qFormat/>
    <w:uiPriority w:val="99"/>
    <w:rPr>
      <w:b/>
      <w:bCs/>
    </w:rPr>
  </w:style>
  <w:style w:type="paragraph" w:styleId="12">
    <w:name w:val="annotation text"/>
    <w:basedOn w:val="1"/>
    <w:link w:val="409"/>
    <w:unhideWhenUsed/>
    <w:qFormat/>
    <w:uiPriority w:val="99"/>
    <w:pPr>
      <w:jc w:val="left"/>
    </w:pPr>
    <w:rPr>
      <w:rFonts w:ascii="Times New Roman" w:hAnsi="Times New Roman"/>
      <w:szCs w:val="20"/>
    </w:rPr>
  </w:style>
  <w:style w:type="paragraph" w:styleId="13">
    <w:name w:val="toc 7"/>
    <w:basedOn w:val="1"/>
    <w:next w:val="1"/>
    <w:unhideWhenUsed/>
    <w:qFormat/>
    <w:uiPriority w:val="39"/>
    <w:pPr>
      <w:spacing w:after="57"/>
      <w:ind w:left="1701"/>
    </w:pPr>
  </w:style>
  <w:style w:type="paragraph" w:styleId="14">
    <w:name w:val="Body Text First Indent"/>
    <w:basedOn w:val="15"/>
    <w:next w:val="16"/>
    <w:unhideWhenUsed/>
    <w:qFormat/>
    <w:uiPriority w:val="99"/>
    <w:pPr>
      <w:ind w:firstLine="420"/>
    </w:pPr>
  </w:style>
  <w:style w:type="paragraph" w:styleId="15">
    <w:name w:val="Body Text"/>
    <w:basedOn w:val="1"/>
    <w:next w:val="14"/>
    <w:qFormat/>
    <w:uiPriority w:val="0"/>
    <w:rPr>
      <w:rFonts w:ascii="楷体_GB2312" w:hAnsi="Arial" w:eastAsia="楷体_GB2312"/>
      <w:sz w:val="28"/>
    </w:rPr>
  </w:style>
  <w:style w:type="paragraph" w:styleId="16">
    <w:name w:val="Body Text First Indent 2"/>
    <w:basedOn w:val="17"/>
    <w:next w:val="14"/>
    <w:qFormat/>
    <w:uiPriority w:val="0"/>
    <w:pPr>
      <w:ind w:firstLine="420"/>
    </w:pPr>
  </w:style>
  <w:style w:type="paragraph" w:styleId="17">
    <w:name w:val="Body Text Indent"/>
    <w:basedOn w:val="1"/>
    <w:next w:val="18"/>
    <w:qFormat/>
    <w:uiPriority w:val="0"/>
    <w:pPr>
      <w:spacing w:line="312" w:lineRule="atLeast"/>
      <w:ind w:firstLine="574"/>
    </w:pPr>
    <w:rPr>
      <w:rFonts w:ascii="宋体"/>
      <w:sz w:val="28"/>
    </w:rPr>
  </w:style>
  <w:style w:type="paragraph" w:styleId="18">
    <w:name w:val="envelope return"/>
    <w:basedOn w:val="1"/>
    <w:qFormat/>
    <w:uiPriority w:val="0"/>
    <w:rPr>
      <w:rFonts w:ascii="Arial" w:hAnsi="Arial"/>
    </w:rPr>
  </w:style>
  <w:style w:type="paragraph" w:styleId="19">
    <w:name w:val="Normal Indent"/>
    <w:basedOn w:val="1"/>
    <w:next w:val="1"/>
    <w:semiHidden/>
    <w:unhideWhenUsed/>
    <w:qFormat/>
    <w:uiPriority w:val="99"/>
    <w:pPr>
      <w:ind w:firstLine="420"/>
      <w:jc w:val="left"/>
    </w:pPr>
    <w:rPr>
      <w:rFonts w:ascii="Times New Roman" w:hAnsi="Times New Roman"/>
      <w:sz w:val="24"/>
      <w:szCs w:val="21"/>
    </w:rPr>
  </w:style>
  <w:style w:type="paragraph" w:styleId="20">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Date"/>
    <w:basedOn w:val="1"/>
    <w:next w:val="1"/>
    <w:semiHidden/>
    <w:unhideWhenUsed/>
    <w:qFormat/>
    <w:uiPriority w:val="99"/>
    <w:pPr>
      <w:spacing w:line="312" w:lineRule="atLeast"/>
    </w:pPr>
    <w:rPr>
      <w:rFonts w:hint="eastAsia" w:ascii="宋体" w:hAnsi="Times New Roman"/>
      <w:sz w:val="28"/>
      <w:szCs w:val="20"/>
    </w:rPr>
  </w:style>
  <w:style w:type="paragraph" w:styleId="25">
    <w:name w:val="endnote text"/>
    <w:basedOn w:val="1"/>
    <w:link w:val="231"/>
    <w:semiHidden/>
    <w:unhideWhenUsed/>
    <w:qFormat/>
    <w:uiPriority w:val="99"/>
    <w:rPr>
      <w:sz w:val="20"/>
    </w:rPr>
  </w:style>
  <w:style w:type="paragraph" w:styleId="26">
    <w:name w:val="Balloon Text"/>
    <w:basedOn w:val="1"/>
    <w:link w:val="402"/>
    <w:semiHidden/>
    <w:unhideWhenUsed/>
    <w:qFormat/>
    <w:uiPriority w:val="99"/>
    <w:rPr>
      <w:sz w:val="18"/>
      <w:szCs w:val="18"/>
    </w:rPr>
  </w:style>
  <w:style w:type="paragraph" w:styleId="27">
    <w:name w:val="footer"/>
    <w:basedOn w:val="1"/>
    <w:link w:val="104"/>
    <w:unhideWhenUsed/>
    <w:qFormat/>
    <w:uiPriority w:val="99"/>
    <w:pPr>
      <w:tabs>
        <w:tab w:val="center" w:pos="7143"/>
        <w:tab w:val="right" w:pos="14287"/>
      </w:tabs>
    </w:pPr>
  </w:style>
  <w:style w:type="paragraph" w:styleId="28">
    <w:name w:val="header"/>
    <w:basedOn w:val="1"/>
    <w:link w:val="102"/>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97"/>
    <w:qFormat/>
    <w:uiPriority w:val="11"/>
    <w:pPr>
      <w:spacing w:before="200" w:after="200"/>
    </w:pPr>
    <w:rPr>
      <w:sz w:val="24"/>
      <w:szCs w:val="24"/>
    </w:rPr>
  </w:style>
  <w:style w:type="paragraph" w:styleId="32">
    <w:name w:val="footnote text"/>
    <w:basedOn w:val="1"/>
    <w:link w:val="230"/>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Body Text 2"/>
    <w:basedOn w:val="1"/>
    <w:next w:val="15"/>
    <w:qFormat/>
    <w:uiPriority w:val="0"/>
    <w:pPr>
      <w:widowControl/>
      <w:spacing w:line="360" w:lineRule="auto"/>
      <w:jc w:val="left"/>
    </w:pPr>
    <w:rPr>
      <w:rFonts w:ascii="宋体" w:hAnsi="宋体"/>
      <w:color w:val="FF0000"/>
    </w:rPr>
  </w:style>
  <w:style w:type="paragraph" w:styleId="38">
    <w:name w:val="Normal (Web)"/>
    <w:basedOn w:val="1"/>
    <w:semiHidden/>
    <w:unhideWhenUsed/>
    <w:qFormat/>
    <w:uiPriority w:val="99"/>
    <w:pPr>
      <w:widowControl/>
      <w:spacing w:before="100" w:beforeAutospacing="1" w:after="100" w:afterAutospacing="1"/>
      <w:jc w:val="left"/>
    </w:pPr>
    <w:rPr>
      <w:rFonts w:ascii="宋体" w:hAnsi="宋体" w:cs="宋体"/>
      <w:sz w:val="24"/>
      <w:szCs w:val="24"/>
    </w:rPr>
  </w:style>
  <w:style w:type="paragraph" w:styleId="39">
    <w:name w:val="Title"/>
    <w:basedOn w:val="1"/>
    <w:next w:val="1"/>
    <w:link w:val="96"/>
    <w:qFormat/>
    <w:uiPriority w:val="10"/>
    <w:pPr>
      <w:spacing w:before="300" w:after="200"/>
      <w:contextualSpacing/>
    </w:pPr>
    <w:rPr>
      <w:sz w:val="48"/>
      <w:szCs w:val="48"/>
    </w:r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semiHidden/>
    <w:unhideWhenUsed/>
    <w:qFormat/>
    <w:uiPriority w:val="99"/>
    <w:rPr>
      <w:sz w:val="21"/>
      <w:szCs w:val="21"/>
    </w:rPr>
  </w:style>
  <w:style w:type="character" w:styleId="45">
    <w:name w:val="footnote reference"/>
    <w:unhideWhenUsed/>
    <w:qFormat/>
    <w:uiPriority w:val="99"/>
    <w:rPr>
      <w:vertAlign w:val="superscript"/>
    </w:rPr>
  </w:style>
  <w:style w:type="table" w:styleId="4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48">
    <w:name w:val="Heading 1 Char"/>
    <w:basedOn w:val="40"/>
    <w:qFormat/>
    <w:uiPriority w:val="9"/>
    <w:rPr>
      <w:rFonts w:ascii="Arial" w:hAnsi="Arial" w:eastAsia="Arial" w:cs="Arial"/>
      <w:sz w:val="40"/>
      <w:szCs w:val="40"/>
    </w:rPr>
  </w:style>
  <w:style w:type="character" w:customStyle="1" w:styleId="49">
    <w:name w:val="Heading 2 Char"/>
    <w:basedOn w:val="40"/>
    <w:qFormat/>
    <w:uiPriority w:val="9"/>
    <w:rPr>
      <w:rFonts w:ascii="Arial" w:hAnsi="Arial" w:eastAsia="Arial" w:cs="Arial"/>
      <w:sz w:val="34"/>
    </w:rPr>
  </w:style>
  <w:style w:type="character" w:customStyle="1" w:styleId="50">
    <w:name w:val="Heading 3 Char"/>
    <w:basedOn w:val="40"/>
    <w:uiPriority w:val="9"/>
    <w:rPr>
      <w:rFonts w:ascii="Arial" w:hAnsi="Arial" w:eastAsia="Arial" w:cs="Arial"/>
      <w:sz w:val="30"/>
      <w:szCs w:val="30"/>
    </w:rPr>
  </w:style>
  <w:style w:type="character" w:customStyle="1" w:styleId="51">
    <w:name w:val="Heading 4 Char"/>
    <w:basedOn w:val="40"/>
    <w:uiPriority w:val="9"/>
    <w:rPr>
      <w:rFonts w:ascii="Arial" w:hAnsi="Arial" w:eastAsia="Arial" w:cs="Arial"/>
      <w:b/>
      <w:bCs/>
      <w:sz w:val="26"/>
      <w:szCs w:val="26"/>
    </w:rPr>
  </w:style>
  <w:style w:type="character" w:customStyle="1" w:styleId="52">
    <w:name w:val="Heading 5 Char"/>
    <w:basedOn w:val="40"/>
    <w:uiPriority w:val="9"/>
    <w:rPr>
      <w:rFonts w:ascii="Arial" w:hAnsi="Arial" w:eastAsia="Arial" w:cs="Arial"/>
      <w:b/>
      <w:bCs/>
      <w:sz w:val="24"/>
      <w:szCs w:val="24"/>
    </w:rPr>
  </w:style>
  <w:style w:type="character" w:customStyle="1" w:styleId="53">
    <w:name w:val="Heading 6 Char"/>
    <w:basedOn w:val="40"/>
    <w:uiPriority w:val="9"/>
    <w:rPr>
      <w:rFonts w:ascii="Arial" w:hAnsi="Arial" w:eastAsia="Arial" w:cs="Arial"/>
      <w:b/>
      <w:bCs/>
      <w:sz w:val="22"/>
      <w:szCs w:val="22"/>
    </w:rPr>
  </w:style>
  <w:style w:type="character" w:customStyle="1" w:styleId="54">
    <w:name w:val="Heading 7 Char"/>
    <w:basedOn w:val="40"/>
    <w:uiPriority w:val="9"/>
    <w:rPr>
      <w:rFonts w:ascii="Arial" w:hAnsi="Arial" w:eastAsia="Arial" w:cs="Arial"/>
      <w:b/>
      <w:bCs/>
      <w:i/>
      <w:iCs/>
      <w:sz w:val="22"/>
      <w:szCs w:val="22"/>
    </w:rPr>
  </w:style>
  <w:style w:type="character" w:customStyle="1" w:styleId="55">
    <w:name w:val="Heading 8 Char"/>
    <w:basedOn w:val="40"/>
    <w:uiPriority w:val="9"/>
    <w:rPr>
      <w:rFonts w:ascii="Arial" w:hAnsi="Arial" w:eastAsia="Arial" w:cs="Arial"/>
      <w:i/>
      <w:iCs/>
      <w:sz w:val="22"/>
      <w:szCs w:val="22"/>
    </w:rPr>
  </w:style>
  <w:style w:type="character" w:customStyle="1" w:styleId="56">
    <w:name w:val="Heading 9 Char"/>
    <w:basedOn w:val="40"/>
    <w:uiPriority w:val="9"/>
    <w:rPr>
      <w:rFonts w:ascii="Arial" w:hAnsi="Arial" w:eastAsia="Arial" w:cs="Arial"/>
      <w:i/>
      <w:iCs/>
      <w:sz w:val="21"/>
      <w:szCs w:val="21"/>
    </w:rPr>
  </w:style>
  <w:style w:type="character" w:customStyle="1" w:styleId="57">
    <w:name w:val="Title Char"/>
    <w:basedOn w:val="40"/>
    <w:uiPriority w:val="10"/>
    <w:rPr>
      <w:sz w:val="48"/>
      <w:szCs w:val="48"/>
    </w:rPr>
  </w:style>
  <w:style w:type="character" w:customStyle="1" w:styleId="58">
    <w:name w:val="Subtitle Char"/>
    <w:basedOn w:val="40"/>
    <w:uiPriority w:val="11"/>
    <w:rPr>
      <w:sz w:val="24"/>
      <w:szCs w:val="24"/>
    </w:rPr>
  </w:style>
  <w:style w:type="character" w:customStyle="1" w:styleId="59">
    <w:name w:val="Quote Char"/>
    <w:uiPriority w:val="29"/>
    <w:rPr>
      <w:i/>
    </w:rPr>
  </w:style>
  <w:style w:type="character" w:customStyle="1" w:styleId="60">
    <w:name w:val="Intense Quote Char"/>
    <w:uiPriority w:val="30"/>
    <w:rPr>
      <w:i/>
    </w:rPr>
  </w:style>
  <w:style w:type="character" w:customStyle="1" w:styleId="61">
    <w:name w:val="Header Char"/>
    <w:basedOn w:val="40"/>
    <w:uiPriority w:val="99"/>
  </w:style>
  <w:style w:type="character" w:customStyle="1" w:styleId="62">
    <w:name w:val="Caption Char"/>
    <w:uiPriority w:val="99"/>
  </w:style>
  <w:style w:type="table" w:customStyle="1" w:styleId="63">
    <w:name w:val="Plain Table 1"/>
    <w:basedOn w:val="46"/>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4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46"/>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46"/>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46"/>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46"/>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2"/>
    <w:basedOn w:val="46"/>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3"/>
    <w:basedOn w:val="46"/>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4"/>
    <w:basedOn w:val="46"/>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5 Dark"/>
    <w:basedOn w:val="4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3">
    <w:name w:val="Grid Table 6 Colorful"/>
    <w:basedOn w:val="46"/>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Grid Table 7 Colorful"/>
    <w:basedOn w:val="46"/>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List Table 1 Light"/>
    <w:basedOn w:val="46"/>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6">
    <w:name w:val="List Table 2"/>
    <w:basedOn w:val="46"/>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3"/>
    <w:basedOn w:val="4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8">
    <w:name w:val="List Table 4"/>
    <w:basedOn w:val="4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5 Dark"/>
    <w:basedOn w:val="46"/>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0">
    <w:name w:val="List Table 6 Colorful"/>
    <w:basedOn w:val="46"/>
    <w:uiPriority w:val="99"/>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1">
    <w:name w:val="List Table 7 Colorful"/>
    <w:basedOn w:val="46"/>
    <w:uiPriority w:val="99"/>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2">
    <w:name w:val="Footnote Text Char"/>
    <w:uiPriority w:val="99"/>
    <w:rPr>
      <w:sz w:val="18"/>
    </w:rPr>
  </w:style>
  <w:style w:type="character" w:customStyle="1" w:styleId="83">
    <w:name w:val="Endnote Text Char"/>
    <w:uiPriority w:val="99"/>
    <w:rPr>
      <w:sz w:val="20"/>
    </w:rPr>
  </w:style>
  <w:style w:type="paragraph" w:customStyle="1" w:styleId="84">
    <w:name w:val="TOC Heading"/>
    <w:unhideWhenUsed/>
    <w:uiPriority w:val="39"/>
    <w:rPr>
      <w:rFonts w:ascii="Times New Roman" w:hAnsi="Times New Roman" w:eastAsia="宋体" w:cs="Times New Roman"/>
      <w:lang w:val="en-US" w:eastAsia="zh-CN" w:bidi="ar-SA"/>
    </w:rPr>
  </w:style>
  <w:style w:type="character" w:customStyle="1" w:styleId="85">
    <w:name w:val="标题 1 字符1"/>
    <w:link w:val="3"/>
    <w:qFormat/>
    <w:uiPriority w:val="9"/>
    <w:rPr>
      <w:rFonts w:ascii="Arial" w:hAnsi="Arial" w:eastAsia="Arial" w:cs="Arial"/>
      <w:sz w:val="40"/>
      <w:szCs w:val="40"/>
    </w:rPr>
  </w:style>
  <w:style w:type="character" w:customStyle="1" w:styleId="86">
    <w:name w:val="标题 2 字符3"/>
    <w:link w:val="2"/>
    <w:qFormat/>
    <w:uiPriority w:val="9"/>
    <w:rPr>
      <w:rFonts w:ascii="Arial" w:hAnsi="Arial" w:eastAsia="Arial" w:cs="Arial"/>
      <w:sz w:val="34"/>
    </w:rPr>
  </w:style>
  <w:style w:type="character" w:customStyle="1" w:styleId="87">
    <w:name w:val="标题 3 字符"/>
    <w:link w:val="4"/>
    <w:qFormat/>
    <w:uiPriority w:val="9"/>
    <w:rPr>
      <w:rFonts w:ascii="Arial" w:hAnsi="Arial" w:eastAsia="Arial" w:cs="Arial"/>
      <w:sz w:val="30"/>
      <w:szCs w:val="30"/>
    </w:rPr>
  </w:style>
  <w:style w:type="character" w:customStyle="1" w:styleId="88">
    <w:name w:val="标题 4 字符"/>
    <w:link w:val="5"/>
    <w:qFormat/>
    <w:uiPriority w:val="9"/>
    <w:rPr>
      <w:rFonts w:ascii="Arial" w:hAnsi="Arial" w:eastAsia="Arial" w:cs="Arial"/>
      <w:b/>
      <w:bCs/>
      <w:sz w:val="26"/>
      <w:szCs w:val="26"/>
    </w:rPr>
  </w:style>
  <w:style w:type="character" w:customStyle="1" w:styleId="89">
    <w:name w:val="标题 5 字符"/>
    <w:link w:val="6"/>
    <w:qFormat/>
    <w:uiPriority w:val="9"/>
    <w:rPr>
      <w:rFonts w:ascii="Arial" w:hAnsi="Arial" w:eastAsia="Arial" w:cs="Arial"/>
      <w:b/>
      <w:bCs/>
      <w:sz w:val="24"/>
      <w:szCs w:val="24"/>
    </w:rPr>
  </w:style>
  <w:style w:type="character" w:customStyle="1" w:styleId="90">
    <w:name w:val="标题 6 Char1"/>
    <w:qFormat/>
    <w:uiPriority w:val="9"/>
    <w:rPr>
      <w:rFonts w:ascii="Arial" w:hAnsi="Arial" w:eastAsia="Arial" w:cs="Arial"/>
      <w:b/>
      <w:bCs/>
      <w:sz w:val="22"/>
      <w:szCs w:val="22"/>
    </w:rPr>
  </w:style>
  <w:style w:type="character" w:customStyle="1" w:styleId="91">
    <w:name w:val="标题 7 字符"/>
    <w:link w:val="8"/>
    <w:qFormat/>
    <w:uiPriority w:val="9"/>
    <w:rPr>
      <w:rFonts w:ascii="Arial" w:hAnsi="Arial" w:eastAsia="Arial" w:cs="Arial"/>
      <w:b/>
      <w:bCs/>
      <w:i/>
      <w:iCs/>
      <w:sz w:val="22"/>
      <w:szCs w:val="22"/>
    </w:rPr>
  </w:style>
  <w:style w:type="character" w:customStyle="1" w:styleId="92">
    <w:name w:val="标题 8 字符"/>
    <w:link w:val="9"/>
    <w:qFormat/>
    <w:uiPriority w:val="9"/>
    <w:rPr>
      <w:rFonts w:ascii="Arial" w:hAnsi="Arial" w:eastAsia="Arial" w:cs="Arial"/>
      <w:i/>
      <w:iCs/>
      <w:sz w:val="22"/>
      <w:szCs w:val="22"/>
    </w:rPr>
  </w:style>
  <w:style w:type="character" w:customStyle="1" w:styleId="93">
    <w:name w:val="标题 9 字符"/>
    <w:link w:val="10"/>
    <w:qFormat/>
    <w:uiPriority w:val="9"/>
    <w:rPr>
      <w:rFonts w:ascii="Arial" w:hAnsi="Arial" w:eastAsia="Arial" w:cs="Arial"/>
      <w:i/>
      <w:iCs/>
      <w:sz w:val="21"/>
      <w:szCs w:val="21"/>
    </w:rPr>
  </w:style>
  <w:style w:type="paragraph" w:styleId="94">
    <w:name w:val="List Paragraph"/>
    <w:basedOn w:val="1"/>
    <w:qFormat/>
    <w:uiPriority w:val="34"/>
    <w:pPr>
      <w:ind w:left="720"/>
      <w:contextualSpacing/>
    </w:pPr>
  </w:style>
  <w:style w:type="paragraph" w:styleId="95">
    <w:name w:val="No Spacing"/>
    <w:qFormat/>
    <w:uiPriority w:val="1"/>
    <w:rPr>
      <w:rFonts w:ascii="Calibri" w:hAnsi="Calibri" w:eastAsia="宋体" w:cs="Times New Roman"/>
      <w:lang w:val="en-US" w:eastAsia="zh-CN" w:bidi="ar-SA"/>
    </w:rPr>
  </w:style>
  <w:style w:type="character" w:customStyle="1" w:styleId="96">
    <w:name w:val="标题 字符"/>
    <w:link w:val="39"/>
    <w:qFormat/>
    <w:uiPriority w:val="10"/>
    <w:rPr>
      <w:sz w:val="48"/>
      <w:szCs w:val="48"/>
    </w:rPr>
  </w:style>
  <w:style w:type="character" w:customStyle="1" w:styleId="97">
    <w:name w:val="副标题 字符"/>
    <w:link w:val="31"/>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字符"/>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字符"/>
    <w:link w:val="100"/>
    <w:qFormat/>
    <w:uiPriority w:val="30"/>
    <w:rPr>
      <w:i/>
    </w:rPr>
  </w:style>
  <w:style w:type="character" w:customStyle="1" w:styleId="102">
    <w:name w:val="页眉 字符"/>
    <w:link w:val="28"/>
    <w:qFormat/>
    <w:uiPriority w:val="99"/>
  </w:style>
  <w:style w:type="character" w:customStyle="1" w:styleId="103">
    <w:name w:val="Footer Char"/>
    <w:qFormat/>
    <w:uiPriority w:val="99"/>
  </w:style>
  <w:style w:type="character" w:customStyle="1" w:styleId="104">
    <w:name w:val="页脚 字符"/>
    <w:link w:val="27"/>
    <w:qFormat/>
    <w:uiPriority w:val="99"/>
  </w:style>
  <w:style w:type="table" w:customStyle="1" w:styleId="10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10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qFormat/>
    <w:uiPriority w:val="99"/>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qFormat/>
    <w:uiPriority w:val="99"/>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qFormat/>
    <w:uiPriority w:val="99"/>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清单表 1 浅色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qFormat/>
    <w:uiPriority w:val="99"/>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6">
    <w:name w:val="List Table 6 Colorful - Accent 1"/>
    <w:qFormat/>
    <w:uiPriority w:val="99"/>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qFormat/>
    <w:uiPriority w:val="99"/>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qFormat/>
    <w:uiPriority w:val="99"/>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qFormat/>
    <w:uiPriority w:val="99"/>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qFormat/>
    <w:uiPriority w:val="99"/>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qFormat/>
    <w:uiPriority w:val="99"/>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清单表 7 彩色1"/>
    <w:qFormat/>
    <w:uiPriority w:val="99"/>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List Table 7 Colorful - Accent 1"/>
    <w:qFormat/>
    <w:uiPriority w:val="99"/>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1"/>
    <w:link w:val="32"/>
    <w:qFormat/>
    <w:uiPriority w:val="99"/>
    <w:rPr>
      <w:sz w:val="18"/>
    </w:rPr>
  </w:style>
  <w:style w:type="character" w:customStyle="1" w:styleId="231">
    <w:name w:val="尾注文本 字符"/>
    <w:link w:val="25"/>
    <w:qFormat/>
    <w:uiPriority w:val="99"/>
    <w:rPr>
      <w:sz w:val="20"/>
    </w:rPr>
  </w:style>
  <w:style w:type="paragraph" w:customStyle="1" w:styleId="232">
    <w:name w:val="TOC 标题1"/>
    <w:unhideWhenUsed/>
    <w:qFormat/>
    <w:uiPriority w:val="39"/>
    <w:rPr>
      <w:rFonts w:ascii="Calibri" w:hAnsi="Calibri" w:eastAsia="宋体" w:cs="Times New Roman"/>
      <w:lang w:val="en-US" w:eastAsia="zh-CN" w:bidi="ar-SA"/>
    </w:rPr>
  </w:style>
  <w:style w:type="paragraph" w:customStyle="1" w:styleId="233">
    <w:name w:val="标题 11"/>
    <w:basedOn w:val="1"/>
    <w:next w:val="1"/>
    <w:link w:val="245"/>
    <w:qFormat/>
    <w:uiPriority w:val="9"/>
    <w:pPr>
      <w:keepNext/>
      <w:jc w:val="center"/>
      <w:outlineLvl w:val="0"/>
    </w:pPr>
    <w:rPr>
      <w:rFonts w:ascii="楷体_GB2312" w:hAnsi="Times New Roman" w:eastAsia="楷体_GB2312"/>
      <w:sz w:val="28"/>
      <w:szCs w:val="28"/>
    </w:rPr>
  </w:style>
  <w:style w:type="paragraph" w:customStyle="1" w:styleId="234">
    <w:name w:val="标题 21"/>
    <w:basedOn w:val="1"/>
    <w:next w:val="235"/>
    <w:link w:val="24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35">
    <w:name w:val="正文缩进1"/>
    <w:basedOn w:val="1"/>
    <w:link w:val="256"/>
    <w:qFormat/>
    <w:uiPriority w:val="0"/>
    <w:pPr>
      <w:ind w:firstLine="420"/>
    </w:pPr>
    <w:rPr>
      <w:szCs w:val="21"/>
    </w:rPr>
  </w:style>
  <w:style w:type="paragraph" w:customStyle="1" w:styleId="236">
    <w:name w:val="标题 31"/>
    <w:basedOn w:val="1"/>
    <w:next w:val="235"/>
    <w:link w:val="247"/>
    <w:qFormat/>
    <w:uiPriority w:val="0"/>
    <w:pPr>
      <w:keepNext/>
      <w:keepLines/>
      <w:spacing w:before="260" w:after="260" w:line="416" w:lineRule="auto"/>
      <w:outlineLvl w:val="2"/>
    </w:pPr>
    <w:rPr>
      <w:rFonts w:ascii="Times New Roman" w:hAnsi="Times New Roman"/>
      <w:b/>
      <w:bCs/>
      <w:sz w:val="32"/>
      <w:szCs w:val="32"/>
    </w:rPr>
  </w:style>
  <w:style w:type="paragraph" w:customStyle="1" w:styleId="237">
    <w:name w:val="标题 41"/>
    <w:basedOn w:val="1"/>
    <w:next w:val="235"/>
    <w:link w:val="24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8">
    <w:name w:val="标题 51"/>
    <w:basedOn w:val="1"/>
    <w:next w:val="235"/>
    <w:link w:val="249"/>
    <w:qFormat/>
    <w:uiPriority w:val="0"/>
    <w:pPr>
      <w:keepNext/>
      <w:outlineLvl w:val="4"/>
    </w:pPr>
    <w:rPr>
      <w:rFonts w:ascii="宋体" w:hAnsi="Times New Roman"/>
      <w:color w:val="000000"/>
      <w:sz w:val="28"/>
      <w:szCs w:val="28"/>
    </w:rPr>
  </w:style>
  <w:style w:type="paragraph" w:customStyle="1" w:styleId="239">
    <w:name w:val="标题 61"/>
    <w:basedOn w:val="1"/>
    <w:next w:val="1"/>
    <w:link w:val="25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40">
    <w:name w:val="标题 71"/>
    <w:basedOn w:val="1"/>
    <w:next w:val="1"/>
    <w:link w:val="251"/>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41">
    <w:name w:val="标题 81"/>
    <w:basedOn w:val="1"/>
    <w:next w:val="1"/>
    <w:link w:val="25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42">
    <w:name w:val="标题 91"/>
    <w:basedOn w:val="1"/>
    <w:next w:val="1"/>
    <w:link w:val="253"/>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43">
    <w:name w:val="默认段落字体1"/>
    <w:semiHidden/>
    <w:unhideWhenUsed/>
    <w:qFormat/>
    <w:uiPriority w:val="1"/>
  </w:style>
  <w:style w:type="table" w:customStyle="1" w:styleId="244">
    <w:name w:val="普通表格1"/>
    <w:semiHidden/>
    <w:unhideWhenUsed/>
    <w:qFormat/>
    <w:uiPriority w:val="99"/>
    <w:tblPr>
      <w:tblLayout w:type="fixed"/>
      <w:tblCellMar>
        <w:top w:w="0" w:type="dxa"/>
        <w:left w:w="0" w:type="dxa"/>
        <w:bottom w:w="0" w:type="dxa"/>
        <w:right w:w="0" w:type="dxa"/>
      </w:tblCellMar>
    </w:tblPr>
  </w:style>
  <w:style w:type="character" w:customStyle="1" w:styleId="245">
    <w:name w:val="标题 1 Char"/>
    <w:link w:val="233"/>
    <w:qFormat/>
    <w:uiPriority w:val="0"/>
    <w:rPr>
      <w:rFonts w:ascii="楷体_GB2312" w:hAnsi="Times New Roman" w:eastAsia="楷体_GB2312" w:cs="Times New Roman"/>
      <w:sz w:val="28"/>
      <w:szCs w:val="28"/>
    </w:rPr>
  </w:style>
  <w:style w:type="character" w:customStyle="1" w:styleId="246">
    <w:name w:val="标题 2 Char"/>
    <w:link w:val="234"/>
    <w:qFormat/>
    <w:uiPriority w:val="0"/>
    <w:rPr>
      <w:rFonts w:ascii="Arial" w:hAnsi="Arial" w:eastAsia="幼圆" w:cs="Arial"/>
      <w:b/>
      <w:bCs/>
      <w:sz w:val="44"/>
      <w:szCs w:val="44"/>
    </w:rPr>
  </w:style>
  <w:style w:type="character" w:customStyle="1" w:styleId="247">
    <w:name w:val="标题 3 Char"/>
    <w:link w:val="236"/>
    <w:qFormat/>
    <w:uiPriority w:val="0"/>
    <w:rPr>
      <w:rFonts w:ascii="Times New Roman" w:hAnsi="Times New Roman" w:eastAsia="宋体" w:cs="Times New Roman"/>
      <w:b/>
      <w:bCs/>
      <w:sz w:val="32"/>
      <w:szCs w:val="32"/>
    </w:rPr>
  </w:style>
  <w:style w:type="character" w:customStyle="1" w:styleId="248">
    <w:name w:val="标题 4 Char"/>
    <w:link w:val="237"/>
    <w:qFormat/>
    <w:uiPriority w:val="0"/>
    <w:rPr>
      <w:rFonts w:ascii="Arial" w:hAnsi="Arial" w:eastAsia="黑体" w:cs="Arial"/>
      <w:b/>
      <w:bCs/>
      <w:sz w:val="28"/>
      <w:szCs w:val="28"/>
    </w:rPr>
  </w:style>
  <w:style w:type="character" w:customStyle="1" w:styleId="249">
    <w:name w:val="标题 5 Char"/>
    <w:link w:val="238"/>
    <w:qFormat/>
    <w:uiPriority w:val="0"/>
    <w:rPr>
      <w:rFonts w:ascii="宋体" w:hAnsi="Times New Roman" w:eastAsia="宋体" w:cs="Times New Roman"/>
      <w:color w:val="000000"/>
      <w:sz w:val="28"/>
      <w:szCs w:val="28"/>
    </w:rPr>
  </w:style>
  <w:style w:type="character" w:customStyle="1" w:styleId="250">
    <w:name w:val="标题 6 Char"/>
    <w:link w:val="239"/>
    <w:qFormat/>
    <w:uiPriority w:val="0"/>
    <w:rPr>
      <w:rFonts w:ascii="Arial" w:hAnsi="Arial" w:eastAsia="黑体" w:cs="Times New Roman"/>
      <w:b/>
      <w:bCs/>
      <w:sz w:val="24"/>
      <w:szCs w:val="24"/>
    </w:rPr>
  </w:style>
  <w:style w:type="character" w:customStyle="1" w:styleId="251">
    <w:name w:val="标题 7 Char"/>
    <w:link w:val="240"/>
    <w:qFormat/>
    <w:uiPriority w:val="0"/>
    <w:rPr>
      <w:rFonts w:ascii="Times New Roman" w:hAnsi="Times New Roman" w:eastAsia="宋体" w:cs="Times New Roman"/>
      <w:b/>
      <w:bCs/>
      <w:sz w:val="24"/>
      <w:szCs w:val="24"/>
    </w:rPr>
  </w:style>
  <w:style w:type="character" w:customStyle="1" w:styleId="252">
    <w:name w:val="标题 8 Char"/>
    <w:link w:val="241"/>
    <w:qFormat/>
    <w:uiPriority w:val="0"/>
    <w:rPr>
      <w:rFonts w:ascii="Arial" w:hAnsi="Arial" w:eastAsia="黑体" w:cs="Times New Roman"/>
      <w:sz w:val="24"/>
      <w:szCs w:val="24"/>
    </w:rPr>
  </w:style>
  <w:style w:type="character" w:customStyle="1" w:styleId="253">
    <w:name w:val="标题 9 Char"/>
    <w:link w:val="242"/>
    <w:qFormat/>
    <w:uiPriority w:val="0"/>
    <w:rPr>
      <w:rFonts w:ascii="Arial" w:hAnsi="Arial" w:eastAsia="黑体" w:cs="Times New Roman"/>
      <w:szCs w:val="21"/>
    </w:rPr>
  </w:style>
  <w:style w:type="character" w:customStyle="1" w:styleId="254">
    <w:name w:val="访问过的超链接1"/>
    <w:qFormat/>
    <w:uiPriority w:val="0"/>
    <w:rPr>
      <w:color w:val="800080"/>
      <w:u w:val="single"/>
    </w:rPr>
  </w:style>
  <w:style w:type="character" w:customStyle="1" w:styleId="255">
    <w:name w:val="font5 Char"/>
    <w:qFormat/>
    <w:uiPriority w:val="0"/>
    <w:rPr>
      <w:rFonts w:ascii="宋体" w:hAnsi="宋体" w:eastAsia="宋体"/>
      <w:sz w:val="28"/>
      <w:szCs w:val="28"/>
      <w:lang w:val="en-US" w:eastAsia="zh-CN" w:bidi="ar-SA"/>
    </w:rPr>
  </w:style>
  <w:style w:type="character" w:customStyle="1" w:styleId="256">
    <w:name w:val="正文缩进 Char"/>
    <w:link w:val="235"/>
    <w:qFormat/>
    <w:uiPriority w:val="0"/>
    <w:rPr>
      <w:szCs w:val="21"/>
    </w:rPr>
  </w:style>
  <w:style w:type="character" w:customStyle="1" w:styleId="257">
    <w:name w:val="批注引用1"/>
    <w:qFormat/>
    <w:uiPriority w:val="0"/>
    <w:rPr>
      <w:sz w:val="21"/>
      <w:szCs w:val="21"/>
    </w:rPr>
  </w:style>
  <w:style w:type="character" w:customStyle="1" w:styleId="258">
    <w:name w:val="要点1"/>
    <w:qFormat/>
    <w:uiPriority w:val="22"/>
    <w:rPr>
      <w:b/>
      <w:bCs/>
    </w:rPr>
  </w:style>
  <w:style w:type="character" w:customStyle="1" w:styleId="259">
    <w:name w:val="超链接1"/>
    <w:qFormat/>
    <w:uiPriority w:val="99"/>
    <w:rPr>
      <w:color w:val="0000FF"/>
      <w:u w:val="single"/>
    </w:rPr>
  </w:style>
  <w:style w:type="character" w:customStyle="1" w:styleId="260">
    <w:name w:val="页码1"/>
    <w:qFormat/>
    <w:uiPriority w:val="0"/>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63">
    <w:name w:val="列出段落 Char"/>
    <w:link w:val="264"/>
    <w:qFormat/>
    <w:uiPriority w:val="0"/>
    <w:rPr>
      <w:rFonts w:ascii="Calibri" w:hAnsi="Calibri"/>
      <w:sz w:val="24"/>
      <w:szCs w:val="24"/>
      <w:lang w:eastAsia="en-US" w:bidi="en-US"/>
    </w:rPr>
  </w:style>
  <w:style w:type="paragraph" w:customStyle="1" w:styleId="264">
    <w:name w:val="列出段落1"/>
    <w:basedOn w:val="1"/>
    <w:link w:val="263"/>
    <w:qFormat/>
    <w:uiPriority w:val="0"/>
    <w:pPr>
      <w:widowControl/>
      <w:ind w:left="720"/>
      <w:contextualSpacing/>
      <w:jc w:val="left"/>
    </w:pPr>
    <w:rPr>
      <w:sz w:val="24"/>
      <w:szCs w:val="24"/>
      <w:lang w:eastAsia="en-US" w:bidi="en-US"/>
    </w:rPr>
  </w:style>
  <w:style w:type="paragraph" w:customStyle="1" w:styleId="265">
    <w:name w:val="Body Text(ch)"/>
    <w:basedOn w:val="1"/>
    <w:next w:val="266"/>
    <w:qFormat/>
    <w:uiPriority w:val="0"/>
    <w:pPr>
      <w:spacing w:after="120"/>
    </w:pPr>
    <w:rPr>
      <w:rFonts w:ascii="宋体" w:hAnsi="Arial"/>
      <w:bCs/>
      <w:iCs/>
      <w:szCs w:val="24"/>
    </w:rPr>
  </w:style>
  <w:style w:type="paragraph" w:customStyle="1" w:styleId="266">
    <w:name w:val="正文文本1"/>
    <w:basedOn w:val="1"/>
    <w:link w:val="271"/>
    <w:qFormat/>
    <w:uiPriority w:val="0"/>
    <w:rPr>
      <w:rFonts w:ascii="楷体_GB2312" w:hAnsi="Arial" w:eastAsia="楷体_GB2312"/>
      <w:sz w:val="28"/>
      <w:szCs w:val="28"/>
    </w:rPr>
  </w:style>
  <w:style w:type="paragraph" w:customStyle="1" w:styleId="267">
    <w:name w:val="目录 91"/>
    <w:basedOn w:val="1"/>
    <w:next w:val="1"/>
    <w:semiHidden/>
    <w:qFormat/>
    <w:uiPriority w:val="0"/>
    <w:pPr>
      <w:ind w:left="1680"/>
      <w:jc w:val="left"/>
    </w:pPr>
    <w:rPr>
      <w:rFonts w:ascii="Times New Roman" w:hAnsi="Times New Roman"/>
      <w:szCs w:val="21"/>
    </w:rPr>
  </w:style>
  <w:style w:type="paragraph" w:customStyle="1" w:styleId="26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正文文本缩进 21"/>
    <w:basedOn w:val="1"/>
    <w:link w:val="270"/>
    <w:qFormat/>
    <w:uiPriority w:val="0"/>
    <w:pPr>
      <w:ind w:left="630" w:firstLine="645"/>
    </w:pPr>
    <w:rPr>
      <w:rFonts w:ascii="Arial" w:hAnsi="Arial" w:eastAsia="仿宋_GB2312" w:cs="Arial"/>
      <w:sz w:val="32"/>
      <w:szCs w:val="32"/>
    </w:rPr>
  </w:style>
  <w:style w:type="character" w:customStyle="1" w:styleId="270">
    <w:name w:val="正文文本缩进 2 Char"/>
    <w:link w:val="269"/>
    <w:qFormat/>
    <w:uiPriority w:val="0"/>
    <w:rPr>
      <w:rFonts w:ascii="Arial" w:hAnsi="Arial" w:eastAsia="仿宋_GB2312" w:cs="Arial"/>
      <w:sz w:val="32"/>
      <w:szCs w:val="32"/>
    </w:rPr>
  </w:style>
  <w:style w:type="character" w:customStyle="1" w:styleId="271">
    <w:name w:val="正文文本 Char"/>
    <w:link w:val="266"/>
    <w:qFormat/>
    <w:uiPriority w:val="0"/>
    <w:rPr>
      <w:rFonts w:ascii="楷体_GB2312" w:hAnsi="Arial" w:eastAsia="楷体_GB2312" w:cs="Times New Roman"/>
      <w:sz w:val="28"/>
      <w:szCs w:val="28"/>
    </w:rPr>
  </w:style>
  <w:style w:type="paragraph" w:customStyle="1" w:styleId="272">
    <w:name w:val="图表目录1"/>
    <w:basedOn w:val="1"/>
    <w:next w:val="1"/>
    <w:semiHidden/>
    <w:qFormat/>
    <w:uiPriority w:val="0"/>
    <w:pPr>
      <w:ind w:left="840" w:hanging="420"/>
    </w:pPr>
    <w:rPr>
      <w:rFonts w:ascii="Times New Roman" w:hAnsi="Times New Roman"/>
      <w:szCs w:val="21"/>
    </w:rPr>
  </w:style>
  <w:style w:type="paragraph" w:customStyle="1" w:styleId="27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4">
    <w:name w:val="Char"/>
    <w:basedOn w:val="1"/>
    <w:qFormat/>
    <w:uiPriority w:val="0"/>
    <w:pPr>
      <w:tabs>
        <w:tab w:val="left" w:pos="360"/>
      </w:tabs>
      <w:ind w:firstLine="200"/>
    </w:pPr>
    <w:rPr>
      <w:rFonts w:ascii="Times New Roman" w:hAnsi="Times New Roman"/>
      <w:sz w:val="28"/>
      <w:szCs w:val="30"/>
    </w:rPr>
  </w:style>
  <w:style w:type="paragraph" w:customStyle="1" w:styleId="275">
    <w:name w:val="Char1"/>
    <w:basedOn w:val="276"/>
    <w:qFormat/>
    <w:uiPriority w:val="0"/>
    <w:rPr>
      <w:rFonts w:ascii="Tahoma" w:hAnsi="Tahoma"/>
      <w:sz w:val="24"/>
      <w:szCs w:val="24"/>
    </w:rPr>
  </w:style>
  <w:style w:type="paragraph" w:customStyle="1" w:styleId="276">
    <w:name w:val="文档结构图1"/>
    <w:basedOn w:val="1"/>
    <w:link w:val="300"/>
    <w:semiHidden/>
    <w:qFormat/>
    <w:uiPriority w:val="0"/>
    <w:pPr>
      <w:shd w:val="clear" w:color="auto" w:fill="000080"/>
    </w:pPr>
    <w:rPr>
      <w:rFonts w:ascii="Times New Roman" w:hAnsi="Times New Roman"/>
      <w:szCs w:val="21"/>
    </w:rPr>
  </w:style>
  <w:style w:type="paragraph" w:customStyle="1" w:styleId="277">
    <w:name w:val="批注文字1"/>
    <w:basedOn w:val="1"/>
    <w:link w:val="278"/>
    <w:unhideWhenUsed/>
    <w:qFormat/>
    <w:uiPriority w:val="0"/>
    <w:pPr>
      <w:jc w:val="left"/>
    </w:pPr>
  </w:style>
  <w:style w:type="character" w:customStyle="1" w:styleId="278">
    <w:name w:val="批注文字 Char"/>
    <w:basedOn w:val="243"/>
    <w:link w:val="277"/>
    <w:qFormat/>
    <w:uiPriority w:val="0"/>
  </w:style>
  <w:style w:type="paragraph" w:customStyle="1" w:styleId="279">
    <w:name w:val="批注主题1"/>
    <w:basedOn w:val="277"/>
    <w:next w:val="277"/>
    <w:link w:val="280"/>
    <w:qFormat/>
    <w:uiPriority w:val="0"/>
    <w:rPr>
      <w:rFonts w:ascii="Times New Roman" w:hAnsi="Times New Roman"/>
      <w:b/>
      <w:bCs/>
      <w:szCs w:val="21"/>
    </w:rPr>
  </w:style>
  <w:style w:type="character" w:customStyle="1" w:styleId="280">
    <w:name w:val="批注主题 Char"/>
    <w:link w:val="279"/>
    <w:semiHidden/>
    <w:qFormat/>
    <w:uiPriority w:val="0"/>
    <w:rPr>
      <w:rFonts w:ascii="Times New Roman" w:hAnsi="Times New Roman" w:eastAsia="宋体" w:cs="Times New Roman"/>
      <w:b/>
      <w:bCs/>
      <w:szCs w:val="21"/>
    </w:rPr>
  </w:style>
  <w:style w:type="paragraph" w:customStyle="1" w:styleId="281">
    <w:name w:val="索引 11"/>
    <w:basedOn w:val="1"/>
    <w:next w:val="1"/>
    <w:semiHidden/>
    <w:qFormat/>
    <w:uiPriority w:val="0"/>
    <w:pPr>
      <w:spacing w:line="240" w:lineRule="atLeast"/>
    </w:pPr>
    <w:rPr>
      <w:rFonts w:ascii="Times New Roman" w:hAnsi="Times New Roman"/>
      <w:b/>
      <w:bCs/>
      <w:szCs w:val="21"/>
    </w:rPr>
  </w:style>
  <w:style w:type="paragraph" w:customStyle="1" w:styleId="282">
    <w:name w:val="普通正文"/>
    <w:basedOn w:val="1"/>
    <w:link w:val="399"/>
    <w:qFormat/>
    <w:uiPriority w:val="0"/>
    <w:pPr>
      <w:spacing w:before="120" w:after="120" w:line="360" w:lineRule="auto"/>
      <w:ind w:firstLine="480"/>
      <w:jc w:val="left"/>
    </w:pPr>
    <w:rPr>
      <w:rFonts w:ascii="Arial" w:hAnsi="Arial"/>
      <w:sz w:val="24"/>
      <w:szCs w:val="24"/>
    </w:rPr>
  </w:style>
  <w:style w:type="paragraph" w:customStyle="1" w:styleId="283">
    <w:name w:val="table_lines"/>
    <w:basedOn w:val="1"/>
    <w:qFormat/>
    <w:uiPriority w:val="0"/>
    <w:pPr>
      <w:widowControl/>
      <w:jc w:val="left"/>
    </w:pPr>
    <w:rPr>
      <w:rFonts w:ascii="Times New Roman" w:hAnsi="Times New Roman"/>
      <w:sz w:val="20"/>
      <w:szCs w:val="20"/>
      <w:lang w:val="de-DE" w:eastAsia="de-DE"/>
    </w:rPr>
  </w:style>
  <w:style w:type="paragraph" w:customStyle="1" w:styleId="284">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85">
    <w:name w:val="目录 31"/>
    <w:basedOn w:val="1"/>
    <w:next w:val="1"/>
    <w:qFormat/>
    <w:uiPriority w:val="39"/>
    <w:pPr>
      <w:ind w:left="420"/>
      <w:jc w:val="left"/>
    </w:pPr>
    <w:rPr>
      <w:rFonts w:ascii="Times New Roman" w:hAnsi="Times New Roman"/>
      <w:i/>
      <w:iCs/>
      <w:szCs w:val="24"/>
    </w:rPr>
  </w:style>
  <w:style w:type="paragraph" w:customStyle="1" w:styleId="286">
    <w:name w:val="正文文本缩进1"/>
    <w:basedOn w:val="1"/>
    <w:link w:val="287"/>
    <w:unhideWhenUsed/>
    <w:qFormat/>
    <w:uiPriority w:val="0"/>
    <w:pPr>
      <w:spacing w:after="120"/>
      <w:ind w:left="420"/>
    </w:pPr>
  </w:style>
  <w:style w:type="character" w:customStyle="1" w:styleId="287">
    <w:name w:val="正文文本缩进 Char"/>
    <w:basedOn w:val="243"/>
    <w:link w:val="286"/>
    <w:semiHidden/>
    <w:qFormat/>
    <w:uiPriority w:val="99"/>
  </w:style>
  <w:style w:type="paragraph" w:customStyle="1" w:styleId="288">
    <w:name w:val="正文首行缩进 21"/>
    <w:basedOn w:val="286"/>
    <w:link w:val="289"/>
    <w:qFormat/>
    <w:uiPriority w:val="0"/>
    <w:pPr>
      <w:spacing w:after="0" w:line="360" w:lineRule="auto"/>
      <w:ind w:left="0" w:firstLine="420"/>
    </w:pPr>
    <w:rPr>
      <w:rFonts w:ascii="宋体" w:hAnsi="宋体"/>
      <w:szCs w:val="20"/>
    </w:rPr>
  </w:style>
  <w:style w:type="character" w:customStyle="1" w:styleId="289">
    <w:name w:val="正文首行缩进 2 Char"/>
    <w:link w:val="288"/>
    <w:qFormat/>
    <w:uiPriority w:val="0"/>
    <w:rPr>
      <w:rFonts w:ascii="宋体" w:hAnsi="宋体" w:eastAsia="宋体" w:cs="Times New Roman"/>
      <w:szCs w:val="20"/>
    </w:rPr>
  </w:style>
  <w:style w:type="paragraph" w:customStyle="1" w:styleId="290">
    <w:name w:val="正文文本缩进 31"/>
    <w:basedOn w:val="1"/>
    <w:link w:val="291"/>
    <w:qFormat/>
    <w:uiPriority w:val="0"/>
    <w:pPr>
      <w:ind w:left="645" w:firstLine="645"/>
    </w:pPr>
    <w:rPr>
      <w:rFonts w:ascii="Arial" w:hAnsi="Arial" w:eastAsia="仿宋_GB2312" w:cs="Arial"/>
      <w:color w:val="FFFF00"/>
      <w:sz w:val="32"/>
      <w:szCs w:val="32"/>
    </w:rPr>
  </w:style>
  <w:style w:type="character" w:customStyle="1" w:styleId="291">
    <w:name w:val="正文文本缩进 3 Char"/>
    <w:link w:val="290"/>
    <w:qFormat/>
    <w:uiPriority w:val="0"/>
    <w:rPr>
      <w:rFonts w:ascii="Arial" w:hAnsi="Arial" w:eastAsia="仿宋_GB2312" w:cs="Arial"/>
      <w:color w:val="FFFF00"/>
      <w:sz w:val="32"/>
      <w:szCs w:val="32"/>
    </w:rPr>
  </w:style>
  <w:style w:type="paragraph" w:customStyle="1" w:styleId="292">
    <w:name w:val="目录 61"/>
    <w:basedOn w:val="1"/>
    <w:next w:val="1"/>
    <w:semiHidden/>
    <w:qFormat/>
    <w:uiPriority w:val="0"/>
    <w:pPr>
      <w:ind w:left="1050"/>
      <w:jc w:val="left"/>
    </w:pPr>
    <w:rPr>
      <w:rFonts w:ascii="Times New Roman" w:hAnsi="Times New Roman"/>
      <w:szCs w:val="21"/>
    </w:rPr>
  </w:style>
  <w:style w:type="paragraph" w:customStyle="1" w:styleId="29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4">
    <w:name w:val="Char Char Char Char"/>
    <w:basedOn w:val="276"/>
    <w:qFormat/>
    <w:uiPriority w:val="0"/>
    <w:pPr>
      <w:spacing w:line="360" w:lineRule="auto"/>
    </w:pPr>
    <w:rPr>
      <w:rFonts w:ascii="Tahoma" w:hAnsi="Tahoma"/>
      <w:sz w:val="24"/>
      <w:szCs w:val="24"/>
    </w:rPr>
  </w:style>
  <w:style w:type="paragraph" w:customStyle="1" w:styleId="295">
    <w:name w:val="正文文本 31"/>
    <w:basedOn w:val="1"/>
    <w:link w:val="296"/>
    <w:qFormat/>
    <w:uiPriority w:val="0"/>
    <w:rPr>
      <w:rFonts w:ascii="仿宋_GB2312" w:hAnsi="Arial" w:eastAsia="仿宋_GB2312"/>
      <w:sz w:val="32"/>
      <w:szCs w:val="32"/>
    </w:rPr>
  </w:style>
  <w:style w:type="character" w:customStyle="1" w:styleId="296">
    <w:name w:val="正文文本 3 Char"/>
    <w:link w:val="295"/>
    <w:qFormat/>
    <w:uiPriority w:val="0"/>
    <w:rPr>
      <w:rFonts w:ascii="仿宋_GB2312" w:hAnsi="Arial" w:eastAsia="仿宋_GB2312" w:cs="Times New Roman"/>
      <w:sz w:val="32"/>
      <w:szCs w:val="32"/>
    </w:rPr>
  </w:style>
  <w:style w:type="paragraph" w:customStyle="1" w:styleId="29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8">
    <w:name w:val="目录 41"/>
    <w:basedOn w:val="1"/>
    <w:next w:val="1"/>
    <w:semiHidden/>
    <w:qFormat/>
    <w:uiPriority w:val="0"/>
    <w:pPr>
      <w:ind w:left="630"/>
      <w:jc w:val="left"/>
    </w:pPr>
    <w:rPr>
      <w:rFonts w:ascii="Times New Roman" w:hAnsi="Times New Roman"/>
      <w:szCs w:val="21"/>
    </w:rPr>
  </w:style>
  <w:style w:type="paragraph" w:customStyle="1" w:styleId="299">
    <w:name w:val="列出段落2"/>
    <w:basedOn w:val="1"/>
    <w:link w:val="375"/>
    <w:qFormat/>
    <w:uiPriority w:val="34"/>
    <w:pPr>
      <w:widowControl/>
      <w:ind w:left="720"/>
      <w:contextualSpacing/>
      <w:jc w:val="left"/>
    </w:pPr>
    <w:rPr>
      <w:sz w:val="24"/>
      <w:szCs w:val="24"/>
      <w:lang w:eastAsia="en-US" w:bidi="en-US"/>
    </w:rPr>
  </w:style>
  <w:style w:type="character" w:customStyle="1" w:styleId="300">
    <w:name w:val="文档结构图 Char"/>
    <w:link w:val="276"/>
    <w:semiHidden/>
    <w:qFormat/>
    <w:uiPriority w:val="0"/>
    <w:rPr>
      <w:rFonts w:ascii="Times New Roman" w:hAnsi="Times New Roman" w:eastAsia="宋体" w:cs="Times New Roman"/>
      <w:szCs w:val="21"/>
      <w:shd w:val="clear" w:color="auto" w:fill="000080"/>
    </w:rPr>
  </w:style>
  <w:style w:type="paragraph" w:customStyle="1" w:styleId="301">
    <w:name w:val="4"/>
    <w:basedOn w:val="1"/>
    <w:next w:val="290"/>
    <w:qFormat/>
    <w:uiPriority w:val="0"/>
    <w:pPr>
      <w:spacing w:line="360" w:lineRule="auto"/>
      <w:ind w:firstLine="420"/>
    </w:pPr>
    <w:rPr>
      <w:rFonts w:ascii="Times New Roman" w:hAnsi="Times New Roman"/>
      <w:color w:val="FF0000"/>
      <w:sz w:val="24"/>
      <w:szCs w:val="24"/>
    </w:rPr>
  </w:style>
  <w:style w:type="paragraph" w:customStyle="1" w:styleId="30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3">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304">
    <w:name w:val="列表 21"/>
    <w:basedOn w:val="1"/>
    <w:qFormat/>
    <w:uiPriority w:val="0"/>
    <w:pPr>
      <w:ind w:left="100" w:hanging="200"/>
    </w:pPr>
    <w:rPr>
      <w:rFonts w:ascii="Times New Roman" w:hAnsi="Times New Roman"/>
      <w:szCs w:val="21"/>
    </w:rPr>
  </w:style>
  <w:style w:type="paragraph" w:customStyle="1" w:styleId="305">
    <w:name w:val="正文首行缩进1"/>
    <w:basedOn w:val="1"/>
    <w:link w:val="306"/>
    <w:qFormat/>
    <w:uiPriority w:val="0"/>
    <w:pPr>
      <w:spacing w:line="360" w:lineRule="auto"/>
      <w:ind w:firstLine="200"/>
    </w:pPr>
    <w:rPr>
      <w:rFonts w:ascii="仿宋_GB2312" w:hAnsi="Times New Roman" w:eastAsia="仿宋_GB2312"/>
      <w:sz w:val="30"/>
      <w:szCs w:val="30"/>
    </w:rPr>
  </w:style>
  <w:style w:type="character" w:customStyle="1" w:styleId="306">
    <w:name w:val="正文首行缩进 Char"/>
    <w:link w:val="305"/>
    <w:qFormat/>
    <w:uiPriority w:val="0"/>
    <w:rPr>
      <w:rFonts w:ascii="仿宋_GB2312" w:hAnsi="Times New Roman" w:eastAsia="仿宋_GB2312" w:cs="Times New Roman"/>
      <w:sz w:val="30"/>
      <w:szCs w:val="30"/>
    </w:rPr>
  </w:style>
  <w:style w:type="paragraph" w:customStyle="1" w:styleId="307">
    <w:name w:val="样式1"/>
    <w:basedOn w:val="1"/>
    <w:qFormat/>
    <w:uiPriority w:val="0"/>
    <w:pPr>
      <w:numPr>
        <w:ilvl w:val="0"/>
        <w:numId w:val="3"/>
      </w:numPr>
    </w:pPr>
    <w:rPr>
      <w:rFonts w:ascii="宋体" w:hAnsi="宋体"/>
      <w:szCs w:val="21"/>
    </w:rPr>
  </w:style>
  <w:style w:type="paragraph" w:customStyle="1" w:styleId="30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09">
    <w:name w:val="目录 51"/>
    <w:basedOn w:val="1"/>
    <w:next w:val="1"/>
    <w:semiHidden/>
    <w:qFormat/>
    <w:uiPriority w:val="0"/>
    <w:pPr>
      <w:ind w:left="840"/>
      <w:jc w:val="left"/>
    </w:pPr>
    <w:rPr>
      <w:rFonts w:ascii="Times New Roman" w:hAnsi="Times New Roman"/>
      <w:szCs w:val="21"/>
    </w:rPr>
  </w:style>
  <w:style w:type="paragraph" w:customStyle="1" w:styleId="310">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311">
    <w:name w:val="纯文本1"/>
    <w:basedOn w:val="1"/>
    <w:link w:val="312"/>
    <w:qFormat/>
    <w:uiPriority w:val="0"/>
    <w:rPr>
      <w:rFonts w:ascii="宋体" w:hAnsi="Courier New" w:cs="Courier New"/>
      <w:szCs w:val="21"/>
    </w:rPr>
  </w:style>
  <w:style w:type="character" w:customStyle="1" w:styleId="312">
    <w:name w:val="纯文本 Char"/>
    <w:link w:val="311"/>
    <w:qFormat/>
    <w:uiPriority w:val="0"/>
    <w:rPr>
      <w:rFonts w:ascii="宋体" w:hAnsi="Courier New" w:eastAsia="宋体" w:cs="Courier New"/>
      <w:szCs w:val="21"/>
    </w:rPr>
  </w:style>
  <w:style w:type="paragraph" w:customStyle="1" w:styleId="313">
    <w:name w:val="批注框文本1"/>
    <w:basedOn w:val="1"/>
    <w:link w:val="314"/>
    <w:qFormat/>
    <w:uiPriority w:val="0"/>
    <w:rPr>
      <w:rFonts w:ascii="Times New Roman" w:hAnsi="Times New Roman"/>
      <w:sz w:val="18"/>
      <w:szCs w:val="18"/>
    </w:rPr>
  </w:style>
  <w:style w:type="character" w:customStyle="1" w:styleId="314">
    <w:name w:val="批注框文本 Char"/>
    <w:link w:val="313"/>
    <w:semiHidden/>
    <w:qFormat/>
    <w:uiPriority w:val="0"/>
    <w:rPr>
      <w:rFonts w:ascii="Times New Roman" w:hAnsi="Times New Roman" w:eastAsia="宋体" w:cs="Times New Roman"/>
      <w:sz w:val="18"/>
      <w:szCs w:val="18"/>
    </w:rPr>
  </w:style>
  <w:style w:type="paragraph" w:customStyle="1" w:styleId="31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6">
    <w:name w:val="列表1"/>
    <w:basedOn w:val="1"/>
    <w:qFormat/>
    <w:uiPriority w:val="0"/>
    <w:pPr>
      <w:ind w:left="200" w:hanging="200"/>
    </w:pPr>
    <w:rPr>
      <w:rFonts w:ascii="Times New Roman" w:hAnsi="Times New Roman"/>
      <w:szCs w:val="21"/>
    </w:rPr>
  </w:style>
  <w:style w:type="paragraph" w:customStyle="1" w:styleId="31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318">
    <w:name w:val="日期1"/>
    <w:basedOn w:val="1"/>
    <w:next w:val="1"/>
    <w:link w:val="319"/>
    <w:qFormat/>
    <w:uiPriority w:val="0"/>
    <w:rPr>
      <w:rFonts w:ascii="Times New Roman" w:hAnsi="Times New Roman"/>
      <w:sz w:val="24"/>
      <w:szCs w:val="24"/>
    </w:rPr>
  </w:style>
  <w:style w:type="character" w:customStyle="1" w:styleId="319">
    <w:name w:val="日期 Char"/>
    <w:link w:val="318"/>
    <w:qFormat/>
    <w:uiPriority w:val="0"/>
    <w:rPr>
      <w:rFonts w:ascii="Times New Roman" w:hAnsi="Times New Roman" w:eastAsia="宋体" w:cs="Times New Roman"/>
      <w:sz w:val="24"/>
      <w:szCs w:val="24"/>
    </w:rPr>
  </w:style>
  <w:style w:type="paragraph" w:customStyle="1" w:styleId="320">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2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4">
    <w:name w:val="正文文本 21"/>
    <w:basedOn w:val="1"/>
    <w:link w:val="325"/>
    <w:qFormat/>
    <w:uiPriority w:val="0"/>
    <w:pPr>
      <w:widowControl/>
      <w:jc w:val="center"/>
    </w:pPr>
    <w:rPr>
      <w:rFonts w:ascii="楷体_GB2312" w:hAnsi="Times New Roman" w:eastAsia="楷体_GB2312"/>
      <w:sz w:val="28"/>
      <w:szCs w:val="28"/>
    </w:rPr>
  </w:style>
  <w:style w:type="character" w:customStyle="1" w:styleId="325">
    <w:name w:val="正文文本 2 Char"/>
    <w:link w:val="324"/>
    <w:qFormat/>
    <w:uiPriority w:val="0"/>
    <w:rPr>
      <w:rFonts w:ascii="楷体_GB2312" w:hAnsi="Times New Roman" w:eastAsia="楷体_GB2312" w:cs="Times New Roman"/>
      <w:sz w:val="28"/>
      <w:szCs w:val="28"/>
    </w:rPr>
  </w:style>
  <w:style w:type="paragraph" w:customStyle="1" w:styleId="326">
    <w:name w:val="列表 31"/>
    <w:basedOn w:val="1"/>
    <w:qFormat/>
    <w:uiPriority w:val="0"/>
    <w:pPr>
      <w:ind w:left="100" w:hanging="200"/>
    </w:pPr>
    <w:rPr>
      <w:rFonts w:ascii="Times New Roman" w:hAnsi="Times New Roman"/>
      <w:szCs w:val="21"/>
    </w:rPr>
  </w:style>
  <w:style w:type="paragraph" w:customStyle="1" w:styleId="327">
    <w:name w:val="目录 71"/>
    <w:basedOn w:val="1"/>
    <w:next w:val="1"/>
    <w:semiHidden/>
    <w:qFormat/>
    <w:uiPriority w:val="0"/>
    <w:pPr>
      <w:ind w:left="1260"/>
      <w:jc w:val="left"/>
    </w:pPr>
    <w:rPr>
      <w:rFonts w:ascii="Times New Roman" w:hAnsi="Times New Roman"/>
      <w:szCs w:val="21"/>
    </w:rPr>
  </w:style>
  <w:style w:type="paragraph" w:customStyle="1" w:styleId="328">
    <w:name w:val="目录 21"/>
    <w:basedOn w:val="1"/>
    <w:next w:val="1"/>
    <w:qFormat/>
    <w:uiPriority w:val="39"/>
    <w:pPr>
      <w:tabs>
        <w:tab w:val="right" w:pos="8719"/>
      </w:tabs>
      <w:ind w:left="210"/>
      <w:jc w:val="left"/>
    </w:pPr>
    <w:rPr>
      <w:rFonts w:ascii="Times New Roman" w:hAnsi="Times New Roman"/>
      <w:smallCaps/>
      <w:szCs w:val="24"/>
    </w:rPr>
  </w:style>
  <w:style w:type="paragraph" w:customStyle="1" w:styleId="32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0">
    <w:name w:val="页眉1"/>
    <w:basedOn w:val="1"/>
    <w:link w:val="331"/>
    <w:qFormat/>
    <w:uiPriority w:val="0"/>
    <w:pPr>
      <w:pBdr>
        <w:bottom w:val="none" w:color="000000" w:sz="0" w:space="0"/>
      </w:pBdr>
      <w:tabs>
        <w:tab w:val="center" w:pos="4153"/>
        <w:tab w:val="right" w:pos="8306"/>
      </w:tabs>
      <w:ind w:firstLine="361"/>
      <w:jc w:val="right"/>
    </w:pPr>
    <w:rPr>
      <w:rFonts w:ascii="Times New Roman" w:hAnsi="Times New Roman"/>
      <w:sz w:val="18"/>
      <w:szCs w:val="18"/>
    </w:rPr>
  </w:style>
  <w:style w:type="character" w:customStyle="1" w:styleId="331">
    <w:name w:val="页眉 Char"/>
    <w:link w:val="330"/>
    <w:qFormat/>
    <w:uiPriority w:val="0"/>
    <w:rPr>
      <w:rFonts w:ascii="Times New Roman" w:hAnsi="Times New Roman"/>
      <w:sz w:val="18"/>
      <w:szCs w:val="18"/>
    </w:rPr>
  </w:style>
  <w:style w:type="paragraph" w:customStyle="1" w:styleId="332">
    <w:name w:val="页脚1"/>
    <w:basedOn w:val="1"/>
    <w:link w:val="333"/>
    <w:qFormat/>
    <w:uiPriority w:val="0"/>
    <w:pPr>
      <w:tabs>
        <w:tab w:val="center" w:pos="4153"/>
        <w:tab w:val="right" w:pos="8306"/>
      </w:tabs>
      <w:jc w:val="left"/>
    </w:pPr>
    <w:rPr>
      <w:rFonts w:ascii="Times New Roman" w:hAnsi="Times New Roman"/>
      <w:sz w:val="18"/>
      <w:szCs w:val="18"/>
    </w:rPr>
  </w:style>
  <w:style w:type="character" w:customStyle="1" w:styleId="333">
    <w:name w:val="页脚 Char"/>
    <w:link w:val="332"/>
    <w:qFormat/>
    <w:uiPriority w:val="0"/>
    <w:rPr>
      <w:rFonts w:ascii="Times New Roman" w:hAnsi="Times New Roman" w:eastAsia="宋体" w:cs="Times New Roman"/>
      <w:sz w:val="18"/>
      <w:szCs w:val="18"/>
    </w:rPr>
  </w:style>
  <w:style w:type="paragraph" w:customStyle="1" w:styleId="33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5">
    <w:name w:val="目录 81"/>
    <w:basedOn w:val="1"/>
    <w:next w:val="1"/>
    <w:semiHidden/>
    <w:qFormat/>
    <w:uiPriority w:val="0"/>
    <w:pPr>
      <w:ind w:left="1470"/>
      <w:jc w:val="left"/>
    </w:pPr>
    <w:rPr>
      <w:rFonts w:ascii="Times New Roman" w:hAnsi="Times New Roman"/>
      <w:szCs w:val="21"/>
    </w:rPr>
  </w:style>
  <w:style w:type="paragraph" w:customStyle="1" w:styleId="33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37">
    <w:name w:val="Char Char Char Char1"/>
    <w:basedOn w:val="276"/>
    <w:qFormat/>
    <w:uiPriority w:val="0"/>
    <w:pPr>
      <w:spacing w:line="360" w:lineRule="auto"/>
    </w:pPr>
    <w:rPr>
      <w:rFonts w:ascii="Tahoma" w:hAnsi="Tahoma"/>
      <w:sz w:val="24"/>
      <w:szCs w:val="24"/>
    </w:rPr>
  </w:style>
  <w:style w:type="paragraph" w:customStyle="1" w:styleId="338">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3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4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41">
    <w:name w:val="修订1"/>
    <w:semiHidden/>
    <w:qFormat/>
    <w:uiPriority w:val="99"/>
    <w:rPr>
      <w:rFonts w:ascii="Times New Roman" w:hAnsi="Times New Roman" w:eastAsia="宋体" w:cs="Times New Roman"/>
      <w:sz w:val="21"/>
      <w:szCs w:val="21"/>
      <w:lang w:val="en-US" w:eastAsia="zh-CN" w:bidi="ar-SA"/>
    </w:rPr>
  </w:style>
  <w:style w:type="table" w:customStyle="1" w:styleId="342">
    <w:name w:val="网格型1"/>
    <w:basedOn w:val="244"/>
    <w:qFormat/>
    <w:uiPriority w:val="0"/>
    <w:pPr>
      <w:widowControl w:val="0"/>
      <w:jc w:val="both"/>
    </w:pPr>
  </w:style>
  <w:style w:type="paragraph" w:customStyle="1" w:styleId="343">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44">
    <w:name w:val="索引 81"/>
    <w:basedOn w:val="1"/>
    <w:next w:val="1"/>
    <w:semiHidden/>
    <w:qFormat/>
    <w:uiPriority w:val="0"/>
    <w:pPr>
      <w:ind w:left="1400"/>
    </w:pPr>
    <w:rPr>
      <w:rFonts w:ascii="Times New Roman" w:hAnsi="Times New Roman"/>
      <w:szCs w:val="20"/>
    </w:rPr>
  </w:style>
  <w:style w:type="paragraph" w:customStyle="1" w:styleId="345">
    <w:name w:val="索引 51"/>
    <w:basedOn w:val="1"/>
    <w:next w:val="1"/>
    <w:semiHidden/>
    <w:qFormat/>
    <w:uiPriority w:val="0"/>
    <w:pPr>
      <w:ind w:left="800"/>
    </w:pPr>
    <w:rPr>
      <w:rFonts w:ascii="Times New Roman" w:hAnsi="Times New Roman"/>
      <w:szCs w:val="20"/>
    </w:rPr>
  </w:style>
  <w:style w:type="paragraph" w:customStyle="1" w:styleId="346">
    <w:name w:val="索引 61"/>
    <w:basedOn w:val="1"/>
    <w:next w:val="1"/>
    <w:semiHidden/>
    <w:qFormat/>
    <w:uiPriority w:val="0"/>
    <w:pPr>
      <w:ind w:left="1000"/>
    </w:pPr>
    <w:rPr>
      <w:rFonts w:ascii="Times New Roman" w:hAnsi="Times New Roman"/>
      <w:szCs w:val="20"/>
    </w:rPr>
  </w:style>
  <w:style w:type="paragraph" w:customStyle="1" w:styleId="347">
    <w:name w:val="寄信人地址1"/>
    <w:basedOn w:val="1"/>
    <w:qFormat/>
    <w:uiPriority w:val="0"/>
    <w:rPr>
      <w:rFonts w:ascii="Arial" w:hAnsi="Arial"/>
      <w:szCs w:val="20"/>
    </w:rPr>
  </w:style>
  <w:style w:type="paragraph" w:customStyle="1" w:styleId="348">
    <w:name w:val="文本块1"/>
    <w:basedOn w:val="1"/>
    <w:qFormat/>
    <w:uiPriority w:val="0"/>
    <w:pPr>
      <w:tabs>
        <w:tab w:val="left" w:pos="822"/>
        <w:tab w:val="left" w:pos="2205"/>
        <w:tab w:val="left" w:pos="9000"/>
      </w:tabs>
      <w:spacing w:before="89"/>
      <w:ind w:left="1890" w:right="11" w:hanging="1409"/>
    </w:pPr>
    <w:rPr>
      <w:rFonts w:ascii="Times New Roman" w:hAnsi="Times New Roman"/>
      <w:sz w:val="24"/>
      <w:szCs w:val="20"/>
    </w:rPr>
  </w:style>
  <w:style w:type="paragraph" w:customStyle="1" w:styleId="349">
    <w:name w:val="索引 41"/>
    <w:basedOn w:val="1"/>
    <w:next w:val="1"/>
    <w:semiHidden/>
    <w:qFormat/>
    <w:uiPriority w:val="0"/>
    <w:pPr>
      <w:ind w:left="600"/>
    </w:pPr>
    <w:rPr>
      <w:rFonts w:ascii="Times New Roman" w:hAnsi="Times New Roman"/>
      <w:szCs w:val="20"/>
    </w:rPr>
  </w:style>
  <w:style w:type="paragraph" w:customStyle="1" w:styleId="350">
    <w:name w:val="索引 31"/>
    <w:basedOn w:val="1"/>
    <w:next w:val="1"/>
    <w:semiHidden/>
    <w:qFormat/>
    <w:uiPriority w:val="0"/>
    <w:pPr>
      <w:ind w:left="400"/>
    </w:pPr>
    <w:rPr>
      <w:rFonts w:ascii="Times New Roman" w:hAnsi="Times New Roman"/>
      <w:szCs w:val="20"/>
    </w:rPr>
  </w:style>
  <w:style w:type="paragraph" w:customStyle="1" w:styleId="351">
    <w:name w:val="签名1"/>
    <w:basedOn w:val="1"/>
    <w:link w:val="372"/>
    <w:qFormat/>
    <w:uiPriority w:val="0"/>
    <w:pPr>
      <w:spacing w:after="600" w:line="312" w:lineRule="atLeast"/>
      <w:jc w:val="center"/>
    </w:pPr>
    <w:rPr>
      <w:rFonts w:ascii="Times New Roman" w:hAnsi="Times New Roman" w:eastAsia="仿宋_GB2312"/>
      <w:sz w:val="24"/>
      <w:szCs w:val="20"/>
    </w:rPr>
  </w:style>
  <w:style w:type="character" w:customStyle="1" w:styleId="352">
    <w:name w:val="签名 字符"/>
    <w:qFormat/>
    <w:uiPriority w:val="0"/>
    <w:rPr>
      <w:sz w:val="21"/>
      <w:szCs w:val="22"/>
    </w:rPr>
  </w:style>
  <w:style w:type="paragraph" w:customStyle="1" w:styleId="353">
    <w:name w:val="索引标题1"/>
    <w:basedOn w:val="1"/>
    <w:next w:val="281"/>
    <w:semiHidden/>
    <w:qFormat/>
    <w:uiPriority w:val="0"/>
    <w:rPr>
      <w:rFonts w:ascii="Times New Roman" w:hAnsi="Times New Roman"/>
      <w:szCs w:val="20"/>
    </w:rPr>
  </w:style>
  <w:style w:type="paragraph" w:customStyle="1" w:styleId="354">
    <w:name w:val="脚注文本1"/>
    <w:basedOn w:val="1"/>
    <w:link w:val="355"/>
    <w:qFormat/>
    <w:uiPriority w:val="0"/>
    <w:pPr>
      <w:jc w:val="left"/>
    </w:pPr>
    <w:rPr>
      <w:rFonts w:ascii="Times New Roman" w:hAnsi="Times New Roman"/>
      <w:sz w:val="18"/>
      <w:szCs w:val="18"/>
    </w:rPr>
  </w:style>
  <w:style w:type="character" w:customStyle="1" w:styleId="355">
    <w:name w:val="脚注文本 字符"/>
    <w:link w:val="354"/>
    <w:qFormat/>
    <w:uiPriority w:val="0"/>
    <w:rPr>
      <w:rFonts w:ascii="Times New Roman" w:hAnsi="Times New Roman"/>
      <w:sz w:val="18"/>
      <w:szCs w:val="18"/>
    </w:rPr>
  </w:style>
  <w:style w:type="paragraph" w:customStyle="1" w:styleId="356">
    <w:name w:val="索引 71"/>
    <w:basedOn w:val="1"/>
    <w:next w:val="1"/>
    <w:semiHidden/>
    <w:qFormat/>
    <w:uiPriority w:val="0"/>
    <w:pPr>
      <w:ind w:left="1200"/>
    </w:pPr>
    <w:rPr>
      <w:rFonts w:ascii="Times New Roman" w:hAnsi="Times New Roman"/>
      <w:szCs w:val="20"/>
    </w:rPr>
  </w:style>
  <w:style w:type="paragraph" w:customStyle="1" w:styleId="357">
    <w:name w:val="索引 91"/>
    <w:basedOn w:val="1"/>
    <w:next w:val="1"/>
    <w:semiHidden/>
    <w:qFormat/>
    <w:uiPriority w:val="0"/>
    <w:pPr>
      <w:ind w:left="1600"/>
    </w:pPr>
    <w:rPr>
      <w:rFonts w:ascii="Times New Roman" w:hAnsi="Times New Roman"/>
      <w:szCs w:val="20"/>
    </w:rPr>
  </w:style>
  <w:style w:type="paragraph" w:customStyle="1" w:styleId="358">
    <w:name w:val="HTML 预设格式1"/>
    <w:basedOn w:val="1"/>
    <w:link w:val="3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359">
    <w:name w:val="HTML 预设格式 字符"/>
    <w:link w:val="358"/>
    <w:qFormat/>
    <w:uiPriority w:val="0"/>
    <w:rPr>
      <w:rFonts w:ascii="Arial" w:hAnsi="Arial"/>
      <w:sz w:val="24"/>
      <w:szCs w:val="24"/>
    </w:rPr>
  </w:style>
  <w:style w:type="paragraph" w:customStyle="1" w:styleId="360">
    <w:name w:val="索引 21"/>
    <w:basedOn w:val="1"/>
    <w:next w:val="1"/>
    <w:semiHidden/>
    <w:qFormat/>
    <w:uiPriority w:val="0"/>
    <w:pPr>
      <w:ind w:left="200"/>
    </w:pPr>
    <w:rPr>
      <w:rFonts w:ascii="Times New Roman" w:hAnsi="Times New Roman"/>
      <w:szCs w:val="20"/>
    </w:rPr>
  </w:style>
  <w:style w:type="character" w:customStyle="1" w:styleId="361">
    <w:name w:val="强调1"/>
    <w:qFormat/>
    <w:uiPriority w:val="20"/>
    <w:rPr>
      <w:i/>
      <w:iCs/>
    </w:rPr>
  </w:style>
  <w:style w:type="character" w:customStyle="1" w:styleId="362">
    <w:name w:val="脚注引用1"/>
    <w:unhideWhenUsed/>
    <w:qFormat/>
    <w:uiPriority w:val="0"/>
    <w:rPr>
      <w:vertAlign w:val="superscript"/>
    </w:rPr>
  </w:style>
  <w:style w:type="character" w:customStyle="1" w:styleId="363">
    <w:name w:val="标题 1 字符"/>
    <w:qFormat/>
    <w:uiPriority w:val="9"/>
    <w:rPr>
      <w:rFonts w:ascii="宋体" w:hAnsi="宋体"/>
      <w:b/>
      <w:sz w:val="36"/>
    </w:rPr>
  </w:style>
  <w:style w:type="character" w:customStyle="1" w:styleId="364">
    <w:name w:val="标题 2 字符2"/>
    <w:qFormat/>
    <w:uiPriority w:val="0"/>
    <w:rPr>
      <w:rFonts w:eastAsia="楷体_GB2312"/>
      <w:b/>
      <w:bCs/>
      <w:sz w:val="28"/>
      <w:szCs w:val="28"/>
    </w:rPr>
  </w:style>
  <w:style w:type="character" w:customStyle="1" w:styleId="365">
    <w:name w:val="正文缩进 字符"/>
    <w:qFormat/>
    <w:uiPriority w:val="0"/>
    <w:rPr>
      <w:sz w:val="21"/>
    </w:rPr>
  </w:style>
  <w:style w:type="character" w:customStyle="1" w:styleId="366">
    <w:name w:val="批注文字 字符1"/>
    <w:qFormat/>
    <w:uiPriority w:val="0"/>
    <w:rPr>
      <w:sz w:val="21"/>
    </w:rPr>
  </w:style>
  <w:style w:type="character" w:customStyle="1" w:styleId="367">
    <w:name w:val="正文文本 字符2"/>
    <w:qFormat/>
    <w:uiPriority w:val="0"/>
    <w:rPr>
      <w:rFonts w:ascii="楷体_GB2312" w:hAnsi="Arial" w:eastAsia="楷体_GB2312"/>
      <w:sz w:val="28"/>
    </w:rPr>
  </w:style>
  <w:style w:type="character" w:customStyle="1" w:styleId="368">
    <w:name w:val="正文文本缩进 字符"/>
    <w:qFormat/>
    <w:uiPriority w:val="0"/>
    <w:rPr>
      <w:rFonts w:ascii="宋体"/>
      <w:sz w:val="28"/>
    </w:rPr>
  </w:style>
  <w:style w:type="character" w:customStyle="1" w:styleId="369">
    <w:name w:val="纯文本 字符"/>
    <w:qFormat/>
    <w:uiPriority w:val="0"/>
    <w:rPr>
      <w:rFonts w:ascii="宋体" w:hAnsi="Courier New"/>
      <w:sz w:val="21"/>
    </w:rPr>
  </w:style>
  <w:style w:type="character" w:customStyle="1" w:styleId="370">
    <w:name w:val="日期 字符1"/>
    <w:qFormat/>
    <w:uiPriority w:val="0"/>
    <w:rPr>
      <w:rFonts w:ascii="宋体"/>
      <w:sz w:val="28"/>
    </w:rPr>
  </w:style>
  <w:style w:type="character" w:customStyle="1" w:styleId="371">
    <w:name w:val="批注框文本 字符"/>
    <w:qFormat/>
    <w:uiPriority w:val="0"/>
    <w:rPr>
      <w:sz w:val="18"/>
      <w:szCs w:val="18"/>
    </w:rPr>
  </w:style>
  <w:style w:type="character" w:customStyle="1" w:styleId="372">
    <w:name w:val="签名 字符1"/>
    <w:link w:val="351"/>
    <w:qFormat/>
    <w:uiPriority w:val="0"/>
    <w:rPr>
      <w:rFonts w:ascii="Times New Roman" w:hAnsi="Times New Roman" w:eastAsia="仿宋_GB2312"/>
      <w:sz w:val="24"/>
    </w:rPr>
  </w:style>
  <w:style w:type="character" w:customStyle="1" w:styleId="373">
    <w:name w:val="批注主题 字符"/>
    <w:qFormat/>
    <w:uiPriority w:val="0"/>
    <w:rPr>
      <w:b/>
      <w:bCs/>
      <w:sz w:val="21"/>
    </w:rPr>
  </w:style>
  <w:style w:type="character" w:customStyle="1" w:styleId="374">
    <w:name w:val="正文文本 字符"/>
    <w:qFormat/>
    <w:uiPriority w:val="0"/>
    <w:rPr>
      <w:rFonts w:ascii="楷体_GB2312" w:hAnsi="Arial" w:eastAsia="楷体_GB2312"/>
      <w:sz w:val="28"/>
    </w:rPr>
  </w:style>
  <w:style w:type="character" w:customStyle="1" w:styleId="375">
    <w:name w:val="列表段落 字符"/>
    <w:link w:val="299"/>
    <w:qFormat/>
    <w:uiPriority w:val="34"/>
    <w:rPr>
      <w:sz w:val="24"/>
      <w:szCs w:val="24"/>
      <w:lang w:eastAsia="en-US" w:bidi="en-US"/>
    </w:rPr>
  </w:style>
  <w:style w:type="paragraph" w:customStyle="1" w:styleId="376">
    <w:name w:val="Char Char Char"/>
    <w:basedOn w:val="1"/>
    <w:qFormat/>
    <w:uiPriority w:val="0"/>
    <w:pPr>
      <w:numPr>
        <w:ilvl w:val="0"/>
        <w:numId w:val="4"/>
      </w:numPr>
      <w:tabs>
        <w:tab w:val="left" w:pos="1545"/>
      </w:tabs>
    </w:pPr>
    <w:rPr>
      <w:rFonts w:ascii="Times New Roman" w:hAnsi="Times New Roman"/>
      <w:szCs w:val="20"/>
    </w:rPr>
  </w:style>
  <w:style w:type="paragraph" w:customStyle="1" w:styleId="377">
    <w:name w:val="Plain Text1"/>
    <w:basedOn w:val="1"/>
    <w:qFormat/>
    <w:uiPriority w:val="0"/>
    <w:rPr>
      <w:rFonts w:ascii="宋体" w:hAnsi="Courier New" w:eastAsia="楷体_GB2312"/>
      <w:sz w:val="28"/>
      <w:szCs w:val="20"/>
    </w:rPr>
  </w:style>
  <w:style w:type="paragraph" w:customStyle="1" w:styleId="378">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79">
    <w:name w:val="Char1 Char Char Char"/>
    <w:basedOn w:val="1"/>
    <w:qFormat/>
    <w:uiPriority w:val="0"/>
    <w:rPr>
      <w:rFonts w:ascii="Tahoma" w:hAnsi="Tahoma"/>
      <w:sz w:val="24"/>
      <w:szCs w:val="20"/>
    </w:rPr>
  </w:style>
  <w:style w:type="paragraph" w:customStyle="1" w:styleId="380">
    <w:name w:val="Char Char1 Char Char Char Char Char Char Char"/>
    <w:basedOn w:val="1"/>
    <w:qFormat/>
    <w:uiPriority w:val="0"/>
    <w:rPr>
      <w:rFonts w:ascii="Calibri Light" w:hAnsi="Calibri Light" w:cs="Berlin Sans FB Demi"/>
      <w:sz w:val="24"/>
      <w:szCs w:val="20"/>
    </w:rPr>
  </w:style>
  <w:style w:type="paragraph" w:customStyle="1" w:styleId="381">
    <w:name w:val="Char Char"/>
    <w:basedOn w:val="1"/>
    <w:qFormat/>
    <w:uiPriority w:val="0"/>
    <w:rPr>
      <w:rFonts w:ascii="Times New Roman" w:hAnsi="Times New Roman"/>
      <w:szCs w:val="21"/>
    </w:rPr>
  </w:style>
  <w:style w:type="paragraph" w:customStyle="1" w:styleId="382">
    <w:name w:val="_Style 12"/>
    <w:basedOn w:val="276"/>
    <w:qFormat/>
    <w:uiPriority w:val="0"/>
    <w:pPr>
      <w:widowControl/>
      <w:spacing w:line="360" w:lineRule="auto"/>
      <w:jc w:val="left"/>
    </w:pPr>
    <w:rPr>
      <w:sz w:val="24"/>
      <w:szCs w:val="24"/>
    </w:rPr>
  </w:style>
  <w:style w:type="character" w:customStyle="1" w:styleId="383">
    <w:name w:val="正文缩进 Char1"/>
    <w:qFormat/>
    <w:uiPriority w:val="0"/>
    <w:rPr>
      <w:rFonts w:eastAsia="楷体_GB2312"/>
      <w:sz w:val="24"/>
    </w:rPr>
  </w:style>
  <w:style w:type="character" w:customStyle="1" w:styleId="384">
    <w:name w:val="纯文本 字符1"/>
    <w:qFormat/>
    <w:uiPriority w:val="0"/>
    <w:rPr>
      <w:rFonts w:ascii="宋体" w:hAnsi="Courier New"/>
    </w:rPr>
  </w:style>
  <w:style w:type="character" w:customStyle="1" w:styleId="385">
    <w:name w:val="未处理的提及1"/>
    <w:unhideWhenUsed/>
    <w:qFormat/>
    <w:uiPriority w:val="99"/>
    <w:rPr>
      <w:color w:val="605E5C"/>
      <w:shd w:val="clear" w:color="auto" w:fill="E1DFDD"/>
    </w:rPr>
  </w:style>
  <w:style w:type="character" w:customStyle="1" w:styleId="386">
    <w:name w:val="批注文字 字符"/>
    <w:qFormat/>
    <w:uiPriority w:val="0"/>
    <w:rPr>
      <w:sz w:val="21"/>
    </w:rPr>
  </w:style>
  <w:style w:type="character" w:customStyle="1" w:styleId="387">
    <w:name w:val="标题 2 字符"/>
    <w:qFormat/>
    <w:uiPriority w:val="0"/>
    <w:rPr>
      <w:rFonts w:eastAsia="楷体_GB2312"/>
      <w:b/>
      <w:bCs/>
      <w:sz w:val="28"/>
      <w:szCs w:val="28"/>
    </w:rPr>
  </w:style>
  <w:style w:type="character" w:customStyle="1" w:styleId="388">
    <w:name w:val="日期 字符"/>
    <w:qFormat/>
    <w:uiPriority w:val="0"/>
    <w:rPr>
      <w:rFonts w:ascii="宋体"/>
      <w:sz w:val="28"/>
    </w:rPr>
  </w:style>
  <w:style w:type="character" w:customStyle="1" w:styleId="389">
    <w:name w:val="正文文本 字符1"/>
    <w:qFormat/>
    <w:uiPriority w:val="0"/>
    <w:rPr>
      <w:rFonts w:ascii="楷体_GB2312" w:hAnsi="Arial" w:eastAsia="楷体_GB2312"/>
      <w:sz w:val="28"/>
    </w:rPr>
  </w:style>
  <w:style w:type="paragraph" w:customStyle="1" w:styleId="390">
    <w:name w:val="正文1"/>
    <w:next w:val="1"/>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391">
    <w:name w:val="_正文段落"/>
    <w:basedOn w:val="1"/>
    <w:link w:val="392"/>
    <w:qFormat/>
    <w:uiPriority w:val="0"/>
    <w:pPr>
      <w:spacing w:line="360" w:lineRule="auto"/>
      <w:ind w:firstLine="480"/>
    </w:pPr>
    <w:rPr>
      <w:rFonts w:ascii="宋体" w:hAnsi="宋体"/>
      <w:sz w:val="24"/>
      <w:szCs w:val="24"/>
    </w:rPr>
  </w:style>
  <w:style w:type="character" w:customStyle="1" w:styleId="392">
    <w:name w:val="_正文段落 Char"/>
    <w:link w:val="391"/>
    <w:qFormat/>
    <w:uiPriority w:val="0"/>
    <w:rPr>
      <w:rFonts w:ascii="宋体" w:hAnsi="宋体"/>
      <w:sz w:val="24"/>
      <w:szCs w:val="24"/>
    </w:rPr>
  </w:style>
  <w:style w:type="character" w:customStyle="1" w:styleId="393">
    <w:name w:val="cf01"/>
    <w:qFormat/>
    <w:uiPriority w:val="0"/>
    <w:rPr>
      <w:rFonts w:hint="eastAsia" w:ascii="Microsoft YaHei UI" w:hAnsi="Microsoft YaHei UI" w:eastAsia="Microsoft YaHei UI"/>
      <w:b/>
      <w:bCs/>
      <w:sz w:val="18"/>
      <w:szCs w:val="18"/>
    </w:rPr>
  </w:style>
  <w:style w:type="character" w:customStyle="1" w:styleId="394">
    <w:name w:val="标题 2 字符1"/>
    <w:qFormat/>
    <w:uiPriority w:val="0"/>
    <w:rPr>
      <w:rFonts w:eastAsia="楷体_GB2312"/>
      <w:b/>
      <w:bCs/>
      <w:sz w:val="28"/>
      <w:szCs w:val="28"/>
    </w:rPr>
  </w:style>
  <w:style w:type="paragraph" w:customStyle="1" w:styleId="395">
    <w:name w:val="pf0"/>
    <w:basedOn w:val="1"/>
    <w:qFormat/>
    <w:uiPriority w:val="0"/>
    <w:pPr>
      <w:widowControl/>
      <w:spacing w:before="100" w:beforeAutospacing="1" w:after="100" w:afterAutospacing="1"/>
      <w:jc w:val="left"/>
    </w:pPr>
    <w:rPr>
      <w:rFonts w:ascii="宋体" w:hAnsi="宋体" w:cs="宋体"/>
      <w:sz w:val="24"/>
      <w:szCs w:val="24"/>
    </w:rPr>
  </w:style>
  <w:style w:type="character" w:customStyle="1" w:styleId="396">
    <w:name w:val="cf11"/>
    <w:qFormat/>
    <w:uiPriority w:val="0"/>
    <w:rPr>
      <w:rFonts w:hint="eastAsia" w:ascii="Microsoft YaHei UI" w:hAnsi="Microsoft YaHei UI" w:eastAsia="Microsoft YaHei UI"/>
      <w:sz w:val="18"/>
      <w:szCs w:val="18"/>
    </w:rPr>
  </w:style>
  <w:style w:type="character" w:customStyle="1" w:styleId="397">
    <w:name w:val="cf21"/>
    <w:qFormat/>
    <w:uiPriority w:val="0"/>
    <w:rPr>
      <w:rFonts w:hint="eastAsia" w:ascii="Microsoft YaHei UI" w:hAnsi="Microsoft YaHei UI" w:eastAsia="Microsoft YaHei UI"/>
      <w:b/>
      <w:bCs/>
      <w:sz w:val="18"/>
      <w:szCs w:val="18"/>
    </w:rPr>
  </w:style>
  <w:style w:type="paragraph" w:customStyle="1" w:styleId="398">
    <w:name w:val="TOC 标题11"/>
    <w:basedOn w:val="233"/>
    <w:next w:val="1"/>
    <w:unhideWhenUsed/>
    <w:qFormat/>
    <w:uiPriority w:val="39"/>
    <w:pPr>
      <w:keepLines/>
      <w:widowControl/>
      <w:spacing w:before="240" w:line="259" w:lineRule="auto"/>
      <w:jc w:val="left"/>
      <w:outlineLvl w:val="9"/>
    </w:pPr>
    <w:rPr>
      <w:rFonts w:ascii="等线 Light" w:hAnsi="等线 Light" w:eastAsia="黑体"/>
      <w:color w:val="2F5496"/>
      <w:sz w:val="32"/>
      <w:szCs w:val="32"/>
    </w:rPr>
  </w:style>
  <w:style w:type="character" w:customStyle="1" w:styleId="399">
    <w:name w:val="普通正文 Char"/>
    <w:link w:val="282"/>
    <w:qFormat/>
    <w:uiPriority w:val="0"/>
    <w:rPr>
      <w:rFonts w:ascii="Arial" w:hAnsi="Arial"/>
      <w:sz w:val="24"/>
      <w:szCs w:val="24"/>
    </w:rPr>
  </w:style>
  <w:style w:type="character" w:customStyle="1" w:styleId="400">
    <w:name w:val="批注文字 字符2"/>
    <w:basedOn w:val="40"/>
    <w:semiHidden/>
    <w:qFormat/>
    <w:uiPriority w:val="99"/>
    <w:rPr>
      <w:sz w:val="21"/>
      <w:szCs w:val="22"/>
    </w:rPr>
  </w:style>
  <w:style w:type="character" w:customStyle="1" w:styleId="401">
    <w:name w:val="批注主题 字符1"/>
    <w:basedOn w:val="400"/>
    <w:link w:val="11"/>
    <w:semiHidden/>
    <w:qFormat/>
    <w:uiPriority w:val="99"/>
    <w:rPr>
      <w:b/>
      <w:bCs/>
      <w:sz w:val="21"/>
      <w:szCs w:val="22"/>
    </w:rPr>
  </w:style>
  <w:style w:type="character" w:customStyle="1" w:styleId="402">
    <w:name w:val="批注框文本 字符1"/>
    <w:basedOn w:val="40"/>
    <w:link w:val="26"/>
    <w:semiHidden/>
    <w:qFormat/>
    <w:uiPriority w:val="99"/>
    <w:rPr>
      <w:sz w:val="18"/>
      <w:szCs w:val="18"/>
    </w:rPr>
  </w:style>
  <w:style w:type="character" w:customStyle="1" w:styleId="403">
    <w:name w:val="1、 字符"/>
    <w:link w:val="404"/>
    <w:qFormat/>
    <w:uiPriority w:val="0"/>
    <w:rPr>
      <w:sz w:val="24"/>
      <w:szCs w:val="24"/>
    </w:rPr>
  </w:style>
  <w:style w:type="paragraph" w:customStyle="1" w:styleId="404">
    <w:name w:val="1、"/>
    <w:basedOn w:val="1"/>
    <w:link w:val="403"/>
    <w:qFormat/>
    <w:uiPriority w:val="0"/>
    <w:pPr>
      <w:spacing w:line="440" w:lineRule="exact"/>
      <w:ind w:firstLine="200"/>
    </w:pPr>
    <w:rPr>
      <w:sz w:val="24"/>
      <w:szCs w:val="24"/>
    </w:rPr>
  </w:style>
  <w:style w:type="paragraph" w:customStyle="1" w:styleId="405">
    <w:name w:val="段"/>
    <w:next w:val="1"/>
    <w:qFormat/>
    <w:uiPriority w:val="0"/>
    <w:pPr>
      <w:spacing w:line="360" w:lineRule="auto"/>
      <w:ind w:firstLine="200"/>
      <w:jc w:val="both"/>
    </w:pPr>
    <w:rPr>
      <w:rFonts w:ascii="宋体" w:hAnsi="Calibri" w:eastAsia="宋体" w:cs="Times New Roman"/>
      <w:sz w:val="24"/>
      <w:szCs w:val="22"/>
      <w:lang w:val="en-US" w:eastAsia="zh-CN" w:bidi="ar-SA"/>
    </w:rPr>
  </w:style>
  <w:style w:type="character" w:customStyle="1" w:styleId="406">
    <w:name w:val="15"/>
    <w:basedOn w:val="40"/>
    <w:qFormat/>
    <w:uiPriority w:val="0"/>
    <w:rPr>
      <w:rFonts w:hint="default" w:ascii="Calibri" w:hAnsi="Calibri" w:cs="Calibri"/>
    </w:rPr>
  </w:style>
  <w:style w:type="character" w:customStyle="1" w:styleId="407">
    <w:name w:val="Plain Text Char Char"/>
    <w:basedOn w:val="40"/>
    <w:link w:val="408"/>
    <w:qFormat/>
    <w:uiPriority w:val="0"/>
    <w:rPr>
      <w:rFonts w:hint="eastAsia" w:ascii="宋体" w:hAnsi="Courier New" w:eastAsia="楷体_GB2312" w:cs="宋体"/>
      <w:sz w:val="28"/>
    </w:rPr>
  </w:style>
  <w:style w:type="paragraph" w:customStyle="1" w:styleId="408">
    <w:name w:val="纯文本2"/>
    <w:basedOn w:val="1"/>
    <w:link w:val="407"/>
    <w:qFormat/>
    <w:uiPriority w:val="0"/>
    <w:rPr>
      <w:rFonts w:hint="eastAsia" w:ascii="宋体" w:hAnsi="Courier New" w:eastAsia="楷体_GB2312"/>
      <w:sz w:val="28"/>
      <w:szCs w:val="20"/>
    </w:rPr>
  </w:style>
  <w:style w:type="character" w:customStyle="1" w:styleId="409">
    <w:name w:val="批注文字 字符3"/>
    <w:basedOn w:val="40"/>
    <w:link w:val="12"/>
    <w:qFormat/>
    <w:uiPriority w:val="0"/>
    <w:rPr>
      <w:sz w:val="21"/>
    </w:rPr>
  </w:style>
  <w:style w:type="character" w:customStyle="1" w:styleId="410">
    <w:name w:val="font101"/>
    <w:basedOn w:val="40"/>
    <w:qFormat/>
    <w:uiPriority w:val="0"/>
    <w:rPr>
      <w:rFonts w:hint="eastAsia" w:ascii="宋体" w:hAnsi="宋体" w:eastAsia="宋体" w:cs="宋体"/>
      <w:color w:val="FF0000"/>
      <w:sz w:val="20"/>
      <w:szCs w:val="20"/>
      <w:u w:val="none"/>
    </w:rPr>
  </w:style>
  <w:style w:type="paragraph" w:customStyle="1" w:styleId="411">
    <w:name w:val="第二级"/>
    <w:basedOn w:val="7"/>
    <w:next w:val="1"/>
    <w:qFormat/>
    <w:uiPriority w:val="0"/>
    <w:pPr>
      <w:spacing w:before="0" w:beforeAutospacing="1" w:after="0" w:afterAutospacing="1" w:line="460" w:lineRule="exact"/>
      <w:ind w:firstLine="720"/>
    </w:pPr>
    <w:rPr>
      <w:rFonts w:ascii="Calibri Light" w:hAnsi="Calibri Light" w:eastAsia="宋体" w:cs="Times New Roman"/>
      <w:sz w:val="24"/>
      <w:szCs w:val="24"/>
    </w:rPr>
  </w:style>
  <w:style w:type="character" w:customStyle="1" w:styleId="412">
    <w:name w:val="标题 6 字符"/>
    <w:basedOn w:val="40"/>
    <w:link w:val="7"/>
    <w:qFormat/>
    <w:uiPriority w:val="0"/>
    <w:rPr>
      <w:rFonts w:ascii="等线 Light" w:hAnsi="等线 Light" w:eastAsia="等线 Light" w:cs="Times New Roman"/>
      <w:b/>
      <w:sz w:val="24"/>
      <w:szCs w:val="24"/>
    </w:rPr>
  </w:style>
  <w:style w:type="character" w:customStyle="1" w:styleId="413">
    <w:name w:val="custom-tag-placeholder-class"/>
    <w:basedOn w:val="243"/>
    <w:qFormat/>
    <w:uiPriority w:val="0"/>
    <w:rPr>
      <w:rFonts w:ascii="Calibri" w:hAnsi="Calibri" w:eastAsia="宋体" w:cs="Times New Roman"/>
      <w:sz w:val="21"/>
      <w:szCs w:val="22"/>
      <w:lang w:val="en-US" w:eastAsia="zh-CN" w:bidi="ar-SA"/>
    </w:rPr>
  </w:style>
  <w:style w:type="character" w:customStyle="1" w:styleId="414">
    <w:name w:val="NormalCharacter"/>
    <w:basedOn w:val="40"/>
    <w:qFormat/>
    <w:uiPriority w:val="0"/>
    <w:rPr>
      <w:sz w:val="21"/>
      <w:szCs w:val="22"/>
      <w:lang w:val="en-US" w:eastAsia="zh-CN" w:bidi="ar"/>
    </w:rPr>
  </w:style>
  <w:style w:type="paragraph" w:customStyle="1" w:styleId="415">
    <w:name w:val="NN正文"/>
    <w:basedOn w:val="1"/>
    <w:qFormat/>
    <w:uiPriority w:val="0"/>
    <w:pPr>
      <w:widowControl/>
      <w:jc w:val="left"/>
    </w:pPr>
    <w:rPr>
      <w:rFonts w:hint="eastAsia" w:ascii="微软雅黑" w:hAnsi="微软雅黑" w:eastAsia="微软雅黑"/>
      <w:szCs w:val="21"/>
    </w:rPr>
  </w:style>
  <w:style w:type="paragraph" w:customStyle="1" w:styleId="416">
    <w:name w:val="标题二、"/>
    <w:basedOn w:val="1"/>
    <w:qFormat/>
    <w:uiPriority w:val="0"/>
    <w:pPr>
      <w:spacing w:line="360" w:lineRule="auto"/>
      <w:ind w:firstLine="200"/>
      <w:outlineLvl w:val="2"/>
    </w:pPr>
    <w:rPr>
      <w:rFonts w:hint="eastAsia" w:ascii="宋体" w:hAnsi="宋体"/>
      <w:b/>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C61283-DEDC-44CB-8CAC-F39398CC416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5565</Words>
  <Characters>31723</Characters>
  <Lines>264</Lines>
  <Paragraphs>74</Paragraphs>
  <TotalTime>96</TotalTime>
  <ScaleCrop>false</ScaleCrop>
  <LinksUpToDate>false</LinksUpToDate>
  <CharactersWithSpaces>37214</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2025-12-22T00:31:00Z</dcterms:created>
  <dc:creator>赵国文</dc:creator>
  <cp:lastModifiedBy>WPS_1640919574</cp:lastModifiedBy>
  <cp:lastPrinted>2026-05-20T07:56:00Z</cp:lastPrinted>
  <dcterms:modified xsi:type="dcterms:W3CDTF">2026-05-25T00:33:49Z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4BF18A88E6964189866CD34FCAC9E834_13</vt:lpwstr>
  </property>
  <property fmtid="{D5CDD505-2E9C-101B-9397-08002B2CF9AE}" pid="4" name="KSOTemplateDocerSaveRecord">
    <vt:lpwstr>eyJoZGlkIjoiYjI1OTNkZjQxYTMyM2E3ZDFiZDlmZThjZjFjMzJjMTEiLCJ1c2VySWQiOiI0NzA0Njk1MDUifQ==</vt:lpwstr>
  </property>
</Properties>
</file>