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hint="eastAsia" w:ascii="宋体" w:hAnsi="宋体" w:eastAsia="宋体" w:cs="宋体"/>
          <w:color w:val="000000"/>
          <w:highlight w:val="none"/>
        </w:rPr>
      </w:pPr>
      <w:r>
        <w:rPr>
          <w:rFonts w:hint="eastAsia" w:ascii="宋体" w:hAnsi="宋体" w:eastAsia="宋体" w:cs="宋体"/>
          <w:b/>
          <w:bCs/>
          <w:color w:val="000000"/>
          <w:sz w:val="32"/>
          <w:szCs w:val="32"/>
          <w:highlight w:val="none"/>
        </w:rPr>
        <w:t xml:space="preserve">招标公告</w:t>
      </w:r>
      <w:r>
        <w:rPr>
          <w:rFonts w:hint="eastAsia" w:ascii="宋体" w:hAnsi="宋体" w:eastAsia="宋体" w:cs="宋体"/>
          <w:color w:val="000000"/>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u w:val="single"/>
        </w:rPr>
        <w:t xml:space="preserve">2026-2028唯亭街道社会工作站（室）运营服务项目</w:t>
      </w:r>
      <w:r>
        <w:rPr>
          <w:rFonts w:hint="eastAsia" w:ascii="宋体" w:hAnsi="宋体" w:eastAsia="宋体" w:cs="宋体"/>
          <w:color w:val="000000"/>
          <w:szCs w:val="24"/>
          <w:highlight w:val="none"/>
        </w:rPr>
        <w:t xml:space="preserve">招标项目的潜在投标人应在</w:t>
      </w:r>
      <w:r>
        <w:rPr>
          <w:rFonts w:hint="eastAsia" w:ascii="宋体" w:hAnsi="宋体" w:eastAsia="宋体" w:cs="宋体"/>
          <w:color w:val="000000"/>
          <w:szCs w:val="24"/>
          <w:highlight w:val="none"/>
          <w:u w:val="single"/>
        </w:rPr>
        <w:t xml:space="preserve">江苏省政府采购一体化平台“苏采云”系统</w:t>
      </w:r>
      <w:r>
        <w:rPr>
          <w:rFonts w:hint="eastAsia" w:ascii="宋体" w:hAnsi="宋体" w:eastAsia="宋体" w:cs="宋体"/>
          <w:color w:val="000000"/>
          <w:szCs w:val="24"/>
          <w:highlight w:val="none"/>
        </w:rPr>
        <w:t xml:space="preserve">获取招标文件，并于</w:t>
      </w:r>
      <w:r>
        <w:rPr>
          <w:rFonts w:hint="eastAsia" w:ascii="宋体" w:hAnsi="宋体" w:eastAsia="宋体" w:cs="宋体"/>
          <w:color w:val="000000"/>
          <w:szCs w:val="24"/>
          <w:highlight w:val="none"/>
          <w:u w:val="single"/>
          <w:lang w:eastAsia="zh-CN"/>
        </w:rPr>
        <w:t xml:space="preserve">2026年6月10日</w:t>
      </w:r>
      <w:r>
        <w:rPr>
          <w:rFonts w:hint="eastAsia" w:ascii="宋体" w:hAnsi="宋体" w:eastAsia="宋体" w:cs="宋体"/>
          <w:color w:val="000000"/>
          <w:szCs w:val="24"/>
          <w:highlight w:val="none"/>
          <w:u w:val="single"/>
        </w:rPr>
        <w:t xml:space="preserve">09点30分（北京时间）</w:t>
      </w:r>
      <w:r>
        <w:rPr>
          <w:rFonts w:hint="eastAsia" w:ascii="宋体" w:hAnsi="宋体" w:eastAsia="宋体" w:cs="宋体"/>
          <w:color w:val="000000"/>
          <w:szCs w:val="24"/>
          <w:highlight w:val="none"/>
        </w:rPr>
        <w:t xml:space="preserve">前提交电子投标文件。</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一、项目基本情况</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1.项目编号：</w:t>
      </w:r>
      <w:r>
        <w:rPr>
          <w:rFonts w:hint="eastAsia" w:ascii="宋体" w:hAnsi="宋体" w:eastAsia="宋体" w:cs="宋体"/>
          <w:color w:val="000000"/>
          <w:szCs w:val="24"/>
          <w:highlight w:val="none"/>
          <w:lang w:eastAsia="zh-CN"/>
        </w:rPr>
        <w:t xml:space="preserve">JSZC-320591-SZWK-G2026-0128</w:t>
      </w:r>
      <w:r>
        <w:rPr>
          <w:rFonts w:hint="eastAsia" w:ascii="宋体" w:hAnsi="宋体" w:eastAsia="宋体" w:cs="宋体"/>
          <w:color w:val="000000"/>
          <w:szCs w:val="24"/>
          <w:highlight w:val="none"/>
        </w:rPr>
        <w:t xml:space="preserve">号</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2.项目名称：2026-2028唯亭街道社会工作站（室）运营服务项目</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3.预算金额：530</w:t>
      </w:r>
      <w:r>
        <w:rPr>
          <w:rFonts w:hint="eastAsia" w:ascii="宋体" w:hAnsi="宋体" w:eastAsia="宋体" w:cs="宋体"/>
          <w:color w:val="000000"/>
          <w:szCs w:val="24"/>
          <w:highlight w:val="none"/>
          <w:lang w:val="en-US" w:eastAsia="zh-CN"/>
        </w:rPr>
        <w:t xml:space="preserve">.00</w:t>
      </w: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包含代理费</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4.最高限价：无</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5.采购需求：</w:t>
      </w:r>
      <w:bookmarkStart w:id="0" w:name="OLE_LINK1"/>
      <w:r>
        <w:rPr>
          <w:rFonts w:hint="eastAsia" w:ascii="宋体" w:hAnsi="宋体" w:eastAsia="宋体" w:cs="宋体"/>
          <w:color w:val="000000"/>
          <w:szCs w:val="24"/>
          <w:highlight w:val="none"/>
        </w:rPr>
        <w:t xml:space="preserve">坚持党建引领，以专业化、系统化、协同化为导向，聚焦重点人群精准服务，提升社区工作者专业能力，激发社会组织活力，推动志愿服务常态化，深化社区治理效能，持续优化 “站室一体” 运营模式，充分发挥社会工作专业支撑作用，赋能基层治理与民生服务提质增效，打造具有唯亭特色的社会工作高质量发展样板。</w:t>
      </w:r>
      <w:bookmarkEnd w:id="0"/>
      <w:r>
        <w:rPr>
          <w:rFonts w:hint="eastAsia" w:ascii="宋体" w:hAnsi="宋体" w:eastAsia="宋体" w:cs="宋体"/>
          <w:color w:val="000000"/>
          <w:szCs w:val="24"/>
          <w:highlight w:val="none"/>
        </w:rPr>
        <w:t xml:space="preserve">委托第三方专业机构对街道社会工作站、社区社会工作室实施实体化、专业化运营，服务覆盖全街道37个社区。</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6.合同履行期限：两年（2026年6月至2028年6月）。</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7.本项目不接受联合体投标。</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二、申请人的资格要求</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1.满足《中华人民共和国政府采购法》第二十二条规定；</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（5）参加政府采购活动前三年内，在经营活动中没有重大违法记录；</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（6）法律、行政法规规定的其他条件。</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2.落实政府采购政策需满足的资格要求：无。</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3.本项目的特定资格要求：无。</w:t>
      </w:r>
      <w:r>
        <w:rPr>
          <w:rFonts w:hint="eastAsia" w:ascii="宋体" w:hAnsi="宋体" w:eastAsia="宋体" w:cs="宋体"/>
          <w:color w:val="000000"/>
          <w:szCs w:val="24"/>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909"/>
        <w:ind w:right="0" w:firstLine="480"/>
        <w:keepLines w:val="0"/>
        <w:keepNext w:val="0"/>
        <w:pageBreakBefore w:val="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eastAsia="宋体" w:cs="宋体"/>
          <w:color w:val="000000"/>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三、获取招标文件</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1.时间：自招标文件公告发布之日起至2026年5月</w:t>
      </w:r>
      <w:r>
        <w:rPr>
          <w:rFonts w:hint="eastAsia" w:ascii="宋体" w:hAnsi="宋体" w:eastAsia="宋体" w:cs="宋体"/>
          <w:color w:val="000000"/>
          <w:szCs w:val="24"/>
          <w:highlight w:val="none"/>
          <w:lang w:val="en-US" w:eastAsia="zh-CN"/>
        </w:rPr>
        <w:t xml:space="preserve">27</w:t>
      </w:r>
      <w:r>
        <w:rPr>
          <w:rFonts w:hint="eastAsia" w:ascii="宋体" w:hAnsi="宋体" w:eastAsia="宋体" w:cs="宋体"/>
          <w:color w:val="000000"/>
          <w:szCs w:val="24"/>
          <w:highlight w:val="none"/>
        </w:rPr>
        <w:t xml:space="preserve">日（北京时间）</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w:t>
      </w:r>
      <w:r>
        <w:rPr>
          <w:rFonts w:hint="eastAsia" w:ascii="宋体" w:hAnsi="宋体" w:eastAsia="宋体" w:cs="宋体"/>
          <w:color w:val="000000"/>
          <w:szCs w:val="24"/>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3.获取方式：自行下载</w:t>
      </w:r>
      <w:r>
        <w:rPr>
          <w:rFonts w:hint="eastAsia" w:ascii="宋体" w:hAnsi="宋体" w:eastAsia="宋体" w:cs="宋体"/>
          <w:color w:val="000000"/>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highlight w:val="none"/>
        </w:rPr>
        <w:t xml:space="preserve">4.售价：本项目免费下载电子招标文件</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四、提交电子投标文件截止时间、开标时间和地点</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1.提交电子投标文件截止时间、地点</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2026年6月10日</w:t>
      </w:r>
      <w:r>
        <w:rPr>
          <w:rFonts w:hint="eastAsia" w:ascii="宋体" w:hAnsi="宋体" w:eastAsia="宋体" w:cs="宋体"/>
          <w:color w:val="000000"/>
          <w:szCs w:val="24"/>
          <w:highlight w:val="none"/>
        </w:rPr>
        <w:t xml:space="preserve">09:30（北京时间）</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地点：“苏采云”系统</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2.开标时间、地点</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2026年6月10日</w:t>
      </w:r>
      <w:r>
        <w:rPr>
          <w:rFonts w:hint="eastAsia" w:ascii="宋体" w:hAnsi="宋体" w:eastAsia="宋体" w:cs="宋体"/>
          <w:color w:val="000000"/>
          <w:szCs w:val="24"/>
          <w:highlight w:val="none"/>
        </w:rPr>
        <w:t xml:space="preserve">09:30（北京时间）</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w:t>
      </w:r>
      <w:r>
        <w:rPr>
          <w:rFonts w:hint="eastAsia" w:ascii="宋体" w:hAnsi="宋体" w:eastAsia="宋体" w:cs="宋体"/>
          <w:color w:val="000000"/>
          <w:highlight w:val="none"/>
        </w:rPr>
        <w:t xml:space="preserve">苏州工业园区公共资源交易中心开标室（具体开标室见服务大厅显示屏）</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五、公告期限</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自本公告发布之日起五个工作日。</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六、其他补充事宜</w:t>
      </w:r>
      <w:r>
        <w:rPr>
          <w:rFonts w:hint="eastAsia" w:ascii="宋体" w:hAnsi="宋体" w:eastAsia="宋体" w:cs="宋体"/>
          <w:color w:val="000000"/>
          <w:szCs w:val="24"/>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1.招标文件获取（网上获取）</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（1）申领CA证书</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依法获取</w:t>
      </w:r>
      <w:r>
        <w:rPr>
          <w:rFonts w:hint="eastAsia" w:ascii="宋体" w:hAnsi="宋体" w:eastAsia="宋体" w:cs="宋体"/>
          <w:color w:val="000000"/>
          <w:szCs w:val="21"/>
          <w:highlight w:val="none"/>
          <w:lang w:eastAsia="zh-CN"/>
        </w:rPr>
        <w:t xml:space="preserve">招标文件</w:t>
      </w:r>
      <w:r>
        <w:rPr>
          <w:rFonts w:hint="eastAsia" w:ascii="宋体" w:hAnsi="宋体" w:eastAsia="宋体" w:cs="宋体"/>
          <w:color w:val="000000"/>
          <w:highlight w:val="none"/>
          <w:lang w:eastAsia="zh-CN"/>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（3）在网上获取过程中如有疑问，请及时联系：</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CA技术咨询服务电话：400-608-6099</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电子签章技术咨询服务电话：15380932027、15371015030、13675197356、13675197221</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系统使用指导与咨询：联系电话：13914088964；18261002950（不见面项目）QQ：3048755361、895706745。</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color w:val="000000"/>
          <w:highlight w:val="none"/>
        </w:rPr>
      </w:r>
      <w:r/>
    </w:p>
    <w:p>
      <w:pPr>
        <w:pStyle w:val="909"/>
        <w:ind w:right="0" w:firstLine="480"/>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（5）截止日期之后下载的招标文件，视为非有效方式且不作为供应商权益受到损害的证明材料和依据。</w:t>
      </w:r>
      <w:r>
        <w:rPr>
          <w:rFonts w:hint="eastAsia" w:ascii="宋体" w:hAnsi="宋体" w:eastAsia="宋体" w:cs="宋体"/>
          <w:color w:val="000000"/>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2.苏州工业园区财政审计局监督电话：0512-69996857、0512-66681110。</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3.本次采购的有关信息将在以下网站上发布：中国政府采购网、江苏政府采购网、苏州市政府采购网。</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4.未依照招标公告要求依法获取招标文件的供应商，视为未参加该项政府采购活动，不具备对该政府采购项目提出质疑的法定权利。</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5.本项目线上提交电子投标文件，不需另行提供纸质投标文件。</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6.单位负责人为同一人或存在直接控股、管理关系的不同供应商，不得参加同一合同项下的政府采购活动。</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7.为采购项目提供整体设计、规范编制或者项目管理、监理、检测等服务的供应商，不得再参加该采购项目的其他采购活动。</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8.本项目不可分包、转包。</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9.本项目为非专门面向中小企业采购项目，所属行业为其他未列明行业。</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七、对本次招标提出询问，请按以下方式联系</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1.采购人信息</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称：苏州工业园区唯亭街道办事处</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地址：苏州工业园区展业路18号展业大厦</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联系人：杨义英</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rPr>
        <w:t xml:space="preserve">电  话：</w:t>
      </w:r>
      <w:r>
        <w:rPr>
          <w:rFonts w:hint="eastAsia" w:ascii="宋体" w:hAnsi="宋体" w:eastAsia="宋体" w:cs="宋体"/>
          <w:color w:val="000000"/>
          <w:szCs w:val="24"/>
          <w:highlight w:val="none"/>
          <w:lang w:val="zh-CN"/>
        </w:rPr>
        <w:t xml:space="preserve">0512-69996935</w:t>
      </w:r>
      <w:r>
        <w:rPr>
          <w:rFonts w:hint="eastAsia" w:ascii="宋体" w:hAnsi="宋体" w:eastAsia="宋体" w:cs="宋体"/>
          <w:color w:val="000000"/>
          <w:szCs w:val="24"/>
          <w:highlight w:val="none"/>
          <w:lang w:val="zh-CN"/>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2.采购代理机构信息</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称：苏州市卫康招投标咨询服务有限公司</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　址：苏州市姑苏区干将西路1296号深业姑苏中心1幢17层</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联系方式：0512-65158848-8001</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3.项目联系方式</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项目联系人：郇为凯（项目负责人）、钱卫吉、李东</w:t>
      </w:r>
      <w:r>
        <w:rPr>
          <w:rFonts w:hint="eastAsia" w:ascii="宋体" w:hAnsi="宋体" w:eastAsia="宋体" w:cs="宋体"/>
          <w:color w:val="000000"/>
          <w:szCs w:val="24"/>
          <w:highlight w:val="none"/>
        </w:rPr>
      </w:r>
      <w:r/>
    </w:p>
    <w:p>
      <w:pPr>
        <w:pStyle w:val="909"/>
        <w:ind w:right="0" w:firstLine="480"/>
        <w:keepLines w:val="0"/>
        <w:keepNext w:val="0"/>
        <w:pageBreakBefore w:val="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　话：0512-65158848-8019</w:t>
      </w:r>
      <w:r>
        <w:rPr>
          <w:rFonts w:hint="eastAsia" w:ascii="宋体" w:hAnsi="宋体" w:eastAsia="宋体" w:cs="宋体"/>
          <w:color w:val="000000"/>
          <w:szCs w:val="24"/>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09"/>
        <w:jc w:val="center"/>
        <w:rPr>
          <w:rFonts w:hint="eastAsia" w:ascii="宋体" w:hAnsi="宋体" w:eastAsia="宋体" w:cs="宋体"/>
          <w:b/>
          <w:bCs/>
          <w:color w:val="000000"/>
          <w:spacing w:val="60"/>
          <w:sz w:val="100"/>
          <w:szCs w:val="100"/>
          <w:highlight w:val="none"/>
        </w:rPr>
      </w:pPr>
      <w:r>
        <w:rPr>
          <w:rFonts w:hint="eastAsia" w:ascii="宋体" w:hAnsi="宋体" w:eastAsia="宋体" w:cs="宋体"/>
          <w:b/>
          <w:bCs/>
          <w:color w:val="000000"/>
          <w:spacing w:val="60"/>
          <w:sz w:val="100"/>
          <w:szCs w:val="100"/>
          <w:highlight w:val="none"/>
        </w:rPr>
      </w:r>
      <w:r/>
    </w:p>
    <w:p>
      <w:pPr>
        <w:pStyle w:val="909"/>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苏州工业园区政府采购</w:t>
      </w:r>
      <w:r>
        <w:rPr>
          <w:rFonts w:hint="eastAsia" w:ascii="宋体" w:hAnsi="宋体" w:eastAsia="宋体" w:cs="宋体"/>
          <w:b/>
          <w:color w:val="000000"/>
          <w:sz w:val="72"/>
          <w:szCs w:val="72"/>
          <w:highlight w:val="none"/>
        </w:rPr>
      </w:r>
      <w:r/>
    </w:p>
    <w:p>
      <w:pPr>
        <w:pStyle w:val="909"/>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09"/>
        <w:jc w:val="center"/>
        <w:rPr>
          <w:rFonts w:hint="eastAsia" w:ascii="宋体" w:hAnsi="宋体" w:eastAsia="宋体" w:cs="宋体"/>
          <w:b/>
          <w:bCs/>
          <w:color w:val="000000"/>
          <w:sz w:val="116"/>
          <w:highlight w:val="none"/>
        </w:rPr>
      </w:pPr>
      <w:r>
        <w:rPr>
          <w:rFonts w:hint="eastAsia" w:ascii="宋体" w:hAnsi="宋体" w:eastAsia="宋体" w:cs="宋体"/>
          <w:b/>
          <w:color w:val="000000"/>
          <w:sz w:val="72"/>
          <w:szCs w:val="72"/>
          <w:highlight w:val="none"/>
        </w:rPr>
        <w:t xml:space="preserve">招 标 文 件</w:t>
      </w:r>
      <w:r>
        <w:rPr>
          <w:rFonts w:hint="eastAsia" w:ascii="宋体" w:hAnsi="宋体" w:eastAsia="宋体" w:cs="宋体"/>
          <w:b/>
          <w:bCs/>
          <w:color w:val="000000"/>
          <w:sz w:val="116"/>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1506"/>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采购编号：</w:t>
      </w:r>
      <w:r>
        <w:rPr>
          <w:rFonts w:hint="eastAsia" w:ascii="宋体" w:hAnsi="宋体" w:eastAsia="宋体" w:cs="宋体"/>
          <w:b/>
          <w:bCs/>
          <w:color w:val="000000"/>
          <w:sz w:val="30"/>
          <w:highlight w:val="none"/>
          <w:lang w:eastAsia="zh-CN"/>
        </w:rPr>
        <w:t xml:space="preserve">JSZC-320591-SZWK-G2026-0128</w:t>
      </w:r>
      <w:r>
        <w:rPr>
          <w:rFonts w:hint="eastAsia" w:ascii="宋体" w:hAnsi="宋体" w:eastAsia="宋体" w:cs="宋体"/>
          <w:b/>
          <w:bCs/>
          <w:color w:val="000000"/>
          <w:sz w:val="30"/>
          <w:highlight w:val="none"/>
        </w:rPr>
        <w:t xml:space="preserve">号</w:t>
      </w:r>
      <w:r>
        <w:rPr>
          <w:rFonts w:hint="eastAsia" w:ascii="宋体" w:hAnsi="宋体" w:eastAsia="宋体" w:cs="宋体"/>
          <w:b/>
          <w:bCs/>
          <w:color w:val="000000"/>
          <w:sz w:val="30"/>
          <w:highlight w:val="none"/>
        </w:rPr>
      </w:r>
      <w:r/>
    </w:p>
    <w:p>
      <w:pPr>
        <w:pStyle w:val="909"/>
        <w:ind w:left="3006" w:hanging="1506"/>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采购项目：2026-2028唯亭街道社会工作站（室）运营服务项目</w:t>
      </w:r>
      <w:r>
        <w:rPr>
          <w:rFonts w:hint="eastAsia" w:ascii="宋体" w:hAnsi="宋体" w:eastAsia="宋体" w:cs="宋体"/>
          <w:b/>
          <w:bCs/>
          <w:color w:val="000000"/>
          <w:sz w:val="30"/>
          <w:highlight w:val="none"/>
        </w:rPr>
      </w:r>
      <w:r/>
    </w:p>
    <w:p>
      <w:pPr>
        <w:pStyle w:val="909"/>
        <w:ind w:firstLine="1506"/>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采购单位：苏州工业园区唯亭街道办事处</w:t>
      </w:r>
      <w:r>
        <w:rPr>
          <w:rFonts w:hint="eastAsia" w:ascii="宋体" w:hAnsi="宋体" w:eastAsia="宋体" w:cs="宋体"/>
          <w:b/>
          <w:bCs/>
          <w:color w:val="000000"/>
          <w:sz w:val="30"/>
          <w:highlight w:val="none"/>
        </w:rPr>
      </w:r>
      <w:r/>
    </w:p>
    <w:p>
      <w:pPr>
        <w:pStyle w:val="909"/>
        <w:ind w:firstLine="1701"/>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09"/>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09"/>
        <w:jc w:val="both"/>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1388110</wp:posOffset>
                </wp:positionH>
                <wp:positionV relativeFrom="paragraph">
                  <wp:posOffset>295275</wp:posOffset>
                </wp:positionV>
                <wp:extent cx="2607310" cy="122110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607310" cy="1221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09.3pt;mso-position-horizontal:absolute;mso-position-vertical-relative:text;margin-top:23.2pt;mso-position-vertical:absolute;width:205.3pt;height:96.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苏州市卫康招投标咨询服务有限公司</w:t>
      </w: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二〇二六年五月</w:t>
      </w:r>
      <w:r>
        <w:rPr>
          <w:rFonts w:hint="eastAsia" w:ascii="宋体" w:hAnsi="宋体" w:eastAsia="宋体" w:cs="宋体"/>
          <w:b/>
          <w:bCs/>
          <w:color w:val="000000"/>
          <w:sz w:val="30"/>
          <w:highlight w:val="none"/>
        </w:rPr>
      </w:r>
      <w:r/>
    </w:p>
    <w:p>
      <w:pPr>
        <w:pStyle w:val="909"/>
        <w:jc w:val="center"/>
        <w:spacing w:line="360" w:lineRule="auto"/>
        <w:rPr>
          <w:rFonts w:hint="eastAsia" w:ascii="宋体" w:hAnsi="宋体" w:eastAsia="宋体" w:cs="宋体"/>
          <w:bCs/>
          <w:color w:val="000000"/>
          <w:sz w:val="30"/>
          <w:highlight w:val="none"/>
        </w:rPr>
        <w:sectPr>
          <w:headerReference w:type="default" r:id="rId9"/>
          <w:footerReference w:type="default" r:id="rId10"/>
          <w:footnotePr/>
          <w:endnotePr/>
          <w:type w:val="nextPage"/>
          <w:pgSz w:w="11906" w:h="16838" w:orient="portrait"/>
          <w:pgMar w:top="1418" w:right="1758" w:bottom="1418" w:left="1758" w:header="851" w:footer="992" w:gutter="0"/>
          <w:pgNumType w:start="1"/>
          <w:cols w:num="1" w:sep="0" w:space="1701" w:equalWidth="1"/>
          <w:docGrid w:linePitch="360"/>
        </w:sectPr>
      </w:pPr>
      <w:r>
        <w:rPr>
          <w:rFonts w:hint="eastAsia" w:ascii="宋体" w:hAnsi="宋体" w:eastAsia="宋体" w:cs="宋体"/>
          <w:bCs/>
          <w:color w:val="000000"/>
          <w:sz w:val="30"/>
          <w:highlight w:val="none"/>
        </w:rPr>
      </w:r>
      <w:r/>
    </w:p>
    <w:p>
      <w:pPr>
        <w:pStyle w:val="909"/>
        <w:jc w:val="both"/>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8"/>
        <w:ind w:left="0" w:firstLine="0"/>
        <w:jc w:val="center"/>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t xml:space="preserve">目    录</w:t>
      </w:r>
      <w:r>
        <w:rPr>
          <w:rFonts w:hint="eastAsia" w:ascii="宋体" w:hAnsi="宋体" w:eastAsia="宋体" w:cs="宋体"/>
          <w:b/>
          <w:color w:val="000000"/>
          <w:sz w:val="52"/>
          <w:highlight w:val="none"/>
        </w:rPr>
      </w:r>
      <w:r/>
    </w:p>
    <w:p>
      <w:pPr>
        <w:pStyle w:val="918"/>
        <w:ind w:firstLine="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18"/>
        <w:ind w:firstLine="0"/>
        <w:spacing w:line="380" w:lineRule="exac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前附表 </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采购书</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合同主要条款</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评标方法及评分标准</w:t>
      </w:r>
      <w:r>
        <w:rPr>
          <w:rFonts w:hint="eastAsia" w:ascii="宋体" w:hAnsi="宋体" w:eastAsia="宋体" w:cs="宋体"/>
          <w:color w:val="000000"/>
          <w:sz w:val="36"/>
          <w:szCs w:val="24"/>
          <w:highlight w:val="none"/>
        </w:rPr>
      </w:r>
      <w:r/>
    </w:p>
    <w:p>
      <w:pPr>
        <w:pStyle w:val="909"/>
        <w:jc w:val="center"/>
        <w:spacing w:before="50" w:line="400" w:lineRule="exact"/>
        <w:rPr>
          <w:rFonts w:hint="eastAsia" w:ascii="宋体" w:hAnsi="宋体" w:eastAsia="宋体" w:cs="宋体"/>
          <w:b/>
          <w:color w:val="000000"/>
          <w:sz w:val="36"/>
          <w:highlight w:val="none"/>
        </w:rPr>
      </w:pPr>
      <w:r>
        <w:rPr>
          <w:rFonts w:hint="eastAsia" w:ascii="宋体" w:hAnsi="宋体" w:eastAsia="宋体" w:cs="宋体"/>
          <w:color w:val="000000"/>
          <w:sz w:val="32"/>
          <w:szCs w:val="24"/>
          <w:highlight w:val="none"/>
        </w:rPr>
        <w:br w:type="page" w:clear="all"/>
      </w:r>
      <w:r>
        <w:rPr>
          <w:rFonts w:hint="eastAsia" w:ascii="宋体" w:hAnsi="宋体" w:eastAsia="宋体" w:cs="宋体"/>
          <w:b/>
          <w:color w:val="000000"/>
          <w:sz w:val="32"/>
          <w:szCs w:val="32"/>
          <w:highlight w:val="none"/>
        </w:rPr>
        <w:t xml:space="preserve">前 附 表</w:t>
      </w:r>
      <w:r>
        <w:rPr>
          <w:rFonts w:hint="eastAsia" w:ascii="宋体" w:hAnsi="宋体" w:eastAsia="宋体" w:cs="宋体"/>
          <w:b/>
          <w:color w:val="000000"/>
          <w:sz w:val="36"/>
          <w:highlight w:val="none"/>
        </w:rPr>
      </w:r>
      <w:r/>
    </w:p>
    <w:p>
      <w:pPr>
        <w:pStyle w:val="909"/>
        <w:jc w:val="center"/>
        <w:spacing w:before="156"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（下列附表说明是对招标文件的具体补充和修正，如有矛盾之处以本附表为准）</w:t>
      </w:r>
      <w:r>
        <w:rPr>
          <w:rFonts w:hint="eastAsia" w:ascii="宋体" w:hAnsi="宋体" w:eastAsia="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621"/>
        <w:gridCol w:w="6345"/>
      </w:tblGrid>
      <w:tr>
        <w:trPr>
          <w:trHeight w:val="529"/>
        </w:trPr>
        <w:tc>
          <w:tcPr>
            <w:tcW w:w="790" w:type="dxa"/>
            <w:vAlign w:val="center"/>
            <w:textDirection w:val="lrTb"/>
            <w:noWrap w:val="false"/>
          </w:tcPr>
          <w:p>
            <w:pPr>
              <w:pStyle w:val="909"/>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项号</w:t>
            </w:r>
            <w:r>
              <w:rPr>
                <w:rFonts w:hint="eastAsia" w:ascii="宋体" w:hAnsi="宋体" w:eastAsia="宋体" w:cs="宋体"/>
                <w:b/>
                <w:bCs/>
                <w:color w:val="000000"/>
                <w:sz w:val="21"/>
                <w:szCs w:val="21"/>
                <w:highlight w:val="none"/>
              </w:rPr>
            </w:r>
            <w:r/>
          </w:p>
        </w:tc>
        <w:tc>
          <w:tcPr>
            <w:tcW w:w="1621" w:type="dxa"/>
            <w:vAlign w:val="center"/>
            <w:textDirection w:val="lrTb"/>
            <w:noWrap w:val="false"/>
          </w:tcPr>
          <w:p>
            <w:pPr>
              <w:pStyle w:val="909"/>
              <w:jc w:val="center"/>
              <w:spacing w:line="36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345" w:type="dxa"/>
            <w:vAlign w:val="center"/>
            <w:textDirection w:val="lrTb"/>
            <w:noWrap w:val="false"/>
          </w:tcPr>
          <w:p>
            <w:pPr>
              <w:pStyle w:val="909"/>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529"/>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tabs>
                <w:tab w:val="left" w:pos="360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苏州工业园区唯亭街道办事处</w:t>
            </w:r>
            <w:r>
              <w:rPr>
                <w:rFonts w:hint="eastAsia" w:ascii="宋体" w:hAnsi="宋体" w:eastAsia="宋体" w:cs="宋体"/>
                <w:color w:val="000000"/>
                <w:sz w:val="21"/>
                <w:szCs w:val="21"/>
                <w:highlight w:val="none"/>
              </w:rPr>
            </w:r>
            <w:r/>
          </w:p>
          <w:p>
            <w:pPr>
              <w:pStyle w:val="909"/>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联系人：杨义英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联系电话：0512-69996935</w:t>
            </w:r>
            <w:r>
              <w:rPr>
                <w:rFonts w:hint="eastAsia" w:ascii="宋体" w:hAnsi="宋体" w:eastAsia="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JSZC-320591-SZWK-G2026-0128</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2026-2028唯亭街道社会工作站（室）运营服务项目</w:t>
            </w:r>
            <w:r>
              <w:rPr>
                <w:rFonts w:hint="eastAsia" w:ascii="宋体" w:hAnsi="宋体" w:eastAsia="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rPr>
                <w:rFonts w:hint="eastAsia" w:ascii="宋体" w:hAnsi="宋体" w:eastAsia="宋体" w:cs="宋体"/>
                <w:color w:val="000000"/>
                <w:sz w:val="21"/>
                <w:szCs w:val="21"/>
                <w:highlight w:val="none"/>
              </w:rPr>
            </w:r>
            <w:r/>
          </w:p>
        </w:tc>
      </w:tr>
      <w:tr>
        <w:trPr>
          <w:trHeight w:val="666"/>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tc>
      </w:tr>
      <w:tr>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苏州市卫康招投标咨询服务有限公司</w:t>
            </w:r>
            <w:r>
              <w:rPr>
                <w:rFonts w:hint="eastAsia" w:ascii="宋体" w:hAnsi="宋体" w:eastAsia="宋体" w:cs="宋体"/>
                <w:color w:val="000000"/>
                <w:sz w:val="21"/>
                <w:szCs w:val="21"/>
                <w:highlight w:val="none"/>
              </w:rPr>
            </w:r>
            <w:r/>
          </w:p>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址：苏州市姑苏区干将西路1296号深业姑苏中心1幢17层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联系人：郇为凯（</w:t>
            </w: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val="zh-CN"/>
              </w:rPr>
              <w:t xml:space="preserve">）、钱卫吉、李东</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w:t>
            </w:r>
            <w:r>
              <w:rPr>
                <w:rFonts w:hint="eastAsia" w:ascii="宋体" w:hAnsi="宋体" w:eastAsia="宋体" w:cs="宋体"/>
                <w:color w:val="000000"/>
                <w:sz w:val="21"/>
                <w:szCs w:val="21"/>
                <w:highlight w:val="none"/>
              </w:rPr>
              <w:t xml:space="preserve">0512-65158848-8019 </w:t>
            </w:r>
            <w:r>
              <w:rPr>
                <w:rFonts w:hint="eastAsia" w:ascii="宋体" w:hAnsi="宋体" w:eastAsia="宋体" w:cs="宋体"/>
                <w:color w:val="000000"/>
                <w:sz w:val="21"/>
                <w:szCs w:val="21"/>
                <w:highlight w:val="none"/>
                <w:lang w:val="zh-CN"/>
              </w:rPr>
            </w:r>
            <w:r/>
          </w:p>
        </w:tc>
      </w:tr>
      <w:tr>
        <w:trPr>
          <w:trHeight w:val="456"/>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标书售价</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免费获取招标文件</w:t>
            </w:r>
            <w:r>
              <w:rPr>
                <w:rFonts w:hint="eastAsia" w:ascii="宋体" w:hAnsi="宋体" w:eastAsia="宋体" w:cs="宋体"/>
                <w:color w:val="000000"/>
                <w:sz w:val="21"/>
                <w:szCs w:val="21"/>
                <w:highlight w:val="none"/>
                <w:lang w:val="zh-CN"/>
              </w:rPr>
            </w:r>
            <w:r/>
          </w:p>
        </w:tc>
      </w:tr>
      <w:tr>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招标文件获取时间、地点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自招标文件公告发布之日起至2026年5月</w:t>
            </w:r>
            <w:r>
              <w:rPr>
                <w:rFonts w:hint="eastAsia" w:ascii="宋体" w:hAnsi="宋体" w:eastAsia="宋体" w:cs="宋体"/>
                <w:color w:val="000000"/>
                <w:sz w:val="21"/>
                <w:szCs w:val="21"/>
                <w:highlight w:val="none"/>
                <w:lang w:val="zh-CN" w:eastAsia="zh-CN"/>
              </w:rPr>
              <w:t xml:space="preserve">27</w:t>
            </w:r>
            <w:r>
              <w:rPr>
                <w:rFonts w:hint="eastAsia" w:ascii="宋体" w:hAnsi="宋体" w:eastAsia="宋体" w:cs="宋体"/>
                <w:color w:val="000000"/>
                <w:sz w:val="21"/>
                <w:szCs w:val="21"/>
                <w:highlight w:val="none"/>
                <w:lang w:val="zh-CN"/>
              </w:rPr>
              <w:t xml:space="preserve">日（北京时间）</w:t>
            </w:r>
            <w:r>
              <w:rPr>
                <w:rFonts w:hint="eastAsia" w:ascii="宋体" w:hAnsi="宋体" w:eastAsia="宋体" w:cs="宋体"/>
                <w:color w:val="000000"/>
                <w:sz w:val="21"/>
                <w:szCs w:val="21"/>
                <w:highlight w:val="none"/>
                <w:lang w:val="zh-CN"/>
              </w:rPr>
            </w:r>
            <w:r/>
          </w:p>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lang w:val="zh-CN"/>
              </w:rPr>
              <w:t xml:space="preserve">免费下载</w:t>
            </w:r>
            <w:r>
              <w:rPr>
                <w:rFonts w:hint="eastAsia" w:ascii="宋体" w:hAnsi="宋体" w:eastAsia="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投标文件份数</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系统中上传一份电子投标文件。</w:t>
            </w:r>
            <w:r>
              <w:rPr>
                <w:rFonts w:hint="eastAsia" w:ascii="宋体" w:hAnsi="宋体" w:eastAsia="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电子投标文件</w:t>
            </w:r>
            <w:r>
              <w:rPr>
                <w:rFonts w:hint="eastAsia" w:ascii="宋体" w:hAnsi="宋体" w:eastAsia="宋体" w:cs="宋体"/>
                <w:color w:val="000000"/>
                <w:sz w:val="21"/>
                <w:szCs w:val="21"/>
                <w:highlight w:val="none"/>
              </w:rPr>
              <w:t xml:space="preserve">提交截止</w:t>
            </w: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2026年6月10日</w:t>
            </w:r>
            <w:r>
              <w:rPr>
                <w:rFonts w:hint="eastAsia" w:ascii="宋体" w:hAnsi="宋体" w:eastAsia="宋体" w:cs="宋体"/>
                <w:color w:val="000000"/>
                <w:sz w:val="21"/>
                <w:szCs w:val="21"/>
                <w:highlight w:val="none"/>
              </w:rPr>
              <w:t xml:space="preserve">09:30</w:t>
            </w:r>
            <w:r>
              <w:rPr>
                <w:rFonts w:hint="eastAsia" w:ascii="宋体" w:hAnsi="宋体" w:eastAsia="宋体" w:cs="宋体"/>
                <w:color w:val="000000"/>
                <w:sz w:val="21"/>
                <w:szCs w:val="21"/>
                <w:highlight w:val="none"/>
                <w:lang w:val="zh-CN"/>
              </w:rPr>
              <w:t xml:space="preserve">（北京时间）</w:t>
            </w:r>
            <w:r>
              <w:rPr>
                <w:rFonts w:hint="eastAsia" w:ascii="宋体" w:hAnsi="宋体" w:eastAsia="宋体" w:cs="宋体"/>
                <w:color w:val="000000"/>
                <w:sz w:val="21"/>
                <w:szCs w:val="21"/>
                <w:highlight w:val="none"/>
                <w:lang w:val="zh-CN"/>
              </w:rPr>
            </w:r>
            <w:r/>
          </w:p>
        </w:tc>
      </w:tr>
      <w:tr>
        <w:trPr>
          <w:trHeight w:val="440"/>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投标文件递交地点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rPr>
            </w:r>
            <w:r/>
          </w:p>
        </w:tc>
      </w:tr>
      <w:tr>
        <w:trPr>
          <w:trHeight w:val="414"/>
        </w:trPr>
        <w:tc>
          <w:tcPr>
            <w:tcW w:w="790"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开标时间</w:t>
            </w:r>
            <w:r>
              <w:rPr>
                <w:rFonts w:hint="eastAsia" w:ascii="宋体" w:hAnsi="宋体" w:eastAsia="宋体" w:cs="宋体"/>
                <w:color w:val="000000"/>
                <w:sz w:val="21"/>
                <w:szCs w:val="21"/>
                <w:highlight w:val="none"/>
                <w:lang w:val="zh-CN"/>
              </w:rPr>
            </w:r>
            <w:r/>
          </w:p>
          <w:p>
            <w:pPr>
              <w:pStyle w:val="909"/>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lang w:eastAsia="zh-CN"/>
              </w:rPr>
              <w:t xml:space="preserve">2026年6月10日</w:t>
            </w:r>
            <w:r>
              <w:rPr>
                <w:rFonts w:hint="eastAsia" w:ascii="宋体" w:hAnsi="宋体" w:eastAsia="宋体" w:cs="宋体"/>
                <w:color w:val="000000"/>
                <w:sz w:val="21"/>
                <w:szCs w:val="21"/>
                <w:highlight w:val="none"/>
              </w:rPr>
              <w:t xml:space="preserve">09:30</w:t>
            </w:r>
            <w:r>
              <w:rPr>
                <w:rFonts w:hint="eastAsia" w:ascii="宋体" w:hAnsi="宋体" w:eastAsia="宋体" w:cs="宋体"/>
                <w:color w:val="000000"/>
                <w:sz w:val="21"/>
                <w:szCs w:val="21"/>
                <w:highlight w:val="none"/>
                <w:lang w:val="zh-CN"/>
              </w:rPr>
              <w:t xml:space="preserve">（北京时间）</w:t>
            </w:r>
            <w:r>
              <w:rPr>
                <w:rFonts w:hint="eastAsia" w:ascii="宋体" w:hAnsi="宋体" w:eastAsia="宋体" w:cs="宋体"/>
                <w:color w:val="000000"/>
                <w:sz w:val="21"/>
                <w:szCs w:val="21"/>
                <w:highlight w:val="none"/>
                <w:lang w:val="zh-CN"/>
              </w:rPr>
            </w:r>
            <w:r/>
          </w:p>
          <w:p>
            <w:pPr>
              <w:pStyle w:val="909"/>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lang w:val="zh-CN"/>
              </w:rPr>
              <w:t xml:space="preserve">苏州工业园区公共资源交易中心开标室（具体开标室见服务大厅显示屏）</w:t>
            </w:r>
            <w:r>
              <w:rPr>
                <w:rFonts w:hint="eastAsia" w:ascii="宋体" w:hAnsi="宋体" w:eastAsia="宋体" w:cs="宋体"/>
                <w:color w:val="000000"/>
                <w:sz w:val="21"/>
                <w:szCs w:val="21"/>
                <w:highlight w:val="none"/>
                <w:lang w:val="zh-CN"/>
              </w:rPr>
            </w:r>
            <w:r/>
          </w:p>
        </w:tc>
      </w:tr>
      <w:tr>
        <w:trPr>
          <w:trHeight w:val="895"/>
        </w:trPr>
        <w:tc>
          <w:tcPr>
            <w:tcW w:w="790" w:type="dxa"/>
            <w:vAlign w:val="center"/>
            <w:textDirection w:val="lrTb"/>
            <w:noWrap w:val="false"/>
          </w:tcPr>
          <w:p>
            <w:pPr>
              <w:pStyle w:val="909"/>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val="zh-CN"/>
              </w:rPr>
              <w:t xml:space="preserve">费</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909"/>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（1）收取原因：本项目预算金额包含代理费，根据代理协议本项目的代理费由中标人支付。</w:t>
            </w:r>
            <w:r>
              <w:rPr>
                <w:rFonts w:hint="eastAsia" w:ascii="宋体" w:hAnsi="宋体" w:eastAsia="宋体" w:cs="宋体"/>
                <w:color w:val="000000"/>
                <w:sz w:val="21"/>
                <w:szCs w:val="21"/>
                <w:highlight w:val="none"/>
                <w:lang w:val="en-US" w:eastAsia="zh-CN"/>
              </w:rPr>
            </w:r>
            <w:r/>
          </w:p>
          <w:p>
            <w:pPr>
              <w:pStyle w:val="909"/>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（2）收取方式：</w:t>
            </w:r>
            <w:r>
              <w:rPr>
                <w:rFonts w:hint="eastAsia" w:ascii="宋体" w:hAnsi="宋体" w:eastAsia="宋体" w:cs="宋体"/>
                <w:color w:val="000000"/>
                <w:sz w:val="21"/>
                <w:szCs w:val="21"/>
                <w:highlight w:val="none"/>
              </w:rPr>
              <w:t xml:space="preserve">领取中标通知书时中标人向采购代理机构</w:t>
            </w:r>
            <w:r>
              <w:rPr>
                <w:rFonts w:hint="eastAsia" w:ascii="宋体" w:hAnsi="宋体" w:eastAsia="宋体" w:cs="宋体"/>
                <w:color w:val="000000"/>
                <w:sz w:val="21"/>
                <w:szCs w:val="21"/>
                <w:highlight w:val="none"/>
                <w:lang w:val="en-US" w:eastAsia="zh-CN"/>
              </w:rPr>
              <w:t xml:space="preserve">一次性</w:t>
            </w:r>
            <w:r>
              <w:rPr>
                <w:rFonts w:hint="eastAsia" w:ascii="宋体" w:hAnsi="宋体" w:eastAsia="宋体" w:cs="宋体"/>
                <w:color w:val="000000"/>
                <w:sz w:val="21"/>
                <w:szCs w:val="21"/>
                <w:highlight w:val="none"/>
              </w:rPr>
              <w:t xml:space="preserve">支付</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rPr>
              <w:t xml:space="preserve">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0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（3）收取标准：</w:t>
            </w:r>
            <w:r>
              <w:rPr>
                <w:rFonts w:hint="eastAsia" w:ascii="宋体" w:hAnsi="宋体" w:eastAsia="宋体" w:cs="宋体"/>
                <w:color w:val="000000"/>
                <w:sz w:val="21"/>
                <w:szCs w:val="21"/>
                <w:highlight w:val="none"/>
              </w:rPr>
              <w:t xml:space="preserve">按预算总金额的如下比例差额定率累进法计算</w:t>
            </w:r>
            <w:r>
              <w:rPr>
                <w:rFonts w:hint="eastAsia" w:ascii="宋体" w:hAnsi="宋体" w:eastAsia="宋体" w:cs="宋体"/>
                <w:color w:val="000000"/>
                <w:sz w:val="21"/>
                <w:szCs w:val="21"/>
                <w:highlight w:val="none"/>
                <w:lang w:val="en-US" w:eastAsia="zh-CN"/>
              </w:rPr>
              <w:t xml:space="preserve">代理费</w:t>
            </w:r>
            <w:r>
              <w:rPr>
                <w:rFonts w:hint="eastAsia" w:ascii="宋体" w:hAnsi="宋体" w:eastAsia="宋体" w:cs="宋体"/>
                <w:color w:val="000000"/>
                <w:sz w:val="21"/>
                <w:szCs w:val="21"/>
                <w:highlight w:val="none"/>
              </w:rPr>
              <w:t xml:space="preserve">总收取额。</w:t>
            </w:r>
            <w:r>
              <w:rPr>
                <w:rFonts w:hint="eastAsia" w:ascii="宋体" w:hAnsi="宋体" w:eastAsia="宋体" w:cs="宋体"/>
                <w:color w:val="000000"/>
                <w:sz w:val="21"/>
                <w:szCs w:val="21"/>
                <w:highlight w:val="none"/>
              </w:rPr>
            </w:r>
            <w:r/>
          </w:p>
          <w:p>
            <w:pPr>
              <w:pStyle w:val="90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100万元以下部分1.5%</w:t>
            </w:r>
            <w:r>
              <w:rPr>
                <w:rFonts w:hint="eastAsia" w:ascii="宋体" w:hAnsi="宋体" w:eastAsia="宋体" w:cs="宋体"/>
                <w:color w:val="000000"/>
                <w:sz w:val="21"/>
                <w:szCs w:val="21"/>
                <w:highlight w:val="none"/>
              </w:rPr>
            </w:r>
            <w:r/>
          </w:p>
          <w:p>
            <w:pPr>
              <w:pStyle w:val="909"/>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100万元（含）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500万元部分1.1%</w:t>
            </w:r>
            <w:r>
              <w:rPr>
                <w:rFonts w:hint="eastAsia" w:ascii="宋体" w:hAnsi="宋体" w:eastAsia="宋体" w:cs="宋体"/>
                <w:color w:val="000000"/>
                <w:sz w:val="21"/>
                <w:szCs w:val="21"/>
                <w:highlight w:val="none"/>
              </w:rPr>
            </w:r>
            <w:r/>
          </w:p>
          <w:p>
            <w:pPr>
              <w:pStyle w:val="909"/>
              <w:jc w:val="both"/>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00万元（含）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00万元部分</w:t>
            </w: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909"/>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收取依据：《苏州市级政府采购代理服务收费公告信息表第一批》（苏财购告〔2016〕31号）</w:t>
            </w:r>
            <w:r>
              <w:rPr>
                <w:rFonts w:hint="eastAsia" w:ascii="宋体" w:hAnsi="宋体" w:eastAsia="宋体" w:cs="宋体"/>
                <w:color w:val="000000"/>
                <w:highlight w:val="none"/>
                <w:lang w:val="en-US" w:eastAsia="zh-CN"/>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w:t>
            </w:r>
            <w:r>
              <w:rPr>
                <w:rFonts w:hint="eastAsia" w:ascii="宋体" w:hAnsi="宋体" w:eastAsia="宋体" w:cs="宋体"/>
                <w:b/>
                <w:bCs/>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导致废标因素</w:t>
            </w:r>
            <w:r>
              <w:rPr>
                <w:rFonts w:hint="eastAsia" w:ascii="宋体" w:hAnsi="宋体" w:eastAsia="宋体" w:cs="宋体"/>
                <w:b/>
                <w:bCs/>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出现下列情形之一的，为废标： </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（一）符合专业条件的供应商或者对招标文件作实质响应的供应商不足三家的； </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（二）出现影响采购公正的违法、违规行为的； </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（三）投标人的报价均超过了采购预算或者最高限价，采购人不能支付的； </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（四）因重大变故，采购任务取消的。 </w:t>
            </w:r>
            <w:r>
              <w:rPr>
                <w:rFonts w:hint="eastAsia" w:ascii="宋体" w:hAnsi="宋体" w:eastAsia="宋体" w:cs="宋体"/>
                <w:b/>
                <w:bCs/>
                <w:color w:val="000000"/>
                <w:sz w:val="21"/>
                <w:szCs w:val="21"/>
                <w:highlight w:val="none"/>
                <w:lang w:val="zh-CN"/>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w:t>
            </w:r>
            <w:r>
              <w:rPr>
                <w:rFonts w:hint="eastAsia" w:ascii="宋体" w:hAnsi="宋体" w:eastAsia="宋体" w:cs="宋体"/>
                <w:b/>
                <w:bCs/>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导致无效标</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因素</w:t>
            </w:r>
            <w:r>
              <w:rPr>
                <w:rFonts w:hint="eastAsia" w:ascii="宋体" w:hAnsi="宋体" w:eastAsia="宋体" w:cs="宋体"/>
                <w:b/>
                <w:bCs/>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投标文件属下列情况之一的，在资格性、符合性检查时按照无效投标处理：</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val="zh-CN"/>
              </w:rPr>
              <w:t xml:space="preserve">）投标文件未按招标文件要求</w:t>
            </w:r>
            <w:r>
              <w:rPr>
                <w:rFonts w:hint="eastAsia" w:ascii="宋体" w:hAnsi="宋体" w:eastAsia="宋体" w:cs="宋体"/>
                <w:b/>
                <w:bCs/>
                <w:color w:val="000000"/>
                <w:sz w:val="21"/>
                <w:szCs w:val="21"/>
                <w:highlight w:val="none"/>
              </w:rPr>
              <w:t xml:space="preserve">签章、上传的</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zh-CN"/>
              </w:rPr>
              <w:t xml:space="preserve">）不具备招标文件中规定的资格要求的；</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）报价超过招标文件中规定的预算金额或者最高限价的；</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zh-CN"/>
              </w:rPr>
              <w:t xml:space="preserve">）投标文件含有采购人不能接受的附加条件的；</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五</w:t>
            </w:r>
            <w:r>
              <w:rPr>
                <w:rFonts w:hint="eastAsia" w:ascii="宋体" w:hAnsi="宋体" w:eastAsia="宋体" w:cs="宋体"/>
                <w:b/>
                <w:bCs/>
                <w:color w:val="000000"/>
                <w:sz w:val="21"/>
                <w:szCs w:val="21"/>
                <w:highlight w:val="none"/>
                <w:lang w:val="zh-CN"/>
              </w:rPr>
              <w:t xml:space="preserve">）法律、法规和招标文件规定的其他无效情形；</w:t>
            </w:r>
            <w:r>
              <w:rPr>
                <w:rFonts w:hint="eastAsia" w:ascii="宋体" w:hAnsi="宋体" w:eastAsia="宋体" w:cs="宋体"/>
                <w:b/>
                <w:bCs/>
                <w:color w:val="000000"/>
                <w:sz w:val="21"/>
                <w:szCs w:val="21"/>
                <w:highlight w:val="none"/>
                <w:lang w:val="zh-CN"/>
              </w:rPr>
            </w:r>
            <w:r/>
          </w:p>
          <w:p>
            <w:pPr>
              <w:pStyle w:val="909"/>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highlight w:val="none"/>
                <w:lang w:val="zh-CN"/>
              </w:rPr>
              <w:t xml:space="preserve">）不同投标（响应）文件制作机器码一致，表明各投标（响应）文件在同一台电脑上制作，各供应商之间涉嫌串通投标，将作为无效投标处理。</w:t>
            </w:r>
            <w:r>
              <w:rPr>
                <w:rFonts w:hint="eastAsia" w:ascii="宋体" w:hAnsi="宋体" w:eastAsia="宋体" w:cs="宋体"/>
                <w:b/>
                <w:bCs/>
                <w:color w:val="000000"/>
                <w:sz w:val="21"/>
                <w:szCs w:val="21"/>
                <w:highlight w:val="none"/>
                <w:lang w:val="zh-CN"/>
              </w:rPr>
            </w:r>
            <w:r/>
          </w:p>
        </w:tc>
      </w:tr>
    </w:tbl>
    <w:p>
      <w:pPr>
        <w:pStyle w:val="909"/>
        <w:jc w:val="center"/>
        <w:rPr>
          <w:rFonts w:hint="eastAsia" w:ascii="宋体" w:hAnsi="宋体" w:eastAsia="宋体" w:cs="宋体"/>
          <w:color w:val="000000"/>
          <w:sz w:val="36"/>
          <w:szCs w:val="36"/>
          <w:highlight w:val="none"/>
        </w:rPr>
      </w:pPr>
      <w:r/>
      <w:bookmarkStart w:id="1" w:name="_Toc142194255"/>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第一章  投标邀请函</w:t>
      </w:r>
      <w:bookmarkEnd w:id="1"/>
      <w:r>
        <w:rPr>
          <w:rFonts w:hint="eastAsia" w:ascii="宋体" w:hAnsi="宋体" w:eastAsia="宋体" w:cs="宋体"/>
          <w:color w:val="000000"/>
          <w:sz w:val="36"/>
          <w:szCs w:val="36"/>
          <w:highlight w:val="none"/>
        </w:rPr>
      </w:r>
      <w:r/>
    </w:p>
    <w:p>
      <w:pPr>
        <w:pStyle w:val="909"/>
        <w:ind w:right="32" w:firstLine="36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18"/>
          <w:highlight w:val="none"/>
          <w:u w:val="single"/>
        </w:rPr>
        <w:t xml:space="preserve">                              ：</w:t>
      </w:r>
      <w:r>
        <w:rPr>
          <w:rFonts w:hint="eastAsia" w:ascii="宋体" w:hAnsi="宋体" w:eastAsia="宋体" w:cs="宋体"/>
          <w:color w:val="000000"/>
          <w:sz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苏州工业园区唯亭街道办事处之委托，苏州市卫康招投标咨询服务有限公司作为采购代理机构，对其所需的2026-2028唯亭街道社会工作站（室）运营服务项目进行国内公开招标。欢迎符合资格条件的供应商前来参加投标。</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1、招标编号：</w:t>
      </w:r>
      <w:r>
        <w:rPr>
          <w:rFonts w:hint="eastAsia" w:ascii="宋体" w:hAnsi="宋体" w:eastAsia="宋体" w:cs="宋体"/>
          <w:color w:val="000000"/>
          <w:sz w:val="21"/>
          <w:szCs w:val="21"/>
          <w:highlight w:val="none"/>
          <w:lang w:eastAsia="zh-CN"/>
        </w:rPr>
        <w:t xml:space="preserve">JSZC-320591-SZWK-G2026-0128</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2、采购内容：2026-2028唯亭街道社会工作站（室）运营服务项目</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3、采购预算：530</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包含代理费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4、最高限价：无</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5、合同履行期限：两年（2026年6月至2028年6月）。</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电子投标文件</w:t>
      </w:r>
      <w:r>
        <w:rPr>
          <w:rFonts w:hint="eastAsia" w:ascii="宋体" w:hAnsi="宋体" w:eastAsia="宋体" w:cs="宋体"/>
          <w:color w:val="000000"/>
          <w:sz w:val="21"/>
          <w:szCs w:val="21"/>
          <w:highlight w:val="none"/>
        </w:rPr>
        <w:t xml:space="preserve">提交截止</w:t>
      </w: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2026年6月10日</w:t>
      </w:r>
      <w:r>
        <w:rPr>
          <w:rFonts w:hint="eastAsia" w:ascii="宋体" w:hAnsi="宋体" w:eastAsia="宋体" w:cs="宋体"/>
          <w:color w:val="000000"/>
          <w:sz w:val="21"/>
          <w:szCs w:val="21"/>
          <w:highlight w:val="none"/>
        </w:rPr>
        <w:t xml:space="preserve">09:30（北京时间）</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7、开标时间：</w:t>
      </w:r>
      <w:r>
        <w:rPr>
          <w:rFonts w:hint="eastAsia" w:ascii="宋体" w:hAnsi="宋体" w:eastAsia="宋体" w:cs="宋体"/>
          <w:color w:val="000000"/>
          <w:sz w:val="21"/>
          <w:szCs w:val="21"/>
          <w:highlight w:val="none"/>
          <w:lang w:eastAsia="zh-CN"/>
        </w:rPr>
        <w:t xml:space="preserve">2026年6月10日</w:t>
      </w:r>
      <w:r>
        <w:rPr>
          <w:rFonts w:hint="eastAsia" w:ascii="宋体" w:hAnsi="宋体" w:eastAsia="宋体" w:cs="宋体"/>
          <w:color w:val="000000"/>
          <w:sz w:val="21"/>
          <w:szCs w:val="21"/>
          <w:highlight w:val="none"/>
        </w:rPr>
        <w:t xml:space="preserve">09:30（北京时间）</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8、开标地点：</w:t>
      </w:r>
      <w:r>
        <w:rPr>
          <w:rFonts w:hint="eastAsia" w:ascii="宋体" w:hAnsi="宋体" w:eastAsia="宋体" w:cs="宋体"/>
          <w:color w:val="000000"/>
          <w:sz w:val="21"/>
          <w:szCs w:val="21"/>
          <w:highlight w:val="none"/>
          <w:lang w:val="zh-CN"/>
        </w:rPr>
        <w:t xml:space="preserve">苏州工业园区公共资源交易中心开标室（具体开标室见服务大厅显示屏）</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9、采购项目联系人及联系方式：</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（1）采购人：苏州工业园区唯亭街道办事处</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地址：苏州工业园区展业路18号展业大厦</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联系人：杨义英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rPr>
        <w:t xml:space="preserve">0512-69996935</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（2）采购代理机构：苏州市卫康招投标咨询服务有限公司</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地址：苏州市姑苏区干将西路1296号深业姑苏中心1幢17层</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联系人：郇为凯（项目负责人）、钱卫吉、李东    联系电话：0512-65158848-8019</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widowControl/>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请贵公司获取本招标文件后，认真阅读招标文件进行必要的投标准备，并按招标文件的要求编制投标文件，并按“前附表”确定的时间、地点准时参加投标。</w:t>
      </w:r>
      <w:bookmarkStart w:id="2" w:name="_Toc13642113"/>
      <w:r/>
      <w:bookmarkStart w:id="3" w:name="_Toc142194256"/>
      <w:r>
        <w:rPr>
          <w:rFonts w:hint="eastAsia" w:ascii="宋体" w:hAnsi="宋体" w:eastAsia="宋体" w:cs="宋体"/>
          <w:color w:val="000000"/>
          <w:highlight w:val="none"/>
        </w:rPr>
      </w:r>
      <w:r/>
    </w:p>
    <w:p>
      <w:pPr>
        <w:pStyle w:val="909"/>
        <w:jc w:val="center"/>
        <w:spacing w:before="50"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color w:val="000000"/>
          <w:sz w:val="36"/>
          <w:szCs w:val="36"/>
          <w:highlight w:val="none"/>
        </w:rPr>
        <w:br w:type="page" w:clear="all"/>
      </w:r>
      <w:r>
        <w:rPr>
          <w:rFonts w:hint="eastAsia" w:ascii="宋体" w:hAnsi="宋体" w:eastAsia="宋体" w:cs="宋体"/>
          <w:b/>
          <w:color w:val="000000"/>
          <w:sz w:val="32"/>
          <w:szCs w:val="32"/>
          <w:highlight w:val="none"/>
        </w:rPr>
        <w:t xml:space="preserve">第二章  投标人须知</w:t>
      </w:r>
      <w:bookmarkEnd w:id="2"/>
      <w:r/>
      <w:bookmarkEnd w:id="3"/>
      <w:r>
        <w:rPr>
          <w:rFonts w:hint="eastAsia" w:ascii="宋体" w:hAnsi="宋体" w:eastAsia="宋体" w:cs="宋体"/>
          <w:b/>
          <w:color w:val="000000"/>
          <w:sz w:val="36"/>
          <w:szCs w:val="36"/>
          <w:highlight w:val="none"/>
        </w:rPr>
      </w:r>
      <w:r/>
    </w:p>
    <w:p>
      <w:pPr>
        <w:pStyle w:val="909"/>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一、说明和释义</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1、说明</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本招标文件仅适用于苏州市卫康招投标咨询服务有限公司组织的招标活动。</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本次招标活动及因本次招标产生的合同受中国法律制约和保护。</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本招标文件的解释权属于苏州市卫康招投标咨询服务有限公司。</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2、词语释义</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采购代理机构：具体组织实施招标活动的法人。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投标人：经认定有资格响应招标，参加投标竞争的法人或其他组织或自然人。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响应：投标人根据采购代理机构发布的招标文件，编制投标文件并按规定投标的行为。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合同：采供</w:t>
      </w:r>
      <w:r>
        <w:rPr>
          <w:rFonts w:hint="eastAsia" w:ascii="宋体" w:hAnsi="宋体" w:eastAsia="宋体" w:cs="宋体"/>
          <w:color w:val="000000"/>
          <w:sz w:val="21"/>
          <w:szCs w:val="21"/>
          <w:highlight w:val="none"/>
        </w:rPr>
        <w:t xml:space="preserve">双</w:t>
      </w:r>
      <w:r>
        <w:rPr>
          <w:rFonts w:hint="eastAsia" w:ascii="宋体" w:hAnsi="宋体" w:eastAsia="宋体" w:cs="宋体"/>
          <w:color w:val="000000"/>
          <w:sz w:val="21"/>
          <w:szCs w:val="21"/>
          <w:highlight w:val="none"/>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甲方（采购方）：合同中明确规定的实际购买货物和服务的法人或其他组织或自然人（采购人） 。</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乙方（供应商）：合同中规定的向采购方提供货物和服务的法人或其他组织或自然人（中标人）。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w:t>
      </w:r>
      <w:r>
        <w:rPr>
          <w:rFonts w:hint="eastAsia" w:ascii="宋体" w:hAnsi="宋体" w:eastAsia="宋体" w:cs="宋体"/>
          <w:color w:val="000000"/>
          <w:sz w:val="21"/>
          <w:szCs w:val="21"/>
          <w:highlight w:val="none"/>
        </w:rPr>
        <w:t xml:space="preserve"> 伴随服务：</w:t>
      </w:r>
      <w:r>
        <w:rPr>
          <w:rFonts w:hint="eastAsia" w:ascii="宋体" w:hAnsi="宋体" w:eastAsia="宋体" w:cs="宋体"/>
          <w:color w:val="000000"/>
          <w:sz w:val="21"/>
          <w:szCs w:val="21"/>
          <w:highlight w:val="none"/>
          <w:lang w:val="zh-CN"/>
        </w:rPr>
        <w:t xml:space="preserve">系指本次招标文件规定乙方应承担的</w:t>
      </w:r>
      <w:r>
        <w:rPr>
          <w:rFonts w:hint="eastAsia" w:ascii="宋体" w:hAnsi="宋体" w:eastAsia="宋体" w:cs="宋体"/>
          <w:color w:val="000000"/>
          <w:sz w:val="21"/>
          <w:szCs w:val="21"/>
          <w:highlight w:val="none"/>
        </w:rPr>
        <w:t xml:space="preserve">2026-2028唯亭街道社会工作站（室）运营服务项目</w:t>
      </w:r>
      <w:r>
        <w:rPr>
          <w:rFonts w:hint="eastAsia" w:ascii="宋体" w:hAnsi="宋体" w:eastAsia="宋体" w:cs="宋体"/>
          <w:color w:val="000000"/>
          <w:sz w:val="21"/>
          <w:szCs w:val="21"/>
          <w:highlight w:val="none"/>
          <w:lang w:val="en-US" w:eastAsia="zh-CN"/>
        </w:rPr>
        <w:t xml:space="preserve">相关的辅助服务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2.8 </w:t>
      </w: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2.9 </w:t>
      </w:r>
      <w:r>
        <w:rPr>
          <w:rFonts w:hint="eastAsia" w:ascii="宋体" w:hAnsi="宋体" w:eastAsia="宋体" w:cs="宋体"/>
          <w:color w:val="000000"/>
          <w:sz w:val="21"/>
          <w:szCs w:val="21"/>
          <w:highlight w:val="none"/>
          <w:lang w:val="zh-CN"/>
        </w:rPr>
        <w:t xml:space="preserve">天：日历日。</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2.10</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服务地点：合同中明确约定的乙方服务地点。</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zh-CN"/>
        </w:rPr>
        <w:t xml:space="preserve"> 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zh-CN"/>
        </w:rPr>
        <w:t xml:space="preserve"> 不可抗力：不能预见、不能避免并且不能克服的客观情况。</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2.13 实质响应：</w:t>
      </w:r>
      <w:r>
        <w:rPr>
          <w:rFonts w:hint="eastAsia" w:ascii="宋体" w:hAnsi="宋体" w:eastAsia="宋体" w:cs="宋体"/>
          <w:color w:val="000000"/>
          <w:sz w:val="21"/>
          <w:szCs w:val="21"/>
          <w:highlight w:val="none"/>
        </w:rPr>
        <w:t xml:space="preserve">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 书面形式：指书面文字、合同书、信件和传真等可以有形地表现所载内容的形式。</w:t>
      </w:r>
      <w:r>
        <w:rPr>
          <w:rFonts w:hint="eastAsia" w:ascii="宋体" w:hAnsi="宋体" w:eastAsia="宋体" w:cs="宋体"/>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二、投标人</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3、合格投标人的资格条件</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具有独立承担民事责任的能力；</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具有良好的商业信誉和健全的财务会计制度；</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具有履行合同所必需的设备和专业技术能力；</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有依法缴纳税收和社会保障资金的良好记录；</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参加政府采购活动近三年内，在经营活动中没有重大违法记录；</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法律、行政法规规定的其他条件；</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注：参加本项目的</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应当具备上述资格要求，投标文件中必须提供以下证明文件，否则</w:t>
      </w:r>
      <w:r>
        <w:rPr>
          <w:rFonts w:hint="eastAsia" w:ascii="宋体" w:hAnsi="宋体" w:eastAsia="宋体" w:cs="宋体"/>
          <w:b/>
          <w:bCs/>
          <w:color w:val="000000"/>
          <w:sz w:val="21"/>
          <w:szCs w:val="21"/>
          <w:highlight w:val="none"/>
        </w:rPr>
        <w:t xml:space="preserve">视为资格条件不符合：</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A、具有独立承担民事责任的能力证明，包括：法人或者其他组织的营业执照等证明文件，法人授权委托书（如有），自然人的身份证明。</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B、具有良好的商业信誉和健全的财务会计制度证明，包括：</w:t>
      </w:r>
      <w:r>
        <w:rPr>
          <w:rFonts w:hint="eastAsia" w:ascii="宋体" w:hAnsi="宋体" w:eastAsia="宋体" w:cs="宋体"/>
          <w:b/>
          <w:bCs/>
          <w:color w:val="000000"/>
          <w:sz w:val="21"/>
          <w:szCs w:val="21"/>
          <w:highlight w:val="none"/>
        </w:rPr>
        <w:t xml:space="preserve">投标人2024或2025年度</w:t>
      </w:r>
      <w:r>
        <w:rPr>
          <w:rFonts w:hint="eastAsia" w:ascii="宋体" w:hAnsi="宋体" w:eastAsia="宋体" w:cs="宋体"/>
          <w:b/>
          <w:bCs/>
          <w:color w:val="000000"/>
          <w:sz w:val="21"/>
          <w:szCs w:val="21"/>
          <w:highlight w:val="none"/>
          <w:lang w:val="zh-CN"/>
        </w:rPr>
        <w:t xml:space="preserve">经审计过的财务报告或</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基本开户银行出具的资信证明或财政部门认可的政府采购专业担保机构出具的投标担保函。</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C、履行合同所必备的设备和专业技术能力的证明材料（具体要求如下）：相关技术人员</w:t>
      </w:r>
      <w:r>
        <w:rPr>
          <w:rFonts w:hint="eastAsia" w:ascii="宋体" w:hAnsi="宋体" w:eastAsia="宋体" w:cs="宋体"/>
          <w:b/>
          <w:bCs/>
          <w:color w:val="000000"/>
          <w:sz w:val="21"/>
          <w:szCs w:val="21"/>
          <w:highlight w:val="none"/>
        </w:rPr>
        <w:t xml:space="preserve">及必备的设备或承诺函</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D、有依法缴纳税收和社会保障资金的良好记录，包括：</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缴纳增值税或企业所得税的凭据，依法免税或不需要缴纳的供应商，必须提供相应的证明文件。</w:t>
      </w:r>
      <w:r>
        <w:rPr>
          <w:rFonts w:hint="eastAsia" w:ascii="宋体" w:hAnsi="宋体" w:eastAsia="宋体" w:cs="宋体"/>
          <w:b/>
          <w:bCs/>
          <w:color w:val="000000"/>
          <w:sz w:val="21"/>
          <w:szCs w:val="21"/>
          <w:highlight w:val="none"/>
        </w:rPr>
        <w:t xml:space="preserve">投标人缴纳社保的凭证，</w:t>
      </w:r>
      <w:r>
        <w:rPr>
          <w:rFonts w:hint="eastAsia" w:ascii="宋体" w:hAnsi="宋体" w:eastAsia="宋体" w:cs="宋体"/>
          <w:b/>
          <w:bCs/>
          <w:color w:val="000000"/>
          <w:sz w:val="21"/>
          <w:szCs w:val="21"/>
          <w:highlight w:val="none"/>
          <w:lang w:val="zh-CN"/>
        </w:rPr>
        <w:t xml:space="preserve">不需要缴纳的供应商，必须提供相应的证明文件。</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E、</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参加政府采购活动</w:t>
      </w:r>
      <w:r>
        <w:rPr>
          <w:rFonts w:hint="eastAsia" w:ascii="宋体" w:hAnsi="宋体" w:eastAsia="宋体" w:cs="宋体"/>
          <w:b/>
          <w:bCs/>
          <w:color w:val="000000"/>
          <w:sz w:val="21"/>
          <w:szCs w:val="21"/>
          <w:highlight w:val="none"/>
        </w:rPr>
        <w:t xml:space="preserve">近</w:t>
      </w:r>
      <w:r>
        <w:rPr>
          <w:rFonts w:hint="eastAsia" w:ascii="宋体" w:hAnsi="宋体" w:eastAsia="宋体" w:cs="宋体"/>
          <w:b/>
          <w:bCs/>
          <w:color w:val="000000"/>
          <w:sz w:val="21"/>
          <w:szCs w:val="21"/>
          <w:highlight w:val="none"/>
          <w:lang w:val="zh-CN"/>
        </w:rPr>
        <w:t xml:space="preserve">3年内在经营活动中没有重大违法记录的书面声明函。</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4、投标人代表</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5、投标费用 </w:t>
      </w:r>
      <w:r>
        <w:rPr>
          <w:rFonts w:hint="eastAsia" w:ascii="宋体" w:hAnsi="宋体" w:eastAsia="宋体" w:cs="宋体"/>
          <w:b/>
          <w:bCs/>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无论投标过程中的做法和结果如何，投标人自行承担所有与参加投标有关的全部费用。</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6、联合投标</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zh-CN"/>
        </w:rPr>
        <w:t xml:space="preserve">不接受联合投标。</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三、招标文件的说明</w:t>
      </w:r>
      <w:r>
        <w:rPr>
          <w:rFonts w:hint="eastAsia" w:ascii="宋体" w:hAnsi="宋体" w:eastAsia="宋体" w:cs="宋体"/>
          <w:b/>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7、招标文件</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招标文件由招标文件目录所列内容组成。投标人应详细阅读招标文件的全部内容，</w:t>
      </w:r>
      <w:r>
        <w:rPr>
          <w:rFonts w:hint="eastAsia" w:ascii="宋体" w:hAnsi="宋体" w:eastAsia="宋体" w:cs="宋体"/>
          <w:color w:val="000000"/>
          <w:sz w:val="21"/>
          <w:szCs w:val="21"/>
          <w:highlight w:val="none"/>
        </w:rPr>
        <w:t xml:space="preserve">如有残缺等问题应在获取招标文件后及时向采购代理机构提出，</w:t>
      </w:r>
      <w:r>
        <w:rPr>
          <w:rFonts w:hint="eastAsia" w:ascii="宋体" w:hAnsi="宋体" w:eastAsia="宋体" w:cs="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8、招标文件的询问与澄清（</w:t>
      </w:r>
      <w:r>
        <w:rPr>
          <w:rFonts w:hint="eastAsia" w:ascii="宋体" w:hAnsi="宋体" w:eastAsia="宋体" w:cs="宋体"/>
          <w:b/>
          <w:bCs/>
          <w:color w:val="000000"/>
          <w:sz w:val="21"/>
          <w:szCs w:val="21"/>
          <w:highlight w:val="none"/>
        </w:rPr>
        <w:t xml:space="preserve">或更正</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投标人在收到招标文件后，若有问题需要询问，应于收到招标文件后按相关流程及时提出，采购代理机构将予以解答。</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采购人或者采购代理机构可以对已发出的招标文件进行必要的澄清或者修改，并发布澄清（</w:t>
      </w:r>
      <w:r>
        <w:rPr>
          <w:rFonts w:hint="eastAsia" w:ascii="宋体" w:hAnsi="宋体" w:eastAsia="宋体" w:cs="宋体"/>
          <w:color w:val="000000"/>
          <w:sz w:val="21"/>
          <w:szCs w:val="21"/>
          <w:highlight w:val="none"/>
        </w:rPr>
        <w:t xml:space="preserve">或更正</w:t>
      </w:r>
      <w:r>
        <w:rPr>
          <w:rFonts w:hint="eastAsia" w:ascii="宋体" w:hAnsi="宋体" w:eastAsia="宋体" w:cs="宋体"/>
          <w:color w:val="000000"/>
          <w:sz w:val="21"/>
          <w:szCs w:val="21"/>
          <w:highlight w:val="none"/>
          <w:lang w:val="zh-CN"/>
        </w:rPr>
        <w:t xml:space="preserve">）公告。澄清或者</w:t>
      </w:r>
      <w:r>
        <w:rPr>
          <w:rFonts w:hint="eastAsia" w:ascii="宋体" w:hAnsi="宋体" w:eastAsia="宋体" w:cs="宋体"/>
          <w:color w:val="000000"/>
          <w:sz w:val="21"/>
          <w:szCs w:val="21"/>
          <w:highlight w:val="none"/>
        </w:rPr>
        <w:t xml:space="preserve">更正</w:t>
      </w:r>
      <w:r>
        <w:rPr>
          <w:rFonts w:hint="eastAsia" w:ascii="宋体" w:hAnsi="宋体" w:eastAsia="宋体" w:cs="宋体"/>
          <w:color w:val="000000"/>
          <w:sz w:val="21"/>
          <w:szCs w:val="21"/>
          <w:highlight w:val="none"/>
          <w:lang w:val="zh-CN"/>
        </w:rPr>
        <w:t xml:space="preserve">的内容为招标文件的组成部分。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至招标文件获取截止时间，获取招标文件的潜在投标人不足3家的，采购人或采购代理机构可以顺延招标文件提供期限。</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9、招标文件的修改</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采购代理机构无论出于自己的考虑，还是出于对投标人提问的澄清，均可对招标文件用补充文件的方式进行修改。</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采购代理机构对招标文件的修改，将以</w:t>
      </w:r>
      <w:r>
        <w:rPr>
          <w:rFonts w:hint="eastAsia" w:ascii="宋体" w:hAnsi="宋体" w:eastAsia="宋体" w:cs="宋体"/>
          <w:color w:val="000000"/>
          <w:sz w:val="21"/>
          <w:szCs w:val="21"/>
          <w:highlight w:val="none"/>
        </w:rPr>
        <w:t xml:space="preserve">补充通知的形式发布</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补充通知</w:t>
      </w:r>
      <w:r>
        <w:rPr>
          <w:rFonts w:hint="eastAsia" w:ascii="宋体" w:hAnsi="宋体" w:eastAsia="宋体" w:cs="宋体"/>
          <w:color w:val="000000"/>
          <w:sz w:val="21"/>
          <w:szCs w:val="21"/>
          <w:highlight w:val="none"/>
          <w:lang w:val="zh-CN"/>
        </w:rPr>
        <w:t xml:space="preserve">将作为招标文件的组成部分，对所有投标人有约束力。</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color w:val="000000"/>
          <w:sz w:val="21"/>
          <w:szCs w:val="21"/>
          <w:highlight w:val="none"/>
        </w:rPr>
        <w:t xml:space="preserve">发布补充通知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10、质疑</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根据财政部94号令第十一条规定，提出质疑的</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zh-CN"/>
        </w:rPr>
        <w:t xml:space="preserve">应当是参与所质疑项目采购活动的供应商。潜在供应商应当依法</w:t>
      </w:r>
      <w:r>
        <w:rPr>
          <w:rFonts w:hint="eastAsia" w:ascii="宋体" w:hAnsi="宋体" w:eastAsia="宋体" w:cs="宋体"/>
          <w:color w:val="000000"/>
          <w:sz w:val="21"/>
          <w:szCs w:val="21"/>
          <w:highlight w:val="none"/>
        </w:rPr>
        <w:t xml:space="preserve">获取</w:t>
      </w:r>
      <w:r>
        <w:rPr>
          <w:rFonts w:hint="eastAsia" w:ascii="宋体" w:hAnsi="宋体" w:eastAsia="宋体" w:cs="宋体"/>
          <w:color w:val="000000"/>
          <w:sz w:val="21"/>
          <w:szCs w:val="21"/>
          <w:highlight w:val="none"/>
          <w:lang w:val="zh-CN"/>
        </w:rPr>
        <w:t xml:space="preserve">本</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后可以依法进行质疑。</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接受质疑函的方式：当场送达或邮寄方式</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联系单位：苏州市卫康招投标咨询服务有限公司</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联系电话：0512-65158848</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通讯地址：苏州市姑苏区干将西路1296号深业姑苏中心1幢17层 </w:t>
      </w:r>
      <w:r>
        <w:rPr>
          <w:rFonts w:hint="eastAsia" w:ascii="宋体" w:hAnsi="宋体" w:eastAsia="宋体" w:cs="宋体"/>
          <w:color w:val="000000"/>
          <w:sz w:val="21"/>
          <w:szCs w:val="21"/>
          <w:highlight w:val="none"/>
        </w:rPr>
        <w:t xml:space="preserve">郇为凯</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四、投标文件说明</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11、提示与要求</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无论</w:t>
      </w:r>
      <w:r>
        <w:rPr>
          <w:rFonts w:hint="eastAsia" w:ascii="宋体" w:hAnsi="宋体" w:eastAsia="宋体" w:cs="宋体"/>
          <w:color w:val="000000"/>
          <w:sz w:val="21"/>
          <w:szCs w:val="21"/>
          <w:highlight w:val="none"/>
        </w:rPr>
        <w:t xml:space="preserve">是否提交</w:t>
      </w:r>
      <w:r>
        <w:rPr>
          <w:rFonts w:hint="eastAsia" w:ascii="宋体" w:hAnsi="宋体" w:eastAsia="宋体" w:cs="宋体"/>
          <w:color w:val="000000"/>
          <w:sz w:val="21"/>
          <w:szCs w:val="21"/>
          <w:highlight w:val="none"/>
          <w:lang w:val="zh-CN"/>
        </w:rPr>
        <w:t xml:space="preserve">投标文件，投标人都应将招标文件及以后的所有通知、文件等视为保密文件。</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12、投标文件计量单位和使用文字</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投标文件中所使用的计量单位，除招标文件中有特殊要求外，均应使用中华人民共和国法定计量单位。</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13、投标文件的组成</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 封面</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 投标函</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 开标一览表</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 法定代表人授权书</w:t>
      </w:r>
      <w:r>
        <w:rPr>
          <w:rFonts w:hint="eastAsia" w:ascii="宋体" w:hAnsi="宋体" w:eastAsia="宋体" w:cs="宋体"/>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 </w:t>
      </w:r>
      <w:r>
        <w:rPr>
          <w:rFonts w:hint="eastAsia" w:ascii="宋体" w:hAnsi="宋体" w:eastAsia="宋体" w:cs="宋体"/>
          <w:b/>
          <w:bCs/>
          <w:color w:val="000000"/>
          <w:sz w:val="21"/>
          <w:szCs w:val="21"/>
          <w:highlight w:val="none"/>
          <w:lang w:val="zh-CN"/>
        </w:rPr>
        <w:t xml:space="preserve">资格证明</w:t>
      </w:r>
      <w:r>
        <w:rPr>
          <w:rFonts w:hint="eastAsia" w:ascii="宋体" w:hAnsi="宋体" w:eastAsia="宋体" w:cs="宋体"/>
          <w:b/>
          <w:bCs/>
          <w:color w:val="000000"/>
          <w:sz w:val="21"/>
          <w:szCs w:val="21"/>
          <w:highlight w:val="none"/>
        </w:rPr>
        <w:t xml:space="preserve">文件（如不提供或提供材料不符合要求则属于无效投标）</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13.5.1 </w:t>
      </w:r>
      <w:r>
        <w:rPr>
          <w:rFonts w:hint="eastAsia" w:ascii="宋体" w:hAnsi="宋体" w:eastAsia="宋体" w:cs="宋体"/>
          <w:b/>
          <w:bCs/>
          <w:color w:val="000000"/>
          <w:sz w:val="21"/>
          <w:szCs w:val="21"/>
          <w:highlight w:val="none"/>
          <w:lang w:val="zh-CN"/>
        </w:rPr>
        <w:t xml:space="preserve">具有独立承担民事责任的能力证明，包括：法人或者其他组织的营业执照等证明文件，法人授权委托书（如有），自然人的身份证明。</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13.5.2 </w:t>
      </w:r>
      <w:r>
        <w:rPr>
          <w:rFonts w:hint="eastAsia" w:ascii="宋体" w:hAnsi="宋体" w:eastAsia="宋体" w:cs="宋体"/>
          <w:b/>
          <w:bCs/>
          <w:color w:val="000000"/>
          <w:sz w:val="21"/>
          <w:szCs w:val="21"/>
          <w:highlight w:val="none"/>
          <w:lang w:val="zh-CN"/>
        </w:rPr>
        <w:t xml:space="preserve">具有良好的商业信誉和健全的财务会计制度证明，包括：</w:t>
      </w:r>
      <w:r>
        <w:rPr>
          <w:rFonts w:hint="eastAsia" w:ascii="宋体" w:hAnsi="宋体" w:eastAsia="宋体" w:cs="宋体"/>
          <w:b/>
          <w:bCs/>
          <w:color w:val="000000"/>
          <w:sz w:val="21"/>
          <w:szCs w:val="21"/>
          <w:highlight w:val="none"/>
        </w:rPr>
        <w:t xml:space="preserve">投标人2024或2025年度</w:t>
      </w:r>
      <w:r>
        <w:rPr>
          <w:rFonts w:hint="eastAsia" w:ascii="宋体" w:hAnsi="宋体" w:eastAsia="宋体" w:cs="宋体"/>
          <w:b/>
          <w:bCs/>
          <w:color w:val="000000"/>
          <w:sz w:val="21"/>
          <w:szCs w:val="21"/>
          <w:highlight w:val="none"/>
          <w:lang w:val="zh-CN"/>
        </w:rPr>
        <w:t xml:space="preserve">经审计过的财务报告或</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基本开户银行出具的资信证明或财政部门认可的政府采购专业担保机构出具的投标担保函。</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13.5.3 </w:t>
      </w:r>
      <w:r>
        <w:rPr>
          <w:rFonts w:hint="eastAsia" w:ascii="宋体" w:hAnsi="宋体" w:eastAsia="宋体" w:cs="宋体"/>
          <w:b/>
          <w:bCs/>
          <w:color w:val="000000"/>
          <w:sz w:val="21"/>
          <w:szCs w:val="21"/>
          <w:highlight w:val="none"/>
          <w:lang w:val="zh-CN"/>
        </w:rPr>
        <w:t xml:space="preserve">履行合同所必备的设备和专业技术能力的证明材料（具体要求如下）：相关技术人员</w:t>
      </w:r>
      <w:r>
        <w:rPr>
          <w:rFonts w:hint="eastAsia" w:ascii="宋体" w:hAnsi="宋体" w:eastAsia="宋体" w:cs="宋体"/>
          <w:b/>
          <w:bCs/>
          <w:color w:val="000000"/>
          <w:sz w:val="21"/>
          <w:szCs w:val="21"/>
          <w:highlight w:val="none"/>
        </w:rPr>
        <w:t xml:space="preserve">及必备的设备或承诺函</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13.5.4 </w:t>
      </w:r>
      <w:r>
        <w:rPr>
          <w:rFonts w:hint="eastAsia" w:ascii="宋体" w:hAnsi="宋体" w:eastAsia="宋体" w:cs="宋体"/>
          <w:b/>
          <w:bCs/>
          <w:color w:val="000000"/>
          <w:sz w:val="21"/>
          <w:szCs w:val="21"/>
          <w:highlight w:val="none"/>
          <w:lang w:val="zh-CN"/>
        </w:rPr>
        <w:t xml:space="preserve">有依法缴纳税收和社会保障资金的良好记录，包括：</w:t>
      </w:r>
      <w:r>
        <w:rPr>
          <w:rFonts w:hint="eastAsia" w:ascii="宋体" w:hAnsi="宋体" w:eastAsia="宋体" w:cs="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rPr>
        <w:t xml:space="preserve">缴纳增值税或企业所得税的凭据，依法免税或不需要缴纳的供应商，必须提供相应的证明文件。</w:t>
      </w:r>
      <w:r>
        <w:rPr>
          <w:rFonts w:hint="eastAsia" w:ascii="宋体" w:hAnsi="宋体" w:eastAsia="宋体" w:cs="宋体"/>
          <w:b/>
          <w:bCs/>
          <w:color w:val="000000"/>
          <w:sz w:val="21"/>
          <w:szCs w:val="21"/>
          <w:highlight w:val="none"/>
        </w:rPr>
        <w:t xml:space="preserve">投标人缴纳社保的凭证，</w:t>
      </w:r>
      <w:r>
        <w:rPr>
          <w:rFonts w:hint="eastAsia" w:ascii="宋体" w:hAnsi="宋体" w:eastAsia="宋体" w:cs="宋体"/>
          <w:b/>
          <w:bCs/>
          <w:color w:val="000000"/>
          <w:sz w:val="21"/>
          <w:szCs w:val="21"/>
          <w:highlight w:val="none"/>
          <w:lang w:val="zh-CN"/>
        </w:rPr>
        <w:t xml:space="preserve">不需要缴纳的供应商，必须提供相应的证明文件。</w:t>
      </w:r>
      <w:r>
        <w:rPr>
          <w:rFonts w:hint="eastAsia" w:ascii="宋体" w:hAnsi="宋体" w:eastAsia="宋体" w:cs="宋体"/>
          <w:b/>
          <w:bCs/>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13.5.5 投标人</w:t>
      </w:r>
      <w:r>
        <w:rPr>
          <w:rFonts w:hint="eastAsia" w:ascii="宋体" w:hAnsi="宋体" w:eastAsia="宋体" w:cs="宋体"/>
          <w:b/>
          <w:bCs/>
          <w:color w:val="000000"/>
          <w:sz w:val="21"/>
          <w:szCs w:val="21"/>
          <w:highlight w:val="none"/>
          <w:lang w:val="zh-CN"/>
        </w:rPr>
        <w:t xml:space="preserve">参加政府采购活动</w:t>
      </w:r>
      <w:r>
        <w:rPr>
          <w:rFonts w:hint="eastAsia" w:ascii="宋体" w:hAnsi="宋体" w:eastAsia="宋体" w:cs="宋体"/>
          <w:b/>
          <w:bCs/>
          <w:color w:val="000000"/>
          <w:sz w:val="21"/>
          <w:szCs w:val="21"/>
          <w:highlight w:val="none"/>
        </w:rPr>
        <w:t xml:space="preserve">近</w:t>
      </w:r>
      <w:r>
        <w:rPr>
          <w:rFonts w:hint="eastAsia" w:ascii="宋体" w:hAnsi="宋体" w:eastAsia="宋体" w:cs="宋体"/>
          <w:b/>
          <w:bCs/>
          <w:color w:val="000000"/>
          <w:sz w:val="21"/>
          <w:szCs w:val="21"/>
          <w:highlight w:val="none"/>
          <w:lang w:val="zh-CN"/>
        </w:rPr>
        <w:t xml:space="preserve">3年内在经营活动中没有重大违法记录的书面声明函。</w:t>
      </w:r>
      <w:r>
        <w:rPr>
          <w:rFonts w:hint="eastAsia" w:ascii="宋体" w:hAnsi="宋体" w:eastAsia="宋体" w:cs="宋体"/>
          <w:b/>
          <w:bCs/>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13.6 偏离表</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 服务方案介绍</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 近三年内具有同类项目业绩合同复印件</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 拟投入项目成员表</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10 </w:t>
      </w:r>
      <w:r>
        <w:rPr>
          <w:rFonts w:hint="eastAsia" w:ascii="宋体" w:hAnsi="宋体" w:eastAsia="宋体" w:cs="宋体"/>
          <w:color w:val="000000"/>
          <w:sz w:val="21"/>
          <w:szCs w:val="21"/>
          <w:highlight w:val="none"/>
          <w:lang w:val="zh-CN"/>
        </w:rPr>
        <w:t xml:space="preserve">对本次投标的详细说明（投标人视各自的情况自行编制）</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13.11 </w:t>
      </w:r>
      <w:r>
        <w:rPr>
          <w:rFonts w:hint="eastAsia" w:ascii="宋体" w:hAnsi="宋体" w:eastAsia="宋体" w:cs="宋体"/>
          <w:color w:val="000000"/>
          <w:sz w:val="21"/>
          <w:szCs w:val="21"/>
          <w:highlight w:val="none"/>
          <w:lang w:val="zh-CN"/>
        </w:rPr>
        <w:t xml:space="preserve">中小企业声明函（如属）</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val="zh-CN"/>
        </w:rPr>
        <w:t xml:space="preserve">残疾人福利性单位声明函（如属）</w:t>
      </w:r>
      <w:r>
        <w:rPr>
          <w:rFonts w:hint="eastAsia" w:ascii="宋体" w:hAnsi="宋体" w:eastAsia="宋体" w:cs="宋体"/>
          <w:color w:val="000000"/>
          <w:sz w:val="21"/>
          <w:szCs w:val="21"/>
          <w:highlight w:val="none"/>
        </w:rPr>
        <w:t xml:space="preserve">或监狱企业证明材料（如属）</w:t>
      </w:r>
      <w:r>
        <w:rPr>
          <w:rFonts w:hint="eastAsia" w:ascii="宋体" w:hAnsi="宋体" w:eastAsia="宋体" w:cs="宋体"/>
          <w:color w:val="000000"/>
          <w:sz w:val="21"/>
          <w:szCs w:val="21"/>
          <w:highlight w:val="none"/>
          <w:lang w:val="zh-CN"/>
        </w:rPr>
        <w:t xml:space="preserve">和《投标保证承诺书》</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13.12 </w:t>
      </w:r>
      <w:r>
        <w:rPr>
          <w:rFonts w:hint="eastAsia" w:ascii="宋体" w:hAnsi="宋体" w:eastAsia="宋体" w:cs="宋体"/>
          <w:color w:val="000000"/>
          <w:sz w:val="21"/>
          <w:szCs w:val="21"/>
          <w:highlight w:val="none"/>
          <w:lang w:val="zh-CN"/>
        </w:rPr>
        <w:t xml:space="preserve">对本次招标有关的及评分标准要求的其它证明材料。</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tabs>
          <w:tab w:val="left" w:pos="0"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注：投标人所提交的资料文件的完整与否，将直接影响投标人的投标文件是否有效或评分高低。</w:t>
      </w:r>
      <w:r>
        <w:rPr>
          <w:rFonts w:hint="eastAsia" w:ascii="宋体" w:hAnsi="宋体" w:eastAsia="宋体" w:cs="宋体"/>
          <w:b/>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zh-CN"/>
        </w:rPr>
        <w:t xml:space="preserve">、投标保证金</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本项目无投标保证金。</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、投标文件的有效期</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自开标日起</w:t>
      </w: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lang w:val="zh-CN"/>
        </w:rPr>
        <w:t xml:space="preserve">天，投标书应保持有效。有效期短于这个规定期限的投标，将被拒绝。</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16、文件要求：</w:t>
      </w:r>
      <w:r>
        <w:rPr>
          <w:rFonts w:hint="eastAsia" w:ascii="宋体" w:hAnsi="宋体" w:eastAsia="宋体" w:cs="宋体"/>
          <w:b/>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本次投标采用电子投标。电子响应文件上传一份到系统，无须携带纸质投标文件。</w:t>
      </w:r>
      <w:r>
        <w:rPr>
          <w:rFonts w:hint="eastAsia" w:ascii="宋体" w:hAnsi="宋体" w:eastAsia="宋体" w:cs="宋体"/>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17、电子投标（响应）文件的编制与提交</w:t>
      </w:r>
      <w:r>
        <w:rPr>
          <w:rFonts w:hint="eastAsia" w:ascii="宋体" w:hAnsi="宋体" w:eastAsia="宋体" w:cs="宋体"/>
          <w:b/>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17.4、如本项目在政府采购信息发布媒体上发布了更正（补充）公告，请供应商务必在“苏采云”系统中下载更正（补充）资料，根据更正后的</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重新编制电子投标（响应）文件并递交，否则可能无法解密，因此导致的响应失败等不利后果由投标人自行承担。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17.5、电子投标文件中的资料应按</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的要求加盖投标人的电子签章或公章。</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17.6、未按照要求编制电子投标文件，未按照要求在电子投标文件上加盖电子签章的，均视为无效投标。</w:t>
      </w:r>
      <w:r>
        <w:rPr>
          <w:rFonts w:hint="eastAsia" w:ascii="宋体" w:hAnsi="宋体" w:eastAsia="宋体" w:cs="宋体"/>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18、投标供应商需保持“苏采云”系统不见面开标大厅在线状态，并按要求在规定时间内进行响应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rPr>
          <w:rFonts w:hint="eastAsia" w:ascii="宋体" w:hAnsi="宋体" w:eastAsia="宋体" w:cs="宋体"/>
          <w:b/>
          <w:bCs/>
          <w:color w:val="000000"/>
          <w:sz w:val="21"/>
          <w:szCs w:val="24"/>
          <w:highlight w:val="none"/>
        </w:rPr>
        <w:t xml:space="preserve">19、开标</w:t>
      </w:r>
      <w:r>
        <w:rPr>
          <w:rFonts w:hint="eastAsia" w:ascii="宋体" w:hAnsi="宋体" w:eastAsia="宋体" w:cs="宋体"/>
          <w:b/>
          <w:bCs/>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（2）线上参加（观看）开标（开启）会方式：登录“苏采云”系统，点击“开标大厅”，选择对应项目，点击进入不见面开标系统。</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（5）投标人在“苏采云”系统规定的时间内未成功解密电子投标文件的，投标无效。</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1"/>
          <w:szCs w:val="24"/>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20、技术支持</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在网上获取过程中如有疑问，请及时联系：</w:t>
      </w:r>
      <w:r>
        <w:rPr>
          <w:rFonts w:hint="eastAsia" w:ascii="宋体" w:hAnsi="宋体" w:eastAsia="宋体" w:cs="宋体"/>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CA技术咨询服务电话：400-608-6099</w:t>
      </w:r>
      <w:r>
        <w:rPr>
          <w:rFonts w:hint="eastAsia" w:ascii="宋体" w:hAnsi="宋体" w:eastAsia="宋体" w:cs="宋体"/>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电子签章技术咨询服务电话：15380932027、15371015030、13675197356、13675197221</w:t>
      </w:r>
      <w:r>
        <w:rPr>
          <w:rFonts w:hint="eastAsia" w:ascii="宋体" w:hAnsi="宋体" w:eastAsia="宋体" w:cs="宋体"/>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系统使用指导与咨询：联系电话：13914088964；18261002950（不见面项目）QQ：3048755361、895706745。</w:t>
      </w:r>
      <w:r>
        <w:rPr>
          <w:rFonts w:hint="eastAsia" w:ascii="宋体" w:hAnsi="宋体" w:eastAsia="宋体" w:cs="宋体"/>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21、澄清</w:t>
      </w:r>
      <w:r>
        <w:rPr>
          <w:rFonts w:hint="eastAsia" w:ascii="宋体" w:hAnsi="宋体" w:eastAsia="宋体" w:cs="宋体"/>
          <w:b/>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六、评标</w:t>
      </w:r>
      <w:r>
        <w:rPr>
          <w:rFonts w:hint="eastAsia" w:ascii="宋体" w:hAnsi="宋体" w:eastAsia="宋体" w:cs="宋体"/>
          <w:b/>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22、资格审查</w:t>
      </w:r>
      <w:r>
        <w:rPr>
          <w:rFonts w:hint="eastAsia" w:ascii="宋体" w:hAnsi="宋体" w:eastAsia="宋体" w:cs="宋体"/>
          <w:b/>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22.1</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公开招标采购项目开标结束后，采购人依法对投标人的资格进行审查。</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22.2</w:t>
      </w:r>
      <w:r>
        <w:rPr>
          <w:rFonts w:hint="eastAsia" w:ascii="宋体" w:hAnsi="宋体" w:eastAsia="宋体" w:cs="宋体"/>
          <w:color w:val="000000"/>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2.2.1 </w:t>
      </w:r>
      <w:r>
        <w:rPr>
          <w:rFonts w:hint="eastAsia" w:ascii="宋体" w:hAnsi="宋体" w:eastAsia="宋体" w:cs="宋体"/>
          <w:color w:val="000000"/>
          <w:sz w:val="21"/>
          <w:szCs w:val="21"/>
          <w:highlight w:val="none"/>
          <w:lang w:val="zh-CN"/>
        </w:rPr>
        <w:t xml:space="preserve">查询时间：投标文件递交截止时间。</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查询渠道：通过“信用中国”网站、中国政府采购网等渠道查询相关主体信用记录。</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经采购人或者采购代理机构审查供应商存在上述失信行为的，投标无效。</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4 资格审查</w:t>
      </w:r>
      <w:r>
        <w:rPr>
          <w:rFonts w:hint="eastAsia" w:ascii="宋体" w:hAnsi="宋体" w:eastAsia="宋体" w:cs="宋体"/>
          <w:color w:val="000000"/>
          <w:sz w:val="21"/>
          <w:szCs w:val="21"/>
          <w:highlight w:val="none"/>
          <w:lang w:val="zh-CN"/>
        </w:rPr>
        <w:t xml:space="preserve">合格</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zh-CN"/>
        </w:rPr>
        <w:t xml:space="preserve">投标人不足3家的，不得评标。</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23、评标委员会</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评标委员会成员依法组建；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评标委员会将对符合资格的投标人的投标文件进行符合性审查，以确定其是否满足招标文件的实质性要求；</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评标委员会负责具体的评标事务，并独立履行以下职责：</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审查、评价投标文件是否符合招标文件的商务、</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zh-CN"/>
        </w:rPr>
        <w:t xml:space="preserve">等实质性要求；</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要求投标人对投标文件有关事项作出澄清或者说明；</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对投标文件进行比较和评价；</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确定中标人；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向采购人、采购代理机构或者有关部门报告评标中发现的违法行为；</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评标委员会成员应当履行下列义务：</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遵纪守法，客观、公正、廉洁地履行职责；</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按照招标文件规定的评标办法和评标标准进行评标，对评审意见承担个人责任；</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对评标过程和结果，以及投标人的商业秘密保密；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参与评标报告的起草；</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配合招标采购人答复投标人提出的质疑；</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配合有关部门的投诉处理工作。</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24、评标内容的保密</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在评标期间，采购代理机构将通过指定联络人与投标人进行联系。</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25、对投标文件初审</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初审内容：投标文件是否实质性响应招标文件的要求、内容是否完整、价格构成是否有计算错误及文件签署是否齐全等。</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25.2 </w:t>
      </w:r>
      <w:r>
        <w:rPr>
          <w:rFonts w:hint="eastAsia" w:ascii="宋体" w:hAnsi="宋体" w:eastAsia="宋体" w:cs="宋体"/>
          <w:color w:val="000000"/>
          <w:sz w:val="21"/>
          <w:szCs w:val="21"/>
          <w:highlight w:val="none"/>
          <w:lang w:val="zh-CN"/>
        </w:rPr>
        <w:t xml:space="preserve">投标文件有下列情况之一者将被认定为无效投标：</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投标文件未按照本须知规定签署和盖章；</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投标人拒绝修正错误；</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投标人的报价是选择性的；</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投标人的报价只投了同一标段中部分内容；</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投标人的投标文件中出现评标委员会认为不应雷同的；</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其他被评标委员会认定无效的情况。</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的权利或投标人的义务，也不得对其他实质性响应的投标人的竞争地位产生不公正影响。</w:t>
      </w:r>
      <w:r>
        <w:rPr>
          <w:rFonts w:hint="eastAsia" w:ascii="宋体" w:hAnsi="宋体" w:eastAsia="宋体" w:cs="宋体"/>
          <w:b/>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投标文件报价出现前后不一致的，除招标文件另有规定外，按照下列规定修正：</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25.5.1 </w:t>
      </w: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25.5.2 </w:t>
      </w:r>
      <w:r>
        <w:rPr>
          <w:rFonts w:hint="eastAsia" w:ascii="宋体" w:hAnsi="宋体" w:eastAsia="宋体" w:cs="宋体"/>
          <w:color w:val="000000"/>
          <w:sz w:val="21"/>
          <w:szCs w:val="21"/>
          <w:highlight w:val="none"/>
          <w:lang w:val="zh-CN"/>
        </w:rPr>
        <w:t xml:space="preserve">大写金额和小写金额不一致的，以大写金额为准；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25.5.3 </w:t>
      </w: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25.5.4 </w:t>
      </w: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同时出现两种以上不一致的，按照前款规定的顺序修正。修正后的报价按照本须知2</w:t>
      </w: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zh-CN"/>
        </w:rPr>
        <w:t xml:space="preserve">条规定经投标人确认后产生约束力，投标人不确认的，其投标无效。</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除上述情形外，对投标文件的判定，只依据投标文件本身，不依靠开标后的任何外来证明。</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7 </w:t>
      </w:r>
      <w:r>
        <w:rPr>
          <w:rFonts w:hint="eastAsia" w:ascii="宋体" w:hAnsi="宋体" w:eastAsia="宋体" w:cs="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 </w:t>
      </w:r>
      <w:r>
        <w:rPr>
          <w:rFonts w:hint="eastAsia" w:ascii="宋体" w:hAnsi="宋体" w:eastAsia="宋体" w:cs="宋体"/>
          <w:color w:val="000000"/>
          <w:sz w:val="21"/>
          <w:szCs w:val="21"/>
          <w:highlight w:val="none"/>
          <w:lang w:val="zh-CN"/>
        </w:rPr>
        <w:t xml:space="preserve">对不同文字文本投标文件的解释发生异议的，以中文文本为准。</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26、废标</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26.1 在招标过程中，出现下列情况之一的，应予废标：</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26.1.1 </w:t>
      </w:r>
      <w:r>
        <w:rPr>
          <w:rFonts w:hint="eastAsia" w:ascii="宋体" w:hAnsi="宋体" w:eastAsia="宋体" w:cs="宋体"/>
          <w:color w:val="000000"/>
          <w:sz w:val="21"/>
          <w:szCs w:val="21"/>
          <w:highlight w:val="none"/>
          <w:lang w:val="zh-CN"/>
        </w:rPr>
        <w:t xml:space="preserve">符合专业条件的供应商或者对招标文件作实质响应的供应商不足三家的； </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 </w:t>
      </w:r>
      <w:r>
        <w:rPr>
          <w:rFonts w:hint="eastAsia" w:ascii="宋体" w:hAnsi="宋体" w:eastAsia="宋体" w:cs="宋体"/>
          <w:color w:val="000000"/>
          <w:sz w:val="21"/>
          <w:szCs w:val="21"/>
          <w:highlight w:val="none"/>
          <w:lang w:val="zh-CN"/>
        </w:rPr>
        <w:t xml:space="preserve">出现影响采购公正的违法、违规行为的； </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26.1.3 </w:t>
      </w:r>
      <w:r>
        <w:rPr>
          <w:rFonts w:hint="eastAsia" w:ascii="宋体" w:hAnsi="宋体" w:eastAsia="宋体" w:cs="宋体"/>
          <w:color w:val="000000"/>
          <w:sz w:val="21"/>
          <w:szCs w:val="21"/>
          <w:highlight w:val="none"/>
          <w:lang w:val="zh-CN"/>
        </w:rPr>
        <w:t xml:space="preserve">投标人的报价均超过了采购预算或者最高限价，采购人不能支付的； </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26.1.4 </w:t>
      </w:r>
      <w:r>
        <w:rPr>
          <w:rFonts w:hint="eastAsia" w:ascii="宋体" w:hAnsi="宋体" w:eastAsia="宋体" w:cs="宋体"/>
          <w:color w:val="000000"/>
          <w:sz w:val="21"/>
          <w:szCs w:val="21"/>
          <w:highlight w:val="none"/>
          <w:lang w:val="zh-CN"/>
        </w:rPr>
        <w:t xml:space="preserve">因重大变故，采购任务取消的。 </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26.2 废标后，采购代理机构将发布废标公告。</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27、投标文件的评价和比较</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评标委员会将仅对按照</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规定确定为实质上响应招标文件要求的投标文件进行商务和技术评估，综合比较与评价。</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评价和比较采用综合评分法，评标委员会严格按照招标文件的规定要求、条件、评分标准，对投标人所提供</w:t>
      </w:r>
      <w:r>
        <w:rPr>
          <w:rFonts w:hint="eastAsia" w:ascii="宋体" w:hAnsi="宋体" w:eastAsia="宋体" w:cs="宋体"/>
          <w:color w:val="000000"/>
          <w:sz w:val="21"/>
          <w:szCs w:val="21"/>
          <w:highlight w:val="none"/>
        </w:rPr>
        <w:t xml:space="preserve">保险</w:t>
      </w:r>
      <w:r>
        <w:rPr>
          <w:rFonts w:hint="eastAsia" w:ascii="宋体" w:hAnsi="宋体" w:eastAsia="宋体" w:cs="宋体"/>
          <w:color w:val="000000"/>
          <w:sz w:val="21"/>
          <w:szCs w:val="21"/>
          <w:highlight w:val="none"/>
          <w:lang w:val="zh-CN"/>
        </w:rPr>
        <w:t xml:space="preserve">服务的</w:t>
      </w:r>
      <w:r>
        <w:rPr>
          <w:rFonts w:hint="eastAsia" w:ascii="宋体" w:hAnsi="宋体" w:eastAsia="宋体" w:cs="宋体"/>
          <w:color w:val="000000"/>
          <w:sz w:val="21"/>
          <w:szCs w:val="21"/>
          <w:highlight w:val="none"/>
        </w:rPr>
        <w:t xml:space="preserve">科学</w:t>
      </w:r>
      <w:r>
        <w:rPr>
          <w:rFonts w:hint="eastAsia" w:ascii="宋体" w:hAnsi="宋体" w:eastAsia="宋体" w:cs="宋体"/>
          <w:color w:val="000000"/>
          <w:sz w:val="21"/>
          <w:szCs w:val="21"/>
          <w:highlight w:val="none"/>
          <w:lang w:val="zh-CN"/>
        </w:rPr>
        <w:t xml:space="preserve">性、可靠性、</w:t>
      </w:r>
      <w:r>
        <w:rPr>
          <w:rFonts w:hint="eastAsia" w:ascii="宋体" w:hAnsi="宋体" w:eastAsia="宋体" w:cs="宋体"/>
          <w:color w:val="000000"/>
          <w:sz w:val="21"/>
          <w:szCs w:val="21"/>
          <w:highlight w:val="none"/>
        </w:rPr>
        <w:t xml:space="preserve">履约</w:t>
      </w:r>
      <w:r>
        <w:rPr>
          <w:rFonts w:hint="eastAsia" w:ascii="宋体" w:hAnsi="宋体" w:eastAsia="宋体" w:cs="宋体"/>
          <w:color w:val="000000"/>
          <w:sz w:val="21"/>
          <w:szCs w:val="21"/>
          <w:highlight w:val="none"/>
          <w:lang w:val="zh-CN"/>
        </w:rPr>
        <w:t xml:space="preserve">服务承诺、质量保证承诺等实质性响应内容进行比较评价。</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27.3 最低的投标报价或最高的折扣比例是中标的重要条件，但不是唯一条件。</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七、授予合同</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28、中标人的确认</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评标委员会根据投标人资格审查情况，对投标文件进行评价和比较，按照评标办法和标准</w:t>
      </w:r>
      <w:r>
        <w:rPr>
          <w:rFonts w:hint="eastAsia" w:ascii="宋体" w:hAnsi="宋体" w:eastAsia="宋体" w:cs="宋体"/>
          <w:color w:val="000000"/>
          <w:sz w:val="21"/>
          <w:szCs w:val="21"/>
          <w:highlight w:val="none"/>
        </w:rPr>
        <w:t xml:space="preserve">推荐中标候选人，并根据采购人的委托及评审结果确定中标人</w:t>
      </w:r>
      <w:r>
        <w:rPr>
          <w:rFonts w:hint="eastAsia" w:ascii="宋体" w:hAnsi="宋体" w:eastAsia="宋体" w:cs="宋体"/>
          <w:color w:val="000000"/>
          <w:sz w:val="21"/>
          <w:szCs w:val="21"/>
          <w:highlight w:val="none"/>
          <w:lang w:val="zh-CN"/>
        </w:rPr>
        <w:t xml:space="preserve">。评标委员会有权评定中标人，同时也有权拒绝任何或所有投标人中标。</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w:t>
      </w:r>
      <w:r>
        <w:rPr>
          <w:rFonts w:hint="eastAsia" w:ascii="宋体" w:hAnsi="宋体" w:eastAsia="宋体" w:cs="宋体"/>
          <w:color w:val="000000"/>
          <w:sz w:val="21"/>
          <w:szCs w:val="21"/>
          <w:highlight w:val="none"/>
        </w:rPr>
        <w:t xml:space="preserve">超过</w:t>
      </w:r>
      <w:r>
        <w:rPr>
          <w:rFonts w:hint="eastAsia" w:ascii="宋体" w:hAnsi="宋体" w:eastAsia="宋体" w:cs="宋体"/>
          <w:color w:val="000000"/>
          <w:sz w:val="21"/>
          <w:szCs w:val="21"/>
          <w:highlight w:val="none"/>
          <w:lang w:val="zh-CN"/>
        </w:rPr>
        <w:t xml:space="preserve">期限向采购代理机构提出质疑，采购代理机构</w:t>
      </w:r>
      <w:r>
        <w:rPr>
          <w:rFonts w:hint="eastAsia" w:ascii="宋体" w:hAnsi="宋体" w:eastAsia="宋体" w:cs="宋体"/>
          <w:color w:val="000000"/>
          <w:sz w:val="21"/>
          <w:szCs w:val="21"/>
          <w:highlight w:val="none"/>
        </w:rPr>
        <w:t xml:space="preserve">将</w:t>
      </w:r>
      <w:r>
        <w:rPr>
          <w:rFonts w:hint="eastAsia" w:ascii="宋体" w:hAnsi="宋体" w:eastAsia="宋体" w:cs="宋体"/>
          <w:color w:val="000000"/>
          <w:sz w:val="21"/>
          <w:szCs w:val="21"/>
          <w:highlight w:val="none"/>
          <w:lang w:val="zh-CN"/>
        </w:rPr>
        <w:t xml:space="preserve">不予答复。</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29、合同授予标准</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采购代理机构将把合同授予按招标文件规定评选出的中标人。确定为中标人的必须具有实施本合同的能力和资源。</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30、中标通知书</w:t>
      </w:r>
      <w:r>
        <w:rPr>
          <w:rFonts w:hint="eastAsia" w:ascii="宋体" w:hAnsi="宋体" w:eastAsia="宋体" w:cs="宋体"/>
          <w:b/>
          <w:bCs/>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确定中标人后，采购代理机构将</w:t>
      </w:r>
      <w:r>
        <w:rPr>
          <w:rFonts w:hint="eastAsia" w:ascii="宋体" w:hAnsi="宋体" w:eastAsia="宋体" w:cs="宋体"/>
          <w:color w:val="000000"/>
          <w:sz w:val="21"/>
          <w:szCs w:val="21"/>
          <w:highlight w:val="none"/>
        </w:rPr>
        <w:t xml:space="preserve">在规定时间内</w:t>
      </w:r>
      <w:r>
        <w:rPr>
          <w:rFonts w:hint="eastAsia" w:ascii="宋体" w:hAnsi="宋体" w:eastAsia="宋体" w:cs="宋体"/>
          <w:color w:val="000000"/>
          <w:sz w:val="21"/>
          <w:szCs w:val="21"/>
          <w:highlight w:val="none"/>
          <w:lang w:val="zh-CN"/>
        </w:rPr>
        <w:t xml:space="preserve">以书面形式通知中标人其投标被接受。在中标通知书中明确中标人的中标</w:t>
      </w: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lang w:val="zh-CN"/>
        </w:rPr>
        <w:t xml:space="preserve">和有关合同签订的日期和地点。</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中标通知书将成为合同的组成部分。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30.3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采购代理机构对未中标人不承担解释未中标原因的义务。</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31、合同的签订</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中标人应按中标通知书中规定与采购人签订政府采购合同。</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签订的合同及合同条款应以招标文件和中标人的投标文件及其澄清文件为依据。</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中标人无正当理由不得放弃中标。</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八、其他事项</w:t>
      </w:r>
      <w:r>
        <w:rPr>
          <w:rFonts w:hint="eastAsia" w:ascii="宋体" w:hAnsi="宋体" w:eastAsia="宋体" w:cs="宋体"/>
          <w:b/>
          <w:bCs/>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32、中标服务费</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中标人应按前附表规定缴纳中标服务费。</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33、监督和公证</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政府有关监督部门将对招投标全过程进行监督。</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采购代理机构的</w:t>
      </w:r>
      <w:r>
        <w:rPr>
          <w:rFonts w:hint="eastAsia" w:ascii="宋体" w:hAnsi="宋体" w:eastAsia="宋体" w:cs="宋体"/>
          <w:color w:val="000000"/>
          <w:sz w:val="21"/>
          <w:szCs w:val="21"/>
          <w:highlight w:val="none"/>
        </w:rPr>
        <w:t xml:space="preserve">开标评标</w:t>
      </w:r>
      <w:r>
        <w:rPr>
          <w:rFonts w:hint="eastAsia" w:ascii="宋体" w:hAnsi="宋体" w:eastAsia="宋体" w:cs="宋体"/>
          <w:color w:val="000000"/>
          <w:sz w:val="21"/>
          <w:szCs w:val="21"/>
          <w:highlight w:val="none"/>
          <w:lang w:val="zh-CN"/>
        </w:rPr>
        <w:t xml:space="preserve">过程将</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val="zh-CN"/>
        </w:rPr>
        <w:t xml:space="preserve">公证机关进行公证。</w:t>
      </w:r>
      <w:r>
        <w:rPr>
          <w:rFonts w:hint="eastAsia" w:ascii="宋体" w:hAnsi="宋体" w:eastAsia="宋体" w:cs="宋体"/>
          <w:color w:val="000000"/>
          <w:sz w:val="21"/>
          <w:szCs w:val="21"/>
          <w:highlight w:val="none"/>
          <w:lang w:val="zh-CN"/>
        </w:rPr>
      </w:r>
      <w:r/>
    </w:p>
    <w:p>
      <w:pPr>
        <w:pStyle w:val="909"/>
        <w:ind w:right="0"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34、未尽事宜</w:t>
      </w:r>
      <w:r>
        <w:rPr>
          <w:rFonts w:hint="eastAsia" w:ascii="宋体" w:hAnsi="宋体" w:eastAsia="宋体" w:cs="宋体"/>
          <w:b/>
          <w:bCs/>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34.1 </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hint="eastAsia" w:ascii="宋体" w:hAnsi="宋体" w:eastAsia="宋体" w:cs="宋体"/>
          <w:color w:val="000000"/>
          <w:sz w:val="21"/>
          <w:szCs w:val="21"/>
          <w:highlight w:val="none"/>
          <w:lang w:val="zh-CN"/>
        </w:rPr>
      </w:r>
      <w:r/>
    </w:p>
    <w:p>
      <w:pPr>
        <w:pStyle w:val="909"/>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09"/>
        <w:jc w:val="both"/>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09"/>
        <w:jc w:val="center"/>
        <w:spacing w:before="50" w:line="400" w:lineRule="exact"/>
        <w:rPr>
          <w:rFonts w:hint="eastAsia" w:ascii="宋体" w:hAnsi="宋体" w:eastAsia="宋体" w:cs="宋体"/>
          <w:b/>
          <w:color w:val="000000"/>
          <w:sz w:val="36"/>
          <w:szCs w:val="36"/>
          <w:highlight w:val="none"/>
        </w:rPr>
      </w:pPr>
      <w:r/>
      <w:bookmarkStart w:id="4" w:name="_Toc142194265"/>
      <w:r/>
      <w:bookmarkStart w:id="5" w:name="_Toc13642114"/>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2"/>
          <w:szCs w:val="32"/>
          <w:highlight w:val="none"/>
        </w:rPr>
        <w:t xml:space="preserve">第三章  投标文件格式</w:t>
      </w:r>
      <w:bookmarkEnd w:id="4"/>
      <w:r/>
      <w:bookmarkEnd w:id="5"/>
      <w:r>
        <w:rPr>
          <w:rFonts w:hint="eastAsia" w:ascii="宋体" w:hAnsi="宋体" w:eastAsia="宋体" w:cs="宋体"/>
          <w:b/>
          <w:color w:val="000000"/>
          <w:sz w:val="36"/>
          <w:szCs w:val="36"/>
          <w:highlight w:val="none"/>
        </w:rPr>
      </w:r>
      <w:r/>
    </w:p>
    <w:p>
      <w:pPr>
        <w:pStyle w:val="918"/>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1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1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912"/>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hd w:val="nil" w:color="0000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shd w:val="nil" w:color="0000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shd w:val="nil" w:color="0000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shd w:val="nil" w:color="0000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shd w:val="nil"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909"/>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格式1：封面</w:t>
      </w:r>
      <w:r>
        <w:rPr>
          <w:rFonts w:hint="eastAsia" w:ascii="宋体" w:hAnsi="宋体" w:eastAsia="宋体" w:cs="宋体"/>
          <w:b/>
          <w:bCs/>
          <w:color w:val="000000"/>
          <w:sz w:val="21"/>
          <w:szCs w:val="21"/>
          <w:highlight w:val="none"/>
        </w:rPr>
      </w:r>
      <w:r/>
    </w:p>
    <w:p>
      <w:pPr>
        <w:pStyle w:val="909"/>
        <w:ind w:firstLine="482"/>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38"/>
        <w:jc w:val="center"/>
        <w:rPr>
          <w:rFonts w:hint="eastAsia" w:ascii="宋体" w:hAnsi="宋体" w:eastAsia="宋体" w:cs="宋体"/>
          <w:color w:val="000000"/>
          <w:sz w:val="54"/>
          <w:szCs w:val="54"/>
          <w:highlight w:val="none"/>
        </w:rPr>
      </w:pPr>
      <w:r>
        <w:rPr>
          <w:rFonts w:hint="eastAsia" w:ascii="宋体" w:hAnsi="宋体" w:eastAsia="宋体" w:cs="宋体"/>
          <w:color w:val="000000"/>
          <w:sz w:val="54"/>
          <w:szCs w:val="54"/>
          <w:highlight w:val="none"/>
        </w:rPr>
        <w:t xml:space="preserve">投 标 文 件</w:t>
      </w:r>
      <w:r>
        <w:rPr>
          <w:rFonts w:hint="eastAsia" w:ascii="宋体" w:hAnsi="宋体" w:eastAsia="宋体" w:cs="宋体"/>
          <w:color w:val="000000"/>
          <w:sz w:val="54"/>
          <w:szCs w:val="54"/>
          <w:highlight w:val="none"/>
        </w:rPr>
      </w:r>
      <w:r/>
    </w:p>
    <w:p>
      <w:pPr>
        <w:pStyle w:val="938"/>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938"/>
        <w:jc w:val="center"/>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t xml:space="preserve"> </w:t>
      </w:r>
      <w:r>
        <w:rPr>
          <w:rFonts w:hint="eastAsia" w:ascii="宋体" w:hAnsi="宋体" w:eastAsia="宋体" w:cs="宋体"/>
          <w:color w:val="000000"/>
          <w:sz w:val="40"/>
          <w:szCs w:val="40"/>
          <w:highlight w:val="none"/>
        </w:rPr>
      </w:r>
      <w:r/>
    </w:p>
    <w:p>
      <w:pPr>
        <w:pStyle w:val="938"/>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938"/>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938"/>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93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93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3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t xml:space="preserve">（盖章）</w:t>
      </w:r>
      <w:r>
        <w:rPr>
          <w:rFonts w:hint="eastAsia" w:ascii="宋体" w:hAnsi="宋体" w:eastAsia="宋体" w:cs="宋体"/>
          <w:color w:val="000000"/>
          <w:sz w:val="36"/>
          <w:szCs w:val="36"/>
          <w:highlight w:val="none"/>
        </w:rPr>
      </w:r>
      <w:r/>
    </w:p>
    <w:p>
      <w:pPr>
        <w:pStyle w:val="93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日期：</w:t>
      </w:r>
      <w:r>
        <w:rPr>
          <w:rFonts w:hint="eastAsia" w:ascii="宋体" w:hAnsi="宋体" w:eastAsia="宋体" w:cs="宋体"/>
          <w:color w:val="000000"/>
          <w:sz w:val="36"/>
          <w:szCs w:val="36"/>
          <w:highlight w:val="none"/>
        </w:rPr>
      </w:r>
      <w:r/>
    </w:p>
    <w:p>
      <w:pPr>
        <w:pStyle w:val="1008"/>
        <w:ind w:firstLine="422"/>
        <w:rPr>
          <w:rFonts w:hint="eastAsia" w:ascii="宋体" w:hAnsi="宋体" w:eastAsia="宋体" w:cs="宋体"/>
          <w:b/>
          <w:bCs/>
          <w:color w:val="000000"/>
          <w:szCs w:val="21"/>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highlight w:val="none"/>
        </w:rPr>
      </w:r>
      <w:r/>
    </w:p>
    <w:p>
      <w:pPr>
        <w:pStyle w:val="1008"/>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格式2：投标函</w:t>
      </w:r>
      <w:r>
        <w:rPr>
          <w:rFonts w:hint="eastAsia" w:ascii="宋体" w:hAnsi="宋体" w:eastAsia="宋体" w:cs="宋体"/>
          <w:b/>
          <w:bCs/>
          <w:color w:val="000000"/>
          <w:szCs w:val="21"/>
          <w:highlight w:val="none"/>
        </w:rPr>
      </w:r>
      <w:r/>
    </w:p>
    <w:p>
      <w:pPr>
        <w:pStyle w:val="938"/>
        <w:ind w:firstLine="567"/>
        <w:jc w:val="center"/>
        <w:spacing w:line="500" w:lineRule="atLeast"/>
        <w:rPr>
          <w:rFonts w:hint="eastAsia" w:ascii="宋体" w:hAnsi="宋体" w:eastAsia="宋体" w:cs="宋体"/>
          <w:b/>
          <w:bCs/>
          <w:color w:val="000000"/>
          <w:sz w:val="40"/>
          <w:szCs w:val="40"/>
          <w:highlight w:val="none"/>
        </w:rPr>
      </w:pPr>
      <w:r>
        <w:rPr>
          <w:rFonts w:hint="eastAsia" w:ascii="宋体" w:hAnsi="宋体" w:eastAsia="宋体" w:cs="宋体"/>
          <w:b/>
          <w:bCs/>
          <w:color w:val="000000"/>
          <w:sz w:val="30"/>
          <w:szCs w:val="30"/>
          <w:highlight w:val="none"/>
        </w:rPr>
        <w:t xml:space="preserve">投 标 函</w:t>
      </w:r>
      <w:r>
        <w:rPr>
          <w:rFonts w:hint="eastAsia" w:ascii="宋体" w:hAnsi="宋体" w:eastAsia="宋体" w:cs="宋体"/>
          <w:b/>
          <w:bCs/>
          <w:color w:val="000000"/>
          <w:sz w:val="40"/>
          <w:szCs w:val="40"/>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我方收到贵公司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项目编号）号招标文件，经仔细阅读和研究，我方决定参加投标。并向贵公司承诺：</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愿意按照招标文件的一切要求，提供完成该项目的全部内容，我方的投标报价包括提供以上所有服务，价格及明细见报价表。包括发生的全部费用以及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3、我方本项目投标文件的有效期限自提交投标文件截止之日起90天。如果我方在开标后规定的投标有效期内撤回投标，我方愿意承担一切责任。</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5、我方已审阅全部招标文件，包括招标文件的澄清和更正文件（如有）及有关附件，我们已完全理解招标文件并对招标文件不存在任何异议。</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6、我方愿意遵守招标公告及招标文件中所列的收费标准。</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7、我方承诺该项投标在开标后的全过程中保持有效，不作任何更改和变动。</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8、所有有关标书的函电，请按下列地址联系：</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    位：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投标人（供应商）：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909"/>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shd w:val="nil" w:color="auto"/>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格式3：法人授权委托书</w:t>
      </w: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38"/>
        <w:ind w:firstLine="567"/>
        <w:jc w:val="center"/>
        <w:spacing w:line="50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30"/>
          <w:szCs w:val="30"/>
          <w:highlight w:val="none"/>
        </w:rPr>
        <w:t xml:space="preserve">法定代表人授权委托书</w:t>
      </w:r>
      <w:r>
        <w:rPr>
          <w:rFonts w:hint="eastAsia" w:ascii="宋体" w:hAnsi="宋体" w:eastAsia="宋体" w:cs="宋体"/>
          <w:b/>
          <w:bCs/>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（投标人名称）的法定代表人，现授权委托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（姓名+手机号码）为我公司代理人，以本公司的名义参加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（采购人名称）组织实施的编号为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号的招标（采购）活动。代理人在投标、开标、评标、合同订立和履行过程中所签署的一切文件和处理与这有关的一切事务，我均予以承认。</w:t>
      </w: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代理人无转委托权。特此委托。</w:t>
      </w:r>
      <w:r>
        <w:rPr>
          <w:rFonts w:hint="eastAsia" w:ascii="宋体" w:hAnsi="宋体" w:eastAsia="宋体" w:cs="宋体"/>
          <w:color w:val="000000"/>
          <w:sz w:val="21"/>
          <w:szCs w:val="21"/>
          <w:highlight w:val="none"/>
        </w:rPr>
      </w:r>
      <w:r/>
    </w:p>
    <w:p>
      <w:pPr>
        <w:pStyle w:val="938"/>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投 标 人（盖章）：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38"/>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38"/>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38"/>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38"/>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格式4：开标一览表</w:t>
      </w:r>
      <w:r>
        <w:rPr>
          <w:rFonts w:hint="eastAsia" w:ascii="宋体" w:hAnsi="宋体" w:eastAsia="宋体" w:cs="宋体"/>
          <w:b/>
          <w:bCs/>
          <w:color w:val="000000"/>
          <w:szCs w:val="21"/>
          <w:highlight w:val="none"/>
        </w:rPr>
      </w:r>
      <w:r/>
    </w:p>
    <w:p>
      <w:pPr>
        <w:pStyle w:val="909"/>
        <w:jc w:val="center"/>
        <w:spacing w:before="100" w:beforeAutospacing="1" w:after="100" w:afterAutospacing="1" w:line="500" w:lineRule="atLeast"/>
        <w:rPr>
          <w:rFonts w:hint="eastAsia" w:ascii="宋体" w:hAnsi="宋体" w:eastAsia="宋体" w:cs="宋体"/>
          <w:color w:val="000000"/>
          <w:szCs w:val="21"/>
          <w:highlight w:val="none"/>
        </w:rPr>
      </w:pPr>
      <w:r>
        <w:rPr>
          <w:rFonts w:hint="eastAsia" w:ascii="宋体" w:hAnsi="宋体" w:eastAsia="宋体" w:cs="宋体"/>
          <w:b/>
          <w:bCs/>
          <w:color w:val="000000"/>
          <w:sz w:val="30"/>
          <w:szCs w:val="30"/>
          <w:highlight w:val="none"/>
        </w:rPr>
        <w:t xml:space="preserve">开  标 一 览  表</w:t>
      </w:r>
      <w:r>
        <w:rPr>
          <w:rFonts w:hint="eastAsia" w:ascii="宋体" w:hAnsi="宋体" w:eastAsia="宋体" w:cs="宋体"/>
          <w:color w:val="000000"/>
          <w:szCs w:val="21"/>
          <w:highlight w:val="none"/>
        </w:rPr>
      </w:r>
      <w:r/>
    </w:p>
    <w:p>
      <w:pPr>
        <w:pStyle w:val="909"/>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09"/>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2015" w:type="dxa"/>
            <w:vAlign w:val="center"/>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t xml:space="preserve">序号</w:t>
            </w:r>
            <w:r>
              <w:rPr>
                <w:rFonts w:hint="eastAsia" w:ascii="宋体" w:hAnsi="宋体" w:eastAsia="宋体" w:cs="宋体"/>
                <w:color w:val="000000"/>
                <w:spacing w:val="20"/>
                <w:sz w:val="21"/>
                <w:szCs w:val="24"/>
                <w:highlight w:val="none"/>
              </w:rPr>
            </w:r>
            <w:r/>
          </w:p>
        </w:tc>
        <w:tc>
          <w:tcPr>
            <w:tcW w:w="2629" w:type="dxa"/>
            <w:vAlign w:val="center"/>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t xml:space="preserve">项目名称</w:t>
            </w:r>
            <w:r>
              <w:rPr>
                <w:rFonts w:hint="eastAsia" w:ascii="宋体" w:hAnsi="宋体" w:eastAsia="宋体" w:cs="宋体"/>
                <w:color w:val="000000"/>
                <w:spacing w:val="20"/>
                <w:sz w:val="21"/>
                <w:szCs w:val="24"/>
                <w:highlight w:val="none"/>
              </w:rPr>
            </w:r>
            <w:r/>
          </w:p>
        </w:tc>
        <w:tc>
          <w:tcPr>
            <w:tcW w:w="1696" w:type="dxa"/>
            <w:vAlign w:val="center"/>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t xml:space="preserve">报价（元）</w:t>
            </w:r>
            <w:r>
              <w:rPr>
                <w:rFonts w:hint="eastAsia" w:ascii="宋体" w:hAnsi="宋体" w:eastAsia="宋体" w:cs="宋体"/>
                <w:color w:val="000000"/>
                <w:spacing w:val="20"/>
                <w:sz w:val="21"/>
                <w:szCs w:val="24"/>
                <w:highlight w:val="none"/>
              </w:rPr>
            </w:r>
            <w:r/>
          </w:p>
        </w:tc>
        <w:tc>
          <w:tcPr>
            <w:tcW w:w="2185" w:type="dxa"/>
            <w:vAlign w:val="center"/>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t xml:space="preserve">备注</w:t>
            </w:r>
            <w:r>
              <w:rPr>
                <w:rFonts w:hint="eastAsia" w:ascii="宋体" w:hAnsi="宋体" w:eastAsia="宋体" w:cs="宋体"/>
                <w:color w:val="000000"/>
                <w:spacing w:val="20"/>
                <w:sz w:val="21"/>
                <w:szCs w:val="24"/>
                <w:highlight w:val="none"/>
              </w:rPr>
            </w:r>
            <w:r/>
          </w:p>
        </w:tc>
      </w:tr>
      <w:tr>
        <w:trPr>
          <w:trHeight w:val="874"/>
        </w:trPr>
        <w:tc>
          <w:tcPr>
            <w:tcW w:w="201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2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6" w:type="dxa"/>
            <w:vAlign w:val="top"/>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r>
            <w:r/>
          </w:p>
        </w:tc>
        <w:tc>
          <w:tcPr>
            <w:tcW w:w="2185" w:type="dxa"/>
            <w:vAlign w:val="center"/>
            <w:textDirection w:val="lrTb"/>
            <w:noWrap w:val="false"/>
          </w:tcPr>
          <w:p>
            <w:pPr>
              <w:pStyle w:val="909"/>
              <w:jc w:val="center"/>
              <w:spacing w:line="360" w:lineRule="auto"/>
              <w:widowControl w:val="off"/>
              <w:rPr>
                <w:rFonts w:hint="eastAsia" w:ascii="宋体" w:hAnsi="宋体" w:eastAsia="宋体" w:cs="宋体"/>
                <w:color w:val="000000"/>
                <w:spacing w:val="20"/>
                <w:sz w:val="21"/>
                <w:szCs w:val="24"/>
                <w:highlight w:val="none"/>
              </w:rPr>
            </w:pPr>
            <w:r>
              <w:rPr>
                <w:rFonts w:hint="eastAsia" w:ascii="宋体" w:hAnsi="宋体" w:eastAsia="宋体" w:cs="宋体"/>
                <w:color w:val="000000"/>
                <w:spacing w:val="20"/>
                <w:sz w:val="21"/>
                <w:szCs w:val="24"/>
                <w:highlight w:val="none"/>
              </w:rPr>
            </w:r>
            <w:r/>
          </w:p>
        </w:tc>
      </w:tr>
    </w:tbl>
    <w:p>
      <w:pPr>
        <w:pStyle w:val="909"/>
        <w:ind w:firstLine="422"/>
        <w:jc w:val="both"/>
        <w:spacing w:line="360" w:lineRule="auto"/>
        <w:widowControl w:val="off"/>
        <w:rPr>
          <w:rFonts w:hint="eastAsia" w:ascii="宋体" w:hAnsi="宋体" w:eastAsia="宋体" w:cs="宋体"/>
          <w:b/>
          <w:color w:val="000000"/>
          <w:sz w:val="21"/>
          <w:szCs w:val="21"/>
          <w:highlight w:val="none"/>
          <w:lang w:val="zh-CN" w:bidi="en-US"/>
        </w:rPr>
      </w:pPr>
      <w:r>
        <w:rPr>
          <w:rFonts w:hint="eastAsia" w:ascii="宋体" w:hAnsi="宋体" w:eastAsia="宋体" w:cs="宋体"/>
          <w:b/>
          <w:color w:val="000000"/>
          <w:sz w:val="21"/>
          <w:szCs w:val="21"/>
          <w:highlight w:val="none"/>
          <w:lang w:val="zh-CN" w:bidi="en-US"/>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909"/>
        <w:ind w:firstLine="422"/>
        <w:jc w:val="both"/>
        <w:spacing w:line="360" w:lineRule="auto"/>
        <w:widowControl w:val="off"/>
        <w:rPr>
          <w:rFonts w:hint="eastAsia" w:ascii="宋体" w:hAnsi="宋体" w:eastAsia="宋体" w:cs="宋体"/>
          <w:b/>
          <w:color w:val="000000"/>
          <w:sz w:val="21"/>
          <w:szCs w:val="21"/>
          <w:highlight w:val="none"/>
          <w:lang w:val="zh-CN" w:bidi="en-US"/>
        </w:rPr>
      </w:pPr>
      <w:r>
        <w:rPr>
          <w:rFonts w:hint="eastAsia" w:ascii="宋体" w:hAnsi="宋体" w:eastAsia="宋体" w:cs="宋体"/>
          <w:b/>
          <w:color w:val="000000"/>
          <w:sz w:val="21"/>
          <w:szCs w:val="21"/>
          <w:highlight w:val="none"/>
          <w:lang w:val="zh-CN" w:bidi="en-US"/>
        </w:rPr>
      </w:r>
      <w:r/>
    </w:p>
    <w:p>
      <w:pPr>
        <w:pStyle w:val="1008"/>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highlight w:val="none"/>
        </w:rPr>
      </w:r>
      <w:r/>
    </w:p>
    <w:p>
      <w:pPr>
        <w:pStyle w:val="1008"/>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格式5：报价明细表</w:t>
      </w:r>
      <w:r>
        <w:rPr>
          <w:rFonts w:hint="eastAsia" w:ascii="宋体" w:hAnsi="宋体" w:eastAsia="宋体" w:cs="宋体"/>
          <w:b/>
          <w:bCs/>
          <w:color w:val="000000"/>
          <w:szCs w:val="21"/>
          <w:highlight w:val="none"/>
        </w:rPr>
      </w:r>
      <w:r/>
    </w:p>
    <w:p>
      <w:pPr>
        <w:pStyle w:val="909"/>
        <w:jc w:val="center"/>
        <w:spacing w:before="100" w:beforeAutospacing="1" w:after="100" w:afterAutospacing="1" w:line="500" w:lineRule="atLeast"/>
        <w:rPr>
          <w:rFonts w:hint="eastAsia" w:ascii="宋体" w:hAnsi="宋体" w:eastAsia="宋体" w:cs="宋体"/>
          <w:color w:val="000000"/>
          <w:szCs w:val="21"/>
          <w:highlight w:val="none"/>
        </w:rPr>
      </w:pPr>
      <w:r>
        <w:rPr>
          <w:rFonts w:hint="eastAsia" w:ascii="宋体" w:hAnsi="宋体" w:eastAsia="宋体" w:cs="宋体"/>
          <w:b/>
          <w:bCs/>
          <w:color w:val="000000"/>
          <w:sz w:val="30"/>
          <w:szCs w:val="30"/>
          <w:highlight w:val="none"/>
        </w:rPr>
        <w:t xml:space="preserve">报 价 明 细 表</w:t>
      </w:r>
      <w:r>
        <w:rPr>
          <w:rFonts w:hint="eastAsia" w:ascii="宋体" w:hAnsi="宋体" w:eastAsia="宋体" w:cs="宋体"/>
          <w:color w:val="000000"/>
          <w:szCs w:val="21"/>
          <w:highlight w:val="none"/>
        </w:rPr>
      </w:r>
      <w:r/>
    </w:p>
    <w:p>
      <w:pPr>
        <w:pStyle w:val="909"/>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09"/>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977"/>
        <w:gridCol w:w="968"/>
        <w:gridCol w:w="1169"/>
        <w:gridCol w:w="1326"/>
        <w:gridCol w:w="1437"/>
        <w:gridCol w:w="1074"/>
      </w:tblGrid>
      <w:tr>
        <w:trPr>
          <w:trHeight w:val="23"/>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服务期限</w:t>
            </w:r>
            <w:r>
              <w:rPr>
                <w:rFonts w:hint="eastAsia" w:ascii="宋体" w:hAnsi="宋体" w:eastAsia="宋体" w:cs="宋体"/>
                <w:color w:val="000000"/>
                <w:sz w:val="21"/>
                <w:szCs w:val="21"/>
                <w:highlight w:val="none"/>
              </w:rPr>
            </w:r>
            <w:r/>
          </w:p>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80"/>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26"/>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30"/>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53"/>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85"/>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655"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7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3"/>
        </w:trPr>
        <w:tc>
          <w:tcPr>
            <w:gridSpan w:val="2"/>
            <w:tcMar>
              <w:left w:w="108" w:type="dxa"/>
              <w:top w:w="0" w:type="dxa"/>
              <w:right w:w="108" w:type="dxa"/>
              <w:bottom w:w="0" w:type="dxa"/>
            </w:tcMar>
            <w:tcW w:w="2632"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96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9"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2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3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07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09"/>
        <w:ind w:firstLine="422"/>
        <w:jc w:val="both"/>
        <w:spacing w:line="360" w:lineRule="auto"/>
        <w:widowControl w:val="off"/>
        <w:rPr>
          <w:rFonts w:hint="eastAsia" w:ascii="宋体" w:hAnsi="宋体" w:eastAsia="宋体" w:cs="宋体"/>
          <w:b/>
          <w:color w:val="000000"/>
          <w:sz w:val="21"/>
          <w:szCs w:val="21"/>
          <w:highlight w:val="none"/>
          <w:lang w:val="zh-CN" w:bidi="en-US"/>
        </w:rPr>
      </w:pPr>
      <w:r>
        <w:rPr>
          <w:rFonts w:hint="eastAsia" w:ascii="宋体" w:hAnsi="宋体" w:eastAsia="宋体" w:cs="宋体"/>
          <w:b/>
          <w:color w:val="000000"/>
          <w:sz w:val="21"/>
          <w:szCs w:val="21"/>
          <w:highlight w:val="none"/>
          <w:lang w:val="zh-CN" w:bidi="en-US"/>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909"/>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格式6：</w:t>
      </w:r>
      <w:r>
        <w:rPr>
          <w:rFonts w:hint="eastAsia" w:ascii="宋体" w:hAnsi="宋体" w:eastAsia="宋体" w:cs="宋体"/>
          <w:b/>
          <w:bCs/>
          <w:color w:val="000000"/>
          <w:sz w:val="21"/>
          <w:szCs w:val="21"/>
          <w:highlight w:val="none"/>
        </w:rPr>
        <w:t xml:space="preserve">偏离表</w:t>
      </w:r>
      <w:r>
        <w:rPr>
          <w:rFonts w:hint="eastAsia" w:ascii="宋体" w:hAnsi="宋体" w:eastAsia="宋体" w:cs="宋体"/>
          <w:b/>
          <w:color w:val="000000"/>
          <w:sz w:val="21"/>
          <w:szCs w:val="21"/>
          <w:highlight w:val="none"/>
        </w:rPr>
      </w:r>
      <w:r/>
    </w:p>
    <w:p>
      <w:pPr>
        <w:pStyle w:val="909"/>
        <w:jc w:val="both"/>
        <w:spacing w:before="100" w:beforeAutospacing="1" w:after="100" w:afterAutospacing="1"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技术或服务要求偏离表</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90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09"/>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商务条款偏离表</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90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9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08"/>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918"/>
        <w:ind w:firstLine="0"/>
        <w:spacing w:line="400" w:lineRule="exact"/>
        <w:rPr>
          <w:rFonts w:hint="eastAsia" w:ascii="宋体" w:hAnsi="宋体" w:eastAsia="宋体" w:cs="宋体"/>
          <w:b/>
          <w:color w:val="000000"/>
          <w:sz w:val="21"/>
          <w:szCs w:val="21"/>
          <w:highlight w:val="none"/>
        </w:rPr>
      </w:pPr>
      <w:r/>
      <w:bookmarkStart w:id="6" w:name="_Toc142194268"/>
      <w:r>
        <w:rPr>
          <w:rFonts w:hint="eastAsia" w:ascii="宋体" w:hAnsi="宋体" w:eastAsia="宋体" w:cs="宋体"/>
          <w:b/>
          <w:color w:val="000000"/>
          <w:sz w:val="21"/>
          <w:szCs w:val="21"/>
          <w:highlight w:val="none"/>
        </w:rPr>
      </w:r>
      <w:r/>
    </w:p>
    <w:p>
      <w:pPr>
        <w:pStyle w:val="918"/>
        <w:ind w:firstLine="0"/>
        <w:rPr>
          <w:rFonts w:hint="eastAsia" w:ascii="宋体" w:hAnsi="宋体" w:eastAsia="宋体" w:cs="宋体"/>
          <w:b/>
          <w:color w:val="000000"/>
          <w:sz w:val="21"/>
          <w:szCs w:val="21"/>
          <w:highlight w:val="none"/>
        </w:rPr>
      </w:pPr>
      <w:r/>
      <w:bookmarkEnd w:id="6"/>
      <w:r/>
      <w:bookmarkStart w:id="7" w:name="_Toc142194270"/>
      <w:r>
        <w:rPr>
          <w:rFonts w:hint="eastAsia" w:ascii="宋体" w:hAnsi="宋体" w:eastAsia="宋体" w:cs="宋体"/>
          <w:b/>
          <w:color w:val="000000"/>
          <w:sz w:val="21"/>
          <w:szCs w:val="21"/>
          <w:highlight w:val="none"/>
        </w:rPr>
      </w:r>
      <w:r/>
    </w:p>
    <w:p>
      <w:pPr>
        <w:pStyle w:val="924"/>
        <w:spacing w:line="400" w:lineRule="exact"/>
        <w:rPr>
          <w:rFonts w:hint="eastAsia" w:ascii="宋体" w:hAnsi="宋体" w:eastAsia="宋体" w:cs="宋体"/>
          <w:b/>
          <w:color w:val="000000"/>
          <w:sz w:val="21"/>
          <w:szCs w:val="21"/>
          <w:highlight w:val="none"/>
        </w:rPr>
      </w:pPr>
      <w:r/>
      <w:bookmarkEnd w:id="7"/>
      <w:r/>
      <w:bookmarkStart w:id="8" w:name="_Toc142194272"/>
      <w:r>
        <w:rPr>
          <w:rFonts w:hint="eastAsia" w:ascii="宋体" w:hAnsi="宋体" w:eastAsia="宋体" w:cs="宋体"/>
          <w:b/>
          <w:color w:val="000000"/>
          <w:sz w:val="21"/>
          <w:szCs w:val="21"/>
          <w:highlight w:val="none"/>
        </w:rPr>
      </w:r>
      <w:r/>
    </w:p>
    <w:p>
      <w:pPr>
        <w:pStyle w:val="924"/>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9"/>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格式7：</w:t>
      </w:r>
      <w:r>
        <w:rPr>
          <w:rFonts w:hint="eastAsia" w:ascii="宋体" w:hAnsi="宋体" w:eastAsia="宋体" w:cs="宋体"/>
          <w:b/>
          <w:bCs/>
          <w:color w:val="000000"/>
          <w:sz w:val="21"/>
          <w:szCs w:val="21"/>
          <w:highlight w:val="none"/>
        </w:rPr>
        <w:t xml:space="preserve">针对本项目的人员配备一览表</w:t>
      </w:r>
      <w:r>
        <w:rPr>
          <w:rFonts w:hint="eastAsia" w:ascii="宋体" w:hAnsi="宋体" w:eastAsia="宋体" w:cs="宋体"/>
          <w:b/>
          <w:color w:val="000000"/>
          <w:sz w:val="21"/>
          <w:szCs w:val="21"/>
          <w:highlight w:val="none"/>
        </w:rPr>
      </w:r>
      <w:r/>
    </w:p>
    <w:p>
      <w:pPr>
        <w:pStyle w:val="909"/>
        <w:jc w:val="both"/>
        <w:spacing w:before="100" w:beforeAutospacing="1" w:after="100" w:afterAutospacing="1"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1632"/>
        <w:gridCol w:w="1633"/>
        <w:gridCol w:w="815"/>
        <w:gridCol w:w="1225"/>
        <w:gridCol w:w="1900"/>
      </w:tblGrid>
      <w:tr>
        <w:trPr>
          <w:trHeight w:val="973"/>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序号</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所任职务</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姓名</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性别</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年龄</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从事本工作时间</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1</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2</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3</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4</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5</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r>
        <w:trPr>
          <w:trHeight w:val="649"/>
        </w:trPr>
        <w:tc>
          <w:tcPr>
            <w:tcMar>
              <w:left w:w="108" w:type="dxa"/>
              <w:top w:w="0" w:type="dxa"/>
              <w:right w:w="108" w:type="dxa"/>
              <w:bottom w:w="0" w:type="dxa"/>
            </w:tcMar>
            <w:tcW w:w="1401"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2"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633"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81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225"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c>
          <w:tcPr>
            <w:tcMar>
              <w:left w:w="108" w:type="dxa"/>
              <w:top w:w="0" w:type="dxa"/>
              <w:right w:w="108" w:type="dxa"/>
              <w:bottom w:w="0" w:type="dxa"/>
            </w:tcMar>
            <w:tcW w:w="1900" w:type="dxa"/>
            <w:vAlign w:val="center"/>
            <w:textDirection w:val="lrTb"/>
            <w:noWrap w:val="false"/>
          </w:tcPr>
          <w:p>
            <w:pPr>
              <w:pStyle w:val="909"/>
              <w:jc w:val="center"/>
              <w:widowControl w:val="off"/>
              <w:rPr>
                <w:rFonts w:hint="eastAsia" w:ascii="宋体" w:hAnsi="宋体" w:eastAsia="宋体" w:cs="宋体"/>
                <w:color w:val="000000"/>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t xml:space="preserve"> </w:t>
            </w:r>
            <w:r>
              <w:rPr>
                <w:rFonts w:hint="eastAsia" w:ascii="宋体" w:hAnsi="宋体" w:eastAsia="宋体" w:cs="宋体"/>
                <w:color w:val="000000"/>
                <w:sz w:val="21"/>
                <w:szCs w:val="24"/>
                <w:highlight w:val="none"/>
              </w:rPr>
            </w:r>
            <w:r/>
          </w:p>
        </w:tc>
      </w:tr>
    </w:tbl>
    <w:p>
      <w:pPr>
        <w:pStyle w:val="924"/>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924"/>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spacing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格式8：</w:t>
      </w:r>
      <w:r>
        <w:rPr>
          <w:rFonts w:hint="eastAsia" w:ascii="宋体" w:hAnsi="宋体" w:eastAsia="宋体" w:cs="宋体"/>
          <w:b/>
          <w:bCs/>
          <w:color w:val="000000"/>
          <w:sz w:val="21"/>
          <w:szCs w:val="21"/>
          <w:highlight w:val="none"/>
        </w:rPr>
        <w:t xml:space="preserve">资格证明文件</w:t>
      </w:r>
      <w:r>
        <w:rPr>
          <w:rFonts w:hint="eastAsia" w:ascii="宋体" w:hAnsi="宋体" w:eastAsia="宋体" w:cs="宋体"/>
          <w:b/>
          <w:bCs/>
          <w:color w:val="000000"/>
          <w:sz w:val="21"/>
          <w:szCs w:val="21"/>
          <w:highlight w:val="none"/>
        </w:rPr>
      </w:r>
      <w:r/>
    </w:p>
    <w:p>
      <w:pPr>
        <w:pStyle w:val="924"/>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（1）关于资格文件的声明函</w:t>
      </w: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8"/>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关于资格文件的声明函</w:t>
      </w:r>
      <w:r>
        <w:rPr>
          <w:rFonts w:hint="eastAsia" w:ascii="宋体" w:hAnsi="宋体" w:eastAsia="宋体" w:cs="宋体"/>
          <w:b/>
          <w:bCs/>
          <w:color w:val="000000"/>
          <w:sz w:val="30"/>
          <w:szCs w:val="30"/>
          <w:highlight w:val="none"/>
        </w:rPr>
      </w:r>
      <w:r/>
    </w:p>
    <w:p>
      <w:pPr>
        <w:pStyle w:val="91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u w:val="single"/>
        </w:rPr>
        <w:t xml:space="preserve">苏州市卫康招投标咨询服务有限公司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1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号</w:t>
      </w:r>
      <w:r>
        <w:rPr>
          <w:rFonts w:hint="eastAsia" w:ascii="宋体" w:hAnsi="宋体" w:eastAsia="宋体" w:cs="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1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en-US"/>
        </w:rPr>
        <w:t xml:space="preserve">响应单位（盖章）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bidi="en-US"/>
        </w:rPr>
        <w:t xml:space="preserve">法定代表人或授权委托人：（签字或签章）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bidi="en-US"/>
        </w:rPr>
        <w:t xml:space="preserve">日期：</w:t>
      </w:r>
      <w:r>
        <w:rPr>
          <w:rFonts w:hint="eastAsia" w:ascii="宋体" w:hAnsi="宋体" w:eastAsia="宋体" w:cs="宋体"/>
          <w:b/>
          <w:bCs/>
          <w:color w:val="000000"/>
          <w:sz w:val="21"/>
          <w:szCs w:val="21"/>
          <w:highlight w:val="none"/>
        </w:rPr>
      </w:r>
      <w:r/>
    </w:p>
    <w:p>
      <w:pPr>
        <w:pStyle w:val="918"/>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投标单位情况表</w:t>
      </w:r>
      <w:r>
        <w:rPr>
          <w:rFonts w:hint="eastAsia" w:ascii="宋体" w:hAnsi="宋体" w:eastAsia="宋体" w:cs="宋体"/>
          <w:b/>
          <w:color w:val="000000"/>
          <w:sz w:val="21"/>
          <w:szCs w:val="21"/>
          <w:highlight w:val="none"/>
        </w:rPr>
      </w:r>
      <w:r/>
    </w:p>
    <w:p>
      <w:pPr>
        <w:pStyle w:val="918"/>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投标单位情况表</w:t>
      </w:r>
      <w:r>
        <w:rPr>
          <w:rFonts w:hint="eastAsia" w:ascii="宋体" w:hAnsi="宋体" w:eastAsia="宋体" w:cs="宋体"/>
          <w:b/>
          <w:bCs/>
          <w:color w:val="000000"/>
          <w:sz w:val="30"/>
          <w:szCs w:val="30"/>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企业法人</w:t>
            </w:r>
            <w:r>
              <w:rPr>
                <w:rFonts w:hint="eastAsia" w:ascii="宋体" w:hAnsi="宋体" w:eastAsia="宋体" w:cs="宋体"/>
                <w:color w:val="000000"/>
                <w:sz w:val="21"/>
                <w:szCs w:val="21"/>
                <w:highlight w:val="none"/>
              </w:rPr>
            </w:r>
            <w:r/>
          </w:p>
        </w:tc>
        <w:tc>
          <w:tcPr>
            <w:gridSpan w:val="2"/>
            <w:tcW w:w="288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3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1713"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当地代表处地址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left="437"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216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802"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年总营业收入</w:t>
            </w:r>
            <w:r>
              <w:rPr>
                <w:rFonts w:hint="eastAsia" w:ascii="宋体" w:hAnsi="宋体" w:eastAsia="宋体" w:cs="宋体"/>
                <w:color w:val="000000"/>
                <w:sz w:val="21"/>
                <w:szCs w:val="21"/>
                <w:highlight w:val="none"/>
              </w:rPr>
            </w:r>
            <w:r/>
          </w:p>
        </w:tc>
        <w:tc>
          <w:tcPr>
            <w:tcW w:w="1052" w:type="dxa"/>
            <w:vAlign w:val="center"/>
            <w:textDirection w:val="lrTb"/>
            <w:noWrap w:val="false"/>
          </w:tcPr>
          <w:p>
            <w:pPr>
              <w:pStyle w:val="918"/>
              <w:ind w:left="1112"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企业或社会团体办公场所的面积：</w:t>
            </w:r>
            <w:r>
              <w:rPr>
                <w:rFonts w:hint="eastAsia" w:ascii="宋体" w:hAnsi="宋体" w:eastAsia="宋体" w:cs="宋体"/>
                <w:color w:val="000000"/>
                <w:sz w:val="21"/>
                <w:szCs w:val="21"/>
                <w:highlight w:val="none"/>
              </w:rPr>
            </w:r>
            <w:r/>
          </w:p>
        </w:tc>
      </w:tr>
      <w:tr>
        <w:trPr>
          <w:trHeight w:val="2443"/>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____________________________________</w:t>
            </w:r>
            <w:r>
              <w:rPr>
                <w:rFonts w:hint="eastAsia" w:ascii="宋体" w:hAnsi="宋体" w:eastAsia="宋体" w:cs="宋体"/>
                <w:color w:val="000000"/>
                <w:sz w:val="21"/>
                <w:szCs w:val="21"/>
                <w:highlight w:val="none"/>
              </w:rPr>
            </w:r>
            <w:r/>
          </w:p>
        </w:tc>
      </w:tr>
      <w:tr>
        <w:trPr>
          <w:trHeight w:val="213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en-US"/>
        </w:rPr>
        <w:t xml:space="preserve">响应单位（盖章）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bidi="en-US"/>
        </w:rPr>
        <w:t xml:space="preserve">法定代表人或授权委托人：（签字或签章）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bidi="en-US"/>
        </w:rPr>
        <w:t xml:space="preserve">日期：</w:t>
      </w:r>
      <w:r>
        <w:rPr>
          <w:rFonts w:hint="eastAsia" w:ascii="宋体" w:hAnsi="宋体" w:eastAsia="宋体" w:cs="宋体"/>
          <w:b/>
          <w:bCs/>
          <w:color w:val="000000"/>
          <w:sz w:val="21"/>
          <w:szCs w:val="21"/>
          <w:highlight w:val="none"/>
        </w:rPr>
      </w:r>
      <w:r/>
    </w:p>
    <w:p>
      <w:pPr>
        <w:pStyle w:val="918"/>
        <w:ind w:firstLine="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8"/>
        <w:ind w:firstLine="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bCs/>
          <w:color w:val="000000"/>
          <w:sz w:val="21"/>
          <w:szCs w:val="21"/>
          <w:highlight w:val="none"/>
        </w:rPr>
        <w:t xml:space="preserve">9：类似项目一览表</w:t>
      </w:r>
      <w:r>
        <w:rPr>
          <w:rFonts w:hint="eastAsia" w:ascii="宋体" w:hAnsi="宋体" w:eastAsia="宋体" w:cs="宋体"/>
          <w:b/>
          <w:bCs/>
          <w:color w:val="000000"/>
          <w:sz w:val="21"/>
          <w:szCs w:val="21"/>
          <w:highlight w:val="none"/>
        </w:rPr>
      </w:r>
      <w:r/>
    </w:p>
    <w:p>
      <w:pPr>
        <w:pStyle w:val="909"/>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09"/>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09"/>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8"/>
          <w:szCs w:val="28"/>
          <w:highlight w:val="none"/>
        </w:rPr>
        <w:t xml:space="preserve">类似项目一览表</w:t>
      </w:r>
      <w:r>
        <w:rPr>
          <w:rFonts w:hint="eastAsia" w:ascii="宋体" w:hAnsi="宋体" w:eastAsia="宋体" w:cs="宋体"/>
          <w:b/>
          <w:color w:val="000000"/>
          <w:sz w:val="36"/>
          <w:szCs w:val="36"/>
          <w:highlight w:val="none"/>
        </w:rPr>
      </w:r>
      <w:r/>
    </w:p>
    <w:p>
      <w:pPr>
        <w:pStyle w:val="9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947"/>
        <w:gridCol w:w="1798"/>
        <w:gridCol w:w="1831"/>
        <w:gridCol w:w="1184"/>
      </w:tblGrid>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起止日期</w:t>
            </w:r>
            <w:r>
              <w:rPr>
                <w:rFonts w:hint="eastAsia" w:ascii="宋体" w:hAnsi="宋体" w:eastAsia="宋体" w:cs="宋体"/>
                <w:b/>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09"/>
        <w:ind w:left="420" w:right="357" w:hanging="400"/>
        <w:spacing w:before="12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en-US"/>
        </w:rPr>
        <w:t xml:space="preserve">响应单位（盖章）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bidi="en-US"/>
        </w:rPr>
        <w:t xml:space="preserve">法定代表人或授权委托人：（签字或签章）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bidi="en-US"/>
        </w:rPr>
        <w:t xml:space="preserve">日期：</w:t>
      </w:r>
      <w:r>
        <w:rPr>
          <w:rFonts w:hint="eastAsia" w:ascii="宋体" w:hAnsi="宋体" w:eastAsia="宋体" w:cs="宋体"/>
          <w:b/>
          <w:bCs/>
          <w:color w:val="000000"/>
          <w:sz w:val="21"/>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9"/>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格式10：中小企业声明函</w:t>
      </w:r>
      <w:r>
        <w:rPr>
          <w:rFonts w:hint="eastAsia" w:ascii="宋体" w:hAnsi="宋体" w:eastAsia="宋体" w:cs="宋体"/>
          <w:color w:val="000000"/>
          <w:sz w:val="32"/>
          <w:szCs w:val="32"/>
          <w:highlight w:val="none"/>
          <w:lang w:val="zh-CN"/>
        </w:rPr>
      </w:r>
      <w:r/>
    </w:p>
    <w:p>
      <w:pPr>
        <w:pStyle w:val="909"/>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909"/>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color w:val="000000"/>
          <w:sz w:val="32"/>
          <w:szCs w:val="32"/>
          <w:highlight w:val="none"/>
          <w:lang w:val="zh-CN"/>
        </w:rPr>
      </w:r>
      <w:r/>
    </w:p>
    <w:p>
      <w:pPr>
        <w:pStyle w:val="90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 的规定，本公司参加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采购活动，服务全部由符合政策要求的中小企业承接。具体情况如下：</w:t>
      </w:r>
      <w:r>
        <w:rPr>
          <w:rFonts w:hint="eastAsia" w:ascii="宋体" w:hAnsi="宋体" w:eastAsia="宋体" w:cs="宋体"/>
          <w:color w:val="000000"/>
          <w:sz w:val="21"/>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2026-2028唯亭街道社会工作站（室）运营服务项目</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en-US"/>
        </w:rPr>
        <w:t xml:space="preserve">响应单位（盖章）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bidi="en-US"/>
        </w:rPr>
        <w:t xml:space="preserve">法定代表人或授权委托人：（签字或签章）</w:t>
      </w:r>
      <w:r>
        <w:rPr>
          <w:rFonts w:hint="eastAsia" w:ascii="宋体" w:hAnsi="宋体" w:eastAsia="宋体" w:cs="宋体"/>
          <w:b/>
          <w:bCs/>
          <w:color w:val="000000"/>
          <w:sz w:val="21"/>
          <w:szCs w:val="21"/>
          <w:highlight w:val="none"/>
        </w:rPr>
      </w:r>
      <w:r/>
    </w:p>
    <w:p>
      <w:pPr>
        <w:pStyle w:val="909"/>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bidi="en-US"/>
        </w:rPr>
        <w:t xml:space="preserve">日期：</w:t>
      </w:r>
      <w:r>
        <w:rPr>
          <w:rFonts w:hint="eastAsia" w:ascii="宋体" w:hAnsi="宋体" w:eastAsia="宋体" w:cs="宋体"/>
          <w:b/>
          <w:bCs/>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09"/>
        <w:numPr>
          <w:ilvl w:val="0"/>
          <w:numId w:val="3"/>
        </w:numPr>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从业人员、营业收入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资产总额填报上一年度数据，无上一年度数据的新成立企业可不填报。</w:t>
      </w:r>
      <w:r>
        <w:rPr>
          <w:rFonts w:hint="eastAsia" w:ascii="宋体" w:hAnsi="宋体" w:eastAsia="宋体" w:cs="宋体"/>
          <w:color w:val="000000"/>
          <w:sz w:val="21"/>
          <w:szCs w:val="21"/>
          <w:highlight w:val="none"/>
        </w:rPr>
      </w:r>
      <w:r/>
    </w:p>
    <w:p>
      <w:pPr>
        <w:pStyle w:val="909"/>
        <w:ind w:left="105"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2、中小企业划分标准详见工信部联企业〔2011〕300号通知中的《中小企业划型标准规定》。</w:t>
      </w: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格式11：残疾人福利性单位声明函</w:t>
      </w:r>
      <w:r>
        <w:rPr>
          <w:rFonts w:hint="eastAsia" w:ascii="宋体" w:hAnsi="宋体" w:eastAsia="宋体" w:cs="宋体"/>
          <w:b/>
          <w:bCs/>
          <w:color w:val="000000"/>
          <w:sz w:val="21"/>
          <w:szCs w:val="21"/>
          <w:highlight w:val="none"/>
        </w:rPr>
      </w:r>
      <w:r/>
    </w:p>
    <w:p>
      <w:pPr>
        <w:pStyle w:val="909"/>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center"/>
        <w:spacing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残疾人福利性单位声明函</w:t>
      </w:r>
      <w:r>
        <w:rPr>
          <w:rFonts w:hint="eastAsia" w:ascii="宋体" w:hAnsi="宋体" w:eastAsia="宋体" w:cs="宋体"/>
          <w:color w:val="000000"/>
          <w:sz w:val="21"/>
          <w:szCs w:val="21"/>
          <w:highlight w:val="none"/>
        </w:rPr>
      </w:r>
      <w:r/>
    </w:p>
    <w:p>
      <w:pPr>
        <w:pStyle w:val="909"/>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09"/>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909"/>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right"/>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单位名称（盖章）：</w:t>
      </w:r>
      <w:r>
        <w:rPr>
          <w:rFonts w:hint="eastAsia" w:ascii="宋体" w:hAnsi="宋体" w:eastAsia="宋体" w:cs="宋体"/>
          <w:color w:val="000000"/>
          <w:sz w:val="21"/>
          <w:szCs w:val="21"/>
          <w:highlight w:val="none"/>
        </w:rPr>
      </w:r>
      <w:r/>
    </w:p>
    <w:p>
      <w:pPr>
        <w:pStyle w:val="909"/>
        <w:jc w:val="right"/>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格式12：响应保证承诺书</w:t>
      </w:r>
      <w:r>
        <w:rPr>
          <w:rFonts w:hint="eastAsia" w:ascii="宋体" w:hAnsi="宋体" w:eastAsia="宋体" w:cs="宋体"/>
          <w:b/>
          <w:bCs/>
          <w:color w:val="000000"/>
          <w:sz w:val="21"/>
          <w:szCs w:val="21"/>
          <w:highlight w:val="none"/>
        </w:rPr>
      </w:r>
      <w:r/>
    </w:p>
    <w:p>
      <w:pPr>
        <w:pStyle w:val="909"/>
        <w:jc w:val="center"/>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9"/>
        <w:jc w:val="center"/>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响应保证承诺书</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苏州市卫康招投标咨询服务有限公司</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我单位自愿参加</w:t>
      </w:r>
      <w:r>
        <w:rPr>
          <w:rFonts w:hint="eastAsia" w:ascii="宋体" w:hAnsi="宋体" w:eastAsia="宋体" w:cs="宋体"/>
          <w:color w:val="000000"/>
          <w:sz w:val="21"/>
          <w:szCs w:val="21"/>
          <w:highlight w:val="none"/>
          <w:u w:val="single"/>
        </w:rPr>
        <w:t xml:space="preserve"> （项目名称和采购编号）</w:t>
      </w:r>
      <w:r>
        <w:rPr>
          <w:rFonts w:hint="eastAsia" w:ascii="宋体" w:hAnsi="宋体" w:eastAsia="宋体" w:cs="宋体"/>
          <w:color w:val="000000"/>
          <w:sz w:val="21"/>
          <w:szCs w:val="21"/>
          <w:highlight w:val="none"/>
        </w:rPr>
        <w:t xml:space="preserve">的投标，并做出如下承诺：</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一、除不可抗力外，我单位如果发生以下行为，将在行为发生的10个工作日内，向贵方支付本招标文件公布的预算金额的2%作为违约赔偿金。</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1.自投标截止时间至本项目发布中标公告为止，撤销投标；</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2.中标后不依法与采购人签订合同；</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3.中标后不按本招标文件规定向采购人提交履约保证金；</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4.中标后不按本招标文件规定向贵方缴纳采购代理费。</w:t>
      </w:r>
      <w:r>
        <w:rPr>
          <w:rFonts w:hint="eastAsia" w:ascii="宋体" w:hAnsi="宋体" w:eastAsia="宋体" w:cs="宋体"/>
          <w:color w:val="000000"/>
          <w:sz w:val="21"/>
          <w:szCs w:val="21"/>
          <w:highlight w:val="none"/>
        </w:rPr>
      </w:r>
      <w:r/>
    </w:p>
    <w:p>
      <w:pPr>
        <w:pStyle w:val="909"/>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二、我单位知晓上述行为的法律后果，承认本承诺书作为贵方要求我单位履行违约赔偿义务的依据作用。</w:t>
      </w:r>
      <w:r>
        <w:rPr>
          <w:rFonts w:hint="eastAsia" w:ascii="宋体" w:hAnsi="宋体" w:eastAsia="宋体" w:cs="宋体"/>
          <w:color w:val="000000"/>
          <w:sz w:val="21"/>
          <w:szCs w:val="21"/>
          <w:highlight w:val="none"/>
        </w:rPr>
      </w:r>
      <w:r/>
    </w:p>
    <w:p>
      <w:pPr>
        <w:pStyle w:val="909"/>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09"/>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jc w:val="center"/>
        <w:spacing w:line="360" w:lineRule="auto"/>
        <w:tabs>
          <w:tab w:val="left" w:pos="132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第四章  采购书</w:t>
      </w:r>
      <w:r>
        <w:rPr>
          <w:rFonts w:hint="eastAsia" w:ascii="宋体" w:hAnsi="宋体" w:eastAsia="宋体" w:cs="宋体"/>
          <w:b/>
          <w:color w:val="000000"/>
          <w:sz w:val="36"/>
          <w:szCs w:val="36"/>
          <w:highlight w:val="none"/>
        </w:rPr>
      </w:r>
      <w:r/>
    </w:p>
    <w:p>
      <w:pPr>
        <w:pStyle w:val="90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苏州工业园区唯亭街道办事处的委托，苏州市卫康招投标咨询服务有限公司作为采购代理机构，就其所需的2026-2028唯亭街道社会工作站（室）运营服务项目进行国内公开招标。欢迎符合资格条件的供应商前来参加投标。</w:t>
      </w:r>
      <w:r>
        <w:rPr>
          <w:rFonts w:hint="eastAsia" w:ascii="宋体" w:hAnsi="宋体" w:eastAsia="宋体" w:cs="宋体"/>
          <w:color w:val="000000"/>
          <w:sz w:val="21"/>
          <w:szCs w:val="21"/>
          <w:highlight w:val="none"/>
        </w:rPr>
      </w:r>
      <w:r/>
    </w:p>
    <w:p>
      <w:pPr>
        <w:pStyle w:val="999"/>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一、项目编号：</w:t>
      </w:r>
      <w:r>
        <w:rPr>
          <w:rFonts w:hint="eastAsia" w:ascii="宋体" w:hAnsi="宋体" w:eastAsia="宋体" w:cs="宋体"/>
          <w:color w:val="000000"/>
          <w:sz w:val="21"/>
          <w:szCs w:val="21"/>
          <w:highlight w:val="none"/>
          <w:lang w:eastAsia="zh-CN"/>
        </w:rPr>
        <w:t xml:space="preserve">JSZC-320591-SZWK-G2026-0128</w:t>
      </w:r>
      <w:r>
        <w:rPr>
          <w:rFonts w:hint="eastAsia" w:ascii="宋体" w:hAnsi="宋体" w:eastAsia="宋体" w:cs="宋体"/>
          <w:color w:val="000000"/>
          <w:sz w:val="21"/>
          <w:szCs w:val="21"/>
          <w:highlight w:val="none"/>
        </w:rPr>
        <w:t xml:space="preserve">号</w:t>
      </w:r>
      <w:r>
        <w:rPr>
          <w:rFonts w:hint="eastAsia" w:ascii="宋体" w:hAnsi="宋体" w:eastAsia="宋体" w:cs="宋体"/>
          <w:b/>
          <w:bCs/>
          <w:color w:val="000000"/>
          <w:sz w:val="21"/>
          <w:szCs w:val="21"/>
          <w:highlight w:val="none"/>
        </w:rPr>
      </w:r>
      <w:r/>
    </w:p>
    <w:p>
      <w:pPr>
        <w:pStyle w:val="999"/>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二、采购预算：</w:t>
      </w:r>
      <w:r>
        <w:rPr>
          <w:rFonts w:hint="eastAsia" w:ascii="宋体" w:hAnsi="宋体" w:eastAsia="宋体" w:cs="宋体"/>
          <w:color w:val="000000"/>
          <w:sz w:val="21"/>
          <w:szCs w:val="21"/>
          <w:highlight w:val="none"/>
        </w:rPr>
        <w:t xml:space="preserve">530</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包含代理费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99"/>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三、项目名称：</w:t>
      </w:r>
      <w:r>
        <w:rPr>
          <w:rFonts w:hint="eastAsia" w:ascii="宋体" w:hAnsi="宋体" w:eastAsia="宋体" w:cs="宋体"/>
          <w:color w:val="000000"/>
          <w:sz w:val="21"/>
          <w:szCs w:val="21"/>
          <w:highlight w:val="none"/>
        </w:rPr>
        <w:t xml:space="preserve">2026-2028唯亭街道社会工作站（室）运营服务项目</w:t>
      </w:r>
      <w:r>
        <w:rPr>
          <w:rFonts w:hint="eastAsia" w:ascii="宋体" w:hAnsi="宋体" w:eastAsia="宋体" w:cs="宋体"/>
          <w:b/>
          <w:bCs/>
          <w:color w:val="000000"/>
          <w:sz w:val="21"/>
          <w:szCs w:val="21"/>
          <w:highlight w:val="none"/>
        </w:rPr>
      </w:r>
      <w:r/>
    </w:p>
    <w:p>
      <w:pPr>
        <w:pStyle w:val="999"/>
        <w:ind w:firstLine="422"/>
        <w:spacing w:line="440" w:lineRule="exact"/>
        <w:rPr>
          <w:rFonts w:hint="eastAsia" w:ascii="宋体" w:hAnsi="宋体" w:eastAsia="宋体" w:cs="宋体"/>
          <w:b/>
          <w:bCs/>
          <w:color w:val="000000"/>
          <w:sz w:val="21"/>
          <w:szCs w:val="21"/>
          <w:highlight w:val="none"/>
        </w:rPr>
      </w:pPr>
      <w:r/>
      <w:bookmarkEnd w:id="8"/>
      <w:r/>
      <w:bookmarkStart w:id="9" w:name="_Toc13889378"/>
      <w:r/>
      <w:bookmarkStart w:id="10" w:name="_Toc142194273"/>
      <w:r/>
      <w:bookmarkStart w:id="11" w:name="_Toc13642118"/>
      <w:r>
        <w:rPr>
          <w:rFonts w:hint="eastAsia" w:ascii="宋体" w:hAnsi="宋体" w:eastAsia="宋体" w:cs="宋体"/>
          <w:b/>
          <w:bCs/>
          <w:color w:val="000000"/>
          <w:sz w:val="21"/>
          <w:szCs w:val="21"/>
          <w:highlight w:val="none"/>
        </w:rPr>
        <w:t xml:space="preserve">四、采购要求：</w:t>
      </w:r>
      <w:r>
        <w:rPr>
          <w:rFonts w:hint="eastAsia" w:ascii="宋体" w:hAnsi="宋体" w:eastAsia="宋体" w:cs="宋体"/>
          <w:b/>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（一）项目背景</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唯亭街道社会工作站（室）采用站室一体化运营模式，服务范围涵盖街道的37个社区，社会工作站作为街道社会工作综合服务平台，重点发挥“枢纽”功能，社会工作室作为社区社会工作的直接服务网点，重点发挥“服务”功能。经过四年运营，已初步形成具有唯亭特色的社会工作服务体系。新一期项目将在前期基础上持续深化，进一步推动党建引领与社会工作融合、专业服务与社区治理协同、资源整合与能力建设并进。</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（二）项目目标</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党建引领为核心，以专业化、系统化、协同化为导向，持续优化站室一体化运营机制，提升对重点人群的精准服务水平，增强社区工作者能力，激发社会组织活力，推动志愿服务常态化发展，助力构建共建共治共享的基层治理新格局，打造具有唯亭辨识度的社会工作服务品牌。</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（三）项目周期</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社会工作站（室）通过政府采购专业服务机构运营，项目周期为两年（24个月）。</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（四）服务内容</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新一期项目围绕“党建统领、专业支撑、协同治理、资源整合”四大主线，系统推进党建品牌建设、社工站枢纽功能发挥、日常运维保障，并聚焦老年人、未成年人、残障人士、重疾患者、特殊女性等重点群体开展专业服务，同时通过社工赋能、社会组织培育、志愿力量建设、协同治理支持、智慧工具开发等路径，全面提升唯亭街道社会工作与社区治理的系统性、专业性和可持续性。</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1、“亭幸福·红社益站”党建品牌服务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唯亭街道社会工作站坚持以党建引领为核心，推动党建工作与社会工作深度融合，通过项目联动、资源联合、服务联办等方式，整合社区、社会组织、志愿者等多方红色力量，开展形式多样的红色志愿服务，发挥服务型党支部作用。</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社工站（室）工作人员中至少保持不少于2名党员，且其组织关系须转隶于中共苏州工业园区唯亭街道社会工作站支部委员会。②每年开展红色社工志愿服务活动不少于6次。③根据红色志愿服务情况，每年撰写“红色服务案例”1篇。</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2、社工站枢纽平台服务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（1）服务内容：充分发挥社会工作站的“统筹性、专业性</w:t>
      </w:r>
      <w:r>
        <w:rPr>
          <w:rFonts w:hint="eastAsia" w:ascii="宋体" w:hAnsi="宋体" w:eastAsia="宋体" w:cs="宋体"/>
          <w:bCs/>
          <w:color w:val="000000"/>
          <w:sz w:val="21"/>
          <w:szCs w:val="21"/>
          <w:highlight w:val="none"/>
        </w:rPr>
        <w:t xml:space="preserve">、枢纽性”的平台作用，通过站室联动机制，每年在项目启动实施前开展阶段性调研，并结合需要开展临时性调研工作，为年度工作规划提供依据；为项目社工提供全程项目督导，保障各项目的有效落地与实施；积极参与省、市、区级相关部门组织的评选评优活动，提升项目影响力和美誉度；结合运营机构人事管理要求，对站室社工实施双月考核，推动社工专业成长和规范行为；围绕项目完成度、服务满意度、财务规范等维度，定期开展自评估工作；整合街道内外慈善资源，支持社区及社工室开展人群服务与社区治理项目；举办工作交流会，促进社会工作行业间交流与互动。</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（2）服务指标：①每年面向街道和社区开展</w:t>
      </w:r>
      <w:r>
        <w:rPr>
          <w:rFonts w:hint="eastAsia" w:ascii="宋体" w:hAnsi="宋体" w:eastAsia="宋体" w:cs="宋体"/>
          <w:bCs/>
          <w:color w:val="000000"/>
          <w:sz w:val="21"/>
          <w:szCs w:val="21"/>
          <w:highlight w:val="none"/>
        </w:rPr>
        <w:t xml:space="preserve">阶段性调研1次，形成调研报告1份；每年根据实际需要开展临时性调研，并形成调研结果。②每年为站室社工提供项目督导，每人每月接受个别督导或团体督导不少于1次，每次督导均形成督导记录。③每年积极参与省、市、区级相关部门组织的评选评优工作，争取每年至少有1篇案例获得荣誉或发布在市级以上媒体平台。④对站室社工开展双月考核，每年每人考核6次。⑤每半年开展1次自评估工作，形成《唯亭街道社会工作站（室）自评估报告》1份。⑥项目周期内，整合物资、资金及项目资源，累计价值人民币不少于10万元。⑦项目周期内，举办工作交流会1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3、社工站日常运维服务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（1）服务内容：按要求在国家法定工作时间</w:t>
      </w:r>
      <w:r>
        <w:rPr>
          <w:rFonts w:hint="eastAsia" w:ascii="宋体" w:hAnsi="宋体" w:eastAsia="宋体" w:cs="宋体"/>
          <w:bCs/>
          <w:color w:val="000000"/>
          <w:sz w:val="21"/>
          <w:szCs w:val="21"/>
          <w:highlight w:val="none"/>
        </w:rPr>
        <w:t xml:space="preserve">开放场馆，持续做好场地日常管理，确保空间网络通畅、环境整洁、水电安全、各场馆有序使用；结合实际需求，对社会工作站空间进行氛围营造，打造良好的公益服务环境；根据唯亭街道安排，做好各级各类的考察调研与参访交流的接待工作，系统介绍街道社工站运营经验，充分展示唯亭社区治理创新成果；负责知社区平台社会工作管理模块的信息录入和日常管理，做好数据的更新和维护，确保信息安全与保密；借助线上新媒体平台，开展项目服务宣传，提升服务项目的影响力和知晓度；根据项目服务进展，每月编制工作简报，每两个月提交工作报告，每年编制年度年刊。</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建立社工站空间管理台账。②每年根据实际需要做好参访接待工作，并建立相关台账资料。③根据平台要求和社工站（室）服务实际开展情况，做好知社区平台社会工作管理模块的信息录入与日常维护，确保信息安全与保密。④社工站（室）全年宣传稿件不少于30篇，其中国家级媒体不少于3篇，省级媒体不少于4篇，市级媒体不少于3篇。⑤每月制作1期工作简报，每两个月提交1份工作报告，每年制作1份年度年刊。</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4、“幸福来敲门”老年人关怀服务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聚焦辖区内独居、空巢、失能失智、高龄等特困老年群体，针对其在身心健康、居家安全、情感支持、社会交往等方面面临的突出问题，运用社会工作专业方法，开展常态化入户探访与需求评估，建立“一人一档”动态管理机制。在个案服务方面，为陷入</w:t>
      </w:r>
      <w:r>
        <w:rPr>
          <w:rFonts w:hint="eastAsia" w:ascii="宋体" w:hAnsi="宋体" w:eastAsia="宋体" w:cs="宋体"/>
          <w:bCs/>
          <w:color w:val="000000"/>
          <w:sz w:val="21"/>
          <w:szCs w:val="21"/>
          <w:highlight w:val="none"/>
        </w:rPr>
        <w:t xml:space="preserve">危机的老人提供心理疏导、资源链接、危机干预等精准服务；在小组工作方面，通过小组工作搭建同辈支持平台，开展健康管理、兴趣培养、生命回顾等主题小组，增强老人自我效能感与社会参与感；在社区活动方面，通过举办系列社区活动，如为70岁以上老人拍1张照片、为独居老人进行1次安全排查等活动，营造敬老助老氛围。同时，整合社区内外资源，为老人提供政策咨询、健康监测、生活照料、精神慰藉等多元支持。动员邻里、志愿者、慈善力量参与关爱服务，构建“社工+邻里+志愿者+慈善”的立体化支持网络，切实提升特困老人的获得感、幸福感和安全感。</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对独居、空巢、失能失智、高龄等特困老年探访不少于1000人，建立特困老人档案不少于1000份。②每年开展个案及个案管理不少于10个，每个个案服务频次不少于5次，每年形成案例不少于10篇。③每年开展小组工作5个，每组活动频次不少于5次，每年形成案例不少于5篇。④每年开展社区活动3场，每场参与人数不少于60人。⑤每年回应老人政策咨询、健康监测、情感支持等需求不少于300人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5、“托起希望”未成年人成长支持服务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聚焦辖区内休学、厌学、亲子关系疏离、行为偏差等困境儿童青少年，针对其在自我认知模糊、社交障碍、学业困难、情绪失控甚至自伤自残等方面面临的深层问题，运用社会工作专业方法，开展常态化入户探访与需求评估，建立“一人一档”动态管理机制，全面掌握其成长环境、心理状态及家庭支持系统。在个案服务方面，为陷入危机的青少年提供心理疏导、危机干</w:t>
      </w:r>
      <w:r>
        <w:rPr>
          <w:rFonts w:hint="eastAsia" w:ascii="宋体" w:hAnsi="宋体" w:eastAsia="宋体" w:cs="宋体"/>
          <w:bCs/>
          <w:color w:val="000000"/>
          <w:sz w:val="21"/>
          <w:szCs w:val="21"/>
          <w:highlight w:val="none"/>
        </w:rPr>
        <w:t xml:space="preserve">预、资源链接等精准服务，协助其缓解情绪困扰，重建自我认同；在小组工作方面，围绕社交技能训练、情绪管理、生涯探索等主题，开展成长性、支持性小组，帮助青少年在同辈群体中获得理解与支持，提升社会适应能力；在社区活动方面，面向家长、未成年人，开展亲子沟通调解与家庭教育指导，改善家庭互动模式，修复亲子关系。同时，整合教育、心理、司法、慈善等社区内外资源，为青少年及家庭提供政策咨询、成长赋能、学业支持、生涯规划等多元服务，构建“家庭+学校+社区+社工”四位一体的支持网络，切实促进困境青少年走出危机、健康成长、全面发展。</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对休学、厌学、亲子关系疏离、行为偏差等儿童青少年探访不少于100人，建立特殊儿童青少年档案不少于100份。②每年开展个案及个案管理不少于6个，每个个案服务频次不少于5次，每年形成案例不少于6篇。③每年开展小组工作2个，每组活动频次不少于5次，每年形成案例不少于2篇。④每年开展社区活动2场，每场参与人数不少于20人。⑤每年回应未成年人政策咨询、成长赋能、生涯规划、亲子关系调适</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需求不少于30人次。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6、“融情无碍”残障人士社会融入服务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聚焦辖区内肢残、精残等全龄段残障人士，针对其在社会融入、辅助就业、康复训练、经济困难、日常照护、心理自卑等方面面临的多元困境，运用社会工作专业方法，开展常态化入户探访与需求评估，建立“一人一档”动态管理机制，精准掌握其身体状况、家庭支持系统及社会参与障碍。在个案服务方面，为陷入困境的残障人士提供心理疏导、政策咨询、资源链接、康复协调等精准服务，协助其缓解焦虑情绪，重建生活信心；在小</w:t>
      </w:r>
      <w:r>
        <w:rPr>
          <w:rFonts w:hint="eastAsia" w:ascii="宋体" w:hAnsi="宋体" w:eastAsia="宋体" w:cs="宋体"/>
          <w:bCs/>
          <w:color w:val="000000"/>
          <w:sz w:val="21"/>
          <w:szCs w:val="21"/>
          <w:highlight w:val="none"/>
        </w:rPr>
        <w:t xml:space="preserve">组工作方面，围绕社交技能训练、生活自理能力提升、手工技能学习、同伴支持等主题，开展成长性、互助性小组，帮助残障人士在同辈中获得情感支持与经验分享，提升社会适应能力；在社区活动方面，面向社区居民开展残障知识普及、无障碍倡导、残健融合体验等活动，消除社会偏见，营造包容友善的社区氛围。同时，整合残联、就业、医疗、慈善等社区内外资源，为残障人士及家庭提供就业辅导、喘息服务、辅助器具申请、法律援助等多元服务，构建“家庭+社区+社工+志愿者”四位一体的社会支持网络，切实提升残障人士的社会参与感、自我价值感和生活幸福感。</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对肢体残疾、精神障碍等残障人士开展探访不少于200人，建立残障人士档案不少于200份。②每年开展个案及个案管理不少于2个，每个个案服务频次不少于5次，每年形成案例不少于2篇。③每年开展小组工作2个，每组活动频次不少于5次，每年形成案例不少于2篇。④每年开展社区活动2场，每场参与人数不少于20人。⑤每年回应残障人士关于政策咨询、康复支持、辅助就业等需求不少于50人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7、“向阳而生”重疾家庭医护支持服务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聚焦辖区内癌症、白血病、尿毒症等重疾人群，针对其在疾病治疗过程中面临的身心痛楚、死亡恐惧、经济重压、照护耗竭、家庭关系紧张等多重困境，运用社会工作专业方法，开展常态化入户探访与需求评估，建立“一人一档”动态管理机制，精准掌握患者身体状况、治疗进展、家庭支</w:t>
      </w:r>
      <w:r>
        <w:rPr>
          <w:rFonts w:hint="eastAsia" w:ascii="宋体" w:hAnsi="宋体" w:eastAsia="宋体" w:cs="宋体"/>
          <w:bCs/>
          <w:color w:val="000000"/>
          <w:sz w:val="21"/>
          <w:szCs w:val="21"/>
          <w:highlight w:val="none"/>
        </w:rPr>
        <w:t xml:space="preserve">持系统及心理状态。在个案服务方面，为患者及家属提供心理疏导、安宁疗护咨询、医疗资源链接、救助政策解读等精准服务，协助患者缓解焦虑抑郁情绪，重建面对疾病的生命意义感；针对家属开展照护压力疏导、哀伤辅导等服务，缓解其身心疲惫与情感负担。同时，整合医疗、医保、慈善、志愿等社区内外资源，为患者及家庭提供就医陪诊、用药指导、营养支持、救助申请等多元服务，构建“医疗+社工+家庭+志愿者”四位一体的全人照护网络，切实减轻重疾家庭的照护负担，提升患者生命的尊严感与生活质量，促进家庭成员的身心健康与社会支持系统的可持续发展。</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对癌症、白血病、尿毒症等重疾人群开展探访不少于50人，建立重疾人士档案不少于50份。②每年开展个案及个案管理不少于2个，每个个案服务频次不少于5次，每年形成案例不少于2篇。③每年回应重疾人群关于政策咨询、就医支持、安宁疗护、心理疏导等需求不少于15人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8、“花期同行”女性群体特殊期服务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（1）服务内容：聚焦辖区内青春期、婚恋期、更年期等处于特殊生理与心理阶段的女性群体，针对其在青春期生理卫生认知不足</w:t>
      </w:r>
      <w:r>
        <w:rPr>
          <w:rFonts w:hint="eastAsia" w:ascii="宋体" w:hAnsi="宋体" w:eastAsia="宋体" w:cs="宋体"/>
          <w:bCs/>
          <w:color w:val="000000"/>
          <w:sz w:val="21"/>
          <w:szCs w:val="21"/>
          <w:highlight w:val="none"/>
        </w:rPr>
        <w:t xml:space="preserve">、情绪波动大、自我认同模糊，婚恋期婚恋观偏差、亲密关系冲突、家庭角色适应困难，更年期身心失衡、情绪烦躁、社会角色转变不适等多元问题，运用社会工作专业方法，开展分层分类的精准服务。通过常态化入户探访与需求评估，建立“一人一档”动态管理机制，全面掌握不同阶段女性的身心状态、家庭支持系统及社会参与需求。在个案服务方面，为陷入情绪困扰、关系冲突或适应危机的女性提供心理疏导、认知调适、家庭关系调解等精准干预，协助其重构积极自我认知，提升应对生活转折的能力。在小组工作方面，围绕青春期女性自我探索与生理健康教育、婚恋期女</w:t>
      </w:r>
      <w:r>
        <w:rPr>
          <w:rFonts w:hint="eastAsia" w:ascii="宋体" w:hAnsi="宋体" w:eastAsia="宋体" w:cs="宋体"/>
          <w:bCs/>
          <w:color w:val="000000"/>
          <w:sz w:val="21"/>
          <w:szCs w:val="21"/>
          <w:highlight w:val="none"/>
        </w:rPr>
        <w:t xml:space="preserve">性亲密关系成长与家庭经营、更年期女性情绪管理与生活重构等主题，开展支持性、成长性小组，搭建同辈互助平台，促进经验分享与情感支持。在社区活动方面，联合妇联、医疗机构、心理咨询机构等资源，开展女性健康知识普及、婚恋观引导、更年期保健讲座等主题活动，营造理解、尊重、支持女性特殊期的社区氛围。同时，整合医疗、心理、法律、社区等内外资源，为女性群体提供健康咨询、家庭关系辅导、法律援助、社会参与支持等多元服务，构建“社工+家庭+社区+专业机构”四位一体的支持网络，切实提升女性在特殊期的身心健康水平、自我调适能力与社会适</w:t>
      </w:r>
      <w:r>
        <w:rPr>
          <w:rFonts w:hint="eastAsia" w:ascii="宋体" w:hAnsi="宋体" w:eastAsia="宋体" w:cs="宋体"/>
          <w:bCs/>
          <w:color w:val="000000"/>
          <w:sz w:val="21"/>
          <w:szCs w:val="21"/>
          <w:highlight w:val="none"/>
          <w:lang w:eastAsia="zh-CN"/>
        </w:rPr>
        <w:t xml:space="preserve">应能</w:t>
      </w:r>
      <w:r>
        <w:rPr>
          <w:rFonts w:hint="eastAsia" w:ascii="宋体" w:hAnsi="宋体" w:eastAsia="宋体" w:cs="宋体"/>
          <w:bCs/>
          <w:color w:val="000000"/>
          <w:sz w:val="21"/>
          <w:szCs w:val="21"/>
          <w:highlight w:val="none"/>
        </w:rPr>
        <w:t xml:space="preserve">力，促进女性在不同生命阶段的全面发展与幸福生活。</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对青春期、婚恋期、更年期等女性群体开展探访不少于50人，建立特殊女性档案不少于50份。②每年开展个案及个案管理不少于2个，每个个案服务频次不少于5次，每年形成案例不少于2篇。③每年开展小组工作2个，每组活动频次不少于5次，每年形成案例不少于2篇。④每年开展社区活动2场，每场参与人数不少于20人。⑤每年回应特殊女性群体关于心理咨询、家庭关系调适、健康管理、社会融入等需求不少于15人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9、“亭育计划”社区工作者立体化赋能服务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（1）服务内容：为构建唯亭街道社区工作者人才库，系统提升社区工作者的综合素质与专业能力，社工站立足街道与社区实</w:t>
      </w:r>
      <w:r>
        <w:rPr>
          <w:rFonts w:hint="eastAsia" w:ascii="宋体" w:hAnsi="宋体" w:eastAsia="宋体" w:cs="宋体"/>
          <w:bCs/>
          <w:color w:val="000000"/>
          <w:sz w:val="21"/>
          <w:szCs w:val="21"/>
          <w:highlight w:val="none"/>
        </w:rPr>
        <w:t xml:space="preserve">际需求，针对社区工作者在不同发展阶段面临的能力短板、工作困惑与成长瓶颈，开展分层分类、多维立体的支持赋能服务。在基础技能赋能方面，针对入职时间短及基础能力较弱的社区工作者，采用参与式培训形式，通过“走、看、学、做”相结合的沉浸式学习方式，围绕居民沟通、文案撰写、公共表达、冲突调解等核心主题，开展系统性、实操性培训，帮助社区工作者夯实基础能力，提升岗位胜任力；在骨干人才培养方面，针对骨干社工综合素质提升、业务技能精进、创新思维拓展等需求，结合园区及街道工作要求，举办社工技能大赛。通过“报名动员→集中赋能→交流</w:t>
      </w:r>
      <w:r>
        <w:rPr>
          <w:rFonts w:hint="eastAsia" w:ascii="宋体" w:hAnsi="宋体" w:eastAsia="宋体" w:cs="宋体"/>
          <w:bCs/>
          <w:color w:val="000000"/>
          <w:sz w:val="21"/>
          <w:szCs w:val="21"/>
          <w:highlight w:val="none"/>
        </w:rPr>
        <w:t xml:space="preserve">展示”的流程化设计，搭建展示风采、交流经验、学习互促的平台，激发社工队伍内生动力，挖掘和培养一批业务精湛、能力突出的社区治理骨干；在个性化问题解决方面，针对社区工作者在日常工作中遇到的复杂个案、治理难题或阶段性发展困惑，提供个别化督导与团体督导服务，协助社工分析问题、梳理思路、制定方案，切实提升其应对复杂局面的能力。结合以上多维度赋能行动，形成“培训打基础、大赛促提升、督导解难题”的立体化支持体系，每年结合赋能实践与成效，撰写《唯亭街道社区工作者参与赋能支持年度报告》，为街道优化社工培养机制提供依据与参考。</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开展参与式培训7次。②每年开展赋能式大赛3次，大赛一般由报名、赋能培训、交流展示等环节。③督导服务根据社区工作者实际需求开展，须向街道社会事务办公室报批，每年督导总时长不少于37小时。④每年结合赋能服务开展情况，形成《唯亭街道社区工作者参与赋能支持年度报告》1份。</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10、“唯亭益家”社会组织培育服务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为培育和扶持社会组织健康发展，推动其在社区治理与民生服务中发挥更大作用，社工站立足园区及街道工作要求，针对社会组织存在的项目经验不足、运作不规范、专业能力薄弱、资源链接困难等问题，通过“项目扶持+专业督导”双轮驱动的方式，构建系统化赋能培育体系。在项目扶持方面，通过设立微公益服务项目，为社会组织提供实战练兵的平台。社工站按照“需求收集→项目设立→招募评审→签约实施→赋能监督”的全流程工作机制，面向社会</w:t>
      </w:r>
      <w:r>
        <w:rPr>
          <w:rFonts w:hint="eastAsia" w:ascii="宋体" w:hAnsi="宋体" w:eastAsia="宋体" w:cs="宋体"/>
          <w:bCs/>
          <w:color w:val="000000"/>
          <w:sz w:val="21"/>
          <w:szCs w:val="21"/>
          <w:highlight w:val="none"/>
        </w:rPr>
        <w:t xml:space="preserve">组织发布微公益项目。通过项目化运作，帮助社会组织在项目实践中提升需求回应能力、项目策划能力、执行管理能力和财务规范水平。在同等条件下，优先支持唯亭本土社会组织承接；在赋能成长方面，针对社区党组织为民服务统筹项目的承接方提供团体督导服务；针对社区自运行项目以专题培训、主题沙龙、案例解析等方式赋能，支持社会组织和社区解决项目执行中的问题，提升服务质量和专业水平，确保为民服务项目落地见效。通过“项目扶持+专业督导”的双重赋能，形成“以项目带能力、以督导促规范”的社会组织培育模式，推动社会组织向“专、精、优”发展。</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根据实际服务需求，社工站每年以项目化形式发布实施微公益服务项目不少于5个，两年不少于10个（至少1-2个优秀项目）；两年项目总资金不少于40万元（已列入社工站运营服务项目经费），社工站做好项目征集、赋能和监管评估等工作，每年度提交微公益服务项目评估报告1份。②根据实际服务需求，每年为社区党组织为民服务统筹项目开展团体督导不少于3次，每次不少于2小时，为社区自运行项目提供赋能培训不少于3次，每次不少于2小时。</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11、“唯亭微光”志愿服务力量培育服务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社工站以“唯·光”志愿服务队为载体，构建“志愿挖掘—主体培育—积分赋能—机制建设”的培育路径，推动志愿服务向“有序组织”“专业服务”转型，持续激活社区志愿资源的内在活力。在志愿挖掘方面</w:t>
      </w:r>
      <w:r>
        <w:rPr>
          <w:rFonts w:hint="eastAsia" w:ascii="宋体" w:hAnsi="宋体" w:eastAsia="宋体" w:cs="宋体"/>
          <w:bCs/>
          <w:color w:val="000000"/>
          <w:sz w:val="21"/>
          <w:szCs w:val="21"/>
          <w:highlight w:val="none"/>
        </w:rPr>
        <w:t xml:space="preserve">，通过社区走访、活动吸引、线上招募等方式，广泛吸纳热心居民、党员、团员、专业人士等加入志愿服务队伍，建立动态更新的志愿者信息库，精准掌握志愿者的服务意向、专业特长与可服务时间；在主体培育方面，根据志愿者能力与服务意愿，分层分类培育志愿分队及“公益合伙人”。针对普通志愿者，开展基础服务理念与通用技能培训；针对具备专业技能的志愿者（如医护、心理、法律、维修等），组建专业服务分队，形成“社工引领+志愿者协作”的专业服务队伍；在积分赋能方面，建立志愿服务积分管理制度，明确积分获取规则与兑换标准，每年定期开展积分兑换</w:t>
      </w:r>
      <w:r>
        <w:rPr>
          <w:rFonts w:hint="eastAsia" w:ascii="宋体" w:hAnsi="宋体" w:eastAsia="宋体" w:cs="宋体"/>
          <w:bCs/>
          <w:color w:val="000000"/>
          <w:sz w:val="21"/>
          <w:szCs w:val="21"/>
          <w:highlight w:val="none"/>
        </w:rPr>
        <w:t xml:space="preserve">活动，通过物质激励与精神激励相结合的方式，增强志愿者的获得感与归属感；在机制建设方面，建立健全志愿者注册登记、培训赋能、服务记录、激励机制、安全保障等制度，推动志愿服务规范化、常态化发展。引导“唯·光”志愿服务队围绕困难人群帮扶、社区治理重点、大型活动保障等领域，自主设计或参与服务项目，在实践中提升组织力与执行力。通过典型选树、事迹宣传等方式，讲好志愿故事，营造“人人愿为、时时可为”的社区志愿文化氛围。着力打造一支“数量充足、素质优良、结构合理、长期稳定”的志愿服务力量，推动志愿服务成为社区治理的有力补充。</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组织开展志愿服务队积分兑换活动2次，引导“唯·光”志愿服务队开展或参与服务不少于10次。②建立并动态更新《唯亭街道公益合伙人库》，每季度更新1次，每年撰写典型公益合伙人事迹案例不少于10篇。</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12、“聚力共治”协同治理服务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（1）服务内容：为提升唯亭</w:t>
      </w:r>
      <w:r>
        <w:rPr>
          <w:rFonts w:hint="eastAsia" w:ascii="宋体" w:hAnsi="宋体" w:eastAsia="宋体" w:cs="宋体"/>
          <w:bCs/>
          <w:color w:val="000000"/>
          <w:sz w:val="21"/>
          <w:szCs w:val="21"/>
          <w:highlight w:val="none"/>
        </w:rPr>
        <w:t xml:space="preserve">街道社区治理效能，破解“项目谋划不深、资源整合不足、经验提炼不够、成果转化不力”等难题，社工站立足街道统筹职能，通过“项目全链条协同+项目阶段性支持+项目展示交流”三位一体的服务路径，系统推动社区治理向纵深发展。在项目全链条协同方面，针对社区自主确定的治理议题，如集宿区治理、社区闲置空间激活、老旧小区微更新等，社工站（室）以“伙伴式”协同方式全程介入，从方案设计、资源链接、实施推进到成果梳理，提供全链条陪伴式支持，帮助社区掌握科学的治理方法，提升项目执行的系统性和实效性。在项目阶段性支持方面，针对社区治理过</w:t>
      </w:r>
      <w:r>
        <w:rPr>
          <w:rFonts w:hint="eastAsia" w:ascii="宋体" w:hAnsi="宋体" w:eastAsia="宋体" w:cs="宋体"/>
          <w:bCs/>
          <w:color w:val="000000"/>
          <w:sz w:val="21"/>
          <w:szCs w:val="21"/>
          <w:highlight w:val="none"/>
        </w:rPr>
        <w:t xml:space="preserve">程中遇到的共性问题与个性难点，采用“共性辅导+个性辅导”相结合的方式。通过开展集中培训、经验分享、专题会诊、模拟演练等形式，提升社区通用治理能力，帮助社区破解个性难题，提升项目展示与成果呈现的专业水平。在项目展示交流方面，通过举办项目分享会，搭建社区间交流互鉴平台，促进经验流动与问题共解；组织开展项目案例大赛，以赛促练、以评促优，挖掘和推广一批可复制、可推广的治理样板；召开项目总结会，系统梳理项目成效与不足，协助社区形成可延续的治理经验。逐步形成社区在治理项目上“会谋划、能落地、善总结、敢展示”的良好氛围。</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开展2期社区治理项目全链条协同服务，支持的社区或项目数每期不少于5个，两期不少于10个，两年不少于20个。②每年开展2期社区治理项目阶段性支持服务，提供专题辅导每期不少于3次，两期不少于6次，两年不少于12次。③每年开展社区治理项目分享会、案例大赛、项目总结会等交流展示活动不少于4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13、“社区智慧包”四库赋能服务</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（1）服务内容：为破解基层治理</w:t>
      </w:r>
      <w:r>
        <w:rPr>
          <w:rFonts w:hint="eastAsia" w:ascii="宋体" w:hAnsi="宋体" w:eastAsia="宋体" w:cs="宋体"/>
          <w:bCs/>
          <w:color w:val="000000"/>
          <w:sz w:val="21"/>
          <w:szCs w:val="21"/>
          <w:highlight w:val="none"/>
        </w:rPr>
        <w:t xml:space="preserve">中经验分散、方法缺失、资源零散、专业支持不足等难题，社工站立足街道统筹职能，通过梳理治理经验、研发治理工具、搭建支持网络，形成动态更新的《唯亭街道社区治理智慧包》，为社区提供“随取随用”的专业支持，助力基层治理更具创新性、针对性和可持续性。在经验库方面，协助各社区梳理治理实践案例，为社区提供鲜活的本土化参考样本；在工具库方面，开发标准化、实操性的治理工具包，并通过培训、演练等方式推动工具落地应用，帮助社区掌握科学的治理方法；在专家库与合作伙伴库方面，整合高校、行业资源，联合多元主体，构建资源网络并定期更新。</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（2）服务指标：①每年协助社区梳理治理案例及撰写站室服务经验案例，累计不少于10篇。②每年开发社区治理工具包1个。③每半年更新《唯亭街道社区治理智慧包》的专家库和合作伙伴库各1次。</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（五）团队配置要求</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由被委托运营的社会工作服务机构为社工站（室）组建专门工作团队，社工站（室）配置专职社工不少于15名（含15名），其中社工站配备不少于3名（含3名，包括副站长1名，项目负责人1名）。被委托运营的社会服务机构的副站长及项目负责人应具有社会工作职业水平证书或社会工作相关专业本科及以上学历，并担任项目主管或负责人不少于5年，其他社会工作者应具有社会工作者职业水平证书或社会工作相关专业背景。站室社工党员人数不少于2名。</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中标人在项目实施过程中，必须按照上述要求及投标文</w:t>
      </w:r>
      <w:r>
        <w:rPr>
          <w:rFonts w:hint="eastAsia" w:ascii="宋体" w:hAnsi="宋体" w:eastAsia="宋体" w:cs="宋体"/>
          <w:bCs/>
          <w:color w:val="000000"/>
          <w:sz w:val="21"/>
          <w:szCs w:val="21"/>
          <w:highlight w:val="none"/>
        </w:rPr>
        <w:t xml:space="preserve">件中的相关承诺配置本项目的技术团队，未经采购人批准，不得随意更换项目团队成员。如果采购人认为项目团队成员不具备本次服务工作所需的技术能力，有权随时要求中标人对该成员进行更换，中标人应按采购人要求在规定的时间内无条件更换到位，否则采购人有权根据实际需求自行安排，涉及的全部费用由中标人承担并追究相应违约、扣款责任。针对本项目配置的团队成员，中标人应做好安全教育培训，提供必要的劳动保障，为其办理人身安全和意外伤害等保险，在服务期间内出现的工伤及其他意外事故等，一律由中标人自行全权负责，采购人不承担任何责任及损失。</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（六）项目成果要求：</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1、根据招标文件采购需求中的服务内容、基本指标相关要求，向采购人提交相应的项目成果。</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2、中标人提供的所有项目成果将由采购人最终确认、审核通过，如不符合采购人实际需求的，则须按采购人要求在指定的期限内无条件进行修改，直到满足采购人要求为止， 否则将按相应违约情形进行处理。</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（七）知识产权及保密要求</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实施过程中产出的项目成果归采购人所有。采购人提交给中标人使用的相关资料，其知识产权仍归采购人所有。除为本合同目的而使用之外，中标人不得复制、使用及提供给第三方。中标人应能保证针对本项目提供的服务涉及到的知识产权是合法取得，并享有完整的知识产权，不会因为采购人的使用而被责令停止使用、追偿或要求赔偿损失，如出现此情况，一切经济和法律责任均由中标人承担。中标人提供的所有服务必须符合国家、行业相关标准要求，如出现服务质量问题，中标人负责更正，发生的费用由中标人负责，造成采购人产生损失的，由中标人赔偿。</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中标人及其专业人员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（八）验收标准</w:t>
      </w:r>
      <w:r>
        <w:rPr>
          <w:rFonts w:hint="eastAsia" w:ascii="宋体" w:hAnsi="宋体" w:eastAsia="宋体" w:cs="宋体"/>
          <w:b/>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将按照国家、行业及招标文件中服务内容、基本指标相关要求、投标文件中相关承诺并根据政府采购法及相关法规，以及《江苏省政府采购履约验收管理办法》和《苏州工业园区关于进一步加强履约验收管理的通知》等文件的规定</w:t>
      </w:r>
      <w:r>
        <w:rPr>
          <w:rFonts w:hint="eastAsia" w:ascii="宋体" w:hAnsi="宋体" w:eastAsia="宋体" w:cs="宋体"/>
          <w:bCs/>
          <w:color w:val="000000"/>
          <w:sz w:val="21"/>
          <w:szCs w:val="21"/>
          <w:highlight w:val="none"/>
          <w:lang w:val="en-US" w:eastAsia="zh-CN"/>
        </w:rPr>
        <w:t xml:space="preserve">以及对中标人的服务进行的考核验收资料</w:t>
      </w:r>
      <w:r>
        <w:rPr>
          <w:rFonts w:hint="eastAsia" w:ascii="宋体" w:hAnsi="宋体" w:eastAsia="宋体" w:cs="宋体"/>
          <w:bCs/>
          <w:color w:val="000000"/>
          <w:sz w:val="21"/>
          <w:szCs w:val="21"/>
          <w:highlight w:val="none"/>
        </w:rPr>
        <w:t xml:space="preserve">进行履约验收，经确认验收合格的，将出具《政府采购履约验收书》，予以资金拨付。</w:t>
      </w:r>
      <w:r>
        <w:rPr>
          <w:rFonts w:hint="eastAsia" w:ascii="宋体" w:hAnsi="宋体" w:eastAsia="宋体" w:cs="宋体"/>
          <w:bCs/>
          <w:color w:val="000000"/>
          <w:sz w:val="21"/>
          <w:szCs w:val="21"/>
          <w:highlight w:val="none"/>
        </w:rPr>
      </w:r>
      <w:r/>
    </w:p>
    <w:p>
      <w:pPr>
        <w:pStyle w:val="909"/>
        <w:ind w:firstLine="422"/>
        <w:jc w:val="both"/>
        <w:spacing w:line="440" w:lineRule="exact"/>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五、综合说明</w:t>
      </w:r>
      <w:r>
        <w:rPr>
          <w:rFonts w:hint="eastAsia" w:ascii="宋体" w:hAnsi="宋体" w:eastAsia="宋体" w:cs="宋体"/>
          <w:b/>
          <w:bCs w:val="0"/>
          <w:color w:val="000000"/>
          <w:sz w:val="21"/>
          <w:szCs w:val="21"/>
          <w:highlight w:val="none"/>
          <w:lang w:val="en-US" w:eastAsia="zh-CN"/>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要求：报价包括完成该项目全部服务内容所需的全部费用。包括但不限于完成该项目所需的所有服务管理内容、耗材、通讯、服装、胸卡、办公设备、巡检器材、人工费、保险费、劳保、本标段的中标服务费、技术支持与维护服务费、税费、培训及相关劳务支出等工作所发生的全部费用以及乙方企业利润、税金和政策性文件规定和合同包含的所有风险、责任等各项应有费用。</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2、投标单位提供的服务能够至少达到以上要求，同时明确详细的服务实施方案。</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3、投标单位必须承诺招标文件中提出的全部管理要求，如果其中某些条款不响应时，应在文件中逐条列出，未列出的视同响应。</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4、合同履行期限：两年（2026年6月-2028年6月）。</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5、服务过程中因投标单位责任所造成的经济损失或其他损害由投标单位按实际金额赔偿或承担相应的法律责任。</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6、服务期间，如遇采购单位办公场所调整、迁移或者服务对象性质发生重大改变，采购单位将提前两个月告知乙方，合同内容经双方友好协商进行调整，协商不成甲方可解除合同。</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7、中标单位违反国家相关法规，与聘用人员发生纠纷，均由中标单位负责调解与处理，采购单位不承担责任。</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Cs/>
          <w:color w:val="000000"/>
          <w:sz w:val="21"/>
          <w:szCs w:val="21"/>
          <w:highlight w:val="none"/>
        </w:rPr>
      </w:r>
      <w:r/>
    </w:p>
    <w:p>
      <w:pPr>
        <w:pStyle w:val="909"/>
        <w:ind w:firstLine="420"/>
        <w:jc w:val="both"/>
        <w:spacing w:line="44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根据《关于在全省政府采购领域推行电子履约保函（保险）的通知（苏财购〔2023〕150号）》规定，成交（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bCs/>
          <w:color w:val="000000"/>
          <w:sz w:val="21"/>
          <w:szCs w:val="21"/>
          <w:highlight w:val="none"/>
          <w:lang w:val="en-US" w:eastAsia="zh-CN"/>
        </w:rPr>
      </w:r>
      <w:r/>
    </w:p>
    <w:p>
      <w:pPr>
        <w:pStyle w:val="909"/>
        <w:ind w:firstLine="420"/>
        <w:jc w:val="both"/>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、凡涉及招标文件的补充说明和修改，均以代理机构发布内容为准。</w:t>
      </w:r>
      <w:r>
        <w:rPr>
          <w:rFonts w:hint="eastAsia" w:ascii="宋体" w:hAnsi="宋体" w:eastAsia="宋体" w:cs="宋体"/>
          <w:bCs/>
          <w:color w:val="000000"/>
          <w:sz w:val="21"/>
          <w:szCs w:val="21"/>
          <w:highlight w:val="none"/>
        </w:rPr>
      </w:r>
      <w:r/>
    </w:p>
    <w:p>
      <w:pPr>
        <w:pStyle w:val="909"/>
        <w:jc w:val="center"/>
        <w:spacing w:line="4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br w:type="page" w:clear="all"/>
      </w:r>
      <w:r>
        <w:rPr>
          <w:rFonts w:hint="eastAsia" w:ascii="宋体" w:hAnsi="宋体" w:eastAsia="宋体" w:cs="宋体"/>
          <w:b/>
          <w:bCs/>
          <w:color w:val="000000"/>
          <w:sz w:val="32"/>
          <w:szCs w:val="32"/>
          <w:highlight w:val="none"/>
        </w:rPr>
        <w:t xml:space="preserve">第五章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合同主要条款</w:t>
      </w:r>
      <w:r>
        <w:rPr>
          <w:rFonts w:hint="eastAsia" w:ascii="宋体" w:hAnsi="宋体" w:eastAsia="宋体" w:cs="宋体"/>
          <w:color w:val="000000"/>
          <w:sz w:val="36"/>
          <w:szCs w:val="36"/>
          <w:highlight w:val="none"/>
        </w:rPr>
      </w:r>
      <w:r/>
    </w:p>
    <w:p>
      <w:pPr>
        <w:pStyle w:val="909"/>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909"/>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bookmarkEnd w:id="9"/>
      <w:r/>
      <w:bookmarkEnd w:id="10"/>
      <w:r/>
      <w:bookmarkEnd w:id="11"/>
      <w:r/>
      <w:bookmarkStart w:id="12" w:name="_Toc142194275"/>
      <w:r/>
      <w:bookmarkStart w:id="13" w:name="_Toc142194276"/>
      <w:r>
        <w:rPr>
          <w:rFonts w:hint="eastAsia" w:ascii="宋体" w:hAnsi="宋体" w:eastAsia="宋体" w:cs="宋体"/>
          <w:b/>
          <w:color w:val="000000"/>
          <w:sz w:val="21"/>
          <w:szCs w:val="21"/>
          <w:highlight w:val="none"/>
        </w:rPr>
        <w:t xml:space="preserve">甲方（采购方）：</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联系方式：</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乙方（供应方）：</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联系方式：</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9"/>
        <w:ind w:firstLine="422"/>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依据甲方委托苏州市卫康招投标咨询有限公司进行本项目政府采购（采购编号）的中标结果，确定乙方为本次中标单位，现依照招标文件、乙方的投标文件及相关文件的内容，签订本合同书。</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一、合同标的物和合同价格组成</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1、采购的服务内容概述：</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2、服务具体范围：</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3、服务期限：</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4、合同价款的组成：合同价款包含甲方应付乙方的全部款项</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二、下列文件为本合同不可分割部分</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bookmarkStart w:id="14" w:name="OLE_LINK2"/>
      <w:r>
        <w:rPr>
          <w:rFonts w:hint="eastAsia" w:ascii="宋体" w:hAnsi="宋体" w:eastAsia="宋体" w:cs="宋体"/>
          <w:bCs/>
          <w:color w:val="000000"/>
          <w:sz w:val="21"/>
          <w:szCs w:val="21"/>
          <w:highlight w:val="none"/>
        </w:rPr>
        <w:t xml:space="preserve">中标</w:t>
      </w:r>
      <w:bookmarkEnd w:id="14"/>
      <w:r>
        <w:rPr>
          <w:rFonts w:hint="eastAsia" w:ascii="宋体" w:hAnsi="宋体" w:eastAsia="宋体" w:cs="宋体"/>
          <w:bCs/>
          <w:color w:val="000000"/>
          <w:sz w:val="21"/>
          <w:szCs w:val="21"/>
          <w:highlight w:val="none"/>
        </w:rPr>
        <w:t xml:space="preserve">通知书；</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2、乙方投标文件；</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3、招标文件；</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4、乙方在招标过程中所作的其它承诺、声明、书面澄清等。</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三、合同价格支付</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1、支付步骤和比例：</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合同签订生效后，甲方向乙方支付合同价款10%的预付款。（在签订合同时，乙方明确表示无需预付款或者主动要求降低预付款比例的，甲方可不适用前述规定）；预付款之后的剩余款项分四次（首期、中期、后期、尾款）每半年进行支付，首期支付合同总金额的</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其中含10%的预付款扣回，首期实际支付15%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，中期支付合同总金额的25%，后期支付合同总金额的25%，尾款支付合同总金额的25%。在每次支付合同款项前，甲方依据《苏州工业园区关于进一步加强履约验收管理的通知》文件的规定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对乙方进行履约验收；若有扣除扣款情形，合同进度款中予以扣除后支付：根据甲方确认的评估结果，考核评估采用百分制，考核评估结果等级包含优秀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90≤得分≤100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、良好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80≤得分＜90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、合格</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60≤得分＜80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、不合格</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得分＜60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考核评估结果达到优秀及以上，支付当期款项的100%；考核评估结果为良好的，支付当期款项的90%；考核评估结果为合格的，支付当期款项的80%；考核评估结果为不合格的，乙方须按甲方实际需求，在甲方规定的期限内无条件整改到位，并经重新考核合格后，甲方支付当期款项的50%，否则甲方有权不予支付当期款项。累计2次考核评估结果不合格的，甲方有权解除合同，并有权向乙方追偿。</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3、乙方要求付款应提供以下资料：</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（1）合格的发票。</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每次支付款项时，</w:t>
      </w:r>
      <w:r>
        <w:rPr>
          <w:rFonts w:hint="eastAsia" w:ascii="宋体" w:hAnsi="宋体" w:eastAsia="宋体" w:cs="宋体"/>
          <w:bCs/>
          <w:color w:val="000000"/>
          <w:sz w:val="21"/>
          <w:szCs w:val="21"/>
          <w:highlight w:val="none"/>
        </w:rPr>
        <w:t xml:space="preserve">甲乙双方盖章的《政府采购履约验收书》。</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运营方的自评估报告和街道评价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）甲方要求的</w:t>
      </w:r>
      <w:r>
        <w:rPr>
          <w:rFonts w:hint="eastAsia" w:ascii="宋体" w:hAnsi="宋体" w:eastAsia="宋体" w:cs="宋体"/>
          <w:bCs/>
          <w:color w:val="000000"/>
          <w:sz w:val="21"/>
          <w:szCs w:val="21"/>
          <w:highlight w:val="none"/>
          <w:lang w:val="en-US" w:eastAsia="zh-CN"/>
        </w:rPr>
        <w:t xml:space="preserve">考核资料以及</w:t>
      </w:r>
      <w:r>
        <w:rPr>
          <w:rFonts w:hint="eastAsia" w:ascii="宋体" w:hAnsi="宋体" w:eastAsia="宋体" w:cs="宋体"/>
          <w:bCs/>
          <w:color w:val="000000"/>
          <w:sz w:val="21"/>
          <w:szCs w:val="21"/>
          <w:highlight w:val="none"/>
        </w:rPr>
        <w:t xml:space="preserve">其他材料（如有）。</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4、支付方式：银行转账，仅限数字人民币账户。</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乙方钱包ID和钱包名称为：</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钱包ID：</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钱包名称：</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乙方银行账户如需变更，应至少于付款期限届满前10个工作日书面通知甲方，否则产生的一切责任、因变更引起的额外费用由乙方承担。乙方逾期提供付款资料的，甲方有权顺延付款且无需承担违约责任。</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四、服务工作管理</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详见招标文件。</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五、不可抗力</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六、合同的解除和转让</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1、甲方和乙方协商一致，可以解除合同。</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2、有下列情形之一，合同一方可以解除合同：</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（1）因不可抗力致使不能实现合同目的，未受不可抗力影响的一方有权解除合同；</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（2）因合同一方违约导致合同不能履行，另一方有权解除合同；</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（3）因乙方在履行合同过程中造成社会不良影响的，甲方有权解除合同。</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4、本合同适用《苏州工业园区政府采购履约验收管理暂行办法》关于验收的规定。</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5、有权解除合同的一方，应当在其知道或者应当知道解除事由之日起【一年】内书面通知对方提出解除合同；另一方如有异议，应当在解除合同通知到达之日起【7】日内提出异议，否则视为无异议。</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七、违约责任</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1、甲方违约责任及违约金支付：</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（2）甲方违反合同规定，拒绝接受乙方提供服务，应当承担乙方由此造成的损失。 </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2、乙方违约责任及违约金支付：</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（2）乙方逾期提供服务的，应与甲方和政府采购管理部门协商，甲方仍需求的，乙方应立即提供服务按照逾期服务部分每天万分之四支付逾期违约金，同时承担甲方因此遭致的损失费用。 </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（3）若乙方未遵守保密义务，出现泄漏甲方或第三方秘密的情形，甲方有权终止、解除合同并向乙方主张合同总金额10%的违约金。情节严重涉及违法犯罪的，依法移交司法机关处理。</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若因乙方侵犯第三方知识产权，发生第三方诉讼、社会舆论或甲方信誉受损等情形，甲方有权终止、解除合同并向乙方主张合同总金额10%的违约金，同时乙方承担甲方因此产生的一切损失，包括但不限于诉讼费、律师费、调查取证费等。</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（5）本项目团队成员调动需甲方同意，私自调换，一经发现，每人次扣款壹万元整；如人员缺额一个月内未补齐每人次扣款壹万元整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此项可累加直至人员补齐为止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（6）招标文件规定的其他违约情形。</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八、争议解决办法</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因本合同或与本合同有关的一切事项发生争议，由双方友好协商解决。协商不成的，任何一方均可以向甲方所在地人民法院起诉。</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九、合同生效</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本合同经双方单位盖章后生效。</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十、其他</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Cs/>
          <w:color w:val="000000"/>
          <w:sz w:val="21"/>
          <w:szCs w:val="21"/>
          <w:highlight w:val="none"/>
        </w:rPr>
      </w:r>
      <w:r/>
    </w:p>
    <w:p>
      <w:pPr>
        <w:pStyle w:val="909"/>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十一、附则</w:t>
      </w:r>
      <w:r>
        <w:rPr>
          <w:rFonts w:hint="eastAsia" w:ascii="宋体" w:hAnsi="宋体" w:eastAsia="宋体" w:cs="宋体"/>
          <w:b/>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1、本合同一式叁份，甲方执壹份，乙方执壹份，采购代理机构执壹份。</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2、本合同文件使用中文书写、解释和说明。</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3、本合同履行过程中产生的纪要、协议以及成交通知书、响应文件和</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为本合同的附件，与合同具有同等效力。</w:t>
      </w:r>
      <w:r>
        <w:rPr>
          <w:rFonts w:hint="eastAsia" w:ascii="宋体" w:hAnsi="宋体" w:eastAsia="宋体" w:cs="宋体"/>
          <w:bCs/>
          <w:color w:val="000000"/>
          <w:sz w:val="21"/>
          <w:szCs w:val="21"/>
          <w:highlight w:val="none"/>
        </w:rPr>
      </w:r>
      <w:r/>
    </w:p>
    <w:p>
      <w:pPr>
        <w:pStyle w:val="1005"/>
        <w:ind w:firstLine="422"/>
        <w:jc w:val="left"/>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十二、未尽事宜</w:t>
      </w:r>
      <w:r>
        <w:rPr>
          <w:rFonts w:hint="eastAsia" w:ascii="宋体" w:hAnsi="宋体" w:eastAsia="宋体" w:cs="宋体"/>
          <w:b/>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1、本合同未尽事宜应按《中华人民共和国民法典》、《中华人民共和国政府采购法》等规定解释。</w:t>
      </w:r>
      <w:r>
        <w:rPr>
          <w:rFonts w:hint="eastAsia" w:ascii="宋体" w:hAnsi="宋体" w:eastAsia="宋体" w:cs="宋体"/>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2、应当维护国家利益和社会公共利益，合同履行过程中出现危害国家利益和社会公共利益问题的，甲方有权立即终止合同。</w:t>
      </w:r>
      <w:r>
        <w:rPr>
          <w:rFonts w:hint="eastAsia" w:ascii="宋体" w:hAnsi="宋体" w:eastAsia="宋体" w:cs="宋体"/>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3、如合同继续履行将损害国家利益和社会公共利益，甲方有权变更、中止或者终止、解除合同。</w:t>
      </w:r>
      <w:r>
        <w:rPr>
          <w:rFonts w:hint="eastAsia" w:ascii="宋体" w:hAnsi="宋体" w:eastAsia="宋体" w:cs="宋体"/>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4、甲方和乙方签订补充合同的采购金额不得超过原合同采购金额的百分之十。</w:t>
      </w:r>
      <w:r>
        <w:rPr>
          <w:rFonts w:hint="eastAsia" w:ascii="宋体" w:hAnsi="宋体" w:eastAsia="宋体" w:cs="宋体"/>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5、小型、微型企业不得分包或转包给大型、中型企业，中型企业不得分包或转包给大型企业。</w:t>
      </w:r>
      <w:r>
        <w:rPr>
          <w:rFonts w:hint="eastAsia" w:ascii="宋体" w:hAnsi="宋体" w:eastAsia="宋体" w:cs="宋体"/>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color w:val="000000"/>
          <w:sz w:val="21"/>
          <w:szCs w:val="21"/>
          <w:highlight w:val="none"/>
        </w:rPr>
      </w:r>
      <w:r/>
    </w:p>
    <w:p>
      <w:pPr>
        <w:pStyle w:val="1005"/>
        <w:ind w:firstLine="420"/>
        <w:jc w:val="left"/>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甲方（盖章）：苏州工业园区唯亭街道办事处      乙方（盖章）：       </w:t>
      </w:r>
      <w:r>
        <w:rPr>
          <w:rFonts w:hint="eastAsia" w:ascii="宋体" w:hAnsi="宋体" w:eastAsia="宋体" w:cs="宋体"/>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                                  法定代表人或</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授权代表签字（或盖章）：                      授权代表签字（或盖章）：</w:t>
      </w:r>
      <w:r>
        <w:rPr>
          <w:rFonts w:hint="eastAsia" w:ascii="宋体" w:hAnsi="宋体" w:eastAsia="宋体" w:cs="宋体"/>
          <w:bCs/>
          <w:color w:val="000000"/>
          <w:sz w:val="21"/>
          <w:szCs w:val="21"/>
          <w:highlight w:val="none"/>
        </w:rPr>
      </w:r>
      <w:r/>
    </w:p>
    <w:p>
      <w:pPr>
        <w:pStyle w:val="909"/>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                                    签订日期：</w:t>
      </w:r>
      <w:r>
        <w:rPr>
          <w:rFonts w:hint="eastAsia" w:ascii="宋体" w:hAnsi="宋体" w:eastAsia="宋体" w:cs="宋体"/>
          <w:color w:val="000000"/>
          <w:sz w:val="21"/>
          <w:szCs w:val="21"/>
          <w:highlight w:val="none"/>
        </w:rPr>
      </w:r>
      <w:r/>
    </w:p>
    <w:p>
      <w:pPr>
        <w:pStyle w:val="90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center"/>
        <w:spacing w:line="4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br w:type="page" w:clear="all"/>
      </w:r>
      <w:r>
        <w:rPr>
          <w:rFonts w:hint="eastAsia" w:ascii="宋体" w:hAnsi="宋体" w:eastAsia="宋体" w:cs="宋体"/>
          <w:b/>
          <w:bCs/>
          <w:color w:val="000000"/>
          <w:sz w:val="32"/>
          <w:szCs w:val="32"/>
          <w:highlight w:val="none"/>
        </w:rPr>
        <w:t xml:space="preserve">第六章  评标方法与评分标准</w:t>
      </w:r>
      <w:r>
        <w:rPr>
          <w:rFonts w:hint="eastAsia" w:ascii="宋体" w:hAnsi="宋体" w:eastAsia="宋体" w:cs="宋体"/>
          <w:color w:val="000000"/>
          <w:sz w:val="36"/>
          <w:szCs w:val="36"/>
          <w:highlight w:val="none"/>
        </w:rPr>
      </w:r>
      <w:r/>
    </w:p>
    <w:p>
      <w:pPr>
        <w:pStyle w:val="909"/>
        <w:ind w:firstLine="422"/>
        <w:jc w:val="center"/>
        <w:spacing w:line="380" w:lineRule="exact"/>
        <w:rPr>
          <w:rFonts w:hint="eastAsia" w:ascii="宋体" w:hAnsi="宋体" w:eastAsia="宋体" w:cs="宋体"/>
          <w:b/>
          <w:color w:val="000000"/>
          <w:sz w:val="21"/>
          <w:szCs w:val="21"/>
          <w:highlight w:val="none"/>
        </w:rPr>
      </w:pPr>
      <w:r/>
      <w:bookmarkStart w:id="15" w:name="_Toc142194274"/>
      <w:r>
        <w:rPr>
          <w:rFonts w:hint="eastAsia" w:ascii="宋体" w:hAnsi="宋体" w:eastAsia="宋体" w:cs="宋体"/>
          <w:b/>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一、评标办法</w:t>
      </w:r>
      <w:bookmarkEnd w:id="15"/>
      <w:r>
        <w:rPr>
          <w:rFonts w:hint="eastAsia" w:ascii="宋体" w:hAnsi="宋体" w:eastAsia="宋体" w:cs="宋体"/>
          <w:b/>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1、本次招标评标采用综合评分法，即在满足招标文件实质性要求前提下，按照招标文件中规定的评分标准和各项因素进行综合评审后，以评标总得分最高的投标人作为中标候选人。</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2、评标委员会各成员独立对每个进入打分程序的有效投标人的标书技术和资质部分以打分的形式进行评审和评价。</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3、对评委的评分（除价格分外）进行统计汇总平均后计算出每个投标人的得分，加上价格得分即为每个投标人的总得分。</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4、采购人授权总得分最高投标人的为中标人。</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bookmarkEnd w:id="12"/>
      <w:r>
        <w:rPr>
          <w:rFonts w:hint="eastAsia" w:ascii="宋体" w:hAnsi="宋体" w:eastAsia="宋体" w:cs="宋体"/>
          <w:b/>
          <w:color w:val="000000"/>
          <w:sz w:val="21"/>
          <w:szCs w:val="21"/>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bookmarkEnd w:id="13"/>
      <w:r>
        <w:rPr>
          <w:rFonts w:hint="eastAsia" w:ascii="宋体" w:hAnsi="宋体" w:eastAsia="宋体" w:cs="宋体"/>
          <w:b/>
          <w:bCs/>
          <w:color w:val="000000"/>
          <w:sz w:val="21"/>
          <w:szCs w:val="24"/>
          <w:highlight w:val="none"/>
        </w:rPr>
        <w:t xml:space="preserve">（一）价格基准分（</w:t>
      </w:r>
      <w:r>
        <w:rPr>
          <w:rFonts w:hint="eastAsia" w:ascii="宋体" w:hAnsi="宋体" w:eastAsia="宋体" w:cs="宋体"/>
          <w:b/>
          <w:bCs/>
          <w:color w:val="000000"/>
          <w:sz w:val="21"/>
          <w:szCs w:val="24"/>
          <w:highlight w:val="none"/>
        </w:rPr>
        <w:t xml:space="preserve">30</w:t>
      </w:r>
      <w:r>
        <w:rPr>
          <w:rFonts w:hint="eastAsia" w:ascii="宋体" w:hAnsi="宋体" w:eastAsia="宋体" w:cs="宋体"/>
          <w:b/>
          <w:bCs/>
          <w:color w:val="000000"/>
          <w:sz w:val="21"/>
          <w:szCs w:val="24"/>
          <w:highlight w:val="none"/>
        </w:rPr>
        <w:t xml:space="preserve">分）</w:t>
      </w:r>
      <w:r>
        <w:rPr>
          <w:rFonts w:hint="eastAsia" w:ascii="宋体" w:hAnsi="宋体" w:eastAsia="宋体" w:cs="宋体"/>
          <w:b/>
          <w:bCs/>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1、投标报价低于或等于预算价格的为有效报价。超出预算的报价文件为未实质性响应文件，不参与评审。在所有有效报价中满足</w:t>
      </w:r>
      <w:r>
        <w:rPr>
          <w:rFonts w:hint="eastAsia" w:ascii="宋体" w:hAnsi="宋体" w:eastAsia="宋体" w:cs="宋体"/>
          <w:color w:val="000000"/>
          <w:sz w:val="21"/>
          <w:szCs w:val="24"/>
          <w:highlight w:val="none"/>
          <w:lang w:eastAsia="zh-CN"/>
        </w:rPr>
        <w:t xml:space="preserve">招标文件</w:t>
      </w:r>
      <w:r>
        <w:rPr>
          <w:rFonts w:hint="eastAsia" w:ascii="宋体" w:hAnsi="宋体" w:eastAsia="宋体" w:cs="宋体"/>
          <w:color w:val="000000"/>
          <w:sz w:val="21"/>
          <w:szCs w:val="24"/>
          <w:highlight w:val="none"/>
        </w:rPr>
        <w:t xml:space="preserve">要求，且价格最低的投标报价为评标基准价，其价格分为</w:t>
      </w:r>
      <w:r>
        <w:rPr>
          <w:rFonts w:hint="eastAsia" w:ascii="宋体" w:hAnsi="宋体" w:eastAsia="宋体" w:cs="宋体"/>
          <w:color w:val="000000"/>
          <w:sz w:val="21"/>
          <w:szCs w:val="24"/>
          <w:highlight w:val="none"/>
        </w:rPr>
        <w:t xml:space="preserve">30</w:t>
      </w:r>
      <w:r>
        <w:rPr>
          <w:rFonts w:hint="eastAsia" w:ascii="宋体" w:hAnsi="宋体" w:eastAsia="宋体" w:cs="宋体"/>
          <w:color w:val="000000"/>
          <w:sz w:val="21"/>
          <w:szCs w:val="24"/>
          <w:highlight w:val="none"/>
        </w:rPr>
        <w:t xml:space="preserve">分，其他投标单位的价格分按照下列公式计算（计算结果四舍五入保留两位小数）。</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报价得分＝（评标基准价/投标报价）×</w:t>
      </w:r>
      <w:r>
        <w:rPr>
          <w:rFonts w:hint="eastAsia" w:ascii="宋体" w:hAnsi="宋体" w:eastAsia="宋体" w:cs="宋体"/>
          <w:color w:val="000000"/>
          <w:sz w:val="21"/>
          <w:szCs w:val="24"/>
          <w:highlight w:val="none"/>
        </w:rPr>
        <w:t xml:space="preserve">30</w:t>
      </w:r>
      <w:r>
        <w:rPr>
          <w:rFonts w:hint="eastAsia" w:ascii="宋体" w:hAnsi="宋体" w:eastAsia="宋体" w:cs="宋体"/>
          <w:color w:val="000000"/>
          <w:sz w:val="21"/>
          <w:szCs w:val="24"/>
          <w:highlight w:val="none"/>
        </w:rPr>
        <w:t xml:space="preserve">%×100。</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2、针对中小型企业的价格评审：</w:t>
      </w:r>
      <w:r>
        <w:rPr>
          <w:rFonts w:hint="eastAsia" w:ascii="宋体" w:hAnsi="宋体" w:eastAsia="宋体" w:cs="宋体"/>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企业给予价格评审加分。投标人为小型或微型企业、残疾人企业或监狱企业的，其价格在评审时给予</w:t>
      </w:r>
      <w:r>
        <w:rPr>
          <w:rFonts w:hint="eastAsia" w:ascii="宋体" w:hAnsi="宋体" w:eastAsia="宋体" w:cs="宋体"/>
          <w:b/>
          <w:bCs/>
          <w:color w:val="000000"/>
          <w:sz w:val="21"/>
          <w:szCs w:val="24"/>
          <w:highlight w:val="none"/>
        </w:rPr>
        <w:t xml:space="preserve">20</w:t>
      </w:r>
      <w:r>
        <w:rPr>
          <w:rFonts w:hint="eastAsia" w:ascii="宋体" w:hAnsi="宋体" w:eastAsia="宋体" w:cs="宋体"/>
          <w:color w:val="000000"/>
          <w:sz w:val="21"/>
          <w:szCs w:val="24"/>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hint="eastAsia" w:ascii="宋体" w:hAnsi="宋体" w:eastAsia="宋体" w:cs="宋体"/>
          <w:color w:val="000000"/>
          <w:sz w:val="21"/>
          <w:szCs w:val="24"/>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rPr>
          <w:rFonts w:hint="eastAsia" w:ascii="宋体" w:hAnsi="宋体" w:eastAsia="宋体" w:cs="宋体"/>
          <w:b/>
          <w:bCs/>
          <w:color w:val="000000"/>
          <w:sz w:val="21"/>
          <w:szCs w:val="24"/>
          <w:highlight w:val="none"/>
        </w:rPr>
        <w:t xml:space="preserve">②本项目为非专门面向中小企业采购项目，所属行业为</w:t>
      </w:r>
      <w:r>
        <w:rPr>
          <w:rFonts w:hint="eastAsia" w:ascii="宋体" w:hAnsi="宋体" w:eastAsia="宋体" w:cs="宋体"/>
          <w:b/>
          <w:bCs/>
          <w:color w:val="000000"/>
          <w:sz w:val="21"/>
          <w:szCs w:val="24"/>
          <w:highlight w:val="none"/>
          <w:u w:val="single"/>
        </w:rPr>
        <w:t xml:space="preserve">其他未列明行业</w:t>
      </w:r>
      <w:r>
        <w:rPr>
          <w:rFonts w:hint="eastAsia" w:ascii="宋体" w:hAnsi="宋体" w:eastAsia="宋体" w:cs="宋体"/>
          <w:b/>
          <w:bCs/>
          <w:color w:val="000000"/>
          <w:sz w:val="21"/>
          <w:szCs w:val="24"/>
          <w:highlight w:val="none"/>
        </w:rPr>
        <w:t xml:space="preserve">，</w:t>
      </w:r>
      <w:r>
        <w:rPr>
          <w:rFonts w:hint="eastAsia" w:ascii="宋体" w:hAnsi="宋体" w:eastAsia="宋体" w:cs="宋体"/>
          <w:color w:val="000000"/>
          <w:sz w:val="21"/>
          <w:szCs w:val="24"/>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rPr>
          <w:rFonts w:hint="eastAsia" w:ascii="宋体" w:hAnsi="宋体" w:eastAsia="宋体" w:cs="宋体"/>
          <w:b/>
          <w:bCs/>
          <w:color w:val="000000"/>
          <w:sz w:val="21"/>
          <w:szCs w:val="24"/>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3.3投标（响应）报价低于采购项目最高限价45%的，即投标（响应）报价&lt;采购项目最高限价×45%；</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1"/>
          <w:szCs w:val="21"/>
          <w:highlight w:val="none"/>
          <w:lang w:val="en-US" w:eastAsia="zh-CN"/>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技术服务方案（</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1、需求调查报告及目标设定及测量办法（5分）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针对社区的需求调查报告及近期、远期服务目标，目标层次整体详实具体，分析准确，可行性高的得5分；整体较为具体，分析较为准确，较可行的得3分；整体较为简单</w:t>
      </w:r>
      <w:r>
        <w:rPr>
          <w:rFonts w:hint="eastAsia" w:ascii="宋体" w:hAnsi="宋体" w:eastAsia="宋体" w:cs="宋体"/>
          <w:color w:val="000000"/>
          <w:sz w:val="21"/>
          <w:szCs w:val="21"/>
          <w:highlight w:val="none"/>
        </w:rPr>
        <w:t xml:space="preserve">，分析基本准确，基本可行的得1分；未提供相关内容不得分。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2、服务方案（</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方案切合街道及相关社区的实际情况，具体详细，切合实际，可行性高的得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分；方案较为具体，较切合实际，较可行</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分；方案较为简单，基本切合实际、基本可行的得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分；未提供相关内容不得分。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3、进度管理方案（3分）</w:t>
      </w:r>
      <w:r>
        <w:rPr>
          <w:rFonts w:hint="eastAsia" w:ascii="宋体" w:hAnsi="宋体" w:eastAsia="宋体" w:cs="宋体"/>
          <w:b/>
          <w:bCs/>
          <w:color w:val="000000"/>
          <w:sz w:val="21"/>
          <w:szCs w:val="21"/>
          <w:highlight w:val="none"/>
          <w:lang w:val="en-US" w:eastAsia="zh-CN"/>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rPr>
        <w:t xml:space="preserve">进度计划充分满足</w:t>
      </w:r>
      <w:r>
        <w:rPr>
          <w:rFonts w:hint="eastAsia" w:ascii="宋体" w:hAnsi="宋体" w:eastAsia="宋体" w:cs="宋体"/>
          <w:i w:val="0"/>
          <w:iCs w:val="0"/>
          <w:caps w:val="0"/>
          <w:color w:val="000000"/>
          <w:spacing w:val="0"/>
          <w:sz w:val="21"/>
          <w:szCs w:val="21"/>
          <w:highlight w:val="none"/>
          <w:shd w:val="clear" w:color="auto" w:fill="ffffff"/>
          <w:lang w:eastAsia="zh-CN"/>
        </w:rPr>
        <w:t xml:space="preserve">招标文件</w:t>
      </w:r>
      <w:r>
        <w:rPr>
          <w:rFonts w:hint="eastAsia" w:ascii="宋体" w:hAnsi="宋体" w:eastAsia="宋体" w:cs="宋体"/>
          <w:i w:val="0"/>
          <w:iCs w:val="0"/>
          <w:caps w:val="0"/>
          <w:color w:val="000000"/>
          <w:spacing w:val="0"/>
          <w:sz w:val="21"/>
          <w:szCs w:val="21"/>
          <w:highlight w:val="none"/>
          <w:shd w:val="clear" w:color="auto" w:fill="ffffff"/>
        </w:rPr>
        <w:t xml:space="preserve">要求，进度保证措施非常合理且可行，关键节点设置科学，监控机制完善</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得3分；进度保证措施具体、可行，能够有效应对项目执行中的潜在延误风险得2分；</w:t>
      </w:r>
      <w:r>
        <w:rPr>
          <w:rFonts w:hint="eastAsia" w:ascii="宋体" w:hAnsi="宋体" w:eastAsia="宋体" w:cs="宋体"/>
          <w:i w:val="0"/>
          <w:iCs w:val="0"/>
          <w:caps w:val="0"/>
          <w:color w:val="000000"/>
          <w:spacing w:val="0"/>
          <w:sz w:val="21"/>
          <w:szCs w:val="21"/>
          <w:highlight w:val="none"/>
          <w:shd w:val="clear" w:color="auto" w:fill="ffffff"/>
        </w:rPr>
        <w:t xml:space="preserve">进度计划可行性一般，保证措施不够具体</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得1分；</w:t>
      </w:r>
      <w:r>
        <w:rPr>
          <w:rFonts w:hint="eastAsia" w:ascii="宋体" w:hAnsi="宋体" w:eastAsia="宋体" w:cs="宋体"/>
          <w:color w:val="000000"/>
          <w:sz w:val="21"/>
          <w:szCs w:val="21"/>
          <w:highlight w:val="none"/>
        </w:rPr>
        <w:t xml:space="preserve">未提供相关内容不得分。</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、服务响应专业能力、关键技术投入及后续支持系统培育方案（5分）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widowControl w:val="off"/>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的先后、主次安排逻辑，服务响应及专业能力、关键技术和创新性及后续支持系统等情况，安排逻辑合理清晰，服务响应及时迅速，专业能力、关键技术投入合理、充分，具有创新性的得5分；安排逻辑较合理、较清晰，服务响应较及时，专业能力、关键技术投入较充分，具有一定创新性的得3分；安排逻辑基本清晰，服务响应基本及时，专业能力、关键技术投入基本到位的得1分；未提供相关内容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widowControl w:val="off"/>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、质量与资源管理方案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widowControl w:val="off"/>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项服务流程、质量控制机制、自我评估机制，投诉渠道和服务投诉处理机制、资源统筹配置制度及为本项目拓展相关资源的方案和能力等情况。质量管理及资源管理拓展方案科学、合理、可行性高的得5分；质量管理及资源管理拓展方案较合理、较可行的得3分；质量管理及资源管理拓展方案基本可行的得1分；未提供相关内容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widowControl w:val="off"/>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、风险管理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widowControl w:val="off"/>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风险预测与应对方案，预测全面合理，应对方案具体、明确、可行的得5分；方案较具体，较可行的得3分；方案基本可行的得1分；未提供相关内容不得分。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（三）投标人综合能力（</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1、专业督导配置（6分）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投标人拟投入服务团队具有符合资质的专业督导，能够按规范提供督导服务的每配备有一名督导得2分，最高得6分。提供督导资质证明材料、督导服务意向协议、既往督导服务记录，提供不全或不提供不得分。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2、拟投入服务团队配置（10分）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投入服务团队具有初级社工证书或社会工作相关专业本科毕业证书的人员每配备有一名得1分，具有中级及以上社工证书的人员每配备有一名得2分，最高10分。提供相应社工名单、对应的社会工作水平证书或毕业证书或社工考试成绩合格证明扫描件及投标人为其缴纳的最近一期的社保证明材料，否则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、社会组织等级证书（5分）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投标人具有政府部门评估的社会组织等级证书：5A级得5分，4A级得4分，3A级得3分，2A级得2分，1A级得1分，提供证书扫描件。</w:t>
      </w:r>
      <w:r>
        <w:rPr>
          <w:rFonts w:hint="eastAsia" w:ascii="宋体" w:hAnsi="宋体" w:eastAsia="宋体" w:cs="宋体"/>
          <w:b w:val="0"/>
          <w:bCs w:val="0"/>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、相关荣誉（</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投标人2023年1月1日至今获得与本项目质量相关荣誉奖项的，有一份得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分。需提供荣誉证书扫描件或公示材料，否则不得分。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、类似项目业绩（</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投标人2023年1月1日至今</w:t>
      </w:r>
      <w:r>
        <w:rPr>
          <w:rFonts w:hint="eastAsia" w:ascii="宋体" w:hAnsi="宋体" w:eastAsia="宋体" w:cs="宋体"/>
          <w:b/>
          <w:bCs/>
          <w:color w:val="000000"/>
          <w:sz w:val="21"/>
          <w:szCs w:val="21"/>
          <w:highlight w:val="none"/>
        </w:rPr>
        <w:t xml:space="preserve">（以合同签订时间为准）</w:t>
      </w:r>
      <w:r>
        <w:rPr>
          <w:rFonts w:hint="eastAsia" w:ascii="宋体" w:hAnsi="宋体" w:eastAsia="宋体" w:cs="宋体"/>
          <w:color w:val="000000"/>
          <w:sz w:val="21"/>
          <w:szCs w:val="21"/>
          <w:highlight w:val="none"/>
        </w:rPr>
        <w:t xml:space="preserve">承担过类似项目业绩的有一个得2分，最高</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分。提供合同扫描件及</w:t>
      </w:r>
      <w:r>
        <w:rPr>
          <w:rFonts w:hint="eastAsia" w:ascii="宋体" w:hAnsi="宋体" w:eastAsia="宋体" w:cs="宋体"/>
          <w:b/>
          <w:bCs/>
          <w:color w:val="000000"/>
          <w:sz w:val="21"/>
          <w:szCs w:val="21"/>
          <w:highlight w:val="none"/>
        </w:rPr>
        <w:t xml:space="preserve">服务期内任意发票扫描件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1、以上评分标准中评分的每一条，各投标人均应提供相关的资料并做出相应的对比供评委评分评判。</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2、付款方式不满足招标文件要求的不得标。</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、超过采购预算价或最高限价的投标文件为无效投标。</w:t>
      </w:r>
      <w:r>
        <w:rPr>
          <w:rFonts w:hint="eastAsia" w:ascii="宋体" w:hAnsi="宋体" w:eastAsia="宋体" w:cs="宋体"/>
          <w:color w:val="000000"/>
          <w:sz w:val="21"/>
          <w:szCs w:val="21"/>
          <w:highlight w:val="none"/>
          <w:lang w:val="zh-CN"/>
        </w:rPr>
      </w:r>
      <w:r/>
    </w:p>
    <w:p>
      <w:pPr>
        <w:pStyle w:val="909"/>
        <w:ind w:right="420" w:firstLine="420"/>
        <w:jc w:val="right"/>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b/>
          <w:color w:val="000000"/>
          <w:sz w:val="21"/>
          <w:szCs w:val="21"/>
          <w:highlight w:val="none"/>
        </w:rPr>
        <w:t xml:space="preserve">                  （全文完）</w:t>
      </w:r>
      <w:r>
        <w:rPr>
          <w:rFonts w:hint="eastAsia" w:ascii="宋体" w:hAnsi="宋体" w:eastAsia="宋体" w:cs="宋体"/>
          <w:color w:val="000000"/>
          <w:highlight w:val="none"/>
        </w:rPr>
      </w:r>
      <w:r/>
    </w:p>
    <w:p>
      <w:pPr>
        <w:pStyle w:val="909"/>
        <w:spacing w:after="120"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附件：</w:t>
      </w:r>
      <w:r>
        <w:rPr>
          <w:rFonts w:hint="eastAsia" w:ascii="宋体" w:hAnsi="宋体" w:eastAsia="宋体" w:cs="宋体"/>
          <w:b/>
          <w:bCs/>
          <w:color w:val="000000"/>
          <w:sz w:val="28"/>
          <w:szCs w:val="28"/>
          <w:highlight w:val="none"/>
        </w:rPr>
      </w:r>
      <w:r/>
    </w:p>
    <w:p>
      <w:pPr>
        <w:pStyle w:val="909"/>
        <w:jc w:val="center"/>
        <w:spacing w:after="120"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政府采购履约验收书</w:t>
      </w:r>
      <w:r>
        <w:rPr>
          <w:rFonts w:hint="eastAsia" w:ascii="宋体" w:hAnsi="宋体" w:eastAsia="宋体" w:cs="宋体"/>
          <w:b/>
          <w:bCs/>
          <w:color w:val="000000"/>
          <w:sz w:val="28"/>
          <w:szCs w:val="28"/>
          <w:highlight w:val="none"/>
        </w:rPr>
      </w:r>
      <w:r/>
    </w:p>
    <w:tbl>
      <w:tblPr>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1015"/>
        <w:gridCol w:w="1076"/>
        <w:gridCol w:w="1127"/>
        <w:gridCol w:w="339"/>
        <w:gridCol w:w="1010"/>
        <w:gridCol w:w="1351"/>
        <w:gridCol w:w="1514"/>
      </w:tblGrid>
      <w:tr>
        <w:trPr>
          <w:trHeight w:val="562"/>
        </w:trPr>
        <w:tc>
          <w:tcPr>
            <w:tcW w:w="962" w:type="dxa"/>
            <w:vAlign w:val="center"/>
            <w:textDirection w:val="lrTb"/>
            <w:noWrap w:val="false"/>
          </w:tcPr>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采购人</w:t>
            </w:r>
            <w:r>
              <w:rPr>
                <w:rFonts w:hint="eastAsia" w:ascii="宋体" w:hAnsi="宋体" w:eastAsia="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项目名称</w:t>
            </w:r>
            <w:r>
              <w:rPr>
                <w:rFonts w:hint="eastAsia" w:ascii="宋体" w:hAnsi="宋体" w:eastAsia="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合同名称</w:t>
            </w:r>
            <w:r>
              <w:rPr>
                <w:rFonts w:hint="eastAsia" w:ascii="宋体" w:hAnsi="宋体" w:eastAsia="宋体" w:cs="宋体"/>
                <w:color w:val="000000"/>
                <w:sz w:val="21"/>
                <w:szCs w:val="21"/>
                <w:highlight w:val="none"/>
                <w:lang w:eastAsia="en-US"/>
              </w:rPr>
            </w:r>
            <w:r/>
          </w:p>
        </w:tc>
        <w:tc>
          <w:tcPr>
            <w:tcW w:w="1514"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64"/>
        </w:trPr>
        <w:tc>
          <w:tcPr>
            <w:tcW w:w="962" w:type="dxa"/>
            <w:vAlign w:val="center"/>
            <w:textDirection w:val="lrTb"/>
            <w:noWrap w:val="false"/>
          </w:tcPr>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供应商</w:t>
            </w:r>
            <w:r>
              <w:rPr>
                <w:rFonts w:hint="eastAsia" w:ascii="宋体" w:hAnsi="宋体" w:eastAsia="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项目及合同编号</w:t>
            </w:r>
            <w:r>
              <w:rPr>
                <w:rFonts w:hint="eastAsia" w:ascii="宋体" w:hAnsi="宋体" w:eastAsia="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合同金额</w:t>
            </w:r>
            <w:r>
              <w:rPr>
                <w:rFonts w:hint="eastAsia" w:ascii="宋体" w:hAnsi="宋体" w:eastAsia="宋体" w:cs="宋体"/>
                <w:color w:val="000000"/>
                <w:sz w:val="21"/>
                <w:szCs w:val="21"/>
                <w:highlight w:val="none"/>
                <w:lang w:eastAsia="en-US"/>
              </w:rPr>
            </w:r>
            <w:r/>
          </w:p>
        </w:tc>
        <w:tc>
          <w:tcPr>
            <w:tcW w:w="1514"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754"/>
        </w:trPr>
        <w:tc>
          <w:tcPr>
            <w:tcW w:w="962" w:type="dxa"/>
            <w:vAlign w:val="center"/>
            <w:textDirection w:val="lrTb"/>
            <w:noWrap w:val="false"/>
          </w:tcPr>
          <w:p>
            <w:pPr>
              <w:pStyle w:val="909"/>
              <w:jc w:val="center"/>
              <w:spacing w:line="2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position w:val="1"/>
                <w:sz w:val="21"/>
                <w:szCs w:val="21"/>
                <w:highlight w:val="none"/>
                <w:lang w:eastAsia="en-US"/>
              </w:rPr>
              <w:t xml:space="preserve">分期（段）验收</w:t>
            </w:r>
            <w:r>
              <w:rPr>
                <w:rFonts w:hint="eastAsia" w:ascii="宋体" w:hAnsi="宋体" w:eastAsia="宋体" w:cs="宋体"/>
                <w:color w:val="000000"/>
                <w:sz w:val="21"/>
                <w:szCs w:val="21"/>
                <w:highlight w:val="none"/>
                <w:lang w:eastAsia="en-US"/>
              </w:rPr>
            </w:r>
            <w:r/>
          </w:p>
        </w:tc>
        <w:tc>
          <w:tcPr>
            <w:tcW w:w="1015" w:type="dxa"/>
            <w:vAlign w:val="center"/>
            <w:textDirection w:val="lrTb"/>
            <w:noWrap w:val="false"/>
          </w:tcPr>
          <w:p>
            <w:pPr>
              <w:pStyle w:val="909"/>
              <w:jc w:val="center"/>
              <w:spacing w:line="240" w:lineRule="exact"/>
              <w:rPr>
                <w:rFonts w:hint="eastAsia" w:ascii="宋体" w:hAnsi="宋体" w:eastAsia="宋体" w:cs="宋体"/>
                <w:color w:val="000000"/>
                <w:spacing w:val="4"/>
                <w:position w:val="1"/>
                <w:sz w:val="21"/>
                <w:szCs w:val="21"/>
                <w:highlight w:val="none"/>
                <w:lang w:eastAsia="en-US"/>
              </w:rPr>
            </w:pPr>
            <w:r>
              <w:rPr>
                <w:rFonts w:hint="eastAsia" w:ascii="宋体" w:hAnsi="宋体" w:eastAsia="宋体" w:cs="宋体"/>
                <w:color w:val="000000"/>
                <w:spacing w:val="-6"/>
                <w:position w:val="1"/>
                <w:sz w:val="21"/>
                <w:szCs w:val="21"/>
                <w:highlight w:val="none"/>
                <w:lang w:eastAsia="en-US"/>
              </w:rPr>
              <w:t xml:space="preserve">是□</w:t>
            </w:r>
            <w:r>
              <w:rPr>
                <w:rFonts w:hint="eastAsia" w:ascii="宋体" w:hAnsi="宋体" w:eastAsia="宋体" w:cs="宋体"/>
                <w:color w:val="000000"/>
                <w:spacing w:val="4"/>
                <w:position w:val="1"/>
                <w:sz w:val="21"/>
                <w:szCs w:val="21"/>
                <w:highlight w:val="none"/>
                <w:lang w:eastAsia="en-US"/>
              </w:rPr>
              <w:t xml:space="preserve">   </w:t>
            </w:r>
            <w:r>
              <w:rPr>
                <w:rFonts w:hint="eastAsia" w:ascii="宋体" w:hAnsi="宋体" w:eastAsia="宋体" w:cs="宋体"/>
                <w:color w:val="000000"/>
                <w:spacing w:val="4"/>
                <w:position w:val="1"/>
                <w:sz w:val="21"/>
                <w:szCs w:val="21"/>
                <w:highlight w:val="none"/>
                <w:lang w:eastAsia="en-US"/>
              </w:rPr>
            </w:r>
            <w:r/>
          </w:p>
          <w:p>
            <w:pPr>
              <w:pStyle w:val="909"/>
              <w:jc w:val="center"/>
              <w:spacing w:line="2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6"/>
                <w:position w:val="1"/>
                <w:sz w:val="21"/>
                <w:szCs w:val="21"/>
                <w:highlight w:val="none"/>
                <w:lang w:eastAsia="en-US"/>
              </w:rPr>
              <w:t xml:space="preserve">否□</w:t>
            </w: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position w:val="1"/>
                <w:sz w:val="21"/>
                <w:szCs w:val="21"/>
                <w:highlight w:val="none"/>
                <w:lang w:eastAsia="en-US"/>
              </w:rPr>
              <w:t xml:space="preserve">分期（段）情况</w:t>
            </w:r>
            <w:r>
              <w:rPr>
                <w:rFonts w:hint="eastAsia" w:ascii="宋体" w:hAnsi="宋体" w:eastAsia="宋体" w:cs="宋体"/>
                <w:color w:val="000000"/>
                <w:sz w:val="21"/>
                <w:szCs w:val="21"/>
                <w:highlight w:val="none"/>
                <w:lang w:eastAsia="en-US"/>
              </w:rPr>
            </w:r>
            <w:r/>
          </w:p>
        </w:tc>
        <w:tc>
          <w:tcPr>
            <w:gridSpan w:val="5"/>
            <w:tcW w:w="5341" w:type="dxa"/>
            <w:vAlign w:val="center"/>
            <w:textDirection w:val="lrTb"/>
            <w:noWrap w:val="false"/>
          </w:tcPr>
          <w:p>
            <w:pPr>
              <w:pStyle w:val="909"/>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1"/>
                <w:position w:val="1"/>
                <w:sz w:val="21"/>
                <w:szCs w:val="21"/>
                <w:highlight w:val="none"/>
              </w:rPr>
              <w:t xml:space="preserve">共分   期（段</w:t>
            </w:r>
            <w:r>
              <w:rPr>
                <w:rFonts w:hint="eastAsia" w:ascii="宋体" w:hAnsi="宋体" w:eastAsia="宋体" w:cs="宋体"/>
                <w:color w:val="000000"/>
                <w:spacing w:val="6"/>
                <w:position w:val="1"/>
                <w:sz w:val="21"/>
                <w:szCs w:val="21"/>
                <w:highlight w:val="none"/>
              </w:rPr>
              <w:t xml:space="preserve">），</w:t>
            </w:r>
            <w:r>
              <w:rPr>
                <w:rFonts w:hint="eastAsia" w:ascii="宋体" w:hAnsi="宋体" w:eastAsia="宋体" w:cs="宋体"/>
                <w:color w:val="000000"/>
                <w:spacing w:val="-1"/>
                <w:position w:val="1"/>
                <w:sz w:val="21"/>
                <w:szCs w:val="21"/>
                <w:highlight w:val="none"/>
              </w:rPr>
              <w:t xml:space="preserve">此为第   期（段）验收</w:t>
            </w:r>
            <w:r>
              <w:rPr>
                <w:rFonts w:hint="eastAsia" w:ascii="宋体" w:hAnsi="宋体" w:eastAsia="宋体" w:cs="宋体"/>
                <w:color w:val="000000"/>
                <w:sz w:val="21"/>
                <w:szCs w:val="21"/>
                <w:highlight w:val="none"/>
              </w:rPr>
            </w:r>
            <w:r/>
          </w:p>
        </w:tc>
      </w:tr>
      <w:tr>
        <w:trPr>
          <w:trHeight w:val="1679"/>
        </w:trPr>
        <w:tc>
          <w:tcPr>
            <w:tcW w:w="962"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验收时间</w:t>
            </w:r>
            <w:r>
              <w:rPr>
                <w:rFonts w:hint="eastAsia" w:ascii="宋体" w:hAnsi="宋体" w:eastAsia="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验收地点</w:t>
            </w:r>
            <w:r>
              <w:rPr>
                <w:rFonts w:hint="eastAsia" w:ascii="宋体" w:hAnsi="宋体" w:eastAsia="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验收组织形式</w:t>
            </w:r>
            <w:r>
              <w:rPr>
                <w:rFonts w:hint="eastAsia" w:ascii="宋体" w:hAnsi="宋体" w:eastAsia="宋体" w:cs="宋体"/>
                <w:color w:val="000000"/>
                <w:sz w:val="21"/>
                <w:szCs w:val="21"/>
                <w:highlight w:val="none"/>
                <w:lang w:eastAsia="en-US"/>
              </w:rPr>
            </w:r>
            <w:r/>
          </w:p>
        </w:tc>
        <w:tc>
          <w:tcPr>
            <w:tcW w:w="1514"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4"/>
                <w:position w:val="1"/>
                <w:sz w:val="21"/>
                <w:szCs w:val="21"/>
                <w:highlight w:val="none"/>
              </w:rPr>
              <w:t xml:space="preserve">□自行简易验收</w:t>
            </w:r>
            <w:r>
              <w:rPr>
                <w:rFonts w:hint="eastAsia" w:ascii="宋体" w:hAnsi="宋体" w:eastAsia="宋体" w:cs="宋体"/>
                <w:color w:val="000000"/>
                <w:sz w:val="21"/>
                <w:szCs w:val="21"/>
                <w:highlight w:val="none"/>
              </w:rPr>
            </w:r>
            <w:r/>
          </w:p>
          <w:p>
            <w:pPr>
              <w:pStyle w:val="909"/>
              <w:jc w:val="center"/>
              <w:spacing w:line="2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4"/>
                <w:position w:val="1"/>
                <w:sz w:val="21"/>
                <w:szCs w:val="21"/>
                <w:highlight w:val="none"/>
              </w:rPr>
              <w:t xml:space="preserve">□验收小组验收</w:t>
            </w:r>
            <w:r>
              <w:rPr>
                <w:rFonts w:hint="eastAsia" w:ascii="宋体" w:hAnsi="宋体" w:eastAsia="宋体" w:cs="宋体"/>
                <w:color w:val="000000"/>
                <w:sz w:val="21"/>
                <w:szCs w:val="21"/>
                <w:highlight w:val="none"/>
              </w:rPr>
            </w:r>
            <w:r/>
          </w:p>
          <w:p>
            <w:pPr>
              <w:pStyle w:val="909"/>
              <w:jc w:val="center"/>
              <w:spacing w:line="26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□采购代理机构验收</w:t>
            </w:r>
            <w:r>
              <w:rPr>
                <w:rFonts w:hint="eastAsia" w:ascii="宋体" w:hAnsi="宋体" w:eastAsia="宋体" w:cs="宋体"/>
                <w:color w:val="000000"/>
                <w:sz w:val="21"/>
                <w:szCs w:val="21"/>
                <w:highlight w:val="none"/>
                <w:lang w:eastAsia="en-US"/>
              </w:rPr>
            </w:r>
            <w:r/>
          </w:p>
        </w:tc>
      </w:tr>
      <w:tr>
        <w:trPr>
          <w:trHeight w:val="560"/>
        </w:trPr>
        <w:tc>
          <w:tcPr>
            <w:tcW w:w="962" w:type="dxa"/>
            <w:vAlign w:val="center"/>
            <w:vMerge w:val="restart"/>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验收内容</w:t>
            </w:r>
            <w:r>
              <w:rPr>
                <w:rFonts w:hint="eastAsia" w:ascii="宋体" w:hAnsi="宋体" w:eastAsia="宋体" w:cs="宋体"/>
                <w:color w:val="000000"/>
                <w:sz w:val="21"/>
                <w:szCs w:val="21"/>
                <w:highlight w:val="none"/>
                <w:lang w:eastAsia="en-US"/>
              </w:rPr>
            </w:r>
            <w:r/>
          </w:p>
        </w:tc>
        <w:tc>
          <w:tcPr>
            <w:tcW w:w="1015"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服务质量</w:t>
            </w: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服务进度</w:t>
            </w:r>
            <w:r>
              <w:rPr>
                <w:rFonts w:hint="eastAsia" w:ascii="宋体" w:hAnsi="宋体" w:eastAsia="宋体" w:cs="宋体"/>
                <w:color w:val="000000"/>
                <w:sz w:val="21"/>
                <w:szCs w:val="21"/>
                <w:highlight w:val="none"/>
                <w:lang w:eastAsia="en-US"/>
              </w:rPr>
            </w:r>
            <w:r/>
          </w:p>
        </w:tc>
        <w:tc>
          <w:tcPr>
            <w:gridSpan w:val="2"/>
            <w:tcW w:w="1466" w:type="dxa"/>
            <w:vAlign w:val="center"/>
            <w:textDirection w:val="lrTb"/>
            <w:noWrap w:val="false"/>
          </w:tcPr>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1"/>
                <w:sz w:val="21"/>
                <w:szCs w:val="21"/>
                <w:highlight w:val="none"/>
                <w:lang w:eastAsia="en-US"/>
              </w:rPr>
              <w:t xml:space="preserve">人员、设备 配备情况</w:t>
            </w:r>
            <w:r>
              <w:rPr>
                <w:rFonts w:hint="eastAsia" w:ascii="宋体" w:hAnsi="宋体" w:eastAsia="宋体" w:cs="宋体"/>
                <w:color w:val="000000"/>
                <w:sz w:val="21"/>
                <w:szCs w:val="21"/>
                <w:highlight w:val="none"/>
                <w:lang w:eastAsia="en-US"/>
              </w:rPr>
            </w:r>
            <w:r/>
          </w:p>
        </w:tc>
        <w:tc>
          <w:tcPr>
            <w:tcW w:w="1010" w:type="dxa"/>
            <w:vAlign w:val="center"/>
            <w:textDirection w:val="lrTb"/>
            <w:noWrap w:val="false"/>
          </w:tcPr>
          <w:p>
            <w:pPr>
              <w:pStyle w:val="909"/>
              <w:jc w:val="center"/>
              <w:spacing w:line="20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行业、安全标准</w:t>
            </w:r>
            <w:r>
              <w:rPr>
                <w:rFonts w:hint="eastAsia" w:ascii="宋体" w:hAnsi="宋体" w:eastAsia="宋体" w:cs="宋体"/>
                <w:color w:val="000000"/>
                <w:sz w:val="21"/>
                <w:szCs w:val="21"/>
                <w:highlight w:val="none"/>
                <w:lang w:eastAsia="en-US"/>
              </w:rPr>
            </w:r>
            <w:r/>
          </w:p>
        </w:tc>
        <w:tc>
          <w:tcPr>
            <w:tcW w:w="1351"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项目需求、服务承诺</w:t>
            </w:r>
            <w:r>
              <w:rPr>
                <w:rFonts w:hint="eastAsia" w:ascii="宋体" w:hAnsi="宋体" w:eastAsia="宋体" w:cs="宋体"/>
                <w:color w:val="000000"/>
                <w:sz w:val="21"/>
                <w:szCs w:val="21"/>
                <w:highlight w:val="none"/>
                <w:lang w:eastAsia="en-US"/>
              </w:rPr>
            </w:r>
            <w:r/>
          </w:p>
        </w:tc>
        <w:tc>
          <w:tcPr>
            <w:tcW w:w="1514"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合同履约时间、 地点、方式</w:t>
            </w:r>
            <w:r>
              <w:rPr>
                <w:rFonts w:hint="eastAsia" w:ascii="宋体" w:hAnsi="宋体" w:eastAsia="宋体" w:cs="宋体"/>
                <w:color w:val="000000"/>
                <w:sz w:val="21"/>
                <w:szCs w:val="21"/>
                <w:highlight w:val="none"/>
              </w:rPr>
            </w:r>
            <w:r/>
          </w:p>
        </w:tc>
      </w:tr>
      <w:tr>
        <w:trPr>
          <w:trHeight w:val="1119"/>
        </w:trPr>
        <w:tc>
          <w:tcPr>
            <w:tcW w:w="962" w:type="dxa"/>
            <w:vAlign w:val="center"/>
            <w:vMerge w:val="continue"/>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5"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5"/>
                <w:position w:val="1"/>
                <w:sz w:val="21"/>
                <w:szCs w:val="21"/>
                <w:highlight w:val="none"/>
                <w:lang w:eastAsia="en-US"/>
              </w:rPr>
              <w:t xml:space="preserve">合</w:t>
            </w:r>
            <w:r>
              <w:rPr>
                <w:rFonts w:hint="eastAsia" w:ascii="宋体" w:hAnsi="宋体" w:eastAsia="宋体" w:cs="宋体"/>
                <w:color w:val="000000"/>
                <w:spacing w:val="3"/>
                <w:position w:val="1"/>
                <w:sz w:val="21"/>
                <w:szCs w:val="21"/>
                <w:highlight w:val="none"/>
                <w:lang w:eastAsia="en-US"/>
              </w:rPr>
              <w:t xml:space="preserve">  </w:t>
            </w:r>
            <w:r>
              <w:rPr>
                <w:rFonts w:hint="eastAsia" w:ascii="宋体" w:hAnsi="宋体" w:eastAsia="宋体" w:cs="宋体"/>
                <w:color w:val="000000"/>
                <w:spacing w:val="-5"/>
                <w:position w:val="1"/>
                <w:sz w:val="21"/>
                <w:szCs w:val="21"/>
                <w:highlight w:val="none"/>
                <w:lang w:eastAsia="en-US"/>
              </w:rPr>
              <w:t xml:space="preserve">格□</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不合格□</w:t>
            </w:r>
            <w:r>
              <w:rPr>
                <w:rFonts w:hint="eastAsia" w:ascii="宋体" w:hAnsi="宋体" w:eastAsia="宋体" w:cs="宋体"/>
                <w:color w:val="000000"/>
                <w:sz w:val="21"/>
                <w:szCs w:val="21"/>
                <w:highlight w:val="none"/>
                <w:lang w:eastAsia="en-US"/>
              </w:rPr>
            </w:r>
            <w:r/>
          </w:p>
        </w:tc>
        <w:tc>
          <w:tcPr>
            <w:tcW w:w="1076"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8"/>
                <w:position w:val="1"/>
                <w:sz w:val="21"/>
                <w:szCs w:val="21"/>
                <w:highlight w:val="none"/>
                <w:lang w:eastAsia="en-US"/>
              </w:rPr>
              <w:t xml:space="preserve">按</w:t>
            </w:r>
            <w:r>
              <w:rPr>
                <w:rFonts w:hint="eastAsia" w:ascii="宋体" w:hAnsi="宋体" w:eastAsia="宋体" w:cs="宋体"/>
                <w:color w:val="000000"/>
                <w:spacing w:val="7"/>
                <w:position w:val="1"/>
                <w:sz w:val="21"/>
                <w:szCs w:val="21"/>
                <w:highlight w:val="none"/>
                <w:lang w:eastAsia="en-US"/>
              </w:rPr>
              <w:t xml:space="preserve">  </w:t>
            </w:r>
            <w:r>
              <w:rPr>
                <w:rFonts w:hint="eastAsia" w:ascii="宋体" w:hAnsi="宋体" w:eastAsia="宋体" w:cs="宋体"/>
                <w:color w:val="000000"/>
                <w:spacing w:val="-8"/>
                <w:position w:val="1"/>
                <w:sz w:val="21"/>
                <w:szCs w:val="21"/>
                <w:highlight w:val="none"/>
                <w:lang w:eastAsia="en-US"/>
              </w:rPr>
              <w:t xml:space="preserve">时□</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不按时□</w:t>
            </w:r>
            <w:r>
              <w:rPr>
                <w:rFonts w:hint="eastAsia" w:ascii="宋体" w:hAnsi="宋体" w:eastAsia="宋体" w:cs="宋体"/>
                <w:color w:val="000000"/>
                <w:sz w:val="21"/>
                <w:szCs w:val="21"/>
                <w:highlight w:val="none"/>
                <w:lang w:eastAsia="en-US"/>
              </w:rPr>
            </w:r>
            <w:r/>
          </w:p>
        </w:tc>
        <w:tc>
          <w:tcPr>
            <w:gridSpan w:val="2"/>
            <w:tcW w:w="1466"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5"/>
                <w:position w:val="1"/>
                <w:sz w:val="21"/>
                <w:szCs w:val="21"/>
                <w:highlight w:val="none"/>
                <w:lang w:eastAsia="en-US"/>
              </w:rPr>
              <w:t xml:space="preserve">合</w:t>
            </w:r>
            <w:r>
              <w:rPr>
                <w:rFonts w:hint="eastAsia" w:ascii="宋体" w:hAnsi="宋体" w:eastAsia="宋体" w:cs="宋体"/>
                <w:color w:val="000000"/>
                <w:spacing w:val="3"/>
                <w:position w:val="1"/>
                <w:sz w:val="21"/>
                <w:szCs w:val="21"/>
                <w:highlight w:val="none"/>
                <w:lang w:eastAsia="en-US"/>
              </w:rPr>
              <w:t xml:space="preserve">  </w:t>
            </w:r>
            <w:r>
              <w:rPr>
                <w:rFonts w:hint="eastAsia" w:ascii="宋体" w:hAnsi="宋体" w:eastAsia="宋体" w:cs="宋体"/>
                <w:color w:val="000000"/>
                <w:spacing w:val="-5"/>
                <w:position w:val="1"/>
                <w:sz w:val="21"/>
                <w:szCs w:val="21"/>
                <w:highlight w:val="none"/>
                <w:lang w:eastAsia="en-US"/>
              </w:rPr>
              <w:t xml:space="preserve">格□</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不合格□</w:t>
            </w:r>
            <w:r>
              <w:rPr>
                <w:rFonts w:hint="eastAsia" w:ascii="宋体" w:hAnsi="宋体" w:eastAsia="宋体" w:cs="宋体"/>
                <w:color w:val="000000"/>
                <w:sz w:val="21"/>
                <w:szCs w:val="21"/>
                <w:highlight w:val="none"/>
                <w:lang w:eastAsia="en-US"/>
              </w:rPr>
            </w:r>
            <w:r/>
          </w:p>
        </w:tc>
        <w:tc>
          <w:tcPr>
            <w:tcW w:w="1010"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5"/>
                <w:position w:val="1"/>
                <w:sz w:val="21"/>
                <w:szCs w:val="21"/>
                <w:highlight w:val="none"/>
                <w:lang w:eastAsia="en-US"/>
              </w:rPr>
              <w:t xml:space="preserve">合</w:t>
            </w:r>
            <w:r>
              <w:rPr>
                <w:rFonts w:hint="eastAsia" w:ascii="宋体" w:hAnsi="宋体" w:eastAsia="宋体" w:cs="宋体"/>
                <w:color w:val="000000"/>
                <w:spacing w:val="3"/>
                <w:position w:val="1"/>
                <w:sz w:val="21"/>
                <w:szCs w:val="21"/>
                <w:highlight w:val="none"/>
                <w:lang w:eastAsia="en-US"/>
              </w:rPr>
              <w:t xml:space="preserve">  </w:t>
            </w:r>
            <w:r>
              <w:rPr>
                <w:rFonts w:hint="eastAsia" w:ascii="宋体" w:hAnsi="宋体" w:eastAsia="宋体" w:cs="宋体"/>
                <w:color w:val="000000"/>
                <w:spacing w:val="-5"/>
                <w:position w:val="1"/>
                <w:sz w:val="21"/>
                <w:szCs w:val="21"/>
                <w:highlight w:val="none"/>
                <w:lang w:eastAsia="en-US"/>
              </w:rPr>
              <w:t xml:space="preserve">格□</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不合格□</w:t>
            </w:r>
            <w:r>
              <w:rPr>
                <w:rFonts w:hint="eastAsia" w:ascii="宋体" w:hAnsi="宋体" w:eastAsia="宋体" w:cs="宋体"/>
                <w:color w:val="000000"/>
                <w:sz w:val="21"/>
                <w:szCs w:val="21"/>
                <w:highlight w:val="none"/>
                <w:lang w:eastAsia="en-US"/>
              </w:rPr>
            </w:r>
            <w:r/>
          </w:p>
        </w:tc>
        <w:tc>
          <w:tcPr>
            <w:tcW w:w="1351"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5"/>
                <w:position w:val="1"/>
                <w:sz w:val="21"/>
                <w:szCs w:val="21"/>
                <w:highlight w:val="none"/>
                <w:lang w:eastAsia="en-US"/>
              </w:rPr>
              <w:t xml:space="preserve">合</w:t>
            </w:r>
            <w:r>
              <w:rPr>
                <w:rFonts w:hint="eastAsia" w:ascii="宋体" w:hAnsi="宋体" w:eastAsia="宋体" w:cs="宋体"/>
                <w:color w:val="000000"/>
                <w:spacing w:val="3"/>
                <w:position w:val="1"/>
                <w:sz w:val="21"/>
                <w:szCs w:val="21"/>
                <w:highlight w:val="none"/>
                <w:lang w:eastAsia="en-US"/>
              </w:rPr>
              <w:t xml:space="preserve">  </w:t>
            </w:r>
            <w:r>
              <w:rPr>
                <w:rFonts w:hint="eastAsia" w:ascii="宋体" w:hAnsi="宋体" w:eastAsia="宋体" w:cs="宋体"/>
                <w:color w:val="000000"/>
                <w:spacing w:val="-5"/>
                <w:position w:val="1"/>
                <w:sz w:val="21"/>
                <w:szCs w:val="21"/>
                <w:highlight w:val="none"/>
                <w:lang w:eastAsia="en-US"/>
              </w:rPr>
              <w:t xml:space="preserve">格□</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不合格□</w:t>
            </w:r>
            <w:r>
              <w:rPr>
                <w:rFonts w:hint="eastAsia" w:ascii="宋体" w:hAnsi="宋体" w:eastAsia="宋体" w:cs="宋体"/>
                <w:color w:val="000000"/>
                <w:sz w:val="21"/>
                <w:szCs w:val="21"/>
                <w:highlight w:val="none"/>
                <w:lang w:eastAsia="en-US"/>
              </w:rPr>
            </w:r>
            <w:r/>
          </w:p>
        </w:tc>
        <w:tc>
          <w:tcPr>
            <w:tcW w:w="1514" w:type="dxa"/>
            <w:vAlign w:val="center"/>
            <w:textDirection w:val="lrTb"/>
            <w:noWrap w:val="false"/>
          </w:tcPr>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5"/>
                <w:position w:val="1"/>
                <w:sz w:val="21"/>
                <w:szCs w:val="21"/>
                <w:highlight w:val="none"/>
                <w:lang w:eastAsia="en-US"/>
              </w:rPr>
              <w:t xml:space="preserve">合</w:t>
            </w:r>
            <w:r>
              <w:rPr>
                <w:rFonts w:hint="eastAsia" w:ascii="宋体" w:hAnsi="宋体" w:eastAsia="宋体" w:cs="宋体"/>
                <w:color w:val="000000"/>
                <w:spacing w:val="3"/>
                <w:position w:val="1"/>
                <w:sz w:val="21"/>
                <w:szCs w:val="21"/>
                <w:highlight w:val="none"/>
                <w:lang w:eastAsia="en-US"/>
              </w:rPr>
              <w:t xml:space="preserve">  </w:t>
            </w:r>
            <w:r>
              <w:rPr>
                <w:rFonts w:hint="eastAsia" w:ascii="宋体" w:hAnsi="宋体" w:eastAsia="宋体" w:cs="宋体"/>
                <w:color w:val="000000"/>
                <w:spacing w:val="-5"/>
                <w:position w:val="1"/>
                <w:sz w:val="21"/>
                <w:szCs w:val="21"/>
                <w:highlight w:val="none"/>
                <w:lang w:eastAsia="en-US"/>
              </w:rPr>
              <w:t xml:space="preserve">格□</w:t>
            </w:r>
            <w:r>
              <w:rPr>
                <w:rFonts w:hint="eastAsia" w:ascii="宋体" w:hAnsi="宋体" w:eastAsia="宋体" w:cs="宋体"/>
                <w:color w:val="000000"/>
                <w:sz w:val="21"/>
                <w:szCs w:val="21"/>
                <w:highlight w:val="none"/>
                <w:lang w:eastAsia="en-US"/>
              </w:rPr>
            </w:r>
            <w:r/>
          </w:p>
          <w:p>
            <w:pPr>
              <w:pStyle w:val="909"/>
              <w:jc w:val="center"/>
              <w:spacing w:line="259"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39"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position w:val="1"/>
                <w:sz w:val="21"/>
                <w:szCs w:val="21"/>
                <w:highlight w:val="none"/>
                <w:lang w:eastAsia="en-US"/>
              </w:rPr>
              <w:t xml:space="preserve">不合格□</w:t>
            </w:r>
            <w:r>
              <w:rPr>
                <w:rFonts w:hint="eastAsia" w:ascii="宋体" w:hAnsi="宋体" w:eastAsia="宋体" w:cs="宋体"/>
                <w:color w:val="000000"/>
                <w:sz w:val="21"/>
                <w:szCs w:val="21"/>
                <w:highlight w:val="none"/>
                <w:lang w:eastAsia="en-US"/>
              </w:rPr>
            </w:r>
            <w:r/>
          </w:p>
        </w:tc>
      </w:tr>
      <w:tr>
        <w:trPr>
          <w:trHeight w:val="885"/>
        </w:trPr>
        <w:tc>
          <w:tcPr>
            <w:tcW w:w="962" w:type="dxa"/>
            <w:vAlign w:val="center"/>
            <w:textDirection w:val="lrTb"/>
            <w:noWrap w:val="false"/>
          </w:tcPr>
          <w:p>
            <w:pPr>
              <w:pStyle w:val="909"/>
              <w:jc w:val="center"/>
              <w:spacing w:line="20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专业检测机构情</w:t>
            </w:r>
            <w:r>
              <w:rPr>
                <w:rFonts w:hint="eastAsia" w:ascii="宋体" w:hAnsi="宋体" w:eastAsia="宋体" w:cs="宋体"/>
                <w:color w:val="000000"/>
                <w:sz w:val="21"/>
                <w:szCs w:val="21"/>
                <w:highlight w:val="none"/>
              </w:rPr>
            </w:r>
            <w:r/>
          </w:p>
          <w:p>
            <w:pPr>
              <w:pStyle w:val="909"/>
              <w:jc w:val="center"/>
              <w:spacing w:line="20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况说明</w:t>
            </w:r>
            <w:r>
              <w:rPr>
                <w:rFonts w:hint="eastAsia" w:ascii="宋体" w:hAnsi="宋体" w:eastAsia="宋体" w:cs="宋体"/>
                <w:color w:val="000000"/>
                <w:sz w:val="21"/>
                <w:szCs w:val="21"/>
                <w:highlight w:val="none"/>
              </w:rPr>
            </w:r>
            <w:r/>
          </w:p>
        </w:tc>
        <w:tc>
          <w:tcPr>
            <w:gridSpan w:val="7"/>
            <w:tcW w:w="7432" w:type="dxa"/>
            <w:vAlign w:val="center"/>
            <w:textDirection w:val="lrTb"/>
            <w:noWrap w:val="false"/>
          </w:tcPr>
          <w:p>
            <w:pPr>
              <w:pStyle w:val="90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73"/>
        </w:trPr>
        <w:tc>
          <w:tcPr>
            <w:tcW w:w="962" w:type="dxa"/>
            <w:vAlign w:val="center"/>
            <w:textDirection w:val="lrTb"/>
            <w:noWrap w:val="false"/>
          </w:tcPr>
          <w:p>
            <w:pPr>
              <w:pStyle w:val="909"/>
              <w:jc w:val="center"/>
              <w:spacing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存在问题</w:t>
            </w:r>
            <w:r>
              <w:rPr>
                <w:rFonts w:hint="eastAsia" w:ascii="宋体" w:hAnsi="宋体" w:eastAsia="宋体" w:cs="宋体"/>
                <w:color w:val="000000"/>
                <w:sz w:val="21"/>
                <w:szCs w:val="21"/>
                <w:highlight w:val="none"/>
                <w:lang w:eastAsia="en-US"/>
              </w:rPr>
            </w:r>
            <w:r/>
          </w:p>
          <w:p>
            <w:pPr>
              <w:pStyle w:val="909"/>
              <w:jc w:val="center"/>
              <w:spacing w:line="207"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和改进意见</w:t>
            </w:r>
            <w:r>
              <w:rPr>
                <w:rFonts w:hint="eastAsia" w:ascii="宋体" w:hAnsi="宋体" w:eastAsia="宋体" w:cs="宋体"/>
                <w:color w:val="000000"/>
                <w:sz w:val="21"/>
                <w:szCs w:val="21"/>
                <w:highlight w:val="none"/>
                <w:lang w:eastAsia="en-US"/>
              </w:rPr>
            </w:r>
            <w:r/>
          </w:p>
        </w:tc>
        <w:tc>
          <w:tcPr>
            <w:gridSpan w:val="7"/>
            <w:tcW w:w="7432" w:type="dxa"/>
            <w:vAlign w:val="center"/>
            <w:textDirection w:val="lrTb"/>
            <w:noWrap w:val="false"/>
          </w:tcPr>
          <w:p>
            <w:pPr>
              <w:pStyle w:val="909"/>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635"/>
        </w:trPr>
        <w:tc>
          <w:tcPr>
            <w:tcW w:w="962"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最终结论</w:t>
            </w:r>
            <w:r>
              <w:rPr>
                <w:rFonts w:hint="eastAsia" w:ascii="宋体" w:hAnsi="宋体" w:eastAsia="宋体" w:cs="宋体"/>
                <w:color w:val="000000"/>
                <w:sz w:val="21"/>
                <w:szCs w:val="21"/>
                <w:highlight w:val="none"/>
                <w:lang w:eastAsia="en-US"/>
              </w:rPr>
            </w:r>
            <w:r/>
          </w:p>
        </w:tc>
        <w:tc>
          <w:tcPr>
            <w:gridSpan w:val="7"/>
            <w:tcW w:w="7432"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合  格□                              不合格□</w:t>
            </w:r>
            <w:r>
              <w:rPr>
                <w:rFonts w:hint="eastAsia" w:ascii="宋体" w:hAnsi="宋体" w:eastAsia="宋体" w:cs="宋体"/>
                <w:color w:val="000000"/>
                <w:sz w:val="21"/>
                <w:szCs w:val="21"/>
                <w:highlight w:val="none"/>
                <w:lang w:eastAsia="en-US"/>
              </w:rPr>
            </w:r>
            <w:r/>
          </w:p>
        </w:tc>
      </w:tr>
      <w:tr>
        <w:trPr>
          <w:trHeight w:val="983"/>
        </w:trPr>
        <w:tc>
          <w:tcPr>
            <w:tcW w:w="962"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验收小组成员</w:t>
            </w:r>
            <w:r>
              <w:rPr>
                <w:rFonts w:hint="eastAsia" w:ascii="宋体" w:hAnsi="宋体" w:eastAsia="宋体" w:cs="宋体"/>
                <w:color w:val="000000"/>
                <w:sz w:val="21"/>
                <w:szCs w:val="21"/>
                <w:highlight w:val="none"/>
                <w:lang w:eastAsia="en-US"/>
              </w:rPr>
            </w:r>
            <w:r/>
          </w:p>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签字</w:t>
            </w:r>
            <w:r>
              <w:rPr>
                <w:rFonts w:hint="eastAsia" w:ascii="宋体" w:hAnsi="宋体" w:eastAsia="宋体" w:cs="宋体"/>
                <w:color w:val="000000"/>
                <w:sz w:val="21"/>
                <w:szCs w:val="21"/>
                <w:highlight w:val="none"/>
                <w:lang w:eastAsia="en-US"/>
              </w:rPr>
            </w:r>
            <w:r/>
          </w:p>
        </w:tc>
        <w:tc>
          <w:tcPr>
            <w:gridSpan w:val="7"/>
            <w:tcW w:w="7432"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59"/>
        </w:trPr>
        <w:tc>
          <w:tcPr>
            <w:gridSpan w:val="4"/>
            <w:tcW w:w="4180"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采购代理机构意见</w:t>
            </w:r>
            <w:r>
              <w:rPr>
                <w:rFonts w:hint="eastAsia" w:ascii="宋体" w:hAnsi="宋体" w:eastAsia="宋体" w:cs="宋体"/>
                <w:color w:val="000000"/>
                <w:sz w:val="21"/>
                <w:szCs w:val="21"/>
                <w:highlight w:val="none"/>
                <w:lang w:eastAsia="en-US"/>
              </w:rPr>
            </w:r>
            <w:r/>
          </w:p>
        </w:tc>
        <w:tc>
          <w:tcPr>
            <w:gridSpan w:val="4"/>
            <w:tcW w:w="4214"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采购人意见</w:t>
            </w:r>
            <w:r>
              <w:rPr>
                <w:rFonts w:hint="eastAsia" w:ascii="宋体" w:hAnsi="宋体" w:eastAsia="宋体" w:cs="宋体"/>
                <w:color w:val="000000"/>
                <w:sz w:val="21"/>
                <w:szCs w:val="21"/>
                <w:highlight w:val="none"/>
                <w:lang w:eastAsia="en-US"/>
              </w:rPr>
            </w:r>
            <w:r/>
          </w:p>
        </w:tc>
      </w:tr>
      <w:tr>
        <w:trPr>
          <w:trHeight w:val="1119"/>
        </w:trPr>
        <w:tc>
          <w:tcPr>
            <w:gridSpan w:val="4"/>
            <w:tcW w:w="4180" w:type="dxa"/>
            <w:vAlign w:val="center"/>
            <w:textDirection w:val="lrTb"/>
            <w:noWrap w:val="false"/>
          </w:tcPr>
          <w:p>
            <w:pPr>
              <w:pStyle w:val="909"/>
              <w:jc w:val="center"/>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         负责人：           </w:t>
            </w:r>
            <w:r>
              <w:rPr>
                <w:rFonts w:hint="eastAsia" w:ascii="宋体" w:hAnsi="宋体" w:eastAsia="宋体" w:cs="宋体"/>
                <w:color w:val="000000"/>
                <w:sz w:val="21"/>
                <w:szCs w:val="21"/>
                <w:highlight w:val="none"/>
              </w:rPr>
            </w:r>
            <w:r/>
          </w:p>
          <w:p>
            <w:pPr>
              <w:pStyle w:val="909"/>
              <w:jc w:val="center"/>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（采购代理机构公章）</w:t>
            </w:r>
            <w:r>
              <w:rPr>
                <w:rFonts w:hint="eastAsia" w:ascii="宋体" w:hAnsi="宋体" w:eastAsia="宋体" w:cs="宋体"/>
                <w:color w:val="000000"/>
                <w:sz w:val="21"/>
                <w:szCs w:val="21"/>
                <w:highlight w:val="none"/>
              </w:rPr>
            </w:r>
            <w:r/>
          </w:p>
        </w:tc>
        <w:tc>
          <w:tcPr>
            <w:gridSpan w:val="4"/>
            <w:tcW w:w="4214" w:type="dxa"/>
            <w:vAlign w:val="center"/>
            <w:textDirection w:val="lrTb"/>
            <w:noWrap w:val="false"/>
          </w:tcPr>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         负责人：               </w:t>
            </w: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（采购人公章）</w:t>
            </w:r>
            <w:r>
              <w:rPr>
                <w:rFonts w:hint="eastAsia" w:ascii="宋体" w:hAnsi="宋体" w:eastAsia="宋体" w:cs="宋体"/>
                <w:color w:val="000000"/>
                <w:sz w:val="21"/>
                <w:szCs w:val="21"/>
                <w:highlight w:val="none"/>
              </w:rPr>
            </w:r>
            <w:r/>
          </w:p>
        </w:tc>
      </w:tr>
      <w:tr>
        <w:trPr>
          <w:trHeight w:val="1539"/>
        </w:trPr>
        <w:tc>
          <w:tcPr>
            <w:gridSpan w:val="8"/>
            <w:tcW w:w="8394" w:type="dxa"/>
            <w:vAlign w:val="top"/>
            <w:textDirection w:val="lrTb"/>
            <w:noWrap w:val="false"/>
          </w:tcPr>
          <w:p>
            <w:pPr>
              <w:pStyle w:val="909"/>
              <w:jc w:val="center"/>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供应商确认：</w:t>
            </w:r>
            <w:r>
              <w:rPr>
                <w:rFonts w:hint="eastAsia" w:ascii="宋体" w:hAnsi="宋体" w:eastAsia="宋体" w:cs="宋体"/>
                <w:color w:val="000000"/>
                <w:sz w:val="21"/>
                <w:szCs w:val="21"/>
                <w:highlight w:val="none"/>
              </w:rPr>
            </w:r>
            <w:r/>
          </w:p>
          <w:p>
            <w:pPr>
              <w:pStyle w:val="909"/>
              <w:jc w:val="center"/>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jc w:val="both"/>
              <w:spacing w:line="26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（单位公章或授权代表签字）</w:t>
            </w:r>
            <w:r>
              <w:rPr>
                <w:rFonts w:hint="eastAsia" w:ascii="宋体" w:hAnsi="宋体" w:eastAsia="宋体" w:cs="宋体"/>
                <w:color w:val="000000"/>
                <w:sz w:val="21"/>
                <w:szCs w:val="21"/>
                <w:highlight w:val="none"/>
              </w:rPr>
            </w:r>
            <w:r/>
          </w:p>
        </w:tc>
      </w:tr>
    </w:tbl>
    <w:p>
      <w:pPr>
        <w:pStyle w:val="910"/>
        <w:ind w:left="0" w:right="0"/>
        <w:jc w:val="center"/>
        <w:keepLines w:val="0"/>
        <w:keepNext w:val="0"/>
        <w:spacing w:before="0" w:beforeAutospacing="0" w:after="0" w:afterAutospacing="0" w:line="360" w:lineRule="atLeast"/>
        <w:widowControl/>
        <w:rPr>
          <w:rFonts w:hint="eastAsia"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highlight w:val="none"/>
        </w:rPr>
        <w:br w:type="page" w:clear="all"/>
      </w:r>
      <w:r>
        <w:rPr>
          <w:rFonts w:hint="eastAsia" w:ascii="宋体" w:hAnsi="宋体" w:eastAsia="宋体" w:cs="宋体"/>
          <w:b/>
          <w:bCs/>
          <w:color w:val="000000"/>
          <w:sz w:val="28"/>
          <w:szCs w:val="28"/>
          <w:highlight w:val="none"/>
          <w:lang w:val="en-US" w:eastAsia="zh-CN" w:bidi="ar-SA"/>
        </w:rPr>
        <w:t xml:space="preserve">唯亭街道社会工作站（室）运营项目评估办法（试行）</w:t>
      </w:r>
      <w:r>
        <w:rPr>
          <w:rFonts w:hint="eastAsia" w:ascii="宋体" w:hAnsi="宋体" w:eastAsia="宋体" w:cs="宋体"/>
          <w:color w:val="000000"/>
          <w:sz w:val="32"/>
          <w:szCs w:val="32"/>
          <w:highlight w:val="none"/>
          <w:lang w:eastAsia="zh-CN"/>
        </w:rPr>
      </w:r>
      <w:r/>
    </w:p>
    <w:p>
      <w:pPr>
        <w:pStyle w:val="909"/>
        <w:ind w:left="0"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为深入贯彻落实苏州市关于基层社会工作站（室）建设的工作要求，全面规范唯亭街道社会工作站（室）运营服务管理，强化项目过程管控、提升服务质效、保障资金安全，确保项目高质量落地、高标准推进、高水平见效，苏州工业园区唯亭街道办事处结合本街道实际，特制定本评估验收标准，作为项目运营期间街道自主开展项目评估和验收、款项支付及合同管理的正式依据。</w:t>
      </w:r>
      <w:r>
        <w:rPr>
          <w:rFonts w:hint="eastAsia" w:ascii="宋体" w:hAnsi="宋体" w:eastAsia="宋体" w:cs="宋体"/>
          <w:color w:val="000000"/>
          <w:sz w:val="21"/>
          <w:szCs w:val="21"/>
          <w:highlight w:val="none"/>
          <w:lang w:val="en-US" w:eastAsia="zh-CN" w:bidi="ar"/>
        </w:rPr>
      </w:r>
      <w:r/>
    </w:p>
    <w:p>
      <w:pPr>
        <w:pStyle w:val="909"/>
        <w:ind w:left="0" w:right="0" w:firstLine="422"/>
        <w:jc w:val="left"/>
        <w:keepLines w:val="0"/>
        <w:keepNext w:val="0"/>
        <w:pageBreakBefore w:val="0"/>
        <w:spacing w:beforeAutospacing="0" w:afterAutospacing="0" w:line="460" w:lineRule="exact"/>
        <w:widowControl/>
        <w:rPr>
          <w:rFonts w:hint="eastAsia" w:ascii="宋体" w:hAnsi="宋体" w:eastAsia="宋体" w:cs="宋体"/>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1"/>
          <w:szCs w:val="21"/>
          <w:highlight w:val="none"/>
          <w:lang w:val="en-US" w:eastAsia="zh-CN" w:bidi="ar"/>
        </w:rPr>
        <w:t xml:space="preserve">一、制定依据</w:t>
      </w:r>
      <w:r>
        <w:rPr>
          <w:rFonts w:hint="eastAsia" w:ascii="宋体" w:hAnsi="宋体" w:eastAsia="宋体" w:cs="宋体"/>
          <w:b/>
          <w:bCs/>
          <w:color w:val="000000"/>
          <w:sz w:val="21"/>
          <w:szCs w:val="21"/>
          <w:highlight w:val="none"/>
          <w:lang w:val="en-US" w:eastAsia="zh-CN" w:bidi="ar"/>
        </w:rPr>
      </w:r>
      <w:r/>
    </w:p>
    <w:p>
      <w:pPr>
        <w:pStyle w:val="909"/>
        <w:ind w:left="0"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规范高效的项目管理是保障社会工作站（室）运营服务落地见效的核心基础。自2021年苏州市政府办公室《关于推进基层社会工作站（室）建设的实施意见》实施以来，全市社会工作站（室）建设已进入专业化、标准化、常态化发展阶段。本评估标准立足项目全生命周期管理，聚焦项目执行、管控、成效等关键环节，以结果为导向、以过程为支撑，全面核验项目运营情况，客观评价服务成效与治理价值。</w:t>
      </w:r>
      <w:r>
        <w:rPr>
          <w:rFonts w:hint="eastAsia" w:ascii="宋体" w:hAnsi="宋体" w:eastAsia="宋体" w:cs="宋体"/>
          <w:color w:val="000000"/>
          <w:sz w:val="21"/>
          <w:szCs w:val="21"/>
          <w:highlight w:val="none"/>
          <w:lang w:val="en-US" w:eastAsia="zh-CN" w:bidi="ar"/>
        </w:rPr>
      </w:r>
      <w:r/>
    </w:p>
    <w:p>
      <w:pPr>
        <w:pStyle w:val="909"/>
        <w:ind w:left="0"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本项目评估实行百分制评分，验收指标体系由人员与团队管理、服务执行与成效、阵地运营与宣传、档案管理、财务管理、满意度与合规性6大类核心指标构成，另设附加加分与减分项，总分100分，作为街道自主评估和验收的重要依据。</w:t>
      </w:r>
      <w:r>
        <w:rPr>
          <w:rFonts w:hint="eastAsia" w:ascii="宋体" w:hAnsi="宋体" w:eastAsia="宋体" w:cs="宋体"/>
          <w:color w:val="000000"/>
          <w:sz w:val="21"/>
          <w:szCs w:val="21"/>
          <w:highlight w:val="none"/>
        </w:rPr>
      </w:r>
      <w:r/>
    </w:p>
    <w:p>
      <w:pPr>
        <w:pStyle w:val="911"/>
        <w:ind w:left="0" w:right="0" w:firstLine="422"/>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909"/>
        <w:ind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评估工作由</w:t>
      </w:r>
      <w:r>
        <w:rPr>
          <w:rStyle w:val="945"/>
          <w:rFonts w:hint="eastAsia" w:ascii="宋体" w:hAnsi="宋体" w:eastAsia="宋体" w:cs="宋体"/>
          <w:b w:val="0"/>
          <w:bCs w:val="0"/>
          <w:color w:val="000000"/>
          <w:sz w:val="21"/>
          <w:szCs w:val="21"/>
          <w:highlight w:val="none"/>
          <w:lang w:val="en-US" w:eastAsia="zh-CN" w:bidi="ar"/>
        </w:rPr>
        <w:t xml:space="preserve">苏州工业园区唯亭街道办事处</w:t>
      </w:r>
      <w:r>
        <w:rPr>
          <w:rFonts w:hint="eastAsia" w:ascii="宋体" w:hAnsi="宋体" w:eastAsia="宋体" w:cs="宋体"/>
          <w:color w:val="000000"/>
          <w:sz w:val="21"/>
          <w:szCs w:val="21"/>
          <w:highlight w:val="none"/>
          <w:lang w:val="en-US" w:eastAsia="zh-CN" w:bidi="ar"/>
        </w:rPr>
        <w:t xml:space="preserve">自主组织实施，不委托第三方机构。</w:t>
      </w:r>
      <w:r>
        <w:rPr>
          <w:rFonts w:hint="eastAsia" w:ascii="宋体" w:hAnsi="宋体" w:eastAsia="宋体" w:cs="宋体"/>
          <w:color w:val="000000"/>
          <w:sz w:val="21"/>
          <w:szCs w:val="21"/>
          <w:highlight w:val="none"/>
        </w:rPr>
      </w:r>
      <w:r/>
    </w:p>
    <w:p>
      <w:pPr>
        <w:pStyle w:val="911"/>
        <w:ind w:left="0" w:right="0" w:firstLine="422"/>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周期</w:t>
      </w:r>
      <w:r>
        <w:rPr>
          <w:rFonts w:hint="eastAsia" w:ascii="宋体" w:hAnsi="宋体" w:eastAsia="宋体" w:cs="宋体"/>
          <w:color w:val="000000"/>
          <w:sz w:val="21"/>
          <w:szCs w:val="21"/>
          <w:highlight w:val="none"/>
        </w:rPr>
      </w:r>
      <w:r/>
    </w:p>
    <w:p>
      <w:pPr>
        <w:pStyle w:val="909"/>
        <w:ind w:left="0"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项目执行期内，</w:t>
      </w:r>
      <w:r>
        <w:rPr>
          <w:rStyle w:val="945"/>
          <w:rFonts w:hint="eastAsia" w:ascii="宋体" w:hAnsi="宋体" w:eastAsia="宋体" w:cs="宋体"/>
          <w:b w:val="0"/>
          <w:bCs w:val="0"/>
          <w:color w:val="000000"/>
          <w:sz w:val="21"/>
          <w:szCs w:val="21"/>
          <w:highlight w:val="none"/>
          <w:lang w:val="en-US" w:eastAsia="zh-CN" w:bidi="ar"/>
        </w:rPr>
        <w:t xml:space="preserve">每半年开展1次评估</w:t>
      </w:r>
      <w:r>
        <w:rPr>
          <w:rFonts w:hint="eastAsia" w:ascii="宋体" w:hAnsi="宋体" w:eastAsia="宋体" w:cs="宋体"/>
          <w:color w:val="000000"/>
          <w:sz w:val="21"/>
          <w:szCs w:val="21"/>
          <w:highlight w:val="none"/>
          <w:lang w:val="en-US" w:eastAsia="zh-CN" w:bidi="ar"/>
        </w:rPr>
        <w:t xml:space="preserve">（24个月，共4次）。</w:t>
      </w:r>
      <w:r>
        <w:rPr>
          <w:rFonts w:hint="eastAsia" w:ascii="宋体" w:hAnsi="宋体" w:eastAsia="宋体" w:cs="宋体"/>
          <w:color w:val="000000"/>
          <w:sz w:val="21"/>
          <w:szCs w:val="21"/>
          <w:highlight w:val="none"/>
        </w:rPr>
      </w:r>
      <w:r/>
    </w:p>
    <w:p>
      <w:pPr>
        <w:pStyle w:val="911"/>
        <w:ind w:left="0" w:right="0" w:firstLine="422"/>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rPr>
      </w:r>
      <w:r/>
    </w:p>
    <w:p>
      <w:pPr>
        <w:pStyle w:val="909"/>
        <w:ind w:left="0" w:right="0" w:firstLine="420"/>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资料核查、现场查看、满意度调查和访谈、平台数据核对等相结合。</w:t>
      </w:r>
      <w:r>
        <w:rPr>
          <w:rFonts w:hint="eastAsia" w:ascii="宋体" w:hAnsi="宋体" w:eastAsia="宋体" w:cs="宋体"/>
          <w:color w:val="000000"/>
          <w:sz w:val="21"/>
          <w:szCs w:val="21"/>
          <w:highlight w:val="none"/>
          <w:lang w:val="en-US" w:eastAsia="zh-CN" w:bidi="ar"/>
        </w:rPr>
      </w:r>
      <w:r/>
    </w:p>
    <w:p>
      <w:pPr>
        <w:pStyle w:val="911"/>
        <w:ind w:left="0" w:right="0" w:firstLine="422"/>
        <w:jc w:val="left"/>
        <w:keepLines w:val="0"/>
        <w:keepNext w:val="0"/>
        <w:pageBreakBefore w:val="0"/>
        <w:spacing w:beforeAutospacing="0" w:afterAutospacing="0" w:line="460" w:lineRule="exact"/>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内容及分值（总分100分）</w:t>
      </w:r>
      <w:r>
        <w:rPr>
          <w:rFonts w:hint="eastAsia" w:ascii="宋体" w:hAnsi="宋体" w:eastAsia="宋体" w:cs="宋体"/>
          <w:color w:val="000000"/>
          <w:sz w:val="21"/>
          <w:szCs w:val="21"/>
          <w:highlight w:val="none"/>
          <w:lang w:val="en-US" w:eastAsia="zh-CN" w:bidi="ar"/>
        </w:rPr>
      </w:r>
      <w:r/>
    </w:p>
    <w:p>
      <w:pPr>
        <w:pStyle w:val="910"/>
        <w:ind w:left="0" w:right="0"/>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唯亭街道社会工作站（室）运营项目</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内容及评分表</w:t>
      </w:r>
      <w:r>
        <w:rPr>
          <w:rFonts w:hint="eastAsia" w:ascii="宋体" w:hAnsi="宋体" w:eastAsia="宋体" w:cs="宋体"/>
          <w:color w:val="000000"/>
          <w:sz w:val="21"/>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1"/>
        <w:gridCol w:w="1040"/>
        <w:gridCol w:w="735"/>
        <w:gridCol w:w="2909"/>
        <w:gridCol w:w="2763"/>
        <w:gridCol w:w="675"/>
      </w:tblGrid>
      <w:tr>
        <w:trPr>
          <w:trHeight w:val="510"/>
        </w:trPr>
        <w:tc>
          <w:tcPr>
            <w:tcW w:w="280"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604"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验收大类</w:t>
            </w:r>
            <w:r>
              <w:rPr>
                <w:rFonts w:hint="eastAsia" w:ascii="宋体" w:hAnsi="宋体" w:eastAsia="宋体" w:cs="宋体"/>
                <w:b/>
                <w:bCs/>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分值</w:t>
            </w:r>
            <w:r>
              <w:rPr>
                <w:rFonts w:hint="eastAsia" w:ascii="宋体" w:hAnsi="宋体" w:eastAsia="宋体" w:cs="宋体"/>
                <w:b/>
                <w:bCs/>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验收具体内容</w:t>
            </w:r>
            <w:r>
              <w:rPr>
                <w:rFonts w:hint="eastAsia" w:ascii="宋体" w:hAnsi="宋体" w:eastAsia="宋体" w:cs="宋体"/>
                <w:b/>
                <w:bCs/>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评分说明</w:t>
            </w:r>
            <w:r>
              <w:rPr>
                <w:rFonts w:hint="eastAsia" w:ascii="宋体" w:hAnsi="宋体" w:eastAsia="宋体" w:cs="宋体"/>
                <w:b/>
                <w:bCs/>
                <w:i w:val="0"/>
                <w:iCs w:val="0"/>
                <w:color w:val="000000"/>
                <w:sz w:val="21"/>
                <w:szCs w:val="21"/>
                <w:highlight w:val="none"/>
                <w:u w:val="none"/>
              </w:rPr>
            </w:r>
            <w:r/>
          </w:p>
        </w:tc>
        <w:tc>
          <w:tcPr>
            <w:tcW w:w="392"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得分</w:t>
            </w:r>
            <w:r>
              <w:rPr>
                <w:rFonts w:hint="eastAsia" w:ascii="宋体" w:hAnsi="宋体" w:eastAsia="宋体" w:cs="宋体"/>
                <w:b/>
                <w:bCs/>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人员与团队管理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专职社工不少于15名，其中社工站配备专职人员不少于3名，并符合招标文件资质要求。</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缺1人或不符合资质者1人扣2分，扣完为止</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项目负责人、副站长资质符合招标文件要求</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不符合不得分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党员社工不少于 2 名</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不足不得分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人员稳定，无擅自更换、无长期缺岗</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擅自更换1人次扣2分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考勤、培训、考核记录完整</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缺一项扣1分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服务执行与成效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（30分）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按项目要求开展和完成各项服务内容，保障项目进度</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缺1项扣1分，扣完为止</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SA"/>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服务流程规范，记录真实完整，服务成效显著</w:t>
            </w:r>
            <w:r>
              <w:rPr>
                <w:rFonts w:hint="eastAsia" w:ascii="宋体" w:hAnsi="宋体" w:eastAsia="宋体" w:cs="宋体"/>
                <w:i w:val="0"/>
                <w:iCs w:val="0"/>
                <w:color w:val="000000"/>
                <w:sz w:val="21"/>
                <w:szCs w:val="21"/>
                <w:highlight w:val="none"/>
                <w:u w:val="none"/>
                <w:lang w:val="en-US" w:eastAsia="zh-CN" w:bidi="ar-SA"/>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不规范、不真实、不完整的1项扣0.5分，扣完为止</w:t>
            </w:r>
            <w:r>
              <w:rPr>
                <w:rFonts w:hint="eastAsia" w:ascii="宋体" w:hAnsi="宋体" w:eastAsia="宋体" w:cs="宋体"/>
                <w:i w:val="0"/>
                <w:iCs w:val="0"/>
                <w:color w:val="000000"/>
                <w:sz w:val="21"/>
                <w:szCs w:val="21"/>
                <w:highlight w:val="none"/>
                <w:u w:val="none"/>
                <w:lang w:val="en-US" w:eastAsia="zh-CN" w:bidi="ar-SA"/>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街道工作配合</w:t>
            </w:r>
            <w:r>
              <w:rPr>
                <w:rFonts w:hint="eastAsia" w:ascii="宋体" w:hAnsi="宋体" w:eastAsia="宋体" w:cs="宋体"/>
                <w:i w:val="0"/>
                <w:iCs w:val="0"/>
                <w:color w:val="000000"/>
                <w:sz w:val="21"/>
                <w:szCs w:val="21"/>
                <w:highlight w:val="none"/>
                <w:u w:val="none"/>
                <w:lang w:val="en-US" w:eastAsia="zh-CN" w:bidi="ar-SA"/>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color w:val="000000"/>
                <w:sz w:val="21"/>
                <w:szCs w:val="21"/>
                <w:highlight w:val="none"/>
              </w:rPr>
              <w:t xml:space="preserve">积极主动配合街道各项工作部署与任务要求，响应及时、落实到位，得5分；存在拖延、滞后、落实不到位等情况，酌情扣分；敷衍应付、推诿扯皮、拒不配合的，本项不得分。</w:t>
            </w:r>
            <w:r>
              <w:rPr>
                <w:rFonts w:hint="eastAsia" w:ascii="宋体" w:hAnsi="宋体" w:eastAsia="宋体" w:cs="宋体"/>
                <w:i w:val="0"/>
                <w:iCs w:val="0"/>
                <w:color w:val="000000"/>
                <w:sz w:val="21"/>
                <w:szCs w:val="21"/>
                <w:highlight w:val="none"/>
                <w:u w:val="none"/>
                <w:lang w:val="en-US" w:eastAsia="zh-CN" w:bidi="ar-SA"/>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阵地运营与宣传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社工站日常开放、环境整洁、安全规范</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不符合酌情扣分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参访接待、台账记录完整</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缺台账不得分，不完整酌情扣分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“知社区”平台信息录入及时准确</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未录入、不准确、不及时不得分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年度宣传稿件≥30 篇，国家、省、市媒体报道均达标</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少一项扣1分，扣完为止</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简报、报告、年刊等保质按时提交</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未按时提交不得分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专人管理、分类清晰</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不符合不得分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服务、人事、财务档案完整真实</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缺失酌情扣分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无缺失、无造假</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造假直接0分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档案管理规范</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不规范酌情扣分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专款专用、票据真实合规</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不合规不得分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预算执行合理，无擅自调整</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擅自调整不得分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财务制度健全，审批规范</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不健全酌情扣分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依法纳税，无违规挪用</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违规直接 0 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满意度与合规性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街道、社区、服务对象评价良好</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出现差评1个扣0.5分，扣完为止</w:t>
            </w:r>
            <w:r>
              <w:rPr>
                <w:rFonts w:hint="eastAsia" w:ascii="宋体" w:hAnsi="宋体" w:eastAsia="宋体" w:cs="宋体"/>
                <w:i w:val="0"/>
                <w:iCs w:val="0"/>
                <w:color w:val="000000"/>
                <w:sz w:val="21"/>
                <w:szCs w:val="21"/>
                <w:highlight w:val="none"/>
                <w:u w:val="none"/>
                <w:lang w:val="en-US" w:eastAsia="zh-CN"/>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无有效投诉、无负面舆情</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有投诉/舆情1项，扣1分，扣完为止</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无违规违纪行为</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有违规违纪直接 0分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4" w:type="dxa"/>
            <w:vAlign w:val="center"/>
            <w:vMerge w:val="restart"/>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附加项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（5分）</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项目周期内承接方对本项目相关工作进行学术研究并有成果发表，提供相关材料证明：本项目相关工作获得政府相关部门或权威组织的正式嘉许，能提供相关表彰证明。</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其中国家级加5分，省级加3分，市级加2分，区级加1分，最高5分。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vMerge w:val="continue"/>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项目团队应按规定时限递交项目资料并配合进行项目验收。</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如规定时限内缺少相关项目资料，影响项目验收，酌情扣分，最高减5分。</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80" w:type="dxa"/>
            <w:vAlign w:val="center"/>
            <w:textDirection w:val="lrTb"/>
            <w:noWrap w:val="false"/>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4"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c>
          <w:tcPr>
            <w:tcW w:w="427"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100 分</w:t>
            </w:r>
            <w:r>
              <w:rPr>
                <w:rFonts w:hint="eastAsia" w:ascii="宋体" w:hAnsi="宋体" w:eastAsia="宋体" w:cs="宋体"/>
                <w:b/>
                <w:bCs/>
                <w:i w:val="0"/>
                <w:iCs w:val="0"/>
                <w:color w:val="000000"/>
                <w:sz w:val="21"/>
                <w:szCs w:val="21"/>
                <w:highlight w:val="none"/>
                <w:u w:val="none"/>
              </w:rPr>
            </w:r>
            <w:r/>
          </w:p>
        </w:tc>
        <w:tc>
          <w:tcPr>
            <w:tcW w:w="169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60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392" w:type="dxa"/>
            <w:vAlign w:val="center"/>
            <w:textDirection w:val="lrTb"/>
            <w:noWrap/>
          </w:tcPr>
          <w:p>
            <w:pPr>
              <w:pStyle w:val="90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909"/>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、评分等级与结果运用</w:t>
      </w:r>
      <w:r>
        <w:rPr>
          <w:rFonts w:hint="eastAsia" w:ascii="宋体" w:hAnsi="宋体" w:eastAsia="宋体" w:cs="宋体"/>
          <w:b/>
          <w:bCs/>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90≤得分：优秀，支付当期款项100%；</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80≤得分＜90：良好，支付当期款项90%；</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60≤得分＜80分：合格，支付当期款项80%；</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得分＜60分：不合格，</w:t>
      </w:r>
      <w:r>
        <w:rPr>
          <w:rFonts w:hint="eastAsia" w:ascii="宋体" w:hAnsi="宋体" w:eastAsia="宋体" w:cs="宋体"/>
          <w:color w:val="000000"/>
          <w:sz w:val="21"/>
          <w:szCs w:val="21"/>
          <w:highlight w:val="none"/>
          <w:lang w:val="en-US" w:eastAsia="zh-CN"/>
        </w:rPr>
        <w:t xml:space="preserve"> 乙方须按甲方实际需求，在甲方规定的期限内无条件整改到位，并经重新考核合格后，甲方支付当期款项的50%，否则甲方有权不予支付当期款项。累计2次考核评估结果不合格的，甲方有权解除合同，并有权向乙方追偿。</w:t>
      </w:r>
      <w:r>
        <w:rPr>
          <w:rFonts w:hint="eastAsia" w:ascii="宋体" w:hAnsi="宋体" w:eastAsia="宋体" w:cs="宋体"/>
          <w:color w:val="000000"/>
          <w:sz w:val="21"/>
          <w:szCs w:val="21"/>
          <w:highlight w:val="none"/>
          <w:lang w:val="en-US" w:eastAsia="zh-CN"/>
        </w:rPr>
      </w:r>
      <w:r/>
    </w:p>
    <w:p>
      <w:pPr>
        <w:pStyle w:val="909"/>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、一票否决项（出现</w:t>
      </w:r>
      <w:r>
        <w:rPr>
          <w:rFonts w:hint="eastAsia" w:ascii="宋体" w:hAnsi="宋体" w:eastAsia="宋体" w:cs="宋体"/>
          <w:b/>
          <w:bCs/>
          <w:color w:val="000000"/>
          <w:sz w:val="21"/>
          <w:szCs w:val="21"/>
          <w:highlight w:val="none"/>
          <w:lang w:val="en-US" w:eastAsia="zh-CN"/>
        </w:rPr>
        <w:t xml:space="preserve">以下情况</w:t>
      </w:r>
      <w:r>
        <w:rPr>
          <w:rFonts w:hint="eastAsia" w:ascii="宋体" w:hAnsi="宋体" w:eastAsia="宋体" w:cs="宋体"/>
          <w:b/>
          <w:bCs/>
          <w:color w:val="000000"/>
          <w:sz w:val="21"/>
          <w:szCs w:val="21"/>
          <w:highlight w:val="none"/>
        </w:rPr>
        <w:t xml:space="preserve">直接评定不合格）</w:t>
      </w:r>
      <w:r>
        <w:rPr>
          <w:rFonts w:hint="eastAsia" w:ascii="宋体" w:hAnsi="宋体" w:eastAsia="宋体" w:cs="宋体"/>
          <w:b/>
          <w:bCs/>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档案造假、服务造假；</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资金挪用、虚列支出；</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发生安全事故、</w:t>
      </w:r>
      <w:r>
        <w:rPr>
          <w:rFonts w:hint="eastAsia" w:ascii="宋体" w:hAnsi="宋体" w:eastAsia="宋体" w:cs="宋体"/>
          <w:color w:val="000000"/>
          <w:sz w:val="21"/>
          <w:szCs w:val="21"/>
          <w:highlight w:val="none"/>
          <w:lang w:val="en-US" w:eastAsia="zh-CN"/>
        </w:rPr>
        <w:t xml:space="preserve">有影响的</w:t>
      </w:r>
      <w:r>
        <w:rPr>
          <w:rFonts w:hint="eastAsia" w:ascii="宋体" w:hAnsi="宋体" w:eastAsia="宋体" w:cs="宋体"/>
          <w:color w:val="000000"/>
          <w:sz w:val="21"/>
          <w:szCs w:val="21"/>
          <w:highlight w:val="none"/>
        </w:rPr>
        <w:t xml:space="preserve">舆情；</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擅自更换核心人员、严重缺岗。</w:t>
      </w:r>
      <w:r>
        <w:rPr>
          <w:rFonts w:hint="eastAsia" w:ascii="宋体" w:hAnsi="宋体" w:eastAsia="宋体" w:cs="宋体"/>
          <w:color w:val="000000"/>
          <w:sz w:val="21"/>
          <w:szCs w:val="21"/>
          <w:highlight w:val="none"/>
        </w:rPr>
      </w:r>
      <w:r/>
    </w:p>
    <w:p>
      <w:pPr>
        <w:pStyle w:val="909"/>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评估</w:t>
      </w:r>
      <w:r>
        <w:rPr>
          <w:rFonts w:hint="eastAsia" w:ascii="宋体" w:hAnsi="宋体" w:eastAsia="宋体" w:cs="宋体"/>
          <w:b/>
          <w:bCs/>
          <w:color w:val="000000"/>
          <w:sz w:val="21"/>
          <w:szCs w:val="21"/>
          <w:highlight w:val="none"/>
        </w:rPr>
        <w:t xml:space="preserve">流程</w:t>
      </w:r>
      <w:r>
        <w:rPr>
          <w:rFonts w:hint="eastAsia" w:ascii="宋体" w:hAnsi="宋体" w:eastAsia="宋体" w:cs="宋体"/>
          <w:b/>
          <w:bCs/>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承接机构提交申请、自评报告及全套资料；</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街道成立</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小组（</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开展资料核查、现场查看、访谈核实；</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现场打分、出具</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意见书；</w:t>
      </w:r>
      <w:r>
        <w:rPr>
          <w:rFonts w:hint="eastAsia" w:ascii="宋体" w:hAnsi="宋体" w:eastAsia="宋体" w:cs="宋体"/>
          <w:color w:val="000000"/>
          <w:sz w:val="21"/>
          <w:szCs w:val="21"/>
          <w:highlight w:val="none"/>
          <w:lang w:val="en-US" w:eastAsia="zh-CN"/>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双方签字确认，按</w:t>
      </w:r>
      <w:r>
        <w:rPr>
          <w:rFonts w:hint="eastAsia" w:ascii="宋体" w:hAnsi="宋体" w:eastAsia="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结果</w:t>
      </w:r>
      <w:r>
        <w:rPr>
          <w:rFonts w:hint="eastAsia" w:ascii="宋体" w:hAnsi="宋体" w:eastAsia="宋体" w:cs="宋体"/>
          <w:color w:val="000000"/>
          <w:sz w:val="21"/>
          <w:szCs w:val="21"/>
          <w:highlight w:val="none"/>
          <w:lang w:val="en-US" w:eastAsia="zh-CN"/>
        </w:rPr>
        <w:t xml:space="preserve">进行验收，</w:t>
      </w:r>
      <w:r>
        <w:rPr>
          <w:rFonts w:hint="eastAsia" w:ascii="宋体" w:hAnsi="宋体" w:eastAsia="宋体" w:cs="宋体"/>
          <w:color w:val="000000"/>
          <w:sz w:val="21"/>
          <w:szCs w:val="21"/>
          <w:highlight w:val="none"/>
        </w:rPr>
        <w:t xml:space="preserve">执行款项支付或整改要求。</w:t>
      </w:r>
      <w:r>
        <w:rPr>
          <w:rFonts w:hint="eastAsia" w:ascii="宋体" w:hAnsi="宋体" w:eastAsia="宋体" w:cs="宋体"/>
          <w:color w:val="000000"/>
          <w:sz w:val="21"/>
          <w:szCs w:val="21"/>
          <w:highlight w:val="none"/>
        </w:rPr>
      </w:r>
      <w:r/>
    </w:p>
    <w:p>
      <w:pPr>
        <w:pStyle w:val="909"/>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评估</w:t>
      </w:r>
      <w:r>
        <w:rPr>
          <w:rFonts w:hint="eastAsia" w:ascii="宋体" w:hAnsi="宋体" w:eastAsia="宋体" w:cs="宋体"/>
          <w:b/>
          <w:bCs/>
          <w:color w:val="000000"/>
          <w:sz w:val="21"/>
          <w:szCs w:val="21"/>
          <w:highlight w:val="none"/>
        </w:rPr>
        <w:t xml:space="preserve">提交材料</w:t>
      </w:r>
      <w:r>
        <w:rPr>
          <w:rFonts w:hint="eastAsia" w:ascii="宋体" w:hAnsi="宋体" w:eastAsia="宋体" w:cs="宋体"/>
          <w:b/>
          <w:bCs/>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半年/年度工作总结；</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服务台账（探访、个案、小组、活动等）；</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人员花名册、资质证书、考勤表；</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宣传材料、媒体报道截图；</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财务报表、支出凭证；</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满意度调查、相关方评价记录；</w:t>
      </w:r>
      <w:r>
        <w:rPr>
          <w:rFonts w:hint="eastAsia" w:ascii="宋体" w:hAnsi="宋体" w:eastAsia="宋体" w:cs="宋体"/>
          <w:color w:val="000000"/>
          <w:sz w:val="21"/>
          <w:szCs w:val="21"/>
          <w:highlight w:val="none"/>
        </w:rPr>
      </w:r>
      <w:r/>
    </w:p>
    <w:p>
      <w:pPr>
        <w:pStyle w:val="909"/>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自查评分表。</w:t>
      </w:r>
      <w:r/>
    </w:p>
    <w:sectPr>
      <w:footerReference w:type="default" r:id="rId12"/>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imes New Roman Regular">
    <w:panose1 w:val="020206030504050203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30"/>
      <w:ind w:firstLine="639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rPr>
        <w:rFonts w:eastAsia="宋体"/>
      </w:rPr>
    </w:pP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-46989</wp:posOffset>
              </wp:positionV>
              <wp:extent cx="691515" cy="32385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91515"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6.4pt;mso-position-horizontal:absolute;mso-position-vertical-relative:text;margin-top:-3.7pt;mso-position-vertical:absolute;width:54.4pt;height:25.5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sz w:val="15"/>
        <w:szCs w:val="15"/>
      </w:rPr>
      <w:t xml:space="preserve">苏州卫康招标文件           编号：</w:t>
    </w:r>
    <w:r>
      <w:rPr>
        <w:rFonts w:hint="eastAsia" w:ascii="宋体" w:hAnsi="宋体" w:eastAsia="宋体"/>
        <w:sz w:val="15"/>
        <w:szCs w:val="15"/>
        <w:lang w:eastAsia="zh-CN"/>
      </w:rPr>
      <w:t xml:space="preserve">JSZC-320591-SZWK-G2026-0128</w:t>
    </w:r>
    <w:r>
      <w:rPr>
        <w:rFonts w:hint="eastAsia" w:ascii="宋体" w:hAnsi="宋体" w:eastAsia="宋体"/>
        <w:sz w:val="15"/>
        <w:szCs w:val="15"/>
      </w:rPr>
      <w:t xml:space="preserve">号</w:t>
    </w: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80"/>
      <w:isLgl w:val="false"/>
      <w:suff w:val="tab"/>
      <w:lvlText w:val=""/>
      <w:lvlJc w:val="left"/>
      <w:pPr>
        <w:pStyle w:val="909"/>
        <w:ind w:left="360" w:hanging="360"/>
        <w:tabs>
          <w:tab w:val="num" w:pos="360" w:leader="none"/>
        </w:tabs>
      </w:pPr>
    </w:lvl>
    <w:lvl w:ilvl="1">
      <w:start w:val="1"/>
      <w:numFmt w:val="decimal"/>
      <w:isLgl w:val="false"/>
      <w:suff w:val="tab"/>
      <w:lvlText w:val="%1.%2"/>
      <w:lvlJc w:val="left"/>
      <w:pPr>
        <w:pStyle w:val="909"/>
        <w:ind w:left="1012" w:hanging="750"/>
        <w:tabs>
          <w:tab w:val="num" w:pos="1012" w:leader="none"/>
        </w:tabs>
      </w:pPr>
    </w:lvl>
    <w:lvl w:ilvl="2">
      <w:start w:val="1"/>
      <w:numFmt w:val="decimal"/>
      <w:isLgl w:val="false"/>
      <w:suff w:val="tab"/>
      <w:lvlText w:val="%1.%2.%3"/>
      <w:lvlJc w:val="left"/>
      <w:pPr>
        <w:pStyle w:val="909"/>
        <w:ind w:left="1274" w:hanging="750"/>
        <w:tabs>
          <w:tab w:val="num" w:pos="1274" w:leader="none"/>
        </w:tabs>
      </w:pPr>
    </w:lvl>
    <w:lvl w:ilvl="3">
      <w:start w:val="1"/>
      <w:numFmt w:val="decimal"/>
      <w:isLgl w:val="false"/>
      <w:suff w:val="tab"/>
      <w:lvlText w:val="%1.%2.%3.%4"/>
      <w:lvlJc w:val="left"/>
      <w:pPr>
        <w:pStyle w:val="909"/>
        <w:ind w:left="1536" w:hanging="750"/>
        <w:tabs>
          <w:tab w:val="num" w:pos="1536" w:leader="none"/>
        </w:tabs>
      </w:pPr>
    </w:lvl>
    <w:lvl w:ilvl="4">
      <w:start w:val="1"/>
      <w:numFmt w:val="decimal"/>
      <w:isLgl w:val="false"/>
      <w:suff w:val="tab"/>
      <w:lvlText w:val="%1.%2.%3.%4.%5"/>
      <w:lvlJc w:val="left"/>
      <w:pPr>
        <w:pStyle w:val="909"/>
        <w:ind w:left="1798" w:hanging="750"/>
        <w:tabs>
          <w:tab w:val="num" w:pos="1798" w:leader="none"/>
        </w:tabs>
      </w:pPr>
    </w:lvl>
    <w:lvl w:ilvl="5">
      <w:start w:val="1"/>
      <w:numFmt w:val="decimal"/>
      <w:isLgl w:val="false"/>
      <w:suff w:val="tab"/>
      <w:lvlText w:val="%1.%2.%3.%4.%5.%6"/>
      <w:lvlJc w:val="left"/>
      <w:pPr>
        <w:pStyle w:val="909"/>
        <w:ind w:left="2060" w:hanging="750"/>
        <w:tabs>
          <w:tab w:val="num" w:pos="2060" w:leader="none"/>
        </w:tabs>
      </w:pPr>
    </w:lvl>
    <w:lvl w:ilvl="6">
      <w:start w:val="1"/>
      <w:numFmt w:val="decimal"/>
      <w:isLgl w:val="false"/>
      <w:suff w:val="tab"/>
      <w:lvlText w:val="%1.%2.%3.%4.%5.%6.%7"/>
      <w:lvlJc w:val="left"/>
      <w:pPr>
        <w:pStyle w:val="909"/>
        <w:ind w:left="2322" w:hanging="750"/>
        <w:tabs>
          <w:tab w:val="num" w:pos="2322" w:leader="none"/>
        </w:tabs>
      </w:pPr>
    </w:lvl>
    <w:lvl w:ilvl="7">
      <w:start w:val="1"/>
      <w:numFmt w:val="decimal"/>
      <w:isLgl w:val="false"/>
      <w:suff w:val="tab"/>
      <w:lvlText w:val="%1.%2.%3.%4.%5.%6.%7.%8"/>
      <w:lvlJc w:val="left"/>
      <w:pPr>
        <w:pStyle w:val="909"/>
        <w:ind w:left="2584" w:hanging="750"/>
        <w:tabs>
          <w:tab w:val="num" w:pos="2584" w:leader="none"/>
        </w:tabs>
      </w:pPr>
    </w:lvl>
    <w:lvl w:ilvl="8">
      <w:start w:val="1"/>
      <w:numFmt w:val="decimal"/>
      <w:isLgl w:val="false"/>
      <w:suff w:val="tab"/>
      <w:lvlText w:val="%1.%2.%3.%4.%5.%6.%7.%8.%9"/>
      <w:lvlJc w:val="left"/>
      <w:pPr>
        <w:pStyle w:val="909"/>
        <w:ind w:left="2846" w:hanging="750"/>
        <w:tabs>
          <w:tab w:val="num" w:pos="2846"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9"/>
    <w:next w:val="909"/>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9"/>
    <w:next w:val="909"/>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9"/>
    <w:next w:val="909"/>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9"/>
    <w:next w:val="909"/>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9"/>
    <w:next w:val="909"/>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9"/>
    <w:next w:val="909"/>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9"/>
    <w:next w:val="909"/>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9"/>
    <w:next w:val="909"/>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9"/>
    <w:next w:val="909"/>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rPr>
      <w:sz w:val="24"/>
      <w:lang w:val="en-US" w:eastAsia="zh-CN" w:bidi="ar-SA"/>
    </w:rPr>
  </w:style>
  <w:style w:type="paragraph" w:styleId="910">
    <w:name w:val="标题 1"/>
    <w:basedOn w:val="909"/>
    <w:next w:val="909"/>
    <w:link w:val="909"/>
    <w:qFormat/>
    <w:pPr>
      <w:keepLines/>
      <w:keepNext/>
      <w:spacing w:before="340" w:beforeAutospacing="0" w:after="330" w:afterAutospacing="0" w:line="576" w:lineRule="auto"/>
      <w:outlineLvl w:val="0"/>
    </w:pPr>
    <w:rPr>
      <w:rFonts w:eastAsia="楷体_GB2312"/>
      <w:b/>
      <w:sz w:val="44"/>
    </w:rPr>
  </w:style>
  <w:style w:type="paragraph" w:styleId="911">
    <w:name w:val="标题 2"/>
    <w:basedOn w:val="909"/>
    <w:next w:val="909"/>
    <w:link w:val="909"/>
    <w:qFormat/>
    <w:pPr>
      <w:jc w:val="center"/>
      <w:keepLines/>
      <w:keepNext/>
      <w:widowControl w:val="off"/>
      <w:outlineLvl w:val="1"/>
    </w:pPr>
    <w:rPr>
      <w:rFonts w:ascii="宋体" w:hAnsi="宋体" w:eastAsia="楷体_GB2312"/>
      <w:b/>
      <w:sz w:val="44"/>
    </w:rPr>
  </w:style>
  <w:style w:type="paragraph" w:styleId="912">
    <w:name w:val="标题 3"/>
    <w:basedOn w:val="909"/>
    <w:next w:val="909"/>
    <w:link w:val="909"/>
    <w:qFormat/>
    <w:pPr>
      <w:jc w:val="both"/>
      <w:keepLines/>
      <w:keepNext/>
      <w:spacing w:before="260" w:beforeAutospacing="0" w:after="260" w:afterAutospacing="0" w:line="413" w:lineRule="auto"/>
      <w:widowControl w:val="off"/>
      <w:outlineLvl w:val="2"/>
    </w:pPr>
    <w:rPr>
      <w:b/>
      <w:sz w:val="32"/>
    </w:rPr>
  </w:style>
  <w:style w:type="paragraph" w:styleId="913">
    <w:name w:val="标题 4"/>
    <w:basedOn w:val="909"/>
    <w:next w:val="918"/>
    <w:link w:val="909"/>
    <w:qFormat/>
    <w:pPr>
      <w:keepLines/>
      <w:keepNext/>
      <w:spacing w:before="280" w:after="290" w:line="372" w:lineRule="auto"/>
      <w:outlineLvl w:val="3"/>
    </w:pPr>
    <w:rPr>
      <w:rFonts w:ascii="Arial" w:hAnsi="Arial" w:eastAsia="黑体"/>
      <w:b/>
      <w:bCs/>
      <w:sz w:val="28"/>
      <w:szCs w:val="28"/>
    </w:rPr>
  </w:style>
  <w:style w:type="paragraph" w:styleId="914">
    <w:name w:val="标题 5"/>
    <w:basedOn w:val="909"/>
    <w:next w:val="909"/>
    <w:link w:val="909"/>
    <w:qFormat/>
    <w:pPr>
      <w:jc w:val="both"/>
      <w:keepNext/>
      <w:widowControl w:val="off"/>
      <w:outlineLvl w:val="4"/>
    </w:pPr>
    <w:rPr>
      <w:rFonts w:hint="eastAsia" w:ascii="宋体" w:hAnsi="宋体"/>
      <w:color w:val="000000"/>
      <w:sz w:val="28"/>
    </w:rPr>
  </w:style>
  <w:style w:type="paragraph" w:styleId="915">
    <w:name w:val="标题 6"/>
    <w:basedOn w:val="909"/>
    <w:next w:val="909"/>
    <w:link w:val="909"/>
    <w:qFormat/>
    <w:pPr>
      <w:jc w:val="both"/>
      <w:keepNext/>
      <w:widowControl w:val="off"/>
      <w:outlineLvl w:val="5"/>
    </w:pPr>
    <w:rPr>
      <w:rFonts w:hint="eastAsia" w:ascii="宋体" w:hAnsi="宋体"/>
      <w:sz w:val="28"/>
    </w:rPr>
  </w:style>
  <w:style w:type="character" w:styleId="916">
    <w:name w:val="默认段落字体"/>
    <w:next w:val="916"/>
    <w:link w:val="909"/>
  </w:style>
  <w:style w:type="table" w:styleId="917">
    <w:name w:val="普通表格"/>
    <w:next w:val="917"/>
    <w:link w:val="909"/>
    <w:semiHidden/>
    <w:tblPr/>
  </w:style>
  <w:style w:type="paragraph" w:styleId="918">
    <w:name w:val="正文缩进"/>
    <w:basedOn w:val="909"/>
    <w:next w:val="909"/>
    <w:link w:val="909"/>
    <w:pPr>
      <w:ind w:firstLine="420"/>
      <w:jc w:val="left"/>
    </w:pPr>
    <w:rPr>
      <w:rFonts w:eastAsia="楷体_GB2312"/>
      <w:sz w:val="24"/>
    </w:rPr>
  </w:style>
  <w:style w:type="paragraph" w:styleId="919">
    <w:name w:val="文档结构图"/>
    <w:basedOn w:val="909"/>
    <w:next w:val="919"/>
    <w:link w:val="909"/>
    <w:pPr>
      <w:shd w:val="clear" w:color="auto" w:fill="000080"/>
    </w:pPr>
  </w:style>
  <w:style w:type="paragraph" w:styleId="920">
    <w:name w:val="批注文字"/>
    <w:basedOn w:val="909"/>
    <w:next w:val="920"/>
    <w:link w:val="909"/>
  </w:style>
  <w:style w:type="paragraph" w:styleId="921">
    <w:name w:val="正文文本"/>
    <w:basedOn w:val="909"/>
    <w:next w:val="918"/>
    <w:link w:val="909"/>
    <w:rPr>
      <w:sz w:val="24"/>
    </w:rPr>
  </w:style>
  <w:style w:type="paragraph" w:styleId="922">
    <w:name w:val="正文文本缩进"/>
    <w:basedOn w:val="909"/>
    <w:next w:val="909"/>
    <w:link w:val="909"/>
    <w:pPr>
      <w:ind w:firstLine="425"/>
      <w:spacing w:line="360" w:lineRule="auto"/>
    </w:pPr>
    <w:rPr>
      <w:sz w:val="24"/>
    </w:rPr>
  </w:style>
  <w:style w:type="paragraph" w:styleId="923">
    <w:name w:val="文本块"/>
    <w:basedOn w:val="909"/>
    <w:next w:val="923"/>
    <w:link w:val="909"/>
    <w:pPr>
      <w:ind w:left="630" w:right="-609" w:firstLine="420"/>
      <w:spacing w:line="360" w:lineRule="auto"/>
    </w:pPr>
    <w:rPr>
      <w:rFonts w:hint="eastAsia" w:ascii="仿宋_GB2312" w:eastAsia="仿宋_GB2312"/>
    </w:rPr>
  </w:style>
  <w:style w:type="paragraph" w:styleId="924">
    <w:name w:val="纯文本"/>
    <w:basedOn w:val="909"/>
    <w:next w:val="924"/>
    <w:link w:val="925"/>
    <w:rPr>
      <w:rFonts w:ascii="宋体" w:hAnsi="Courier New" w:eastAsia="楷体_GB2312"/>
      <w:sz w:val="26"/>
    </w:rPr>
  </w:style>
  <w:style w:type="character" w:styleId="925">
    <w:name w:val="纯文本 字符"/>
    <w:next w:val="925"/>
    <w:link w:val="924"/>
    <w:rPr>
      <w:rFonts w:ascii="宋体" w:hAnsi="Courier New" w:eastAsia="楷体_GB2312"/>
      <w:sz w:val="26"/>
    </w:rPr>
  </w:style>
  <w:style w:type="paragraph" w:styleId="926">
    <w:name w:val="日期"/>
    <w:basedOn w:val="909"/>
    <w:next w:val="909"/>
    <w:link w:val="909"/>
    <w:rPr>
      <w:rFonts w:ascii="宋体" w:hAnsi="宋体" w:eastAsia="楷体_GB2312"/>
      <w:sz w:val="24"/>
    </w:rPr>
  </w:style>
  <w:style w:type="paragraph" w:styleId="927">
    <w:name w:val="正文文本缩进 2"/>
    <w:basedOn w:val="909"/>
    <w:next w:val="927"/>
    <w:link w:val="909"/>
    <w:pPr>
      <w:ind w:left="420"/>
      <w:spacing w:after="120" w:afterAutospacing="0" w:line="480" w:lineRule="auto"/>
    </w:pPr>
  </w:style>
  <w:style w:type="paragraph" w:styleId="928">
    <w:name w:val="批注框文本"/>
    <w:basedOn w:val="909"/>
    <w:next w:val="928"/>
    <w:link w:val="929"/>
    <w:rPr>
      <w:sz w:val="18"/>
    </w:rPr>
  </w:style>
  <w:style w:type="character" w:styleId="929">
    <w:name w:val="批注框文本 字符"/>
    <w:next w:val="929"/>
    <w:link w:val="928"/>
    <w:rPr>
      <w:sz w:val="18"/>
    </w:rPr>
  </w:style>
  <w:style w:type="paragraph" w:styleId="930">
    <w:name w:val="页脚"/>
    <w:basedOn w:val="909"/>
    <w:next w:val="930"/>
    <w:link w:val="931"/>
    <w:uiPriority w:val="99"/>
    <w:pPr>
      <w:jc w:val="left"/>
      <w:tabs>
        <w:tab w:val="center" w:pos="4153" w:leader="none"/>
        <w:tab w:val="right" w:pos="8306" w:leader="none"/>
      </w:tabs>
    </w:pPr>
    <w:rPr>
      <w:rFonts w:eastAsia="楷体_GB2312"/>
      <w:sz w:val="18"/>
    </w:rPr>
  </w:style>
  <w:style w:type="character" w:styleId="931">
    <w:name w:val="页脚 字符"/>
    <w:next w:val="931"/>
    <w:link w:val="930"/>
    <w:uiPriority w:val="99"/>
    <w:rPr>
      <w:rFonts w:eastAsia="楷体_GB2312"/>
      <w:sz w:val="18"/>
    </w:rPr>
  </w:style>
  <w:style w:type="paragraph" w:styleId="932">
    <w:name w:val="页眉"/>
    <w:basedOn w:val="909"/>
    <w:next w:val="932"/>
    <w:link w:val="933"/>
    <w:uiPriority w:val="99"/>
    <w:pPr>
      <w:jc w:val="center"/>
      <w:tabs>
        <w:tab w:val="center" w:pos="4153" w:leader="none"/>
        <w:tab w:val="right" w:pos="8306" w:leader="none"/>
      </w:tabs>
      <w:pBdr>
        <w:bottom w:val="single" w:color="000000" w:sz="6" w:space="1"/>
      </w:pBdr>
    </w:pPr>
    <w:rPr>
      <w:rFonts w:eastAsia="楷体_GB2312"/>
      <w:sz w:val="18"/>
    </w:rPr>
  </w:style>
  <w:style w:type="character" w:styleId="933">
    <w:name w:val="页眉 字符"/>
    <w:next w:val="933"/>
    <w:link w:val="932"/>
    <w:uiPriority w:val="99"/>
    <w:rPr>
      <w:rFonts w:eastAsia="楷体_GB2312"/>
      <w:sz w:val="18"/>
    </w:rPr>
  </w:style>
  <w:style w:type="paragraph" w:styleId="934">
    <w:name w:val="目录 1"/>
    <w:basedOn w:val="909"/>
    <w:next w:val="909"/>
    <w:link w:val="909"/>
    <w:pPr>
      <w:jc w:val="left"/>
    </w:pPr>
    <w:rPr>
      <w:rFonts w:eastAsia="楷体_GB2312"/>
      <w:sz w:val="24"/>
    </w:rPr>
  </w:style>
  <w:style w:type="paragraph" w:styleId="935">
    <w:name w:val="正文文本缩进 3"/>
    <w:basedOn w:val="909"/>
    <w:next w:val="935"/>
    <w:link w:val="909"/>
    <w:pPr>
      <w:ind w:left="420"/>
      <w:spacing w:after="120" w:afterAutospacing="0"/>
    </w:pPr>
    <w:rPr>
      <w:sz w:val="16"/>
    </w:rPr>
  </w:style>
  <w:style w:type="paragraph" w:styleId="936">
    <w:name w:val="图表目录"/>
    <w:basedOn w:val="909"/>
    <w:next w:val="909"/>
    <w:link w:val="909"/>
    <w:pPr>
      <w:ind w:left="840" w:hanging="420"/>
    </w:pPr>
    <w:rPr>
      <w:szCs w:val="24"/>
    </w:rPr>
  </w:style>
  <w:style w:type="paragraph" w:styleId="937">
    <w:name w:val="正文文本 2"/>
    <w:basedOn w:val="909"/>
    <w:next w:val="937"/>
    <w:link w:val="909"/>
    <w:pPr>
      <w:spacing w:after="120" w:afterAutospacing="0" w:line="480" w:lineRule="auto"/>
    </w:pPr>
  </w:style>
  <w:style w:type="paragraph" w:styleId="938">
    <w:name w:val="普通(网站)"/>
    <w:basedOn w:val="909"/>
    <w:next w:val="938"/>
    <w:link w:val="909"/>
    <w:pPr>
      <w:jc w:val="left"/>
      <w:spacing w:before="100" w:beforeAutospacing="1" w:after="100" w:afterAutospacing="1"/>
      <w:widowControl/>
    </w:pPr>
    <w:rPr>
      <w:rFonts w:ascii="宋体" w:hAnsi="宋体"/>
      <w:sz w:val="24"/>
    </w:rPr>
  </w:style>
  <w:style w:type="paragraph" w:styleId="939">
    <w:name w:val="索引 1"/>
    <w:basedOn w:val="909"/>
    <w:next w:val="909"/>
    <w:link w:val="909"/>
    <w:pPr>
      <w:jc w:val="both"/>
      <w:widowControl w:val="off"/>
    </w:pPr>
    <w:rPr>
      <w:rFonts w:eastAsia="楷体_GB2312"/>
      <w:sz w:val="28"/>
    </w:rPr>
  </w:style>
  <w:style w:type="paragraph" w:styleId="940">
    <w:name w:val="索引 2"/>
    <w:basedOn w:val="909"/>
    <w:next w:val="909"/>
    <w:link w:val="909"/>
    <w:pPr>
      <w:ind w:left="420"/>
      <w:jc w:val="both"/>
      <w:widowControl w:val="off"/>
    </w:pPr>
    <w:rPr>
      <w:rFonts w:eastAsia="楷体_GB2312"/>
      <w:sz w:val="28"/>
    </w:rPr>
  </w:style>
  <w:style w:type="paragraph" w:styleId="941">
    <w:name w:val="批注主题"/>
    <w:basedOn w:val="920"/>
    <w:next w:val="920"/>
    <w:link w:val="909"/>
    <w:rPr>
      <w:b/>
      <w:bCs/>
    </w:rPr>
  </w:style>
  <w:style w:type="paragraph" w:styleId="942">
    <w:name w:val="正文首行缩进"/>
    <w:next w:val="942"/>
    <w:link w:val="909"/>
    <w:pPr>
      <w:ind w:firstLine="420"/>
      <w:jc w:val="both"/>
      <w:spacing w:after="120"/>
      <w:widowControl w:val="off"/>
    </w:pPr>
    <w:rPr>
      <w:rFonts w:ascii="Times New Roman" w:hAnsi="Times New Roman" w:cs="Times New Roman"/>
      <w:sz w:val="21"/>
      <w:szCs w:val="24"/>
      <w:lang w:val="en-US" w:eastAsia="zh-CN" w:bidi="ar-SA"/>
    </w:rPr>
  </w:style>
  <w:style w:type="paragraph" w:styleId="943">
    <w:name w:val="正文首行缩进 2"/>
    <w:basedOn w:val="922"/>
    <w:next w:val="943"/>
    <w:link w:val="909"/>
    <w:pPr>
      <w:ind w:left="420" w:firstLine="210"/>
      <w:jc w:val="both"/>
      <w:spacing w:after="120" w:line="240" w:lineRule="auto"/>
      <w:widowControl w:val="off"/>
    </w:pPr>
    <w:rPr>
      <w:rFonts w:eastAsia="仿宋_GB2312"/>
      <w:sz w:val="30"/>
    </w:rPr>
  </w:style>
  <w:style w:type="table" w:styleId="944">
    <w:name w:val="网格型"/>
    <w:next w:val="944"/>
    <w:link w:val="909"/>
    <w:uiPriority w:val="59"/>
    <w:qFormat/>
    <w:rPr>
      <w:lang w:val="en-US" w:eastAsia="zh-CN" w:bidi="ar-SA"/>
    </w:rPr>
    <w:tblPr/>
  </w:style>
  <w:style w:type="character" w:styleId="945">
    <w:name w:val="要点"/>
    <w:basedOn w:val="916"/>
    <w:next w:val="945"/>
    <w:link w:val="909"/>
    <w:qFormat/>
    <w:rPr>
      <w:b/>
    </w:rPr>
  </w:style>
  <w:style w:type="character" w:styleId="946">
    <w:name w:val="页码"/>
    <w:next w:val="946"/>
    <w:link w:val="909"/>
  </w:style>
  <w:style w:type="character" w:styleId="947">
    <w:name w:val="已访问的超链接"/>
    <w:next w:val="947"/>
    <w:link w:val="909"/>
    <w:rPr>
      <w:color w:val="800080"/>
      <w:u w:val="none"/>
    </w:rPr>
  </w:style>
  <w:style w:type="character" w:styleId="948">
    <w:name w:val="HTML 定义"/>
    <w:next w:val="948"/>
    <w:link w:val="909"/>
    <w:rPr>
      <w:b w:val="0"/>
      <w:bCs w:val="0"/>
      <w:i w:val="0"/>
      <w:iCs w:val="0"/>
    </w:rPr>
  </w:style>
  <w:style w:type="character" w:styleId="949">
    <w:name w:val="HTML 打字机"/>
    <w:next w:val="949"/>
    <w:link w:val="909"/>
    <w:rPr>
      <w:rFonts w:ascii="monospace" w:hAnsi="monospace" w:eastAsia="monospace" w:cs="monospace"/>
      <w:sz w:val="20"/>
    </w:rPr>
  </w:style>
  <w:style w:type="character" w:styleId="950">
    <w:name w:val="HTML 缩写"/>
    <w:next w:val="950"/>
    <w:link w:val="909"/>
  </w:style>
  <w:style w:type="character" w:styleId="951">
    <w:name w:val="HTML 变量"/>
    <w:next w:val="951"/>
    <w:link w:val="909"/>
    <w:rPr>
      <w:b w:val="0"/>
      <w:bCs w:val="0"/>
      <w:i w:val="0"/>
      <w:iCs w:val="0"/>
    </w:rPr>
  </w:style>
  <w:style w:type="character" w:styleId="952">
    <w:name w:val="超链接"/>
    <w:next w:val="952"/>
    <w:link w:val="909"/>
    <w:rPr>
      <w:color w:val="0000ff"/>
      <w:u w:val="none"/>
    </w:rPr>
  </w:style>
  <w:style w:type="character" w:styleId="953">
    <w:name w:val="HTML 代码"/>
    <w:next w:val="953"/>
    <w:link w:val="909"/>
    <w:rPr>
      <w:rFonts w:ascii="monospace" w:hAnsi="monospace" w:eastAsia="monospace" w:cs="monospace"/>
      <w:b w:val="0"/>
      <w:bCs w:val="0"/>
      <w:i w:val="0"/>
      <w:iCs w:val="0"/>
      <w:sz w:val="20"/>
    </w:rPr>
  </w:style>
  <w:style w:type="character" w:styleId="954">
    <w:name w:val="批注引用"/>
    <w:next w:val="954"/>
    <w:link w:val="909"/>
    <w:rPr>
      <w:sz w:val="21"/>
      <w:szCs w:val="21"/>
    </w:rPr>
  </w:style>
  <w:style w:type="character" w:styleId="955">
    <w:name w:val="HTML 引文"/>
    <w:next w:val="955"/>
    <w:link w:val="909"/>
    <w:rPr>
      <w:b w:val="0"/>
      <w:bCs w:val="0"/>
      <w:i w:val="0"/>
      <w:iCs w:val="0"/>
    </w:rPr>
  </w:style>
  <w:style w:type="character" w:styleId="956">
    <w:name w:val="HTML 键盘"/>
    <w:next w:val="956"/>
    <w:link w:val="909"/>
    <w:rPr>
      <w:rFonts w:ascii="monospace" w:hAnsi="monospace" w:eastAsia="monospace" w:cs="monospace"/>
      <w:sz w:val="20"/>
    </w:rPr>
  </w:style>
  <w:style w:type="character" w:styleId="957">
    <w:name w:val="HTML 样本"/>
    <w:next w:val="957"/>
    <w:link w:val="909"/>
    <w:rPr>
      <w:rFonts w:ascii="monospace" w:hAnsi="monospace" w:eastAsia="monospace" w:cs="monospace"/>
    </w:rPr>
  </w:style>
  <w:style w:type="paragraph" w:styleId="958">
    <w:name w:val="正文文本缩进1"/>
    <w:next w:val="958"/>
    <w:link w:val="909"/>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character" w:styleId="959">
    <w:name w:val="font41"/>
    <w:next w:val="959"/>
    <w:link w:val="909"/>
    <w:qFormat/>
    <w:rPr>
      <w:rFonts w:hint="eastAsia" w:ascii="宋体" w:hAnsi="宋体" w:eastAsia="宋体" w:cs="宋体"/>
      <w:b/>
      <w:i w:val="0"/>
      <w:color w:val="000000"/>
      <w:sz w:val="24"/>
      <w:szCs w:val="24"/>
      <w:u w:val="none"/>
    </w:rPr>
  </w:style>
  <w:style w:type="character" w:styleId="960">
    <w:name w:val="font91"/>
    <w:next w:val="960"/>
    <w:link w:val="909"/>
    <w:rPr>
      <w:rFonts w:hint="eastAsia" w:ascii="宋体" w:hAnsi="宋体" w:eastAsia="宋体" w:cs="宋体"/>
      <w:i w:val="0"/>
      <w:color w:val="4874cb"/>
      <w:sz w:val="24"/>
      <w:szCs w:val="24"/>
      <w:u w:val="none"/>
    </w:rPr>
  </w:style>
  <w:style w:type="character" w:styleId="961">
    <w:name w:val="font81"/>
    <w:next w:val="961"/>
    <w:link w:val="909"/>
    <w:rPr>
      <w:rFonts w:hint="eastAsia" w:ascii="宋体" w:hAnsi="宋体" w:eastAsia="宋体" w:cs="宋体"/>
      <w:i w:val="0"/>
      <w:color w:val="0070c0"/>
      <w:sz w:val="24"/>
      <w:szCs w:val="24"/>
      <w:u w:val="none"/>
    </w:rPr>
  </w:style>
  <w:style w:type="character" w:styleId="962">
    <w:name w:val="font11"/>
    <w:next w:val="962"/>
    <w:link w:val="909"/>
    <w:rPr>
      <w:rFonts w:hint="eastAsia" w:ascii="宋体" w:hAnsi="宋体" w:eastAsia="宋体" w:cs="宋体"/>
      <w:b/>
      <w:bCs/>
      <w:i w:val="0"/>
      <w:iCs w:val="0"/>
      <w:color w:val="000000"/>
      <w:sz w:val="21"/>
      <w:szCs w:val="21"/>
      <w:u w:val="none"/>
    </w:rPr>
  </w:style>
  <w:style w:type="character" w:styleId="963">
    <w:name w:val="font51"/>
    <w:next w:val="963"/>
    <w:link w:val="909"/>
    <w:qFormat/>
    <w:rPr>
      <w:rFonts w:ascii="Times New Roman Regular" w:hAnsi="Times New Roman Regular" w:eastAsia="Times New Roman Regular" w:cs="Times New Roman Regular"/>
      <w:b/>
      <w:i w:val="0"/>
      <w:color w:val="000000"/>
      <w:sz w:val="24"/>
      <w:szCs w:val="24"/>
      <w:u w:val="none"/>
    </w:rPr>
  </w:style>
  <w:style w:type="character" w:styleId="964">
    <w:name w:val="font131"/>
    <w:next w:val="964"/>
    <w:link w:val="909"/>
    <w:rPr>
      <w:rFonts w:ascii="宋体-简" w:hAnsi="宋体-简" w:eastAsia="宋体-简" w:cs="宋体-简"/>
      <w:b/>
      <w:i w:val="0"/>
      <w:color w:val="000000"/>
      <w:sz w:val="24"/>
      <w:szCs w:val="24"/>
      <w:u w:val="none"/>
    </w:rPr>
  </w:style>
  <w:style w:type="character" w:styleId="965">
    <w:name w:val="font61"/>
    <w:next w:val="965"/>
    <w:link w:val="909"/>
    <w:rPr>
      <w:rFonts w:hint="eastAsia" w:ascii="宋体" w:hAnsi="宋体" w:eastAsia="宋体" w:cs="宋体"/>
      <w:i w:val="0"/>
      <w:color w:val="000000"/>
      <w:sz w:val="24"/>
      <w:szCs w:val="24"/>
      <w:u w:val="none"/>
    </w:rPr>
  </w:style>
  <w:style w:type="character" w:styleId="966">
    <w:name w:val="font01"/>
    <w:next w:val="966"/>
    <w:link w:val="909"/>
    <w:qFormat/>
    <w:rPr>
      <w:rFonts w:hint="eastAsia" w:ascii="宋体" w:hAnsi="宋体" w:eastAsia="宋体" w:cs="宋体"/>
      <w:i w:val="0"/>
      <w:color w:val="ff0000"/>
      <w:sz w:val="24"/>
      <w:szCs w:val="24"/>
      <w:u w:val="none"/>
    </w:rPr>
  </w:style>
  <w:style w:type="character" w:styleId="967">
    <w:name w:val="font101"/>
    <w:next w:val="967"/>
    <w:link w:val="909"/>
    <w:rPr>
      <w:rFonts w:ascii="Times New Roman Regular" w:hAnsi="Times New Roman Regular" w:eastAsia="Times New Roman Regular" w:cs="Times New Roman Regular"/>
      <w:i w:val="0"/>
      <w:color w:val="0070c0"/>
      <w:sz w:val="24"/>
      <w:szCs w:val="24"/>
      <w:u w:val="none"/>
    </w:rPr>
  </w:style>
  <w:style w:type="character" w:styleId="968">
    <w:name w:val="p141"/>
    <w:next w:val="968"/>
    <w:link w:val="909"/>
    <w:rPr>
      <w:sz w:val="21"/>
      <w:szCs w:val="21"/>
    </w:rPr>
  </w:style>
  <w:style w:type="character" w:styleId="969">
    <w:name w:val="font31"/>
    <w:next w:val="969"/>
    <w:link w:val="909"/>
    <w:qFormat/>
    <w:rPr>
      <w:rFonts w:hint="eastAsia" w:ascii="宋体" w:hAnsi="宋体" w:eastAsia="宋体" w:cs="宋体"/>
      <w:i w:val="0"/>
      <w:iCs w:val="0"/>
      <w:color w:val="000000"/>
      <w:sz w:val="20"/>
      <w:szCs w:val="20"/>
      <w:u w:val="none"/>
    </w:rPr>
  </w:style>
  <w:style w:type="character" w:styleId="970">
    <w:name w:val="styl81"/>
    <w:next w:val="970"/>
    <w:link w:val="909"/>
    <w:rPr>
      <w:sz w:val="21"/>
      <w:szCs w:val="21"/>
    </w:rPr>
  </w:style>
  <w:style w:type="character" w:styleId="971">
    <w:name w:val="font112"/>
    <w:next w:val="971"/>
    <w:link w:val="909"/>
    <w:rPr>
      <w:rFonts w:hint="eastAsia" w:ascii="宋体" w:hAnsi="宋体" w:eastAsia="宋体" w:cs="宋体"/>
      <w:b/>
      <w:i w:val="0"/>
      <w:color w:val="4874cb"/>
      <w:sz w:val="24"/>
      <w:szCs w:val="24"/>
      <w:u w:val="none"/>
    </w:rPr>
  </w:style>
  <w:style w:type="character" w:styleId="972">
    <w:name w:val="font141"/>
    <w:next w:val="972"/>
    <w:link w:val="909"/>
    <w:rPr>
      <w:rFonts w:ascii="Times New Roman Regular" w:hAnsi="Times New Roman Regular" w:eastAsia="Times New Roman Regular" w:cs="Times New Roman Regular"/>
      <w:i w:val="0"/>
      <w:color w:val="000000"/>
      <w:sz w:val="24"/>
      <w:szCs w:val="24"/>
      <w:u w:val="none"/>
    </w:rPr>
  </w:style>
  <w:style w:type="character" w:styleId="973">
    <w:name w:val="无间隔 字符"/>
    <w:next w:val="973"/>
    <w:link w:val="974"/>
    <w:uiPriority w:val="1"/>
    <w:rPr>
      <w:sz w:val="22"/>
      <w:szCs w:val="22"/>
      <w:lang w:val="en-US" w:eastAsia="zh-CN" w:bidi="ar-SA"/>
    </w:rPr>
  </w:style>
  <w:style w:type="paragraph" w:styleId="974">
    <w:name w:val="无间隔"/>
    <w:next w:val="974"/>
    <w:link w:val="973"/>
    <w:uiPriority w:val="1"/>
    <w:qFormat/>
    <w:rPr>
      <w:sz w:val="22"/>
      <w:szCs w:val="22"/>
      <w:lang w:val="en-US" w:eastAsia="zh-CN" w:bidi="ar-SA"/>
    </w:rPr>
  </w:style>
  <w:style w:type="character" w:styleId="975">
    <w:name w:val="aa1 l01 style8"/>
    <w:next w:val="975"/>
    <w:link w:val="909"/>
  </w:style>
  <w:style w:type="character" w:styleId="976">
    <w:name w:val="font71"/>
    <w:next w:val="976"/>
    <w:link w:val="909"/>
    <w:rPr>
      <w:rFonts w:ascii="宋体-简" w:hAnsi="宋体-简" w:eastAsia="宋体-简" w:cs="宋体-简"/>
      <w:i w:val="0"/>
      <w:color w:val="000000"/>
      <w:sz w:val="24"/>
      <w:szCs w:val="24"/>
      <w:u w:val="none"/>
    </w:rPr>
  </w:style>
  <w:style w:type="character" w:styleId="977">
    <w:name w:val="font21"/>
    <w:next w:val="977"/>
    <w:link w:val="909"/>
    <w:rPr>
      <w:rFonts w:hint="eastAsia" w:ascii="宋体" w:hAnsi="宋体" w:eastAsia="宋体" w:cs="宋体"/>
      <w:i w:val="0"/>
      <w:iCs w:val="0"/>
      <w:color w:val="000000"/>
      <w:sz w:val="21"/>
      <w:szCs w:val="21"/>
      <w:u w:val="none"/>
    </w:rPr>
  </w:style>
  <w:style w:type="paragraph" w:styleId="978">
    <w:name w:val="NRSection"/>
    <w:basedOn w:val="909"/>
    <w:next w:val="978"/>
    <w:link w:val="909"/>
    <w:pPr>
      <w:outlineLvl w:val="4"/>
    </w:pPr>
    <w:rPr>
      <w:b/>
    </w:rPr>
  </w:style>
  <w:style w:type="paragraph" w:styleId="979">
    <w:name w:val="纯文本21"/>
    <w:basedOn w:val="909"/>
    <w:next w:val="979"/>
    <w:link w:val="909"/>
    <w:qFormat/>
    <w:rPr>
      <w:rFonts w:ascii="宋体" w:hAnsi="Courier New"/>
      <w:sz w:val="26"/>
      <w:szCs w:val="20"/>
    </w:rPr>
  </w:style>
  <w:style w:type="paragraph" w:styleId="980">
    <w:name w:val=" Char Char Char"/>
    <w:basedOn w:val="909"/>
    <w:next w:val="980"/>
    <w:link w:val="909"/>
    <w:pPr>
      <w:numPr>
        <w:ilvl w:val="0"/>
        <w:numId w:val="1"/>
      </w:numPr>
      <w:jc w:val="both"/>
      <w:widowControl w:val="off"/>
      <w:tabs>
        <w:tab w:val="left" w:pos="840" w:leader="none"/>
      </w:tabs>
    </w:pPr>
  </w:style>
  <w:style w:type="paragraph" w:styleId="981">
    <w:name w:val="_Style 12"/>
    <w:basedOn w:val="919"/>
    <w:next w:val="981"/>
    <w:link w:val="909"/>
    <w:pPr>
      <w:jc w:val="both"/>
      <w:spacing w:line="360" w:lineRule="auto"/>
      <w:widowControl w:val="off"/>
    </w:pPr>
    <w:rPr>
      <w:sz w:val="21"/>
    </w:rPr>
  </w:style>
  <w:style w:type="paragraph" w:styleId="982">
    <w:name w:val="font6"/>
    <w:basedOn w:val="909"/>
    <w:next w:val="982"/>
    <w:link w:val="909"/>
    <w:pPr>
      <w:spacing w:before="100" w:beforeAutospacing="1" w:after="100" w:afterAutospacing="1"/>
    </w:pPr>
    <w:rPr>
      <w:rFonts w:hint="eastAsia" w:ascii="宋体" w:hAnsi="宋体"/>
      <w:sz w:val="20"/>
    </w:rPr>
  </w:style>
  <w:style w:type="paragraph" w:styleId="983">
    <w:name w:val="文章总标题"/>
    <w:basedOn w:val="909"/>
    <w:next w:val="909"/>
    <w:link w:val="909"/>
    <w:pPr>
      <w:jc w:val="center"/>
      <w:spacing w:before="566" w:after="544" w:line="566" w:lineRule="atLeast"/>
    </w:pPr>
    <w:rPr>
      <w:rFonts w:ascii="Arial" w:eastAsia="黑体"/>
      <w:color w:val="000000"/>
      <w:sz w:val="54"/>
    </w:rPr>
  </w:style>
  <w:style w:type="paragraph" w:styleId="984">
    <w:name w:val="xl36"/>
    <w:basedOn w:val="909"/>
    <w:next w:val="984"/>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985">
    <w:name w:val=" Char Char Char1 Char Char Char Char"/>
    <w:basedOn w:val="909"/>
    <w:next w:val="985"/>
    <w:link w:val="909"/>
    <w:pPr>
      <w:spacing w:after="160" w:line="240" w:lineRule="exact"/>
    </w:pPr>
  </w:style>
  <w:style w:type="paragraph" w:styleId="986">
    <w:name w:val="font8"/>
    <w:basedOn w:val="909"/>
    <w:next w:val="986"/>
    <w:link w:val="909"/>
    <w:pPr>
      <w:spacing w:before="100" w:beforeAutospacing="1" w:after="100" w:afterAutospacing="1"/>
    </w:pPr>
    <w:rPr>
      <w:rFonts w:hint="eastAsia" w:ascii="宋体" w:hAnsi="宋体"/>
      <w:b/>
      <w:bCs/>
      <w:sz w:val="20"/>
    </w:rPr>
  </w:style>
  <w:style w:type="paragraph" w:styleId="987">
    <w:name w:val="正文1"/>
    <w:basedOn w:val="909"/>
    <w:next w:val="909"/>
    <w:link w:val="909"/>
    <w:qFormat/>
    <w:pPr>
      <w:ind w:left="420" w:firstLine="527"/>
      <w:jc w:val="both"/>
      <w:spacing w:before="120" w:line="360" w:lineRule="auto"/>
      <w:widowControl w:val="off"/>
    </w:pPr>
    <w:rPr>
      <w:rFonts w:ascii="宋体" w:hAnsi="宋体"/>
    </w:rPr>
  </w:style>
  <w:style w:type="paragraph" w:styleId="988">
    <w:name w:val="xl31"/>
    <w:basedOn w:val="909"/>
    <w:next w:val="988"/>
    <w:link w:val="909"/>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989">
    <w:name w:val="图"/>
    <w:basedOn w:val="909"/>
    <w:next w:val="989"/>
    <w:link w:val="909"/>
    <w:pPr>
      <w:jc w:val="center"/>
      <w:keepNext/>
      <w:spacing w:before="60" w:after="60" w:line="300" w:lineRule="auto"/>
      <w:widowControl w:val="off"/>
    </w:pPr>
    <w:rPr>
      <w:spacing w:val="20"/>
    </w:rPr>
  </w:style>
  <w:style w:type="paragraph" w:styleId="990">
    <w:name w:val="_Style 5"/>
    <w:basedOn w:val="919"/>
    <w:next w:val="990"/>
    <w:link w:val="909"/>
    <w:pPr>
      <w:spacing w:line="360" w:lineRule="auto"/>
    </w:pPr>
    <w:rPr>
      <w:szCs w:val="24"/>
    </w:rPr>
  </w:style>
  <w:style w:type="paragraph" w:styleId="991">
    <w:name w:val="默认段落字体 Para Char Char Char Char Char Char Char Char Char1 Char Char Char Char"/>
    <w:basedOn w:val="909"/>
    <w:next w:val="991"/>
    <w:link w:val="909"/>
    <w:pPr>
      <w:jc w:val="both"/>
      <w:widowControl w:val="off"/>
    </w:pPr>
    <w:rPr>
      <w:rFonts w:ascii="Tahoma" w:hAnsi="Tahoma"/>
    </w:rPr>
  </w:style>
  <w:style w:type="paragraph" w:styleId="992">
    <w:name w:val="xl33"/>
    <w:basedOn w:val="909"/>
    <w:next w:val="992"/>
    <w:link w:val="909"/>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993">
    <w:name w:val="xl26"/>
    <w:basedOn w:val="909"/>
    <w:next w:val="993"/>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94">
    <w:name w:val="List Paragraph"/>
    <w:basedOn w:val="909"/>
    <w:next w:val="994"/>
    <w:link w:val="909"/>
    <w:pPr>
      <w:ind w:firstLine="420"/>
      <w:jc w:val="both"/>
      <w:widowControl w:val="off"/>
    </w:pPr>
    <w:rPr>
      <w:rFonts w:ascii="Calibri" w:hAnsi="Calibri"/>
      <w:sz w:val="21"/>
      <w:szCs w:val="22"/>
    </w:rPr>
  </w:style>
  <w:style w:type="paragraph" w:styleId="995">
    <w:name w:val="xl35"/>
    <w:basedOn w:val="909"/>
    <w:next w:val="995"/>
    <w:link w:val="909"/>
    <w:pPr>
      <w:jc w:val="right"/>
      <w:spacing w:before="100" w:beforeAutospacing="1" w:after="100" w:afterAutospacing="1"/>
    </w:pPr>
    <w:rPr>
      <w:rFonts w:ascii="宋体" w:hAnsi="宋体"/>
      <w:sz w:val="18"/>
    </w:rPr>
  </w:style>
  <w:style w:type="paragraph" w:styleId="996">
    <w:name w:val="纯文本2"/>
    <w:basedOn w:val="909"/>
    <w:next w:val="996"/>
    <w:link w:val="909"/>
    <w:rPr>
      <w:rFonts w:ascii="宋体" w:hAnsi="Courier New" w:eastAsia="楷体_GB2312"/>
      <w:sz w:val="26"/>
    </w:rPr>
  </w:style>
  <w:style w:type="paragraph" w:styleId="997">
    <w:name w:val="正文文本 Char Char"/>
    <w:basedOn w:val="909"/>
    <w:next w:val="997"/>
    <w:link w:val="909"/>
    <w:pPr>
      <w:jc w:val="center"/>
    </w:pPr>
  </w:style>
  <w:style w:type="paragraph" w:styleId="998">
    <w:name w:val="Table Text"/>
    <w:next w:val="998"/>
    <w:link w:val="909"/>
    <w:semiHidden/>
    <w:qFormat/>
    <w:rPr>
      <w:rFonts w:eastAsia="Arial"/>
      <w:color w:val="000000"/>
      <w:sz w:val="21"/>
      <w:szCs w:val="21"/>
      <w:lang w:val="en-US" w:eastAsia="en-US" w:bidi="ar-SA"/>
    </w:rPr>
  </w:style>
  <w:style w:type="paragraph" w:styleId="999">
    <w:name w:val="纯文本1"/>
    <w:basedOn w:val="909"/>
    <w:next w:val="999"/>
    <w:link w:val="909"/>
    <w:rPr>
      <w:rFonts w:ascii="宋体" w:hAnsi="Courier New" w:eastAsia="楷体_GB2312"/>
      <w:sz w:val="26"/>
    </w:rPr>
  </w:style>
  <w:style w:type="paragraph" w:styleId="1000">
    <w:name w:val="xl29"/>
    <w:basedOn w:val="909"/>
    <w:next w:val="1000"/>
    <w:link w:val="909"/>
    <w:pPr>
      <w:spacing w:before="100" w:beforeAutospacing="1" w:after="100" w:afterAutospacing="1"/>
      <w:pBdr>
        <w:top w:val="single" w:color="000000" w:sz="4" w:space="0"/>
      </w:pBdr>
    </w:pPr>
    <w:rPr>
      <w:rFonts w:ascii="宋体" w:hAnsi="宋体"/>
      <w:sz w:val="20"/>
    </w:rPr>
  </w:style>
  <w:style w:type="paragraph" w:styleId="1001">
    <w:name w:val="xl34"/>
    <w:basedOn w:val="909"/>
    <w:next w:val="1001"/>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02">
    <w:name w:val=" Char1"/>
    <w:basedOn w:val="909"/>
    <w:next w:val="1002"/>
    <w:link w:val="909"/>
    <w:pPr>
      <w:numPr>
        <w:ilvl w:val="0"/>
        <w:numId w:val="1"/>
      </w:numPr>
      <w:jc w:val="both"/>
      <w:widowControl w:val="off"/>
      <w:tabs>
        <w:tab w:val="left" w:pos="360" w:leader="none"/>
      </w:tabs>
    </w:pPr>
  </w:style>
  <w:style w:type="paragraph" w:styleId="1003">
    <w:name w:val=" Char Char Char Char Char Char Char Char Char1 Char"/>
    <w:basedOn w:val="919"/>
    <w:next w:val="1003"/>
    <w:link w:val="909"/>
    <w:pPr>
      <w:jc w:val="both"/>
      <w:spacing w:line="360" w:lineRule="auto"/>
      <w:widowControl w:val="off"/>
    </w:pPr>
    <w:rPr>
      <w:rFonts w:ascii="Tahoma" w:hAnsi="Tahoma"/>
      <w:szCs w:val="24"/>
    </w:rPr>
  </w:style>
  <w:style w:type="paragraph" w:styleId="1004">
    <w:name w:val="Default Paragraph Font Para Char"/>
    <w:basedOn w:val="909"/>
    <w:next w:val="1004"/>
    <w:link w:val="909"/>
    <w:pPr>
      <w:spacing w:after="160" w:line="240" w:lineRule="exact"/>
    </w:pPr>
    <w:rPr>
      <w:rFonts w:ascii="Verdana" w:hAnsi="Verdana"/>
      <w:sz w:val="20"/>
      <w:lang w:eastAsia="en-US"/>
    </w:rPr>
  </w:style>
  <w:style w:type="paragraph" w:styleId="1005">
    <w:name w:val="Normal1"/>
    <w:next w:val="1005"/>
    <w:link w:val="909"/>
    <w:qFormat/>
    <w:pPr>
      <w:ind w:firstLine="200"/>
      <w:jc w:val="both"/>
      <w:widowControl w:val="off"/>
    </w:pPr>
    <w:rPr>
      <w:rFonts w:ascii="Times New Roman" w:hAnsi="Times New Roman" w:eastAsia="仿宋_GB2312" w:cs="Times New Roman"/>
      <w:sz w:val="24"/>
      <w:lang w:val="en-US" w:eastAsia="zh-CN" w:bidi="ar-SA"/>
    </w:rPr>
  </w:style>
  <w:style w:type="paragraph" w:styleId="1006">
    <w:name w:val="xl24"/>
    <w:basedOn w:val="909"/>
    <w:next w:val="1006"/>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07">
    <w:name w:val=" Char1 Char Char Char"/>
    <w:basedOn w:val="909"/>
    <w:next w:val="1007"/>
    <w:link w:val="909"/>
    <w:pPr>
      <w:jc w:val="both"/>
      <w:widowControl w:val="off"/>
    </w:pPr>
    <w:rPr>
      <w:rFonts w:ascii="Tahoma" w:hAnsi="Tahoma"/>
    </w:rPr>
  </w:style>
  <w:style w:type="paragraph" w:styleId="1008">
    <w:name w:val="_Style 91"/>
    <w:next w:val="1008"/>
    <w:link w:val="909"/>
    <w:uiPriority w:val="99"/>
    <w:qFormat/>
    <w:pPr>
      <w:ind w:firstLine="420"/>
      <w:jc w:val="both"/>
      <w:widowControl w:val="off"/>
    </w:pPr>
    <w:rPr>
      <w:rFonts w:ascii="Calibri" w:hAnsi="Calibri"/>
      <w:sz w:val="21"/>
      <w:szCs w:val="22"/>
      <w:lang w:val="en-US" w:eastAsia="zh-CN" w:bidi="ar-SA"/>
    </w:rPr>
  </w:style>
  <w:style w:type="paragraph" w:styleId="1009">
    <w:name w:val="修订"/>
    <w:next w:val="1009"/>
    <w:link w:val="909"/>
    <w:uiPriority w:val="99"/>
    <w:unhideWhenUsed/>
    <w:rPr>
      <w:sz w:val="24"/>
      <w:lang w:val="en-US" w:eastAsia="zh-CN" w:bidi="ar-SA"/>
    </w:rPr>
  </w:style>
  <w:style w:type="paragraph" w:styleId="1010">
    <w:name w:val="Char"/>
    <w:basedOn w:val="909"/>
    <w:next w:val="1010"/>
    <w:link w:val="909"/>
    <w:pPr>
      <w:ind w:firstLine="200"/>
      <w:jc w:val="both"/>
      <w:spacing w:line="360" w:lineRule="auto"/>
      <w:widowControl w:val="off"/>
    </w:pPr>
    <w:rPr>
      <w:rFonts w:ascii="Tahoma" w:hAnsi="Tahoma"/>
    </w:rPr>
  </w:style>
  <w:style w:type="paragraph" w:styleId="1011">
    <w:name w:val="xl28"/>
    <w:basedOn w:val="909"/>
    <w:next w:val="1011"/>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2">
    <w:name w:val="xl30"/>
    <w:basedOn w:val="909"/>
    <w:next w:val="1012"/>
    <w:link w:val="909"/>
    <w:pPr>
      <w:jc w:val="center"/>
      <w:spacing w:before="100" w:beforeAutospacing="1" w:after="100" w:afterAutospacing="1"/>
    </w:pPr>
    <w:rPr>
      <w:rFonts w:ascii="宋体" w:hAnsi="宋体"/>
      <w:b/>
      <w:bCs/>
      <w:sz w:val="28"/>
      <w:szCs w:val="28"/>
    </w:rPr>
  </w:style>
  <w:style w:type="paragraph" w:styleId="1013">
    <w:name w:val="纯文本3"/>
    <w:basedOn w:val="909"/>
    <w:next w:val="1013"/>
    <w:link w:val="909"/>
    <w:qFormat/>
    <w:rPr>
      <w:rFonts w:ascii="宋体" w:hAnsi="Courier New" w:eastAsia="楷体_GB2312"/>
      <w:sz w:val="26"/>
      <w:szCs w:val="20"/>
    </w:rPr>
  </w:style>
  <w:style w:type="paragraph" w:styleId="1014">
    <w:name w:val="font10"/>
    <w:basedOn w:val="909"/>
    <w:next w:val="1014"/>
    <w:link w:val="909"/>
    <w:pPr>
      <w:spacing w:before="100" w:beforeAutospacing="1" w:after="100" w:afterAutospacing="1"/>
    </w:pPr>
    <w:rPr>
      <w:b/>
      <w:bCs/>
      <w:sz w:val="20"/>
    </w:rPr>
  </w:style>
  <w:style w:type="paragraph" w:styleId="1015">
    <w:name w:val="xl25"/>
    <w:basedOn w:val="909"/>
    <w:next w:val="1015"/>
    <w:link w:val="90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16">
    <w:name w:val=" Char"/>
    <w:basedOn w:val="909"/>
    <w:next w:val="1016"/>
    <w:link w:val="909"/>
    <w:pPr>
      <w:numPr>
        <w:ilvl w:val="0"/>
        <w:numId w:val="1"/>
      </w:numPr>
      <w:jc w:val="both"/>
      <w:widowControl w:val="off"/>
      <w:tabs>
        <w:tab w:val="left" w:pos="360" w:leader="none"/>
      </w:tabs>
    </w:pPr>
    <w:rPr>
      <w:szCs w:val="24"/>
    </w:rPr>
  </w:style>
  <w:style w:type="paragraph" w:styleId="1017">
    <w:name w:val="xl22"/>
    <w:basedOn w:val="909"/>
    <w:next w:val="1017"/>
    <w:link w:val="909"/>
    <w:pPr>
      <w:jc w:val="center"/>
      <w:spacing w:before="100" w:beforeAutospacing="1" w:after="100" w:afterAutospacing="1"/>
    </w:pPr>
    <w:rPr>
      <w:rFonts w:ascii="宋体" w:hAnsi="宋体"/>
      <w:sz w:val="20"/>
    </w:rPr>
  </w:style>
  <w:style w:type="paragraph" w:styleId="1018">
    <w:name w:val="正文首行缩进 21"/>
    <w:next w:val="918"/>
    <w:link w:val="909"/>
    <w:pPr>
      <w:ind w:firstLine="420"/>
      <w:jc w:val="both"/>
      <w:spacing w:line="300" w:lineRule="auto"/>
      <w:widowControl w:val="off"/>
    </w:pPr>
    <w:rPr>
      <w:rFonts w:ascii="宋体" w:hAnsi="Times New Roman" w:eastAsia="楷体_GB2312" w:cs="Times New Roman"/>
      <w:sz w:val="28"/>
      <w:szCs w:val="28"/>
      <w:lang w:val="en-US" w:eastAsia="zh-CN" w:bidi="ar-SA"/>
    </w:rPr>
  </w:style>
  <w:style w:type="paragraph" w:styleId="1019">
    <w:name w:val="xl23"/>
    <w:basedOn w:val="909"/>
    <w:next w:val="1019"/>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0">
    <w:name w:val="H-TextFormat"/>
    <w:next w:val="1020"/>
    <w:link w:val="909"/>
    <w:rPr>
      <w:sz w:val="22"/>
      <w:lang w:val="en-GB" w:eastAsia="en-US" w:bidi="ar-SA"/>
    </w:rPr>
  </w:style>
  <w:style w:type="paragraph" w:styleId="1021">
    <w:name w:val="Plain Text1"/>
    <w:next w:val="1021"/>
    <w:link w:val="909"/>
    <w:qFormat/>
    <w:rPr>
      <w:rFonts w:ascii="宋体" w:hAnsi="Courier New" w:eastAsia="楷体_GB2312"/>
      <w:sz w:val="26"/>
      <w:lang w:val="en-US" w:eastAsia="zh-CN" w:bidi="ar-SA"/>
    </w:rPr>
  </w:style>
  <w:style w:type="paragraph" w:styleId="1022">
    <w:name w:val="纯文本11"/>
    <w:basedOn w:val="909"/>
    <w:next w:val="1022"/>
    <w:link w:val="909"/>
    <w:qFormat/>
    <w:rPr>
      <w:rFonts w:ascii="宋体" w:hAnsi="Courier New" w:eastAsia="楷体_GB2312"/>
      <w:sz w:val="26"/>
    </w:rPr>
  </w:style>
  <w:style w:type="paragraph" w:styleId="1023">
    <w:name w:val="列表段落"/>
    <w:basedOn w:val="909"/>
    <w:next w:val="1023"/>
    <w:link w:val="909"/>
    <w:uiPriority w:val="34"/>
    <w:qFormat/>
    <w:pPr>
      <w:ind w:firstLine="420"/>
      <w:jc w:val="both"/>
      <w:widowControl w:val="off"/>
    </w:pPr>
    <w:rPr>
      <w:rFonts w:ascii="Calibri" w:hAnsi="Calibri" w:eastAsia="宋体" w:cs="Times New Roman"/>
      <w:sz w:val="21"/>
      <w:szCs w:val="22"/>
    </w:rPr>
  </w:style>
  <w:style w:type="paragraph" w:styleId="1024">
    <w:name w:val=" Char Char Char Char Char Char"/>
    <w:basedOn w:val="919"/>
    <w:next w:val="1024"/>
    <w:link w:val="909"/>
    <w:pPr>
      <w:jc w:val="both"/>
      <w:spacing w:line="360" w:lineRule="auto"/>
      <w:widowControl w:val="off"/>
    </w:pPr>
    <w:rPr>
      <w:rFonts w:ascii="Tahoma" w:hAnsi="Tahoma"/>
    </w:rPr>
  </w:style>
  <w:style w:type="paragraph" w:styleId="1025">
    <w:name w:val="列出段落3"/>
    <w:basedOn w:val="909"/>
    <w:next w:val="1025"/>
    <w:link w:val="909"/>
    <w:uiPriority w:val="99"/>
    <w:unhideWhenUsed/>
    <w:qFormat/>
    <w:pPr>
      <w:ind w:firstLine="420"/>
    </w:pPr>
  </w:style>
  <w:style w:type="paragraph" w:styleId="1026">
    <w:name w:val="纯文本111"/>
    <w:next w:val="1026"/>
    <w:link w:val="909"/>
    <w:qFormat/>
    <w:pPr>
      <w:jc w:val="both"/>
      <w:widowControl w:val="off"/>
    </w:pPr>
    <w:rPr>
      <w:rFonts w:ascii="宋体" w:hAnsi="Courier New" w:eastAsia="楷体_GB2312" w:cs="Times New Roman"/>
      <w:sz w:val="28"/>
      <w:lang w:val="en-US" w:eastAsia="zh-CN" w:bidi="ar-SA"/>
    </w:rPr>
  </w:style>
  <w:style w:type="paragraph" w:styleId="1027">
    <w:name w:val="font9"/>
    <w:basedOn w:val="909"/>
    <w:next w:val="1027"/>
    <w:link w:val="909"/>
    <w:pPr>
      <w:spacing w:before="100" w:beforeAutospacing="1" w:after="100" w:afterAutospacing="1"/>
    </w:pPr>
    <w:rPr>
      <w:sz w:val="20"/>
    </w:rPr>
  </w:style>
  <w:style w:type="paragraph" w:styleId="1028">
    <w:name w:val="font5"/>
    <w:basedOn w:val="909"/>
    <w:next w:val="1028"/>
    <w:link w:val="909"/>
    <w:pPr>
      <w:spacing w:before="100" w:beforeAutospacing="1" w:after="100" w:afterAutospacing="1"/>
    </w:pPr>
    <w:rPr>
      <w:rFonts w:hint="eastAsia" w:ascii="宋体" w:hAnsi="宋体"/>
      <w:sz w:val="18"/>
    </w:rPr>
  </w:style>
  <w:style w:type="paragraph" w:styleId="1029">
    <w:name w:val="列出段落2"/>
    <w:basedOn w:val="909"/>
    <w:next w:val="1029"/>
    <w:link w:val="909"/>
    <w:uiPriority w:val="99"/>
    <w:unhideWhenUsed/>
    <w:qFormat/>
    <w:pPr>
      <w:ind w:firstLine="420"/>
    </w:pPr>
  </w:style>
  <w:style w:type="paragraph" w:styleId="1030">
    <w:name w:val="font7"/>
    <w:basedOn w:val="909"/>
    <w:next w:val="1030"/>
    <w:link w:val="909"/>
    <w:pPr>
      <w:spacing w:before="100" w:beforeAutospacing="1" w:after="100" w:afterAutospacing="1"/>
    </w:pPr>
    <w:rPr>
      <w:sz w:val="20"/>
    </w:rPr>
  </w:style>
  <w:style w:type="paragraph" w:styleId="1031">
    <w:name w:val="Andy_正文"/>
    <w:basedOn w:val="909"/>
    <w:next w:val="1031"/>
    <w:link w:val="909"/>
    <w:qFormat/>
    <w:pPr>
      <w:ind w:firstLine="480"/>
      <w:jc w:val="both"/>
      <w:spacing w:line="360" w:lineRule="auto"/>
      <w:widowControl w:val="off"/>
    </w:pPr>
    <w:rPr>
      <w:rFonts w:ascii="Calibri" w:hAnsi="Calibri"/>
    </w:rPr>
  </w:style>
  <w:style w:type="paragraph" w:styleId="1032">
    <w:name w:val="Plain Text"/>
    <w:basedOn w:val="909"/>
    <w:next w:val="1032"/>
    <w:link w:val="909"/>
    <w:rPr>
      <w:rFonts w:ascii="宋体" w:hAnsi="Courier New" w:eastAsia="楷体_GB2312"/>
      <w:sz w:val="26"/>
    </w:rPr>
  </w:style>
  <w:style w:type="paragraph" w:styleId="1033">
    <w:name w:val="Char Char Char"/>
    <w:basedOn w:val="909"/>
    <w:next w:val="1033"/>
    <w:link w:val="909"/>
    <w:pPr>
      <w:numPr>
        <w:ilvl w:val="0"/>
        <w:numId w:val="2"/>
      </w:numPr>
      <w:jc w:val="both"/>
      <w:widowControl w:val="off"/>
      <w:tabs>
        <w:tab w:val="left" w:pos="840" w:leader="none"/>
      </w:tabs>
    </w:pPr>
  </w:style>
  <w:style w:type="paragraph" w:styleId="1034">
    <w:name w:val="xl27"/>
    <w:basedOn w:val="909"/>
    <w:next w:val="1034"/>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35">
    <w:name w:val="xl32"/>
    <w:basedOn w:val="909"/>
    <w:next w:val="1035"/>
    <w:link w:val="909"/>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036">
    <w:name w:val="普通(网站)1"/>
    <w:next w:val="1036"/>
    <w:link w:val="909"/>
    <w:qFormat/>
    <w:pPr>
      <w:spacing w:before="100" w:after="100"/>
      <w:widowControl w:val="off"/>
      <w:framePr w:wrap="around" w:vAnchor="margin" w:hAnchor="text" w:yAlign="top"/>
    </w:pPr>
    <w:rPr>
      <w:rFonts w:eastAsia="Calibri" w:cs="Calibri"/>
      <w:color w:val="000000"/>
      <w:sz w:val="24"/>
      <w:szCs w:val="24"/>
      <w:lang w:val="en-US" w:eastAsia="zh-CN" w:bidi="ar-SA"/>
    </w:rPr>
  </w:style>
  <w:style w:type="table" w:styleId="1037">
    <w:name w:val="Table Normal"/>
    <w:next w:val="1037"/>
    <w:link w:val="909"/>
    <w:unhideWhenUsed/>
    <w:qFormat/>
    <w:rPr>
      <w:lang w:val="en-US" w:eastAsia="zh-CN" w:bidi="ar-SA"/>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郇为凯</cp:lastModifiedBy>
  <cp:revision>8</cp:revision>
  <dcterms:created xsi:type="dcterms:W3CDTF">2020-09-08T09:28:00Z</dcterms:created>
  <dcterms:modified xsi:type="dcterms:W3CDTF">2026-05-19T08:43:20Z</dcterms:modified>
</cp:coreProperties>
</file>