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eastAsia="黑体"/>
          <w:b/>
          <w:bCs/>
          <w:sz w:val="84"/>
        </w:rPr>
      </w:pPr>
      <w:r>
        <w:rPr>
          <w:rFonts w:hint="eastAsia" w:eastAsia="黑体"/>
          <w:b/>
          <w:bCs/>
          <w:sz w:val="84"/>
        </w:rPr>
      </w:r>
      <w:r/>
    </w:p>
    <w:p>
      <w:pPr>
        <w:pStyle w:val="1037"/>
        <w:ind w:firstLine="0"/>
        <w:jc w:val="center"/>
        <w:rPr>
          <w:rFonts w:hint="eastAsia" w:ascii="黑体" w:hAnsi="黑体" w:eastAsia="黑体" w:cs="方正小标宋_GBK"/>
          <w:sz w:val="84"/>
          <w:szCs w:val="84"/>
        </w:rPr>
      </w:pPr>
      <w:r>
        <w:rPr>
          <w:rFonts w:hint="eastAsia" w:ascii="黑体" w:hAnsi="黑体" w:eastAsia="黑体" w:cs="方正小标宋_GBK"/>
          <w:sz w:val="84"/>
          <w:szCs w:val="84"/>
        </w:rPr>
        <w:t xml:space="preserve">招　标　文　件</w:t>
      </w:r>
      <w:r/>
    </w:p>
    <w:p>
      <w:pPr>
        <w:pStyle w:val="1037"/>
        <w:ind w:firstLine="2249"/>
        <w:rPr>
          <w:rFonts w:hint="eastAsia"/>
          <w:b/>
          <w:bCs/>
          <w:sz w:val="32"/>
        </w:rPr>
      </w:pPr>
      <w:r>
        <w:rPr>
          <w:rFonts w:hint="eastAsia"/>
          <w:b/>
          <w:bCs/>
          <w:sz w:val="32"/>
        </w:rPr>
      </w:r>
      <w:r/>
    </w:p>
    <w:p>
      <w:pPr>
        <w:pStyle w:val="949"/>
        <w:ind w:firstLine="640"/>
        <w:jc w:val="left"/>
        <w:spacing w:before="120" w:after="120"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项目名称：江苏省公安厅二级主干网及本地线路</w:t>
      </w:r>
      <w:r/>
    </w:p>
    <w:p>
      <w:pPr>
        <w:pStyle w:val="949"/>
        <w:ind w:firstLine="640"/>
        <w:jc w:val="left"/>
        <w:spacing w:before="120" w:after="120" w:line="660" w:lineRule="exact"/>
        <w:rPr>
          <w:rFonts w:hint="eastAsia"/>
          <w:b/>
          <w:sz w:val="28"/>
          <w:szCs w:val="28"/>
        </w:rPr>
      </w:pPr>
      <w:r>
        <w:rPr>
          <w:rFonts w:hint="eastAsia" w:ascii="方正黑体_GBK" w:hAnsi="方正黑体_GBK" w:eastAsia="方正黑体_GBK" w:cs="方正黑体_GBK"/>
          <w:sz w:val="32"/>
          <w:szCs w:val="32"/>
        </w:rPr>
        <w:t xml:space="preserve">采购编号：</w:t>
      </w:r>
      <w:r>
        <w:rPr>
          <w:rFonts w:eastAsia="方正黑体_GBK"/>
          <w:sz w:val="32"/>
          <w:szCs w:val="32"/>
        </w:rPr>
        <w:t xml:space="preserve">JSZC-320000-SCZX-G20</w:t>
      </w:r>
      <w:r>
        <w:rPr>
          <w:rFonts w:hint="eastAsia" w:eastAsia="方正黑体_GBK"/>
          <w:sz w:val="32"/>
          <w:szCs w:val="32"/>
        </w:rPr>
        <w:t xml:space="preserve">26</w:t>
      </w:r>
      <w:r>
        <w:rPr>
          <w:rFonts w:eastAsia="方正黑体_GBK"/>
          <w:sz w:val="32"/>
          <w:szCs w:val="32"/>
        </w:rPr>
        <w:t xml:space="preserve">-</w:t>
      </w:r>
      <w:r>
        <w:rPr>
          <w:rFonts w:hint="eastAsia" w:eastAsia="方正黑体_GBK"/>
          <w:sz w:val="32"/>
          <w:szCs w:val="32"/>
        </w:rPr>
        <w:t xml:space="preserve">0069</w:t>
      </w:r>
      <w:r>
        <w:rPr>
          <w:rFonts w:eastAsia="方正黑体_GBK"/>
          <w:sz w:val="32"/>
          <w:szCs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rPr>
          <w:rFonts w:hint="eastAsia"/>
          <w:b/>
          <w:sz w:val="28"/>
          <w:szCs w:val="28"/>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949"/>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江苏省政府采购中心</w:t>
      </w:r>
      <w:r/>
    </w:p>
    <w:p>
      <w:pPr>
        <w:pStyle w:val="949"/>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2026年5月</w:t>
      </w:r>
      <w:r/>
    </w:p>
    <w:p>
      <w:pPr>
        <w:pStyle w:val="1037"/>
        <w:ind w:firstLine="0"/>
        <w:rPr>
          <w:rFonts w:hint="eastAsia"/>
          <w:u w:val="single"/>
        </w:rPr>
      </w:pPr>
      <w:r>
        <w:rPr>
          <w:rFonts w:hint="eastAsia"/>
        </w:rPr>
        <w:t xml:space="preserve">                        </w:t>
      </w:r>
      <w:r>
        <w:rPr>
          <w:rFonts w:hint="eastAsia"/>
          <w:u w:val="single"/>
        </w:rPr>
      </w:r>
      <w:r/>
    </w:p>
    <w:p>
      <w:pPr>
        <w:pStyle w:val="1037"/>
        <w:ind w:firstLine="0"/>
        <w:jc w:val="center"/>
        <w:rPr>
          <w:rFonts w:hint="eastAsia"/>
        </w:rPr>
      </w:pPr>
      <w:r>
        <w:rPr>
          <w:rFonts w:hint="eastAsia"/>
        </w:rPr>
      </w:r>
      <w:r/>
    </w:p>
    <w:p>
      <w:pPr>
        <w:pStyle w:val="949"/>
        <w:jc w:val="center"/>
        <w:spacing w:line="660" w:lineRule="exact"/>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方正黑体_GBK" w:hAnsi="方正黑体_GBK" w:eastAsia="方正黑体_GBK" w:cs="方正黑体_GBK"/>
          <w:b/>
          <w:sz w:val="32"/>
          <w:szCs w:val="32"/>
        </w:rPr>
        <w:t xml:space="preserve"> </w:t>
      </w:r>
      <w:r>
        <w:rPr>
          <w:rFonts w:hint="eastAsia" w:ascii="方正黑体_GBK" w:hAnsi="方正黑体_GBK" w:eastAsia="方正黑体_GBK" w:cs="方正黑体_GBK"/>
          <w:bCs/>
          <w:sz w:val="32"/>
          <w:szCs w:val="32"/>
        </w:rPr>
        <w:t xml:space="preserve">总  目  录</w:t>
      </w:r>
      <w:r>
        <w:rPr>
          <w:rFonts w:hint="eastAsia" w:ascii="黑体" w:hAnsi="Arial" w:eastAsia="黑体"/>
          <w:b/>
          <w:sz w:val="44"/>
        </w:rPr>
      </w:r>
      <w:r/>
    </w:p>
    <w:p>
      <w:pPr>
        <w:pStyle w:val="949"/>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r>
      <w:r/>
    </w:p>
    <w:p>
      <w:pPr>
        <w:pStyle w:val="949"/>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第一章 投标邀请……………………………………3</w:t>
      </w:r>
      <w:r/>
    </w:p>
    <w:p>
      <w:pPr>
        <w:pStyle w:val="949"/>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第二章 投标人须知…………………………………8 </w:t>
      </w:r>
      <w:r/>
    </w:p>
    <w:p>
      <w:pPr>
        <w:pStyle w:val="949"/>
        <w:spacing w:line="660" w:lineRule="exact"/>
        <w:rPr>
          <w:rFonts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第三章 合同文本……………………………………24</w:t>
      </w:r>
      <w:r>
        <w:rPr>
          <w:rFonts w:ascii="方正黑体_GBK" w:hAnsi="方正黑体_GBK" w:eastAsia="方正黑体_GBK" w:cs="方正黑体_GBK"/>
          <w:sz w:val="32"/>
          <w:szCs w:val="32"/>
        </w:rPr>
      </w:r>
      <w:r/>
    </w:p>
    <w:p>
      <w:pPr>
        <w:pStyle w:val="949"/>
        <w:spacing w:line="660" w:lineRule="exact"/>
        <w:rPr>
          <w:rFonts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第四章 采购需求……………………………………41</w:t>
      </w:r>
      <w:r>
        <w:rPr>
          <w:rFonts w:ascii="方正黑体_GBK" w:hAnsi="方正黑体_GBK" w:eastAsia="方正黑体_GBK" w:cs="方正黑体_GBK"/>
          <w:sz w:val="32"/>
          <w:szCs w:val="32"/>
        </w:rPr>
      </w:r>
      <w:r/>
    </w:p>
    <w:p>
      <w:pPr>
        <w:pStyle w:val="949"/>
        <w:spacing w:line="660" w:lineRule="exact"/>
        <w:rPr>
          <w:rFonts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第五章 评标方法与评标标准………………………59</w:t>
      </w:r>
      <w:r>
        <w:rPr>
          <w:rFonts w:ascii="方正黑体_GBK" w:hAnsi="方正黑体_GBK" w:eastAsia="方正黑体_GBK" w:cs="方正黑体_GBK"/>
          <w:sz w:val="32"/>
          <w:szCs w:val="32"/>
        </w:rPr>
      </w:r>
      <w:r/>
    </w:p>
    <w:p>
      <w:pPr>
        <w:pStyle w:val="949"/>
        <w:spacing w:line="660" w:lineRule="exact"/>
        <w:rPr>
          <w:rFonts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第六章 投标文件格式………………………………65</w:t>
      </w:r>
      <w:r>
        <w:rPr>
          <w:rFonts w:ascii="方正黑体_GBK" w:hAnsi="方正黑体_GBK" w:eastAsia="方正黑体_GBK" w:cs="方正黑体_GBK"/>
          <w:sz w:val="32"/>
          <w:szCs w:val="32"/>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jc w:val="center"/>
        <w:keepNext/>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r/>
    </w:p>
    <w:p>
      <w:pPr>
        <w:pStyle w:val="949"/>
        <w:jc w:val="center"/>
        <w:keepNext/>
        <w:spacing w:line="660" w:lineRule="exact"/>
        <w:rPr>
          <w:rFonts w:hint="eastAsia" w:ascii="方正黑体_GBK" w:hAnsi="方正黑体_GBK" w:eastAsia="方正黑体_GBK" w:cs="方正黑体_GBK"/>
          <w:sz w:val="32"/>
          <w:szCs w:val="32"/>
          <w:highlight w:val="none"/>
        </w:rPr>
        <w:outlineLvl w:val="0"/>
      </w:pPr>
      <w:r>
        <w:rPr>
          <w:rFonts w:hint="eastAsia" w:ascii="方正黑体_GBK" w:hAnsi="方正黑体_GBK" w:eastAsia="方正黑体_GBK" w:cs="方正黑体_GBK"/>
          <w:sz w:val="32"/>
          <w:szCs w:val="32"/>
        </w:rPr>
        <w:t xml:space="preserve">第一章  </w:t>
      </w:r>
      <w:bookmarkEnd w:id="0"/>
      <w:r>
        <w:rPr>
          <w:rFonts w:hint="eastAsia" w:ascii="方正黑体_GBK" w:hAnsi="方正黑体_GBK" w:eastAsia="方正黑体_GBK" w:cs="方正黑体_GBK"/>
          <w:sz w:val="32"/>
          <w:szCs w:val="32"/>
        </w:rPr>
        <w:t xml:space="preserve">投标邀请</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受江苏省公安厅的委托，江苏省政府采购中心就江苏省公安厅二级主干网及本地线路(JSZC-320000-SCZX-G2026-0069)项目进行公开招标采购，欢迎符合条件的供应商投标。</w:t>
      </w:r>
      <w:r/>
    </w:p>
    <w:p>
      <w:pPr>
        <w:pStyle w:val="949"/>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pStyle w:val="949"/>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u w:val="single"/>
        </w:rPr>
        <w:t xml:space="preserve"> 江苏省公安厅二级主干网及本地线路</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招标文件，并于2026</w:t>
      </w:r>
      <w:r>
        <w:rPr>
          <w:rFonts w:hint="eastAsia" w:ascii="方正仿宋_GBK" w:hAnsi="方正仿宋_GBK" w:eastAsia="方正仿宋_GBK" w:cs="方正仿宋_GBK"/>
          <w:bCs/>
          <w:sz w:val="32"/>
          <w:szCs w:val="32"/>
        </w:rPr>
        <w:t xml:space="preserve">年6</w:t>
      </w:r>
      <w:r>
        <w:rPr>
          <w:rFonts w:hint="eastAsia" w:ascii="方正仿宋_GBK" w:hAnsi="方正仿宋_GBK" w:eastAsia="方正仿宋_GBK" w:cs="方正仿宋_GBK"/>
          <w:bCs/>
          <w:sz w:val="32"/>
          <w:szCs w:val="32"/>
        </w:rPr>
        <w:t xml:space="preserve">月10</w:t>
      </w:r>
      <w:r>
        <w:rPr>
          <w:rFonts w:hint="eastAsia" w:ascii="方正仿宋_GBK" w:hAnsi="方正仿宋_GBK" w:eastAsia="方正仿宋_GBK" w:cs="方正仿宋_GBK"/>
          <w:bCs/>
          <w:sz w:val="32"/>
          <w:szCs w:val="32"/>
        </w:rPr>
        <w:t xml:space="preserve">日9</w:t>
      </w:r>
      <w:r>
        <w:rPr>
          <w:rFonts w:hint="eastAsia" w:ascii="方正仿宋_GBK" w:hAnsi="方正仿宋_GBK" w:eastAsia="方正仿宋_GBK" w:cs="方正仿宋_GBK"/>
          <w:sz w:val="32"/>
          <w:szCs w:val="32"/>
        </w:rPr>
        <w:t xml:space="preserve">时30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rPr>
          <w:rFonts w:ascii="宋体" w:hAnsi="宋体"/>
          <w:sz w:val="24"/>
          <w:szCs w:val="24"/>
        </w:rPr>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1.采购编号</w:t>
      </w:r>
      <w:r>
        <w:rPr>
          <w:rFonts w:hint="eastAsia" w:eastAsia="方正仿宋_GBK"/>
          <w:sz w:val="32"/>
          <w:szCs w:val="32"/>
        </w:rPr>
        <w:t xml:space="preserve">：JSZC-320000-SCZX-G2026-0069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2.项目名称：</w:t>
      </w:r>
      <w:r>
        <w:rPr>
          <w:rFonts w:hint="eastAsia" w:eastAsia="方正仿宋_GBK"/>
          <w:sz w:val="32"/>
          <w:szCs w:val="32"/>
        </w:rPr>
        <w:t xml:space="preserve">江苏省公安厅二级主干网及本地线路项目</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End w:id="11"/>
      <w:r>
        <w:rPr>
          <w:rFonts w:hint="eastAsia" w:ascii="方正仿宋_GBK" w:hAnsi="方正仿宋_GBK" w:eastAsia="方正仿宋_GBK" w:cs="方正仿宋_GBK"/>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9"/>
              <w:ind w:firstLine="280"/>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9"/>
              <w:ind w:firstLine="1280"/>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1419.676</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312" w:type="dxa"/>
            <w:vAlign w:val="top"/>
            <w:textDirection w:val="lrTb"/>
            <w:noWrap w:val="false"/>
          </w:tcPr>
          <w:p>
            <w:pPr>
              <w:pStyle w:val="949"/>
              <w:ind w:firstLine="1280"/>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1362.04</w:t>
            </w:r>
            <w:r>
              <w:rPr>
                <w:rFonts w:hint="eastAsia" w:ascii="方正仿宋_GBK" w:hAnsi="方正仿宋_GBK" w:eastAsia="方正仿宋_GBK" w:cs="方正仿宋_GBK"/>
                <w:sz w:val="28"/>
                <w:szCs w:val="28"/>
              </w:rPr>
            </w:r>
            <w:r/>
          </w:p>
        </w:tc>
      </w:tr>
    </w:tbl>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1419.676</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23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1362.04</w:t>
            </w:r>
            <w:r>
              <w:rPr>
                <w:rFonts w:hint="eastAsia" w:ascii="方正仿宋_GBK" w:hAnsi="方正仿宋_GBK" w:eastAsia="方正仿宋_GBK" w:cs="方正仿宋_GBK"/>
                <w:sz w:val="28"/>
                <w:szCs w:val="28"/>
              </w:rPr>
            </w:r>
            <w:r/>
          </w:p>
        </w:tc>
      </w:tr>
    </w:tbl>
    <w:p>
      <w:pPr>
        <w:pStyle w:val="949"/>
        <w:numPr>
          <w:ilvl w:val="0"/>
          <w:numId w:val="4"/>
        </w:numPr>
        <w:ind w:firstLine="640"/>
        <w:spacing w:line="560" w:lineRule="exact"/>
        <w:tabs>
          <w:tab w:val="left" w:pos="312" w:leader="none"/>
        </w:tabs>
        <w:rPr>
          <w:rFonts w:hint="eastAsia" w:ascii="方正仿宋_GBK" w:hAnsi="方正仿宋_GBK" w:eastAsia="方正仿宋_GBK" w:cs="方正仿宋_GBK"/>
          <w:sz w:val="32"/>
          <w:szCs w:val="32"/>
        </w:rPr>
      </w:pPr>
      <w:r/>
      <w:bookmarkStart w:id="12" w:name="_Toc35393791"/>
      <w:r/>
      <w:bookmarkStart w:id="13" w:name="_Toc38985264"/>
      <w:r/>
      <w:bookmarkStart w:id="14" w:name="_Toc28359080"/>
      <w:r/>
      <w:bookmarkStart w:id="15" w:name="_Toc35393622"/>
      <w:r/>
      <w:bookmarkStart w:id="16" w:name="_Toc28359003"/>
      <w:r>
        <w:rPr>
          <w:rFonts w:hint="eastAsia" w:ascii="方正仿宋_GBK" w:hAnsi="方正仿宋_GBK" w:eastAsia="方正仿宋_GBK" w:cs="方正仿宋_GBK"/>
          <w:sz w:val="32"/>
          <w:szCs w:val="32"/>
        </w:rPr>
        <w:t xml:space="preserve">采购需求(简介)：</w:t>
      </w:r>
      <w:r>
        <w:rPr>
          <w:rFonts w:hint="eastAsia" w:eastAsia="方正仿宋_GBK"/>
          <w:sz w:val="32"/>
          <w:szCs w:val="32"/>
        </w:rPr>
        <w:t xml:space="preserve">保障省市两级公安机关之间的主干网络传输，满足厅机关各办公地点不同功能网络的接入需求，并提供相应维护保障服务。分包1：租赁13条10G双路由省市主干传输线路、3条院外单位传输线路、24条辐射功能性线路，采购89台网络设备维保服务、14套直流电源维保服务及机房动环监控维保服务，铺设2条短距离光缆服务等。分包2：租赁13条10G双路由省市主干传输线路、3条院外单位传输线路、10条互联网线路，采购网络综合管理系统服务等。</w:t>
      </w:r>
      <w:r>
        <w:rPr>
          <w:rFonts w:hint="eastAsia" w:ascii="方正仿宋_GBK" w:hAnsi="方正仿宋_GBK" w:eastAsia="方正仿宋_GBK" w:cs="方正仿宋_GBK"/>
          <w:sz w:val="32"/>
          <w:szCs w:val="32"/>
        </w:rPr>
        <w:t xml:space="preserve">（详细内容见本招标文件第四章）</w:t>
      </w:r>
      <w:r/>
    </w:p>
    <w:tbl>
      <w:tblPr>
        <w:tblW w:w="8889"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367"/>
        <w:gridCol w:w="5622"/>
      </w:tblGrid>
      <w:tr>
        <w:trPr>
          <w:trHeight w:val="488"/>
        </w:trPr>
        <w:tc>
          <w:tcPr>
            <w:tcW w:w="900" w:type="dxa"/>
            <w:vAlign w:val="bottom"/>
            <w:textDirection w:val="lrTb"/>
            <w:noWrap w:val="false"/>
          </w:tcPr>
          <w:p>
            <w:pPr>
              <w:pStyle w:val="949"/>
              <w:jc w:val="center"/>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p>
        </w:tc>
        <w:tc>
          <w:tcPr>
            <w:tcW w:w="2367" w:type="dxa"/>
            <w:vAlign w:val="bottom"/>
            <w:textDirection w:val="lrTb"/>
            <w:noWrap w:val="false"/>
          </w:tcPr>
          <w:p>
            <w:pPr>
              <w:pStyle w:val="949"/>
              <w:jc w:val="center"/>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分包项目名称</w:t>
            </w:r>
            <w:r/>
          </w:p>
        </w:tc>
        <w:tc>
          <w:tcPr>
            <w:tcW w:w="5622" w:type="dxa"/>
            <w:vAlign w:val="bottom"/>
            <w:textDirection w:val="lrTb"/>
            <w:noWrap w:val="false"/>
          </w:tcPr>
          <w:p>
            <w:pPr>
              <w:pStyle w:val="949"/>
              <w:jc w:val="center"/>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服务内容</w:t>
            </w:r>
            <w:r/>
          </w:p>
        </w:tc>
      </w:tr>
      <w:tr>
        <w:trPr>
          <w:trHeight w:val="745"/>
        </w:trPr>
        <w:tc>
          <w:tcPr>
            <w:tcW w:w="900" w:type="dxa"/>
            <w:vAlign w:val="center"/>
            <w:textDirection w:val="lrTb"/>
            <w:noWrap w:val="false"/>
          </w:tcPr>
          <w:p>
            <w:pPr>
              <w:pStyle w:val="949"/>
              <w:jc w:val="center"/>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367" w:type="dxa"/>
            <w:vAlign w:val="center"/>
            <w:textDirection w:val="lrTb"/>
            <w:noWrap w:val="false"/>
          </w:tcPr>
          <w:p>
            <w:pPr>
              <w:pStyle w:val="949"/>
              <w:jc w:val="center"/>
              <w:spacing w:line="293"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江苏省公安厅二级主干网及本地线路项目</w:t>
            </w:r>
            <w:r/>
          </w:p>
          <w:p>
            <w:pPr>
              <w:pStyle w:val="949"/>
              <w:jc w:val="center"/>
              <w:spacing w:line="293"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（第一运营商）</w:t>
            </w:r>
            <w:r/>
          </w:p>
        </w:tc>
        <w:tc>
          <w:tcPr>
            <w:tcW w:w="5622" w:type="dxa"/>
            <w:vAlign w:val="center"/>
            <w:textDirection w:val="lrTb"/>
            <w:noWrap w:val="false"/>
          </w:tcPr>
          <w:p>
            <w:pPr>
              <w:pStyle w:val="949"/>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租赁13条10G双路由省市主干传输线路、3条院外单位传输线路、24条辐射功能性线路，采购89台网络设备维保服务、14套直流电源维保服务及机房动环监控维保服务，铺设2条短距离光缆服务</w:t>
            </w:r>
            <w:bookmarkStart w:id="17" w:name="OLE_LINK17"/>
            <w:r>
              <w:rPr>
                <w:rFonts w:hint="eastAsia" w:ascii="方正仿宋_GBK" w:hAnsi="方正仿宋_GBK" w:eastAsia="方正仿宋_GBK" w:cs="方正仿宋_GBK"/>
                <w:sz w:val="24"/>
                <w:szCs w:val="24"/>
              </w:rPr>
              <w:t xml:space="preserve">等</w:t>
            </w:r>
            <w:bookmarkEnd w:id="17"/>
            <w:r>
              <w:rPr>
                <w:rFonts w:hint="eastAsia" w:ascii="方正仿宋_GBK" w:hAnsi="方正仿宋_GBK" w:eastAsia="方正仿宋_GBK" w:cs="方正仿宋_GBK"/>
                <w:sz w:val="24"/>
                <w:szCs w:val="24"/>
              </w:rPr>
              <w:t xml:space="preserve">。</w:t>
            </w:r>
            <w:r/>
          </w:p>
        </w:tc>
      </w:tr>
      <w:tr>
        <w:trPr>
          <w:trHeight w:val="1610"/>
        </w:trPr>
        <w:tc>
          <w:tcPr>
            <w:tcW w:w="900" w:type="dxa"/>
            <w:vAlign w:val="center"/>
            <w:textDirection w:val="lrTb"/>
            <w:noWrap w:val="false"/>
          </w:tcPr>
          <w:p>
            <w:pPr>
              <w:pStyle w:val="949"/>
              <w:jc w:val="center"/>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2367" w:type="dxa"/>
            <w:vAlign w:val="center"/>
            <w:textDirection w:val="lrTb"/>
            <w:noWrap w:val="false"/>
          </w:tcPr>
          <w:p>
            <w:pPr>
              <w:pStyle w:val="949"/>
              <w:jc w:val="center"/>
              <w:spacing w:line="293"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江苏省公安厅二级主干网及本地线路项目</w:t>
            </w:r>
            <w:r/>
          </w:p>
          <w:p>
            <w:pPr>
              <w:pStyle w:val="949"/>
              <w:jc w:val="center"/>
              <w:spacing w:line="293"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（第二运营商）</w:t>
            </w:r>
            <w:r/>
          </w:p>
        </w:tc>
        <w:tc>
          <w:tcPr>
            <w:tcW w:w="5622" w:type="dxa"/>
            <w:vAlign w:val="center"/>
            <w:textDirection w:val="lrTb"/>
            <w:noWrap w:val="false"/>
          </w:tcPr>
          <w:p>
            <w:pPr>
              <w:pStyle w:val="949"/>
              <w:spacing w:line="293"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租赁13条10G双路由省市主干传输线路、3条院外单位传输线路、10条互联网线路，采购网络综合管理系统服务等。</w:t>
            </w:r>
            <w:r/>
          </w:p>
        </w:tc>
      </w:tr>
    </w:tbl>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6.合同履行期限：</w:t>
      </w:r>
      <w:r>
        <w:rPr>
          <w:rFonts w:hint="eastAsia" w:eastAsia="方正仿宋_GBK"/>
          <w:sz w:val="32"/>
          <w:szCs w:val="32"/>
        </w:rPr>
        <w:t xml:space="preserve">自合同签订之日起3年。</w:t>
      </w:r>
      <w:r>
        <w:rPr>
          <w:rFonts w:hint="eastAsia" w:ascii="方正仿宋_GBK" w:hAnsi="方正仿宋_GBK" w:eastAsia="方正仿宋_GBK" w:cs="方正仿宋_GBK"/>
          <w:sz w:val="32"/>
          <w:szCs w:val="32"/>
          <w:u w:val="single"/>
        </w:rPr>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32"/>
          <w:szCs w:val="32"/>
        </w:rPr>
      </w:r>
      <w:r/>
    </w:p>
    <w:p>
      <w:pPr>
        <w:pStyle w:val="949"/>
        <w:ind w:firstLine="640"/>
        <w:spacing w:line="560" w:lineRule="exact"/>
        <w:rPr>
          <w:rFonts w:hint="eastAsia" w:ascii="方正楷体_GBK" w:hAnsi="方正楷体_GBK" w:eastAsia="方正楷体_GBK" w:cs="方正楷体_GBK"/>
          <w:sz w:val="32"/>
          <w:szCs w:val="32"/>
        </w:rPr>
      </w:pPr>
      <w:r/>
      <w:bookmarkStart w:id="18" w:name="_Toc38985265"/>
      <w:r/>
      <w:bookmarkStart w:id="19" w:name="_Toc35393792"/>
      <w:r/>
      <w:bookmarkStart w:id="20" w:name="_Toc28359081"/>
      <w:r/>
      <w:bookmarkStart w:id="21" w:name="_Toc28359004"/>
      <w:r/>
      <w:bookmarkStart w:id="22" w:name="_Toc35393623"/>
      <w:r>
        <w:rPr>
          <w:rFonts w:hint="eastAsia" w:ascii="方正楷体_GBK" w:hAnsi="方正楷体_GBK" w:eastAsia="方正楷体_GBK" w:cs="方正楷体_GBK"/>
          <w:sz w:val="32"/>
          <w:szCs w:val="32"/>
        </w:rPr>
        <w:t xml:space="preserve">（一）通用资格要求</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1.满足《中华人民共和国政府采购法》第二十二条规定，并提供下列材料：</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法人或者其他组织的营业执照等证明文件，自然人的身份证明；</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w:t>
      </w:r>
      <w:r>
        <w:rPr>
          <w:rFonts w:hint="eastAsia" w:ascii="方正仿宋_GBK" w:hAnsi="方正仿宋_GBK" w:eastAsia="方正仿宋_GBK" w:cs="方正仿宋_GBK"/>
          <w:sz w:val="32"/>
          <w:szCs w:val="32"/>
        </w:rPr>
        <w:t xml:space="preserve">  2024年或2025</w:t>
      </w:r>
      <w:r>
        <w:rPr>
          <w:rFonts w:hint="eastAsia" w:ascii="方正仿宋_GBK" w:hAnsi="方正仿宋_GBK" w:eastAsia="方正仿宋_GBK" w:cs="方正仿宋_GBK"/>
          <w:sz w:val="32"/>
          <w:szCs w:val="32"/>
        </w:rPr>
        <w:t xml:space="preserve">年度的财务状况报告（成立不满一年无需提供）；</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1.4具备履行合同所必需的设备和专业技术能力的书面声明；</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1.5参加政府采购活动前3年内在经营活动中没有重大违法记录的书面声明。</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pStyle w:val="949"/>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49"/>
        <w:ind w:firstLine="640"/>
        <w:spacing w:line="560" w:lineRule="exact"/>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eastAsia="方正仿宋_GBK"/>
                <w:sz w:val="32"/>
                <w:szCs w:val="32"/>
              </w:rPr>
              <w:t xml:space="preserve">投标人须具有中华人民共和国工业和信息化部颁发的 《中华人民共和国基础电信业务经营许可证》或广电主管部门颁发的开展增值电信业务经营许可批复文件。如分公司参加投标时必须取得总公司的授权。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921" w:type="dxa"/>
            <w:vAlign w:val="top"/>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eastAsia="方正仿宋_GBK"/>
                <w:sz w:val="32"/>
                <w:szCs w:val="32"/>
              </w:rPr>
              <w:t xml:space="preserve">投标人须具有中华人民共和国工业和信息化部颁发的 《中华人民共和国基础电信业务经营许可证》或广电主管部门颁发的开展增值电信业务经营许可批复文件。如分公司参加投标时必须取得总公司的授权。</w:t>
            </w:r>
            <w:r>
              <w:rPr>
                <w:rFonts w:hint="eastAsia" w:ascii="方正仿宋_GBK" w:hAnsi="方正仿宋_GBK" w:eastAsia="方正仿宋_GBK" w:cs="方正仿宋_GBK"/>
                <w:sz w:val="28"/>
                <w:szCs w:val="28"/>
              </w:rPr>
            </w:r>
            <w:r/>
          </w:p>
        </w:tc>
      </w:tr>
    </w:tbl>
    <w:p>
      <w:pPr>
        <w:pStyle w:val="949"/>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三、获取招标文件</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End w:id="18"/>
      <w:r/>
      <w:bookmarkEnd w:id="19"/>
      <w:r/>
      <w:bookmarkEnd w:id="20"/>
      <w:r/>
      <w:bookmarkEnd w:id="21"/>
      <w:r/>
      <w:bookmarkEnd w:id="22"/>
      <w:r/>
      <w:bookmarkStart w:id="23" w:name="_Toc28359007"/>
      <w:r/>
      <w:bookmarkStart w:id="24" w:name="_Toc35393794"/>
      <w:r/>
      <w:bookmarkStart w:id="25" w:name="_Toc38985267"/>
      <w:r/>
      <w:bookmarkStart w:id="26" w:name="_Toc35393625"/>
      <w:r/>
      <w:bookmarkStart w:id="27" w:name="_Toc28359084"/>
      <w:r/>
      <w:bookmarkStart w:id="28" w:name="_Toc28359005"/>
      <w:r/>
      <w:bookmarkStart w:id="29" w:name="_Toc28359082"/>
      <w:r/>
      <w:bookmarkStart w:id="30" w:name="_Toc35393624"/>
      <w:r/>
      <w:bookmarkStart w:id="31" w:name="_Toc35393793"/>
      <w:r/>
      <w:bookmarkStart w:id="32" w:name="_Toc38985266"/>
      <w:r>
        <w:rPr>
          <w:rFonts w:hint="eastAsia" w:ascii="方正黑体_GBK" w:hAnsi="方正黑体_GBK" w:eastAsia="方正黑体_GBK" w:cs="方正黑体_GBK"/>
          <w:sz w:val="32"/>
          <w:szCs w:val="32"/>
        </w:rPr>
        <w:t xml:space="preserve">四、提交投标文件</w:t>
      </w:r>
      <w:bookmarkEnd w:id="28"/>
      <w:r/>
      <w:bookmarkEnd w:id="29"/>
      <w:r>
        <w:rPr>
          <w:rFonts w:hint="eastAsia" w:ascii="方正黑体_GBK" w:hAnsi="方正黑体_GBK" w:eastAsia="方正黑体_GBK" w:cs="方正黑体_GBK"/>
          <w:sz w:val="32"/>
          <w:szCs w:val="32"/>
        </w:rPr>
        <w:t xml:space="preserve">截止时间、开标时间和地点</w:t>
      </w:r>
      <w:bookmarkEnd w:id="30"/>
      <w:r/>
      <w:bookmarkEnd w:id="31"/>
      <w:r/>
      <w:bookmarkEnd w:id="32"/>
      <w:r>
        <w:rPr>
          <w:rFonts w:hint="eastAsia" w:ascii="方正黑体_GBK" w:hAnsi="方正黑体_GBK" w:eastAsia="方正黑体_GBK" w:cs="方正黑体_GBK"/>
          <w:sz w:val="32"/>
          <w:szCs w:val="32"/>
        </w:rPr>
      </w:r>
      <w:r/>
    </w:p>
    <w:p>
      <w:pPr>
        <w:pStyle w:val="949"/>
        <w:ind w:firstLine="640"/>
        <w:spacing w:line="560" w:lineRule="exact"/>
        <w:rPr>
          <w:rFonts w:ascii="宋体" w:hAnsi="宋体"/>
          <w:bCs/>
          <w:sz w:val="24"/>
          <w:szCs w:val="24"/>
          <w:u w:val="single"/>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r>
      <w:r>
        <w:rPr>
          <w:rFonts w:hint="eastAsia" w:ascii="方正仿宋_GBK" w:hAnsi="方正仿宋_GBK" w:eastAsia="方正仿宋_GBK" w:cs="方正仿宋_GBK"/>
          <w:sz w:val="32"/>
          <w:szCs w:val="32"/>
        </w:rPr>
        <w:t xml:space="preserve">2026</w:t>
      </w:r>
      <w:r>
        <w:rPr>
          <w:rFonts w:hint="eastAsia" w:ascii="方正仿宋_GBK" w:hAnsi="方正仿宋_GBK" w:eastAsia="方正仿宋_GBK" w:cs="方正仿宋_GBK"/>
          <w:bCs/>
          <w:sz w:val="32"/>
          <w:szCs w:val="32"/>
        </w:rPr>
        <w:t xml:space="preserve">年6</w:t>
      </w:r>
      <w:r>
        <w:rPr>
          <w:rFonts w:hint="eastAsia" w:ascii="方正仿宋_GBK" w:hAnsi="方正仿宋_GBK" w:eastAsia="方正仿宋_GBK" w:cs="方正仿宋_GBK"/>
          <w:bCs/>
          <w:sz w:val="32"/>
          <w:szCs w:val="32"/>
        </w:rPr>
        <w:t xml:space="preserve">月10</w:t>
      </w:r>
      <w:r>
        <w:rPr>
          <w:rFonts w:hint="eastAsia" w:ascii="方正仿宋_GBK" w:hAnsi="方正仿宋_GBK" w:eastAsia="方正仿宋_GBK" w:cs="方正仿宋_GBK"/>
          <w:bCs/>
          <w:sz w:val="32"/>
          <w:szCs w:val="32"/>
        </w:rPr>
        <w:t xml:space="preserve">日9</w:t>
      </w:r>
      <w:r>
        <w:rPr>
          <w:rFonts w:hint="eastAsia" w:ascii="方正仿宋_GBK" w:hAnsi="方正仿宋_GBK" w:eastAsia="方正仿宋_GBK" w:cs="方正仿宋_GBK"/>
          <w:sz w:val="32"/>
          <w:szCs w:val="32"/>
        </w:rPr>
        <w:t xml:space="preserve">时30</w:t>
      </w:r>
      <w:r>
        <w:rPr>
          <w:rFonts w:hint="eastAsia" w:ascii="方正仿宋_GBK" w:hAnsi="方正仿宋_GBK" w:eastAsia="方正仿宋_GBK" w:cs="方正仿宋_GBK"/>
          <w:bCs/>
          <w:sz w:val="32"/>
          <w:szCs w:val="32"/>
        </w:rPr>
        <w:t xml:space="preserve">分</w:t>
      </w:r>
      <w:r/>
      <w:r>
        <w:rPr>
          <w:rFonts w:hint="eastAsia" w:ascii="方正仿宋_GBK" w:hAnsi="方正仿宋_GBK" w:eastAsia="方正仿宋_GBK" w:cs="方正仿宋_GBK"/>
          <w:bCs/>
          <w:sz w:val="32"/>
          <w:szCs w:val="32"/>
        </w:rPr>
        <w:t xml:space="preserve">（北京时间）</w:t>
      </w:r>
      <w:r>
        <w:rPr>
          <w:rFonts w:hint="eastAsia" w:ascii="方正仿宋_GBK" w:hAnsi="方正仿宋_GBK" w:eastAsia="方正仿宋_GBK" w:cs="方正仿宋_GBK"/>
          <w:sz w:val="32"/>
          <w:szCs w:val="32"/>
        </w:rPr>
        <w:t xml:space="preserve">。</w:t>
      </w:r>
      <w:r>
        <w:rPr>
          <w:rFonts w:ascii="宋体" w:hAnsi="宋体"/>
          <w:bCs/>
          <w:sz w:val="24"/>
          <w:szCs w:val="24"/>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End w:id="23"/>
      <w:r/>
      <w:bookmarkEnd w:id="24"/>
      <w:r/>
      <w:bookmarkEnd w:id="25"/>
      <w:r/>
      <w:bookmarkEnd w:id="26"/>
      <w:r/>
      <w:bookmarkEnd w:id="27"/>
      <w:r/>
      <w:bookmarkStart w:id="33" w:name="_Toc35393795"/>
      <w:r/>
      <w:bookmarkStart w:id="34" w:name="_Toc38985268"/>
      <w:r/>
      <w:bookmarkStart w:id="35" w:name="_Toc35393626"/>
      <w:r>
        <w:rPr>
          <w:rFonts w:hint="eastAsia" w:ascii="方正黑体_GBK" w:hAnsi="方正黑体_GBK" w:eastAsia="方正黑体_GBK" w:cs="方正黑体_GBK"/>
          <w:sz w:val="32"/>
          <w:szCs w:val="32"/>
        </w:rPr>
        <w:t xml:space="preserve">五、公告期限</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End w:id="33"/>
      <w:r/>
      <w:bookmarkEnd w:id="34"/>
      <w:r/>
      <w:bookmarkEnd w:id="35"/>
      <w:r/>
      <w:bookmarkStart w:id="36" w:name="_Toc28359008"/>
      <w:r/>
      <w:bookmarkStart w:id="37" w:name="_Toc35393627"/>
      <w:r/>
      <w:bookmarkStart w:id="38" w:name="_Toc35393796"/>
      <w:r/>
      <w:bookmarkStart w:id="39" w:name="_Toc38985269"/>
      <w:r/>
      <w:bookmarkStart w:id="40" w:name="_Toc28359085"/>
      <w:r>
        <w:rPr>
          <w:rFonts w:hint="eastAsia" w:ascii="方正黑体_GBK" w:hAnsi="方正黑体_GBK" w:eastAsia="方正黑体_GBK" w:cs="方正黑体_GBK"/>
          <w:sz w:val="32"/>
          <w:szCs w:val="32"/>
        </w:rPr>
        <w:t xml:space="preserve">六、其他补充事宜</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End w:id="36"/>
      <w:r/>
      <w:bookmarkEnd w:id="37"/>
      <w:r/>
      <w:bookmarkEnd w:id="38"/>
      <w:r/>
      <w:bookmarkEnd w:id="39"/>
      <w:r/>
      <w:bookmarkEnd w:id="40"/>
      <w:r>
        <w:rPr>
          <w:rFonts w:hint="eastAsia" w:ascii="方正黑体_GBK" w:hAnsi="方正黑体_GBK" w:eastAsia="方正黑体_GBK" w:cs="方正黑体_GBK"/>
          <w:sz w:val="32"/>
          <w:szCs w:val="32"/>
        </w:rPr>
        <w:t xml:space="preserve">七、本次招标联系方式</w:t>
      </w:r>
      <w:r/>
    </w:p>
    <w:p>
      <w:pPr>
        <w:pStyle w:val="949"/>
        <w:jc w:val="left"/>
        <w:spacing w:line="560" w:lineRule="exact"/>
        <w:widowControl/>
        <w:rPr>
          <w:rFonts w:hint="eastAsia" w:ascii="方正仿宋_GBK" w:hAnsi="方正仿宋_GBK" w:eastAsia="方正仿宋_GBK" w:cs="方正仿宋_GBK"/>
          <w:sz w:val="32"/>
          <w:szCs w:val="32"/>
        </w:rPr>
      </w:pPr>
      <w:r>
        <w:rPr>
          <w:rFonts w:hint="eastAsia" w:ascii="仿宋" w:hAnsi="仿宋" w:eastAsia="仿宋" w:cs="宋体"/>
          <w:sz w:val="28"/>
          <w:szCs w:val="28"/>
        </w:rPr>
        <w:t xml:space="preserve">　　</w:t>
      </w:r>
      <w:r>
        <w:rPr>
          <w:rFonts w:hint="eastAsia" w:ascii="方正仿宋_GBK" w:hAnsi="方正仿宋_GBK" w:eastAsia="方正仿宋_GBK" w:cs="方正仿宋_GBK"/>
          <w:sz w:val="32"/>
          <w:szCs w:val="32"/>
        </w:rPr>
        <w:t xml:space="preserve">1.采购人信息</w:t>
      </w:r>
      <w:r/>
    </w:p>
    <w:p>
      <w:pPr>
        <w:pStyle w:val="949"/>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名 称：</w:t>
      </w:r>
      <w:r>
        <w:rPr>
          <w:rFonts w:hint="eastAsia" w:ascii="方正仿宋_GBK" w:hAnsi="方正仿宋_GBK" w:eastAsia="方正仿宋_GBK" w:cs="方正仿宋_GBK"/>
          <w:sz w:val="32"/>
          <w:szCs w:val="32"/>
          <w:u w:val="single"/>
        </w:rPr>
        <w:t xml:space="preserve">江苏省公安厅</w:t>
      </w:r>
      <w:r>
        <w:rPr>
          <w:rFonts w:hint="eastAsia" w:ascii="方正仿宋_GBK" w:hAnsi="方正仿宋_GBK" w:eastAsia="方正仿宋_GBK" w:cs="方正仿宋_GBK"/>
          <w:sz w:val="32"/>
          <w:szCs w:val="32"/>
        </w:rPr>
      </w:r>
      <w:r/>
    </w:p>
    <w:p>
      <w:pPr>
        <w:pStyle w:val="949"/>
        <w:ind w:firstLine="640"/>
        <w:jc w:val="left"/>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地 址：</w:t>
      </w:r>
      <w:r>
        <w:rPr>
          <w:rFonts w:hint="eastAsia" w:ascii="方正仿宋_GBK" w:hAnsi="方正仿宋_GBK" w:eastAsia="方正仿宋_GBK" w:cs="方正仿宋_GBK"/>
          <w:sz w:val="32"/>
          <w:szCs w:val="32"/>
          <w:u w:val="single"/>
        </w:rPr>
        <w:t xml:space="preserve">南京市鼓楼区扬州路1号</w:t>
      </w:r>
      <w:r/>
    </w:p>
    <w:p>
      <w:pPr>
        <w:pStyle w:val="949"/>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周雯雯 </w:t>
      </w:r>
      <w:r>
        <w:rPr>
          <w:rFonts w:hint="eastAsia" w:ascii="方正仿宋_GBK" w:hAnsi="方正仿宋_GBK" w:eastAsia="方正仿宋_GBK" w:cs="方正仿宋_GBK"/>
          <w:sz w:val="32"/>
          <w:szCs w:val="32"/>
        </w:rPr>
      </w:r>
      <w:r/>
    </w:p>
    <w:p>
      <w:pPr>
        <w:pStyle w:val="949"/>
        <w:ind w:firstLine="640"/>
        <w:jc w:val="left"/>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联系方式：</w:t>
      </w:r>
      <w:r>
        <w:rPr>
          <w:rFonts w:hint="eastAsia" w:ascii="方正仿宋_GBK" w:hAnsi="方正仿宋_GBK" w:eastAsia="方正仿宋_GBK" w:cs="方正仿宋_GBK"/>
          <w:sz w:val="32"/>
          <w:szCs w:val="32"/>
          <w:u w:val="single"/>
        </w:rPr>
        <w:t xml:space="preserve">025-83527565</w:t>
      </w:r>
      <w:bookmarkStart w:id="41" w:name="_Toc28359086"/>
      <w:r/>
      <w:bookmarkStart w:id="42" w:name="_Toc28359009"/>
      <w:r>
        <w:rPr>
          <w:rFonts w:hint="eastAsia" w:ascii="方正仿宋_GBK" w:hAnsi="方正仿宋_GBK" w:eastAsia="方正仿宋_GBK" w:cs="方正仿宋_GBK"/>
          <w:sz w:val="32"/>
          <w:szCs w:val="32"/>
          <w:u w:val="single"/>
        </w:rPr>
      </w:r>
      <w:r/>
    </w:p>
    <w:p>
      <w:pPr>
        <w:pStyle w:val="949"/>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2.江苏省政府采购中心信息</w:t>
      </w:r>
      <w:bookmarkEnd w:id="41"/>
      <w:r/>
      <w:bookmarkEnd w:id="42"/>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rPr>
          <w:rFonts w:hint="eastAsia" w:ascii="方正仿宋_GBK" w:hAnsi="方正仿宋_GBK" w:eastAsia="方正仿宋_GBK" w:cs="方正仿宋_GBK"/>
          <w:sz w:val="32"/>
          <w:szCs w:val="32"/>
          <w:u w:val="single"/>
        </w:rPr>
        <w:t xml:space="preserve">南京市汉中门大街145号省政务中心二期3楼南区</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乔秀善</w:t>
      </w:r>
      <w:r>
        <w:rPr>
          <w:rFonts w:hint="eastAsia" w:ascii="方正仿宋_GBK" w:hAnsi="方正仿宋_GBK" w:eastAsia="方正仿宋_GBK" w:cs="方正仿宋_GBK"/>
          <w:sz w:val="32"/>
          <w:szCs w:val="32"/>
          <w:u w:val="single"/>
        </w:rPr>
        <w:t xml:space="preserve">、付钢</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联系方式：</w:t>
      </w:r>
      <w:bookmarkStart w:id="43" w:name="_Toc28359010"/>
      <w:r/>
      <w:bookmarkStart w:id="44" w:name="_Toc28359087"/>
      <w:r>
        <w:rPr>
          <w:rFonts w:hint="eastAsia" w:ascii="方正仿宋_GBK" w:hAnsi="方正仿宋_GBK" w:eastAsia="方正仿宋_GBK" w:cs="方正仿宋_GBK"/>
          <w:sz w:val="32"/>
          <w:szCs w:val="32"/>
          <w:u w:val="single"/>
        </w:rPr>
        <w:t xml:space="preserve">025-83668530</w:t>
      </w:r>
      <w:r>
        <w:rPr>
          <w:rFonts w:hint="eastAsia" w:ascii="方正仿宋_GBK" w:hAnsi="方正仿宋_GBK" w:eastAsia="方正仿宋_GBK" w:cs="方正仿宋_GBK"/>
          <w:sz w:val="32"/>
          <w:szCs w:val="32"/>
          <w:u w:val="single"/>
        </w:rPr>
        <w:t xml:space="preserve">、025-83668520</w:t>
      </w:r>
      <w:r>
        <w:rPr>
          <w:rFonts w:hint="eastAsia" w:ascii="方正仿宋_GBK" w:hAnsi="方正仿宋_GBK" w:eastAsia="方正仿宋_GBK" w:cs="方正仿宋_GBK"/>
          <w:sz w:val="32"/>
          <w:szCs w:val="32"/>
        </w:rPr>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End w:id="43"/>
      <w:r/>
      <w:bookmarkEnd w:id="44"/>
      <w:r>
        <w:rPr>
          <w:rFonts w:hint="eastAsia" w:ascii="方正黑体_GBK" w:hAnsi="方正黑体_GBK" w:eastAsia="方正黑体_GBK" w:cs="方正黑体_GBK"/>
          <w:sz w:val="32"/>
          <w:szCs w:val="32"/>
        </w:rPr>
        <w:t xml:space="preserve">八、其他</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pStyle w:val="949"/>
        <w:ind w:right="840"/>
        <w:rPr>
          <w:rFonts w:hint="eastAsia" w:ascii="宋体" w:hAnsi="宋体"/>
          <w:sz w:val="24"/>
          <w:szCs w:val="24"/>
        </w:rPr>
      </w:pPr>
      <w:r>
        <w:rPr>
          <w:rFonts w:hint="eastAsia" w:ascii="宋体" w:hAnsi="宋体"/>
          <w:sz w:val="24"/>
          <w:szCs w:val="24"/>
        </w:rPr>
      </w:r>
      <w:r/>
    </w:p>
    <w:p>
      <w:pPr>
        <w:pStyle w:val="949"/>
        <w:ind w:right="839"/>
        <w:jc w:val="center"/>
        <w:spacing w:line="660" w:lineRule="exact"/>
        <w:rPr>
          <w:rFonts w:hint="eastAsia" w:ascii="宋体" w:hAnsi="宋体"/>
          <w:sz w:val="24"/>
          <w:szCs w:val="24"/>
        </w:rPr>
      </w:pPr>
      <w:r>
        <w:rPr>
          <w:rFonts w:ascii="宋体" w:hAnsi="宋体"/>
          <w:sz w:val="24"/>
          <w:szCs w:val="24"/>
        </w:rPr>
        <w:br w:type="page" w:clear="all"/>
      </w:r>
      <w:bookmarkStart w:id="45" w:name="_Toc120614211"/>
      <w:r>
        <w:rPr>
          <w:rFonts w:hint="eastAsia" w:ascii="方正黑体_GBK" w:hAnsi="方正黑体_GBK" w:eastAsia="方正黑体_GBK" w:cs="方正黑体_GBK"/>
          <w:sz w:val="32"/>
          <w:szCs w:val="32"/>
        </w:rPr>
        <w:t xml:space="preserve">第二章  </w:t>
      </w:r>
      <w:bookmarkEnd w:id="1"/>
      <w:r/>
      <w:bookmarkEnd w:id="2"/>
      <w:r/>
      <w:bookmarkEnd w:id="3"/>
      <w:r/>
      <w:bookmarkEnd w:id="4"/>
      <w:r/>
      <w:bookmarkEnd w:id="5"/>
      <w:r/>
      <w:bookmarkEnd w:id="45"/>
      <w:r/>
      <w:bookmarkStart w:id="46" w:name="_Toc16938518"/>
      <w:r/>
      <w:bookmarkStart w:id="47" w:name="_Toc120614213"/>
      <w:r/>
      <w:bookmarkStart w:id="48" w:name="_Toc513029202"/>
      <w:r/>
      <w:bookmarkStart w:id="49" w:name="_Toc20823274"/>
      <w:r>
        <w:rPr>
          <w:rFonts w:hint="eastAsia" w:ascii="方正黑体_GBK" w:hAnsi="方正黑体_GBK" w:eastAsia="方正黑体_GBK" w:cs="方正黑体_GBK"/>
          <w:sz w:val="32"/>
          <w:szCs w:val="32"/>
        </w:rPr>
        <w:t xml:space="preserve">投标人须知</w:t>
      </w:r>
      <w:bookmarkEnd w:id="46"/>
      <w:r/>
      <w:bookmarkEnd w:id="47"/>
      <w:r/>
      <w:bookmarkEnd w:id="48"/>
      <w:r/>
      <w:bookmarkEnd w:id="49"/>
      <w:r>
        <w:rPr>
          <w:rFonts w:hint="eastAsia" w:ascii="宋体" w:hAnsi="宋体"/>
          <w:sz w:val="24"/>
          <w:szCs w:val="24"/>
        </w:rPr>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一、总则</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1.招标方式</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2.合格的投标人</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3.适用法律和标准</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4.投标费用</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pStyle w:val="949"/>
        <w:ind w:firstLine="480"/>
        <w:spacing w:line="400" w:lineRule="exact"/>
        <w:rPr>
          <w:rFonts w:hint="eastAsia" w:ascii="宋体" w:hAnsi="宋体"/>
          <w:sz w:val="24"/>
          <w:szCs w:val="24"/>
        </w:rPr>
      </w:pPr>
      <w:r>
        <w:rPr>
          <w:rFonts w:hint="eastAsia" w:ascii="宋体" w:hAnsi="宋体"/>
          <w:sz w:val="24"/>
          <w:szCs w:val="24"/>
        </w:rPr>
      </w:r>
      <w:r/>
    </w:p>
    <w:p>
      <w:pPr>
        <w:pStyle w:val="949"/>
        <w:ind w:firstLine="480"/>
        <w:spacing w:line="400" w:lineRule="exact"/>
        <w:rPr>
          <w:rFonts w:hint="eastAsia" w:ascii="宋体" w:hAnsi="宋体"/>
          <w:sz w:val="24"/>
        </w:rPr>
      </w:pPr>
      <w:r>
        <w:rPr>
          <w:rFonts w:hint="eastAsia" w:ascii="宋体" w:hAnsi="宋体"/>
          <w:sz w:val="24"/>
        </w:rPr>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二、招标文件</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6.招标文件构成</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7.招标文件的修改</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50" w:name="_Toc462564072"/>
      <w:r/>
      <w:bookmarkStart w:id="51" w:name="_Toc513029213"/>
      <w:r/>
      <w:bookmarkStart w:id="52" w:name="_Toc120614216"/>
      <w:r/>
      <w:bookmarkStart w:id="53" w:name="_Toc20823285"/>
      <w:r/>
      <w:bookmarkStart w:id="54" w:name="_Toc16938529"/>
      <w:r>
        <w:rPr>
          <w:rFonts w:hint="eastAsia" w:ascii="方正黑体_GBK" w:hAnsi="方正黑体_GBK" w:eastAsia="方正黑体_GBK" w:cs="方正黑体_GBK"/>
          <w:sz w:val="32"/>
          <w:szCs w:val="32"/>
        </w:rPr>
        <w:t xml:space="preserve">三、投标文件的编制</w:t>
      </w:r>
      <w:bookmarkEnd w:id="50"/>
      <w:r/>
      <w:bookmarkEnd w:id="51"/>
      <w:r/>
      <w:bookmarkEnd w:id="52"/>
      <w:r/>
      <w:bookmarkEnd w:id="53"/>
      <w:r/>
      <w:bookmarkEnd w:id="54"/>
      <w:r>
        <w:rPr>
          <w:rFonts w:hint="eastAsia" w:ascii="方正黑体_GBK" w:hAnsi="方正黑体_GBK" w:eastAsia="方正黑体_GBK" w:cs="方正黑体_GBK"/>
          <w:sz w:val="32"/>
          <w:szCs w:val="32"/>
        </w:rPr>
      </w:r>
      <w:r/>
    </w:p>
    <w:p>
      <w:pPr>
        <w:pStyle w:val="953"/>
        <w:ind w:firstLine="640"/>
        <w:spacing w:before="0" w:after="0" w:line="560" w:lineRule="exact"/>
        <w:rPr>
          <w:rFonts w:hint="eastAsia" w:ascii="方正仿宋_GBK" w:hAnsi="方正仿宋_GBK" w:eastAsia="方正仿宋_GBK" w:cs="方正仿宋_GBK"/>
          <w:bCs w:val="0"/>
          <w:sz w:val="32"/>
          <w:szCs w:val="32"/>
        </w:rPr>
      </w:pPr>
      <w:r/>
      <w:bookmarkStart w:id="55" w:name="_Toc16938530"/>
      <w:r/>
      <w:bookmarkStart w:id="56" w:name="_Toc462564073"/>
      <w:r/>
      <w:bookmarkStart w:id="57" w:name="_Toc513029214"/>
      <w:r/>
      <w:bookmarkStart w:id="58" w:name="_Toc20823286"/>
      <w:r>
        <w:rPr>
          <w:rFonts w:hint="eastAsia" w:ascii="方正仿宋_GBK" w:hAnsi="方正仿宋_GBK" w:eastAsia="方正仿宋_GBK" w:cs="方正仿宋_GBK"/>
          <w:b w:val="0"/>
          <w:bCs w:val="0"/>
          <w:sz w:val="32"/>
          <w:szCs w:val="32"/>
        </w:rPr>
        <w:t xml:space="preserve">8.投标文件的语言及度量衡单位</w:t>
      </w:r>
      <w:bookmarkEnd w:id="55"/>
      <w:r/>
      <w:bookmarkEnd w:id="56"/>
      <w:r/>
      <w:bookmarkEnd w:id="57"/>
      <w:r/>
      <w:bookmarkEnd w:id="58"/>
      <w:r>
        <w:rPr>
          <w:rFonts w:hint="eastAsia" w:ascii="方正仿宋_GBK" w:hAnsi="方正仿宋_GBK" w:eastAsia="方正仿宋_GBK" w:cs="方正仿宋_GBK"/>
          <w:bCs w:val="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8.1</w:t>
      </w:r>
      <w:r>
        <w:rPr>
          <w:rFonts w:hint="eastAsia" w:ascii="方正仿宋_GBK" w:hAnsi="方正仿宋_GBK" w:eastAsia="方正仿宋_GBK" w:cs="方正仿宋_GBK"/>
          <w:sz w:val="32"/>
          <w:szCs w:val="32"/>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rPr>
        <w:t xml:space="preserve">简体中文</w:t>
      </w:r>
      <w:r>
        <w:rPr>
          <w:rFonts w:hint="eastAsia" w:ascii="方正仿宋_GBK" w:hAnsi="方正仿宋_GBK" w:eastAsia="方正仿宋_GBK" w:cs="方正仿宋_GBK"/>
          <w:sz w:val="32"/>
          <w:szCs w:val="32"/>
        </w:rPr>
        <w:t xml:space="preserve">。</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8.2</w:t>
      </w:r>
      <w:r>
        <w:rPr>
          <w:rFonts w:hint="eastAsia" w:ascii="方正仿宋_GBK" w:hAnsi="方正仿宋_GBK" w:eastAsia="方正仿宋_GBK" w:cs="方正仿宋_GBK"/>
          <w:sz w:val="32"/>
          <w:szCs w:val="32"/>
        </w:rPr>
        <w:t xml:space="preserve"> 除技术性能另有规定外，投标文件所使用的度量衡单位，均须采用国家法定计量单位。</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59" w:name="_Toc462564074"/>
      <w:r/>
      <w:bookmarkStart w:id="60" w:name="_Toc513029215"/>
      <w:r/>
      <w:bookmarkStart w:id="61" w:name="_Toc20823287"/>
      <w:r/>
      <w:bookmarkStart w:id="62" w:name="_Toc16938531"/>
      <w:r>
        <w:rPr>
          <w:rFonts w:hint="eastAsia" w:ascii="方正仿宋_GBK" w:hAnsi="方正仿宋_GBK" w:eastAsia="方正仿宋_GBK" w:cs="方正仿宋_GBK"/>
          <w:b w:val="0"/>
          <w:bCs w:val="0"/>
          <w:sz w:val="32"/>
          <w:szCs w:val="32"/>
        </w:rPr>
        <w:t xml:space="preserve">9.投标文件构成</w:t>
      </w:r>
      <w:bookmarkEnd w:id="59"/>
      <w:r/>
      <w:bookmarkEnd w:id="60"/>
      <w:r/>
      <w:bookmarkEnd w:id="61"/>
      <w:r/>
      <w:bookmarkEnd w:id="62"/>
      <w:r>
        <w:rPr>
          <w:rFonts w:hint="eastAsia" w:ascii="方正仿宋_GBK" w:hAnsi="方正仿宋_GBK" w:eastAsia="方正仿宋_GBK" w:cs="方正仿宋_GBK"/>
          <w:b w:val="0"/>
          <w:bCs w:val="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9.1</w:t>
      </w:r>
      <w:r>
        <w:rPr>
          <w:rFonts w:hint="eastAsia" w:ascii="方正仿宋_GBK" w:hAnsi="方正仿宋_GBK" w:eastAsia="方正仿宋_GBK" w:cs="方正仿宋_GBK"/>
          <w:sz w:val="32"/>
          <w:szCs w:val="32"/>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如标书制作工具中格式和内容与“江苏政府采购网”发布的招标文件不一致，请以“江苏政府采购网”发布的招标文件为准。</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63" w:name="_Hlt26670360"/>
      <w:r/>
      <w:bookmarkEnd w:id="63"/>
      <w:r/>
      <w:bookmarkStart w:id="64" w:name="_Hlt26954838"/>
      <w:r/>
      <w:bookmarkEnd w:id="64"/>
      <w:r/>
      <w:bookmarkStart w:id="65" w:name="_Hlt26668975"/>
      <w:r/>
      <w:bookmarkEnd w:id="65"/>
      <w:r/>
      <w:bookmarkStart w:id="66" w:name="_Toc14577357"/>
      <w:r/>
      <w:bookmarkStart w:id="67" w:name="_Toc513029219"/>
      <w:r/>
      <w:bookmarkStart w:id="68" w:name="_Toc49090509"/>
      <w:r/>
      <w:bookmarkStart w:id="69" w:name="_Toc513029216"/>
      <w:r/>
      <w:bookmarkStart w:id="70" w:name="_Toc49090507"/>
      <w:r/>
      <w:bookmarkStart w:id="71" w:name="_Toc14577354"/>
      <w:r>
        <w:rPr>
          <w:rFonts w:hint="eastAsia" w:ascii="方正仿宋_GBK" w:hAnsi="方正仿宋_GBK" w:eastAsia="方正仿宋_GBK" w:cs="方正仿宋_GBK"/>
          <w:b w:val="0"/>
          <w:bCs w:val="0"/>
          <w:sz w:val="32"/>
          <w:szCs w:val="32"/>
        </w:rPr>
        <w:t xml:space="preserve">10.证明投标人及投标标的符合招标文件规定的文件</w:t>
      </w:r>
      <w:bookmarkEnd w:id="66"/>
      <w:r/>
      <w:bookmarkEnd w:id="67"/>
      <w:r/>
      <w:bookmarkEnd w:id="68"/>
      <w:r>
        <w:rPr>
          <w:rFonts w:hint="eastAsia" w:ascii="方正仿宋_GBK" w:hAnsi="方正仿宋_GBK" w:eastAsia="方正仿宋_GBK" w:cs="方正仿宋_GBK"/>
          <w:b w:val="0"/>
          <w:bCs w:val="0"/>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End w:id="69"/>
      <w:r/>
      <w:bookmarkEnd w:id="70"/>
      <w:r/>
      <w:bookmarkEnd w:id="71"/>
      <w:r/>
      <w:bookmarkStart w:id="72" w:name="_Toc14577355"/>
      <w:r/>
      <w:bookmarkStart w:id="73" w:name="_Toc49090508"/>
      <w:r>
        <w:rPr>
          <w:rFonts w:hint="eastAsia" w:ascii="方正仿宋_GBK" w:hAnsi="方正仿宋_GBK" w:eastAsia="方正仿宋_GBK" w:cs="方正仿宋_GBK"/>
          <w:sz w:val="32"/>
          <w:szCs w:val="32"/>
        </w:rPr>
        <w:t xml:space="preserve">10.1 投标人应按照法律、法规、规章和规范性文件以及招标文件要求提交证明文件，证明其及投标标的符合招标文件规定。</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10.2招标文件对证明文件无明确形式要求的，证明文件可以以文字资料、图纸和数据等形式提交。</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11.投标分项报价</w:t>
      </w:r>
      <w:bookmarkEnd w:id="72"/>
      <w:r/>
      <w:bookmarkStart w:id="74" w:name="_Hlt26670373"/>
      <w:r/>
      <w:bookmarkEnd w:id="74"/>
      <w:r>
        <w:rPr>
          <w:rFonts w:hint="eastAsia" w:ascii="方正仿宋_GBK" w:hAnsi="方正仿宋_GBK" w:eastAsia="方正仿宋_GBK" w:cs="方正仿宋_GBK"/>
          <w:b w:val="0"/>
          <w:bCs w:val="0"/>
          <w:sz w:val="32"/>
          <w:szCs w:val="32"/>
        </w:rPr>
        <w:t xml:space="preserve">表</w:t>
      </w:r>
      <w:bookmarkEnd w:id="73"/>
      <w:r>
        <w:rPr>
          <w:rFonts w:hint="eastAsia" w:ascii="方正仿宋_GBK" w:hAnsi="方正仿宋_GBK" w:eastAsia="方正仿宋_GBK" w:cs="方正仿宋_GBK"/>
          <w:b w:val="0"/>
          <w:bCs w:val="0"/>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w:t>
      </w:r>
      <w:r>
        <w:rPr>
          <w:rFonts w:hint="eastAsia" w:ascii="方正仿宋_GBK" w:hAnsi="方正仿宋_GBK" w:eastAsia="方正仿宋_GBK" w:cs="方正仿宋_GBK"/>
          <w:sz w:val="32"/>
          <w:szCs w:val="32"/>
        </w:rPr>
        <w:t xml:space="preserve"> 投</w:t>
      </w:r>
      <w:bookmarkStart w:id="75" w:name="_Hlt26954840"/>
      <w:r/>
      <w:bookmarkEnd w:id="75"/>
      <w:r>
        <w:rPr>
          <w:rFonts w:hint="eastAsia" w:ascii="方正仿宋_GBK" w:hAnsi="方正仿宋_GBK" w:eastAsia="方正仿宋_GBK" w:cs="方正仿宋_GBK"/>
          <w:sz w:val="32"/>
          <w:szCs w:val="32"/>
        </w:rPr>
        <w:t xml:space="preserve">标人按照招标文件规定格式填报投标分项报价表</w:t>
      </w:r>
      <w:bookmarkStart w:id="76" w:name="_Hlt26670399"/>
      <w:r/>
      <w:bookmarkEnd w:id="76"/>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11.2</w:t>
      </w:r>
      <w:r>
        <w:rPr>
          <w:rFonts w:hint="eastAsia" w:ascii="方正仿宋_GBK" w:hAnsi="方正仿宋_GBK" w:eastAsia="方正仿宋_GBK" w:cs="方正仿宋_GBK"/>
          <w:bCs/>
          <w:sz w:val="32"/>
          <w:szCs w:val="32"/>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rPr>
        <w:t xml:space="preserve">招标文件中另有规定的按规定执行。</w:t>
      </w:r>
      <w:r>
        <w:rPr>
          <w:rFonts w:hint="eastAsia" w:ascii="方正仿宋_GBK" w:hAnsi="方正仿宋_GBK" w:eastAsia="方正仿宋_GBK" w:cs="方正仿宋_GBK"/>
          <w:bCs/>
          <w:sz w:val="32"/>
          <w:szCs w:val="32"/>
        </w:rPr>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77" w:name="_Hlt26954844"/>
      <w:r/>
      <w:bookmarkEnd w:id="77"/>
      <w:r/>
      <w:bookmarkStart w:id="78" w:name="_Hlt26954846"/>
      <w:r/>
      <w:bookmarkEnd w:id="78"/>
      <w:r/>
      <w:bookmarkStart w:id="79" w:name="_Hlt26670482"/>
      <w:r/>
      <w:bookmarkEnd w:id="79"/>
      <w:r/>
      <w:bookmarkStart w:id="80" w:name="_Hlt26954848"/>
      <w:r/>
      <w:bookmarkEnd w:id="80"/>
      <w:r/>
      <w:bookmarkStart w:id="81" w:name="_Hlt26670425"/>
      <w:r/>
      <w:bookmarkEnd w:id="81"/>
      <w:r/>
      <w:bookmarkStart w:id="82" w:name="_Hlt26668983"/>
      <w:r/>
      <w:bookmarkEnd w:id="82"/>
      <w:r/>
      <w:bookmarkStart w:id="83" w:name="_Hlt26670403"/>
      <w:r/>
      <w:bookmarkEnd w:id="83"/>
      <w:r/>
      <w:bookmarkStart w:id="84" w:name="_Hlt26954842"/>
      <w:r/>
      <w:bookmarkEnd w:id="84"/>
      <w:r/>
      <w:bookmarkStart w:id="85" w:name="_Hlt26670486"/>
      <w:r/>
      <w:bookmarkEnd w:id="85"/>
      <w:r/>
      <w:bookmarkStart w:id="86" w:name="_Hlt26954731"/>
      <w:r/>
      <w:bookmarkEnd w:id="86"/>
      <w:r>
        <w:rPr>
          <w:rFonts w:hint="eastAsia" w:ascii="方正仿宋_GBK" w:hAnsi="方正仿宋_GBK" w:eastAsia="方正仿宋_GBK" w:cs="方正仿宋_GBK"/>
          <w:b w:val="0"/>
          <w:bCs w:val="0"/>
          <w:sz w:val="32"/>
          <w:szCs w:val="32"/>
        </w:rPr>
        <w:t xml:space="preserve">12.技术要求响应及偏离表、商务要求响应及偏离表</w:t>
      </w:r>
      <w:r/>
    </w:p>
    <w:p>
      <w:pPr>
        <w:pStyle w:val="949"/>
        <w:ind w:firstLine="640"/>
        <w:spacing w:line="560" w:lineRule="exact"/>
        <w:rPr>
          <w:rFonts w:hint="eastAsia" w:ascii="方正仿宋_GBK" w:hAnsi="方正仿宋_GBK" w:eastAsia="方正仿宋_GBK" w:cs="方正仿宋_GBK"/>
          <w:sz w:val="32"/>
          <w:szCs w:val="32"/>
          <w:lang w:val="zh-CN"/>
        </w:rPr>
      </w:pPr>
      <w:r>
        <w:rPr>
          <w:rFonts w:hint="eastAsia" w:ascii="方正仿宋_GBK" w:hAnsi="方正仿宋_GBK" w:eastAsia="方正仿宋_GBK" w:cs="方正仿宋_GBK"/>
          <w:bCs/>
          <w:sz w:val="32"/>
          <w:szCs w:val="32"/>
          <w:lang w:val="zh-CN"/>
        </w:rPr>
        <w:t xml:space="preserve">12.1</w:t>
      </w:r>
      <w:r>
        <w:rPr>
          <w:rFonts w:hint="eastAsia" w:ascii="方正仿宋_GBK" w:hAnsi="方正仿宋_GBK" w:eastAsia="方正仿宋_GBK" w:cs="方正仿宋_GBK"/>
          <w:sz w:val="32"/>
          <w:szCs w:val="32"/>
          <w:lang w:val="zh-CN"/>
        </w:rPr>
        <w:t xml:space="preserve"> 投标人需对招标文件中的技术要求与商务要求逐项作出响应或偏离，并说明原因。</w:t>
      </w:r>
      <w:r/>
    </w:p>
    <w:p>
      <w:pPr>
        <w:pStyle w:val="949"/>
        <w:ind w:firstLine="640"/>
        <w:spacing w:line="560" w:lineRule="exact"/>
        <w:rPr>
          <w:rFonts w:hint="eastAsia" w:ascii="方正仿宋_GBK" w:hAnsi="方正仿宋_GBK" w:eastAsia="方正仿宋_GBK" w:cs="方正仿宋_GBK"/>
          <w:sz w:val="32"/>
          <w:szCs w:val="32"/>
          <w:lang w:val="zh-CN"/>
        </w:rPr>
      </w:pPr>
      <w:r/>
      <w:bookmarkStart w:id="87" w:name="_Toc14577359"/>
      <w:r/>
      <w:bookmarkStart w:id="88" w:name="_Toc49090510"/>
      <w:r>
        <w:rPr>
          <w:rFonts w:hint="eastAsia" w:ascii="方正仿宋_GBK" w:hAnsi="方正仿宋_GBK" w:eastAsia="方正仿宋_GBK" w:cs="方正仿宋_GBK"/>
          <w:sz w:val="32"/>
          <w:szCs w:val="32"/>
          <w:lang w:val="zh-CN"/>
        </w:rPr>
        <w:t xml:space="preserve">12.2 投标人需按照招标文件要求，在投标文件中提供与技术要求和商务要求相关的证明材料。</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13.投标函和开标一览表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13.1</w:t>
      </w:r>
      <w:r>
        <w:rPr>
          <w:rFonts w:hint="eastAsia" w:ascii="方正仿宋_GBK" w:hAnsi="方正仿宋_GBK" w:eastAsia="方正仿宋_GBK" w:cs="方正仿宋_GBK"/>
          <w:sz w:val="32"/>
          <w:szCs w:val="32"/>
        </w:rPr>
        <w:t xml:space="preserve"> 投标人应按照招标文件中提供的格式完整、正确填写投标函、开标一览表。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13.2</w:t>
      </w:r>
      <w:r>
        <w:rPr>
          <w:rFonts w:hint="eastAsia" w:ascii="方正仿宋_GBK" w:hAnsi="方正仿宋_GBK" w:eastAsia="方正仿宋_GBK" w:cs="方正仿宋_GBK"/>
          <w:sz w:val="32"/>
          <w:szCs w:val="32"/>
        </w:rPr>
        <w:t xml:space="preserve"> 对于采用货币报价的项目，</w:t>
      </w:r>
      <w:r>
        <w:rPr>
          <w:rFonts w:hint="eastAsia" w:ascii="方正仿宋_GBK" w:hAnsi="方正仿宋_GBK" w:eastAsia="方正仿宋_GBK" w:cs="方正仿宋_GBK"/>
          <w:bCs/>
          <w:sz w:val="32"/>
          <w:szCs w:val="32"/>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rPr>
        <w:t xml:space="preserve">不作为无效投标处理</w:t>
      </w:r>
      <w:r>
        <w:rPr>
          <w:rFonts w:hint="eastAsia" w:ascii="方正仿宋_GBK" w:hAnsi="方正仿宋_GBK" w:eastAsia="方正仿宋_GBK" w:cs="方正仿宋_GBK"/>
          <w:bCs/>
          <w:sz w:val="32"/>
          <w:szCs w:val="32"/>
        </w:rPr>
        <w:t xml:space="preserve">，但评标时按开标一览表中价格为准</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sz w:val="32"/>
          <w:szCs w:val="32"/>
        </w:rPr>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End w:id="87"/>
      <w:r/>
      <w:bookmarkEnd w:id="88"/>
      <w:r/>
      <w:bookmarkStart w:id="89" w:name="_Hlt26954734"/>
      <w:r/>
      <w:bookmarkEnd w:id="89"/>
      <w:r/>
      <w:bookmarkStart w:id="90" w:name="_Hlt26954850"/>
      <w:r/>
      <w:bookmarkEnd w:id="90"/>
      <w:r/>
      <w:bookmarkStart w:id="91" w:name="_Hlt26670489"/>
      <w:r/>
      <w:bookmarkEnd w:id="91"/>
      <w:r/>
      <w:bookmarkStart w:id="92" w:name="_Toc49090511"/>
      <w:r/>
      <w:bookmarkStart w:id="93" w:name="_Toc14577360"/>
      <w:r>
        <w:rPr>
          <w:rFonts w:hint="eastAsia" w:ascii="方正仿宋_GBK" w:hAnsi="方正仿宋_GBK" w:eastAsia="方正仿宋_GBK" w:cs="方正仿宋_GBK"/>
          <w:b w:val="0"/>
          <w:bCs w:val="0"/>
          <w:sz w:val="32"/>
          <w:szCs w:val="32"/>
        </w:rPr>
        <w:t xml:space="preserve">14.投标有效期</w:t>
      </w:r>
      <w:bookmarkEnd w:id="92"/>
      <w:r/>
      <w:bookmarkEnd w:id="93"/>
      <w:r>
        <w:rPr>
          <w:rFonts w:hint="eastAsia" w:ascii="方正仿宋_GBK" w:hAnsi="方正仿宋_GBK" w:eastAsia="方正仿宋_GBK" w:cs="方正仿宋_GBK"/>
          <w:b w:val="0"/>
          <w:bCs w:val="0"/>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14.1</w:t>
      </w:r>
      <w:r>
        <w:rPr>
          <w:rFonts w:hint="eastAsia" w:ascii="方正仿宋_GBK" w:hAnsi="方正仿宋_GBK" w:eastAsia="方正仿宋_GBK" w:cs="方正仿宋_GBK"/>
          <w:bCs/>
          <w:sz w:val="32"/>
          <w:szCs w:val="32"/>
        </w:rPr>
        <w:t xml:space="preserve"> 投标有效期为采购中心规定的开标之日后</w:t>
      </w:r>
      <w:r>
        <w:rPr>
          <w:rFonts w:hint="eastAsia" w:ascii="方正仿宋_GBK" w:hAnsi="方正仿宋_GBK" w:eastAsia="方正仿宋_GBK" w:cs="方正仿宋_GBK"/>
          <w:b/>
          <w:sz w:val="32"/>
          <w:szCs w:val="32"/>
          <w:u w:val="single"/>
        </w:rPr>
        <w:t xml:space="preserve">六十（60）天</w:t>
      </w:r>
      <w:r>
        <w:rPr>
          <w:rFonts w:hint="eastAsia" w:ascii="方正仿宋_GBK" w:hAnsi="方正仿宋_GBK" w:eastAsia="方正仿宋_GBK" w:cs="方正仿宋_GBK"/>
          <w:bCs/>
          <w:sz w:val="32"/>
          <w:szCs w:val="32"/>
        </w:rPr>
        <w:t xml:space="preserve">。投标有效期比规定短的将被视为未实质性响应招标文件而予以拒绝。</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15.投标有效期的延长</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15.1</w:t>
      </w:r>
      <w:r>
        <w:rPr>
          <w:rFonts w:hint="eastAsia" w:ascii="方正仿宋_GBK" w:hAnsi="方正仿宋_GBK" w:eastAsia="方正仿宋_GBK" w:cs="方正仿宋_GBK"/>
          <w:bCs/>
          <w:sz w:val="32"/>
          <w:szCs w:val="32"/>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同意延长投标有效期的投标人既不能要求也不允许修改其投标文件</w:t>
      </w:r>
      <w:r>
        <w:rPr>
          <w:rFonts w:hint="eastAsia" w:ascii="方正仿宋_GBK" w:hAnsi="方正仿宋_GBK" w:eastAsia="方正仿宋_GBK" w:cs="方正仿宋_GBK"/>
          <w:sz w:val="32"/>
          <w:szCs w:val="32"/>
        </w:rPr>
        <w:t xml:space="preserve">，同时受投标有效期约束的所有权利与义务均延长至新的有效期</w:t>
      </w:r>
      <w:r>
        <w:rPr>
          <w:rFonts w:hint="eastAsia" w:ascii="方正仿宋_GBK" w:hAnsi="方正仿宋_GBK" w:eastAsia="方正仿宋_GBK" w:cs="方正仿宋_GBK"/>
          <w:bCs/>
          <w:sz w:val="32"/>
          <w:szCs w:val="32"/>
        </w:rPr>
        <w:t xml:space="preserve">。</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94" w:name="_Hlt26954739"/>
      <w:r/>
      <w:bookmarkEnd w:id="94"/>
      <w:r/>
      <w:bookmarkStart w:id="95" w:name="_Hlt26954852"/>
      <w:r/>
      <w:bookmarkEnd w:id="95"/>
      <w:r/>
      <w:bookmarkStart w:id="96" w:name="_Toc16938540"/>
      <w:r/>
      <w:bookmarkStart w:id="97" w:name="_Toc20823296"/>
      <w:r/>
      <w:bookmarkStart w:id="98" w:name="_Toc120614217"/>
      <w:r/>
      <w:bookmarkStart w:id="99" w:name="_Toc513029224"/>
      <w:r>
        <w:rPr>
          <w:rFonts w:hint="eastAsia" w:ascii="方正黑体_GBK" w:hAnsi="方正黑体_GBK" w:eastAsia="方正黑体_GBK" w:cs="方正黑体_GBK"/>
          <w:sz w:val="32"/>
          <w:szCs w:val="32"/>
        </w:rPr>
        <w:t xml:space="preserve">四、投标文件的递交</w:t>
      </w:r>
      <w:bookmarkEnd w:id="96"/>
      <w:r/>
      <w:bookmarkEnd w:id="97"/>
      <w:r/>
      <w:bookmarkEnd w:id="98"/>
      <w:r/>
      <w:bookmarkEnd w:id="99"/>
      <w:r>
        <w:rPr>
          <w:rFonts w:hint="eastAsia" w:ascii="方正黑体_GBK" w:hAnsi="方正黑体_GBK" w:eastAsia="方正黑体_GBK" w:cs="方正黑体_GBK"/>
          <w:sz w:val="32"/>
          <w:szCs w:val="32"/>
        </w:rPr>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100" w:name="_Toc513029225"/>
      <w:r/>
      <w:bookmarkStart w:id="101" w:name="_Toc462564084"/>
      <w:r/>
      <w:bookmarkStart w:id="102" w:name="_Toc20823297"/>
      <w:r/>
      <w:bookmarkStart w:id="103" w:name="_Toc16938541"/>
      <w:r>
        <w:rPr>
          <w:rFonts w:hint="eastAsia" w:ascii="方正仿宋_GBK" w:hAnsi="方正仿宋_GBK" w:eastAsia="方正仿宋_GBK" w:cs="方正仿宋_GBK"/>
          <w:b w:val="0"/>
          <w:bCs w:val="0"/>
          <w:sz w:val="32"/>
          <w:szCs w:val="32"/>
        </w:rPr>
        <w:t xml:space="preserve">16.投标文件</w:t>
      </w:r>
      <w:bookmarkEnd w:id="100"/>
      <w:r/>
      <w:bookmarkEnd w:id="101"/>
      <w:r/>
      <w:bookmarkEnd w:id="102"/>
      <w:r/>
      <w:bookmarkEnd w:id="103"/>
      <w:r>
        <w:rPr>
          <w:rFonts w:hint="eastAsia" w:ascii="方正仿宋_GBK" w:hAnsi="方正仿宋_GBK" w:eastAsia="方正仿宋_GBK" w:cs="方正仿宋_GBK"/>
          <w:b w:val="0"/>
          <w:bCs w:val="0"/>
          <w:sz w:val="32"/>
          <w:szCs w:val="32"/>
        </w:rPr>
        <w:t xml:space="preserve">的递交</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16.1</w:t>
      </w:r>
      <w:r>
        <w:rPr>
          <w:rFonts w:hint="eastAsia" w:ascii="方正仿宋_GBK" w:hAnsi="方正仿宋_GBK" w:eastAsia="方正仿宋_GBK" w:cs="方正仿宋_GBK"/>
          <w:bCs/>
          <w:sz w:val="32"/>
          <w:szCs w:val="32"/>
        </w:rPr>
        <w:t xml:space="preserve"> 电子投标文件的递交</w:t>
      </w:r>
      <w:r/>
    </w:p>
    <w:p>
      <w:pPr>
        <w:pStyle w:val="1062"/>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投标人应当按照《操作手册》规定，在投标截止时间前制作并上传电子投标文件。</w:t>
      </w:r>
      <w:bookmarkStart w:id="104" w:name="_Toc16938542"/>
      <w:r/>
      <w:bookmarkStart w:id="105" w:name="_Toc513029226"/>
      <w:r/>
      <w:bookmarkStart w:id="106" w:name="_Toc20823298"/>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17.投标截止</w:t>
      </w:r>
      <w:bookmarkEnd w:id="104"/>
      <w:r/>
      <w:bookmarkEnd w:id="105"/>
      <w:r/>
      <w:bookmarkEnd w:id="106"/>
      <w:r>
        <w:rPr>
          <w:rFonts w:hint="eastAsia" w:ascii="方正仿宋_GBK" w:hAnsi="方正仿宋_GBK" w:eastAsia="方正仿宋_GBK" w:cs="方正仿宋_GBK"/>
          <w:bCs/>
          <w:sz w:val="32"/>
          <w:szCs w:val="32"/>
        </w:rPr>
        <w:t xml:space="preserve">时间</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17.1</w:t>
      </w:r>
      <w:r>
        <w:rPr>
          <w:rFonts w:hint="eastAsia" w:ascii="方正仿宋_GBK" w:hAnsi="方正仿宋_GBK" w:eastAsia="方正仿宋_GBK" w:cs="方正仿宋_GBK"/>
          <w:bCs/>
          <w:sz w:val="32"/>
          <w:szCs w:val="32"/>
        </w:rPr>
        <w:t xml:space="preserve"> 投标人上传电子投标文件的时间不得迟于招标公告中规定的投标截止时间。</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投标人应充分考虑到网络环境、网络带宽等风险因素，如因投标人自身原因造成的电子投标文件上传不成功的按照本招标文件第二章第25.1.2条规定做无效投标处理。</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17.2</w:t>
      </w:r>
      <w:r>
        <w:rPr>
          <w:rFonts w:hint="eastAsia" w:ascii="方正仿宋_GBK" w:hAnsi="方正仿宋_GBK" w:eastAsia="方正仿宋_GBK" w:cs="方正仿宋_GBK"/>
          <w:bCs/>
          <w:sz w:val="32"/>
          <w:szCs w:val="32"/>
        </w:rPr>
        <w:t xml:space="preserve"> 采购中心可以按照规定，通过修改招标文件酌情延长投标截止时间，在此情况下，投标人的所有权利和义务以及投标人受制的截止时间均应以延长后新的截止时间为准。</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107" w:name="_Toc513029227"/>
      <w:r/>
      <w:bookmarkStart w:id="108" w:name="_Toc20823299"/>
      <w:r/>
      <w:bookmarkStart w:id="109" w:name="_Toc16938543"/>
      <w:r>
        <w:rPr>
          <w:rFonts w:hint="eastAsia" w:ascii="方正仿宋_GBK" w:hAnsi="方正仿宋_GBK" w:eastAsia="方正仿宋_GBK" w:cs="方正仿宋_GBK"/>
          <w:b w:val="0"/>
          <w:bCs w:val="0"/>
          <w:sz w:val="32"/>
          <w:szCs w:val="32"/>
        </w:rPr>
        <w:t xml:space="preserve">18.投标文件</w:t>
      </w:r>
      <w:bookmarkEnd w:id="107"/>
      <w:r/>
      <w:bookmarkEnd w:id="108"/>
      <w:r/>
      <w:bookmarkEnd w:id="109"/>
      <w:r>
        <w:rPr>
          <w:rFonts w:hint="eastAsia" w:ascii="方正仿宋_GBK" w:hAnsi="方正仿宋_GBK" w:eastAsia="方正仿宋_GBK" w:cs="方正仿宋_GBK"/>
          <w:b w:val="0"/>
          <w:bCs w:val="0"/>
          <w:sz w:val="32"/>
          <w:szCs w:val="32"/>
        </w:rPr>
        <w:t xml:space="preserve">的拒收</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18.1</w:t>
      </w:r>
      <w:r>
        <w:rPr>
          <w:rFonts w:hint="eastAsia" w:ascii="方正仿宋_GBK" w:hAnsi="方正仿宋_GBK" w:eastAsia="方正仿宋_GBK" w:cs="方正仿宋_GBK"/>
          <w:bCs/>
          <w:sz w:val="32"/>
          <w:szCs w:val="32"/>
        </w:rPr>
        <w:t xml:space="preserve">采购中心拒绝接收在其规定的投标截止时间后上传的任何投标文件。</w:t>
      </w:r>
      <w:r/>
    </w:p>
    <w:p>
      <w:pPr>
        <w:pStyle w:val="953"/>
        <w:ind w:firstLine="640"/>
        <w:spacing w:before="0" w:after="0" w:line="560" w:lineRule="exact"/>
        <w:rPr>
          <w:rFonts w:hint="eastAsia" w:ascii="方正仿宋_GBK" w:hAnsi="方正仿宋_GBK" w:eastAsia="方正仿宋_GBK" w:cs="方正仿宋_GBK"/>
          <w:b w:val="0"/>
          <w:bCs w:val="0"/>
          <w:sz w:val="32"/>
          <w:szCs w:val="32"/>
        </w:rPr>
      </w:pPr>
      <w:r/>
      <w:bookmarkStart w:id="110" w:name="_Toc16938544"/>
      <w:r/>
      <w:bookmarkStart w:id="111" w:name="_Toc513029228"/>
      <w:r/>
      <w:bookmarkStart w:id="112" w:name="_Toc20823300"/>
      <w:r>
        <w:rPr>
          <w:rFonts w:hint="eastAsia" w:ascii="方正仿宋_GBK" w:hAnsi="方正仿宋_GBK" w:eastAsia="方正仿宋_GBK" w:cs="方正仿宋_GBK"/>
          <w:b w:val="0"/>
          <w:bCs w:val="0"/>
          <w:sz w:val="32"/>
          <w:szCs w:val="32"/>
        </w:rPr>
        <w:t xml:space="preserve">19.投标文件的撤回和修改</w:t>
      </w:r>
      <w:bookmarkEnd w:id="110"/>
      <w:r/>
      <w:bookmarkEnd w:id="111"/>
      <w:r/>
      <w:bookmarkEnd w:id="112"/>
      <w:r>
        <w:rPr>
          <w:rFonts w:hint="eastAsia" w:ascii="方正仿宋_GBK" w:hAnsi="方正仿宋_GBK" w:eastAsia="方正仿宋_GBK" w:cs="方正仿宋_GBK"/>
          <w:b w:val="0"/>
          <w:bCs w:val="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投标文件的撤回</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19.1.1 电子投标文件的撤回</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投标人可在投标截止时间前，撤回其电子投标文件，具体操作方法见《操作手册》。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19.1.2 投标人撤回电子投标文件，则认为其不再参与本项目投标活动。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投标文件的修改</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19.2.1投标人可在投标截止时间前，对其电子投标文件进行修改，具体操作方法见《操作手册》。</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19.2.2</w:t>
      </w:r>
      <w:r>
        <w:rPr>
          <w:rFonts w:hint="eastAsia" w:ascii="方正仿宋_GBK" w:hAnsi="方正仿宋_GBK" w:eastAsia="方正仿宋_GBK" w:cs="方正仿宋_GBK"/>
          <w:bCs/>
          <w:sz w:val="32"/>
          <w:szCs w:val="32"/>
        </w:rPr>
        <w:t xml:space="preserve"> 在投标截止时间之后，投标人不得对其电子投标文件作任何修改。</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19.3</w:t>
      </w:r>
      <w:r>
        <w:rPr>
          <w:rFonts w:hint="eastAsia" w:ascii="方正仿宋_GBK" w:hAnsi="方正仿宋_GBK" w:eastAsia="方正仿宋_GBK" w:cs="方正仿宋_GBK"/>
          <w:bCs/>
          <w:sz w:val="32"/>
          <w:szCs w:val="32"/>
        </w:rPr>
        <w:t xml:space="preserve"> 在投标截止时间至招标文件中规定的投标有效期满之间的这段时间内，投标人不得撤回其投标。</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113" w:name="_Toc16938545"/>
      <w:r/>
      <w:bookmarkStart w:id="114" w:name="_Toc120614218"/>
      <w:r/>
      <w:bookmarkStart w:id="115" w:name="_Toc513029229"/>
      <w:r/>
      <w:bookmarkStart w:id="116" w:name="_Toc20823301"/>
      <w:r>
        <w:rPr>
          <w:rFonts w:hint="eastAsia" w:ascii="方正黑体_GBK" w:hAnsi="方正黑体_GBK" w:eastAsia="方正黑体_GBK" w:cs="方正黑体_GBK"/>
          <w:sz w:val="32"/>
          <w:szCs w:val="32"/>
        </w:rPr>
        <w:t xml:space="preserve">五、开标与评标</w:t>
      </w:r>
      <w:bookmarkEnd w:id="113"/>
      <w:r/>
      <w:bookmarkEnd w:id="114"/>
      <w:r/>
      <w:bookmarkEnd w:id="115"/>
      <w:r/>
      <w:bookmarkEnd w:id="116"/>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Start w:id="117" w:name="_Toc513029230"/>
      <w:r/>
      <w:bookmarkStart w:id="118" w:name="_Toc16938546"/>
      <w:r/>
      <w:bookmarkStart w:id="119" w:name="_Toc20823302"/>
      <w:r>
        <w:rPr>
          <w:rFonts w:hint="eastAsia" w:ascii="方正仿宋_GBK" w:hAnsi="方正仿宋_GBK" w:eastAsia="方正仿宋_GBK" w:cs="方正仿宋_GBK"/>
          <w:sz w:val="32"/>
          <w:szCs w:val="32"/>
        </w:rPr>
        <w:t xml:space="preserve">20.开标</w:t>
      </w:r>
      <w:bookmarkEnd w:id="117"/>
      <w:r/>
      <w:bookmarkEnd w:id="118"/>
      <w:r/>
      <w:bookmarkEnd w:id="119"/>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采购中心将在招标公告中规定的时间和地点组织公开开标。投标人应当按照《操作手册》规定，参加开标活动和在苏采云系统规定的时间内对投标文件进行解密。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20.2开标仪式由采购中心组织。苏采云系统将自动对项目进行开标，并宣布各投标人名称和投标价格。</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20.3投标人在开标过程中涉及到的投标文件解密、开标结果确认等工作，应按照《操作手册》规定执行。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20.4投标人如果对开标过程和开标记录有疑义，应当根据《操作手册》规定提出，如苏采云系统中《开标记录表》宣布后5分钟内未提出的，视同认可开标结果。</w:t>
      </w:r>
      <w:r/>
    </w:p>
    <w:p>
      <w:pPr>
        <w:pStyle w:val="949"/>
        <w:ind w:firstLine="640"/>
        <w:spacing w:line="560" w:lineRule="exact"/>
        <w:rPr>
          <w:rFonts w:hint="eastAsia" w:ascii="方正仿宋_GBK" w:hAnsi="方正仿宋_GBK" w:eastAsia="方正仿宋_GBK" w:cs="方正仿宋_GBK"/>
          <w:sz w:val="32"/>
          <w:szCs w:val="32"/>
        </w:rPr>
      </w:pPr>
      <w:r/>
      <w:bookmarkStart w:id="120" w:name="_Toc16938547"/>
      <w:r/>
      <w:bookmarkStart w:id="121" w:name="_Toc20823303"/>
      <w:r/>
      <w:bookmarkStart w:id="122" w:name="_Toc513029231"/>
      <w:r>
        <w:rPr>
          <w:rFonts w:hint="eastAsia" w:ascii="方正仿宋_GBK" w:hAnsi="方正仿宋_GBK" w:eastAsia="方正仿宋_GBK" w:cs="方正仿宋_GBK"/>
          <w:sz w:val="32"/>
          <w:szCs w:val="32"/>
        </w:rPr>
        <w:t xml:space="preserve">21.评标委员会</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开标后，采购中心将立即组织评标委员会进行评标。</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评标委员会由采购人代表和有关技术、经济等方面的专家组成，且人员构成符合政府采购有关规定。</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21.3评标委员会独立工作，负责评审所有投标文件并确定中标侯选人。</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22.评标过程的保密与公正</w:t>
      </w:r>
      <w:r/>
    </w:p>
    <w:p>
      <w:pPr>
        <w:pStyle w:val="949"/>
        <w:ind w:firstLine="640"/>
        <w:spacing w:line="560" w:lineRule="exact"/>
        <w:rPr>
          <w:rFonts w:hint="eastAsia" w:ascii="方正仿宋_GBK" w:hAnsi="方正仿宋_GBK" w:eastAsia="方正仿宋_GBK" w:cs="方正仿宋_GBK"/>
          <w:sz w:val="32"/>
          <w:szCs w:val="32"/>
        </w:rPr>
      </w:pPr>
      <w:r/>
      <w:bookmarkEnd w:id="120"/>
      <w:r/>
      <w:bookmarkEnd w:id="121"/>
      <w:r/>
      <w:bookmarkEnd w:id="122"/>
      <w:r>
        <w:rPr>
          <w:rFonts w:hint="eastAsia" w:ascii="方正仿宋_GBK" w:hAnsi="方正仿宋_GBK" w:eastAsia="方正仿宋_GBK" w:cs="方正仿宋_GBK"/>
          <w:sz w:val="32"/>
          <w:szCs w:val="32"/>
        </w:rPr>
        <w:t xml:space="preserve">22.1凡是与审查、澄清、评价和比较投标的有关资料以及授标建议等，采购人、评委、采购中心均不得向投标人或与评标无关的其他人员透露。</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22.2在评标过程中，投标人不得以任何行为影响评标过程，否则其投标文件将被作为无效投标文件。</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 采购中心和评标委员会不向未中标的投标人解释未中标原因，也不公布评标过程中的相关细节。</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 采用综合评分法的项目，未中标的投标人可于中标结果公告期限届满之日起通过苏采云系统查看自己的评审得分及排序情况。</w:t>
      </w:r>
      <w:r/>
    </w:p>
    <w:p>
      <w:pPr>
        <w:pStyle w:val="949"/>
        <w:ind w:firstLine="640"/>
        <w:spacing w:line="560" w:lineRule="exact"/>
        <w:rPr>
          <w:rFonts w:hint="eastAsia" w:ascii="方正仿宋_GBK" w:hAnsi="方正仿宋_GBK" w:eastAsia="方正仿宋_GBK" w:cs="方正仿宋_GBK"/>
          <w:sz w:val="32"/>
          <w:szCs w:val="32"/>
        </w:rPr>
      </w:pPr>
      <w:r/>
      <w:bookmarkStart w:id="123" w:name="_Toc16938548"/>
      <w:r/>
      <w:bookmarkStart w:id="124" w:name="_Toc513029232"/>
      <w:r/>
      <w:bookmarkStart w:id="125" w:name="_Toc20823304"/>
      <w:r>
        <w:rPr>
          <w:rFonts w:hint="eastAsia" w:ascii="方正仿宋_GBK" w:hAnsi="方正仿宋_GBK" w:eastAsia="方正仿宋_GBK" w:cs="方正仿宋_GBK"/>
          <w:sz w:val="32"/>
          <w:szCs w:val="32"/>
        </w:rPr>
        <w:t xml:space="preserve">23.投标文件的澄清</w:t>
      </w:r>
      <w:bookmarkEnd w:id="123"/>
      <w:r/>
      <w:bookmarkEnd w:id="124"/>
      <w:r/>
      <w:bookmarkEnd w:id="125"/>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23.1评标期间，评标委员会对投标文件中含义不明确、同类问题表述不一致或者有明显文字和计算错误的内容 ，有权要求投标人作出必要的澄清、说明或者补正。</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投标人的澄清、说明或者补正不得超出投标文件的范围或者改变投标文件的实质性内容。</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评标委员会并非对每个投标人都做澄清要求。</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23.3 接到评标委员会澄清、说明和补正要求的投标人如未按规定做出澄清、说明和补正，其风险由投标人自行承担。</w:t>
      </w:r>
      <w:r/>
    </w:p>
    <w:p>
      <w:pPr>
        <w:pStyle w:val="949"/>
        <w:ind w:firstLine="640"/>
        <w:spacing w:line="560" w:lineRule="exact"/>
        <w:rPr>
          <w:rFonts w:hint="eastAsia" w:ascii="方正仿宋_GBK" w:hAnsi="方正仿宋_GBK" w:eastAsia="方正仿宋_GBK" w:cs="方正仿宋_GBK"/>
          <w:sz w:val="32"/>
          <w:szCs w:val="32"/>
        </w:rPr>
      </w:pPr>
      <w:r/>
      <w:bookmarkStart w:id="126" w:name="_Toc16938549"/>
      <w:r/>
      <w:bookmarkStart w:id="127" w:name="_Toc20823305"/>
      <w:r/>
      <w:bookmarkStart w:id="128" w:name="_Toc513029233"/>
      <w:r>
        <w:rPr>
          <w:rFonts w:hint="eastAsia" w:ascii="方正仿宋_GBK" w:hAnsi="方正仿宋_GBK" w:eastAsia="方正仿宋_GBK" w:cs="方正仿宋_GBK"/>
          <w:sz w:val="32"/>
          <w:szCs w:val="32"/>
        </w:rPr>
        <w:t xml:space="preserve">24.对投标文件的初审</w:t>
      </w:r>
      <w:bookmarkEnd w:id="126"/>
      <w:r/>
      <w:bookmarkEnd w:id="127"/>
      <w:r/>
      <w:bookmarkEnd w:id="128"/>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24.1投标文件初审分为资格审查和符合性审查。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24.1.1 资格审查：依据法律法规和招标文件的规定，由采购人对投标文件中的资格证明文件进行审查。资格审查的结论，采购人以书面形式向评标委员会进行反馈。</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采购人在进行资格性审查的同时，将在“信用中国”网站（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）查询投标人的信用记录，以确定投标人是否具备投标资格,查询结果留存并归档。</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24.1.2 符合性审查：依据招标文件的规定，由评标委员会从投标文件的有效性、完整性和对招标文件的响应程度进行审查，以确定是否对招标文件的实质性要求作出响应。</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24.3如果投标文件实质上没有响应招标文件的要求，评标委员会将予以拒绝，投标人不得通过修改或撤销不符合要求的偏离或保留而使其投标成为实质性响应的投标。</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24.4评标委员会将对确定为实质性响应的投标进行进一步审核，确定其是否有计算上或累加上的算术错误，修正错误的原则如下：</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（1）投标文件中开标一览表内容与投标文件中相应内容不一致的，以开标一览表为准。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（2）大写金额和小写金额不一致的，以大写金额为准。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（3）单价金额小数点或者百分比有明显错位的，以开标一览表的总价为准，并修改单价。</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（4）总价金额与按单价汇总金额不一致的，以单价金额计算结果为准。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同时出现两种以上错误的，按照前款规定的顺序修正。</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9"/>
        <w:ind w:firstLine="640"/>
        <w:spacing w:line="560" w:lineRule="exact"/>
        <w:rPr>
          <w:rFonts w:hint="eastAsia" w:ascii="方正仿宋_GBK" w:hAnsi="方正仿宋_GBK" w:eastAsia="方正仿宋_GBK" w:cs="方正仿宋_GBK"/>
          <w:sz w:val="32"/>
          <w:szCs w:val="32"/>
        </w:rPr>
      </w:pPr>
      <w:r/>
      <w:bookmarkStart w:id="129" w:name="_Toc20823306"/>
      <w:r/>
      <w:bookmarkStart w:id="130" w:name="_Toc16938550"/>
      <w:r/>
      <w:bookmarkStart w:id="131" w:name="_Toc513029234"/>
      <w:r>
        <w:rPr>
          <w:rFonts w:hint="eastAsia" w:ascii="方正仿宋_GBK" w:hAnsi="方正仿宋_GBK" w:eastAsia="方正仿宋_GBK" w:cs="方正仿宋_GBK"/>
          <w:sz w:val="32"/>
          <w:szCs w:val="32"/>
        </w:rPr>
        <w:t xml:space="preserve">24.6投标人在开、评标全过程中应保持通讯畅通，及时登录苏采云系统查阅、答复相关信息，并安排专人与采购中心及评标委员会联系。</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 异常低价投标审查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24.7.1 评标过程中出现下列情形之一的，评标委员会应当启动异常低价投标审查程序：</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（1）投标报价低于全部通过符合性审查供应商投标报价平均值50%的，即投标报价&lt;全部通过符合性审查供应商投标报价平均值×50%；</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（2）投标报价低于通过符合性审查的次低报价供应商投标报价50%的，即投标报价&lt;通过符合性审查的次低报价供应商投标报价×50%；</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（3）投标报价低于采购项目最高限价45%的，即投标报价&lt;采购项目最高限价×45%；</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（4）评标委员会基于专业判断，认为供应商报价过低，有可能影响产品质量或者不能诚信履约的其他情形。</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w:t>
      </w:r>
      <w:bookmarkEnd w:id="129"/>
      <w:r/>
      <w:bookmarkEnd w:id="130"/>
      <w:r/>
      <w:bookmarkEnd w:id="131"/>
      <w:r>
        <w:rPr>
          <w:rFonts w:hint="eastAsia" w:ascii="方正仿宋_GBK" w:hAnsi="方正仿宋_GBK" w:eastAsia="方正仿宋_GBK" w:cs="方正仿宋_GBK"/>
          <w:sz w:val="32"/>
          <w:szCs w:val="32"/>
        </w:rPr>
        <w:t xml:space="preserve">.无效投标条款和废标条款</w:t>
      </w:r>
      <w:r/>
    </w:p>
    <w:p>
      <w:pPr>
        <w:pStyle w:val="949"/>
        <w:ind w:firstLine="640"/>
        <w:spacing w:line="560" w:lineRule="exact"/>
        <w:rPr>
          <w:rFonts w:hint="eastAsia" w:ascii="方正仿宋_GBK" w:hAnsi="方正仿宋_GBK" w:eastAsia="方正仿宋_GBK" w:cs="方正仿宋_GBK"/>
          <w:sz w:val="32"/>
          <w:szCs w:val="32"/>
        </w:rPr>
      </w:pPr>
      <w:r/>
      <w:bookmarkStart w:id="132" w:name="_Toc16938551"/>
      <w:r/>
      <w:bookmarkStart w:id="133" w:name="_Toc20823307"/>
      <w:r/>
      <w:bookmarkStart w:id="134" w:name="_Toc513029235"/>
      <w:r>
        <w:rPr>
          <w:rFonts w:hint="eastAsia" w:ascii="方正仿宋_GBK" w:hAnsi="方正仿宋_GBK" w:eastAsia="方正仿宋_GBK" w:cs="方正仿宋_GBK"/>
          <w:sz w:val="32"/>
          <w:szCs w:val="32"/>
        </w:rPr>
        <w:t xml:space="preserve">25.1无效投标条款</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 投标人在苏采云系统规定的时间内未成功解密电子投标文件的。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25.1.2 投标人未按照招标文件要求上传电子投标文件的。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25.1.3 投标人同一采购包提交两个（含两个）以上不同的投标报价的。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25.1.4投标人不具备招标文件中规定资格要求的。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25.1.5投标人的报价超过了采购预算或最高限价的。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25.1.6未通过符合性审查的。</w:t>
      </w:r>
      <w:r/>
    </w:p>
    <w:p>
      <w:pPr>
        <w:pStyle w:val="949"/>
        <w:ind w:firstLine="640"/>
        <w:spacing w:line="560" w:lineRule="exact"/>
        <w:rPr>
          <w:rFonts w:hint="eastAsia"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25.1.7不符合招标文件中规定的实质性要求的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i/>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25.1.8 投标人被 “信用中国”网站（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25.1.9 投标文件含有采购人不能接受的附加条件的。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25.1.10评标委员会按照本招标文件规定对投标人进行异常低价投标审查后，认为投标人不能证明其报价合理性的。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25.1.11 投标文件未按照招标文件要求加盖CA电子公章的。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25.1.12 投标人所提供的服务不符合招标文件中所列国家强制性标准的。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25.1.13其他法律、法规及本招标文件规定的属无效投标的情形。</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25.2废标条款</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25.2.1符合专业条件的供应商或者对招标文件作实质响应的供应商不足三家的。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25.2.2出现影响采购公正的违法、违规行为的。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25.2.3因重大变故，采购任务取消的。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25.2.4评标委员会认定招标文件存在歧义、重大缺陷导致评审工作无法进行。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25.2.5 因苏采云系统故障原因造成开标不成功的。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 投标截止时间结束后参加投标的供应商不足三家的处理：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25.3.1如出现投标截止时间结束后参加投标的供应商或者在评标期间对招标文件做出实质响应的供应商不足三家情况，按政府采购相关规定执行。</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135" w:name="_Toc120614219"/>
      <w:r>
        <w:rPr>
          <w:rFonts w:hint="eastAsia" w:ascii="方正黑体_GBK" w:hAnsi="方正黑体_GBK" w:eastAsia="方正黑体_GBK" w:cs="方正黑体_GBK"/>
          <w:sz w:val="32"/>
          <w:szCs w:val="32"/>
        </w:rPr>
        <w:t xml:space="preserve">六、</w:t>
      </w:r>
      <w:bookmarkEnd w:id="132"/>
      <w:r/>
      <w:bookmarkEnd w:id="133"/>
      <w:r/>
      <w:bookmarkEnd w:id="134"/>
      <w:r>
        <w:rPr>
          <w:rFonts w:hint="eastAsia" w:ascii="方正黑体_GBK" w:hAnsi="方正黑体_GBK" w:eastAsia="方正黑体_GBK" w:cs="方正黑体_GBK"/>
          <w:sz w:val="32"/>
          <w:szCs w:val="32"/>
        </w:rPr>
        <w:t xml:space="preserve">定标</w:t>
      </w:r>
      <w:bookmarkEnd w:id="135"/>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Start w:id="136" w:name="_Toc513029238"/>
      <w:r/>
      <w:bookmarkStart w:id="137" w:name="_Toc16938554"/>
      <w:r/>
      <w:bookmarkStart w:id="138" w:name="_Toc20823310"/>
      <w:r>
        <w:rPr>
          <w:rFonts w:hint="eastAsia" w:ascii="方正仿宋_GBK" w:hAnsi="方正仿宋_GBK" w:eastAsia="方正仿宋_GBK" w:cs="方正仿宋_GBK"/>
          <w:sz w:val="32"/>
          <w:szCs w:val="32"/>
        </w:rPr>
        <w:t xml:space="preserve">26</w:t>
      </w:r>
      <w:bookmarkEnd w:id="136"/>
      <w:r>
        <w:rPr>
          <w:rFonts w:hint="eastAsia" w:ascii="方正仿宋_GBK" w:hAnsi="方正仿宋_GBK" w:eastAsia="方正仿宋_GBK" w:cs="方正仿宋_GBK"/>
          <w:sz w:val="32"/>
          <w:szCs w:val="32"/>
        </w:rPr>
        <w:t xml:space="preserve">.确定</w:t>
      </w:r>
      <w:bookmarkEnd w:id="137"/>
      <w:r/>
      <w:bookmarkEnd w:id="138"/>
      <w:r>
        <w:rPr>
          <w:rFonts w:hint="eastAsia" w:ascii="方正仿宋_GBK" w:hAnsi="方正仿宋_GBK" w:eastAsia="方正仿宋_GBK" w:cs="方正仿宋_GBK"/>
          <w:sz w:val="32"/>
          <w:szCs w:val="32"/>
        </w:rPr>
        <w:t xml:space="preserve">中标单位</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26.1中标候选人的选取原则和数量见招标文件第五章规定。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26.2采购人应根据评标委员会推荐的中标候选人确定中标供应商。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 采购中心将在“江苏政府采购网”发布中标公告，公告期限为1个工作日。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 若有充分证据证明，中标供应商出现下列情况之一的，一经查实，将被取消中标资格：</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26.4.1提供虚假材料谋取中标的。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26.4.2向采购人、采购中心行贿或者提供其他不正当利益的。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26.4.3属于本文件规定的无效条件，但在评标过程中又未被评标委员会发现的。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26.4.4与采购人或者其他供应商恶意串通的。</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26.4.5采取不正当手段诋毁、排挤其他供应商的。</w:t>
      </w:r>
      <w:r/>
    </w:p>
    <w:p>
      <w:pPr>
        <w:pStyle w:val="949"/>
        <w:ind w:firstLine="640"/>
        <w:spacing w:line="560" w:lineRule="exact"/>
        <w:rPr>
          <w:rFonts w:hint="eastAsia" w:ascii="方正仿宋_GBK" w:hAnsi="方正仿宋_GBK" w:eastAsia="方正仿宋_GBK" w:cs="方正仿宋_GBK"/>
          <w:sz w:val="32"/>
          <w:szCs w:val="32"/>
        </w:rPr>
      </w:pPr>
      <w:r/>
      <w:bookmarkStart w:id="139" w:name="_Toc200451960"/>
      <w:r>
        <w:rPr>
          <w:rFonts w:hint="eastAsia" w:ascii="方正仿宋_GBK" w:hAnsi="方正仿宋_GBK" w:eastAsia="方正仿宋_GBK" w:cs="方正仿宋_GBK"/>
          <w:sz w:val="32"/>
          <w:szCs w:val="32"/>
        </w:rPr>
        <w:t xml:space="preserve">26.5有下列情形之一的，视为投标人串通投标，投标无效：</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26.5.1不同投标人的投标文件由同一单位或者个人编制。</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26.5.2不同投标人委托同一单位或者个人办理投标事宜。</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26.5.3 不同投标人的投标文件载明的项目管理成员或者联系人员为同一人。</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26.5.4不同投标人的投标文件异常一致或者投标报价呈规律性差异。</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27.质疑处理</w:t>
      </w:r>
      <w:bookmarkEnd w:id="139"/>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27.1 提出质疑的供应商应当是参与所质疑项目采购活动的供应商。潜在供应商依法获取其可质疑的采购文件的，可以对采购文件提出质疑。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27.2.1对可以质疑的采购文件提出质疑的，为收到采购文件之日或者采购文件公告期限届满之日；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27.2.2对采购过程提出质疑的，为各采购程序环节结束之日；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27.2.3对中标或者成交结果提出质疑的，为中标或者成交结果公告期限届满之日。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9"/>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9"/>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采购人及采购中心只接收以纸质原件形式送达的质疑,建议供应商尽量通过邮寄方式提交质疑（采购人和采购中心不接受无快递运单号的快递）。</w:t>
      </w:r>
      <w:r/>
    </w:p>
    <w:p>
      <w:pPr>
        <w:pStyle w:val="949"/>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采购中心质疑接收部门为质疑处理科（快递运单上的收件人填写“质疑处理科”即可），联系地址：南京市汉中门大街145号省政务中心二期3楼南区3029室，联系电话：025-83668531。</w:t>
      </w:r>
      <w:r/>
    </w:p>
    <w:p>
      <w:pPr>
        <w:pStyle w:val="949"/>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采购人质疑接收人及联系方式见招标文件第一章。</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 以下情形的质疑不予受理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 内容不符合《政府采购质疑和投诉办法》第十二条规定的质疑。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 超出政府采购法定期限的质疑。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以传真、电子邮件等方式递交的非原件形式的质疑。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 未参加投标活动的供应商或在投标活动中自身权益未受到损害的供应商所提出的质疑。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27.5.5供应商组成联合体参加投标，联合体中任何一方或多方未按要求签字、盖章、加盖公章的质疑。</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28.中标通知书</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9"/>
        <w:ind w:firstLine="640"/>
        <w:jc w:val="left"/>
        <w:keepNext/>
        <w:spacing w:line="560" w:lineRule="exact"/>
        <w:rPr>
          <w:rFonts w:hint="eastAsia" w:ascii="方正黑体_GBK" w:hAnsi="方正黑体_GBK" w:eastAsia="方正黑体_GBK" w:cs="方正黑体_GBK"/>
          <w:sz w:val="32"/>
          <w:szCs w:val="32"/>
        </w:rPr>
        <w:outlineLvl w:val="0"/>
      </w:pPr>
      <w:r/>
      <w:bookmarkStart w:id="140" w:name="_Toc120614220"/>
      <w:r/>
      <w:bookmarkStart w:id="141" w:name="_Toc16938552"/>
      <w:r/>
      <w:bookmarkStart w:id="142" w:name="_Toc20823308"/>
      <w:r/>
      <w:bookmarkStart w:id="143" w:name="_Toc513029236"/>
      <w:r>
        <w:rPr>
          <w:rFonts w:hint="eastAsia" w:ascii="方正黑体_GBK" w:hAnsi="方正黑体_GBK" w:eastAsia="方正黑体_GBK" w:cs="方正黑体_GBK"/>
          <w:sz w:val="32"/>
          <w:szCs w:val="32"/>
        </w:rPr>
        <w:t xml:space="preserve">七、授予合同</w:t>
      </w:r>
      <w:bookmarkEnd w:id="140"/>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End w:id="141"/>
      <w:r/>
      <w:bookmarkEnd w:id="142"/>
      <w:r/>
      <w:bookmarkEnd w:id="143"/>
      <w:r/>
      <w:bookmarkStart w:id="144" w:name="_Toc513029237"/>
      <w:r/>
      <w:bookmarkStart w:id="145" w:name="_Toc16938553"/>
      <w:r/>
      <w:bookmarkStart w:id="146" w:name="_Toc20823309"/>
      <w:r>
        <w:rPr>
          <w:rFonts w:hint="eastAsia" w:ascii="方正仿宋_GBK" w:hAnsi="方正仿宋_GBK" w:eastAsia="方正仿宋_GBK" w:cs="方正仿宋_GBK"/>
          <w:sz w:val="32"/>
          <w:szCs w:val="32"/>
        </w:rPr>
        <w:t xml:space="preserve">29.签订合同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29.l中标供应商应当在中标通知书发出之日起三十日内，按照招标文件确定的事项与采购人签订政府采购合同。</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 招标文件、中标供应商的投标文件及招标过程中有关澄清、承诺文件均应作为合同附件。</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30.服务（包含与服务相关的货物）的追加</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9"/>
        <w:ind w:firstLine="640"/>
        <w:spacing w:line="560" w:lineRule="exact"/>
        <w:rPr>
          <w:rFonts w:hint="eastAsia" w:ascii="方正仿宋_GBK" w:hAnsi="方正仿宋_GBK" w:eastAsia="方正仿宋_GBK" w:cs="方正仿宋_GBK"/>
          <w:sz w:val="32"/>
          <w:szCs w:val="32"/>
        </w:rPr>
      </w:pPr>
      <w:r/>
      <w:bookmarkEnd w:id="144"/>
      <w:r/>
      <w:bookmarkEnd w:id="145"/>
      <w:r/>
      <w:bookmarkEnd w:id="146"/>
      <w:r/>
      <w:bookmarkStart w:id="147" w:name="_Toc120614221"/>
      <w:r/>
      <w:bookmarkStart w:id="148" w:name="_Toc20823314"/>
      <w:r/>
      <w:bookmarkStart w:id="149" w:name="_Toc479757207"/>
      <w:r/>
      <w:bookmarkStart w:id="150" w:name="_Toc513029242"/>
      <w:r/>
      <w:bookmarkStart w:id="151" w:name="_Toc16938558"/>
      <w:r>
        <w:rPr>
          <w:rFonts w:hint="eastAsia" w:ascii="方正仿宋_GBK" w:hAnsi="方正仿宋_GBK" w:eastAsia="方正仿宋_GBK" w:cs="方正仿宋_GBK"/>
          <w:sz w:val="32"/>
          <w:szCs w:val="32"/>
        </w:rPr>
        <w:t xml:space="preserve">31.政府采购履约资金扶持政策</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49"/>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第三章  合同</w:t>
      </w:r>
      <w:bookmarkEnd w:id="147"/>
      <w:r/>
      <w:bookmarkEnd w:id="148"/>
      <w:r/>
      <w:bookmarkEnd w:id="149"/>
      <w:r/>
      <w:bookmarkEnd w:id="150"/>
      <w:r/>
      <w:bookmarkEnd w:id="151"/>
      <w:r>
        <w:rPr>
          <w:rFonts w:hint="eastAsia" w:ascii="方正黑体_GBK" w:hAnsi="方正黑体_GBK" w:eastAsia="方正黑体_GBK" w:cs="方正黑体_GBK"/>
          <w:sz w:val="32"/>
          <w:szCs w:val="32"/>
        </w:rPr>
        <w:t xml:space="preserve">文本</w:t>
      </w:r>
      <w:r/>
    </w:p>
    <w:p>
      <w:pPr>
        <w:pStyle w:val="949"/>
        <w:jc w:val="center"/>
        <w:spacing w:before="145" w:after="145"/>
        <w:rPr>
          <w:rFonts w:hint="eastAsia" w:ascii="宋体" w:hAnsi="宋体"/>
          <w:b/>
          <w:sz w:val="30"/>
        </w:rPr>
        <w:outlineLvl w:val="0"/>
      </w:pPr>
      <w:r/>
      <w:bookmarkStart w:id="152" w:name="_Toc16938559"/>
      <w:r/>
      <w:bookmarkStart w:id="153" w:name="_Toc20823315"/>
      <w:r/>
      <w:bookmarkStart w:id="154" w:name="_Toc513029243"/>
      <w:r>
        <w:rPr>
          <w:rFonts w:hint="eastAsia" w:ascii="宋体" w:hAnsi="宋体"/>
          <w:b/>
          <w:sz w:val="30"/>
        </w:rPr>
      </w:r>
      <w:r/>
    </w:p>
    <w:p>
      <w:pPr>
        <w:pStyle w:val="981"/>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949"/>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江苏省公安厅二级主干网及本地线路</w:t>
      </w:r>
      <w:r>
        <w:rPr>
          <w:rFonts w:eastAsia="方正仿宋_GBK"/>
          <w:sz w:val="32"/>
          <w:szCs w:val="32"/>
        </w:rPr>
        <w:t xml:space="preserve"> </w:t>
      </w:r>
      <w:r>
        <w:rPr>
          <w:rFonts w:hint="eastAsia" w:ascii="方正仿宋_GBK" w:hAnsi="方正仿宋_GBK" w:eastAsia="方正仿宋_GBK" w:cs="方正仿宋_GBK"/>
          <w:sz w:val="32"/>
          <w:szCs w:val="32"/>
        </w:rPr>
        <w:t xml:space="preserve">                  </w:t>
      </w:r>
      <w:r/>
    </w:p>
    <w:p>
      <w:pPr>
        <w:pStyle w:val="949"/>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JSZC-320000-SCZX-G2026-0069    </w:t>
      </w:r>
      <w:r>
        <w:rPr>
          <w:rFonts w:hint="eastAsia" w:ascii="方正仿宋_GBK" w:hAnsi="方正仿宋_GBK" w:eastAsia="方正仿宋_GBK" w:cs="方正仿宋_GBK"/>
          <w:sz w:val="32"/>
          <w:szCs w:val="32"/>
        </w:rPr>
        <w:t xml:space="preserve">         </w:t>
      </w:r>
      <w:r/>
    </w:p>
    <w:p>
      <w:pPr>
        <w:pStyle w:val="949"/>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988"/>
        <w:ind w:firstLine="640"/>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江苏省公安厅二级主干网及本地线路</w:t>
      </w:r>
      <w:r>
        <w:rPr>
          <w:rFonts w:hint="eastAsia" w:ascii="方正仿宋_GBK" w:hAnsi="方正仿宋_GBK" w:eastAsia="方正仿宋_GBK" w:cs="方正仿宋_GBK"/>
          <w:sz w:val="32"/>
          <w:szCs w:val="32"/>
        </w:rPr>
        <w:t xml:space="preserve">项目公开招标的结果，签署本合同。</w:t>
      </w:r>
      <w:r>
        <w:rPr>
          <w:rFonts w:hint="eastAsia" w:ascii="方正仿宋_GBK" w:hAnsi="方正仿宋_GBK" w:eastAsia="方正仿宋_GBK" w:cs="方正仿宋_GBK"/>
          <w:b/>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履行时间（期限）：自合同签订之日起3年。</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乙方交纳人民币______元作为本合同的履约保证金。（不得超过合同金额的10%）</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 本项目不收取履约保证金。</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分包1</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8.1合同款项的支付方式及进度安排</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8.1.1 网络设备、直流电源和机房动环监控维保服务部分:预付款为该部分第一年度服务金额的50%。第一年度服务期结束后，根据服务考核办法扣除相应处罚金，支付该部分年度服务金额的余款。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省市传输线路、院外单位线路、辐射功能性线路部分：按实际使用情况计收服务费。线路投入使用并经采购人确认后（以确认函件为准），开始计费并支付该部分第一年度服务金额的50%为预付款。第一年度服务期结束后，根据服务考核办法扣除相应处罚金，支付该部分年度服务金额的余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第二年度服务期结束后，根据服务考核办法扣除相应处罚金，支付上述部分年度服务金额。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第三年度服务期结束后，根据终验结果并结合服务考核办法，支付上述部分年度服务金额。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8.1.2 线路铺设部分：实施完毕并经采购人确认后（以确认函件为准），支付该部分合同金额的80%。服务期满后，根据终验结果付清该部分合同金额的余款。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8.1.3合同签订后，采购人在收到供应商开具的有效增值税专用发票15个工作日内支付以上各部分款项。采购人如因财政拨付不及时的原因延迟付款，不承担延迟付款的违约责任。</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8.1.4 项目服务期为三年，如遇政策调整、预算经费无法落实，经采购人书面提出，可直接终止合同，并据实结算付费。如三年服务期顺利执行，期满后若采购人新服务合同未签订，经甲乙双方协商，在项目整体服务内容及标准不降低的情况下，可参照本合同中约定按月度据实结算付费，增加部分不得超过年度金额的10%。</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分包2</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8.2合同款项的支付方式及进度安排</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8.2.1 网络综合管理系统服务部分: 系统部署上线，实现对二级主干传输网、公安网YH域、公安网SJ域、TX网等网络统一监控管理，经采购人确认后（以确认函件为准），开始计费并支付该部分第一年度服务金额的50%为预付款。第一年度服务期结束后，根据服务考核办法扣除相应处罚金，支付该部分年度服务金额的余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省市传输线路、院外单位线路、互联网线路部分：按实际使用情况计收服务费。线路投入使用并经采购人确认后（以确认函件为准），开始计费并支付该部分第一年度服务金额的50%为预付款。第一年度服务期结束后，根据服务考核办法扣除相应处罚金，支付该部分年度服务金额的余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第二年度服务期结束后，根据服务考核办法扣除相应处罚金，支付上述部分年度服务金额。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第三年度服务期结束后，根据终验结果并结合服务考核办法，支付上述部分年度服务金额。</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8.2.2合同签订后，采购人在收到供应商开具的有效增值税专用发票15个工作日内支付以上各部分款项。采购人如因财政拨付不及时的原因延迟付款，不承担延迟付款的违约责任。</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8.2.3 项目服务期为三年，如遇政策调整、预算经费无法落实，经采购人书面提出，可直接终止合同，并据实结算付费。如三年服务期顺利执行，期满后若采购人新服务合同未签订，经甲乙双方协商，在项目整体服务内容及标准不降低的情况下，可参照本合同中约定按月度据实结算付费，增加部分不得超过年度金额的10%。</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验收不合格的项目，扣除第三年度服务金额的5%。采购合同的履行、违约责任和解决争议的方式等适用《中华人民共和国民法典》。乙方在履约过程中有政府采购法律法规规定的违法违规情形的,甲方将及时报告本级财政部门。</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w:t>
      </w:r>
      <w:r>
        <w:rPr>
          <w:rFonts w:hint="eastAsia" w:ascii="方正仿宋_GBK" w:hAnsi="方正仿宋_GBK" w:eastAsia="方正仿宋_GBK" w:cs="方正仿宋_GBK"/>
          <w:sz w:val="32"/>
          <w:szCs w:val="32"/>
          <w:u w:val="single"/>
        </w:rPr>
        <w:t xml:space="preserve">百分之五</w:t>
      </w:r>
      <w:r>
        <w:rPr>
          <w:rFonts w:hint="eastAsia" w:ascii="方正仿宋_GBK" w:hAnsi="方正仿宋_GBK" w:eastAsia="方正仿宋_GBK" w:cs="方正仿宋_GBK"/>
          <w:sz w:val="32"/>
          <w:szCs w:val="32"/>
        </w:rPr>
        <w:t xml:space="preserve">的违约金。</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w:t>
      </w:r>
      <w:r>
        <w:rPr>
          <w:rFonts w:hint="eastAsia" w:ascii="Times New Roman" w:hAnsi="Times New Roman" w:eastAsia="方正仿宋_GBK" w:cs="Times New Roman"/>
          <w:sz w:val="32"/>
          <w:szCs w:val="32"/>
          <w:u w:val="single"/>
        </w:rPr>
        <w:t xml:space="preserve">万分之五</w:t>
      </w:r>
      <w:r>
        <w:rPr>
          <w:rFonts w:hint="eastAsia" w:ascii="方正仿宋_GBK" w:hAnsi="方正仿宋_GBK" w:eastAsia="方正仿宋_GBK" w:cs="方正仿宋_GBK"/>
          <w:sz w:val="32"/>
          <w:szCs w:val="32"/>
        </w:rPr>
        <w:t xml:space="preserve">每日向乙方支付违约金。</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32"/>
          <w:szCs w:val="32"/>
          <w:u w:val="single"/>
        </w:rPr>
        <w:t xml:space="preserve">百分之五</w:t>
      </w:r>
      <w:r>
        <w:rPr>
          <w:rFonts w:hint="eastAsia" w:ascii="方正仿宋_GBK" w:hAnsi="方正仿宋_GBK" w:eastAsia="方正仿宋_GBK" w:cs="方正仿宋_GBK"/>
          <w:sz w:val="32"/>
          <w:szCs w:val="32"/>
        </w:rPr>
        <w:t xml:space="preserve">的违约金，如造成甲方损失超过违约金的，超出部分由乙方继续承担赔偿责任。 </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11.4 乙方所提供服务的标准不符合合同规定及招标文件规定标准的，甲方有权拒绝接受服务，并可单方面解除合同。</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rPr>
          <w:rFonts w:hint="eastAsia" w:ascii="方正黑体_GBK" w:hAnsi="方正黑体_GBK" w:eastAsia="方正黑体_GBK" w:cs="方正黑体_GBK"/>
          <w:bCs/>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十四、廉洁廉政条款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采购过程中如发现供应商围标、串标，或向采购人行贿等违法违规行为的，一经查实，采购人有权终止合同，并不再支付供应商剩余合同款，供应商退回已支付合同款，同时承诺不再参加采购人后三年组织的政府采购活动。</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十五、网络安全责任和义务</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合同签订后，供应商需成立专门的管理技术团队、团队人员为正式员工、有专门网络安全负责人。供应商及项目参与人员，需配合采购人开展安全审查，按要求提交保密审查、保密教育培训、出国（境）证件登记保管等相关记录材料，遵守采购人的安全保密要求。</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15.2如涉及政务信息平台建设，建设部署内容相对独立，根据采购人需求采取物理隔离、逻辑隔离等措施。</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15.3 项目建设中产生的政务数据、系统运行数据及收集的个人信息等数据资产归采购人所有。</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15.4供应商按《网络安全法》、《数据安全法》《网络数据安全管理条例》等法律法规和采购人要求收集、使用、存储、处理数据的相关要求，供应商及项目参与人员不得从事危害公安网络、应用和数据安全的行为。</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15.5 供应商采取技术措施保证采购人对数据的访问、利用、支配。</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15.6 供应商将政务数据与其他数据分开存储、处理。</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15.7 未经采购人同意，不得变更数据用途、用法，不得访问、修改、公开、披露、利用、转让、销毁、私自留存或向第三方提供。</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15.8 合同终止时要按照采购人要求及时处理数据。</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15.9应当按照《数据安全法》《个人信息保护法》等法律法规及相关政策规定的要求，加强个人信息保护。</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15.10 严格按照国家法律法规和采购人需求采购相关产品和服务。</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15.11供应商要建立健全网络和数据安全保护机制，发现重大安全保密问题或潜在风险时，第一时间向采购人报告，并及时启动应急预案，提供解决方案。</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15.12供应商发生业务转型、合并重组、投资并购等重大事项，或者管理技术团队人员发生重大变化，应提前向采购人报告。</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15.13合同期间，供应商每年要向采购人提交网络安全保密责任落实情况报告。</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15.14供应商需积极配合采购人开展网络安全检查、测评、审计等监督管理工作，拒绝或不配合监管的，供应商需按采购人要求限期整改，造成严重后果或者拒不整改、整改后仍不符合采购人安全保密管理要求的，采购人有权单方面解约并不予支付合同款项，已支付的款项供应商无条件退还；构成违法犯罪的，依法追究法律责任。</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15.15供应商需如实完整提供项目网络安全管理情况，如有隐匿、瞒报的，供应商需按采购人要求限期整改，造成严重后果或者拒不整改、整改后仍不符合采购人安全保密管理要求的，采购人有权单方面解约并不予支付合同款项，已支付的款项供应商无条件退还。</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15.16供应商及项目参与人员需遵照执行国家法律法规和采购人网络安全相关规章制度，违反网络安全相关条款的，供应商需按采购人要求限期整改，造成严重后果或者拒不整改、整改后仍不符合采购人安全保密管理要求的，采购人有权单方面解约并不予支付合同款项，已支付的款项供应商无条件退还；构成违法犯罪的，依法追究法律责任。</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十六、保密条款</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16.1甲乙双方在合作过</w:t>
      </w:r>
      <w:r>
        <w:rPr>
          <w:rFonts w:hint="eastAsia" w:ascii="方正仿宋_GBK" w:hAnsi="方正仿宋_GBK" w:eastAsia="方正仿宋_GBK" w:cs="方正仿宋_GBK"/>
          <w:sz w:val="32"/>
          <w:szCs w:val="32"/>
        </w:rPr>
        <w:t xml:space="preserve">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双方应当依法保护合作过程中收集、处理的公民个人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16.2无论本合同是否变更、解除或终止，合同的保密条款不受其限制而继续有效，双方都应继续承担保密条款约定的保密义务。保密义务的期限为永久。</w:t>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仿宋_GBK" w:hAnsi="方正仿宋_GBK" w:eastAsia="方正仿宋_GBK" w:cs="方正仿宋_GBK"/>
          <w:sz w:val="32"/>
          <w:szCs w:val="32"/>
        </w:rPr>
        <w:t xml:space="preserve">16.3 乙方应与甲方签订保密协议书。</w:t>
      </w:r>
      <w:r>
        <w:rPr>
          <w:rFonts w:hint="eastAsia" w:ascii="方正黑体_GBK" w:hAnsi="方正黑体_GBK" w:eastAsia="方正黑体_GBK" w:cs="方正黑体_GBK"/>
          <w:bCs/>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十七、合同生效及其它</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17.1 合同经双方法定代表人或授权委托代表人签字并加盖单位公章后生效。</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17.2本合同未尽事宜，遵照中华人民共和国现行法律法规有关条文执行。</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17.3 本合同正本一式肆份，具有同等法律效力，甲方执叁份、乙方执壹份。</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988"/>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988"/>
        <w:ind w:firstLine="640"/>
        <w:spacing w:before="120" w:after="120" w:line="560" w:lineRule="exact"/>
        <w:rPr>
          <w:rFonts w:hint="eastAsia"/>
        </w:rPr>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rPr>
          <w:rFonts w:hint="eastAsia"/>
        </w:rPr>
      </w:r>
      <w:r/>
    </w:p>
    <w:p>
      <w:pPr>
        <w:pStyle w:val="988"/>
        <w:jc w:val="center"/>
        <w:spacing w:before="120" w:after="120" w:line="0" w:lineRule="atLeast"/>
      </w:pPr>
      <w:r>
        <w:rPr>
          <w:rFonts w:hint="eastAsia"/>
        </w:rPr>
        <w:t xml:space="preserve">                                         </w:t>
      </w:r>
      <w:r/>
    </w:p>
    <w:p>
      <w:pPr>
        <w:pStyle w:val="988"/>
        <w:jc w:val="right"/>
        <w:spacing w:before="120" w:after="120" w:line="0" w:lineRule="atLeast"/>
        <w:rPr>
          <w:sz w:val="24"/>
          <w:szCs w:val="24"/>
        </w:rPr>
      </w:pPr>
      <w:r>
        <w:rPr>
          <w:rFonts w:hint="eastAsia"/>
          <w:sz w:val="24"/>
          <w:szCs w:val="24"/>
        </w:rPr>
        <w:t xml:space="preserve"> </w:t>
      </w:r>
      <w:r>
        <w:rPr>
          <w:sz w:val="24"/>
          <w:szCs w:val="24"/>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bookmarkEnd w:id="152"/>
      <w:r/>
      <w:bookmarkEnd w:id="153"/>
      <w:r/>
      <w:bookmarkEnd w:id="154"/>
      <w:r/>
      <w:bookmarkStart w:id="155" w:name="_Hlt16619369"/>
      <w:r/>
      <w:bookmarkEnd w:id="155"/>
      <w:r/>
      <w:bookmarkStart w:id="156" w:name="_Hlt16619350"/>
      <w:r/>
      <w:bookmarkStart w:id="157" w:name="_Toc16938590"/>
      <w:r/>
      <w:bookmarkStart w:id="158" w:name="_Toc120614244"/>
      <w:r/>
      <w:bookmarkStart w:id="159" w:name="_Toc20823346"/>
      <w:r/>
      <w:bookmarkStart w:id="160" w:name="_Toc462564139"/>
      <w:r/>
      <w:bookmarkStart w:id="161" w:name="_Toc479757211"/>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1063"/>
        <w:spacing w:before="120" w:after="120" w:line="0" w:lineRule="atLeast"/>
        <w:rPr>
          <w:rFonts w:hint="eastAsia" w:ascii="黑体" w:hAnsi="黑体" w:eastAsia="黑体"/>
          <w:bCs/>
          <w:sz w:val="32"/>
          <w:szCs w:val="32"/>
        </w:rPr>
      </w:pPr>
      <w:r>
        <w:rPr>
          <w:rFonts w:hint="eastAsia" w:ascii="黑体" w:hAnsi="黑体" w:eastAsia="黑体"/>
          <w:bCs/>
          <w:sz w:val="32"/>
          <w:szCs w:val="32"/>
        </w:rPr>
        <w:br w:type="page" w:clear="all"/>
        <w:t xml:space="preserve">附件1：</w:t>
      </w:r>
      <w:r/>
    </w:p>
    <w:p>
      <w:pPr>
        <w:pStyle w:val="1063"/>
        <w:spacing w:before="120" w:after="120" w:line="0" w:lineRule="atLeast"/>
        <w:rPr>
          <w:rFonts w:ascii="楷体_GB2312" w:eastAsia="楷体_GB2312"/>
          <w:bCs/>
          <w:sz w:val="32"/>
          <w:szCs w:val="32"/>
        </w:rPr>
      </w:pPr>
      <w:r>
        <w:rPr>
          <w:rFonts w:ascii="楷体_GB2312" w:eastAsia="楷体_GB2312"/>
          <w:bCs/>
          <w:sz w:val="32"/>
          <w:szCs w:val="32"/>
        </w:rPr>
      </w:r>
      <w:r/>
    </w:p>
    <w:p>
      <w:pPr>
        <w:pStyle w:val="1063"/>
        <w:jc w:val="center"/>
        <w:spacing w:before="120" w:after="120" w:line="0" w:lineRule="atLeast"/>
        <w:rPr>
          <w:rFonts w:hint="eastAsia" w:hAnsi="宋体"/>
          <w:bCs/>
          <w:sz w:val="32"/>
          <w:szCs w:val="32"/>
        </w:rPr>
      </w:pPr>
      <w:r>
        <w:rPr>
          <w:rFonts w:hint="eastAsia" w:hAnsi="宋体"/>
          <w:bCs/>
          <w:sz w:val="32"/>
          <w:szCs w:val="32"/>
        </w:rPr>
        <w:t xml:space="preserve">服务考核要求和服务条款（分包1）</w:t>
      </w:r>
      <w:r/>
    </w:p>
    <w:p>
      <w:pPr>
        <w:pStyle w:val="1063"/>
        <w:spacing w:before="120" w:after="120" w:line="0" w:lineRule="atLeast"/>
        <w:rPr>
          <w:rFonts w:hint="eastAsia" w:hAnsi="宋体" w:cs="Times New Roman"/>
          <w:sz w:val="24"/>
          <w:szCs w:val="24"/>
        </w:rPr>
      </w:pPr>
      <w:r>
        <w:rPr>
          <w:rFonts w:hint="eastAsia" w:hAnsi="宋体" w:cs="Times New Roman"/>
          <w:sz w:val="24"/>
          <w:szCs w:val="24"/>
        </w:rPr>
      </w:r>
      <w:r/>
    </w:p>
    <w:p>
      <w:pPr>
        <w:pStyle w:val="1063"/>
        <w:spacing w:before="120" w:after="120" w:line="0" w:lineRule="atLeast"/>
        <w:rPr>
          <w:rFonts w:hint="eastAsia" w:hAnsi="宋体" w:cs="宋体"/>
          <w:sz w:val="24"/>
          <w:szCs w:val="24"/>
        </w:rPr>
      </w:pPr>
      <w:r>
        <w:rPr>
          <w:rFonts w:hint="eastAsia" w:hAnsi="宋体" w:cs="宋体"/>
          <w:sz w:val="24"/>
          <w:szCs w:val="24"/>
        </w:rPr>
        <w:t xml:space="preserve">服务质量实行按月定量考核制度，总分100分（除</w:t>
      </w:r>
      <w:r>
        <w:rPr>
          <w:rFonts w:hint="eastAsia" w:hAnsi="宋体" w:cs="宋体"/>
          <w:sz w:val="24"/>
          <w:szCs w:val="24"/>
          <w:lang w:bidi="ar"/>
        </w:rPr>
        <w:t xml:space="preserve">加分项外，</w:t>
      </w:r>
      <w:r>
        <w:rPr>
          <w:rFonts w:hint="eastAsia" w:hAnsi="宋体" w:cs="宋体"/>
          <w:sz w:val="24"/>
          <w:szCs w:val="24"/>
        </w:rPr>
        <w:t xml:space="preserve">考核项目单项扣分均最高可达100分），考核打分办法如下：</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8"/>
        <w:gridCol w:w="1444"/>
        <w:gridCol w:w="4689"/>
        <w:gridCol w:w="1148"/>
      </w:tblGrid>
      <w:tr>
        <w:trPr>
          <w:trHeight w:val="424"/>
        </w:trPr>
        <w:tc>
          <w:tcPr>
            <w:gridSpan w:val="2"/>
            <w:tcW w:w="1816" w:type="pct"/>
            <w:vAlign w:val="center"/>
            <w:textDirection w:val="lrTb"/>
            <w:noWrap w:val="false"/>
          </w:tcPr>
          <w:p>
            <w:pPr>
              <w:pStyle w:val="949"/>
              <w:jc w:val="center"/>
              <w:widowControl/>
              <w:rPr>
                <w:rFonts w:hint="eastAsia" w:ascii="宋体" w:hAnsi="宋体" w:cs="宋体"/>
                <w:b/>
                <w:bCs/>
                <w:sz w:val="24"/>
                <w:szCs w:val="24"/>
              </w:rPr>
            </w:pPr>
            <w:r/>
            <w:bookmarkStart w:id="162" w:name="OLE_LINK18"/>
            <w:r>
              <w:rPr>
                <w:rFonts w:hint="eastAsia" w:ascii="宋体" w:hAnsi="宋体" w:cs="宋体"/>
                <w:b/>
                <w:bCs/>
                <w:sz w:val="24"/>
                <w:szCs w:val="24"/>
                <w:lang w:bidi="ar"/>
              </w:rPr>
              <w:t xml:space="preserve">考核项目</w:t>
            </w:r>
            <w:r>
              <w:rPr>
                <w:rFonts w:hint="eastAsia" w:ascii="宋体" w:hAnsi="宋体" w:cs="宋体"/>
                <w:b/>
                <w:bCs/>
                <w:sz w:val="24"/>
                <w:szCs w:val="24"/>
              </w:rPr>
            </w:r>
            <w:r/>
          </w:p>
        </w:tc>
        <w:tc>
          <w:tcPr>
            <w:tcW w:w="2556" w:type="pct"/>
            <w:vAlign w:val="center"/>
            <w:textDirection w:val="lrTb"/>
            <w:noWrap w:val="false"/>
          </w:tcPr>
          <w:p>
            <w:pPr>
              <w:pStyle w:val="949"/>
              <w:jc w:val="center"/>
              <w:widowControl/>
              <w:rPr>
                <w:rFonts w:hint="eastAsia" w:ascii="宋体" w:hAnsi="宋体" w:cs="宋体"/>
                <w:b/>
                <w:bCs/>
                <w:sz w:val="24"/>
                <w:szCs w:val="24"/>
              </w:rPr>
            </w:pPr>
            <w:r>
              <w:rPr>
                <w:rFonts w:hint="eastAsia" w:ascii="宋体" w:hAnsi="宋体" w:cs="宋体"/>
                <w:b/>
                <w:bCs/>
                <w:sz w:val="24"/>
                <w:szCs w:val="24"/>
                <w:lang w:bidi="ar"/>
              </w:rPr>
              <w:t xml:space="preserve">考核要求</w:t>
            </w:r>
            <w:r>
              <w:rPr>
                <w:rFonts w:hint="eastAsia" w:ascii="宋体" w:hAnsi="宋体" w:cs="宋体"/>
                <w:b/>
                <w:bCs/>
                <w:sz w:val="24"/>
                <w:szCs w:val="24"/>
              </w:rPr>
            </w:r>
            <w:r/>
          </w:p>
        </w:tc>
        <w:tc>
          <w:tcPr>
            <w:tcW w:w="626" w:type="pct"/>
            <w:vAlign w:val="center"/>
            <w:textDirection w:val="lrTb"/>
            <w:noWrap w:val="false"/>
          </w:tcPr>
          <w:p>
            <w:pPr>
              <w:pStyle w:val="949"/>
              <w:jc w:val="center"/>
              <w:widowControl/>
              <w:rPr>
                <w:rFonts w:hint="eastAsia" w:ascii="宋体" w:hAnsi="宋体" w:cs="宋体"/>
                <w:b/>
                <w:bCs/>
                <w:sz w:val="24"/>
                <w:szCs w:val="24"/>
              </w:rPr>
            </w:pPr>
            <w:r>
              <w:rPr>
                <w:rFonts w:hint="eastAsia" w:ascii="宋体" w:hAnsi="宋体" w:cs="宋体"/>
                <w:b/>
                <w:bCs/>
                <w:sz w:val="24"/>
                <w:szCs w:val="24"/>
                <w:lang w:bidi="ar"/>
              </w:rPr>
              <w:t xml:space="preserve">得分</w:t>
            </w:r>
            <w:r>
              <w:rPr>
                <w:rFonts w:hint="eastAsia" w:ascii="宋体" w:hAnsi="宋体" w:cs="宋体"/>
                <w:b/>
                <w:bCs/>
                <w:sz w:val="24"/>
                <w:szCs w:val="24"/>
              </w:rPr>
            </w:r>
            <w:r/>
          </w:p>
        </w:tc>
      </w:tr>
      <w:tr>
        <w:trPr>
          <w:cantSplit/>
          <w:trHeight w:val="720"/>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线路运维</w:t>
            </w:r>
            <w:r>
              <w:rPr>
                <w:rFonts w:hint="eastAsia" w:ascii="宋体" w:hAnsi="宋体" w:cs="宋体"/>
                <w:sz w:val="24"/>
                <w:szCs w:val="24"/>
              </w:rPr>
            </w:r>
            <w:r/>
          </w:p>
        </w:tc>
        <w:tc>
          <w:tcPr>
            <w:tcW w:w="787" w:type="pct"/>
            <w:vAlign w:val="center"/>
            <w:vMerge w:val="restart"/>
            <w:textDirection w:val="lrTb"/>
            <w:noWrap/>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运行质量</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因供应商原因导致二级网主干线路中断的，每次扣10分</w:t>
            </w:r>
            <w:r>
              <w:rPr>
                <w:rFonts w:hint="eastAsia" w:ascii="宋体" w:hAnsi="宋体" w:cs="宋体"/>
                <w:sz w:val="24"/>
                <w:szCs w:val="24"/>
              </w:rPr>
            </w:r>
            <w:r/>
          </w:p>
        </w:tc>
        <w:tc>
          <w:tcPr>
            <w:tcW w:w="626" w:type="pct"/>
            <w:vAlign w:val="center"/>
            <w:vMerge w:val="restart"/>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二级网主干线路中断的，须2小时内修复，每超过1小时扣5分</w:t>
            </w:r>
            <w:r>
              <w:rPr>
                <w:rFonts w:hint="eastAsia" w:ascii="宋体" w:hAnsi="宋体" w:cs="宋体"/>
                <w:sz w:val="24"/>
                <w:szCs w:val="24"/>
              </w:rPr>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二级主干网以外的线路中断的，须2小时内修复，每超过1小时扣2分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每月须提供一次租赁线路运行情况报告（含网络流量分析、运行质量等），未按要求提供的，每次扣1分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4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restart"/>
            <w:textDirection w:val="lrTb"/>
            <w:noWrap/>
          </w:tcPr>
          <w:p>
            <w:pPr>
              <w:pStyle w:val="949"/>
              <w:jc w:val="center"/>
              <w:rPr>
                <w:rFonts w:hint="eastAsia" w:ascii="宋体" w:hAnsi="宋体" w:cs="宋体"/>
                <w:sz w:val="24"/>
                <w:szCs w:val="24"/>
              </w:rPr>
            </w:pPr>
            <w:r>
              <w:rPr>
                <w:rFonts w:hint="eastAsia" w:ascii="宋体" w:hAnsi="宋体" w:cs="宋体"/>
                <w:sz w:val="24"/>
                <w:szCs w:val="24"/>
              </w:rPr>
              <w:t xml:space="preserve">线路指标</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线路提供带宽与招标文件要求不符合的，每发现1次扣5分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线路端到端误码率≥1×10</w:t>
            </w:r>
            <w:r>
              <w:rPr>
                <w:rFonts w:hint="eastAsia" w:ascii="宋体" w:hAnsi="宋体" w:cs="宋体"/>
                <w:sz w:val="24"/>
                <w:szCs w:val="24"/>
                <w:vertAlign w:val="superscript"/>
                <w:lang w:bidi="ar"/>
              </w:rPr>
              <w:t xml:space="preserve">-7</w:t>
            </w:r>
            <w:r>
              <w:rPr>
                <w:rFonts w:hint="eastAsia" w:ascii="宋体" w:hAnsi="宋体" w:cs="宋体"/>
                <w:sz w:val="24"/>
                <w:szCs w:val="24"/>
                <w:lang w:bidi="ar"/>
              </w:rPr>
              <w:t xml:space="preserve">，每发现1次扣2分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635"/>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线路传输时延≥50ms，每发现1次扣2分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828"/>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主备线路倒换时间≥50ms的，每发现1次扣2分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580"/>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网络设备维保</w:t>
            </w:r>
            <w:r>
              <w:rPr>
                <w:rFonts w:hint="eastAsia" w:ascii="宋体" w:hAnsi="宋体" w:cs="宋体"/>
                <w:sz w:val="24"/>
                <w:szCs w:val="24"/>
              </w:rPr>
            </w:r>
            <w:r/>
          </w:p>
        </w:tc>
        <w:tc>
          <w:tcPr>
            <w:tcW w:w="787" w:type="pct"/>
            <w:vAlign w:val="center"/>
            <w:vMerge w:val="restart"/>
            <w:textDirection w:val="lrTb"/>
            <w:noWrap/>
          </w:tcPr>
          <w:p>
            <w:pPr>
              <w:pStyle w:val="949"/>
              <w:jc w:val="center"/>
              <w:widowControl/>
              <w:rPr>
                <w:rFonts w:hint="eastAsia" w:ascii="宋体" w:hAnsi="宋体" w:cs="宋体"/>
                <w:sz w:val="24"/>
                <w:szCs w:val="24"/>
              </w:rPr>
            </w:pPr>
            <w:r>
              <w:rPr>
                <w:rFonts w:hint="eastAsia" w:ascii="宋体" w:hAnsi="宋体" w:cs="宋体"/>
                <w:sz w:val="24"/>
                <w:szCs w:val="24"/>
              </w:rPr>
              <w:t xml:space="preserve">备件更换</w:t>
            </w:r>
            <w:r/>
          </w:p>
        </w:tc>
        <w:tc>
          <w:tcPr>
            <w:tcW w:w="2556" w:type="pct"/>
            <w:vAlign w:val="center"/>
            <w:vMerge w:val="restart"/>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管理板、业务板等部件，发生故障后须24小时内更换。逾期更换的，每超1天扣1分</w:t>
            </w:r>
            <w:r>
              <w:rPr>
                <w:rFonts w:hint="eastAsia" w:ascii="宋体" w:hAnsi="宋体" w:cs="宋体"/>
                <w:sz w:val="24"/>
                <w:szCs w:val="24"/>
              </w:rPr>
            </w:r>
            <w:r/>
          </w:p>
        </w:tc>
        <w:tc>
          <w:tcPr>
            <w:tcW w:w="626" w:type="pct"/>
            <w:vAlign w:val="center"/>
            <w:vMerge w:val="restart"/>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580"/>
        </w:trPr>
        <w:tc>
          <w:tcPr>
            <w:tcW w:w="1029" w:type="pct"/>
            <w:vAlign w:val="center"/>
            <w:vMerge w:val="restart"/>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直流电源维保</w:t>
            </w:r>
            <w:r/>
          </w:p>
        </w:tc>
        <w:tc>
          <w:tcPr>
            <w:tcW w:w="787" w:type="pct"/>
            <w:vAlign w:val="center"/>
            <w:vMerge w:val="restart"/>
            <w:textDirection w:val="lrTb"/>
            <w:noWrap/>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维护质量</w:t>
            </w:r>
            <w:r/>
          </w:p>
        </w:tc>
        <w:tc>
          <w:tcPr>
            <w:tcW w:w="2556" w:type="pct"/>
            <w:vAlign w:val="center"/>
            <w:vMerge w:val="restart"/>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巡检维护后5个工作日内发现电池问题的，包括但不限于电池漏液、端子腐蚀、接线松动等，每发现1处扣0.5分</w:t>
            </w:r>
            <w:r/>
          </w:p>
        </w:tc>
        <w:tc>
          <w:tcPr>
            <w:tcW w:w="626" w:type="pct"/>
            <w:vAlign w:val="center"/>
            <w:vMerge w:val="restart"/>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656"/>
        </w:trPr>
        <w:tc>
          <w:tcPr>
            <w:tcW w:w="1029" w:type="pct"/>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lang w:bidi="ar"/>
              </w:rPr>
              <w:t xml:space="preserve">机房动环监控维保</w:t>
            </w: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t xml:space="preserve">系统可用性</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视频监控、门禁管理、动力环境监控系统可用性≥99%，动环监测系统感知预警小于1分钟，门禁系统出入记录完整可追溯（保存≥1年），动力环境监测数据存储≥1年，视频监控完整显示、画质清晰，存储时长不低于90天。不达标的，每次扣0.5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t xml:space="preserve">配件更换</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摄像头、采集卡、电磁锁、控制器以及温湿度、烟感、水浸传感器等配件，发生故障后须24小时内更换。逾期更换的，每超1天扣0.5分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1207"/>
        </w:trPr>
        <w:tc>
          <w:tcPr>
            <w:tcW w:w="1029"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t xml:space="preserve">风险隐患</w:t>
            </w:r>
            <w:r/>
          </w:p>
          <w:p>
            <w:pPr>
              <w:pStyle w:val="949"/>
              <w:jc w:val="center"/>
              <w:widowControl/>
              <w:rPr>
                <w:rFonts w:hint="eastAsia" w:ascii="宋体" w:hAnsi="宋体" w:cs="宋体"/>
                <w:sz w:val="24"/>
                <w:szCs w:val="24"/>
              </w:rPr>
            </w:pPr>
            <w:r>
              <w:rPr>
                <w:rFonts w:hint="eastAsia" w:ascii="宋体" w:hAnsi="宋体" w:cs="宋体"/>
                <w:sz w:val="24"/>
                <w:szCs w:val="24"/>
              </w:rPr>
              <w:t xml:space="preserve">整改</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一般风险隐患2天内整改完成，重大风险隐患6小时内整改完成（特殊情况无法达成，经采购人同意除外），并跟踪监测。未按时整改或提供监测记录的，每次扣0.5分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强电安全</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检测</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每年度开展1次强电安全检测（具体要求见分包1的2.1.6.2），未检测或整改不到位的，扣1分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1392"/>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日常巡检</w:t>
            </w:r>
            <w:r>
              <w:rPr>
                <w:rFonts w:hint="eastAsia" w:ascii="宋体" w:hAnsi="宋体" w:cs="宋体"/>
                <w:sz w:val="24"/>
                <w:szCs w:val="24"/>
              </w:rPr>
            </w:r>
            <w:r/>
          </w:p>
        </w:tc>
        <w:tc>
          <w:tcPr>
            <w:tcW w:w="787"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巡检要求</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每月未按要求对租赁的线路，维保的网络设备、直流电源、机房动环监控设施开展全面巡检或巡检报告未在巡检后3个工作日内提交的，扣2分</w:t>
            </w:r>
            <w:r>
              <w:rPr>
                <w:rFonts w:hint="eastAsia" w:ascii="宋体" w:hAnsi="宋体" w:cs="宋体"/>
                <w:sz w:val="24"/>
                <w:szCs w:val="24"/>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巡检完成后5个工作日内发生故障的，扣3分</w:t>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标签管理</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项目包含的线路和设施未规范张贴标签的，每发现1处，扣0.1分</w:t>
            </w:r>
            <w:r>
              <w:rPr>
                <w:rFonts w:hint="eastAsia" w:ascii="宋体" w:hAnsi="宋体" w:cs="宋体"/>
                <w:sz w:val="24"/>
                <w:szCs w:val="24"/>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台账管理</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建立项目相关线路、设备台账（含基本信息、维护记录等），并结合巡检、维护等工作及时更新完善，主要信息准确完整，不满足要求的每次扣0.5分</w:t>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服务响应</w:t>
            </w: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故障响应</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时效</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故障发生后10分钟内响应，每超过5分钟，扣1分；1小时内到达现场，每超过半小时，扣1分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原厂商保障</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在规定时间内无法修复的，须协调原设备厂商技术力量开展现场修复，原厂商响应时间小于1小时，每超过半小时，扣2分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故障修复</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时限</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除线路中断外，一般故障1小时内修复，每超过1小时扣1分；严重故障2个小时内修复（特殊情况无法达成，经采购人同意除外），每超过1小时扣2分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661"/>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现场保障</w:t>
            </w:r>
            <w:r/>
          </w:p>
          <w:p>
            <w:pPr>
              <w:pStyle w:val="949"/>
              <w:jc w:val="center"/>
              <w:rPr>
                <w:rFonts w:ascii="宋体" w:hAnsi="宋体" w:cs="宋体"/>
                <w:sz w:val="24"/>
                <w:szCs w:val="24"/>
              </w:rPr>
            </w:pPr>
            <w:r>
              <w:rPr>
                <w:rFonts w:hint="eastAsia" w:ascii="宋体" w:hAnsi="宋体" w:cs="宋体"/>
                <w:sz w:val="24"/>
                <w:szCs w:val="24"/>
              </w:rPr>
              <w:t xml:space="preserve">要求</w:t>
            </w:r>
            <w:r>
              <w:rPr>
                <w:rFonts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招标文件内的服务，采购人提出需求后项目经理须在10分钟内响应，每超过5分钟，扣0.5分；如采购人有现场保障要求，项目经理须1小时内到达现场（特殊情况无法达成，经采购人同意除外），每超过半小时，扣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818"/>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Courier New"/>
                <w:sz w:val="24"/>
                <w:szCs w:val="24"/>
                <w:lang w:bidi="ar"/>
              </w:rPr>
            </w:pPr>
            <w:r>
              <w:rPr>
                <w:rFonts w:hint="eastAsia"/>
              </w:rPr>
              <w:t xml:space="preserve">未</w:t>
            </w:r>
            <w:r>
              <w:rPr>
                <w:rFonts w:hint="eastAsia" w:ascii="宋体" w:hAnsi="宋体" w:cs="宋体"/>
                <w:sz w:val="24"/>
                <w:szCs w:val="24"/>
                <w:lang w:bidi="ar"/>
              </w:rPr>
              <w:t xml:space="preserve">落实7×24小时现场保障服务的，每发现1次扣3分</w:t>
            </w:r>
            <w:r>
              <w:rPr>
                <w:rFonts w:hint="eastAsia" w:ascii="宋体" w:hAnsi="宋体" w:cs="Courier New"/>
                <w:sz w:val="24"/>
                <w:szCs w:val="24"/>
                <w:lang w:bidi="ar"/>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ascii="宋体" w:hAnsi="宋体" w:cs="Courier New"/>
                <w:sz w:val="24"/>
                <w:szCs w:val="24"/>
                <w:lang w:bidi="ar"/>
              </w:rPr>
            </w:pPr>
            <w:r>
              <w:rPr>
                <w:rFonts w:hint="eastAsia" w:ascii="宋体" w:hAnsi="宋体" w:cs="宋体"/>
                <w:sz w:val="24"/>
                <w:szCs w:val="24"/>
                <w:lang w:bidi="ar"/>
              </w:rPr>
              <w:t xml:space="preserve">未落实每4小时对线路、传输设备和机房环境进行1次巡检的，每发现1次扣3分</w:t>
            </w:r>
            <w:r>
              <w:rPr>
                <w:rFonts w:ascii="宋体" w:hAnsi="宋体" w:cs="Courier New"/>
                <w:sz w:val="24"/>
                <w:szCs w:val="24"/>
                <w:lang w:bidi="ar"/>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未落实巡检工作双人作业的，每发现1次扣3分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986"/>
        </w:trPr>
        <w:tc>
          <w:tcPr>
            <w:tcW w:w="1029" w:type="pct"/>
            <w:vAlign w:val="center"/>
            <w:textDirection w:val="lrTb"/>
            <w:noWrap w:val="false"/>
          </w:tcPr>
          <w:p>
            <w:pPr>
              <w:pStyle w:val="949"/>
              <w:jc w:val="center"/>
              <w:rPr>
                <w:rFonts w:ascii="宋体" w:hAnsi="宋体" w:cs="宋体"/>
                <w:sz w:val="24"/>
                <w:szCs w:val="24"/>
              </w:rPr>
            </w:pPr>
            <w:r>
              <w:rPr>
                <w:rFonts w:hint="eastAsia" w:ascii="宋体" w:hAnsi="宋体" w:cs="宋体"/>
                <w:sz w:val="24"/>
                <w:szCs w:val="24"/>
              </w:rPr>
              <w:t xml:space="preserve">安全保密要求</w:t>
            </w:r>
            <w:r>
              <w:rPr>
                <w:rFonts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违反公安机关保密和安全方面相关规定，造成危害的，每发生1起扣10分。造成严重危害的，每发生1起扣20分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986"/>
        </w:trPr>
        <w:tc>
          <w:tcPr>
            <w:tcW w:w="1029"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其他</w:t>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其他</w:t>
            </w:r>
            <w:bookmarkStart w:id="163" w:name="OLE_LINK36"/>
            <w:r>
              <w:rPr>
                <w:rFonts w:hint="eastAsia" w:ascii="宋体" w:hAnsi="宋体" w:cs="宋体"/>
                <w:sz w:val="24"/>
                <w:szCs w:val="24"/>
                <w:lang w:bidi="ar"/>
              </w:rPr>
              <w:t xml:space="preserve">招标文件</w:t>
            </w:r>
            <w:bookmarkEnd w:id="163"/>
            <w:r>
              <w:rPr>
                <w:rFonts w:hint="eastAsia" w:ascii="宋体" w:hAnsi="宋体" w:cs="宋体"/>
                <w:sz w:val="24"/>
                <w:szCs w:val="24"/>
                <w:lang w:bidi="ar"/>
              </w:rPr>
              <w:t xml:space="preserve">有明确需求，未落实的，每发现1起扣3分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661"/>
        </w:trPr>
        <w:tc>
          <w:tcPr>
            <w:tcW w:w="1029"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加分项</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（最多5分）</w:t>
            </w: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技术支持</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针对招标文件外网络需求等事项提供服务的，每提供1次加1分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bl>
    <w:p>
      <w:pPr>
        <w:pStyle w:val="1063"/>
        <w:spacing w:before="120" w:after="120" w:line="0" w:lineRule="atLeast"/>
        <w:rPr>
          <w:rFonts w:hint="eastAsia" w:hAnsi="宋体" w:cs="宋体"/>
          <w:sz w:val="24"/>
          <w:szCs w:val="24"/>
        </w:rPr>
      </w:pPr>
      <w:r/>
      <w:bookmarkEnd w:id="162"/>
      <w:r/>
      <w:bookmarkStart w:id="164" w:name="OLE_LINK19"/>
      <w:r>
        <w:rPr>
          <w:rFonts w:hint="eastAsia" w:hAnsi="宋体" w:cs="宋体"/>
          <w:sz w:val="24"/>
          <w:szCs w:val="24"/>
        </w:rPr>
        <w:t xml:space="preserve">注：故障分为一般故障和严重故障。一般故障指设备、网络或系统出现局部异常、短暂中断，可快速处置恢复，经甲方认定未影响整体运行，未造成不良影响或损失的故障。</w:t>
      </w:r>
      <w:bookmarkStart w:id="165" w:name="OLE_LINK5"/>
      <w:r>
        <w:rPr>
          <w:rFonts w:hint="eastAsia" w:hAnsi="宋体" w:cs="宋体"/>
          <w:sz w:val="24"/>
          <w:szCs w:val="24"/>
        </w:rPr>
        <w:t xml:space="preserve">严重故障</w:t>
      </w:r>
      <w:bookmarkEnd w:id="165"/>
      <w:r>
        <w:rPr>
          <w:rFonts w:hint="eastAsia" w:hAnsi="宋体" w:cs="宋体"/>
          <w:sz w:val="24"/>
          <w:szCs w:val="24"/>
        </w:rPr>
        <w:t xml:space="preserve">指设备、网络或系统出现全局性中断、关键功能失效，影响正常业务开展，或造成一定影响、损失，需紧急处置的故障。</w:t>
      </w:r>
      <w:r/>
    </w:p>
    <w:p>
      <w:pPr>
        <w:pStyle w:val="1063"/>
        <w:spacing w:before="120" w:after="120" w:line="0" w:lineRule="atLeast"/>
        <w:rPr>
          <w:rFonts w:hint="eastAsia" w:hAnsi="宋体" w:cs="宋体"/>
          <w:sz w:val="24"/>
          <w:szCs w:val="24"/>
        </w:rPr>
      </w:pPr>
      <w:r>
        <w:rPr>
          <w:rFonts w:hint="eastAsia" w:hAnsi="宋体" w:cs="宋体"/>
          <w:sz w:val="24"/>
          <w:szCs w:val="24"/>
        </w:rPr>
        <w:t xml:space="preserve">1、总分数不超过100分。</w:t>
      </w:r>
      <w:r/>
    </w:p>
    <w:p>
      <w:pPr>
        <w:pStyle w:val="1063"/>
        <w:spacing w:before="120" w:after="120" w:line="0" w:lineRule="atLeast"/>
        <w:rPr>
          <w:rFonts w:hint="eastAsia" w:hAnsi="宋体" w:cs="宋体"/>
          <w:sz w:val="24"/>
          <w:szCs w:val="24"/>
        </w:rPr>
      </w:pPr>
      <w:r>
        <w:rPr>
          <w:rFonts w:hint="eastAsia" w:hAnsi="宋体" w:cs="宋体"/>
          <w:sz w:val="24"/>
          <w:szCs w:val="24"/>
        </w:rPr>
        <w:t xml:space="preserve">2、因供应商违规行为，导致严重故障的，月度得分扣100分，并扣除年度服务金额的25%。</w:t>
      </w:r>
      <w:r/>
    </w:p>
    <w:p>
      <w:pPr>
        <w:pStyle w:val="1063"/>
        <w:spacing w:before="120" w:after="120" w:line="0" w:lineRule="atLeast"/>
        <w:rPr>
          <w:rFonts w:hint="eastAsia" w:hAnsi="宋体" w:cs="宋体"/>
          <w:sz w:val="24"/>
          <w:szCs w:val="24"/>
        </w:rPr>
      </w:pPr>
      <w:r>
        <w:rPr>
          <w:rFonts w:hint="eastAsia" w:hAnsi="宋体" w:cs="宋体"/>
          <w:sz w:val="24"/>
          <w:szCs w:val="24"/>
        </w:rPr>
        <w:t xml:space="preserve">3、月度服务得分连续3个月低于70分的或年度累计5个月得分低于70分的，采购人有权终止合同。</w:t>
      </w:r>
      <w:r/>
    </w:p>
    <w:p>
      <w:pPr>
        <w:pStyle w:val="1063"/>
        <w:spacing w:before="120" w:after="120" w:line="0" w:lineRule="atLeast"/>
        <w:rPr>
          <w:rFonts w:hint="eastAsia" w:hAnsi="宋体" w:cs="宋体"/>
          <w:sz w:val="24"/>
          <w:szCs w:val="24"/>
        </w:rPr>
      </w:pPr>
      <w:r>
        <w:rPr>
          <w:rFonts w:hint="eastAsia" w:hAnsi="宋体" w:cs="宋体"/>
          <w:sz w:val="24"/>
          <w:szCs w:val="24"/>
        </w:rPr>
        <w:t xml:space="preserve">4、年度得分=月度得分之和除以12，低于90分，扣除年度服务金额的10%；低于85分，扣除年度服务金额的20%；低于80分，扣除年度服务金额的30%；低于70分，终止合同。</w:t>
      </w:r>
      <w:r/>
    </w:p>
    <w:p>
      <w:pPr>
        <w:pStyle w:val="1063"/>
        <w:spacing w:before="120" w:after="120" w:line="0" w:lineRule="atLeast"/>
        <w:rPr>
          <w:rFonts w:hint="eastAsia" w:ascii="黑体" w:hAnsi="黑体" w:eastAsia="黑体"/>
          <w:bCs/>
          <w:sz w:val="32"/>
          <w:szCs w:val="32"/>
        </w:rPr>
      </w:pPr>
      <w:r>
        <w:rPr>
          <w:rFonts w:hint="eastAsia" w:hAnsi="宋体" w:cs="宋体"/>
          <w:sz w:val="24"/>
          <w:szCs w:val="24"/>
        </w:rPr>
        <w:t xml:space="preserve">5、合同签订30天内以及合同履行期内每季度，采购人对项目采购的各项服务情况进行抽查，每发现1次不能满足合同及招投标要求的，扣除年度服务金额的10%。</w:t>
      </w:r>
      <w:bookmarkEnd w:id="164"/>
      <w:r>
        <w:rPr>
          <w:rFonts w:hint="eastAsia" w:hAnsi="宋体" w:cs="宋体"/>
          <w:bCs/>
          <w:sz w:val="24"/>
          <w:szCs w:val="24"/>
        </w:rPr>
        <w:br w:type="page" w:clear="all"/>
      </w:r>
      <w:r>
        <w:rPr>
          <w:rFonts w:hint="eastAsia" w:ascii="黑体" w:hAnsi="黑体" w:eastAsia="黑体"/>
          <w:bCs/>
          <w:sz w:val="32"/>
          <w:szCs w:val="32"/>
        </w:rPr>
      </w:r>
      <w:r/>
    </w:p>
    <w:p>
      <w:pPr>
        <w:pStyle w:val="1063"/>
        <w:spacing w:before="120" w:after="120" w:line="0" w:lineRule="atLeast"/>
        <w:rPr>
          <w:rFonts w:hint="eastAsia" w:ascii="黑体" w:hAnsi="黑体" w:eastAsia="黑体"/>
          <w:bCs/>
          <w:sz w:val="32"/>
          <w:szCs w:val="32"/>
        </w:rPr>
      </w:pPr>
      <w:r>
        <w:rPr>
          <w:rFonts w:hint="eastAsia" w:ascii="黑体" w:hAnsi="黑体" w:eastAsia="黑体"/>
          <w:bCs/>
          <w:sz w:val="32"/>
          <w:szCs w:val="32"/>
        </w:rPr>
        <w:t xml:space="preserve">附件2：</w:t>
      </w:r>
      <w:r/>
    </w:p>
    <w:p>
      <w:pPr>
        <w:pStyle w:val="1063"/>
        <w:spacing w:before="120" w:after="120" w:line="0" w:lineRule="atLeast"/>
        <w:rPr>
          <w:rFonts w:ascii="楷体_GB2312" w:eastAsia="楷体_GB2312"/>
          <w:bCs/>
          <w:sz w:val="32"/>
          <w:szCs w:val="32"/>
        </w:rPr>
      </w:pPr>
      <w:r>
        <w:rPr>
          <w:rFonts w:ascii="楷体_GB2312" w:eastAsia="楷体_GB2312"/>
          <w:bCs/>
          <w:sz w:val="32"/>
          <w:szCs w:val="32"/>
        </w:rPr>
      </w:r>
      <w:r/>
    </w:p>
    <w:p>
      <w:pPr>
        <w:pStyle w:val="1063"/>
        <w:jc w:val="center"/>
        <w:spacing w:before="120" w:after="120" w:line="0" w:lineRule="atLeast"/>
        <w:rPr>
          <w:rFonts w:hint="eastAsia" w:hAnsi="宋体"/>
          <w:bCs/>
          <w:sz w:val="32"/>
          <w:szCs w:val="32"/>
        </w:rPr>
      </w:pPr>
      <w:r>
        <w:rPr>
          <w:rFonts w:hint="eastAsia" w:hAnsi="宋体"/>
          <w:bCs/>
          <w:sz w:val="32"/>
          <w:szCs w:val="32"/>
        </w:rPr>
        <w:t xml:space="preserve">服务考核要求和服务条款（分包2）</w:t>
      </w:r>
      <w:r/>
    </w:p>
    <w:p>
      <w:pPr>
        <w:pStyle w:val="1063"/>
        <w:spacing w:before="120" w:after="120" w:line="0" w:lineRule="atLeast"/>
        <w:rPr>
          <w:rFonts w:hint="eastAsia" w:hAnsi="宋体" w:cs="Times New Roman"/>
          <w:sz w:val="24"/>
          <w:szCs w:val="24"/>
        </w:rPr>
      </w:pPr>
      <w:r>
        <w:rPr>
          <w:rFonts w:hint="eastAsia" w:hAnsi="宋体" w:cs="Times New Roman"/>
          <w:sz w:val="24"/>
          <w:szCs w:val="24"/>
        </w:rPr>
      </w:r>
      <w:r/>
    </w:p>
    <w:p>
      <w:pPr>
        <w:pStyle w:val="1063"/>
        <w:spacing w:before="120" w:after="120" w:line="0" w:lineRule="atLeast"/>
        <w:rPr>
          <w:rFonts w:hint="eastAsia" w:hAnsi="宋体" w:cs="宋体"/>
          <w:sz w:val="24"/>
          <w:szCs w:val="24"/>
        </w:rPr>
      </w:pPr>
      <w:r>
        <w:rPr>
          <w:rFonts w:hint="eastAsia" w:hAnsi="宋体" w:cs="宋体"/>
          <w:sz w:val="24"/>
          <w:szCs w:val="24"/>
        </w:rPr>
        <w:t xml:space="preserve">服务质量实行按月定量考核制度，总分100分（除</w:t>
      </w:r>
      <w:r>
        <w:rPr>
          <w:rFonts w:hint="eastAsia" w:hAnsi="宋体" w:cs="宋体"/>
          <w:sz w:val="24"/>
          <w:szCs w:val="24"/>
          <w:lang w:bidi="ar"/>
        </w:rPr>
        <w:t xml:space="preserve">加分项外，</w:t>
      </w:r>
      <w:r>
        <w:rPr>
          <w:rFonts w:hint="eastAsia" w:hAnsi="宋体" w:cs="宋体"/>
          <w:sz w:val="24"/>
          <w:szCs w:val="24"/>
        </w:rPr>
        <w:t xml:space="preserve">考核项目单项扣分均最高可达100分），考核打分办法如下：</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8"/>
        <w:gridCol w:w="1444"/>
        <w:gridCol w:w="4689"/>
        <w:gridCol w:w="1148"/>
      </w:tblGrid>
      <w:tr>
        <w:trPr>
          <w:trHeight w:val="424"/>
        </w:trPr>
        <w:tc>
          <w:tcPr>
            <w:gridSpan w:val="2"/>
            <w:tcW w:w="1816" w:type="pct"/>
            <w:vAlign w:val="center"/>
            <w:textDirection w:val="lrTb"/>
            <w:noWrap w:val="false"/>
          </w:tcPr>
          <w:p>
            <w:pPr>
              <w:pStyle w:val="949"/>
              <w:jc w:val="center"/>
              <w:widowControl/>
              <w:rPr>
                <w:rFonts w:hint="eastAsia" w:ascii="宋体" w:hAnsi="宋体" w:cs="宋体"/>
                <w:b/>
                <w:bCs/>
                <w:sz w:val="24"/>
                <w:szCs w:val="24"/>
              </w:rPr>
            </w:pPr>
            <w:r>
              <w:rPr>
                <w:rFonts w:hint="eastAsia" w:ascii="宋体" w:hAnsi="宋体" w:cs="宋体"/>
                <w:b/>
                <w:bCs/>
                <w:sz w:val="24"/>
                <w:szCs w:val="24"/>
                <w:lang w:bidi="ar"/>
              </w:rPr>
              <w:t xml:space="preserve">考核项目</w:t>
            </w:r>
            <w:r>
              <w:rPr>
                <w:rFonts w:hint="eastAsia" w:ascii="宋体" w:hAnsi="宋体" w:cs="宋体"/>
                <w:b/>
                <w:bCs/>
                <w:sz w:val="24"/>
                <w:szCs w:val="24"/>
              </w:rPr>
            </w:r>
            <w:r/>
          </w:p>
        </w:tc>
        <w:tc>
          <w:tcPr>
            <w:tcW w:w="2556" w:type="pct"/>
            <w:vAlign w:val="center"/>
            <w:textDirection w:val="lrTb"/>
            <w:noWrap w:val="false"/>
          </w:tcPr>
          <w:p>
            <w:pPr>
              <w:pStyle w:val="949"/>
              <w:jc w:val="center"/>
              <w:widowControl/>
              <w:rPr>
                <w:rFonts w:hint="eastAsia" w:ascii="宋体" w:hAnsi="宋体" w:cs="宋体"/>
                <w:b/>
                <w:bCs/>
                <w:sz w:val="24"/>
                <w:szCs w:val="24"/>
              </w:rPr>
            </w:pPr>
            <w:r>
              <w:rPr>
                <w:rFonts w:hint="eastAsia" w:ascii="宋体" w:hAnsi="宋体" w:cs="宋体"/>
                <w:b/>
                <w:bCs/>
                <w:sz w:val="24"/>
                <w:szCs w:val="24"/>
                <w:lang w:bidi="ar"/>
              </w:rPr>
              <w:t xml:space="preserve">考核要求</w:t>
            </w:r>
            <w:r>
              <w:rPr>
                <w:rFonts w:hint="eastAsia" w:ascii="宋体" w:hAnsi="宋体" w:cs="宋体"/>
                <w:b/>
                <w:bCs/>
                <w:sz w:val="24"/>
                <w:szCs w:val="24"/>
              </w:rPr>
            </w:r>
            <w:r/>
          </w:p>
        </w:tc>
        <w:tc>
          <w:tcPr>
            <w:tcW w:w="626" w:type="pct"/>
            <w:vAlign w:val="center"/>
            <w:textDirection w:val="lrTb"/>
            <w:noWrap w:val="false"/>
          </w:tcPr>
          <w:p>
            <w:pPr>
              <w:pStyle w:val="949"/>
              <w:jc w:val="center"/>
              <w:widowControl/>
              <w:rPr>
                <w:rFonts w:hint="eastAsia" w:ascii="宋体" w:hAnsi="宋体" w:cs="宋体"/>
                <w:b/>
                <w:bCs/>
                <w:sz w:val="24"/>
                <w:szCs w:val="24"/>
              </w:rPr>
            </w:pPr>
            <w:r>
              <w:rPr>
                <w:rFonts w:hint="eastAsia" w:ascii="宋体" w:hAnsi="宋体" w:cs="宋体"/>
                <w:b/>
                <w:bCs/>
                <w:sz w:val="24"/>
                <w:szCs w:val="24"/>
                <w:lang w:bidi="ar"/>
              </w:rPr>
              <w:t xml:space="preserve">得分</w:t>
            </w:r>
            <w:r>
              <w:rPr>
                <w:rFonts w:hint="eastAsia" w:ascii="宋体" w:hAnsi="宋体" w:cs="宋体"/>
                <w:b/>
                <w:bCs/>
                <w:sz w:val="24"/>
                <w:szCs w:val="24"/>
              </w:rPr>
            </w:r>
            <w:r/>
          </w:p>
        </w:tc>
      </w:tr>
      <w:tr>
        <w:trPr>
          <w:cantSplit/>
          <w:trHeight w:val="720"/>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线路运维</w:t>
            </w:r>
            <w:r>
              <w:rPr>
                <w:rFonts w:hint="eastAsia" w:ascii="宋体" w:hAnsi="宋体" w:cs="宋体"/>
                <w:sz w:val="24"/>
                <w:szCs w:val="24"/>
              </w:rPr>
            </w:r>
            <w:r/>
          </w:p>
        </w:tc>
        <w:tc>
          <w:tcPr>
            <w:tcW w:w="787" w:type="pct"/>
            <w:vAlign w:val="center"/>
            <w:vMerge w:val="restart"/>
            <w:textDirection w:val="lrTb"/>
            <w:noWrap/>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运行质量</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因供应商原因导致二级网主干线路中断的，每次扣10分</w:t>
            </w:r>
            <w:r>
              <w:rPr>
                <w:rFonts w:hint="eastAsia" w:ascii="宋体" w:hAnsi="宋体" w:cs="宋体"/>
                <w:sz w:val="24"/>
                <w:szCs w:val="24"/>
              </w:rPr>
            </w:r>
            <w:r/>
          </w:p>
        </w:tc>
        <w:tc>
          <w:tcPr>
            <w:tcW w:w="626" w:type="pct"/>
            <w:vAlign w:val="center"/>
            <w:vMerge w:val="restart"/>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二级网主干线路中断，须2小时内修复，每超过1小时扣5分</w:t>
            </w:r>
            <w:r>
              <w:rPr>
                <w:rFonts w:hint="eastAsia" w:ascii="宋体" w:hAnsi="宋体" w:cs="宋体"/>
                <w:sz w:val="24"/>
                <w:szCs w:val="24"/>
              </w:rPr>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二级主干网以外的线路中断，须2小时内修复，每超过1小时扣2分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每月须提供一次租赁线路运行情况报告（含网络流量分析、运行质量等），未按要求提供的，每次扣1分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4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restart"/>
            <w:textDirection w:val="lrTb"/>
            <w:noWrap/>
          </w:tcPr>
          <w:p>
            <w:pPr>
              <w:pStyle w:val="949"/>
              <w:jc w:val="center"/>
              <w:rPr>
                <w:rFonts w:hint="eastAsia" w:ascii="宋体" w:hAnsi="宋体" w:cs="宋体"/>
                <w:sz w:val="24"/>
                <w:szCs w:val="24"/>
              </w:rPr>
            </w:pPr>
            <w:r>
              <w:rPr>
                <w:rFonts w:hint="eastAsia" w:ascii="宋体" w:hAnsi="宋体" w:cs="宋体"/>
                <w:sz w:val="24"/>
                <w:szCs w:val="24"/>
              </w:rPr>
              <w:t xml:space="preserve">线路指标</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线路提供带宽与招标要求不符合的，每发现1次扣5分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线路端到端误码率≥1×10</w:t>
            </w:r>
            <w:r>
              <w:rPr>
                <w:rFonts w:hint="eastAsia" w:ascii="宋体" w:hAnsi="宋体" w:cs="宋体"/>
                <w:sz w:val="24"/>
                <w:szCs w:val="24"/>
                <w:vertAlign w:val="superscript"/>
                <w:lang w:bidi="ar"/>
              </w:rPr>
              <w:t xml:space="preserve">-7</w:t>
            </w:r>
            <w:r>
              <w:rPr>
                <w:rFonts w:hint="eastAsia" w:ascii="宋体" w:hAnsi="宋体" w:cs="宋体"/>
                <w:sz w:val="24"/>
                <w:szCs w:val="24"/>
                <w:lang w:bidi="ar"/>
              </w:rPr>
              <w:t xml:space="preserve">，每发现1次扣2分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453"/>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线路传输时延≥50ms，每发现1次扣2分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主备线路倒换时间≥50ms的，每发现1次扣2分</w:t>
            </w:r>
            <w:r/>
          </w:p>
        </w:tc>
        <w:tc>
          <w:tcPr>
            <w:tcW w:w="626" w:type="pct"/>
            <w:vAlign w:val="center"/>
            <w:vMerge w:val="continue"/>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网络综合管理系统服务</w:t>
            </w:r>
            <w:r/>
          </w:p>
        </w:tc>
        <w:tc>
          <w:tcPr>
            <w:tcW w:w="787" w:type="pct"/>
            <w:vAlign w:val="center"/>
            <w:vMerge w:val="restart"/>
            <w:textDirection w:val="lrTb"/>
            <w:noWrap/>
          </w:tcPr>
          <w:p>
            <w:pPr>
              <w:pStyle w:val="949"/>
              <w:jc w:val="center"/>
              <w:rPr>
                <w:rFonts w:hint="eastAsia" w:ascii="宋体" w:hAnsi="宋体" w:cs="宋体"/>
                <w:sz w:val="24"/>
                <w:szCs w:val="24"/>
              </w:rPr>
            </w:pPr>
            <w:r>
              <w:rPr>
                <w:rFonts w:hint="eastAsia" w:ascii="宋体" w:hAnsi="宋体" w:cs="宋体"/>
                <w:sz w:val="24"/>
                <w:szCs w:val="24"/>
              </w:rPr>
              <w:t xml:space="preserve">运行质量</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因供应商原因</w:t>
            </w:r>
            <w:r>
              <w:rPr>
                <w:rFonts w:hint="eastAsia" w:ascii="宋体" w:hAnsi="宋体" w:cs="宋体"/>
                <w:sz w:val="24"/>
                <w:szCs w:val="24"/>
              </w:rPr>
              <w:t xml:space="preserve">导致系统服务不可用的，每发生1起，扣1分</w:t>
            </w:r>
            <w:r>
              <w:rPr>
                <w:rFonts w:hint="eastAsia" w:ascii="宋体" w:hAnsi="宋体" w:cs="宋体"/>
                <w:sz w:val="24"/>
                <w:szCs w:val="24"/>
                <w:lang w:bidi="ar"/>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rPr>
              <w:t xml:space="preserve">监测的网络设备无故离线，每月离线次数≤2 次，每超 1 次，扣1分</w:t>
            </w:r>
            <w:r>
              <w:rPr>
                <w:rFonts w:hint="eastAsia" w:ascii="宋体" w:hAnsi="宋体" w:cs="宋体"/>
                <w:sz w:val="24"/>
                <w:szCs w:val="24"/>
                <w:lang w:bidi="ar"/>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tcPr>
          <w:p>
            <w:pPr>
              <w:pStyle w:val="949"/>
              <w:jc w:val="center"/>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rPr>
              <w:t xml:space="preserve">采集到的数据必须真实反映设备状态，如出现错采、乱码等，每发生1起，扣0.5分</w:t>
            </w:r>
            <w:r>
              <w:rPr>
                <w:rFonts w:hint="eastAsia" w:ascii="宋体" w:hAnsi="宋体" w:cs="宋体"/>
                <w:sz w:val="24"/>
                <w:szCs w:val="24"/>
                <w:lang w:bidi="ar"/>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1392"/>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日常巡检</w:t>
            </w:r>
            <w:r>
              <w:rPr>
                <w:rFonts w:hint="eastAsia" w:ascii="宋体" w:hAnsi="宋体" w:cs="宋体"/>
                <w:sz w:val="24"/>
                <w:szCs w:val="24"/>
              </w:rPr>
            </w:r>
            <w:r/>
          </w:p>
        </w:tc>
        <w:tc>
          <w:tcPr>
            <w:tcW w:w="787"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巡检要求</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每月未按要求对租赁的线路，维保的网络设备、直流电源、机房动环监控设施开展全面巡检或巡检报告未在巡检后3个工作日内提交的，扣2分</w:t>
            </w:r>
            <w:r>
              <w:rPr>
                <w:rFonts w:hint="eastAsia" w:ascii="宋体" w:hAnsi="宋体" w:cs="宋体"/>
                <w:sz w:val="24"/>
                <w:szCs w:val="24"/>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巡检完成后5个工作日内发生故障的，扣3分</w:t>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标签管理</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项目包含的线路和设施未规范张贴标签的，每发现1处，扣0.1分</w:t>
            </w:r>
            <w:r>
              <w:rPr>
                <w:rFonts w:hint="eastAsia" w:ascii="宋体" w:hAnsi="宋体" w:cs="宋体"/>
                <w:sz w:val="24"/>
                <w:szCs w:val="24"/>
              </w:rPr>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9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台账管理</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建立项目相关线路、设备台账（含基本信息、维护记录等），并结合巡检、维护等工作及时更新完善，主要信息准确完整，不满足要求的每次扣0.5分</w:t>
            </w:r>
            <w:r/>
          </w:p>
        </w:tc>
        <w:tc>
          <w:tcPr>
            <w:tcW w:w="626" w:type="pct"/>
            <w:vAlign w:val="center"/>
            <w:textDirection w:val="lrTb"/>
            <w:noWrap w:val="false"/>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restart"/>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服务响应</w:t>
            </w: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故障响应</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时效</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故障发生后10分钟内响应，每超过5分钟，扣1分；1小时内到达现场，每超过半小时，扣1分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720"/>
        </w:trPr>
        <w:tc>
          <w:tcPr>
            <w:tcW w:w="1029" w:type="pct"/>
            <w:vAlign w:val="center"/>
            <w:vMerge w:val="continue"/>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原厂商保障</w:t>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在规定时间内无法修复的，须协调原设备厂商技术力量开展现场修复，原厂商响应时间小于1小时，每超过半小时，扣2分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故障修复</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时限</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除线路中断外，一般故障1小时内修复，每超过1小时扣1分；严重故障2个小时内修复（特殊情况无法达成，经采购人同意除外），每超过1小时扣2分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661"/>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现场保障</w:t>
            </w:r>
            <w:r/>
          </w:p>
          <w:p>
            <w:pPr>
              <w:pStyle w:val="949"/>
              <w:jc w:val="center"/>
              <w:rPr>
                <w:rFonts w:ascii="宋体" w:hAnsi="宋体" w:cs="宋体"/>
                <w:sz w:val="24"/>
                <w:szCs w:val="24"/>
              </w:rPr>
            </w:pPr>
            <w:r>
              <w:rPr>
                <w:rFonts w:hint="eastAsia" w:ascii="宋体" w:hAnsi="宋体" w:cs="宋体"/>
                <w:sz w:val="24"/>
                <w:szCs w:val="24"/>
              </w:rPr>
              <w:t xml:space="preserve">要求</w:t>
            </w:r>
            <w:r>
              <w:rPr>
                <w:rFonts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招标文件内的服务，采购人提出需求后项目经理须在10分钟内响应，每超过5分钟，扣0.5分；如采购人有现场服务要求，须1小时内到达现场（特殊情况无法达成，经采购人同意除外），每超过半小时，扣1分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868"/>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rPr>
              <w:t xml:space="preserve">未</w:t>
            </w:r>
            <w:r>
              <w:rPr>
                <w:rFonts w:hint="eastAsia" w:ascii="宋体" w:hAnsi="宋体" w:cs="宋体"/>
                <w:sz w:val="24"/>
                <w:szCs w:val="24"/>
                <w:lang w:bidi="ar"/>
              </w:rPr>
              <w:t xml:space="preserve">落实7×24小时现场保障服务的，每发现1次扣3分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986"/>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Courier New"/>
                <w:sz w:val="24"/>
                <w:szCs w:val="24"/>
                <w:lang w:bidi="ar"/>
              </w:rPr>
            </w:pPr>
            <w:r>
              <w:rPr>
                <w:rFonts w:hint="eastAsia" w:ascii="宋体" w:hAnsi="宋体" w:cs="宋体"/>
                <w:sz w:val="24"/>
                <w:szCs w:val="24"/>
                <w:lang w:bidi="ar"/>
              </w:rPr>
              <w:t xml:space="preserve">未落实每4小时对线路、传输设备和网络综合管理系统进行1次巡检的，每发现1次扣3分</w:t>
            </w:r>
            <w:r>
              <w:rPr>
                <w:rFonts w:hint="eastAsia" w:ascii="宋体" w:hAnsi="宋体" w:cs="Courier New"/>
                <w:sz w:val="24"/>
                <w:szCs w:val="24"/>
                <w:lang w:bidi="ar"/>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cantSplit/>
          <w:trHeight w:val="847"/>
        </w:trPr>
        <w:tc>
          <w:tcPr>
            <w:tcW w:w="1029" w:type="pct"/>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787" w:type="pct"/>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未落实巡检工作双人作业的，每发现1次扣3分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986"/>
        </w:trPr>
        <w:tc>
          <w:tcPr>
            <w:tcW w:w="102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安全保密要求</w:t>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违反公安机关保密和安全方面相关规定，造成危害的，每发生1起扣10分。造成严重危害的，每发生1起扣20分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986"/>
        </w:trPr>
        <w:tc>
          <w:tcPr>
            <w:tcW w:w="1029"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其他</w:t>
            </w:r>
            <w:r/>
          </w:p>
        </w:tc>
        <w:tc>
          <w:tcPr>
            <w:tcW w:w="787"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556" w:type="pct"/>
            <w:vAlign w:val="center"/>
            <w:textDirection w:val="lrTb"/>
            <w:noWrap w:val="false"/>
          </w:tcPr>
          <w:p>
            <w:pPr>
              <w:pStyle w:val="949"/>
              <w:widowControl/>
              <w:rPr>
                <w:rFonts w:hint="eastAsia" w:ascii="宋体" w:hAnsi="宋体" w:cs="宋体"/>
                <w:sz w:val="24"/>
                <w:szCs w:val="24"/>
                <w:lang w:bidi="ar"/>
              </w:rPr>
            </w:pPr>
            <w:r>
              <w:rPr>
                <w:rFonts w:hint="eastAsia" w:ascii="宋体" w:hAnsi="宋体" w:cs="宋体"/>
                <w:sz w:val="24"/>
                <w:szCs w:val="24"/>
                <w:lang w:bidi="ar"/>
              </w:rPr>
              <w:t xml:space="preserve">其他招标文件有明确需求，未落实的，每发现1起扣3分</w:t>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r>
        <w:trPr>
          <w:trHeight w:val="661"/>
        </w:trPr>
        <w:tc>
          <w:tcPr>
            <w:tcW w:w="1029" w:type="pct"/>
            <w:vAlign w:val="center"/>
            <w:textDirection w:val="lrTb"/>
            <w:noWrap w:val="false"/>
          </w:tcPr>
          <w:p>
            <w:pPr>
              <w:pStyle w:val="949"/>
              <w:jc w:val="center"/>
              <w:widowControl/>
              <w:rPr>
                <w:rFonts w:hint="eastAsia" w:ascii="宋体" w:hAnsi="宋体" w:cs="宋体"/>
                <w:sz w:val="24"/>
                <w:szCs w:val="24"/>
                <w:lang w:bidi="ar"/>
              </w:rPr>
            </w:pPr>
            <w:r>
              <w:rPr>
                <w:rFonts w:hint="eastAsia" w:ascii="宋体" w:hAnsi="宋体" w:cs="宋体"/>
                <w:sz w:val="24"/>
                <w:szCs w:val="24"/>
                <w:lang w:bidi="ar"/>
              </w:rPr>
              <w:t xml:space="preserve">加分项</w:t>
            </w:r>
            <w:r/>
          </w:p>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（最多5分）</w:t>
            </w:r>
            <w:r>
              <w:rPr>
                <w:rFonts w:hint="eastAsia" w:ascii="宋体" w:hAnsi="宋体" w:cs="宋体"/>
                <w:sz w:val="24"/>
                <w:szCs w:val="24"/>
              </w:rPr>
            </w:r>
            <w:r/>
          </w:p>
        </w:tc>
        <w:tc>
          <w:tcPr>
            <w:tcW w:w="787" w:type="pct"/>
            <w:vAlign w:val="center"/>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lang w:bidi="ar"/>
              </w:rPr>
              <w:t xml:space="preserve">技术支持</w:t>
            </w:r>
            <w:r>
              <w:rPr>
                <w:rFonts w:hint="eastAsia" w:ascii="宋体" w:hAnsi="宋体" w:cs="宋体"/>
                <w:sz w:val="24"/>
                <w:szCs w:val="24"/>
              </w:rPr>
            </w:r>
            <w:r/>
          </w:p>
        </w:tc>
        <w:tc>
          <w:tcPr>
            <w:tcW w:w="2556" w:type="pct"/>
            <w:vAlign w:val="center"/>
            <w:textDirection w:val="lrTb"/>
            <w:noWrap w:val="false"/>
          </w:tcPr>
          <w:p>
            <w:pPr>
              <w:pStyle w:val="949"/>
              <w:widowControl/>
              <w:rPr>
                <w:rFonts w:hint="eastAsia" w:ascii="宋体" w:hAnsi="宋体" w:cs="宋体"/>
                <w:sz w:val="24"/>
                <w:szCs w:val="24"/>
              </w:rPr>
            </w:pPr>
            <w:r>
              <w:rPr>
                <w:rFonts w:hint="eastAsia" w:ascii="宋体" w:hAnsi="宋体" w:cs="宋体"/>
                <w:sz w:val="24"/>
                <w:szCs w:val="24"/>
                <w:lang w:bidi="ar"/>
              </w:rPr>
              <w:t xml:space="preserve">针对招标文件外网络需求等事项提供服务的，每提供1次加1分</w:t>
            </w:r>
            <w:r>
              <w:rPr>
                <w:rFonts w:hint="eastAsia" w:ascii="宋体" w:hAnsi="宋体" w:cs="宋体"/>
                <w:sz w:val="24"/>
                <w:szCs w:val="24"/>
              </w:rPr>
            </w:r>
            <w:r/>
          </w:p>
        </w:tc>
        <w:tc>
          <w:tcPr>
            <w:tcW w:w="626" w:type="pct"/>
            <w:vAlign w:val="center"/>
            <w:textDirection w:val="lrTb"/>
            <w:noWrap/>
          </w:tcPr>
          <w:p>
            <w:pPr>
              <w:pStyle w:val="949"/>
              <w:rPr>
                <w:rFonts w:hint="eastAsia" w:ascii="宋体" w:hAnsi="宋体" w:cs="宋体"/>
                <w:sz w:val="24"/>
                <w:szCs w:val="24"/>
              </w:rPr>
            </w:pPr>
            <w:r>
              <w:rPr>
                <w:rFonts w:hint="eastAsia" w:ascii="宋体" w:hAnsi="宋体" w:cs="宋体"/>
                <w:sz w:val="24"/>
                <w:szCs w:val="24"/>
              </w:rPr>
            </w:r>
            <w:r/>
          </w:p>
        </w:tc>
      </w:tr>
    </w:tbl>
    <w:p>
      <w:pPr>
        <w:pStyle w:val="1063"/>
        <w:spacing w:before="120" w:after="120" w:line="0" w:lineRule="atLeast"/>
        <w:rPr>
          <w:rFonts w:hint="eastAsia" w:hAnsi="宋体" w:cs="宋体"/>
          <w:sz w:val="24"/>
          <w:szCs w:val="24"/>
        </w:rPr>
      </w:pPr>
      <w:r>
        <w:rPr>
          <w:rFonts w:hint="eastAsia" w:hAnsi="宋体" w:cs="宋体"/>
          <w:sz w:val="24"/>
          <w:szCs w:val="24"/>
        </w:rPr>
        <w:t xml:space="preserve">注：故障分为一般故障和严重故障。一般故障指设备、网络或系统出现局部异常、短暂中断，可快速处置恢复，经甲方认定未影响整体运行，未造成不良影响或损失的故障。严重故障指设备、网络或系统出现全局性中断、关键功能失效，影响正常业务开展，或造成一定影响、损失，需紧急处置的故障。</w:t>
      </w:r>
      <w:r/>
    </w:p>
    <w:p>
      <w:pPr>
        <w:pStyle w:val="1063"/>
        <w:spacing w:before="120" w:after="120" w:line="0" w:lineRule="atLeast"/>
        <w:rPr>
          <w:rFonts w:hint="eastAsia" w:hAnsi="宋体" w:cs="宋体"/>
          <w:sz w:val="24"/>
          <w:szCs w:val="24"/>
        </w:rPr>
      </w:pPr>
      <w:r>
        <w:rPr>
          <w:rFonts w:hint="eastAsia" w:hAnsi="宋体" w:cs="宋体"/>
          <w:sz w:val="24"/>
          <w:szCs w:val="24"/>
        </w:rPr>
        <w:t xml:space="preserve">1、总分数不超过100分。</w:t>
      </w:r>
      <w:r/>
    </w:p>
    <w:p>
      <w:pPr>
        <w:pStyle w:val="1063"/>
        <w:spacing w:before="120" w:after="120" w:line="0" w:lineRule="atLeast"/>
        <w:rPr>
          <w:rFonts w:hint="eastAsia" w:hAnsi="宋体" w:cs="宋体"/>
          <w:sz w:val="24"/>
          <w:szCs w:val="24"/>
        </w:rPr>
      </w:pPr>
      <w:r>
        <w:rPr>
          <w:rFonts w:hint="eastAsia" w:hAnsi="宋体" w:cs="宋体"/>
          <w:sz w:val="24"/>
          <w:szCs w:val="24"/>
        </w:rPr>
        <w:t xml:space="preserve">2、因供应商违规行为，导致严重故障的，月度得分扣100分，并扣除年度服务金额的25%。</w:t>
      </w:r>
      <w:r/>
    </w:p>
    <w:p>
      <w:pPr>
        <w:pStyle w:val="1063"/>
        <w:spacing w:before="120" w:after="120" w:line="0" w:lineRule="atLeast"/>
        <w:rPr>
          <w:rFonts w:hint="eastAsia" w:hAnsi="宋体" w:cs="宋体"/>
          <w:sz w:val="24"/>
          <w:szCs w:val="24"/>
        </w:rPr>
      </w:pPr>
      <w:r>
        <w:rPr>
          <w:rFonts w:hint="eastAsia" w:hAnsi="宋体" w:cs="宋体"/>
          <w:sz w:val="24"/>
          <w:szCs w:val="24"/>
        </w:rPr>
        <w:t xml:space="preserve">3、月度服务得分连续3个月低于70分的或年度累计5个月得分低于70分的，采购人有权终止合同。</w:t>
      </w:r>
      <w:r/>
    </w:p>
    <w:p>
      <w:pPr>
        <w:pStyle w:val="1063"/>
        <w:spacing w:before="120" w:after="120" w:line="0" w:lineRule="atLeast"/>
        <w:rPr>
          <w:rFonts w:hint="eastAsia" w:hAnsi="宋体" w:cs="宋体"/>
          <w:sz w:val="24"/>
          <w:szCs w:val="24"/>
        </w:rPr>
      </w:pPr>
      <w:r>
        <w:rPr>
          <w:rFonts w:hint="eastAsia" w:hAnsi="宋体" w:cs="宋体"/>
          <w:sz w:val="24"/>
          <w:szCs w:val="24"/>
        </w:rPr>
        <w:t xml:space="preserve">4、年度得分=月度得分之和除以12，低于90分，扣除年度服务金额的10%；低于85分，扣除年度服务金额的20%；低于80分，扣除年度服务金额的30%；低于70分，终止合同。</w:t>
      </w:r>
      <w:r/>
    </w:p>
    <w:p>
      <w:pPr>
        <w:pStyle w:val="949"/>
        <w:spacing w:before="120" w:after="120" w:line="0" w:lineRule="atLeast"/>
        <w:rPr>
          <w:rFonts w:hint="eastAsia" w:ascii="宋体" w:hAnsi="宋体" w:cs="宋体"/>
          <w:sz w:val="24"/>
          <w:szCs w:val="24"/>
        </w:rPr>
      </w:pPr>
      <w:r>
        <w:rPr>
          <w:rFonts w:hint="eastAsia" w:ascii="宋体" w:hAnsi="宋体" w:cs="宋体"/>
          <w:sz w:val="24"/>
          <w:szCs w:val="24"/>
        </w:rPr>
        <w:t xml:space="preserve">5、合同签订30天内以及合同履行期内每季度，采购人对项目采购的各项服务情况进行抽查，每发现1次不能满足合同及招投标要求的，扣除年度服务金额的10%。</w:t>
      </w:r>
      <w:r/>
    </w:p>
    <w:p>
      <w:pPr>
        <w:pStyle w:val="988"/>
        <w:spacing w:before="120" w:after="120" w:line="6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88"/>
        <w:jc w:val="center"/>
        <w:spacing w:before="120" w:after="120" w:line="660" w:lineRule="exact"/>
        <w:rPr>
          <w:rFonts w:hint="eastAsia" w:ascii="方正黑体_GBK" w:hAnsi="方正黑体_GBK" w:eastAsia="方正黑体_GBK" w:cs="方正黑体_GBK"/>
          <w:bCs/>
          <w:sz w:val="32"/>
          <w:szCs w:val="32"/>
        </w:rPr>
      </w:pPr>
      <w:r>
        <w:rPr>
          <w:rFonts w:ascii="黑体" w:eastAsia="黑体"/>
          <w:bCs/>
          <w:sz w:val="44"/>
        </w:rPr>
        <w:br w:type="page" w:clear="all"/>
      </w:r>
      <w:r>
        <w:rPr>
          <w:rFonts w:hint="eastAsia" w:ascii="方正黑体_GBK" w:hAnsi="方正黑体_GBK" w:eastAsia="方正黑体_GBK" w:cs="方正黑体_GBK"/>
          <w:sz w:val="32"/>
          <w:szCs w:val="32"/>
        </w:rPr>
        <w:t xml:space="preserve">第</w:t>
      </w:r>
      <w:bookmarkEnd w:id="156"/>
      <w:r>
        <w:rPr>
          <w:rFonts w:hint="eastAsia" w:ascii="方正黑体_GBK" w:hAnsi="方正黑体_GBK" w:eastAsia="方正黑体_GBK" w:cs="方正黑体_GBK"/>
          <w:sz w:val="32"/>
          <w:szCs w:val="32"/>
        </w:rPr>
        <w:t xml:space="preserve">四章 采购需求</w:t>
      </w:r>
      <w:bookmarkEnd w:id="157"/>
      <w:r/>
      <w:bookmarkEnd w:id="158"/>
      <w:r/>
      <w:bookmarkEnd w:id="159"/>
      <w:r>
        <w:rPr>
          <w:rFonts w:hint="eastAsia" w:ascii="方正黑体_GBK" w:hAnsi="方正黑体_GBK" w:eastAsia="方正黑体_GBK" w:cs="方正黑体_GBK"/>
          <w:bCs/>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bookmarkStart w:id="166" w:name="_Toc49090575"/>
      <w:r/>
      <w:bookmarkStart w:id="167" w:name="_Toc26554093"/>
      <w:r>
        <w:rPr>
          <w:rFonts w:hint="eastAsia" w:ascii="方正黑体_GBK" w:hAnsi="方正黑体_GBK" w:eastAsia="方正黑体_GBK" w:cs="方正黑体_GBK"/>
          <w:bCs/>
          <w:sz w:val="32"/>
          <w:szCs w:val="32"/>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3092"/>
        <w:gridCol w:w="2438"/>
      </w:tblGrid>
      <w:tr>
        <w:trPr>
          <w:cantSplit/>
          <w:trHeight w:val="701"/>
        </w:trPr>
        <w:tc>
          <w:tcPr>
            <w:tcW w:w="1397"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092"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902"/>
        </w:trPr>
        <w:tc>
          <w:tcPr>
            <w:tcW w:w="1397"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92" w:type="dxa"/>
            <w:vAlign w:val="center"/>
            <w:vMerge w:val="restart"/>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江苏省公安厅二级主干网及本地线路</w:t>
            </w:r>
            <w:r>
              <w:rPr>
                <w:rFonts w:hint="eastAsia" w:ascii="方正仿宋_GBK" w:hAnsi="方正仿宋_GBK" w:eastAsia="方正仿宋_GBK" w:cs="方正仿宋_GBK"/>
                <w:sz w:val="28"/>
                <w:szCs w:val="28"/>
              </w:rPr>
            </w:r>
            <w:r/>
          </w:p>
        </w:tc>
        <w:tc>
          <w:tcPr>
            <w:tcW w:w="2438" w:type="dxa"/>
            <w:vAlign w:val="center"/>
            <w:vMerge w:val="restart"/>
            <w:textDirection w:val="lrTb"/>
            <w:noWrap w:val="false"/>
          </w:tcPr>
          <w:p>
            <w:pPr>
              <w:pStyle w:val="949"/>
              <w:jc w:val="center"/>
              <w:spacing w:line="0" w:lineRule="atLeast"/>
              <w:tabs>
                <w:tab w:val="left" w:pos="2020" w:leader="none"/>
              </w:tabs>
              <w:rPr>
                <w:rFonts w:hint="eastAsia" w:eastAsia="方正仿宋_GBK"/>
                <w:sz w:val="32"/>
                <w:szCs w:val="32"/>
              </w:rPr>
            </w:pPr>
            <w:r>
              <w:rPr>
                <w:rFonts w:hint="eastAsia" w:eastAsia="方正仿宋_GBK"/>
                <w:sz w:val="32"/>
                <w:szCs w:val="32"/>
              </w:rPr>
              <w:t xml:space="preserve">信息传输</w:t>
            </w:r>
            <w:r/>
          </w:p>
        </w:tc>
      </w:tr>
      <w:tr>
        <w:trPr>
          <w:cantSplit/>
          <w:trHeight w:val="235"/>
        </w:trPr>
        <w:tc>
          <w:tcPr>
            <w:tcW w:w="1397"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092" w:type="dxa"/>
            <w:vAlign w:val="top"/>
            <w:vMerge w:val="continue"/>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438" w:type="dxa"/>
            <w:vAlign w:val="top"/>
            <w:vMerge w:val="continue"/>
            <w:textDirection w:val="lrTb"/>
            <w:noWrap w:val="false"/>
          </w:tcPr>
          <w:p>
            <w:pPr>
              <w:pStyle w:val="949"/>
              <w:jc w:val="center"/>
              <w:spacing w:line="0" w:lineRule="atLeast"/>
              <w:tabs>
                <w:tab w:val="left" w:pos="2020" w:leader="none"/>
              </w:tabs>
              <w:rPr>
                <w:rFonts w:hint="eastAsia" w:eastAsia="方正仿宋_GBK"/>
                <w:sz w:val="32"/>
                <w:szCs w:val="32"/>
              </w:rPr>
            </w:pPr>
            <w:r>
              <w:rPr>
                <w:rFonts w:hint="eastAsia" w:eastAsia="方正仿宋_GBK"/>
                <w:sz w:val="32"/>
                <w:szCs w:val="32"/>
              </w:rPr>
            </w:r>
            <w:r/>
          </w:p>
        </w:tc>
      </w:tr>
    </w:tbl>
    <w:p>
      <w:pPr>
        <w:pStyle w:val="949"/>
        <w:ind w:firstLine="640"/>
        <w:spacing w:line="560" w:lineRule="exact"/>
        <w:rPr>
          <w:rFonts w:hint="eastAsia"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二、政府采购中实施本国产品标准及相关政策</w:t>
      </w:r>
      <w:r/>
    </w:p>
    <w:p>
      <w:pPr>
        <w:pStyle w:val="949"/>
        <w:ind w:firstLine="640"/>
        <w:spacing w:line="560" w:lineRule="exact"/>
        <w:rPr>
          <w:rFonts w:hint="eastAsia" w:ascii="方正魏碑_GBK" w:hAnsi="方正魏碑_GBK" w:eastAsia="方正魏碑_GBK" w:cs="方正魏碑_GBK"/>
          <w:bCs/>
          <w:sz w:val="32"/>
          <w:szCs w:val="32"/>
        </w:rPr>
      </w:pPr>
      <w:r>
        <w:rPr>
          <w:rFonts w:hint="eastAsia" w:ascii="方正魏碑_GBK" w:hAnsi="方正魏碑_GBK" w:eastAsia="方正魏碑_GBK" w:cs="方正魏碑_GBK"/>
          <w:bCs/>
          <w:sz w:val="32"/>
          <w:szCs w:val="32"/>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9"/>
        <w:ind w:firstLine="640"/>
        <w:spacing w:line="560" w:lineRule="exact"/>
        <w:rPr>
          <w:rFonts w:hint="eastAsia" w:ascii="方正魏碑_GBK" w:hAnsi="方正魏碑_GBK" w:eastAsia="方正魏碑_GBK" w:cs="方正魏碑_GBK"/>
          <w:bCs/>
          <w:sz w:val="32"/>
          <w:szCs w:val="32"/>
        </w:rPr>
      </w:pPr>
      <w:r>
        <w:rPr>
          <w:rFonts w:hint="eastAsia" w:ascii="方正魏碑_GBK" w:hAnsi="方正魏碑_GBK" w:eastAsia="方正魏碑_GBK" w:cs="方正魏碑_GBK"/>
          <w:b/>
          <w:sz w:val="32"/>
          <w:szCs w:val="32"/>
        </w:rPr>
        <w:t xml:space="preserve">2.本国产品标准适用于服务项目中涉及的货物。</w:t>
      </w:r>
      <w:r>
        <w:rPr>
          <w:rFonts w:hint="eastAsia" w:ascii="方正魏碑_GBK" w:hAnsi="方正魏碑_GBK" w:eastAsia="方正魏碑_GBK" w:cs="方正魏碑_GBK"/>
          <w:bCs/>
          <w:sz w:val="32"/>
          <w:szCs w:val="3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9"/>
        <w:ind w:firstLine="640"/>
        <w:spacing w:line="560" w:lineRule="exact"/>
        <w:rPr>
          <w:rFonts w:hint="eastAsia" w:ascii="宋体" w:hAnsi="宋体"/>
          <w:b/>
          <w:sz w:val="24"/>
          <w:szCs w:val="24"/>
        </w:rPr>
      </w:pPr>
      <w:r>
        <w:rPr>
          <w:rFonts w:hint="eastAsia" w:ascii="方正魏碑_GBK" w:hAnsi="方正魏碑_GBK" w:eastAsia="方正魏碑_GBK" w:cs="方正魏碑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sz w:val="24"/>
          <w:szCs w:val="24"/>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分包1</w:t>
      </w:r>
      <w:r/>
    </w:p>
    <w:p>
      <w:pPr>
        <w:pStyle w:val="949"/>
        <w:ind w:firstLine="560"/>
        <w:jc w:val="left"/>
        <w:keepLines/>
        <w:keepNext/>
        <w:spacing w:line="293" w:lineRule="auto"/>
        <w:rPr>
          <w:rFonts w:hint="eastAsia" w:ascii="黑体" w:hAnsi="黑体" w:eastAsia="黑体" w:cs="Arial"/>
          <w:bCs/>
          <w:sz w:val="28"/>
          <w:szCs w:val="28"/>
        </w:rPr>
        <w:outlineLvl w:val="1"/>
      </w:pPr>
      <w:r/>
      <w:bookmarkStart w:id="168" w:name="OLE_LINK29"/>
      <w:r>
        <w:rPr>
          <w:rFonts w:hint="eastAsia" w:ascii="黑体" w:hAnsi="黑体" w:eastAsia="黑体" w:cs="Arial"/>
          <w:bCs/>
          <w:sz w:val="28"/>
          <w:szCs w:val="28"/>
        </w:rPr>
        <w:t xml:space="preserve">2.1项目内容</w:t>
      </w:r>
      <w:r/>
    </w:p>
    <w:p>
      <w:pPr>
        <w:pStyle w:val="949"/>
        <w:ind w:firstLine="482"/>
        <w:spacing w:line="293" w:lineRule="auto"/>
        <w:rPr>
          <w:rFonts w:hint="eastAsia" w:ascii="宋体" w:hAnsi="宋体" w:cs="Courier New"/>
          <w:sz w:val="24"/>
          <w:szCs w:val="24"/>
        </w:rPr>
      </w:pPr>
      <w:r/>
      <w:bookmarkEnd w:id="168"/>
      <w:r>
        <w:rPr>
          <w:rFonts w:hint="eastAsia" w:ascii="宋体" w:hAnsi="宋体" w:cs="Courier New"/>
          <w:sz w:val="24"/>
          <w:szCs w:val="24"/>
        </w:rPr>
        <w:t xml:space="preserve">总体要求：</w:t>
      </w:r>
      <w:r>
        <w:rPr>
          <w:rFonts w:hint="eastAsia" w:ascii="宋体" w:hAnsi="宋体"/>
          <w:sz w:val="24"/>
          <w:szCs w:val="24"/>
        </w:rPr>
        <w:t xml:space="preserve">为保障省市两级公安机关之间的主干网络传输，满足厅机关各办公地点不同功能网络的接入需求，租赁13条10G双路由省市主干传输线路、3条院外单位传输线路、24条辐射功能性线路，采购89台网络设备、14套直流电源及机房动环监控维保服务，铺设2条短距离光缆，并提供相应运维保障服务</w:t>
      </w:r>
      <w:r>
        <w:rPr>
          <w:rFonts w:hint="eastAsia" w:ascii="宋体" w:hAnsi="宋体" w:cs="Courier New"/>
          <w:sz w:val="24"/>
          <w:szCs w:val="24"/>
        </w:rPr>
        <w:t xml:space="preserve">。</w:t>
      </w:r>
      <w:r/>
    </w:p>
    <w:p>
      <w:pPr>
        <w:pStyle w:val="949"/>
        <w:ind w:firstLine="482"/>
        <w:spacing w:line="293" w:lineRule="auto"/>
        <w:rPr>
          <w:rFonts w:hint="eastAsia" w:ascii="宋体" w:hAnsi="宋体" w:cs="Courier New"/>
          <w:b/>
          <w:bCs/>
          <w:sz w:val="24"/>
          <w:szCs w:val="24"/>
        </w:rPr>
      </w:pPr>
      <w:r/>
      <w:bookmarkStart w:id="169" w:name="OLE_LINK20"/>
      <w:r>
        <w:rPr>
          <w:rFonts w:hint="eastAsia" w:ascii="宋体" w:hAnsi="宋体" w:cs="Courier New"/>
          <w:b/>
          <w:bCs/>
          <w:sz w:val="24"/>
          <w:szCs w:val="24"/>
        </w:rPr>
        <w:t xml:space="preserve">2.1.1 </w:t>
      </w:r>
      <w:r>
        <w:rPr>
          <w:rFonts w:hint="eastAsia" w:ascii="宋体" w:hAnsi="宋体"/>
          <w:b/>
          <w:bCs/>
          <w:sz w:val="24"/>
          <w:szCs w:val="24"/>
        </w:rPr>
        <w:t xml:space="preserve">省市传输线路部分</w:t>
      </w:r>
      <w:r>
        <w:rPr>
          <w:rFonts w:hint="eastAsia" w:ascii="宋体" w:hAnsi="宋体" w:cs="Courier New"/>
          <w:b/>
          <w:bCs/>
          <w:sz w:val="24"/>
          <w:szCs w:val="24"/>
        </w:rPr>
      </w:r>
      <w:r/>
    </w:p>
    <w:p>
      <w:pPr>
        <w:pStyle w:val="949"/>
        <w:ind w:firstLine="482"/>
        <w:spacing w:line="293" w:lineRule="auto"/>
        <w:rPr>
          <w:rFonts w:hint="eastAsia" w:ascii="宋体" w:hAnsi="宋体" w:cs="Courier New"/>
          <w:i/>
          <w:iCs/>
          <w:sz w:val="24"/>
          <w:szCs w:val="24"/>
          <w:u w:val="single"/>
        </w:rPr>
      </w:pPr>
      <w:r/>
      <w:bookmarkEnd w:id="169"/>
      <w:r>
        <w:rPr>
          <w:rFonts w:hint="eastAsia" w:ascii="宋体" w:hAnsi="宋体" w:cs="Courier New"/>
          <w:i/>
          <w:iCs/>
          <w:sz w:val="24"/>
          <w:szCs w:val="24"/>
          <w:u w:val="single"/>
        </w:rPr>
        <w:t xml:space="preserve">2.1.1.1 基础要求。提供13条10G双路由省市主干传输线路及必要设备，打通扬州路1号机房到13个地市公安局机房的网络，保障省市两级公安机关之间主干网络传输。服务要求如下：</w:t>
      </w:r>
      <w:r/>
    </w:p>
    <w:tbl>
      <w:tblPr>
        <w:tblW w:w="91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997"/>
        <w:gridCol w:w="1273"/>
        <w:gridCol w:w="695"/>
        <w:gridCol w:w="484"/>
        <w:gridCol w:w="354"/>
        <w:gridCol w:w="655"/>
        <w:gridCol w:w="155"/>
        <w:gridCol w:w="924"/>
        <w:gridCol w:w="1827"/>
      </w:tblGrid>
      <w:tr>
        <w:trPr>
          <w:trHeight w:val="427"/>
        </w:trPr>
        <w:tc>
          <w:tcPr>
            <w:tcW w:w="76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99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网络类型</w:t>
            </w:r>
            <w:r/>
          </w:p>
        </w:tc>
        <w:tc>
          <w:tcPr>
            <w:gridSpan w:val="2"/>
            <w:tcW w:w="1968"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目标带宽</w:t>
            </w:r>
            <w:r/>
          </w:p>
        </w:tc>
        <w:tc>
          <w:tcPr>
            <w:gridSpan w:val="2"/>
            <w:tcW w:w="838"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gridSpan w:val="2"/>
            <w:tcW w:w="81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单位</w:t>
            </w:r>
            <w:r/>
          </w:p>
        </w:tc>
        <w:tc>
          <w:tcPr>
            <w:gridSpan w:val="2"/>
            <w:tcW w:w="2751"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省厅至南京市局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省厅至苏州市局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省厅至南通市局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省厅至无锡市局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省厅至常州市局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省厅至泰州市局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省厅至镇江市局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省厅至扬州市局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省厅至淮安市局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省厅至宿迁市局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省厅至徐州市局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省厅至连云港市局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省厅至盐城市局</w:t>
            </w:r>
            <w:r/>
          </w:p>
        </w:tc>
      </w:tr>
      <w:tr>
        <w:trPr>
          <w:trHeight w:val="397"/>
        </w:trPr>
        <w:tc>
          <w:tcPr>
            <w:gridSpan w:val="10"/>
            <w:tcW w:w="913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二级主干网承载省市10G传输带宽，可根据采购人需求划分出多种公安业务专网，并支持动态调整。</w:t>
            </w:r>
            <w:r/>
          </w:p>
        </w:tc>
      </w:tr>
      <w:tr>
        <w:trPr>
          <w:trHeight w:val="397"/>
        </w:trPr>
        <w:tc>
          <w:tcPr>
            <w:tcW w:w="76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99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网络类型</w:t>
            </w:r>
            <w:r/>
          </w:p>
        </w:tc>
        <w:tc>
          <w:tcPr>
            <w:tcW w:w="1273"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最低保障带宽</w:t>
            </w:r>
            <w:r/>
          </w:p>
        </w:tc>
        <w:tc>
          <w:tcPr>
            <w:gridSpan w:val="2"/>
            <w:tcW w:w="117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最大弹性带宽</w:t>
            </w:r>
            <w:r/>
          </w:p>
        </w:tc>
        <w:tc>
          <w:tcPr>
            <w:gridSpan w:val="2"/>
            <w:tcW w:w="100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gridSpan w:val="2"/>
            <w:tcW w:w="107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单位</w:t>
            </w:r>
            <w:r/>
          </w:p>
        </w:tc>
        <w:tc>
          <w:tcPr>
            <w:tcW w:w="182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省厅至13个地市（JM网需独立传输设备）</w:t>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TX网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JZ业务专网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WA业务专网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SJY专网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YDJW网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JM网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199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GA电话专网、电视会议、视频指挥和350兆联网</w:t>
            </w:r>
            <w:r/>
          </w:p>
        </w:tc>
        <w:tc>
          <w:tcPr>
            <w:tcW w:w="1273"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155M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32×2M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199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73"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2×10M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199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73"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2×25M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bl>
    <w:p>
      <w:pPr>
        <w:pStyle w:val="949"/>
        <w:ind w:firstLine="482"/>
        <w:spacing w:line="293" w:lineRule="auto"/>
        <w:rPr>
          <w:rFonts w:hint="eastAsia" w:ascii="宋体" w:hAnsi="宋体"/>
          <w:sz w:val="24"/>
          <w:szCs w:val="24"/>
        </w:rPr>
      </w:pPr>
      <w:r>
        <w:rPr>
          <w:rFonts w:hint="eastAsia" w:ascii="宋体" w:hAnsi="宋体"/>
          <w:sz w:val="24"/>
          <w:szCs w:val="24"/>
        </w:rPr>
      </w:r>
      <w:r/>
    </w:p>
    <w:p>
      <w:pPr>
        <w:pStyle w:val="949"/>
        <w:ind w:firstLine="482"/>
        <w:spacing w:line="293" w:lineRule="auto"/>
        <w:rPr>
          <w:rFonts w:hint="eastAsia" w:ascii="宋体" w:hAnsi="宋体" w:cs="Courier New"/>
          <w:sz w:val="24"/>
          <w:szCs w:val="24"/>
        </w:rPr>
      </w:pPr>
      <w:r>
        <w:rPr>
          <w:rFonts w:hint="eastAsia" w:ascii="宋体" w:hAnsi="宋体"/>
          <w:sz w:val="24"/>
          <w:szCs w:val="24"/>
        </w:rPr>
        <w:t xml:space="preserve">★</w:t>
      </w:r>
      <w:r>
        <w:rPr>
          <w:rFonts w:hint="eastAsia" w:ascii="宋体" w:hAnsi="宋体" w:cs="Courier New"/>
          <w:sz w:val="24"/>
          <w:szCs w:val="24"/>
        </w:rPr>
        <w:t xml:space="preserve">2.1.1.2 实施要求。</w:t>
      </w:r>
      <w:bookmarkStart w:id="170" w:name="OLE_LINK2"/>
      <w:r>
        <w:rPr>
          <w:rFonts w:hint="eastAsia" w:ascii="宋体" w:hAnsi="宋体" w:cs="Courier New"/>
          <w:sz w:val="24"/>
          <w:szCs w:val="24"/>
        </w:rPr>
        <w:t xml:space="preserve">合同签订后30个工作日内，根据采购人要求完成省市传输线路建设实施和联网服务。</w:t>
      </w:r>
      <w:r>
        <w:rPr>
          <w:rFonts w:hint="eastAsia" w:ascii="宋体" w:hAnsi="宋体" w:cs="宋体"/>
          <w:bCs/>
          <w:iCs/>
          <w:sz w:val="24"/>
          <w:szCs w:val="24"/>
        </w:rPr>
        <w:t xml:space="preserve">实施期间涉及的网络割接、设备搬迁、</w:t>
      </w:r>
      <w:r>
        <w:rPr>
          <w:rFonts w:hint="eastAsia" w:ascii="宋体" w:hAnsi="宋体" w:cs="Courier New"/>
          <w:sz w:val="24"/>
          <w:szCs w:val="24"/>
        </w:rPr>
        <w:t xml:space="preserve">线路延伸等费用由供应商负责。</w:t>
      </w:r>
      <w:bookmarkEnd w:id="170"/>
      <w:r>
        <w:rPr>
          <w:rFonts w:hint="eastAsia" w:ascii="宋体" w:hAnsi="宋体" w:cs="Courier New"/>
          <w:sz w:val="24"/>
          <w:szCs w:val="24"/>
          <w:lang w:bidi="ar"/>
        </w:rPr>
        <w:t xml:space="preserve">如涉及设备搬迁部署，需制定采购人认可的搬迁实施方案。</w:t>
      </w:r>
      <w:r>
        <w:rPr>
          <w:rFonts w:hint="eastAsia" w:ascii="宋体" w:hAnsi="宋体" w:cs="Courier New"/>
          <w:sz w:val="24"/>
          <w:szCs w:val="24"/>
        </w:rPr>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2.1.1.3线路要求。采用光传输网承载，提供安全、稳定的组网方式。省市两级公安机关间的传输线路采用双路由保护，当主用线路发生故障，自动切换到备用线路。线路专网专用，与其他网络物理隔离。线路设施具有良好的可扩展性，确保将来因业务发展需求能进行升级扩容。全年平均可用率不低于99.9%。</w:t>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▲2.1.1.4对标要求。</w:t>
      </w:r>
      <w:r>
        <w:rPr>
          <w:rFonts w:hint="eastAsia" w:ascii="宋体" w:hAnsi="宋体" w:cs="宋体"/>
          <w:bCs/>
          <w:iCs/>
          <w:sz w:val="24"/>
          <w:szCs w:val="24"/>
        </w:rPr>
        <w:t xml:space="preserve">服务期内能</w:t>
      </w:r>
      <w:r>
        <w:rPr>
          <w:rFonts w:hint="eastAsia" w:ascii="宋体" w:hAnsi="宋体" w:cs="Courier New"/>
          <w:sz w:val="24"/>
          <w:szCs w:val="24"/>
        </w:rPr>
        <w:t xml:space="preserve">根据采购人要求，按照公安部相关部署</w:t>
      </w:r>
      <w:r>
        <w:rPr>
          <w:rFonts w:hint="eastAsia" w:ascii="宋体" w:hAnsi="宋体" w:cs="宋体"/>
          <w:bCs/>
          <w:iCs/>
          <w:sz w:val="24"/>
          <w:szCs w:val="24"/>
        </w:rPr>
        <w:t xml:space="preserve">，进行升级调整，所需费用由供应商承担</w:t>
      </w:r>
      <w:r>
        <w:rPr>
          <w:rFonts w:hint="eastAsia" w:ascii="宋体" w:hAnsi="宋体" w:cs="Courier New"/>
          <w:sz w:val="24"/>
          <w:szCs w:val="24"/>
        </w:rPr>
        <w:t xml:space="preserve">（投标时提供书面承诺并加盖投标人公章）</w:t>
      </w:r>
      <w:r>
        <w:rPr>
          <w:rFonts w:hint="eastAsia" w:ascii="宋体" w:hAnsi="宋体" w:cs="宋体"/>
          <w:bCs/>
          <w:iCs/>
          <w:sz w:val="24"/>
          <w:szCs w:val="24"/>
        </w:rPr>
        <w:t xml:space="preserve">。</w:t>
      </w:r>
      <w:r>
        <w:rPr>
          <w:rFonts w:hint="eastAsia" w:ascii="宋体" w:hAnsi="宋体" w:cs="Courier New"/>
          <w:sz w:val="24"/>
          <w:szCs w:val="24"/>
        </w:rPr>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▲2.1.1.5技术支持要求。服务期内能根据采购人要求，提供网络技术支持，包括但不限于网络调整、系统优化、配置调试等。</w:t>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2.1.2 院外单位线路部分</w:t>
      </w:r>
      <w:r/>
    </w:p>
    <w:p>
      <w:pPr>
        <w:pStyle w:val="949"/>
        <w:ind w:firstLine="482"/>
        <w:spacing w:line="293" w:lineRule="auto"/>
        <w:rPr>
          <w:rFonts w:hint="eastAsia" w:ascii="宋体" w:hAnsi="宋体" w:cs="Courier New"/>
          <w:i/>
          <w:iCs/>
          <w:sz w:val="24"/>
          <w:szCs w:val="24"/>
          <w:u w:val="single"/>
        </w:rPr>
      </w:pPr>
      <w:r>
        <w:rPr>
          <w:rFonts w:hint="eastAsia" w:ascii="宋体" w:hAnsi="宋体" w:cs="Courier New"/>
          <w:i/>
          <w:iCs/>
          <w:sz w:val="24"/>
          <w:szCs w:val="24"/>
          <w:u w:val="single"/>
        </w:rPr>
        <w:t xml:space="preserve">2.1.2.1 基础要求。租赁3条（每条2芯）裸光纤线路及光传输设备，搭建省厅至院外单位间点到点传输网络。线路光缆提供双路由保护，保障线路安全可靠性。光传输设备按实际使用需求配置业务板卡，满足公安各类网络联网需要，同时预留5个以上端口，以便于后期业务网络新增。服务要求如下：</w:t>
      </w:r>
      <w:r/>
    </w:p>
    <w:tbl>
      <w:tblPr>
        <w:tblW w:w="106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115"/>
        <w:gridCol w:w="1290"/>
        <w:gridCol w:w="869"/>
        <w:gridCol w:w="899"/>
        <w:gridCol w:w="921"/>
        <w:gridCol w:w="1390"/>
        <w:gridCol w:w="3455"/>
      </w:tblGrid>
      <w:tr>
        <w:trPr>
          <w:cantSplit/>
          <w:trHeight w:val="289"/>
        </w:trPr>
        <w:tc>
          <w:tcPr>
            <w:tcW w:w="687" w:type="dxa"/>
            <w:vAlign w:val="center"/>
            <w:vMerge w:val="restart"/>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115" w:type="dxa"/>
            <w:vAlign w:val="center"/>
            <w:vMerge w:val="restart"/>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地址端A</w:t>
            </w:r>
            <w:r/>
          </w:p>
        </w:tc>
        <w:tc>
          <w:tcPr>
            <w:tcW w:w="1290" w:type="dxa"/>
            <w:vAlign w:val="center"/>
            <w:vMerge w:val="restart"/>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地址端B</w:t>
            </w:r>
            <w:r/>
          </w:p>
        </w:tc>
        <w:tc>
          <w:tcPr>
            <w:tcW w:w="869" w:type="dxa"/>
            <w:vAlign w:val="center"/>
            <w:vMerge w:val="restart"/>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长度（km）</w:t>
            </w:r>
            <w:r/>
          </w:p>
        </w:tc>
        <w:tc>
          <w:tcPr>
            <w:gridSpan w:val="3"/>
            <w:tcW w:w="321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带宽划分</w:t>
            </w:r>
            <w:r/>
          </w:p>
        </w:tc>
        <w:tc>
          <w:tcPr>
            <w:tcW w:w="3455" w:type="dxa"/>
            <w:vAlign w:val="center"/>
            <w:vMerge w:val="restart"/>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tcW w:w="921"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带宽</w:t>
            </w:r>
            <w:r/>
          </w:p>
        </w:tc>
        <w:tc>
          <w:tcPr>
            <w:tcW w:w="139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功能</w:t>
            </w:r>
            <w:r/>
          </w:p>
        </w:tc>
        <w:tc>
          <w:tcPr>
            <w:tcW w:w="345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115"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1290"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小行路16号</w:t>
            </w:r>
            <w:r/>
          </w:p>
        </w:tc>
        <w:tc>
          <w:tcPr>
            <w:tcW w:w="869" w:type="dxa"/>
            <w:vAlign w:val="center"/>
            <w:vMerge w:val="restart"/>
            <w:textDirection w:val="lrTb"/>
            <w:noWrap w:val="false"/>
          </w:tcPr>
          <w:p>
            <w:pPr>
              <w:pStyle w:val="949"/>
              <w:jc w:val="center"/>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TX网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JM网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需包含独立传输设备</w:t>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ZWW网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FK专网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需包含独立传输设备</w:t>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食堂专网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电话</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预留</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115"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1290"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伊刘村1号</w:t>
            </w:r>
            <w:r/>
          </w:p>
        </w:tc>
        <w:tc>
          <w:tcPr>
            <w:tcW w:w="869" w:type="dxa"/>
            <w:vAlign w:val="center"/>
            <w:vMerge w:val="restart"/>
            <w:textDirection w:val="lrTb"/>
            <w:noWrap w:val="false"/>
          </w:tcPr>
          <w:p>
            <w:pPr>
              <w:pStyle w:val="949"/>
              <w:jc w:val="center"/>
              <w:rPr>
                <w:rFonts w:ascii="宋体" w:hAnsi="宋体" w:cs="宋体"/>
                <w:sz w:val="24"/>
                <w:szCs w:val="24"/>
              </w:rPr>
            </w:pPr>
            <w:r>
              <w:rPr>
                <w:rFonts w:hint="eastAsia" w:ascii="宋体" w:hAnsi="宋体" w:cs="宋体"/>
                <w:sz w:val="24"/>
                <w:szCs w:val="24"/>
              </w:rPr>
              <w:t xml:space="preserve">14.5</w:t>
            </w:r>
            <w:r>
              <w:rPr>
                <w:rFonts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食堂专网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电话</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预留</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115"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1290"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p>
            <w:pPr>
              <w:pStyle w:val="949"/>
              <w:jc w:val="center"/>
              <w:rPr>
                <w:rFonts w:hint="eastAsia" w:ascii="宋体" w:hAnsi="宋体" w:cs="宋体"/>
                <w:sz w:val="24"/>
                <w:szCs w:val="24"/>
              </w:rPr>
            </w:pPr>
            <w:r>
              <w:rPr>
                <w:rFonts w:hint="eastAsia" w:ascii="宋体" w:hAnsi="宋体" w:cs="宋体"/>
                <w:sz w:val="24"/>
                <w:szCs w:val="24"/>
              </w:rPr>
              <w:t xml:space="preserve">禄口机场</w:t>
            </w:r>
            <w:r/>
          </w:p>
        </w:tc>
        <w:tc>
          <w:tcPr>
            <w:tcW w:w="869" w:type="dxa"/>
            <w:vAlign w:val="center"/>
            <w:vMerge w:val="restart"/>
            <w:textDirection w:val="lrTb"/>
            <w:noWrap w:val="false"/>
          </w:tcPr>
          <w:p>
            <w:pPr>
              <w:pStyle w:val="949"/>
              <w:jc w:val="center"/>
              <w:rPr>
                <w:rFonts w:ascii="宋体" w:hAnsi="宋体" w:cs="宋体"/>
                <w:sz w:val="24"/>
                <w:szCs w:val="24"/>
              </w:rPr>
            </w:pPr>
            <w:r>
              <w:rPr>
                <w:rFonts w:hint="eastAsia" w:ascii="宋体" w:hAnsi="宋体" w:cs="宋体"/>
                <w:sz w:val="24"/>
                <w:szCs w:val="24"/>
              </w:rPr>
              <w:t xml:space="preserve">54.4</w:t>
            </w:r>
            <w:r>
              <w:rPr>
                <w:rFonts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lang w:val="en"/>
              </w:rPr>
              <w:t xml:space="preserve">0</w:t>
            </w:r>
            <w:r>
              <w:rPr>
                <w:rFonts w:hint="eastAsia" w:ascii="宋体" w:hAnsi="宋体" w:cs="宋体"/>
                <w:sz w:val="24"/>
                <w:szCs w:val="24"/>
              </w:rPr>
              <w:t xml:space="preserve">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TX网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JM网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需包含独立传输设备</w:t>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ZWW网</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89"/>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电话</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298"/>
        </w:trPr>
        <w:tc>
          <w:tcPr>
            <w:tcW w:w="68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115"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90"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69"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89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92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w:t>
            </w:r>
            <w:r/>
          </w:p>
        </w:tc>
        <w:tc>
          <w:tcPr>
            <w:tcW w:w="139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预留</w:t>
            </w:r>
            <w:r/>
          </w:p>
        </w:tc>
        <w:tc>
          <w:tcPr>
            <w:tcW w:w="3455"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bl>
    <w:p>
      <w:pPr>
        <w:pStyle w:val="949"/>
        <w:ind w:firstLine="482"/>
        <w:spacing w:line="293" w:lineRule="auto"/>
        <w:rPr>
          <w:rFonts w:hint="eastAsia" w:ascii="宋体" w:hAnsi="宋体"/>
          <w:sz w:val="24"/>
          <w:szCs w:val="24"/>
        </w:rPr>
      </w:pPr>
      <w:r>
        <w:rPr>
          <w:rFonts w:hint="eastAsia" w:ascii="宋体" w:hAnsi="宋体"/>
          <w:sz w:val="24"/>
          <w:szCs w:val="24"/>
        </w:rPr>
        <w:t xml:space="preserve">注：以上线路租赁，投标时按线路起始地址</w:t>
      </w:r>
      <w:bookmarkStart w:id="171" w:name="OLE_LINK37"/>
      <w:r>
        <w:rPr>
          <w:rFonts w:hint="eastAsia" w:ascii="宋体" w:hAnsi="宋体"/>
          <w:sz w:val="24"/>
          <w:szCs w:val="24"/>
        </w:rPr>
        <w:t xml:space="preserve">分项报价</w:t>
      </w:r>
      <w:bookmarkEnd w:id="171"/>
      <w:r>
        <w:rPr>
          <w:rFonts w:hint="eastAsia" w:ascii="宋体" w:hAnsi="宋体"/>
          <w:sz w:val="24"/>
          <w:szCs w:val="24"/>
        </w:rPr>
        <w:t xml:space="preserve">。</w:t>
      </w:r>
      <w:r/>
    </w:p>
    <w:p>
      <w:pPr>
        <w:pStyle w:val="949"/>
        <w:ind w:firstLine="482"/>
        <w:spacing w:line="293" w:lineRule="auto"/>
        <w:rPr>
          <w:rFonts w:hint="eastAsia" w:ascii="宋体" w:hAnsi="宋体" w:cs="Courier New"/>
          <w:sz w:val="24"/>
          <w:szCs w:val="24"/>
        </w:rPr>
      </w:pPr>
      <w:r/>
      <w:bookmarkStart w:id="172" w:name="OLE_LINK22"/>
      <w:r>
        <w:rPr>
          <w:rFonts w:hint="eastAsia" w:ascii="宋体" w:hAnsi="宋体"/>
          <w:sz w:val="24"/>
          <w:szCs w:val="24"/>
        </w:rPr>
        <w:t xml:space="preserve">★</w:t>
      </w:r>
      <w:r>
        <w:rPr>
          <w:rFonts w:hint="eastAsia" w:ascii="宋体" w:hAnsi="宋体" w:cs="Courier New"/>
          <w:sz w:val="24"/>
          <w:szCs w:val="24"/>
        </w:rPr>
        <w:t xml:space="preserve">2.1.2.2 实施要求。合同签订后30个工作日内，根据采购人要求部署到指定位置。</w:t>
      </w:r>
      <w:r>
        <w:rPr>
          <w:rFonts w:hint="eastAsia" w:ascii="宋体" w:hAnsi="宋体" w:cs="宋体"/>
          <w:bCs/>
          <w:iCs/>
          <w:sz w:val="24"/>
          <w:szCs w:val="24"/>
        </w:rPr>
        <w:t xml:space="preserve">实施期间涉及的网络割接、设备搬迁、</w:t>
      </w:r>
      <w:r>
        <w:rPr>
          <w:rFonts w:hint="eastAsia" w:ascii="宋体" w:hAnsi="宋体" w:cs="Courier New"/>
          <w:sz w:val="24"/>
          <w:szCs w:val="24"/>
        </w:rPr>
        <w:t xml:space="preserve">线路延伸等费用由供应商负责。针对光传输设备，须提供配套的网络管理平台等服务，</w:t>
      </w:r>
      <w:r>
        <w:rPr>
          <w:rFonts w:ascii="宋体" w:hAnsi="宋体" w:cs="Courier New"/>
          <w:sz w:val="24"/>
          <w:szCs w:val="24"/>
        </w:rPr>
        <w:t xml:space="preserve">满足</w:t>
      </w:r>
      <w:r>
        <w:rPr>
          <w:rFonts w:hint="eastAsia" w:ascii="宋体" w:hAnsi="宋体" w:cs="Courier New"/>
          <w:sz w:val="24"/>
          <w:szCs w:val="24"/>
        </w:rPr>
        <w:t xml:space="preserve">采购人多种业务网络动态开通</w:t>
      </w:r>
      <w:r>
        <w:rPr>
          <w:rFonts w:ascii="宋体" w:hAnsi="宋体" w:cs="Courier New"/>
          <w:sz w:val="24"/>
          <w:szCs w:val="24"/>
        </w:rPr>
        <w:t xml:space="preserve">需求</w:t>
      </w:r>
      <w:r>
        <w:rPr>
          <w:rFonts w:hint="eastAsia" w:ascii="宋体" w:hAnsi="宋体" w:cs="Courier New"/>
          <w:sz w:val="24"/>
          <w:szCs w:val="24"/>
        </w:rPr>
        <w:t xml:space="preserve">。</w:t>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▲2.1.2.3 技术支持要求。服务期内能根据采购人要求，提供网络技术支持，包括但不限于网络调整、系统优化、配置调试等。</w:t>
      </w:r>
      <w:r/>
    </w:p>
    <w:p>
      <w:pPr>
        <w:pStyle w:val="949"/>
        <w:ind w:firstLine="482"/>
        <w:spacing w:line="293" w:lineRule="auto"/>
        <w:rPr>
          <w:rFonts w:hint="eastAsia" w:ascii="宋体" w:hAnsi="宋体" w:cs="Courier New"/>
          <w:b/>
          <w:bCs/>
          <w:sz w:val="24"/>
          <w:szCs w:val="24"/>
        </w:rPr>
      </w:pPr>
      <w:r/>
      <w:bookmarkEnd w:id="172"/>
      <w:r>
        <w:rPr>
          <w:rFonts w:hint="eastAsia" w:ascii="宋体" w:hAnsi="宋体" w:cs="Courier New"/>
          <w:b/>
          <w:bCs/>
          <w:sz w:val="24"/>
          <w:szCs w:val="24"/>
        </w:rPr>
        <w:t xml:space="preserve">2.1.3 辐射功能性线路部分</w:t>
      </w:r>
      <w:r/>
    </w:p>
    <w:p>
      <w:pPr>
        <w:pStyle w:val="949"/>
        <w:ind w:firstLine="482"/>
        <w:spacing w:line="293" w:lineRule="auto"/>
        <w:rPr>
          <w:rFonts w:hint="eastAsia" w:ascii="宋体" w:hAnsi="宋体" w:cs="Courier New"/>
          <w:i/>
          <w:iCs/>
          <w:sz w:val="24"/>
          <w:szCs w:val="24"/>
          <w:u w:val="single"/>
        </w:rPr>
      </w:pPr>
      <w:r>
        <w:rPr>
          <w:rFonts w:hint="eastAsia" w:ascii="宋体" w:hAnsi="宋体" w:cs="Courier New"/>
          <w:i/>
          <w:iCs/>
          <w:sz w:val="24"/>
          <w:szCs w:val="24"/>
          <w:u w:val="single"/>
        </w:rPr>
        <w:t xml:space="preserve">2.1.3.1 基础要求。提供24条电路专线租赁服务，满足厅机关各办公地点不同功能网络的接入需求。服务要求如下：</w:t>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178"/>
        <w:gridCol w:w="777"/>
        <w:gridCol w:w="943"/>
        <w:gridCol w:w="2247"/>
        <w:gridCol w:w="2157"/>
        <w:gridCol w:w="1276"/>
      </w:tblGrid>
      <w:tr>
        <w:trPr>
          <w:trHeight w:val="401"/>
        </w:trPr>
        <w:tc>
          <w:tcPr>
            <w:tcW w:w="773"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178"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类型</w:t>
            </w:r>
            <w:r/>
          </w:p>
        </w:tc>
        <w:tc>
          <w:tcPr>
            <w:tcW w:w="77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tcW w:w="943"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规格</w:t>
            </w:r>
            <w:r/>
          </w:p>
        </w:tc>
        <w:tc>
          <w:tcPr>
            <w:tcW w:w="224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A端地址</w:t>
            </w:r>
            <w:r/>
          </w:p>
        </w:tc>
        <w:tc>
          <w:tcPr>
            <w:tcW w:w="215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Z端地址</w:t>
            </w:r>
            <w:r/>
          </w:p>
        </w:tc>
        <w:tc>
          <w:tcPr>
            <w:tcW w:w="1276"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马群新街189号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仙林大道8号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马群新街189号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禄口机场</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龙蟠路141号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梦都大街166号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徐州市太行路9号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津浦西路192号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徐州市内</w:t>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浦江路30号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共青团路80号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共青团路80号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建邺路88号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11</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建邺路90号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12</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中山南路414号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水西门大街58号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14</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en"/>
              </w:rPr>
              <w:t xml:space="preserve">0</w:t>
            </w:r>
            <w:r>
              <w:rPr>
                <w:rFonts w:hint="eastAsia" w:ascii="宋体" w:hAnsi="宋体" w:cs="宋体"/>
                <w:sz w:val="24"/>
                <w:szCs w:val="24"/>
              </w:rPr>
              <w:t xml:space="preserve">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湛江路86号</w:t>
            </w:r>
            <w:r/>
          </w:p>
        </w:tc>
        <w:tc>
          <w:tcPr>
            <w:tcW w:w="2157" w:type="dxa"/>
            <w:vAlign w:val="center"/>
            <w:textDirection w:val="lrTb"/>
            <w:noWrap w:val="false"/>
          </w:tcPr>
          <w:p>
            <w:pPr>
              <w:pStyle w:val="949"/>
              <w:jc w:val="center"/>
              <w:rPr>
                <w:rFonts w:hint="eastAsia" w:ascii="宋体" w:hAnsi="宋体" w:cs="宋体"/>
                <w:sz w:val="24"/>
                <w:szCs w:val="24"/>
                <w:lang w:val="en"/>
              </w:rPr>
            </w:pPr>
            <w:r>
              <w:rPr>
                <w:rFonts w:hint="eastAsia" w:ascii="宋体" w:hAnsi="宋体" w:cs="宋体"/>
                <w:sz w:val="24"/>
                <w:szCs w:val="24"/>
              </w:rPr>
              <w:t xml:space="preserve">小行路16号</w:t>
            </w:r>
            <w:r>
              <w:rPr>
                <w:rFonts w:hint="eastAsia" w:ascii="宋体" w:hAnsi="宋体" w:cs="宋体"/>
                <w:sz w:val="24"/>
                <w:szCs w:val="24"/>
                <w:lang w:val="en"/>
              </w:rPr>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15</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北京市朝阳区安定门外大街甲1号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跨省专线，提供配套安全设备</w:t>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16</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广州路300号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rHeight w:val="90"/>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17</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定淮门大街9号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18</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马鞍山路11号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19</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汉中门大街145号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20</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江东北路199号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21</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江东北路199号</w:t>
            </w:r>
            <w:r/>
          </w:p>
        </w:tc>
        <w:tc>
          <w:tcPr>
            <w:tcW w:w="1276"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425"/>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22</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英雄岭路1号</w:t>
            </w:r>
            <w:r/>
          </w:p>
        </w:tc>
        <w:tc>
          <w:tcPr>
            <w:tcW w:w="1276"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31"/>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23</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英雄岭路1号</w:t>
            </w:r>
            <w:r/>
          </w:p>
        </w:tc>
        <w:tc>
          <w:tcPr>
            <w:tcW w:w="1276" w:type="dxa"/>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r>
      <w:tr>
        <w:trPr>
          <w:cantSplit/>
        </w:trPr>
        <w:tc>
          <w:tcPr>
            <w:tcW w:w="7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24</w:t>
            </w:r>
            <w:r/>
          </w:p>
        </w:tc>
        <w:tc>
          <w:tcPr>
            <w:tcW w:w="117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电路专线</w:t>
            </w:r>
            <w:r/>
          </w:p>
        </w:tc>
        <w:tc>
          <w:tcPr>
            <w:tcW w:w="77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1条</w:t>
            </w:r>
            <w:r/>
          </w:p>
        </w:tc>
        <w:tc>
          <w:tcPr>
            <w:tcW w:w="94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10M</w:t>
            </w:r>
            <w:r/>
          </w:p>
        </w:tc>
        <w:tc>
          <w:tcPr>
            <w:tcW w:w="224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扬州路1号</w:t>
            </w:r>
            <w:r/>
          </w:p>
        </w:tc>
        <w:tc>
          <w:tcPr>
            <w:tcW w:w="215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英雄岭路1号</w:t>
            </w:r>
            <w:r/>
          </w:p>
        </w:tc>
        <w:tc>
          <w:tcPr>
            <w:tcW w:w="1276" w:type="dxa"/>
            <w:vAlign w:val="center"/>
            <w:vMerge w:val="continue"/>
            <w:textDirection w:val="lrTb"/>
            <w:noWrap w:val="false"/>
          </w:tcPr>
          <w:p>
            <w:pPr>
              <w:pStyle w:val="949"/>
              <w:jc w:val="center"/>
              <w:widowControl/>
              <w:rPr>
                <w:rFonts w:hint="eastAsia" w:ascii="宋体" w:hAnsi="宋体" w:cs="宋体"/>
                <w:sz w:val="24"/>
                <w:szCs w:val="24"/>
              </w:rPr>
            </w:pPr>
            <w:r>
              <w:rPr>
                <w:rFonts w:hint="eastAsia" w:ascii="宋体" w:hAnsi="宋体" w:cs="宋体"/>
                <w:sz w:val="24"/>
                <w:szCs w:val="24"/>
              </w:rPr>
            </w:r>
            <w:r/>
          </w:p>
        </w:tc>
      </w:tr>
    </w:tbl>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注：以上线路租赁，投标时按线路类型及带宽大小分项报价。</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▲2.1.3.2 实施要求。合同签订后30个工作日内，根据采购人要求将线路部署到指定位置。</w:t>
      </w:r>
      <w:r>
        <w:rPr>
          <w:rFonts w:hint="eastAsia" w:ascii="宋体" w:hAnsi="宋体" w:cs="宋体"/>
          <w:bCs/>
          <w:iCs/>
          <w:sz w:val="24"/>
          <w:szCs w:val="24"/>
        </w:rPr>
        <w:t xml:space="preserve">实施期间涉及的网络割接、设备搬迁、</w:t>
      </w:r>
      <w:r>
        <w:rPr>
          <w:rFonts w:hint="eastAsia" w:ascii="宋体" w:hAnsi="宋体" w:cs="宋体"/>
          <w:sz w:val="24"/>
          <w:szCs w:val="24"/>
        </w:rPr>
        <w:t xml:space="preserve">线路延伸等费用由供应商负责。</w:t>
      </w:r>
      <w:r/>
    </w:p>
    <w:p>
      <w:pPr>
        <w:pStyle w:val="949"/>
        <w:ind w:firstLine="482"/>
        <w:spacing w:line="293" w:lineRule="auto"/>
        <w:rPr>
          <w:rFonts w:hint="eastAsia" w:cs="宋体"/>
          <w:sz w:val="24"/>
          <w:szCs w:val="24"/>
        </w:rPr>
      </w:pPr>
      <w:r>
        <w:rPr>
          <w:rFonts w:hint="eastAsia" w:ascii="宋体" w:hAnsi="宋体" w:cs="宋体"/>
          <w:sz w:val="24"/>
          <w:szCs w:val="24"/>
        </w:rPr>
        <w:t xml:space="preserve">▲2.1.3.3 技术支持要求。服务期内能根据采购人要求，提供网络技术支持，包括但不限于网络调整、系统优化、配置调试等。</w:t>
      </w:r>
      <w:r>
        <w:rPr>
          <w:rFonts w:hint="eastAsia" w:cs="宋体"/>
          <w:sz w:val="24"/>
          <w:szCs w:val="24"/>
        </w:rPr>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2.1.4 网络设备维保部分 </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★2.1.4.1 基础要求。为89台网络设备提供专业维保服务，包括日常巡检维护、系统升级更新、故障排查处置、备品备件更换、网络调整配置、设备搬迁调试、突发应急响应等。设备清单如下：</w:t>
      </w:r>
      <w:r/>
    </w:p>
    <w:tbl>
      <w:tblPr>
        <w:tblW w:w="51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09"/>
        <w:gridCol w:w="2990"/>
        <w:gridCol w:w="923"/>
        <w:gridCol w:w="2971"/>
      </w:tblGrid>
      <w:tr>
        <w:trPr>
          <w:trHeight w:val="425"/>
        </w:trPr>
        <w:tc>
          <w:tcPr>
            <w:tcW w:w="430" w:type="pct"/>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908" w:type="pct"/>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设备类型</w:t>
            </w:r>
            <w:r/>
          </w:p>
        </w:tc>
        <w:tc>
          <w:tcPr>
            <w:tcW w:w="1589" w:type="pct"/>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设备型号</w:t>
            </w:r>
            <w:r/>
          </w:p>
        </w:tc>
        <w:tc>
          <w:tcPr>
            <w:tcW w:w="491" w:type="pct"/>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tcW w:w="1579" w:type="pct"/>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SR8808系列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CR16000系列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26台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各地市公安局机房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SR8808系列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SR8804系列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26台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各地市公安局机房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CR1600系列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SR8808系列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SR6608系列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各地市公安局机房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SR6608系列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各地市公安局机房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网络设备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H3C SecPath M9006系列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r>
        <w:trPr>
          <w:trHeight w:val="425"/>
        </w:trPr>
        <w:tc>
          <w:tcPr>
            <w:tcW w:w="430"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908"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主机设备</w:t>
            </w:r>
            <w:r/>
          </w:p>
        </w:tc>
        <w:tc>
          <w:tcPr>
            <w:tcW w:w="158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R49000 G5系列</w:t>
            </w:r>
            <w:r/>
          </w:p>
        </w:tc>
        <w:tc>
          <w:tcPr>
            <w:tcW w:w="491"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3台</w:t>
            </w:r>
            <w:r/>
          </w:p>
        </w:tc>
        <w:tc>
          <w:tcPr>
            <w:tcW w:w="1579" w:type="pct"/>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厅机关机房</w:t>
            </w:r>
            <w:r/>
          </w:p>
        </w:tc>
      </w:tr>
    </w:tbl>
    <w:p>
      <w:pPr>
        <w:pStyle w:val="949"/>
        <w:ind w:firstLine="482"/>
        <w:spacing w:line="293" w:lineRule="auto"/>
        <w:rPr>
          <w:rFonts w:ascii="宋体" w:hAnsi="宋体" w:cs="Courier New"/>
          <w:sz w:val="24"/>
          <w:szCs w:val="24"/>
        </w:rPr>
      </w:pPr>
      <w:r>
        <w:rPr>
          <w:rFonts w:hint="eastAsia" w:ascii="宋体" w:hAnsi="宋体" w:cs="Courier New"/>
          <w:sz w:val="24"/>
          <w:szCs w:val="24"/>
        </w:rPr>
        <w:t xml:space="preserve">注：在设备总规模和价格总量基本持平情况下，具体型号可根据实际部署情况动态调整。</w:t>
      </w:r>
      <w:r>
        <w:rPr>
          <w:rFonts w:ascii="宋体" w:hAnsi="宋体" w:cs="Courier New"/>
          <w:sz w:val="24"/>
          <w:szCs w:val="24"/>
        </w:rPr>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w:t>
      </w:r>
      <w:bookmarkStart w:id="173" w:name="OLE_LINK16"/>
      <w:r>
        <w:rPr>
          <w:rFonts w:hint="eastAsia" w:ascii="宋体" w:hAnsi="宋体" w:cs="Courier New"/>
          <w:sz w:val="24"/>
          <w:szCs w:val="24"/>
        </w:rPr>
        <w:t xml:space="preserve">2.1.4.2 </w:t>
      </w:r>
      <w:bookmarkEnd w:id="173"/>
      <w:r>
        <w:rPr>
          <w:rFonts w:hint="eastAsia" w:ascii="宋体" w:hAnsi="宋体" w:cs="Courier New"/>
          <w:sz w:val="24"/>
          <w:szCs w:val="24"/>
        </w:rPr>
        <w:t xml:space="preserve">备品备件及损件要求。中标后一个月内，对照维保的设备型号配备全新原厂商备品备件</w:t>
      </w:r>
      <w:r>
        <w:rPr>
          <w:rFonts w:hint="eastAsia" w:ascii="宋体" w:hAnsi="宋体" w:cs="宋体"/>
          <w:sz w:val="24"/>
          <w:szCs w:val="24"/>
        </w:rPr>
        <w:t xml:space="preserve">。</w:t>
      </w:r>
      <w:r>
        <w:rPr>
          <w:rFonts w:hint="eastAsia" w:ascii="宋体" w:hAnsi="宋体" w:cs="Courier New"/>
          <w:sz w:val="24"/>
          <w:szCs w:val="24"/>
        </w:rPr>
        <w:t xml:space="preserve">除特殊情况并经采购人确认，不得使用拆机件、副厂件或旧件。更换带有存储功能的旧件，应交由采购人。备品备件购置、运输、保管等过程产生的费用均由供应商承担。服务提供商储备网络传输过渡设备，确保在设备故障、网络攻击、灾害事故等极端场景下能够12小时内恢复运行。（投标时提供书面承诺并加盖投标人公章）</w:t>
      </w:r>
      <w:r/>
    </w:p>
    <w:p>
      <w:pPr>
        <w:pStyle w:val="949"/>
        <w:ind w:firstLine="482"/>
        <w:spacing w:line="292" w:lineRule="auto"/>
        <w:rPr>
          <w:rFonts w:hint="eastAsia" w:ascii="宋体" w:hAnsi="宋体" w:cs="Courier New"/>
          <w:sz w:val="24"/>
          <w:szCs w:val="24"/>
        </w:rPr>
      </w:pPr>
      <w:r>
        <w:rPr>
          <w:rFonts w:hint="eastAsia" w:ascii="宋体" w:hAnsi="宋体"/>
          <w:sz w:val="24"/>
          <w:szCs w:val="24"/>
        </w:rPr>
        <w:t xml:space="preserve">★</w:t>
      </w:r>
      <w:bookmarkStart w:id="174" w:name="_Hlk219845696"/>
      <w:r>
        <w:rPr>
          <w:rFonts w:hint="eastAsia" w:ascii="宋体" w:hAnsi="宋体" w:cs="Courier New"/>
          <w:sz w:val="24"/>
          <w:szCs w:val="24"/>
        </w:rPr>
        <w:t xml:space="preserve">2.1.4.3</w:t>
      </w:r>
      <w:bookmarkEnd w:id="174"/>
      <w:r>
        <w:rPr>
          <w:rFonts w:hint="eastAsia" w:ascii="宋体" w:hAnsi="宋体" w:cs="Courier New"/>
          <w:sz w:val="24"/>
          <w:szCs w:val="24"/>
        </w:rPr>
        <w:t xml:space="preserve"> 专门技术力量要求。</w:t>
      </w:r>
      <w:r>
        <w:rPr>
          <w:rFonts w:hint="eastAsia" w:ascii="宋体" w:hAnsi="宋体" w:cs="Courier New"/>
          <w:sz w:val="24"/>
          <w:szCs w:val="24"/>
          <w:lang w:bidi="ar"/>
        </w:rPr>
        <w:t xml:space="preserve">在重大网络割接调整中，应按照采购人要求，提供设备原厂商工程师现场服务。供应商应在合同签订前提供与设备原厂商的合作协议。如未能提供，采购人有权不予签订合同。</w:t>
      </w:r>
      <w:r>
        <w:rPr>
          <w:rFonts w:hint="eastAsia" w:ascii="宋体" w:hAnsi="宋体" w:cs="Courier New"/>
          <w:sz w:val="24"/>
          <w:szCs w:val="24"/>
        </w:rPr>
        <w:t xml:space="preserve">（投标时提供书面承诺并加盖投标人公章）</w:t>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2.1.5 直流电源维保部分</w:t>
      </w:r>
      <w:r/>
    </w:p>
    <w:p>
      <w:pPr>
        <w:pStyle w:val="949"/>
        <w:ind w:firstLine="482"/>
        <w:spacing w:line="293" w:lineRule="auto"/>
        <w:rPr>
          <w:rFonts w:hint="eastAsia" w:ascii="宋体" w:hAnsi="宋体" w:cs="宋体"/>
          <w:sz w:val="24"/>
          <w:szCs w:val="24"/>
        </w:rPr>
      </w:pPr>
      <w:r>
        <w:rPr>
          <w:rFonts w:hint="eastAsia" w:ascii="宋体" w:hAnsi="宋体" w:cs="Courier New"/>
          <w:sz w:val="24"/>
          <w:szCs w:val="24"/>
        </w:rPr>
        <w:t xml:space="preserve">▲</w:t>
      </w:r>
      <w:r>
        <w:rPr>
          <w:rFonts w:hint="eastAsia" w:ascii="宋体" w:hAnsi="宋体" w:cs="宋体"/>
          <w:sz w:val="24"/>
          <w:szCs w:val="24"/>
        </w:rPr>
        <w:t xml:space="preserve">2.1.5.1 基础要求。为省厅及13个地市目前在用的二级主干网配套直流供电设备购置维保服务，更换全部蓄电池组。</w:t>
      </w:r>
      <w:r/>
    </w:p>
    <w:tbl>
      <w:tblPr>
        <w:tblW w:w="847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810"/>
        <w:gridCol w:w="2684"/>
      </w:tblGrid>
      <w:tr>
        <w:trPr>
          <w:trHeight w:val="511"/>
        </w:trPr>
        <w:tc>
          <w:tcPr>
            <w:tcW w:w="198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tcW w:w="381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类型</w:t>
            </w:r>
            <w:r/>
          </w:p>
        </w:tc>
        <w:tc>
          <w:tcPr>
            <w:tcW w:w="2684"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cantSplit/>
          <w:trHeight w:val="365"/>
        </w:trPr>
        <w:tc>
          <w:tcPr>
            <w:tcW w:w="198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14套</w:t>
            </w:r>
            <w:r/>
          </w:p>
        </w:tc>
        <w:tc>
          <w:tcPr>
            <w:tcW w:w="3810" w:type="dxa"/>
            <w:vAlign w:val="center"/>
            <w:textDirection w:val="lrTb"/>
            <w:noWrap w:val="false"/>
          </w:tcPr>
          <w:p>
            <w:pPr>
              <w:pStyle w:val="949"/>
              <w:jc w:val="left"/>
              <w:tabs>
                <w:tab w:val="left" w:pos="583" w:leader="none"/>
              </w:tabs>
              <w:rPr>
                <w:rFonts w:hint="eastAsia" w:ascii="宋体" w:hAnsi="宋体" w:cs="宋体"/>
                <w:sz w:val="24"/>
                <w:szCs w:val="24"/>
              </w:rPr>
            </w:pPr>
            <w:r>
              <w:rPr>
                <w:rFonts w:hint="eastAsia" w:ascii="宋体" w:hAnsi="宋体" w:cs="宋体"/>
                <w:sz w:val="24"/>
                <w:szCs w:val="24"/>
              </w:rPr>
              <w:t xml:space="preserve">组合式开关电源600A 1台；整流模块50A/48V 8块；监控模块1块；直流配电单元63A 1台；其他附属设备</w:t>
            </w:r>
            <w:r/>
          </w:p>
        </w:tc>
        <w:tc>
          <w:tcPr>
            <w:tcW w:w="2684"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分布于省厅及13个地市机房（具体设备信息以现场为准）</w:t>
            </w:r>
            <w:r/>
          </w:p>
        </w:tc>
      </w:tr>
      <w:tr>
        <w:trPr>
          <w:cantSplit/>
          <w:trHeight w:val="408"/>
        </w:trPr>
        <w:tc>
          <w:tcPr>
            <w:tcW w:w="198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48块</w:t>
            </w:r>
            <w:r/>
          </w:p>
        </w:tc>
        <w:tc>
          <w:tcPr>
            <w:tcW w:w="3810" w:type="dxa"/>
            <w:vAlign w:val="center"/>
            <w:textDirection w:val="lrTb"/>
            <w:noWrap w:val="false"/>
          </w:tcPr>
          <w:p>
            <w:pPr>
              <w:pStyle w:val="949"/>
              <w:jc w:val="left"/>
              <w:rPr>
                <w:rFonts w:hint="eastAsia" w:ascii="宋体" w:hAnsi="宋体" w:cs="宋体"/>
                <w:sz w:val="24"/>
                <w:szCs w:val="24"/>
              </w:rPr>
            </w:pPr>
            <w:r>
              <w:rPr>
                <w:rFonts w:hint="eastAsia" w:ascii="宋体" w:hAnsi="宋体" w:cs="宋体"/>
                <w:sz w:val="24"/>
                <w:szCs w:val="24"/>
              </w:rPr>
              <w:t xml:space="preserve">2V1000AH</w:t>
            </w:r>
            <w:r/>
          </w:p>
        </w:tc>
        <w:tc>
          <w:tcPr>
            <w:tcW w:w="2684"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408"/>
        </w:trPr>
        <w:tc>
          <w:tcPr>
            <w:tcW w:w="198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104块</w:t>
            </w:r>
            <w:r/>
          </w:p>
        </w:tc>
        <w:tc>
          <w:tcPr>
            <w:tcW w:w="3810" w:type="dxa"/>
            <w:vAlign w:val="center"/>
            <w:textDirection w:val="lrTb"/>
            <w:noWrap w:val="false"/>
          </w:tcPr>
          <w:p>
            <w:pPr>
              <w:pStyle w:val="949"/>
              <w:jc w:val="left"/>
              <w:rPr>
                <w:rFonts w:hint="eastAsia" w:ascii="宋体" w:hAnsi="宋体" w:cs="宋体"/>
                <w:sz w:val="24"/>
                <w:szCs w:val="24"/>
              </w:rPr>
            </w:pPr>
            <w:r>
              <w:rPr>
                <w:rFonts w:hint="eastAsia" w:ascii="宋体" w:hAnsi="宋体" w:cs="宋体"/>
                <w:sz w:val="24"/>
                <w:szCs w:val="24"/>
              </w:rPr>
              <w:t xml:space="preserve">12V 200AH</w:t>
            </w:r>
            <w:r/>
          </w:p>
        </w:tc>
        <w:tc>
          <w:tcPr>
            <w:tcW w:w="2684"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bl>
    <w:p>
      <w:pPr>
        <w:pStyle w:val="949"/>
        <w:ind w:firstLine="482"/>
        <w:spacing w:line="293" w:lineRule="auto"/>
        <w:rPr>
          <w:rFonts w:hint="eastAsia" w:ascii="宋体" w:hAnsi="宋体" w:cs="宋体"/>
          <w:sz w:val="24"/>
          <w:szCs w:val="24"/>
        </w:rPr>
      </w:pPr>
      <w:r/>
      <w:bookmarkStart w:id="175" w:name="OLE_LINK24"/>
      <w:r>
        <w:rPr>
          <w:rFonts w:hint="eastAsia" w:ascii="宋体" w:hAnsi="宋体" w:cs="宋体"/>
          <w:sz w:val="24"/>
          <w:szCs w:val="24"/>
        </w:rPr>
        <w:t xml:space="preserve">★2.1.5.2</w:t>
      </w:r>
      <w:bookmarkEnd w:id="175"/>
      <w:r>
        <w:rPr>
          <w:rFonts w:hint="eastAsia" w:ascii="宋体" w:hAnsi="宋体" w:cs="宋体"/>
          <w:sz w:val="24"/>
          <w:szCs w:val="24"/>
        </w:rPr>
        <w:t xml:space="preserve"> 设备维护要求。对所维保设备进行评估，提出优化建议，每季度开展1次全面的设备测试、电池检测及性能评估。设备发生故障后，供应商需快速响应及时修复。更换损坏的旧件，需经采购人确认，不得使用拆机件、副厂件或旧件。备品备件购置、运输、保管等过程产生的费用均由供应商承担。</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▲2.1.5.3 电池更换要求。合同签订后30个工作日内，完成全部蓄电池的更换，使用经采购人认可的高品质蓄电池。服务期内如出现鼓包、短路等故障问题，需及时免费更换。</w:t>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2.1.6 机房动环监控维保部分</w:t>
      </w:r>
      <w:r/>
    </w:p>
    <w:p>
      <w:pPr>
        <w:pStyle w:val="949"/>
        <w:ind w:firstLine="482"/>
        <w:spacing w:line="293" w:lineRule="auto"/>
        <w:rPr>
          <w:rFonts w:hint="eastAsia" w:ascii="宋体" w:hAnsi="宋体" w:cs="宋体"/>
          <w:b/>
          <w:bCs/>
          <w:sz w:val="24"/>
          <w:szCs w:val="24"/>
        </w:rPr>
      </w:pPr>
      <w:r>
        <w:rPr>
          <w:rFonts w:hint="eastAsia" w:ascii="宋体" w:hAnsi="宋体" w:cs="宋体"/>
          <w:sz w:val="24"/>
          <w:szCs w:val="24"/>
        </w:rPr>
        <w:t xml:space="preserve">★2.1.6.1 基础要求。为</w:t>
      </w:r>
      <w:r>
        <w:rPr>
          <w:rFonts w:hint="eastAsia" w:ascii="宋体" w:hAnsi="宋体" w:cs="宋体"/>
          <w:sz w:val="24"/>
          <w:szCs w:val="24"/>
        </w:rPr>
        <w:t xml:space="preserve">扬州路1号2处机房现有视频监控、门禁管理和动力环境监控系统以及配套的设备线路等提供3年维保服务，提供每月巡检、故障排除、配件更换、升级更新、对接实施等服务，保障系统及关联设备线路正常运转；每月排查机房中影响二级主干网安全稳定运行的水电、消防等方面的风险隐患（精密空调、门禁、视频监控、配电柜、机柜PDU、综合布线、供排水管路、水浸、物理环境等）；按照数据中心设计规范、低压配电设计规范等国标要求，对扬州路1号2处机房每年进行1次强电安全隐患检测。按采购人要求，及时对发现的风险隐患进行整改，确保机房安全稳定运行。</w:t>
      </w:r>
      <w:r>
        <w:rPr>
          <w:rFonts w:hint="eastAsia" w:ascii="宋体" w:hAnsi="宋体" w:cs="宋体"/>
          <w:b/>
          <w:bCs/>
          <w:sz w:val="24"/>
          <w:szCs w:val="24"/>
        </w:rPr>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26"/>
        <w:gridCol w:w="1896"/>
        <w:gridCol w:w="3178"/>
        <w:gridCol w:w="1723"/>
        <w:gridCol w:w="770"/>
        <w:gridCol w:w="770"/>
      </w:tblGrid>
      <w:tr>
        <w:trPr>
          <w:trHeight w:val="34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类别</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设备名称</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品牌</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数量</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b/>
                <w:bCs/>
              </w:rPr>
            </w:pPr>
            <w:r>
              <w:rPr>
                <w:rFonts w:hint="eastAsia" w:ascii="宋体" w:hAnsi="宋体" w:cs="宋体"/>
                <w:b/>
                <w:bCs/>
                <w:lang w:bidi="ar"/>
              </w:rPr>
              <w:t xml:space="preserve">单位</w:t>
            </w:r>
            <w:r>
              <w:rPr>
                <w:rFonts w:hint="eastAsia" w:ascii="宋体" w:hAnsi="宋体" w:cs="宋体"/>
                <w:b/>
                <w:bCs/>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lang w:bidi="ar"/>
              </w:rPr>
              <w:t xml:space="preserve">视频监控系统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视频监控系统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视频监控系统客户端</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视频硬盘录像机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存储硬盘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pPr>
            <w:r>
              <w:rPr>
                <w:rFonts w:hint="eastAsia" w:ascii="宋体" w:hAnsi="宋体" w:cs="宋体"/>
                <w:lang w:bidi="ar"/>
              </w:rPr>
              <w:t xml:space="preserve">存储硬盘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视频监控（枪机）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54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视频交换机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lang w:bidi="ar"/>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lang w:bidi="ar"/>
              </w:rPr>
              <w:t xml:space="preserve">门禁管理系统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门禁机箱</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门禁电源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门禁空开</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门禁控制器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门禁人脸识别</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门禁出门按钮</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lang w:bidi="ar"/>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restart"/>
            <w:textDirection w:val="lrTb"/>
            <w:noWrap/>
          </w:tcPr>
          <w:p>
            <w:pPr>
              <w:pStyle w:val="949"/>
              <w:jc w:val="center"/>
              <w:widowControl/>
              <w:rPr>
                <w:rFonts w:hint="eastAsia" w:ascii="宋体" w:hAnsi="宋体" w:cs="宋体"/>
              </w:rPr>
            </w:pPr>
            <w:r>
              <w:rPr>
                <w:rFonts w:hint="eastAsia" w:ascii="宋体" w:hAnsi="宋体" w:cs="宋体"/>
              </w:rPr>
              <w:t xml:space="preserve">动力环境监控系统</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动环主服务器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曙光</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动环灾备服务器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华为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动环客户端</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交换机(24口)</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华为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交换机(5口)</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海康威视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光纤汇聚设备</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光纤收发器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对</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电表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蓄电池组监控</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26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开关电源监控</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温湿度传感器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66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空调运行状态传感器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精密空调监控模块</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动环机箱配套空开、电源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动环网络</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套</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水浸传感器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27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台</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水浸感应绳(7.5米)</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15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根</w:t>
            </w:r>
            <w:r>
              <w:rPr>
                <w:rFonts w:hint="eastAsia" w:ascii="宋体" w:hAnsi="宋体" w:cs="宋体"/>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34" w:type="pct"/>
            <w:vAlign w:val="center"/>
            <w:vMerge w:val="continue"/>
            <w:textDirection w:val="lrTb"/>
            <w:noWrap/>
          </w:tcPr>
          <w:p>
            <w:pPr>
              <w:pStyle w:val="94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pStyle w:val="949"/>
              <w:jc w:val="left"/>
              <w:widowControl/>
              <w:rPr>
                <w:rFonts w:hint="eastAsia" w:ascii="宋体" w:hAnsi="宋体" w:cs="宋体"/>
              </w:rPr>
            </w:pPr>
            <w:r>
              <w:rPr>
                <w:rFonts w:hint="eastAsia" w:ascii="宋体" w:hAnsi="宋体" w:cs="宋体"/>
                <w:lang w:bidi="ar"/>
              </w:rPr>
              <w:t xml:space="preserve">水浸感应绳(15米)</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紫图</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Style w:val="949"/>
              <w:jc w:val="center"/>
              <w:widowControl/>
              <w:rPr>
                <w:rFonts w:hint="eastAsia" w:ascii="宋体" w:hAnsi="宋体" w:cs="宋体"/>
              </w:rPr>
            </w:pPr>
            <w:r>
              <w:rPr>
                <w:rFonts w:hint="eastAsia" w:ascii="宋体" w:hAnsi="宋体" w:cs="宋体"/>
                <w:lang w:bidi="ar"/>
              </w:rPr>
              <w:t xml:space="preserve">根</w:t>
            </w:r>
            <w:r>
              <w:rPr>
                <w:rFonts w:hint="eastAsia" w:ascii="宋体" w:hAnsi="宋体" w:cs="宋体"/>
              </w:rPr>
            </w:r>
            <w:r/>
          </w:p>
        </w:tc>
      </w:tr>
    </w:tbl>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注：机房动环监控维保设备线路情况以现场为准。</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w:t>
      </w:r>
      <w:bookmarkStart w:id="176" w:name="_Hlk219845755"/>
      <w:r>
        <w:rPr>
          <w:rFonts w:hint="eastAsia" w:ascii="宋体" w:hAnsi="宋体" w:cs="宋体"/>
          <w:sz w:val="24"/>
          <w:szCs w:val="24"/>
        </w:rPr>
        <w:t xml:space="preserve">2.1.6.2</w:t>
      </w:r>
      <w:bookmarkEnd w:id="176"/>
      <w:r>
        <w:rPr>
          <w:rFonts w:hint="eastAsia" w:ascii="宋体" w:hAnsi="宋体" w:cs="宋体"/>
          <w:sz w:val="24"/>
          <w:szCs w:val="24"/>
        </w:rPr>
        <w:t xml:space="preserve">强电安全检测要求。对扬州路1号2处机房进行强电系统检测，包括但不限于：低压配电系统，如主配电柜、列头柜、不间断电源输出柜等；电线电缆系统，如UPS输入/输出、空调、服务器机柜供电等关键回路的动力电缆、母线槽等；机柜及配电单元，如核心业务区域的服务器/网络机柜及其内部安装的PDU；接地与防雷系统：机房联合接地体等电位连接网络、接地干线、机柜接地点的接地电阻等。</w:t>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配电柜检测：</w:t>
      </w:r>
      <w:r>
        <w:rPr>
          <w:rFonts w:hint="eastAsia" w:ascii="宋体" w:hAnsi="宋体" w:cs="宋体"/>
          <w:sz w:val="24"/>
          <w:szCs w:val="24"/>
        </w:rPr>
        <w:t xml:space="preserve">外观与结构性检查，门锁和门销损坏或脱落不牢靠；使用红外热像仪（分辨率≥320×240）扫描所有载流连接点，对所有断路器端子、母排、电缆接头、开关触点、输入输出端子进行非接触式测温；测量电压、电流、频率、功率（有功、无功、视在）、功率因数、谐波等；测量配电柜、电缆、母线的相间及对地绝缘电阻，评估绝缘老化状况；精确测量断路器、开关、母线接缝等处的接触电阻，判断连接是否良好；母排、电缆接头扭矩校验；绝缘电阻测试国标符合情况；柜内环境（温湿度、洁净度）。</w:t>
      </w:r>
      <w:r>
        <w:rPr>
          <w:rFonts w:hint="eastAsia" w:ascii="宋体" w:hAnsi="宋体" w:cs="宋体"/>
          <w:b/>
          <w:bCs/>
          <w:sz w:val="24"/>
          <w:szCs w:val="24"/>
        </w:rPr>
      </w:r>
      <w:r/>
    </w:p>
    <w:p>
      <w:pPr>
        <w:pStyle w:val="949"/>
        <w:ind w:firstLine="482"/>
        <w:spacing w:line="293" w:lineRule="auto"/>
        <w:rPr>
          <w:rFonts w:hint="eastAsia" w:ascii="宋体" w:hAnsi="宋体" w:cs="宋体"/>
          <w:sz w:val="24"/>
          <w:szCs w:val="24"/>
        </w:rPr>
      </w:pPr>
      <w:r>
        <w:rPr>
          <w:rFonts w:hint="eastAsia" w:ascii="宋体" w:hAnsi="宋体" w:cs="宋体"/>
          <w:b/>
          <w:bCs/>
          <w:sz w:val="24"/>
          <w:szCs w:val="24"/>
        </w:rPr>
        <w:t xml:space="preserve">电线电缆检测:</w:t>
      </w:r>
      <w:r>
        <w:rPr>
          <w:rFonts w:hint="eastAsia" w:ascii="宋体" w:hAnsi="宋体" w:cs="宋体"/>
          <w:sz w:val="24"/>
          <w:szCs w:val="24"/>
        </w:rPr>
        <w:t xml:space="preserve"> 目视检查电缆物理外观有否破损和异常及重物挤压,测量线缆长度，评估设备布局；对电缆及端子部分进行热成像扫温；电缆绝缘电阻测试（相间、对地）；电缆载流量与线径符合性核对，核实是否符合要求；重点检测UPS、空调、列头柜输出等大电流回路；绝缘测试电压等级需匹配电缆额定电压。</w:t>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机柜PDU检测:</w:t>
      </w:r>
      <w:r>
        <w:rPr>
          <w:rFonts w:hint="eastAsia" w:ascii="宋体" w:hAnsi="宋体" w:cs="宋体"/>
          <w:sz w:val="24"/>
          <w:szCs w:val="24"/>
        </w:rPr>
        <w:t xml:space="preserve"> 检查PDU与机柜安装固定件是否牢靠；机柜接地连续性测试；机柜内PDU外观、指示灯检查；检测PDU上每个插座的接线是否正确，左零右火、地线是否有效，电压、频率、零地电压等是否符合要求；PDU负载电流测量与平衡分析；红外扫描PDU接线端子及设备插头温度；零地电压应&lt;2V；各相位负载不平衡度应&lt;20%。</w:t>
      </w:r>
      <w:r>
        <w:rPr>
          <w:rFonts w:hint="eastAsia" w:ascii="宋体" w:hAnsi="宋体" w:cs="宋体"/>
          <w:b/>
          <w:bCs/>
          <w:sz w:val="24"/>
          <w:szCs w:val="24"/>
        </w:rPr>
      </w:r>
      <w:r/>
    </w:p>
    <w:p>
      <w:pPr>
        <w:pStyle w:val="949"/>
        <w:ind w:firstLine="482"/>
        <w:spacing w:line="293" w:lineRule="auto"/>
        <w:rPr>
          <w:rFonts w:hint="eastAsia" w:ascii="宋体" w:hAnsi="宋体" w:cs="宋体"/>
          <w:sz w:val="24"/>
          <w:szCs w:val="24"/>
        </w:rPr>
      </w:pPr>
      <w:r>
        <w:rPr>
          <w:rFonts w:hint="eastAsia" w:ascii="宋体" w:hAnsi="宋体" w:cs="宋体"/>
          <w:b/>
          <w:bCs/>
          <w:sz w:val="24"/>
          <w:szCs w:val="24"/>
        </w:rPr>
        <w:t xml:space="preserve">接地系统检测:</w:t>
      </w:r>
      <w:r>
        <w:rPr>
          <w:rFonts w:hint="eastAsia" w:ascii="宋体" w:hAnsi="宋体" w:cs="宋体"/>
          <w:sz w:val="24"/>
          <w:szCs w:val="24"/>
        </w:rPr>
        <w:t xml:space="preserve"> 采用</w:t>
      </w:r>
      <w:r>
        <w:rPr>
          <w:rFonts w:hint="eastAsia" w:ascii="宋体" w:hAnsi="宋体" w:cs="宋体"/>
          <w:b/>
          <w:bCs/>
          <w:sz w:val="24"/>
          <w:szCs w:val="24"/>
        </w:rPr>
        <w:t xml:space="preserve">钳形法</w:t>
      </w:r>
      <w:r>
        <w:rPr>
          <w:rFonts w:hint="eastAsia" w:ascii="宋体" w:hAnsi="宋体" w:cs="宋体"/>
          <w:sz w:val="24"/>
          <w:szCs w:val="24"/>
        </w:rPr>
        <w:t xml:space="preserve">测量，测量机房总接地排、独立机柜接地点的接地电阻值，数据中心独立接地电阻值原则上应≤1Ω，联合接地≤1Ω、防雷保护地≤10Ω；测量机柜与接地母排之间、设备与等电位网格之间的连接导通性；防雷SPD及断路器状态检查。</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★2.1.6.3</w:t>
      </w:r>
      <w:r>
        <w:rPr>
          <w:rFonts w:hint="eastAsia" w:ascii="宋体" w:hAnsi="宋体" w:cs="宋体"/>
          <w:b/>
          <w:bCs/>
          <w:sz w:val="24"/>
          <w:szCs w:val="24"/>
        </w:rPr>
        <w:t xml:space="preserve">检测要求：</w:t>
      </w:r>
      <w:r>
        <w:rPr>
          <w:rFonts w:hint="eastAsia" w:ascii="宋体" w:hAnsi="宋体" w:cs="宋体"/>
          <w:sz w:val="24"/>
          <w:szCs w:val="24"/>
        </w:rPr>
        <w:t xml:space="preserve">机房强电安全隐患检测需安排具备电子电气工程、自动化或相关专业初级及以上技术职称，并具有5年以上数据中心或大型机电系统检测经验的工程师（投标时提供书面承诺并加盖投标人公章）。</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出具《数据中心机房关键基础设施预防性检测报告》，报告至少应包括：检测概况（时间、人员、设备、环境条件）；详细检测数据记录、红外热像图、测试波形图等；结果分析与隐患评估（按严重、重要、一般分级）；整改建议与维护策略；附录（检测仪器证书复印件、现场照片等）。</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▲2.1.6.4 </w:t>
      </w:r>
      <w:r>
        <w:rPr>
          <w:rFonts w:hint="eastAsia" w:ascii="宋体" w:hAnsi="宋体" w:cs="宋体"/>
          <w:b/>
          <w:bCs/>
          <w:sz w:val="24"/>
          <w:szCs w:val="24"/>
        </w:rPr>
        <w:t xml:space="preserve">实施要求。</w:t>
      </w:r>
      <w:r>
        <w:rPr>
          <w:rFonts w:hint="eastAsia" w:ascii="宋体" w:hAnsi="宋体" w:cs="宋体"/>
          <w:sz w:val="24"/>
          <w:szCs w:val="24"/>
        </w:rPr>
        <w:t xml:space="preserve">对维保设备和线路进行梳理并建立台账，为视频监控、门禁管理和动力环境监控系统提供维保服务和技术支撑。确保监控运行稳定、画面质量清晰、存储调取正常（保存≥90天）。门禁身份识别精准、设备响应正常、记录完整可溯（保存≥1年）。动力环境数据采集及时、预警响应高效、存储完整可靠（保存≥1年）。支持按需优化升级，对接采购人短信平台，实现短信自动告警。每月安排具备相应资质的工程师，开展机房水电、消防等方面的风险隐患排查，形成风险报告并进行整改。</w:t>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2.1.7 线路铺设部分</w:t>
      </w:r>
      <w:r/>
    </w:p>
    <w:p>
      <w:pPr>
        <w:pStyle w:val="949"/>
        <w:ind w:firstLine="482"/>
        <w:spacing w:line="293" w:lineRule="auto"/>
        <w:rPr>
          <w:rFonts w:hint="eastAsia" w:ascii="宋体" w:hAnsi="宋体" w:cs="宋体"/>
          <w:i/>
          <w:iCs/>
          <w:sz w:val="24"/>
          <w:szCs w:val="24"/>
          <w:u w:val="single"/>
        </w:rPr>
      </w:pPr>
      <w:r>
        <w:rPr>
          <w:rFonts w:hint="eastAsia" w:ascii="宋体" w:hAnsi="宋体" w:cs="宋体"/>
          <w:sz w:val="24"/>
          <w:szCs w:val="24"/>
        </w:rPr>
        <w:t xml:space="preserve">★2.1.7.1 基础要求。在</w:t>
      </w:r>
      <w:r>
        <w:rPr>
          <w:rFonts w:hint="eastAsia"/>
          <w:sz w:val="24"/>
          <w:szCs w:val="24"/>
        </w:rPr>
        <w:t xml:space="preserve">清凉门大街110号</w:t>
      </w:r>
      <w:r>
        <w:rPr>
          <w:rFonts w:hint="eastAsia" w:ascii="宋体" w:hAnsi="宋体" w:cs="宋体"/>
          <w:sz w:val="24"/>
          <w:szCs w:val="24"/>
        </w:rPr>
        <w:t xml:space="preserve">与清凉门大街199号、扬州路1号与北京西路50号之间开展线路铺设。</w:t>
      </w:r>
      <w:r>
        <w:rPr>
          <w:rFonts w:hint="eastAsia" w:ascii="宋体" w:hAnsi="宋体" w:cs="宋体"/>
          <w:i/>
          <w:iCs/>
          <w:sz w:val="24"/>
          <w:szCs w:val="24"/>
          <w:u w:val="single"/>
        </w:rPr>
      </w:r>
      <w:r/>
    </w:p>
    <w:tbl>
      <w:tblPr>
        <w:tblW w:w="87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256"/>
        <w:gridCol w:w="2338"/>
        <w:gridCol w:w="879"/>
        <w:gridCol w:w="2154"/>
      </w:tblGrid>
      <w:tr>
        <w:trPr>
          <w:trHeight w:val="511"/>
        </w:trPr>
        <w:tc>
          <w:tcPr>
            <w:tcW w:w="1138" w:type="dxa"/>
            <w:vAlign w:val="center"/>
            <w:textDirection w:val="lrTb"/>
            <w:noWrap w:val="false"/>
          </w:tcPr>
          <w:p>
            <w:pPr>
              <w:pStyle w:val="949"/>
              <w:jc w:val="center"/>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类型</w:t>
            </w:r>
            <w:r/>
          </w:p>
        </w:tc>
        <w:tc>
          <w:tcPr>
            <w:tcW w:w="2256" w:type="dxa"/>
            <w:vAlign w:val="center"/>
            <w:textDirection w:val="lrTb"/>
            <w:noWrap w:val="false"/>
          </w:tcPr>
          <w:p>
            <w:pPr>
              <w:pStyle w:val="949"/>
              <w:jc w:val="center"/>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A端地址</w:t>
            </w:r>
            <w:r/>
          </w:p>
        </w:tc>
        <w:tc>
          <w:tcPr>
            <w:tcW w:w="2338" w:type="dxa"/>
            <w:vAlign w:val="center"/>
            <w:textDirection w:val="lrTb"/>
            <w:noWrap w:val="false"/>
          </w:tcPr>
          <w:p>
            <w:pPr>
              <w:pStyle w:val="949"/>
              <w:jc w:val="center"/>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Z端地址</w:t>
            </w:r>
            <w:r/>
          </w:p>
        </w:tc>
        <w:tc>
          <w:tcPr>
            <w:tcW w:w="879" w:type="dxa"/>
            <w:vAlign w:val="center"/>
            <w:textDirection w:val="lrTb"/>
            <w:noWrap w:val="false"/>
          </w:tcPr>
          <w:p>
            <w:pPr>
              <w:pStyle w:val="949"/>
              <w:jc w:val="center"/>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数量</w:t>
            </w:r>
            <w:r/>
          </w:p>
        </w:tc>
        <w:tc>
          <w:tcPr>
            <w:tcW w:w="2154" w:type="dxa"/>
            <w:vAlign w:val="center"/>
            <w:textDirection w:val="lrTb"/>
            <w:noWrap w:val="false"/>
          </w:tcPr>
          <w:p>
            <w:pPr>
              <w:pStyle w:val="949"/>
              <w:jc w:val="center"/>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备注</w:t>
            </w:r>
            <w:r/>
          </w:p>
        </w:tc>
      </w:tr>
      <w:tr>
        <w:trPr>
          <w:trHeight w:val="365"/>
        </w:trPr>
        <w:tc>
          <w:tcPr>
            <w:tcW w:w="1138" w:type="dxa"/>
            <w:vAlign w:val="center"/>
            <w:textDirection w:val="lrTb"/>
            <w:noWrap w:val="false"/>
          </w:tcPr>
          <w:p>
            <w:pPr>
              <w:pStyle w:val="949"/>
              <w:jc w:val="center"/>
              <w:rPr>
                <w:sz w:val="24"/>
                <w:szCs w:val="24"/>
              </w:rPr>
            </w:pPr>
            <w:r>
              <w:rPr>
                <w:rFonts w:hint="eastAsia"/>
                <w:sz w:val="24"/>
                <w:szCs w:val="24"/>
              </w:rPr>
              <w:t xml:space="preserve">裸光纤</w:t>
            </w:r>
            <w:r>
              <w:rPr>
                <w:sz w:val="24"/>
                <w:szCs w:val="24"/>
              </w:rPr>
            </w:r>
            <w:r/>
          </w:p>
        </w:tc>
        <w:tc>
          <w:tcPr>
            <w:tcW w:w="2256" w:type="dxa"/>
            <w:vAlign w:val="center"/>
            <w:textDirection w:val="lrTb"/>
            <w:noWrap w:val="false"/>
          </w:tcPr>
          <w:p>
            <w:pPr>
              <w:pStyle w:val="949"/>
              <w:jc w:val="center"/>
              <w:rPr>
                <w:rFonts w:hint="eastAsia"/>
                <w:sz w:val="24"/>
                <w:szCs w:val="24"/>
              </w:rPr>
            </w:pPr>
            <w:r>
              <w:rPr>
                <w:rFonts w:hint="eastAsia"/>
                <w:sz w:val="24"/>
                <w:szCs w:val="24"/>
              </w:rPr>
              <w:t xml:space="preserve">清凉门大街110号（原</w:t>
            </w:r>
            <w:r>
              <w:rPr>
                <w:sz w:val="24"/>
                <w:szCs w:val="24"/>
              </w:rPr>
              <w:t xml:space="preserve">湛江路86号</w:t>
            </w:r>
            <w:r>
              <w:rPr>
                <w:rFonts w:hint="eastAsia"/>
                <w:sz w:val="24"/>
                <w:szCs w:val="24"/>
              </w:rPr>
              <w:t xml:space="preserve">）</w:t>
            </w:r>
            <w:r/>
          </w:p>
        </w:tc>
        <w:tc>
          <w:tcPr>
            <w:tcW w:w="2338" w:type="dxa"/>
            <w:vAlign w:val="center"/>
            <w:textDirection w:val="lrTb"/>
            <w:noWrap w:val="false"/>
          </w:tcPr>
          <w:p>
            <w:pPr>
              <w:pStyle w:val="949"/>
              <w:jc w:val="center"/>
              <w:rPr>
                <w:sz w:val="24"/>
                <w:szCs w:val="24"/>
              </w:rPr>
            </w:pPr>
            <w:r>
              <w:rPr>
                <w:rFonts w:hint="eastAsia"/>
                <w:sz w:val="24"/>
                <w:szCs w:val="24"/>
              </w:rPr>
              <w:t xml:space="preserve">清凉门大街199号</w:t>
            </w:r>
            <w:r>
              <w:rPr>
                <w:sz w:val="24"/>
                <w:szCs w:val="24"/>
              </w:rPr>
            </w:r>
            <w:r/>
          </w:p>
        </w:tc>
        <w:tc>
          <w:tcPr>
            <w:tcW w:w="879" w:type="dxa"/>
            <w:vAlign w:val="center"/>
            <w:textDirection w:val="lrTb"/>
            <w:noWrap w:val="false"/>
          </w:tcPr>
          <w:p>
            <w:pPr>
              <w:pStyle w:val="949"/>
              <w:jc w:val="center"/>
              <w:rPr>
                <w:sz w:val="24"/>
                <w:szCs w:val="24"/>
              </w:rPr>
            </w:pPr>
            <w:r>
              <w:rPr>
                <w:rFonts w:hint="eastAsia"/>
                <w:sz w:val="24"/>
                <w:szCs w:val="24"/>
              </w:rPr>
              <w:t xml:space="preserve">48芯</w:t>
            </w:r>
            <w:r>
              <w:rPr>
                <w:sz w:val="24"/>
                <w:szCs w:val="24"/>
              </w:rPr>
            </w:r>
            <w:r/>
          </w:p>
        </w:tc>
        <w:tc>
          <w:tcPr>
            <w:tcW w:w="2154" w:type="dxa"/>
            <w:vAlign w:val="center"/>
            <w:textDirection w:val="lrTb"/>
            <w:noWrap w:val="false"/>
          </w:tcPr>
          <w:p>
            <w:pPr>
              <w:pStyle w:val="949"/>
              <w:jc w:val="center"/>
              <w:rPr>
                <w:sz w:val="24"/>
                <w:szCs w:val="24"/>
              </w:rPr>
            </w:pPr>
            <w:r>
              <w:rPr>
                <w:rFonts w:hint="eastAsia"/>
                <w:sz w:val="24"/>
                <w:szCs w:val="24"/>
              </w:rPr>
              <w:t xml:space="preserve">12芯</w:t>
            </w:r>
            <w:r>
              <w:rPr>
                <w:sz w:val="24"/>
                <w:szCs w:val="24"/>
              </w:rPr>
              <w:t xml:space="preserve">×4</w:t>
            </w:r>
            <w:r>
              <w:rPr>
                <w:rFonts w:hint="eastAsia"/>
                <w:sz w:val="24"/>
                <w:szCs w:val="24"/>
              </w:rPr>
              <w:t xml:space="preserve">根</w:t>
            </w:r>
            <w:r>
              <w:rPr>
                <w:sz w:val="24"/>
                <w:szCs w:val="24"/>
              </w:rPr>
            </w:r>
            <w:r/>
          </w:p>
        </w:tc>
      </w:tr>
      <w:tr>
        <w:trPr>
          <w:trHeight w:val="408"/>
        </w:trPr>
        <w:tc>
          <w:tcPr>
            <w:tcW w:w="1138" w:type="dxa"/>
            <w:vAlign w:val="center"/>
            <w:textDirection w:val="lrTb"/>
            <w:noWrap w:val="false"/>
          </w:tcPr>
          <w:p>
            <w:pPr>
              <w:pStyle w:val="949"/>
              <w:jc w:val="center"/>
              <w:rPr>
                <w:sz w:val="24"/>
                <w:szCs w:val="24"/>
              </w:rPr>
            </w:pPr>
            <w:r>
              <w:rPr>
                <w:rFonts w:hint="eastAsia"/>
                <w:sz w:val="24"/>
                <w:szCs w:val="24"/>
              </w:rPr>
              <w:t xml:space="preserve">裸光纤</w:t>
            </w:r>
            <w:r>
              <w:rPr>
                <w:sz w:val="24"/>
                <w:szCs w:val="24"/>
              </w:rPr>
            </w:r>
            <w:r/>
          </w:p>
        </w:tc>
        <w:tc>
          <w:tcPr>
            <w:tcW w:w="2256" w:type="dxa"/>
            <w:vAlign w:val="center"/>
            <w:textDirection w:val="lrTb"/>
            <w:noWrap w:val="false"/>
          </w:tcPr>
          <w:p>
            <w:pPr>
              <w:pStyle w:val="949"/>
              <w:jc w:val="center"/>
              <w:rPr>
                <w:sz w:val="24"/>
                <w:szCs w:val="24"/>
              </w:rPr>
            </w:pPr>
            <w:r>
              <w:rPr>
                <w:rFonts w:hint="eastAsia"/>
                <w:sz w:val="24"/>
                <w:szCs w:val="24"/>
              </w:rPr>
              <w:t xml:space="preserve">扬州路1号</w:t>
            </w:r>
            <w:r>
              <w:rPr>
                <w:sz w:val="24"/>
                <w:szCs w:val="24"/>
              </w:rPr>
            </w:r>
            <w:r/>
          </w:p>
        </w:tc>
        <w:tc>
          <w:tcPr>
            <w:tcW w:w="2338" w:type="dxa"/>
            <w:vAlign w:val="center"/>
            <w:textDirection w:val="lrTb"/>
            <w:noWrap w:val="false"/>
          </w:tcPr>
          <w:p>
            <w:pPr>
              <w:pStyle w:val="949"/>
              <w:jc w:val="center"/>
              <w:rPr>
                <w:sz w:val="24"/>
                <w:szCs w:val="24"/>
              </w:rPr>
            </w:pPr>
            <w:r>
              <w:rPr>
                <w:rFonts w:hint="eastAsia"/>
                <w:sz w:val="24"/>
                <w:szCs w:val="24"/>
              </w:rPr>
              <w:t xml:space="preserve">北京西路50号</w:t>
            </w:r>
            <w:r>
              <w:rPr>
                <w:sz w:val="24"/>
                <w:szCs w:val="24"/>
              </w:rPr>
            </w:r>
            <w:r/>
          </w:p>
        </w:tc>
        <w:tc>
          <w:tcPr>
            <w:tcW w:w="879" w:type="dxa"/>
            <w:vAlign w:val="center"/>
            <w:textDirection w:val="lrTb"/>
            <w:noWrap w:val="false"/>
          </w:tcPr>
          <w:p>
            <w:pPr>
              <w:pStyle w:val="949"/>
              <w:jc w:val="center"/>
              <w:rPr>
                <w:sz w:val="24"/>
                <w:szCs w:val="24"/>
              </w:rPr>
            </w:pPr>
            <w:r>
              <w:rPr>
                <w:rFonts w:hint="eastAsia"/>
                <w:sz w:val="24"/>
                <w:szCs w:val="24"/>
              </w:rPr>
              <w:t xml:space="preserve">48芯</w:t>
            </w:r>
            <w:r>
              <w:rPr>
                <w:sz w:val="24"/>
                <w:szCs w:val="24"/>
              </w:rPr>
            </w:r>
            <w:r/>
          </w:p>
        </w:tc>
        <w:tc>
          <w:tcPr>
            <w:tcW w:w="2154" w:type="dxa"/>
            <w:vAlign w:val="center"/>
            <w:textDirection w:val="lrTb"/>
            <w:noWrap w:val="false"/>
          </w:tcPr>
          <w:p>
            <w:pPr>
              <w:pStyle w:val="949"/>
              <w:jc w:val="center"/>
              <w:rPr>
                <w:sz w:val="24"/>
                <w:szCs w:val="24"/>
              </w:rPr>
            </w:pPr>
            <w:r>
              <w:rPr>
                <w:rFonts w:hint="eastAsia"/>
                <w:sz w:val="24"/>
                <w:szCs w:val="24"/>
              </w:rPr>
              <w:t xml:space="preserve">12芯</w:t>
            </w:r>
            <w:r>
              <w:rPr>
                <w:sz w:val="24"/>
                <w:szCs w:val="24"/>
              </w:rPr>
              <w:t xml:space="preserve">×4</w:t>
            </w:r>
            <w:r>
              <w:rPr>
                <w:rFonts w:hint="eastAsia"/>
                <w:sz w:val="24"/>
                <w:szCs w:val="24"/>
              </w:rPr>
              <w:t xml:space="preserve">根</w:t>
            </w:r>
            <w:r>
              <w:rPr>
                <w:sz w:val="24"/>
                <w:szCs w:val="24"/>
              </w:rPr>
            </w:r>
            <w:r/>
          </w:p>
        </w:tc>
      </w:tr>
    </w:tbl>
    <w:p>
      <w:pPr>
        <w:pStyle w:val="949"/>
        <w:ind w:firstLine="482"/>
        <w:spacing w:line="293" w:lineRule="auto"/>
        <w:rPr>
          <w:rFonts w:hint="eastAsia" w:ascii="宋体" w:hAnsi="宋体" w:cs="Courier New"/>
          <w:sz w:val="24"/>
          <w:szCs w:val="24"/>
        </w:rPr>
      </w:pPr>
      <w:r>
        <w:rPr>
          <w:rFonts w:ascii="宋体" w:hAnsi="宋体" w:cs="Courier New"/>
          <w:sz w:val="24"/>
          <w:szCs w:val="24"/>
        </w:rPr>
        <w:t xml:space="preserve">注：</w:t>
      </w:r>
      <w:r>
        <w:rPr>
          <w:rFonts w:hint="eastAsia" w:ascii="宋体" w:hAnsi="宋体" w:cs="Courier New"/>
          <w:sz w:val="24"/>
          <w:szCs w:val="24"/>
        </w:rPr>
        <w:t xml:space="preserve">以上线路，</w:t>
      </w:r>
      <w:r>
        <w:rPr>
          <w:rFonts w:ascii="宋体" w:hAnsi="宋体" w:cs="Courier New"/>
          <w:sz w:val="24"/>
          <w:szCs w:val="24"/>
        </w:rPr>
        <w:t xml:space="preserve">投标时按线路</w:t>
      </w:r>
      <w:r>
        <w:rPr>
          <w:rFonts w:hint="eastAsia" w:ascii="宋体" w:hAnsi="宋体" w:cs="Courier New"/>
          <w:sz w:val="24"/>
          <w:szCs w:val="24"/>
        </w:rPr>
        <w:t xml:space="preserve">两端地址</w:t>
      </w:r>
      <w:r>
        <w:rPr>
          <w:rFonts w:ascii="宋体" w:hAnsi="宋体" w:cs="Courier New"/>
          <w:sz w:val="24"/>
          <w:szCs w:val="24"/>
        </w:rPr>
        <w:t xml:space="preserve">分项报价</w:t>
      </w:r>
      <w:r>
        <w:rPr>
          <w:rFonts w:hint="eastAsia" w:ascii="宋体" w:hAnsi="宋体" w:cs="Courier New"/>
          <w:sz w:val="24"/>
          <w:szCs w:val="24"/>
        </w:rPr>
        <w:t xml:space="preserve">，产权归采购人所有。</w:t>
      </w:r>
      <w:r/>
    </w:p>
    <w:p>
      <w:pPr>
        <w:pStyle w:val="949"/>
        <w:ind w:firstLine="482"/>
        <w:spacing w:line="293" w:lineRule="auto"/>
        <w:rPr>
          <w:rFonts w:hint="eastAsia" w:ascii="宋体" w:hAnsi="宋体"/>
          <w:bCs/>
          <w:sz w:val="24"/>
          <w:szCs w:val="24"/>
        </w:rPr>
      </w:pPr>
      <w:r>
        <w:rPr>
          <w:rFonts w:hint="eastAsia" w:ascii="宋体" w:hAnsi="宋体" w:cs="Courier New"/>
          <w:sz w:val="24"/>
          <w:szCs w:val="24"/>
        </w:rPr>
        <w:t xml:space="preserve">▲2.1.7.2 实施要求。</w:t>
      </w:r>
      <w:r>
        <w:rPr>
          <w:rFonts w:hint="eastAsia" w:ascii="宋体" w:hAnsi="宋体"/>
          <w:bCs/>
          <w:sz w:val="24"/>
          <w:szCs w:val="24"/>
        </w:rPr>
        <w:t xml:space="preserve">按</w:t>
      </w:r>
      <w:r>
        <w:rPr>
          <w:rFonts w:hint="eastAsia" w:ascii="宋体" w:hAnsi="宋体" w:cs="Courier New"/>
          <w:sz w:val="24"/>
          <w:szCs w:val="24"/>
        </w:rPr>
        <w:t xml:space="preserve">采购人</w:t>
      </w:r>
      <w:r>
        <w:rPr>
          <w:rFonts w:hint="eastAsia" w:ascii="宋体" w:hAnsi="宋体"/>
          <w:bCs/>
          <w:sz w:val="24"/>
          <w:szCs w:val="24"/>
        </w:rPr>
        <w:t xml:space="preserve">要求铺设无交接箱直连光缆至指定位置。提供铺设线路</w:t>
      </w:r>
      <w:r>
        <w:rPr>
          <w:rFonts w:ascii="宋体" w:hAnsi="宋体"/>
          <w:bCs/>
          <w:sz w:val="24"/>
          <w:szCs w:val="24"/>
        </w:rPr>
        <w:t xml:space="preserve">3年维保，</w:t>
      </w:r>
      <w:r>
        <w:rPr>
          <w:rFonts w:hint="eastAsia" w:ascii="宋体" w:hAnsi="宋体"/>
          <w:bCs/>
          <w:sz w:val="24"/>
          <w:szCs w:val="24"/>
        </w:rPr>
        <w:t xml:space="preserve">包括</w:t>
      </w:r>
      <w:r>
        <w:rPr>
          <w:rFonts w:ascii="宋体" w:hAnsi="宋体"/>
          <w:bCs/>
          <w:sz w:val="24"/>
          <w:szCs w:val="24"/>
        </w:rPr>
        <w:t xml:space="preserve">故障排查</w:t>
      </w:r>
      <w:r>
        <w:rPr>
          <w:rFonts w:hint="eastAsia" w:ascii="宋体" w:hAnsi="宋体"/>
          <w:bCs/>
          <w:sz w:val="24"/>
          <w:szCs w:val="24"/>
        </w:rPr>
        <w:t xml:space="preserve">处置等。</w:t>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2.1.8 运维要求</w:t>
      </w:r>
      <w:r/>
    </w:p>
    <w:p>
      <w:pPr>
        <w:pStyle w:val="949"/>
        <w:ind w:firstLine="482"/>
        <w:spacing w:line="293" w:lineRule="auto"/>
        <w:rPr>
          <w:rFonts w:hint="eastAsia" w:ascii="宋体" w:hAnsi="宋体" w:cs="Courier New"/>
          <w:sz w:val="24"/>
          <w:szCs w:val="24"/>
        </w:rPr>
      </w:pPr>
      <w:r/>
      <w:bookmarkStart w:id="177" w:name="OLE_LINK3"/>
      <w:r>
        <w:rPr>
          <w:rFonts w:hint="eastAsia" w:ascii="宋体" w:hAnsi="宋体"/>
          <w:sz w:val="24"/>
          <w:szCs w:val="24"/>
        </w:rPr>
        <w:t xml:space="preserve">★</w:t>
      </w:r>
      <w:r>
        <w:rPr>
          <w:rFonts w:hint="eastAsia" w:ascii="宋体" w:hAnsi="宋体" w:cs="Courier New"/>
          <w:sz w:val="24"/>
          <w:szCs w:val="24"/>
        </w:rPr>
        <w:t xml:space="preserve">2.1.8.1 </w:t>
      </w:r>
      <w:bookmarkEnd w:id="177"/>
      <w:r>
        <w:rPr>
          <w:rFonts w:hint="eastAsia" w:ascii="宋体" w:hAnsi="宋体" w:cs="Courier New"/>
          <w:sz w:val="24"/>
          <w:szCs w:val="24"/>
        </w:rPr>
        <w:t xml:space="preserve">基本要求。按照采购人要求，每月围绕项目建设实施情况（包括线路运行、运维服务、动环监控等）进行深度巡检，在深度巡检结束后3个工作日内提交书面报告。根据巡检情况提出整改意见，经采购人同意后实施。</w:t>
      </w:r>
      <w:r>
        <w:rPr>
          <w:rFonts w:hint="eastAsia" w:ascii="宋体" w:hAnsi="宋体" w:cs="Courier New"/>
          <w:sz w:val="24"/>
          <w:szCs w:val="24"/>
          <w:lang w:bidi="ar"/>
        </w:rPr>
        <w:t xml:space="preserve">基于系统工具实现对相关线路</w:t>
      </w:r>
      <w:r>
        <w:rPr>
          <w:rFonts w:hint="eastAsia" w:ascii="宋体" w:hAnsi="宋体" w:cs="Courier New"/>
          <w:sz w:val="24"/>
          <w:szCs w:val="24"/>
        </w:rPr>
        <w:t xml:space="preserve">的实时监控</w:t>
      </w:r>
      <w:r>
        <w:rPr>
          <w:rFonts w:hint="eastAsia" w:ascii="宋体" w:hAnsi="宋体" w:cs="Courier New"/>
          <w:sz w:val="24"/>
          <w:szCs w:val="24"/>
          <w:lang w:bidi="ar"/>
        </w:rPr>
        <w:t xml:space="preserve">，</w:t>
      </w:r>
      <w:r>
        <w:rPr>
          <w:rFonts w:hint="eastAsia" w:ascii="宋体" w:hAnsi="宋体" w:cs="Courier New"/>
          <w:sz w:val="24"/>
          <w:szCs w:val="24"/>
        </w:rPr>
        <w:t xml:space="preserve">对所有节点上传输设备的运行状态、故障响应、资源分配等提供监测管理功能，实现短信自动告警。</w:t>
      </w:r>
      <w:r/>
    </w:p>
    <w:p>
      <w:pPr>
        <w:pStyle w:val="949"/>
        <w:ind w:firstLine="482"/>
        <w:spacing w:line="293" w:lineRule="auto"/>
        <w:rPr>
          <w:rFonts w:hint="eastAsia" w:ascii="宋体" w:hAnsi="宋体"/>
          <w:sz w:val="24"/>
          <w:szCs w:val="24"/>
        </w:rPr>
      </w:pPr>
      <w:r/>
      <w:bookmarkStart w:id="178" w:name="_Hlk219845791"/>
      <w:r>
        <w:rPr>
          <w:rFonts w:hint="eastAsia" w:ascii="宋体" w:hAnsi="宋体"/>
          <w:sz w:val="24"/>
          <w:szCs w:val="24"/>
        </w:rPr>
        <w:t xml:space="preserve">★2.1.8.</w:t>
      </w:r>
      <w:bookmarkEnd w:id="178"/>
      <w:r>
        <w:rPr>
          <w:rFonts w:hint="eastAsia" w:ascii="宋体" w:hAnsi="宋体"/>
          <w:sz w:val="24"/>
          <w:szCs w:val="24"/>
        </w:rPr>
        <w:t xml:space="preserve">2 </w:t>
      </w:r>
      <w:bookmarkStart w:id="179" w:name="OLE_LINK21"/>
      <w:r>
        <w:rPr>
          <w:rFonts w:hint="eastAsia" w:ascii="宋体" w:hAnsi="宋体"/>
          <w:sz w:val="24"/>
          <w:szCs w:val="24"/>
        </w:rPr>
        <w:t xml:space="preserve">重要时间节点</w:t>
      </w:r>
      <w:bookmarkEnd w:id="179"/>
      <w:r>
        <w:rPr>
          <w:rFonts w:hint="eastAsia" w:ascii="宋体" w:hAnsi="宋体"/>
          <w:sz w:val="24"/>
          <w:szCs w:val="24"/>
        </w:rPr>
        <w:t xml:space="preserve">保障要求。重要活动（由采购人指定并提前告知）举行前及持续期间、网络割接后或其它重要时间节点，根据采购人要求进行专项维护，并提供7*24小时值守保障服务。</w:t>
      </w:r>
      <w:r/>
    </w:p>
    <w:p>
      <w:pPr>
        <w:pStyle w:val="949"/>
        <w:ind w:firstLine="482"/>
        <w:spacing w:line="293" w:lineRule="auto"/>
        <w:rPr>
          <w:rFonts w:hint="eastAsia" w:ascii="宋体" w:hAnsi="宋体"/>
          <w:sz w:val="24"/>
          <w:szCs w:val="24"/>
        </w:rPr>
      </w:pPr>
      <w:r/>
      <w:bookmarkStart w:id="180" w:name="_Hlk219845772"/>
      <w:r/>
      <w:bookmarkStart w:id="181" w:name="OLE_LINK6"/>
      <w:r>
        <w:rPr>
          <w:rFonts w:hint="eastAsia" w:ascii="宋体" w:hAnsi="宋体"/>
          <w:sz w:val="24"/>
          <w:szCs w:val="24"/>
        </w:rPr>
        <w:t xml:space="preserve">★2.1.8.</w:t>
      </w:r>
      <w:bookmarkEnd w:id="180"/>
      <w:r/>
      <w:bookmarkEnd w:id="181"/>
      <w:r>
        <w:rPr>
          <w:rFonts w:hint="eastAsia" w:ascii="宋体" w:hAnsi="宋体"/>
          <w:sz w:val="24"/>
          <w:szCs w:val="24"/>
        </w:rPr>
        <w:t xml:space="preserve">3应急响应要求。提供应急处置力量，发生故障时须10分钟内响应，1小时内到达现场。一般故障修复时间小于1小时，严重故障小于2小时。如因特殊情况无法在指定时间内修复的，或故障发生在重要时间节点的，需采取超常规处置措施。线路部分，须将故障原因、过渡方案和恢复计划等在故障发生后的2小时内书面上报，经采购人同意后采取应急过渡措施，保障网络不间断；</w:t>
      </w:r>
      <w:r>
        <w:rPr>
          <w:rFonts w:hint="eastAsia" w:ascii="宋体" w:hAnsi="宋体" w:cs="Courier New"/>
          <w:sz w:val="24"/>
          <w:szCs w:val="24"/>
        </w:rPr>
        <w:t xml:space="preserve">系统设施部分，须协调原厂商技术力量开展现场修复，原厂商响应时间小于1小时，维修所需备品备件</w:t>
      </w:r>
      <w:r>
        <w:rPr>
          <w:rFonts w:hint="eastAsia" w:ascii="宋体" w:hAnsi="宋体"/>
          <w:sz w:val="24"/>
          <w:szCs w:val="24"/>
        </w:rPr>
        <w:t xml:space="preserve">须</w:t>
      </w:r>
      <w:r>
        <w:rPr>
          <w:rFonts w:hint="eastAsia" w:ascii="宋体" w:hAnsi="宋体" w:cs="Courier New"/>
          <w:sz w:val="24"/>
          <w:szCs w:val="24"/>
        </w:rPr>
        <w:t xml:space="preserve">在当天送达现场。</w:t>
      </w:r>
      <w:bookmarkStart w:id="182" w:name="OLE_LINK23"/>
      <w:r>
        <w:rPr>
          <w:rFonts w:hint="eastAsia" w:ascii="宋体" w:hAnsi="宋体"/>
          <w:sz w:val="24"/>
          <w:szCs w:val="24"/>
        </w:rPr>
        <w:t xml:space="preserve">期间产生的人力成本、材料成本和其他费用支出全部</w:t>
      </w:r>
      <w:r>
        <w:rPr>
          <w:rFonts w:hint="eastAsia" w:ascii="宋体" w:hAnsi="宋体" w:cs="Courier New"/>
          <w:sz w:val="24"/>
          <w:szCs w:val="24"/>
        </w:rPr>
        <w:t xml:space="preserve">由供应商承担。</w:t>
      </w:r>
      <w:bookmarkEnd w:id="182"/>
      <w:r>
        <w:rPr>
          <w:rFonts w:hint="eastAsia" w:ascii="宋体" w:hAnsi="宋体" w:cs="Courier New"/>
          <w:sz w:val="24"/>
          <w:szCs w:val="24"/>
        </w:rPr>
        <w:t xml:space="preserve">（投标时提供书面承诺并加盖投标人公章）</w:t>
      </w:r>
      <w:r>
        <w:rPr>
          <w:rFonts w:hint="eastAsia" w:ascii="宋体" w:hAnsi="宋体"/>
          <w:sz w:val="24"/>
          <w:szCs w:val="24"/>
        </w:rPr>
      </w:r>
      <w:r/>
    </w:p>
    <w:p>
      <w:pPr>
        <w:pStyle w:val="949"/>
        <w:ind w:firstLine="482"/>
        <w:spacing w:line="293" w:lineRule="auto"/>
        <w:rPr>
          <w:rFonts w:hint="eastAsia" w:ascii="宋体" w:hAnsi="宋体" w:cs="宋体"/>
          <w:sz w:val="24"/>
          <w:szCs w:val="24"/>
        </w:rPr>
      </w:pPr>
      <w:r>
        <w:rPr>
          <w:rFonts w:hint="eastAsia" w:ascii="宋体" w:hAnsi="宋体" w:cs="Courier New"/>
          <w:sz w:val="24"/>
          <w:szCs w:val="24"/>
        </w:rPr>
        <w:t xml:space="preserve">▲2.1.8.4其他要求。服务期内租赁的线路和维保的系统设施，免费更换故障配件（原厂商同型号或更高规格产品），免费提供系统升级、固件更新等服务。提供线路运维所需的工具使用，包括支持LLDP协议并能够通过协议分析获取最近距离交换机名称、端口号和vlan的网络分析仪等。提供运维所需的公用通讯保障服务。</w:t>
      </w:r>
      <w:r>
        <w:rPr>
          <w:rFonts w:hint="eastAsia" w:ascii="宋体" w:hAnsi="宋体" w:cs="宋体"/>
          <w:sz w:val="24"/>
          <w:szCs w:val="24"/>
        </w:rPr>
      </w:r>
      <w:r/>
    </w:p>
    <w:p>
      <w:pPr>
        <w:pStyle w:val="949"/>
        <w:spacing w:line="0" w:lineRule="atLeast"/>
        <w:rPr>
          <w:rFonts w:hint="eastAsia" w:ascii="宋体" w:hAnsi="宋体"/>
          <w:b/>
          <w:sz w:val="32"/>
          <w:szCs w:val="32"/>
        </w:rPr>
      </w:pPr>
      <w:r>
        <w:rPr>
          <w:rFonts w:hint="eastAsia" w:ascii="宋体" w:hAnsi="宋体"/>
          <w:b/>
          <w:sz w:val="32"/>
          <w:szCs w:val="32"/>
        </w:rPr>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分包2</w:t>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2.2项目内容</w:t>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总体要求；为保障江苏省公安厅省市两级公安机关之间的主干网络传输，满足厅机关各办公地点不同功能网络的接入需求。现租赁13条10G双路由省市主干传输线路、3条院外单位传输线路、7条互联网专线、3条互联网拨号宽带，采购网络综合管理系统服务，并提供相应运维保障服务。</w:t>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2.2.1 </w:t>
      </w:r>
      <w:r>
        <w:rPr>
          <w:rFonts w:hint="eastAsia" w:ascii="宋体" w:hAnsi="宋体"/>
          <w:b/>
          <w:bCs/>
          <w:sz w:val="24"/>
          <w:szCs w:val="24"/>
        </w:rPr>
        <w:t xml:space="preserve">省市传输线路部分</w:t>
      </w:r>
      <w:r>
        <w:rPr>
          <w:rFonts w:hint="eastAsia" w:ascii="宋体" w:hAnsi="宋体" w:cs="Courier New"/>
          <w:b/>
          <w:bCs/>
          <w:sz w:val="24"/>
          <w:szCs w:val="24"/>
        </w:rPr>
      </w:r>
      <w:r/>
    </w:p>
    <w:p>
      <w:pPr>
        <w:pStyle w:val="949"/>
        <w:ind w:firstLine="482"/>
        <w:spacing w:line="293" w:lineRule="auto"/>
        <w:rPr>
          <w:rFonts w:hint="eastAsia" w:ascii="宋体" w:hAnsi="宋体" w:cs="Courier New"/>
          <w:i/>
          <w:iCs/>
          <w:sz w:val="24"/>
          <w:szCs w:val="24"/>
          <w:u w:val="single"/>
        </w:rPr>
      </w:pPr>
      <w:r>
        <w:rPr>
          <w:rFonts w:hint="eastAsia" w:ascii="宋体" w:hAnsi="宋体" w:cs="Courier New"/>
          <w:i/>
          <w:iCs/>
          <w:sz w:val="24"/>
          <w:szCs w:val="24"/>
          <w:u w:val="single"/>
        </w:rPr>
        <w:t xml:space="preserve">2.2.1.1 基础要求。提供虎踞关21号机房13条10G双路由省市主干传输线路及必要设备，打通虎踞关21号机房到13个地市公安局机房网络，实现虎踞关21号机房到扬州路1号机房互联，保障省市两级公安机关之间主干网络传输。服务要求如下：</w:t>
      </w:r>
      <w:r/>
    </w:p>
    <w:tbl>
      <w:tblPr>
        <w:tblW w:w="91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997"/>
        <w:gridCol w:w="1273"/>
        <w:gridCol w:w="695"/>
        <w:gridCol w:w="484"/>
        <w:gridCol w:w="354"/>
        <w:gridCol w:w="655"/>
        <w:gridCol w:w="155"/>
        <w:gridCol w:w="924"/>
        <w:gridCol w:w="1827"/>
      </w:tblGrid>
      <w:tr>
        <w:trPr>
          <w:trHeight w:val="427"/>
        </w:trPr>
        <w:tc>
          <w:tcPr>
            <w:tcW w:w="76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99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网络类型</w:t>
            </w:r>
            <w:r/>
          </w:p>
        </w:tc>
        <w:tc>
          <w:tcPr>
            <w:gridSpan w:val="2"/>
            <w:tcW w:w="1968"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目标带宽</w:t>
            </w:r>
            <w:r/>
          </w:p>
        </w:tc>
        <w:tc>
          <w:tcPr>
            <w:gridSpan w:val="2"/>
            <w:tcW w:w="838"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gridSpan w:val="2"/>
            <w:tcW w:w="810"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单位</w:t>
            </w:r>
            <w:r/>
          </w:p>
        </w:tc>
        <w:tc>
          <w:tcPr>
            <w:gridSpan w:val="2"/>
            <w:tcW w:w="2751"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省厅至南京市局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省厅至苏州市局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省厅至南通市局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省厅至无锡市局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省厅至常州市局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省厅至泰州市局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省厅至镇江市局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省厅至扬州市局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省厅至淮安市局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省厅至宿迁市局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省厅至徐州市局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省厅至连云港市局</w:t>
            </w:r>
            <w:r/>
          </w:p>
        </w:tc>
      </w:tr>
      <w:tr>
        <w:trPr>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二级主干网</w:t>
            </w:r>
            <w:r/>
          </w:p>
        </w:tc>
        <w:tc>
          <w:tcPr>
            <w:gridSpan w:val="2"/>
            <w:tcW w:w="196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10G</w:t>
            </w:r>
            <w:r/>
          </w:p>
        </w:tc>
        <w:tc>
          <w:tcPr>
            <w:gridSpan w:val="2"/>
            <w:tcW w:w="838"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gridSpan w:val="2"/>
            <w:tcW w:w="810"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gridSpan w:val="2"/>
            <w:tcW w:w="2751"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省厅至盐城市局</w:t>
            </w:r>
            <w:r/>
          </w:p>
        </w:tc>
      </w:tr>
      <w:tr>
        <w:trPr>
          <w:trHeight w:val="397"/>
        </w:trPr>
        <w:tc>
          <w:tcPr>
            <w:gridSpan w:val="10"/>
            <w:tcW w:w="9131" w:type="dxa"/>
            <w:vAlign w:val="center"/>
            <w:textDirection w:val="lrTb"/>
            <w:noWrap w:val="false"/>
          </w:tcPr>
          <w:p>
            <w:pPr>
              <w:pStyle w:val="949"/>
              <w:jc w:val="center"/>
              <w:rPr>
                <w:sz w:val="24"/>
                <w:szCs w:val="24"/>
              </w:rPr>
            </w:pPr>
            <w:r>
              <w:rPr>
                <w:sz w:val="24"/>
                <w:szCs w:val="24"/>
              </w:rPr>
              <w:t xml:space="preserve">二级主干网承载省市10G传输带宽，可</w:t>
            </w:r>
            <w:r>
              <w:rPr>
                <w:rFonts w:hint="eastAsia"/>
                <w:sz w:val="24"/>
                <w:szCs w:val="24"/>
              </w:rPr>
              <w:t xml:space="preserve">根据采购人需求</w:t>
            </w:r>
            <w:r>
              <w:rPr>
                <w:sz w:val="24"/>
                <w:szCs w:val="24"/>
              </w:rPr>
              <w:t xml:space="preserve">划分出</w:t>
            </w:r>
            <w:r>
              <w:rPr>
                <w:rFonts w:hint="eastAsia"/>
                <w:sz w:val="24"/>
                <w:szCs w:val="24"/>
              </w:rPr>
              <w:t xml:space="preserve">多种</w:t>
            </w:r>
            <w:r>
              <w:rPr>
                <w:sz w:val="24"/>
                <w:szCs w:val="24"/>
              </w:rPr>
              <w:t xml:space="preserve">公安业务专网</w:t>
            </w:r>
            <w:r>
              <w:rPr>
                <w:rFonts w:hint="eastAsia"/>
                <w:sz w:val="24"/>
                <w:szCs w:val="24"/>
              </w:rPr>
              <w:t xml:space="preserve">，并支持</w:t>
            </w:r>
            <w:r>
              <w:rPr>
                <w:sz w:val="24"/>
                <w:szCs w:val="24"/>
              </w:rPr>
              <w:t xml:space="preserve">动态调整。</w:t>
            </w:r>
            <w:r/>
          </w:p>
        </w:tc>
      </w:tr>
      <w:tr>
        <w:trPr>
          <w:trHeight w:val="397"/>
        </w:trPr>
        <w:tc>
          <w:tcPr>
            <w:tcW w:w="76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99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网络类型</w:t>
            </w:r>
            <w:r/>
          </w:p>
        </w:tc>
        <w:tc>
          <w:tcPr>
            <w:tcW w:w="1273"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最低保障带宽</w:t>
            </w:r>
            <w:r/>
          </w:p>
        </w:tc>
        <w:tc>
          <w:tcPr>
            <w:gridSpan w:val="2"/>
            <w:tcW w:w="117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最大弹性带宽</w:t>
            </w:r>
            <w:r/>
          </w:p>
        </w:tc>
        <w:tc>
          <w:tcPr>
            <w:gridSpan w:val="2"/>
            <w:tcW w:w="100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数量</w:t>
            </w:r>
            <w:r/>
          </w:p>
        </w:tc>
        <w:tc>
          <w:tcPr>
            <w:gridSpan w:val="2"/>
            <w:tcW w:w="1079"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单位</w:t>
            </w:r>
            <w:r/>
          </w:p>
        </w:tc>
        <w:tc>
          <w:tcPr>
            <w:tcW w:w="1827" w:type="dxa"/>
            <w:vAlign w:val="center"/>
            <w:textDirection w:val="lrTb"/>
            <w:noWrap w:val="false"/>
          </w:tcPr>
          <w:p>
            <w:pPr>
              <w:pStyle w:val="949"/>
              <w:jc w:val="center"/>
              <w:rPr>
                <w:rFonts w:hint="eastAsia" w:ascii="宋体" w:hAnsi="宋体" w:cs="宋体"/>
                <w:b/>
                <w:bCs/>
                <w:sz w:val="24"/>
                <w:szCs w:val="24"/>
              </w:rPr>
            </w:pPr>
            <w:r>
              <w:rPr>
                <w:rFonts w:hint="eastAsia" w:ascii="宋体" w:hAnsi="宋体" w:cs="宋体"/>
                <w:b/>
                <w:bCs/>
                <w:sz w:val="24"/>
                <w:szCs w:val="24"/>
              </w:rPr>
              <w:t xml:space="preserve">备注</w:t>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省厅至13个地市（JM网需独立传输设备）</w:t>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TX网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JZ业务专网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2G</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4</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WA业务专网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SJY专网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5G</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6</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YDJW网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7</w:t>
            </w:r>
            <w:r/>
          </w:p>
        </w:tc>
        <w:tc>
          <w:tcPr>
            <w:tcW w:w="199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JM网</w:t>
            </w:r>
            <w:r/>
          </w:p>
        </w:tc>
        <w:tc>
          <w:tcPr>
            <w:tcW w:w="1273"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500M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1000M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8</w:t>
            </w:r>
            <w:r/>
          </w:p>
        </w:tc>
        <w:tc>
          <w:tcPr>
            <w:tcW w:w="1997"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GA电话专网、电视会议、视频指挥和350兆联网</w:t>
            </w:r>
            <w:r/>
          </w:p>
        </w:tc>
        <w:tc>
          <w:tcPr>
            <w:tcW w:w="1273" w:type="dxa"/>
            <w:vAlign w:val="center"/>
            <w:vMerge w:val="restart"/>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155M</w:t>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32×2M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9</w:t>
            </w:r>
            <w:r/>
          </w:p>
        </w:tc>
        <w:tc>
          <w:tcPr>
            <w:tcW w:w="199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73"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2×10M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r>
        <w:trPr>
          <w:cantSplit/>
          <w:trHeight w:val="397"/>
        </w:trPr>
        <w:tc>
          <w:tcPr>
            <w:tcW w:w="767"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10</w:t>
            </w:r>
            <w:r/>
          </w:p>
        </w:tc>
        <w:tc>
          <w:tcPr>
            <w:tcW w:w="199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tcW w:w="1273"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c>
          <w:tcPr>
            <w:gridSpan w:val="2"/>
            <w:tcW w:w="11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2×25M</w:t>
            </w:r>
            <w:r/>
          </w:p>
        </w:tc>
        <w:tc>
          <w:tcPr>
            <w:gridSpan w:val="2"/>
            <w:tcW w:w="100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13</w:t>
            </w:r>
            <w:r/>
          </w:p>
        </w:tc>
        <w:tc>
          <w:tcPr>
            <w:gridSpan w:val="2"/>
            <w:tcW w:w="1079" w:type="dxa"/>
            <w:vAlign w:val="center"/>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t xml:space="preserve">条</w:t>
            </w:r>
            <w:r/>
          </w:p>
        </w:tc>
        <w:tc>
          <w:tcPr>
            <w:tcW w:w="1827" w:type="dxa"/>
            <w:vAlign w:val="center"/>
            <w:vMerge w:val="continue"/>
            <w:textDirection w:val="lrTb"/>
            <w:noWrap w:val="false"/>
          </w:tcPr>
          <w:p>
            <w:pPr>
              <w:pStyle w:val="949"/>
              <w:jc w:val="center"/>
              <w:rPr>
                <w:rFonts w:hint="eastAsia" w:ascii="宋体" w:hAnsi="宋体" w:cs="宋体"/>
                <w:sz w:val="24"/>
                <w:szCs w:val="24"/>
              </w:rPr>
            </w:pPr>
            <w:r>
              <w:rPr>
                <w:rFonts w:hint="eastAsia" w:ascii="宋体" w:hAnsi="宋体" w:cs="宋体"/>
                <w:sz w:val="24"/>
                <w:szCs w:val="24"/>
              </w:rPr>
            </w:r>
            <w:r/>
          </w:p>
        </w:tc>
      </w:tr>
    </w:tbl>
    <w:p>
      <w:pPr>
        <w:pStyle w:val="949"/>
        <w:spacing w:line="0" w:lineRule="atLeast"/>
        <w:rPr>
          <w:rFonts w:hint="eastAsia" w:ascii="宋体" w:hAnsi="宋体" w:cs="宋体"/>
          <w:sz w:val="24"/>
          <w:szCs w:val="24"/>
        </w:rPr>
      </w:pPr>
      <w:r>
        <w:rPr>
          <w:rFonts w:hint="eastAsia" w:ascii="宋体" w:hAnsi="宋体" w:cs="宋体"/>
          <w:sz w:val="24"/>
          <w:szCs w:val="24"/>
        </w:rPr>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★2.2.1.2 实施要求。合同签订后30个工作日内，根据采购人要求完成省市传输线路建设实施和联网服务。</w:t>
      </w:r>
      <w:r>
        <w:rPr>
          <w:rFonts w:hint="eastAsia" w:ascii="宋体" w:hAnsi="宋体" w:cs="宋体"/>
          <w:bCs/>
          <w:iCs/>
          <w:sz w:val="24"/>
          <w:szCs w:val="24"/>
        </w:rPr>
        <w:t xml:space="preserve">实施期间涉及的网络割接、设备搬迁、</w:t>
      </w:r>
      <w:r>
        <w:rPr>
          <w:rFonts w:hint="eastAsia" w:ascii="宋体" w:hAnsi="宋体" w:cs="宋体"/>
          <w:sz w:val="24"/>
          <w:szCs w:val="24"/>
        </w:rPr>
        <w:t xml:space="preserve">线路延伸等费用由供应商负责。</w:t>
      </w:r>
      <w:r>
        <w:rPr>
          <w:rFonts w:hint="eastAsia" w:ascii="宋体" w:hAnsi="宋体" w:cs="宋体"/>
          <w:sz w:val="24"/>
          <w:szCs w:val="24"/>
          <w:lang w:bidi="ar"/>
        </w:rPr>
        <w:t xml:space="preserve">如涉及设备搬迁部署，需制定采购人认可的搬迁实施方案。</w:t>
      </w:r>
      <w:r>
        <w:rPr>
          <w:rFonts w:hint="eastAsia" w:ascii="宋体" w:hAnsi="宋体" w:cs="宋体"/>
          <w:sz w:val="24"/>
          <w:szCs w:val="24"/>
        </w:rPr>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2.2.1.3线路要求。采用光传输网承载，提供安全、稳定的组网方式。省市两级公安机关间的传输线路采用双路由保护，当主用线路发生故障，自动切换到备用线路。线路专网专用，与其他网络物理隔离。线路设施具有良好的可扩展性，确保将来因业务发展需求能进行升级扩容。全年平均可用率不低于99.9%。</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★2.2.1.4对标要求。</w:t>
      </w:r>
      <w:r>
        <w:rPr>
          <w:rFonts w:hint="eastAsia" w:ascii="宋体" w:hAnsi="宋体" w:cs="宋体"/>
          <w:bCs/>
          <w:iCs/>
          <w:sz w:val="24"/>
          <w:szCs w:val="24"/>
        </w:rPr>
        <w:t xml:space="preserve">服务期内能</w:t>
      </w:r>
      <w:r>
        <w:rPr>
          <w:rFonts w:hint="eastAsia" w:ascii="宋体" w:hAnsi="宋体" w:cs="宋体"/>
          <w:sz w:val="24"/>
          <w:szCs w:val="24"/>
        </w:rPr>
        <w:t xml:space="preserve">根据采购人要求，按照公安部相关部署</w:t>
      </w:r>
      <w:r>
        <w:rPr>
          <w:rFonts w:hint="eastAsia" w:ascii="宋体" w:hAnsi="宋体" w:cs="宋体"/>
          <w:bCs/>
          <w:iCs/>
          <w:sz w:val="24"/>
          <w:szCs w:val="24"/>
        </w:rPr>
        <w:t xml:space="preserve">，进行升级调整，所需费用由供应商承担</w:t>
      </w:r>
      <w:r>
        <w:rPr>
          <w:rFonts w:hint="eastAsia" w:ascii="宋体" w:hAnsi="宋体" w:cs="宋体"/>
          <w:sz w:val="24"/>
          <w:szCs w:val="24"/>
        </w:rPr>
        <w:t xml:space="preserve">（投标时提供书面承诺并加盖投标人公章）</w:t>
      </w:r>
      <w:r>
        <w:rPr>
          <w:rFonts w:hint="eastAsia" w:ascii="宋体" w:hAnsi="宋体" w:cs="宋体"/>
          <w:bCs/>
          <w:iCs/>
          <w:sz w:val="24"/>
          <w:szCs w:val="24"/>
        </w:rPr>
        <w:t xml:space="preserve">。</w:t>
      </w:r>
      <w:r>
        <w:rPr>
          <w:rFonts w:hint="eastAsia" w:ascii="宋体" w:hAnsi="宋体" w:cs="宋体"/>
          <w:sz w:val="24"/>
          <w:szCs w:val="24"/>
        </w:rPr>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▲2.2.1.5技术支持要求。服务期内能根据采购人要求，提供网络技术支持，包括但不限于网络调整、系统优化、配置调试等。</w:t>
      </w:r>
      <w:r/>
    </w:p>
    <w:p>
      <w:pPr>
        <w:pStyle w:val="949"/>
        <w:ind w:firstLine="482"/>
        <w:spacing w:line="293" w:lineRule="auto"/>
        <w:rPr>
          <w:rFonts w:hint="eastAsia" w:ascii="宋体" w:hAnsi="宋体" w:cs="Courier New"/>
          <w:sz w:val="24"/>
          <w:szCs w:val="24"/>
        </w:rPr>
      </w:pPr>
      <w:r>
        <w:rPr>
          <w:rFonts w:hint="eastAsia" w:ascii="宋体" w:hAnsi="宋体" w:cs="宋体"/>
          <w:sz w:val="24"/>
          <w:szCs w:val="24"/>
        </w:rPr>
        <w:t xml:space="preserve">★2.2.1.6互联要求。</w:t>
      </w:r>
      <w:r>
        <w:rPr>
          <w:rFonts w:hint="eastAsia" w:ascii="宋体" w:hAnsi="宋体" w:cs="宋体"/>
          <w:bCs/>
          <w:iCs/>
          <w:sz w:val="24"/>
          <w:szCs w:val="24"/>
        </w:rPr>
        <w:t xml:space="preserve">提供扬州路1号至虎踞关21号双路由光缆，满足扬州路1号至虎踞关21号主干线路传输设备互联需求。</w:t>
      </w:r>
      <w:r>
        <w:rPr>
          <w:rFonts w:hint="eastAsia" w:ascii="宋体" w:hAnsi="宋体" w:cs="Courier New"/>
          <w:sz w:val="24"/>
          <w:szCs w:val="24"/>
        </w:rPr>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2.2.2 院外单位线路部分</w:t>
      </w:r>
      <w:r/>
    </w:p>
    <w:p>
      <w:pPr>
        <w:pStyle w:val="949"/>
        <w:ind w:firstLine="482"/>
        <w:spacing w:line="293" w:lineRule="auto"/>
        <w:rPr>
          <w:rFonts w:hint="eastAsia" w:ascii="宋体" w:hAnsi="宋体" w:cs="Courier New"/>
          <w:i/>
          <w:iCs/>
          <w:sz w:val="24"/>
          <w:szCs w:val="24"/>
          <w:u w:val="single"/>
        </w:rPr>
      </w:pPr>
      <w:r>
        <w:rPr>
          <w:rFonts w:hint="eastAsia" w:ascii="宋体" w:hAnsi="宋体" w:cs="Courier New"/>
          <w:i/>
          <w:iCs/>
          <w:sz w:val="24"/>
          <w:szCs w:val="24"/>
          <w:u w:val="single"/>
        </w:rPr>
        <w:t xml:space="preserve">2.2.2.1 基础要求。提供3条（每条2芯）裸光纤线路及光传输设备租赁服务，搭建省厅至院外单位间点到点传输网络。线路光缆提供双路由保护，保障线路安全可靠性。光传输设备按实际使用需求配置业务板卡，满足公安各类网络联网需要，同时预留5个以上端口，以便于后期业务网络新增。服务要求如下：</w:t>
      </w:r>
      <w:r/>
    </w:p>
    <w:tbl>
      <w:tblPr>
        <w:tblW w:w="105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93"/>
        <w:gridCol w:w="1557"/>
        <w:gridCol w:w="1038"/>
        <w:gridCol w:w="1024"/>
        <w:gridCol w:w="1280"/>
        <w:gridCol w:w="1013"/>
        <w:gridCol w:w="2668"/>
      </w:tblGrid>
      <w:tr>
        <w:trPr>
          <w:cantSplit/>
          <w:trHeight w:val="351"/>
        </w:trPr>
        <w:tc>
          <w:tcPr>
            <w:tcW w:w="703" w:type="dxa"/>
            <w:vAlign w:val="center"/>
            <w:vMerge w:val="restart"/>
            <w:textDirection w:val="lrTb"/>
            <w:noWrap w:val="false"/>
          </w:tcPr>
          <w:p>
            <w:pPr>
              <w:pStyle w:val="949"/>
              <w:jc w:val="center"/>
              <w:rPr>
                <w:rFonts w:eastAsia="方正小标宋_GBK"/>
                <w:sz w:val="24"/>
                <w:szCs w:val="24"/>
              </w:rPr>
            </w:pPr>
            <w:r>
              <w:rPr>
                <w:rFonts w:eastAsia="方正小标宋_GBK"/>
                <w:sz w:val="24"/>
                <w:szCs w:val="24"/>
              </w:rPr>
              <w:t xml:space="preserve">序号</w:t>
            </w:r>
            <w:r/>
          </w:p>
        </w:tc>
        <w:tc>
          <w:tcPr>
            <w:tcW w:w="1293" w:type="dxa"/>
            <w:vAlign w:val="center"/>
            <w:vMerge w:val="restart"/>
            <w:textDirection w:val="lrTb"/>
            <w:noWrap w:val="false"/>
          </w:tcPr>
          <w:p>
            <w:pPr>
              <w:pStyle w:val="949"/>
              <w:jc w:val="center"/>
              <w:rPr>
                <w:rFonts w:eastAsia="方正小标宋_GBK"/>
                <w:sz w:val="24"/>
                <w:szCs w:val="24"/>
              </w:rPr>
            </w:pPr>
            <w:r>
              <w:rPr>
                <w:rFonts w:eastAsia="方正小标宋_GBK"/>
                <w:sz w:val="24"/>
                <w:szCs w:val="24"/>
              </w:rPr>
              <w:t xml:space="preserve">地址端A</w:t>
            </w:r>
            <w:r/>
          </w:p>
        </w:tc>
        <w:tc>
          <w:tcPr>
            <w:tcW w:w="1557" w:type="dxa"/>
            <w:vAlign w:val="center"/>
            <w:vMerge w:val="restart"/>
            <w:textDirection w:val="lrTb"/>
            <w:noWrap w:val="false"/>
          </w:tcPr>
          <w:p>
            <w:pPr>
              <w:pStyle w:val="949"/>
              <w:jc w:val="center"/>
              <w:rPr>
                <w:rFonts w:eastAsia="方正小标宋_GBK"/>
                <w:sz w:val="24"/>
                <w:szCs w:val="24"/>
              </w:rPr>
            </w:pPr>
            <w:r>
              <w:rPr>
                <w:rFonts w:eastAsia="方正小标宋_GBK"/>
                <w:sz w:val="24"/>
                <w:szCs w:val="24"/>
              </w:rPr>
              <w:t xml:space="preserve">地址端B</w:t>
            </w:r>
            <w:r/>
          </w:p>
        </w:tc>
        <w:tc>
          <w:tcPr>
            <w:tcW w:w="1038" w:type="dxa"/>
            <w:vAlign w:val="center"/>
            <w:vMerge w:val="restart"/>
            <w:textDirection w:val="lrTb"/>
            <w:noWrap w:val="false"/>
          </w:tcPr>
          <w:p>
            <w:pPr>
              <w:pStyle w:val="949"/>
              <w:jc w:val="center"/>
              <w:rPr>
                <w:rFonts w:eastAsia="方正小标宋_GBK"/>
                <w:sz w:val="24"/>
                <w:szCs w:val="24"/>
              </w:rPr>
            </w:pPr>
            <w:r>
              <w:rPr>
                <w:rFonts w:hint="eastAsia" w:eastAsia="方正小标宋_GBK"/>
                <w:sz w:val="24"/>
                <w:szCs w:val="24"/>
              </w:rPr>
              <w:t xml:space="preserve">长度（km）</w:t>
            </w:r>
            <w:r>
              <w:rPr>
                <w:rFonts w:eastAsia="方正小标宋_GBK"/>
                <w:sz w:val="24"/>
                <w:szCs w:val="24"/>
              </w:rPr>
            </w:r>
            <w:r/>
          </w:p>
        </w:tc>
        <w:tc>
          <w:tcPr>
            <w:gridSpan w:val="3"/>
            <w:tcW w:w="3317" w:type="dxa"/>
            <w:vAlign w:val="center"/>
            <w:textDirection w:val="lrTb"/>
            <w:noWrap w:val="false"/>
          </w:tcPr>
          <w:p>
            <w:pPr>
              <w:pStyle w:val="949"/>
              <w:jc w:val="center"/>
              <w:rPr>
                <w:rFonts w:eastAsia="方正小标宋_GBK"/>
                <w:sz w:val="24"/>
                <w:szCs w:val="24"/>
              </w:rPr>
            </w:pPr>
            <w:r>
              <w:rPr>
                <w:rFonts w:eastAsia="方正小标宋_GBK"/>
                <w:sz w:val="24"/>
                <w:szCs w:val="24"/>
              </w:rPr>
              <w:t xml:space="preserve">带宽划分</w:t>
            </w:r>
            <w:r/>
          </w:p>
        </w:tc>
        <w:tc>
          <w:tcPr>
            <w:tcW w:w="2668" w:type="dxa"/>
            <w:vAlign w:val="center"/>
            <w:vMerge w:val="restart"/>
            <w:textDirection w:val="lrTb"/>
            <w:noWrap w:val="false"/>
          </w:tcPr>
          <w:p>
            <w:pPr>
              <w:pStyle w:val="949"/>
              <w:jc w:val="center"/>
              <w:rPr>
                <w:rFonts w:eastAsia="方正小标宋_GBK"/>
                <w:sz w:val="24"/>
                <w:szCs w:val="24"/>
              </w:rPr>
            </w:pPr>
            <w:r>
              <w:rPr>
                <w:rFonts w:eastAsia="方正小标宋_GBK"/>
                <w:sz w:val="24"/>
                <w:szCs w:val="24"/>
              </w:rPr>
              <w:t xml:space="preserve">备注</w:t>
            </w:r>
            <w:r/>
          </w:p>
        </w:tc>
      </w:tr>
      <w:tr>
        <w:trPr>
          <w:cantSplit/>
          <w:trHeight w:val="351"/>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rFonts w:eastAsia="方正小标宋_GBK"/>
                <w:sz w:val="24"/>
                <w:szCs w:val="24"/>
              </w:rPr>
            </w:pPr>
            <w:r>
              <w:rPr>
                <w:rFonts w:eastAsia="方正小标宋_GBK"/>
                <w:sz w:val="24"/>
                <w:szCs w:val="24"/>
              </w:rPr>
              <w:t xml:space="preserve">数量</w:t>
            </w:r>
            <w:r/>
          </w:p>
        </w:tc>
        <w:tc>
          <w:tcPr>
            <w:tcW w:w="1280" w:type="dxa"/>
            <w:vAlign w:val="center"/>
            <w:textDirection w:val="lrTb"/>
            <w:noWrap w:val="false"/>
          </w:tcPr>
          <w:p>
            <w:pPr>
              <w:pStyle w:val="949"/>
              <w:jc w:val="center"/>
              <w:rPr>
                <w:rFonts w:eastAsia="方正小标宋_GBK"/>
                <w:sz w:val="24"/>
                <w:szCs w:val="24"/>
              </w:rPr>
            </w:pPr>
            <w:r>
              <w:rPr>
                <w:rFonts w:eastAsia="方正小标宋_GBK"/>
                <w:sz w:val="24"/>
                <w:szCs w:val="24"/>
              </w:rPr>
              <w:t xml:space="preserve">带宽</w:t>
            </w:r>
            <w:r/>
          </w:p>
        </w:tc>
        <w:tc>
          <w:tcPr>
            <w:tcW w:w="1013" w:type="dxa"/>
            <w:vAlign w:val="center"/>
            <w:textDirection w:val="lrTb"/>
            <w:noWrap w:val="false"/>
          </w:tcPr>
          <w:p>
            <w:pPr>
              <w:pStyle w:val="949"/>
              <w:jc w:val="center"/>
              <w:rPr>
                <w:rFonts w:eastAsia="方正小标宋_GBK"/>
                <w:sz w:val="24"/>
                <w:szCs w:val="24"/>
              </w:rPr>
            </w:pPr>
            <w:r>
              <w:rPr>
                <w:rFonts w:eastAsia="方正小标宋_GBK"/>
                <w:sz w:val="24"/>
                <w:szCs w:val="24"/>
              </w:rPr>
              <w:t xml:space="preserve">功能</w:t>
            </w:r>
            <w:r/>
          </w:p>
        </w:tc>
        <w:tc>
          <w:tcPr>
            <w:tcW w:w="2668" w:type="dxa"/>
            <w:vAlign w:val="center"/>
            <w:vMerge w:val="continue"/>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restart"/>
            <w:textDirection w:val="lrTb"/>
            <w:noWrap w:val="false"/>
          </w:tcPr>
          <w:p>
            <w:pPr>
              <w:pStyle w:val="949"/>
              <w:jc w:val="center"/>
              <w:rPr>
                <w:sz w:val="24"/>
                <w:szCs w:val="24"/>
              </w:rPr>
            </w:pPr>
            <w:r>
              <w:rPr>
                <w:sz w:val="24"/>
                <w:szCs w:val="24"/>
              </w:rPr>
              <w:t xml:space="preserve">1</w:t>
            </w:r>
            <w:r/>
          </w:p>
        </w:tc>
        <w:tc>
          <w:tcPr>
            <w:tcW w:w="1293" w:type="dxa"/>
            <w:vAlign w:val="center"/>
            <w:vMerge w:val="restart"/>
            <w:textDirection w:val="lrTb"/>
            <w:noWrap w:val="false"/>
          </w:tcPr>
          <w:p>
            <w:pPr>
              <w:pStyle w:val="949"/>
              <w:jc w:val="center"/>
              <w:rPr>
                <w:sz w:val="24"/>
                <w:szCs w:val="24"/>
              </w:rPr>
            </w:pPr>
            <w:r>
              <w:rPr>
                <w:rFonts w:hint="eastAsia"/>
                <w:sz w:val="24"/>
                <w:szCs w:val="24"/>
              </w:rPr>
              <w:t xml:space="preserve">虎踞关21号</w:t>
            </w:r>
            <w:r>
              <w:rPr>
                <w:sz w:val="24"/>
                <w:szCs w:val="24"/>
              </w:rPr>
            </w:r>
            <w:r/>
          </w:p>
        </w:tc>
        <w:tc>
          <w:tcPr>
            <w:tcW w:w="1557" w:type="dxa"/>
            <w:vAlign w:val="center"/>
            <w:vMerge w:val="restart"/>
            <w:textDirection w:val="lrTb"/>
            <w:noWrap w:val="false"/>
          </w:tcPr>
          <w:p>
            <w:pPr>
              <w:pStyle w:val="949"/>
              <w:jc w:val="center"/>
              <w:rPr>
                <w:sz w:val="24"/>
                <w:szCs w:val="24"/>
              </w:rPr>
            </w:pPr>
            <w:r>
              <w:rPr>
                <w:sz w:val="24"/>
                <w:szCs w:val="24"/>
              </w:rPr>
              <w:t xml:space="preserve">仙林大道8号</w:t>
            </w:r>
            <w:r/>
          </w:p>
        </w:tc>
        <w:tc>
          <w:tcPr>
            <w:tcW w:w="1038" w:type="dxa"/>
            <w:vAlign w:val="center"/>
            <w:vMerge w:val="restart"/>
            <w:textDirection w:val="lrTb"/>
            <w:noWrap w:val="false"/>
          </w:tcPr>
          <w:p>
            <w:pPr>
              <w:pStyle w:val="949"/>
              <w:jc w:val="center"/>
              <w:rPr>
                <w:sz w:val="24"/>
                <w:szCs w:val="24"/>
              </w:rPr>
            </w:pPr>
            <w:r>
              <w:rPr>
                <w:rFonts w:hint="eastAsia"/>
                <w:sz w:val="24"/>
                <w:szCs w:val="24"/>
              </w:rPr>
              <w:t xml:space="preserve">24.9</w:t>
            </w: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GA网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TX网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500M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JM网</w:t>
            </w:r>
            <w:r>
              <w:rPr>
                <w:sz w:val="24"/>
                <w:szCs w:val="24"/>
              </w:rPr>
            </w:r>
            <w:r/>
          </w:p>
        </w:tc>
        <w:tc>
          <w:tcPr>
            <w:tcW w:w="2668" w:type="dxa"/>
            <w:vAlign w:val="center"/>
            <w:textDirection w:val="lrTb"/>
            <w:noWrap w:val="false"/>
          </w:tcPr>
          <w:p>
            <w:pPr>
              <w:pStyle w:val="949"/>
              <w:jc w:val="center"/>
              <w:rPr>
                <w:sz w:val="24"/>
                <w:szCs w:val="24"/>
              </w:rPr>
            </w:pPr>
            <w:r>
              <w:rPr>
                <w:sz w:val="24"/>
                <w:szCs w:val="24"/>
              </w:rPr>
              <w:t xml:space="preserve">需包含独立传输设备</w:t>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ZWW</w:t>
            </w:r>
            <w:r>
              <w:rPr>
                <w:sz w:val="24"/>
                <w:szCs w:val="24"/>
              </w:rPr>
              <w:t xml:space="preserve">网</w:t>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2</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10M</w:t>
            </w:r>
            <w:r>
              <w:rPr>
                <w:sz w:val="24"/>
                <w:szCs w:val="24"/>
              </w:rPr>
            </w:r>
            <w:r/>
          </w:p>
        </w:tc>
        <w:tc>
          <w:tcPr>
            <w:tcW w:w="1013" w:type="dxa"/>
            <w:vAlign w:val="center"/>
            <w:textDirection w:val="lrTb"/>
            <w:noWrap w:val="false"/>
          </w:tcPr>
          <w:p>
            <w:pPr>
              <w:pStyle w:val="949"/>
              <w:jc w:val="center"/>
              <w:rPr>
                <w:sz w:val="24"/>
                <w:szCs w:val="24"/>
              </w:rPr>
            </w:pPr>
            <w:r>
              <w:rPr>
                <w:sz w:val="24"/>
                <w:szCs w:val="24"/>
              </w:rPr>
              <w:t xml:space="preserve">电话</w:t>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5</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预留</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restart"/>
            <w:textDirection w:val="lrTb"/>
            <w:noWrap w:val="false"/>
          </w:tcPr>
          <w:p>
            <w:pPr>
              <w:pStyle w:val="949"/>
              <w:jc w:val="center"/>
              <w:rPr>
                <w:sz w:val="24"/>
                <w:szCs w:val="24"/>
              </w:rPr>
            </w:pPr>
            <w:r>
              <w:rPr>
                <w:sz w:val="24"/>
                <w:szCs w:val="24"/>
              </w:rPr>
              <w:t xml:space="preserve">2</w:t>
            </w:r>
            <w:r/>
          </w:p>
        </w:tc>
        <w:tc>
          <w:tcPr>
            <w:tcW w:w="1293" w:type="dxa"/>
            <w:vAlign w:val="center"/>
            <w:vMerge w:val="restart"/>
            <w:textDirection w:val="lrTb"/>
            <w:noWrap w:val="false"/>
          </w:tcPr>
          <w:p>
            <w:pPr>
              <w:pStyle w:val="949"/>
              <w:jc w:val="center"/>
              <w:rPr>
                <w:sz w:val="24"/>
                <w:szCs w:val="24"/>
              </w:rPr>
            </w:pPr>
            <w:r>
              <w:rPr>
                <w:rFonts w:hint="eastAsia"/>
                <w:sz w:val="24"/>
                <w:szCs w:val="24"/>
              </w:rPr>
              <w:t xml:space="preserve">虎踞关21号</w:t>
            </w:r>
            <w:r>
              <w:rPr>
                <w:sz w:val="24"/>
                <w:szCs w:val="24"/>
              </w:rPr>
            </w:r>
            <w:r/>
          </w:p>
        </w:tc>
        <w:tc>
          <w:tcPr>
            <w:tcW w:w="1557" w:type="dxa"/>
            <w:vAlign w:val="center"/>
            <w:vMerge w:val="restart"/>
            <w:textDirection w:val="lrTb"/>
            <w:noWrap w:val="false"/>
          </w:tcPr>
          <w:p>
            <w:pPr>
              <w:pStyle w:val="949"/>
              <w:jc w:val="center"/>
              <w:rPr>
                <w:sz w:val="24"/>
                <w:szCs w:val="24"/>
              </w:rPr>
            </w:pPr>
            <w:r>
              <w:rPr>
                <w:sz w:val="24"/>
                <w:szCs w:val="24"/>
              </w:rPr>
              <w:t xml:space="preserve">清河路9号</w:t>
            </w:r>
            <w:r/>
          </w:p>
        </w:tc>
        <w:tc>
          <w:tcPr>
            <w:tcW w:w="1038" w:type="dxa"/>
            <w:vAlign w:val="center"/>
            <w:vMerge w:val="restart"/>
            <w:textDirection w:val="lrTb"/>
            <w:noWrap w:val="false"/>
          </w:tcPr>
          <w:p>
            <w:pPr>
              <w:pStyle w:val="949"/>
              <w:jc w:val="center"/>
              <w:rPr>
                <w:sz w:val="24"/>
                <w:szCs w:val="24"/>
              </w:rPr>
            </w:pPr>
            <w:r>
              <w:rPr>
                <w:rFonts w:hint="eastAsia"/>
                <w:sz w:val="24"/>
                <w:szCs w:val="24"/>
              </w:rPr>
              <w:t xml:space="preserve">10</w:t>
            </w: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w:t>
            </w:r>
            <w:r>
              <w:rPr>
                <w:rFonts w:hint="eastAsia"/>
                <w:sz w:val="24"/>
                <w:szCs w:val="24"/>
                <w:lang w:val="en"/>
              </w:rPr>
              <w:t xml:space="preserve">0</w:t>
            </w:r>
            <w:r>
              <w:rPr>
                <w:rFonts w:hint="eastAsia"/>
                <w:sz w:val="24"/>
                <w:szCs w:val="24"/>
              </w:rPr>
              <w:t xml:space="preserve">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GA网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w:t>
            </w:r>
            <w:r>
              <w:rPr>
                <w:rFonts w:hint="eastAsia"/>
                <w:sz w:val="24"/>
                <w:szCs w:val="24"/>
                <w:lang w:val="en"/>
              </w:rPr>
              <w:t xml:space="preserve">0</w:t>
            </w:r>
            <w:r>
              <w:rPr>
                <w:rFonts w:hint="eastAsia"/>
                <w:sz w:val="24"/>
                <w:szCs w:val="24"/>
              </w:rPr>
              <w:t xml:space="preserve">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TX网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ZWW网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电话</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5</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预留</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restart"/>
            <w:textDirection w:val="lrTb"/>
            <w:noWrap w:val="false"/>
          </w:tcPr>
          <w:p>
            <w:pPr>
              <w:pStyle w:val="949"/>
              <w:jc w:val="center"/>
              <w:rPr>
                <w:sz w:val="24"/>
                <w:szCs w:val="24"/>
              </w:rPr>
            </w:pPr>
            <w:r>
              <w:rPr>
                <w:sz w:val="24"/>
                <w:szCs w:val="24"/>
              </w:rPr>
              <w:t xml:space="preserve">3</w:t>
            </w:r>
            <w:r/>
          </w:p>
        </w:tc>
        <w:tc>
          <w:tcPr>
            <w:tcW w:w="1293" w:type="dxa"/>
            <w:vAlign w:val="center"/>
            <w:vMerge w:val="restart"/>
            <w:textDirection w:val="lrTb"/>
            <w:noWrap w:val="false"/>
          </w:tcPr>
          <w:p>
            <w:pPr>
              <w:pStyle w:val="949"/>
              <w:jc w:val="center"/>
              <w:rPr>
                <w:sz w:val="24"/>
                <w:szCs w:val="24"/>
              </w:rPr>
            </w:pPr>
            <w:r>
              <w:rPr>
                <w:rFonts w:hint="eastAsia"/>
                <w:sz w:val="24"/>
                <w:szCs w:val="24"/>
              </w:rPr>
              <w:t xml:space="preserve">虎踞关21号</w:t>
            </w:r>
            <w:r>
              <w:rPr>
                <w:sz w:val="24"/>
                <w:szCs w:val="24"/>
              </w:rPr>
            </w:r>
            <w:r/>
          </w:p>
        </w:tc>
        <w:tc>
          <w:tcPr>
            <w:tcW w:w="1557" w:type="dxa"/>
            <w:vAlign w:val="center"/>
            <w:vMerge w:val="restart"/>
            <w:textDirection w:val="lrTb"/>
            <w:noWrap w:val="false"/>
          </w:tcPr>
          <w:p>
            <w:pPr>
              <w:pStyle w:val="949"/>
              <w:jc w:val="center"/>
              <w:rPr>
                <w:sz w:val="24"/>
                <w:szCs w:val="24"/>
              </w:rPr>
            </w:pPr>
            <w:r>
              <w:rPr>
                <w:sz w:val="24"/>
                <w:szCs w:val="24"/>
              </w:rPr>
              <w:t xml:space="preserve">湛江路86号</w:t>
            </w:r>
            <w:r/>
          </w:p>
        </w:tc>
        <w:tc>
          <w:tcPr>
            <w:tcW w:w="1038" w:type="dxa"/>
            <w:vAlign w:val="center"/>
            <w:vMerge w:val="restart"/>
            <w:textDirection w:val="lrTb"/>
            <w:noWrap w:val="false"/>
          </w:tcPr>
          <w:p>
            <w:pPr>
              <w:pStyle w:val="949"/>
              <w:jc w:val="center"/>
              <w:rPr>
                <w:sz w:val="24"/>
                <w:szCs w:val="24"/>
              </w:rPr>
            </w:pPr>
            <w:r>
              <w:rPr>
                <w:rFonts w:hint="eastAsia"/>
                <w:sz w:val="24"/>
                <w:szCs w:val="24"/>
              </w:rPr>
              <w:t xml:space="preserve">6.6</w:t>
            </w: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2</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GA网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2</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TX网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500M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JM网</w:t>
            </w:r>
            <w:r>
              <w:rPr>
                <w:sz w:val="24"/>
                <w:szCs w:val="24"/>
              </w:rPr>
            </w:r>
            <w:r/>
          </w:p>
        </w:tc>
        <w:tc>
          <w:tcPr>
            <w:tcW w:w="2668" w:type="dxa"/>
            <w:vAlign w:val="center"/>
            <w:textDirection w:val="lrTb"/>
            <w:noWrap w:val="false"/>
          </w:tcPr>
          <w:p>
            <w:pPr>
              <w:pStyle w:val="949"/>
              <w:jc w:val="center"/>
              <w:rPr>
                <w:sz w:val="24"/>
                <w:szCs w:val="24"/>
              </w:rPr>
            </w:pPr>
            <w:r>
              <w:rPr>
                <w:rFonts w:hint="eastAsia"/>
                <w:sz w:val="24"/>
                <w:szCs w:val="24"/>
              </w:rPr>
              <w:t xml:space="preserve">需包含独立传输设备</w:t>
            </w: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ZWW网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602"/>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食堂专网</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0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10M</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电话</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r>
        <w:trPr>
          <w:cantSplit/>
          <w:trHeight w:val="316"/>
        </w:trPr>
        <w:tc>
          <w:tcPr>
            <w:tcW w:w="703" w:type="dxa"/>
            <w:vAlign w:val="center"/>
            <w:vMerge w:val="continue"/>
            <w:textDirection w:val="lrTb"/>
            <w:noWrap w:val="false"/>
          </w:tcPr>
          <w:p>
            <w:pPr>
              <w:pStyle w:val="949"/>
              <w:jc w:val="center"/>
              <w:rPr>
                <w:sz w:val="24"/>
                <w:szCs w:val="24"/>
              </w:rPr>
            </w:pPr>
            <w:r>
              <w:rPr>
                <w:sz w:val="24"/>
                <w:szCs w:val="24"/>
              </w:rPr>
            </w:r>
            <w:r/>
          </w:p>
        </w:tc>
        <w:tc>
          <w:tcPr>
            <w:tcW w:w="1293" w:type="dxa"/>
            <w:vAlign w:val="center"/>
            <w:vMerge w:val="continue"/>
            <w:textDirection w:val="lrTb"/>
            <w:noWrap w:val="false"/>
          </w:tcPr>
          <w:p>
            <w:pPr>
              <w:pStyle w:val="949"/>
              <w:jc w:val="center"/>
              <w:rPr>
                <w:sz w:val="24"/>
                <w:szCs w:val="24"/>
              </w:rPr>
            </w:pPr>
            <w:r>
              <w:rPr>
                <w:sz w:val="24"/>
                <w:szCs w:val="24"/>
              </w:rPr>
            </w:r>
            <w:r/>
          </w:p>
        </w:tc>
        <w:tc>
          <w:tcPr>
            <w:tcW w:w="1557" w:type="dxa"/>
            <w:vAlign w:val="center"/>
            <w:vMerge w:val="continue"/>
            <w:textDirection w:val="lrTb"/>
            <w:noWrap w:val="false"/>
          </w:tcPr>
          <w:p>
            <w:pPr>
              <w:pStyle w:val="949"/>
              <w:jc w:val="center"/>
              <w:rPr>
                <w:sz w:val="24"/>
                <w:szCs w:val="24"/>
              </w:rPr>
            </w:pPr>
            <w:r>
              <w:rPr>
                <w:sz w:val="24"/>
                <w:szCs w:val="24"/>
              </w:rPr>
            </w:r>
            <w:r/>
          </w:p>
        </w:tc>
        <w:tc>
          <w:tcPr>
            <w:tcW w:w="1038" w:type="dxa"/>
            <w:vAlign w:val="center"/>
            <w:vMerge w:val="continue"/>
            <w:textDirection w:val="lrTb"/>
            <w:noWrap w:val="false"/>
          </w:tcPr>
          <w:p>
            <w:pPr>
              <w:pStyle w:val="949"/>
              <w:jc w:val="center"/>
              <w:rPr>
                <w:sz w:val="24"/>
                <w:szCs w:val="24"/>
              </w:rPr>
            </w:pPr>
            <w:r>
              <w:rPr>
                <w:sz w:val="24"/>
                <w:szCs w:val="24"/>
              </w:rPr>
            </w:r>
            <w:r/>
          </w:p>
        </w:tc>
        <w:tc>
          <w:tcPr>
            <w:tcW w:w="1024" w:type="dxa"/>
            <w:vAlign w:val="center"/>
            <w:textDirection w:val="lrTb"/>
            <w:noWrap w:val="false"/>
          </w:tcPr>
          <w:p>
            <w:pPr>
              <w:pStyle w:val="949"/>
              <w:jc w:val="center"/>
              <w:rPr>
                <w:sz w:val="24"/>
                <w:szCs w:val="24"/>
              </w:rPr>
            </w:pPr>
            <w:r>
              <w:rPr>
                <w:rFonts w:hint="eastAsia"/>
                <w:sz w:val="24"/>
                <w:szCs w:val="24"/>
              </w:rPr>
              <w:t xml:space="preserve">5</w:t>
            </w:r>
            <w:r>
              <w:rPr>
                <w:sz w:val="24"/>
                <w:szCs w:val="24"/>
              </w:rPr>
            </w:r>
            <w:r/>
          </w:p>
        </w:tc>
        <w:tc>
          <w:tcPr>
            <w:tcW w:w="1280" w:type="dxa"/>
            <w:vAlign w:val="center"/>
            <w:textDirection w:val="lrTb"/>
            <w:noWrap w:val="false"/>
          </w:tcPr>
          <w:p>
            <w:pPr>
              <w:pStyle w:val="949"/>
              <w:jc w:val="center"/>
              <w:rPr>
                <w:sz w:val="24"/>
                <w:szCs w:val="24"/>
              </w:rPr>
            </w:pPr>
            <w:r>
              <w:rPr>
                <w:rFonts w:hint="eastAsia"/>
                <w:sz w:val="24"/>
                <w:szCs w:val="24"/>
              </w:rPr>
              <w:t xml:space="preserve">/</w:t>
            </w:r>
            <w:r>
              <w:rPr>
                <w:sz w:val="24"/>
                <w:szCs w:val="24"/>
              </w:rPr>
            </w:r>
            <w:r/>
          </w:p>
        </w:tc>
        <w:tc>
          <w:tcPr>
            <w:tcW w:w="1013" w:type="dxa"/>
            <w:vAlign w:val="center"/>
            <w:textDirection w:val="lrTb"/>
            <w:noWrap w:val="false"/>
          </w:tcPr>
          <w:p>
            <w:pPr>
              <w:pStyle w:val="949"/>
              <w:jc w:val="center"/>
              <w:rPr>
                <w:sz w:val="24"/>
                <w:szCs w:val="24"/>
              </w:rPr>
            </w:pPr>
            <w:r>
              <w:rPr>
                <w:rFonts w:hint="eastAsia"/>
                <w:sz w:val="24"/>
                <w:szCs w:val="24"/>
              </w:rPr>
              <w:t xml:space="preserve">预留</w:t>
            </w:r>
            <w:r>
              <w:rPr>
                <w:sz w:val="24"/>
                <w:szCs w:val="24"/>
              </w:rPr>
            </w:r>
            <w:r/>
          </w:p>
        </w:tc>
        <w:tc>
          <w:tcPr>
            <w:tcW w:w="2668" w:type="dxa"/>
            <w:vAlign w:val="center"/>
            <w:textDirection w:val="lrTb"/>
            <w:noWrap w:val="false"/>
          </w:tcPr>
          <w:p>
            <w:pPr>
              <w:pStyle w:val="949"/>
              <w:jc w:val="center"/>
              <w:rPr>
                <w:sz w:val="24"/>
                <w:szCs w:val="24"/>
              </w:rPr>
            </w:pPr>
            <w:r>
              <w:rPr>
                <w:sz w:val="24"/>
                <w:szCs w:val="24"/>
              </w:rPr>
            </w:r>
            <w:r/>
          </w:p>
        </w:tc>
      </w:tr>
    </w:tbl>
    <w:p>
      <w:pPr>
        <w:pStyle w:val="949"/>
        <w:ind w:firstLine="482"/>
        <w:spacing w:line="293" w:lineRule="auto"/>
        <w:rPr>
          <w:rFonts w:hint="eastAsia" w:ascii="宋体" w:hAnsi="宋体"/>
          <w:sz w:val="24"/>
          <w:szCs w:val="24"/>
        </w:rPr>
      </w:pPr>
      <w:r>
        <w:rPr>
          <w:rFonts w:hint="eastAsia" w:ascii="宋体" w:hAnsi="宋体"/>
          <w:sz w:val="24"/>
          <w:szCs w:val="24"/>
        </w:rPr>
        <w:t xml:space="preserve">注：以上线路租赁，投标时按线路起始地址分项报价。</w:t>
      </w:r>
      <w:r/>
    </w:p>
    <w:p>
      <w:pPr>
        <w:pStyle w:val="949"/>
        <w:ind w:firstLine="482"/>
        <w:spacing w:line="293" w:lineRule="auto"/>
        <w:rPr>
          <w:rFonts w:hint="eastAsia" w:ascii="宋体" w:hAnsi="宋体" w:cs="Courier New"/>
          <w:sz w:val="24"/>
          <w:szCs w:val="24"/>
        </w:rPr>
      </w:pPr>
      <w:r>
        <w:rPr>
          <w:rFonts w:hint="eastAsia" w:ascii="宋体" w:hAnsi="宋体"/>
          <w:sz w:val="24"/>
          <w:szCs w:val="24"/>
        </w:rPr>
        <w:t xml:space="preserve">★</w:t>
      </w:r>
      <w:r>
        <w:rPr>
          <w:rFonts w:hint="eastAsia" w:ascii="宋体" w:hAnsi="宋体" w:cs="Courier New"/>
          <w:sz w:val="24"/>
          <w:szCs w:val="24"/>
        </w:rPr>
        <w:t xml:space="preserve">2.2.2.2 实施要求。合同签订后30个工作日内，根据采购人要求将线路部署到指定位置。</w:t>
      </w:r>
      <w:r>
        <w:rPr>
          <w:rFonts w:hint="eastAsia" w:ascii="宋体" w:hAnsi="宋体" w:cs="宋体"/>
          <w:bCs/>
          <w:iCs/>
          <w:sz w:val="24"/>
          <w:szCs w:val="24"/>
        </w:rPr>
        <w:t xml:space="preserve">实施期间涉及的网络割接、设备搬迁、</w:t>
      </w:r>
      <w:r>
        <w:rPr>
          <w:rFonts w:hint="eastAsia" w:ascii="宋体" w:hAnsi="宋体" w:cs="Courier New"/>
          <w:sz w:val="24"/>
          <w:szCs w:val="24"/>
        </w:rPr>
        <w:t xml:space="preserve">线路延伸等费用由供应商负责。针对光传输设备，须提供配套的网络管理平台等服务，</w:t>
      </w:r>
      <w:r>
        <w:rPr>
          <w:rFonts w:ascii="宋体" w:hAnsi="宋体" w:cs="Courier New"/>
          <w:sz w:val="24"/>
          <w:szCs w:val="24"/>
        </w:rPr>
        <w:t xml:space="preserve">满足</w:t>
      </w:r>
      <w:r>
        <w:rPr>
          <w:rFonts w:hint="eastAsia" w:ascii="宋体" w:hAnsi="宋体" w:cs="Courier New"/>
          <w:sz w:val="24"/>
          <w:szCs w:val="24"/>
        </w:rPr>
        <w:t xml:space="preserve">采购人多种业务网络动态开通</w:t>
      </w:r>
      <w:r>
        <w:rPr>
          <w:rFonts w:ascii="宋体" w:hAnsi="宋体" w:cs="Courier New"/>
          <w:sz w:val="24"/>
          <w:szCs w:val="24"/>
        </w:rPr>
        <w:t xml:space="preserve">需求</w:t>
      </w:r>
      <w:r>
        <w:rPr>
          <w:rFonts w:hint="eastAsia" w:ascii="宋体" w:hAnsi="宋体" w:cs="Courier New"/>
          <w:sz w:val="24"/>
          <w:szCs w:val="24"/>
        </w:rPr>
        <w:t xml:space="preserve">。</w:t>
      </w:r>
      <w:r/>
    </w:p>
    <w:p>
      <w:pPr>
        <w:pStyle w:val="949"/>
        <w:ind w:firstLine="482"/>
        <w:spacing w:line="293" w:lineRule="auto"/>
        <w:rPr>
          <w:rFonts w:hint="eastAsia" w:ascii="宋体" w:hAnsi="宋体" w:cs="Courier New"/>
          <w:sz w:val="24"/>
          <w:szCs w:val="24"/>
        </w:rPr>
      </w:pPr>
      <w:r>
        <w:rPr>
          <w:rFonts w:hint="eastAsia" w:ascii="宋体" w:hAnsi="宋体" w:cs="Courier New"/>
          <w:sz w:val="24"/>
          <w:szCs w:val="24"/>
        </w:rPr>
        <w:t xml:space="preserve">▲2.2.2.3 技术支持要求。服务期内能根据采购人要求，提供网络技术支持，包括但不限于网络调整、系统优化、配置调试等。</w:t>
      </w:r>
      <w:r/>
    </w:p>
    <w:p>
      <w:pPr>
        <w:pStyle w:val="949"/>
        <w:ind w:firstLine="482"/>
        <w:spacing w:line="293" w:lineRule="auto"/>
        <w:rPr>
          <w:rFonts w:hint="eastAsia" w:ascii="宋体" w:hAnsi="宋体" w:cs="Courier New"/>
          <w:b/>
          <w:bCs/>
          <w:sz w:val="24"/>
          <w:szCs w:val="24"/>
        </w:rPr>
      </w:pPr>
      <w:r>
        <w:rPr>
          <w:rFonts w:hint="eastAsia" w:ascii="宋体" w:hAnsi="宋体" w:cs="Courier New"/>
          <w:b/>
          <w:bCs/>
          <w:sz w:val="24"/>
          <w:szCs w:val="24"/>
        </w:rPr>
        <w:t xml:space="preserve">2.2.3 互联网线路部分</w:t>
      </w:r>
      <w:r/>
    </w:p>
    <w:p>
      <w:pPr>
        <w:pStyle w:val="949"/>
        <w:ind w:firstLine="482"/>
        <w:spacing w:line="293" w:lineRule="auto"/>
        <w:rPr>
          <w:rFonts w:hint="eastAsia" w:ascii="宋体" w:hAnsi="宋体" w:cs="Courier New"/>
          <w:i/>
          <w:iCs/>
          <w:sz w:val="24"/>
          <w:szCs w:val="24"/>
          <w:u w:val="single"/>
        </w:rPr>
      </w:pPr>
      <w:r>
        <w:rPr>
          <w:rFonts w:hint="eastAsia" w:ascii="宋体" w:hAnsi="宋体" w:cs="Courier New"/>
          <w:i/>
          <w:iCs/>
          <w:sz w:val="24"/>
          <w:szCs w:val="24"/>
          <w:u w:val="single"/>
        </w:rPr>
        <w:t xml:space="preserve">2.2.3.1 基础要求。提供7条互联网专线、3条互联网拨号宽带租赁服务，根据实际情况满足厅机关各办公地点互联网接入需求。（包括公网IP地址等）</w:t>
      </w:r>
      <w:r/>
    </w:p>
    <w:tbl>
      <w:tblPr>
        <w:tblW w:w="93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468"/>
        <w:gridCol w:w="696"/>
        <w:gridCol w:w="1221"/>
        <w:gridCol w:w="2111"/>
        <w:gridCol w:w="2860"/>
      </w:tblGrid>
      <w:tr>
        <w:trPr>
          <w:trHeight w:val="454"/>
        </w:trPr>
        <w:tc>
          <w:tcPr>
            <w:tcW w:w="957"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序号</w:t>
            </w:r>
            <w:r>
              <w:rPr>
                <w:rFonts w:eastAsia="方正小标宋_GBK"/>
                <w:sz w:val="24"/>
                <w:szCs w:val="24"/>
              </w:rPr>
            </w:r>
            <w:r/>
          </w:p>
        </w:tc>
        <w:tc>
          <w:tcPr>
            <w:tcW w:w="1468"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类型</w:t>
            </w:r>
            <w:r>
              <w:rPr>
                <w:rFonts w:eastAsia="方正小标宋_GBK"/>
                <w:sz w:val="24"/>
                <w:szCs w:val="24"/>
              </w:rPr>
            </w:r>
            <w:r/>
          </w:p>
        </w:tc>
        <w:tc>
          <w:tcPr>
            <w:tcW w:w="696"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数量</w:t>
            </w:r>
            <w:r>
              <w:rPr>
                <w:rFonts w:eastAsia="方正小标宋_GBK"/>
                <w:sz w:val="24"/>
                <w:szCs w:val="24"/>
              </w:rPr>
            </w:r>
            <w:r/>
          </w:p>
        </w:tc>
        <w:tc>
          <w:tcPr>
            <w:tcW w:w="1221"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接入带宽</w:t>
            </w:r>
            <w:r>
              <w:rPr>
                <w:rFonts w:eastAsia="方正小标宋_GBK"/>
                <w:sz w:val="24"/>
                <w:szCs w:val="24"/>
              </w:rPr>
            </w:r>
            <w:r/>
          </w:p>
        </w:tc>
        <w:tc>
          <w:tcPr>
            <w:tcW w:w="2111"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安装地址</w:t>
            </w:r>
            <w:r>
              <w:rPr>
                <w:rFonts w:eastAsia="方正小标宋_GBK"/>
                <w:sz w:val="24"/>
                <w:szCs w:val="24"/>
              </w:rPr>
            </w:r>
            <w:r/>
          </w:p>
        </w:tc>
        <w:tc>
          <w:tcPr>
            <w:tcW w:w="2860" w:type="dxa"/>
            <w:vAlign w:val="center"/>
            <w:textDirection w:val="lrTb"/>
            <w:noWrap w:val="false"/>
          </w:tcPr>
          <w:p>
            <w:pPr>
              <w:pStyle w:val="949"/>
              <w:jc w:val="center"/>
              <w:rPr>
                <w:rFonts w:eastAsia="方正小标宋_GBK"/>
                <w:sz w:val="24"/>
                <w:szCs w:val="24"/>
              </w:rPr>
            </w:pPr>
            <w:r>
              <w:rPr>
                <w:rFonts w:hint="eastAsia" w:eastAsia="方正小标宋_GBK"/>
                <w:sz w:val="24"/>
                <w:szCs w:val="24"/>
              </w:rPr>
              <w:t xml:space="preserve">备注</w:t>
            </w:r>
            <w:r>
              <w:rPr>
                <w:rFonts w:eastAsia="方正小标宋_GBK"/>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1</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2111" w:type="dxa"/>
            <w:vAlign w:val="center"/>
            <w:textDirection w:val="lrTb"/>
            <w:noWrap w:val="false"/>
          </w:tcPr>
          <w:p>
            <w:pPr>
              <w:pStyle w:val="949"/>
              <w:jc w:val="center"/>
              <w:rPr>
                <w:sz w:val="24"/>
                <w:szCs w:val="24"/>
              </w:rPr>
            </w:pPr>
            <w:r>
              <w:rPr>
                <w:sz w:val="24"/>
                <w:szCs w:val="24"/>
              </w:rPr>
              <w:t xml:space="preserve">扬州路1号</w:t>
            </w:r>
            <w:r/>
          </w:p>
        </w:tc>
        <w:tc>
          <w:tcPr>
            <w:tcW w:w="2860" w:type="dxa"/>
            <w:vAlign w:val="center"/>
            <w:textDirection w:val="lrTb"/>
            <w:noWrap w:val="false"/>
          </w:tcPr>
          <w:p>
            <w:pPr>
              <w:pStyle w:val="949"/>
              <w:jc w:val="center"/>
              <w:rPr>
                <w:sz w:val="24"/>
                <w:szCs w:val="24"/>
              </w:rPr>
            </w:pPr>
            <w:r>
              <w:rPr>
                <w:sz w:val="24"/>
                <w:szCs w:val="24"/>
              </w:rPr>
              <w:t xml:space="preserve">提供2路线路做负载</w:t>
            </w:r>
            <w:r>
              <w:rPr>
                <w:rFonts w:hint="eastAsia"/>
                <w:sz w:val="24"/>
                <w:szCs w:val="24"/>
              </w:rPr>
              <w:t xml:space="preserve">，保持现有公网IP地址不变</w:t>
            </w: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2</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2111" w:type="dxa"/>
            <w:vAlign w:val="center"/>
            <w:textDirection w:val="lrTb"/>
            <w:noWrap w:val="false"/>
          </w:tcPr>
          <w:p>
            <w:pPr>
              <w:pStyle w:val="949"/>
              <w:jc w:val="center"/>
              <w:rPr>
                <w:sz w:val="24"/>
                <w:szCs w:val="24"/>
              </w:rPr>
            </w:pPr>
            <w:r>
              <w:rPr>
                <w:rFonts w:hint="eastAsia"/>
                <w:sz w:val="24"/>
                <w:szCs w:val="24"/>
              </w:rPr>
              <w:t xml:space="preserve">金盾饭店</w:t>
            </w:r>
            <w:r>
              <w:rPr>
                <w:sz w:val="24"/>
                <w:szCs w:val="24"/>
              </w:rPr>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3</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2111" w:type="dxa"/>
            <w:vAlign w:val="center"/>
            <w:textDirection w:val="lrTb"/>
            <w:noWrap w:val="false"/>
          </w:tcPr>
          <w:p>
            <w:pPr>
              <w:pStyle w:val="949"/>
              <w:jc w:val="center"/>
              <w:rPr>
                <w:sz w:val="24"/>
                <w:szCs w:val="24"/>
              </w:rPr>
            </w:pPr>
            <w:r>
              <w:rPr>
                <w:rFonts w:hint="eastAsia"/>
                <w:sz w:val="24"/>
                <w:szCs w:val="24"/>
              </w:rPr>
              <w:t xml:space="preserve">小行路16号</w:t>
            </w:r>
            <w:r>
              <w:rPr>
                <w:sz w:val="24"/>
                <w:szCs w:val="24"/>
              </w:rPr>
            </w:r>
            <w:r/>
          </w:p>
        </w:tc>
        <w:tc>
          <w:tcPr>
            <w:tcW w:w="2860" w:type="dxa"/>
            <w:vAlign w:val="center"/>
            <w:textDirection w:val="lrTb"/>
            <w:noWrap w:val="false"/>
          </w:tcPr>
          <w:p>
            <w:pPr>
              <w:pStyle w:val="949"/>
              <w:jc w:val="center"/>
              <w:rPr>
                <w:sz w:val="24"/>
                <w:szCs w:val="24"/>
              </w:rPr>
            </w:pPr>
            <w:r>
              <w:rPr>
                <w:sz w:val="24"/>
                <w:szCs w:val="24"/>
              </w:rPr>
            </w:r>
            <w:r/>
          </w:p>
        </w:tc>
      </w:tr>
      <w:tr>
        <w:trPr>
          <w:trHeight w:val="665"/>
        </w:trPr>
        <w:tc>
          <w:tcPr>
            <w:tcW w:w="957" w:type="dxa"/>
            <w:vAlign w:val="center"/>
            <w:textDirection w:val="lrTb"/>
            <w:noWrap w:val="false"/>
          </w:tcPr>
          <w:p>
            <w:pPr>
              <w:pStyle w:val="949"/>
              <w:jc w:val="center"/>
              <w:rPr>
                <w:sz w:val="24"/>
                <w:szCs w:val="24"/>
              </w:rPr>
            </w:pPr>
            <w:r>
              <w:rPr>
                <w:rFonts w:hint="eastAsia"/>
                <w:sz w:val="24"/>
                <w:szCs w:val="24"/>
              </w:rPr>
              <w:t xml:space="preserve">4</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50</w:t>
            </w:r>
            <w:r>
              <w:rPr>
                <w:sz w:val="24"/>
                <w:szCs w:val="24"/>
              </w:rPr>
              <w:t xml:space="preserve">0</w:t>
            </w:r>
            <w:r>
              <w:rPr>
                <w:rFonts w:hint="eastAsia"/>
                <w:sz w:val="24"/>
                <w:szCs w:val="24"/>
              </w:rPr>
              <w:t xml:space="preserve">M</w:t>
            </w:r>
            <w:r>
              <w:rPr>
                <w:sz w:val="24"/>
                <w:szCs w:val="24"/>
              </w:rPr>
            </w:r>
            <w:r/>
          </w:p>
        </w:tc>
        <w:tc>
          <w:tcPr>
            <w:tcW w:w="2111" w:type="dxa"/>
            <w:vAlign w:val="center"/>
            <w:textDirection w:val="lrTb"/>
            <w:noWrap w:val="false"/>
          </w:tcPr>
          <w:p>
            <w:pPr>
              <w:pStyle w:val="949"/>
              <w:jc w:val="center"/>
              <w:rPr>
                <w:sz w:val="24"/>
                <w:szCs w:val="24"/>
              </w:rPr>
            </w:pPr>
            <w:r>
              <w:rPr>
                <w:rFonts w:hint="eastAsia"/>
                <w:sz w:val="24"/>
                <w:szCs w:val="24"/>
              </w:rPr>
              <w:t xml:space="preserve">伊刘村1号</w:t>
            </w:r>
            <w:r>
              <w:rPr>
                <w:sz w:val="24"/>
                <w:szCs w:val="24"/>
              </w:rPr>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5</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500M</w:t>
            </w:r>
            <w:r>
              <w:rPr>
                <w:sz w:val="24"/>
                <w:szCs w:val="24"/>
              </w:rPr>
            </w:r>
            <w:r/>
          </w:p>
        </w:tc>
        <w:tc>
          <w:tcPr>
            <w:tcW w:w="2111" w:type="dxa"/>
            <w:vAlign w:val="center"/>
            <w:textDirection w:val="lrTb"/>
            <w:noWrap w:val="false"/>
          </w:tcPr>
          <w:p>
            <w:pPr>
              <w:pStyle w:val="949"/>
              <w:jc w:val="center"/>
              <w:rPr>
                <w:sz w:val="24"/>
                <w:szCs w:val="24"/>
              </w:rPr>
            </w:pPr>
            <w:r>
              <w:rPr>
                <w:sz w:val="24"/>
                <w:szCs w:val="24"/>
              </w:rPr>
              <w:t xml:space="preserve">湛江路86号</w:t>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6</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500M</w:t>
            </w:r>
            <w:r>
              <w:rPr>
                <w:sz w:val="24"/>
                <w:szCs w:val="24"/>
              </w:rPr>
            </w:r>
            <w:r/>
          </w:p>
        </w:tc>
        <w:tc>
          <w:tcPr>
            <w:tcW w:w="2111" w:type="dxa"/>
            <w:vAlign w:val="center"/>
            <w:textDirection w:val="lrTb"/>
            <w:noWrap w:val="false"/>
          </w:tcPr>
          <w:p>
            <w:pPr>
              <w:pStyle w:val="949"/>
              <w:jc w:val="center"/>
              <w:rPr>
                <w:sz w:val="24"/>
                <w:szCs w:val="24"/>
              </w:rPr>
            </w:pPr>
            <w:r>
              <w:rPr>
                <w:sz w:val="24"/>
                <w:szCs w:val="24"/>
              </w:rPr>
              <w:t xml:space="preserve">仙林大道8号</w:t>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7</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互联网专线</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500M</w:t>
            </w:r>
            <w:r>
              <w:rPr>
                <w:sz w:val="24"/>
                <w:szCs w:val="24"/>
              </w:rPr>
            </w:r>
            <w:r/>
          </w:p>
        </w:tc>
        <w:tc>
          <w:tcPr>
            <w:tcW w:w="2111" w:type="dxa"/>
            <w:vAlign w:val="center"/>
            <w:textDirection w:val="lrTb"/>
            <w:noWrap w:val="false"/>
          </w:tcPr>
          <w:p>
            <w:pPr>
              <w:pStyle w:val="949"/>
              <w:jc w:val="center"/>
              <w:rPr>
                <w:sz w:val="24"/>
                <w:szCs w:val="24"/>
              </w:rPr>
            </w:pPr>
            <w:r>
              <w:rPr>
                <w:rFonts w:hint="eastAsia"/>
                <w:sz w:val="24"/>
                <w:szCs w:val="24"/>
              </w:rPr>
              <w:t xml:space="preserve">英雄岭路1号</w:t>
            </w:r>
            <w:r>
              <w:rPr>
                <w:sz w:val="24"/>
                <w:szCs w:val="24"/>
              </w:rPr>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8</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拨号宽带</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2条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2111" w:type="dxa"/>
            <w:vAlign w:val="center"/>
            <w:textDirection w:val="lrTb"/>
            <w:noWrap w:val="false"/>
          </w:tcPr>
          <w:p>
            <w:pPr>
              <w:pStyle w:val="949"/>
              <w:jc w:val="center"/>
              <w:rPr>
                <w:sz w:val="24"/>
                <w:szCs w:val="24"/>
              </w:rPr>
            </w:pPr>
            <w:r>
              <w:rPr>
                <w:sz w:val="24"/>
                <w:szCs w:val="24"/>
              </w:rPr>
              <w:t xml:space="preserve">共青团路80号</w:t>
            </w:r>
            <w:r/>
          </w:p>
        </w:tc>
        <w:tc>
          <w:tcPr>
            <w:tcW w:w="2860" w:type="dxa"/>
            <w:vAlign w:val="center"/>
            <w:textDirection w:val="lrTb"/>
            <w:noWrap w:val="false"/>
          </w:tcPr>
          <w:p>
            <w:pPr>
              <w:pStyle w:val="949"/>
              <w:jc w:val="center"/>
              <w:rPr>
                <w:sz w:val="24"/>
                <w:szCs w:val="24"/>
              </w:rPr>
            </w:pPr>
            <w:r>
              <w:rPr>
                <w:sz w:val="24"/>
                <w:szCs w:val="24"/>
              </w:rPr>
            </w:r>
            <w:r/>
          </w:p>
        </w:tc>
      </w:tr>
      <w:tr>
        <w:trPr>
          <w:trHeight w:val="454"/>
        </w:trPr>
        <w:tc>
          <w:tcPr>
            <w:tcW w:w="957" w:type="dxa"/>
            <w:vAlign w:val="center"/>
            <w:textDirection w:val="lrTb"/>
            <w:noWrap w:val="false"/>
          </w:tcPr>
          <w:p>
            <w:pPr>
              <w:pStyle w:val="949"/>
              <w:jc w:val="center"/>
              <w:rPr>
                <w:sz w:val="24"/>
                <w:szCs w:val="24"/>
              </w:rPr>
            </w:pPr>
            <w:r>
              <w:rPr>
                <w:rFonts w:hint="eastAsia"/>
                <w:sz w:val="24"/>
                <w:szCs w:val="24"/>
              </w:rPr>
              <w:t xml:space="preserve">9</w:t>
            </w:r>
            <w:r>
              <w:rPr>
                <w:sz w:val="24"/>
                <w:szCs w:val="24"/>
              </w:rPr>
            </w:r>
            <w:r/>
          </w:p>
        </w:tc>
        <w:tc>
          <w:tcPr>
            <w:tcW w:w="1468" w:type="dxa"/>
            <w:vAlign w:val="center"/>
            <w:textDirection w:val="lrTb"/>
            <w:noWrap w:val="false"/>
          </w:tcPr>
          <w:p>
            <w:pPr>
              <w:pStyle w:val="949"/>
              <w:jc w:val="center"/>
              <w:rPr>
                <w:sz w:val="24"/>
                <w:szCs w:val="24"/>
              </w:rPr>
            </w:pPr>
            <w:r>
              <w:rPr>
                <w:rFonts w:hint="eastAsia"/>
                <w:sz w:val="24"/>
                <w:szCs w:val="24"/>
              </w:rPr>
              <w:t xml:space="preserve">拨号宽带</w:t>
            </w:r>
            <w:r>
              <w:rPr>
                <w:sz w:val="24"/>
                <w:szCs w:val="24"/>
              </w:rPr>
            </w:r>
            <w:r/>
          </w:p>
        </w:tc>
        <w:tc>
          <w:tcPr>
            <w:tcW w:w="696" w:type="dxa"/>
            <w:vAlign w:val="center"/>
            <w:textDirection w:val="lrTb"/>
            <w:noWrap w:val="false"/>
          </w:tcPr>
          <w:p>
            <w:pPr>
              <w:pStyle w:val="949"/>
              <w:jc w:val="center"/>
              <w:rPr>
                <w:sz w:val="24"/>
                <w:szCs w:val="24"/>
              </w:rPr>
            </w:pPr>
            <w:r>
              <w:rPr>
                <w:rFonts w:hint="eastAsia"/>
                <w:sz w:val="24"/>
                <w:szCs w:val="24"/>
              </w:rPr>
              <w:t xml:space="preserve">1条</w:t>
            </w:r>
            <w:r>
              <w:rPr>
                <w:sz w:val="24"/>
                <w:szCs w:val="24"/>
              </w:rPr>
            </w:r>
            <w:r/>
          </w:p>
        </w:tc>
        <w:tc>
          <w:tcPr>
            <w:tcW w:w="1221" w:type="dxa"/>
            <w:vAlign w:val="center"/>
            <w:textDirection w:val="lrTb"/>
            <w:noWrap w:val="false"/>
          </w:tcPr>
          <w:p>
            <w:pPr>
              <w:pStyle w:val="949"/>
              <w:jc w:val="center"/>
              <w:rPr>
                <w:sz w:val="24"/>
                <w:szCs w:val="24"/>
              </w:rPr>
            </w:pPr>
            <w:r>
              <w:rPr>
                <w:rFonts w:hint="eastAsia"/>
                <w:sz w:val="24"/>
                <w:szCs w:val="24"/>
              </w:rPr>
              <w:t xml:space="preserve">1000M</w:t>
            </w:r>
            <w:r>
              <w:rPr>
                <w:sz w:val="24"/>
                <w:szCs w:val="24"/>
              </w:rPr>
            </w:r>
            <w:r/>
          </w:p>
        </w:tc>
        <w:tc>
          <w:tcPr>
            <w:tcW w:w="2111" w:type="dxa"/>
            <w:vAlign w:val="center"/>
            <w:textDirection w:val="lrTb"/>
            <w:noWrap w:val="false"/>
          </w:tcPr>
          <w:p>
            <w:pPr>
              <w:pStyle w:val="949"/>
              <w:jc w:val="center"/>
              <w:rPr>
                <w:sz w:val="24"/>
                <w:szCs w:val="24"/>
              </w:rPr>
            </w:pPr>
            <w:r>
              <w:rPr>
                <w:sz w:val="24"/>
                <w:szCs w:val="24"/>
              </w:rPr>
              <w:t xml:space="preserve">北京西路41号</w:t>
            </w:r>
            <w:r/>
          </w:p>
        </w:tc>
        <w:tc>
          <w:tcPr>
            <w:tcW w:w="2860" w:type="dxa"/>
            <w:vAlign w:val="center"/>
            <w:textDirection w:val="lrTb"/>
            <w:noWrap w:val="false"/>
          </w:tcPr>
          <w:p>
            <w:pPr>
              <w:pStyle w:val="949"/>
              <w:jc w:val="center"/>
              <w:rPr>
                <w:sz w:val="24"/>
                <w:szCs w:val="24"/>
              </w:rPr>
            </w:pPr>
            <w:r>
              <w:rPr>
                <w:sz w:val="24"/>
                <w:szCs w:val="24"/>
              </w:rPr>
            </w:r>
            <w:r/>
          </w:p>
        </w:tc>
      </w:tr>
    </w:tbl>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注：以上线路租赁，投标时按线路类型及带宽大小分项报价。</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★2.2.3.2 实施要求。合同签订后30个工作日内，根据采购人要求将线路部署到指定位置。</w:t>
      </w:r>
      <w:r>
        <w:rPr>
          <w:rFonts w:hint="eastAsia" w:ascii="宋体" w:hAnsi="宋体" w:cs="宋体"/>
          <w:bCs/>
          <w:iCs/>
          <w:sz w:val="24"/>
          <w:szCs w:val="24"/>
        </w:rPr>
        <w:t xml:space="preserve">实施期间涉及的网络割接、设备搬迁、</w:t>
      </w:r>
      <w:r>
        <w:rPr>
          <w:rFonts w:hint="eastAsia" w:ascii="宋体" w:hAnsi="宋体" w:cs="宋体"/>
          <w:sz w:val="24"/>
          <w:szCs w:val="24"/>
        </w:rPr>
        <w:t xml:space="preserve">线路延伸等费用由供应商负责。</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▲2.2.3.3 技术支持要求。服务期内能根据采购人要求，提供网络技术支持，包括但不限于网络调整、系统优化、配置调试等。</w:t>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2.2.4 网络综合管理系统服务部分</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★2.2.4.1 基础要求。服务期内，对全省公安二级主干网及网内节点设备提供综合管理系统服务，包括但不限于网络系统设施资源管理、运行监测、流量分析、性能管理、故障告警、策略配置、地址管理等基础服务，以及网络拓扑、告警信息等可视化展示分析服务，实现对二级主干传输网、公安网YH域、公安网SJ域、TX网等网络监控管理，并按要求每月提供网络运行质量分析报告。</w:t>
      </w:r>
      <w:r/>
    </w:p>
    <w:p>
      <w:pPr>
        <w:pStyle w:val="949"/>
        <w:ind w:firstLine="482"/>
        <w:spacing w:line="293" w:lineRule="auto"/>
        <w:rPr>
          <w:rFonts w:hint="eastAsia" w:ascii="宋体" w:hAnsi="宋体" w:cs="宋体"/>
          <w:i/>
          <w:iCs/>
          <w:sz w:val="24"/>
          <w:szCs w:val="24"/>
          <w:u w:val="single"/>
        </w:rPr>
      </w:pPr>
      <w:r>
        <w:rPr>
          <w:rFonts w:hint="eastAsia" w:ascii="宋体" w:hAnsi="宋体" w:cs="宋体"/>
          <w:i/>
          <w:iCs/>
          <w:sz w:val="24"/>
          <w:szCs w:val="24"/>
          <w:u w:val="single"/>
        </w:rPr>
        <w:t xml:space="preserve">2.2.4.2 对接要求。须与公安部现有网络管理系统完成数据对接，能够接入并联动现有流量采集分析设备。 </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▲2.2.4.3 资源管理要求。具备对网络设备、链路、AS号、配置信息等网络资源全生命周期和业务流程全过程的管理能力。根据采购人要求，实现数据动态更新。支持通过手工录入、批量导入、数据采集等方式获取网络设备基础信息，包括设备标识码、设备名称、SN号、设备类型、归属单位、责任人、首次入网时间、软硬件版本信息、在用状态、硬件配置信息、配置基线等。支持网络设备的采购、入库、上架、入网、维修、退网、下架和报废等状态管理。</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2.2.4.4模型管理要求。建立网络设备资产关系的模型管理，维护设备和设备组件之间的关联、连接或依赖关系。支持采集网络设备的运行指标、日志、配置、关联关系等信息，对网络设备资产的在网运行状态进行监测，并对配置进行备份、查询。</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▲2.2.4.5 网络拓扑管理要求。基于网络资源数据提供网络拓扑服务，实现网络资源和态势综合展示，形成物理拓扑和逻辑拓扑。支持从不同的层面实现网络管理对象、数据和业务的综合展示。支持网络拓扑的自动发现和动态更新。支持网络拓扑信息的手工编辑；支持网络拓扑和资源数据的联动。支持分层展示和拓扑下钻能力。支持网络运行状态展示，具备设备资源状态、告警、网络性能、链路流量等指标的呈现。支持查看网络设备和链路详情。</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2.2.4.6可视化分析要求。提供定制大屏展示功能，包括网络资源使用率、关键指标、告警等实时真实数据。支持全景可视化，能以图形化方式呈现资源、拓扑、态势、统计报表等；支持展现形式多样化，包括基础资源概况、关键告警信息、应用流量信息、网络流量信息等；支持展示内容灵活定制，能自定义窗口数量及内容、指标数据范围、展示方式等；支持矢量化拓扑，能实现多级展示和逐层钻取。</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★2.2.4.7 </w:t>
      </w:r>
      <w:bookmarkStart w:id="183" w:name="OLE_LINK13"/>
      <w:r>
        <w:rPr>
          <w:rFonts w:hint="eastAsia" w:ascii="宋体" w:hAnsi="宋体" w:cs="宋体"/>
          <w:sz w:val="24"/>
          <w:szCs w:val="24"/>
        </w:rPr>
        <w:t xml:space="preserve">态势感知</w:t>
      </w:r>
      <w:bookmarkEnd w:id="183"/>
      <w:r>
        <w:rPr>
          <w:rFonts w:hint="eastAsia" w:ascii="宋体" w:hAnsi="宋体" w:cs="宋体"/>
          <w:sz w:val="24"/>
          <w:szCs w:val="24"/>
        </w:rPr>
        <w:t xml:space="preserve">要求。对全部网络资源运行和使用情况进行监测、记录，综合分析网络运行情况，基于历史流量数据给出网络资源使用情况的</w:t>
      </w:r>
      <w:r>
        <w:rPr>
          <w:rFonts w:hint="eastAsia" w:ascii="宋体" w:hAnsi="宋体" w:cs="宋体"/>
          <w:sz w:val="24"/>
          <w:szCs w:val="24"/>
        </w:rPr>
        <w:t xml:space="preserve">趋势预测，支持对网络设备告警等信息统一收集处理。支持基于网络设备、链路的告警、性能、质量等关键指标进行网络综合分析，展现网络当前状态。支持区域质量分析，实时感知网络服务状态，分级分区域分析网络质量，通过网络时延和丢包率等指标，感知指定区域的网络质量，发现网络服务质量较差区域。支持指定网络路径的质量分析，可沿路径溯源关键网络设备和链路的质量，逐段分析网络质量劣化指标。支持网络流量预测，基于端口流量和链路带宽利用率历史数据，构建预测模型，预测设备端口的流量及链路带宽利用率的变化趋势。支持网络异常检测和隐患分析。</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2.2.4.8告警管理要求。告警内容以标准化格式展示。支持以自定义规则对告警进行去重、过滤、关联、检索等操作。支持告警实时展示和分级分类统计展示。支持对告警进行人工或自动操作处理，记录处理全过程并生成审计日志。对接采购人指定短信平台，实现短信自动告警。</w:t>
      </w:r>
      <w:r/>
    </w:p>
    <w:p>
      <w:pPr>
        <w:pStyle w:val="949"/>
        <w:ind w:firstLine="482"/>
        <w:spacing w:line="293" w:lineRule="auto"/>
        <w:rPr>
          <w:rFonts w:hint="eastAsia" w:ascii="宋体" w:hAnsi="宋体" w:cs="宋体"/>
          <w:sz w:val="24"/>
          <w:szCs w:val="24"/>
        </w:rPr>
      </w:pPr>
      <w:r/>
      <w:bookmarkStart w:id="184" w:name="OLE_LINK27"/>
      <w:r>
        <w:rPr>
          <w:rFonts w:hint="eastAsia" w:ascii="宋体" w:hAnsi="宋体" w:cs="宋体"/>
          <w:sz w:val="24"/>
          <w:szCs w:val="24"/>
        </w:rPr>
        <w:t xml:space="preserve">★</w:t>
      </w:r>
      <w:bookmarkStart w:id="185" w:name="_Hlk219846823"/>
      <w:r>
        <w:rPr>
          <w:rFonts w:hint="eastAsia" w:ascii="宋体" w:hAnsi="宋体" w:cs="宋体"/>
          <w:sz w:val="24"/>
          <w:szCs w:val="24"/>
        </w:rPr>
        <w:t xml:space="preserve">2.2.4.9</w:t>
      </w:r>
      <w:bookmarkEnd w:id="185"/>
      <w:r>
        <w:rPr>
          <w:rFonts w:hint="eastAsia" w:ascii="宋体" w:hAnsi="宋体" w:cs="宋体"/>
          <w:sz w:val="24"/>
          <w:szCs w:val="24"/>
        </w:rPr>
        <w:t xml:space="preserve"> 服务要求：提供原厂商交付安装，协助采购人梳理现有网络设备信息，完成公安网YH域、公安网SJ域、TX网及网内相关核心设备全部纳管（不少于600个设备授权），并完成相应设备信息录入、网络拓扑在线绘制等。能根据采购人需求，基于系统功能模块及管理数据对网络基础信息进行分析整理。能根据采购人提供的安装部署环境对系统进行适配改造。在重大网络故障处理、网络割接调整等情形中，能根据采购人要求协调原厂商工程师到现场进行技术支持服务。（</w:t>
      </w:r>
      <w:bookmarkStart w:id="186" w:name="OLE_LINK35"/>
      <w:r>
        <w:rPr>
          <w:rFonts w:hint="eastAsia" w:ascii="宋体" w:hAnsi="宋体" w:cs="宋体"/>
          <w:sz w:val="24"/>
          <w:szCs w:val="24"/>
        </w:rPr>
        <w:t xml:space="preserve">投标时</w:t>
      </w:r>
      <w:bookmarkStart w:id="187" w:name="OLE_LINK25"/>
      <w:r>
        <w:rPr>
          <w:rFonts w:hint="eastAsia" w:ascii="宋体" w:hAnsi="宋体" w:cs="宋体"/>
          <w:sz w:val="24"/>
          <w:szCs w:val="24"/>
        </w:rPr>
        <w:t xml:space="preserve">提供书面承诺并加盖投标人公章</w:t>
      </w:r>
      <w:bookmarkEnd w:id="186"/>
      <w:r/>
      <w:bookmarkEnd w:id="187"/>
      <w:r>
        <w:rPr>
          <w:rFonts w:hint="eastAsia" w:ascii="宋体" w:hAnsi="宋体" w:cs="宋体"/>
          <w:sz w:val="24"/>
          <w:szCs w:val="24"/>
        </w:rPr>
        <w:t xml:space="preserve">）</w:t>
      </w:r>
      <w:r/>
    </w:p>
    <w:p>
      <w:pPr>
        <w:pStyle w:val="949"/>
        <w:ind w:firstLine="482"/>
        <w:spacing w:line="293" w:lineRule="auto"/>
        <w:rPr>
          <w:rFonts w:hint="eastAsia" w:ascii="宋体" w:hAnsi="宋体" w:cs="宋体"/>
          <w:sz w:val="24"/>
          <w:szCs w:val="24"/>
        </w:rPr>
      </w:pPr>
      <w:r/>
      <w:bookmarkEnd w:id="184"/>
      <w:r>
        <w:rPr>
          <w:rFonts w:hint="eastAsia" w:ascii="宋体" w:hAnsi="宋体" w:cs="宋体"/>
          <w:sz w:val="24"/>
          <w:szCs w:val="24"/>
        </w:rPr>
        <w:t xml:space="preserve">▲2.2.4.10 技术要求。网管平台需通过网络安全等级保护三级标准测评，服务期内一年测评一次，由中标供应商承担测评费用。服务期内，能够提供原厂商软件升级、补丁修复和安全加固。每月进行1次重要数据（如配置文件、业务数据）的备份。能根据公安部网络建设管理新要求，免费升级相应功能。支持SNMP、Syslog等主流协议，确保能接入不同硬件厂商的设备。</w:t>
      </w:r>
      <w:r/>
    </w:p>
    <w:p>
      <w:pPr>
        <w:pStyle w:val="949"/>
        <w:ind w:firstLine="482"/>
        <w:spacing w:line="293" w:lineRule="auto"/>
        <w:rPr>
          <w:rFonts w:hint="eastAsia" w:ascii="宋体" w:hAnsi="宋体" w:cs="宋体"/>
          <w:sz w:val="24"/>
          <w:szCs w:val="24"/>
        </w:rPr>
      </w:pPr>
      <w:r/>
      <w:bookmarkStart w:id="188" w:name="OLE_LINK15"/>
      <w:r/>
      <w:bookmarkStart w:id="189" w:name="OLE_LINK14"/>
      <w:r>
        <w:rPr>
          <w:rFonts w:hint="eastAsia" w:ascii="宋体" w:hAnsi="宋体" w:cs="宋体"/>
          <w:sz w:val="24"/>
          <w:szCs w:val="24"/>
        </w:rPr>
        <w:t xml:space="preserve">▲2.2.4.11 </w:t>
      </w:r>
      <w:bookmarkEnd w:id="188"/>
      <w:r>
        <w:rPr>
          <w:rFonts w:hint="eastAsia" w:ascii="宋体" w:hAnsi="宋体" w:cs="宋体"/>
          <w:sz w:val="24"/>
          <w:szCs w:val="24"/>
        </w:rPr>
        <w:t xml:space="preserve">流量采集分析设备升级。根据采购人需求，对配套的流量采集分析设备进行升级，满足网络监测分析需求。</w:t>
      </w:r>
      <w:r/>
    </w:p>
    <w:p>
      <w:pPr>
        <w:pStyle w:val="949"/>
        <w:ind w:firstLine="482"/>
        <w:spacing w:line="293" w:lineRule="auto"/>
        <w:rPr>
          <w:rFonts w:hint="eastAsia" w:ascii="宋体" w:hAnsi="宋体" w:cs="宋体"/>
          <w:sz w:val="24"/>
          <w:szCs w:val="24"/>
        </w:rPr>
      </w:pPr>
      <w:r/>
      <w:bookmarkEnd w:id="189"/>
      <w:r>
        <w:rPr>
          <w:rFonts w:hint="eastAsia" w:ascii="宋体" w:hAnsi="宋体" w:cs="宋体"/>
          <w:sz w:val="24"/>
          <w:szCs w:val="24"/>
        </w:rPr>
        <w:t xml:space="preserve">▲2.2.4.12 平台对接。支持通过服务接口、界面集成等方式，实现网络综合管理系统与采购人现有运管平台等对接，按照采购人要求，配合开展相应的软件开发。</w:t>
      </w:r>
      <w:r/>
    </w:p>
    <w:p>
      <w:pPr>
        <w:pStyle w:val="949"/>
        <w:ind w:firstLine="482"/>
        <w:spacing w:line="293" w:lineRule="auto"/>
        <w:rPr>
          <w:rFonts w:hint="eastAsia" w:ascii="宋体" w:hAnsi="宋体" w:cs="宋体"/>
          <w:b/>
          <w:bCs/>
          <w:sz w:val="24"/>
          <w:szCs w:val="24"/>
        </w:rPr>
      </w:pPr>
      <w:r>
        <w:rPr>
          <w:rFonts w:hint="eastAsia" w:ascii="宋体" w:hAnsi="宋体" w:cs="宋体"/>
          <w:sz w:val="24"/>
          <w:szCs w:val="24"/>
        </w:rPr>
        <w:t xml:space="preserve">▲</w:t>
      </w:r>
      <w:bookmarkStart w:id="190" w:name="OLE_LINK28"/>
      <w:r>
        <w:rPr>
          <w:rFonts w:hint="eastAsia" w:ascii="宋体" w:hAnsi="宋体" w:cs="宋体"/>
          <w:sz w:val="24"/>
          <w:szCs w:val="24"/>
        </w:rPr>
        <w:t xml:space="preserve">2.2.4.13</w:t>
      </w:r>
      <w:bookmarkEnd w:id="190"/>
      <w:r>
        <w:rPr>
          <w:rFonts w:hint="eastAsia" w:ascii="宋体" w:hAnsi="宋体" w:cs="宋体"/>
          <w:sz w:val="24"/>
          <w:szCs w:val="24"/>
        </w:rPr>
        <w:t xml:space="preserve"> IP地址管理。实现对公安网YH域、公安网SJ域、TX网等网络IP地址全生命周期管理，包括地址分配、监控和回收。支持记录IP地址信息，包括对应设备物理地址、使用人、所属部门、物理位置、分配时间等。</w:t>
      </w:r>
      <w:r>
        <w:rPr>
          <w:rFonts w:hint="eastAsia" w:ascii="宋体" w:hAnsi="宋体" w:cs="宋体"/>
          <w:b/>
          <w:bCs/>
          <w:sz w:val="24"/>
          <w:szCs w:val="24"/>
        </w:rPr>
      </w:r>
      <w:r/>
    </w:p>
    <w:p>
      <w:pPr>
        <w:pStyle w:val="949"/>
        <w:ind w:firstLine="482"/>
        <w:spacing w:line="293" w:lineRule="auto"/>
        <w:rPr>
          <w:rFonts w:hint="eastAsia" w:ascii="宋体" w:hAnsi="宋体" w:cs="宋体"/>
          <w:b/>
          <w:bCs/>
          <w:sz w:val="24"/>
          <w:szCs w:val="24"/>
        </w:rPr>
      </w:pPr>
      <w:r>
        <w:rPr>
          <w:rFonts w:hint="eastAsia" w:ascii="宋体" w:hAnsi="宋体" w:cs="宋体"/>
          <w:b/>
          <w:bCs/>
          <w:sz w:val="24"/>
          <w:szCs w:val="24"/>
        </w:rPr>
        <w:t xml:space="preserve">2.2.5 运维要求</w:t>
      </w:r>
      <w:r/>
    </w:p>
    <w:p>
      <w:pPr>
        <w:pStyle w:val="949"/>
        <w:ind w:firstLine="482"/>
        <w:spacing w:line="293" w:lineRule="auto"/>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2.2.5.1 基本要求。每月围绕项目建设实施情况（包括线路运行、网络综合管理系统服务等）进行深度巡检，在深度巡检结束后3个工作日内提交书面报告。根据巡检情况提出整改意见，经采购人同意后实施。</w:t>
      </w:r>
      <w:r>
        <w:rPr>
          <w:rFonts w:hint="eastAsia" w:ascii="宋体" w:hAnsi="宋体" w:cs="宋体"/>
          <w:sz w:val="24"/>
          <w:szCs w:val="24"/>
          <w:lang w:bidi="ar"/>
        </w:rPr>
        <w:t xml:space="preserve">基于系统工具实现对相关线路</w:t>
      </w:r>
      <w:r>
        <w:rPr>
          <w:rFonts w:hint="eastAsia" w:ascii="宋体" w:hAnsi="宋体" w:cs="宋体"/>
          <w:sz w:val="24"/>
          <w:szCs w:val="24"/>
        </w:rPr>
        <w:t xml:space="preserve">的实时监控</w:t>
      </w:r>
      <w:r>
        <w:rPr>
          <w:rFonts w:hint="eastAsia" w:ascii="宋体" w:hAnsi="宋体" w:cs="宋体"/>
          <w:sz w:val="24"/>
          <w:szCs w:val="24"/>
          <w:lang w:bidi="ar"/>
        </w:rPr>
        <w:t xml:space="preserve">，</w:t>
      </w:r>
      <w:r>
        <w:rPr>
          <w:rFonts w:hint="eastAsia" w:ascii="宋体" w:hAnsi="宋体" w:cs="宋体"/>
          <w:sz w:val="24"/>
          <w:szCs w:val="24"/>
        </w:rPr>
        <w:t xml:space="preserve">对所有节点上传输设备的运行状态、故障响应、资源分配等提供监测管理功能，实现短信自动告警。</w:t>
      </w:r>
      <w:r/>
    </w:p>
    <w:p>
      <w:pPr>
        <w:pStyle w:val="949"/>
        <w:ind w:firstLine="482"/>
        <w:spacing w:line="293" w:lineRule="auto"/>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2.2.5.2 重要时间节点保障要求。重要活动（由采购人指定并提前告知）举行前及持续期间、网络割接后或其它重要时间节点，根据采购人要求进行专项维护，并提供7*24小时值守保障服务。</w:t>
      </w:r>
      <w:r/>
    </w:p>
    <w:p>
      <w:pPr>
        <w:pStyle w:val="949"/>
        <w:ind w:firstLine="482"/>
        <w:spacing w:line="293" w:lineRule="auto"/>
        <w:rPr>
          <w:rFonts w:hint="eastAsia" w:ascii="宋体" w:hAnsi="宋体" w:cs="宋体"/>
          <w:sz w:val="24"/>
          <w:szCs w:val="24"/>
        </w:rPr>
      </w:pPr>
      <w:r>
        <w:rPr>
          <w:rFonts w:hint="eastAsia" w:ascii="宋体" w:hAnsi="宋体" w:cs="宋体"/>
          <w:sz w:val="24"/>
          <w:szCs w:val="24"/>
        </w:rPr>
        <w:t xml:space="preserve">★</w:t>
      </w:r>
      <w:bookmarkStart w:id="191" w:name="_Hlk219846834"/>
      <w:r/>
      <w:bookmarkStart w:id="192" w:name="_Hlk219848239"/>
      <w:r>
        <w:rPr>
          <w:rFonts w:hint="eastAsia" w:ascii="宋体" w:hAnsi="宋体" w:cs="宋体"/>
          <w:sz w:val="24"/>
          <w:szCs w:val="24"/>
        </w:rPr>
        <w:t xml:space="preserve">2.2.5.3</w:t>
      </w:r>
      <w:bookmarkEnd w:id="191"/>
      <w:r>
        <w:rPr>
          <w:rFonts w:hint="eastAsia" w:ascii="宋体" w:hAnsi="宋体" w:cs="宋体"/>
          <w:sz w:val="24"/>
          <w:szCs w:val="24"/>
        </w:rPr>
        <w:t xml:space="preserve">应急响应要求。</w:t>
      </w:r>
      <w:bookmarkEnd w:id="192"/>
      <w:r>
        <w:rPr>
          <w:rFonts w:hint="eastAsia" w:ascii="宋体" w:hAnsi="宋体" w:cs="宋体"/>
          <w:sz w:val="24"/>
          <w:szCs w:val="24"/>
        </w:rPr>
        <w:t xml:space="preserve">准备应急处置</w:t>
      </w:r>
      <w:r>
        <w:rPr>
          <w:rFonts w:hint="eastAsia" w:ascii="宋体" w:hAnsi="宋体" w:cs="宋体"/>
          <w:sz w:val="24"/>
          <w:szCs w:val="24"/>
        </w:rPr>
        <w:t xml:space="preserve">力量，发生故障时须10分钟内响应，1小时内到达现场。一般故障修复时间小于1小时，严重故障小于2小时。如因特殊情况无法在指定时间内修复的，或故障发生在重要时间节点的，需采取超常规处置措施。线路部分，须将故障原因、过渡方案和恢复计划等在故障发生后的2小时内书面上报，经采购人同意后采取应急过渡措施，保障网络不间断；系统设施部分，须协调原厂商技术力量开展现场修复，原厂商响应时间小于1小时，维修所需备品备件须在当天送达现场。期间产生的人力、材料成本和其他费用支出全部由供应商承担。（投标时提供书面承诺并加盖投标人公章）</w:t>
      </w:r>
      <w:r/>
    </w:p>
    <w:p>
      <w:pPr>
        <w:pStyle w:val="949"/>
        <w:ind w:firstLine="420"/>
        <w:spacing w:line="293" w:lineRule="auto"/>
        <w:rPr>
          <w:rFonts w:hint="eastAsia" w:ascii="方正仿宋_GBK" w:hAnsi="方正仿宋_GBK" w:eastAsia="方正仿宋_GBK" w:cs="方正仿宋_GBK"/>
          <w:b/>
          <w:bCs/>
          <w:sz w:val="32"/>
          <w:szCs w:val="32"/>
        </w:rPr>
      </w:pPr>
      <w:r>
        <w:rPr>
          <w:rFonts w:hint="eastAsia" w:ascii="宋体" w:hAnsi="宋体" w:cs="宋体"/>
          <w:sz w:val="24"/>
          <w:szCs w:val="24"/>
        </w:rPr>
        <w:t xml:space="preserve">▲2.2.5.4其他要求。服务期内租赁的线路和维保的系统设施，免费更换故障配件（原厂商同型号或更高规格产品），免费提供系统升级、固件更新等服务。提供线路运维所需的工具使用，包括网络分析仪（支持LLDP协议并能够通过协议分析获取最近距离交换机名称、端口号和vlan）。提供运维所需的公用通讯保障服务。</w:t>
      </w:r>
      <w:r>
        <w:rPr>
          <w:rFonts w:hint="eastAsia" w:ascii="方正仿宋_GBK" w:hAnsi="方正仿宋_GBK" w:eastAsia="方正仿宋_GBK" w:cs="方正仿宋_GBK"/>
          <w:b/>
          <w:bCs/>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四、商务要求</w:t>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分包1</w:t>
      </w:r>
      <w:r/>
    </w:p>
    <w:p>
      <w:pPr>
        <w:pStyle w:val="949"/>
        <w:ind w:firstLine="482"/>
        <w:spacing w:line="292" w:lineRule="auto"/>
        <w:rPr>
          <w:rFonts w:hint="eastAsia" w:ascii="宋体" w:hAnsi="宋体" w:cs="Courier New"/>
          <w:b/>
          <w:bCs/>
          <w:sz w:val="24"/>
          <w:szCs w:val="24"/>
        </w:rPr>
      </w:pPr>
      <w:r/>
      <w:bookmarkStart w:id="193" w:name="OLE_LINK4"/>
      <w:r>
        <w:rPr>
          <w:rFonts w:hint="eastAsia" w:ascii="宋体" w:hAnsi="宋体" w:cs="Courier New"/>
          <w:b/>
          <w:bCs/>
          <w:sz w:val="24"/>
          <w:szCs w:val="24"/>
          <w:lang w:bidi="ar"/>
        </w:rPr>
        <w:t xml:space="preserve">3.1.1建设实施能力要求</w:t>
      </w:r>
      <w:r>
        <w:rPr>
          <w:rFonts w:hint="eastAsia" w:ascii="宋体" w:hAnsi="宋体" w:cs="Courier New"/>
          <w:b/>
          <w:bCs/>
          <w:sz w:val="24"/>
          <w:szCs w:val="24"/>
        </w:rPr>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3.1.1.1实施方案。投标人应针对项目建设需求，制定科学合理可行的实施方案，以保障项目顺利实施、有效服务、高质运维</w:t>
      </w:r>
      <w:r>
        <w:rPr>
          <w:rFonts w:hint="eastAsia" w:ascii="宋体" w:hAnsi="宋体" w:cs="Courier New"/>
          <w:sz w:val="24"/>
          <w:szCs w:val="24"/>
        </w:rPr>
        <w:t xml:space="preserve">，并提供网络不中断、数据不丢失服务承诺（投标时提供书面承诺并加盖投标人公章）</w:t>
      </w:r>
      <w:r>
        <w:rPr>
          <w:rFonts w:hint="eastAsia" w:ascii="宋体" w:hAnsi="宋体" w:cs="Courier New"/>
          <w:sz w:val="24"/>
          <w:szCs w:val="24"/>
          <w:lang w:bidi="ar"/>
        </w:rPr>
        <w:t xml:space="preserve">。实施方案应包括项目实施团队、工作内容、时序进度安排、质量保证等。</w:t>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3.1.2 运维保障能力要求</w:t>
      </w:r>
      <w:r/>
    </w:p>
    <w:p>
      <w:pPr>
        <w:pStyle w:val="949"/>
        <w:ind w:firstLine="482"/>
        <w:spacing w:line="292" w:lineRule="auto"/>
        <w:rPr>
          <w:rFonts w:hint="eastAsia" w:ascii="宋体" w:hAnsi="宋体" w:cs="宋体"/>
          <w:sz w:val="24"/>
          <w:szCs w:val="24"/>
        </w:rPr>
      </w:pPr>
      <w:r>
        <w:rPr>
          <w:rFonts w:hint="eastAsia" w:ascii="宋体" w:hAnsi="宋体" w:cs="Courier New"/>
          <w:sz w:val="24"/>
          <w:szCs w:val="24"/>
          <w:lang w:bidi="ar"/>
        </w:rPr>
        <w:t xml:space="preserve">3.1.2.1 网络线路维保能力。投标人根据项目建设需求，针对省市传输线路、院外单位线路、辐射功能性线路、铺设的线路等内容</w:t>
      </w:r>
      <w:r>
        <w:rPr>
          <w:rFonts w:hint="eastAsia"/>
          <w:bCs/>
          <w:sz w:val="24"/>
          <w:szCs w:val="24"/>
        </w:rPr>
        <w:t xml:space="preserve">制定科学合理可行的维保服务方案，提供完善的售后服务</w:t>
      </w:r>
      <w:r>
        <w:rPr>
          <w:rFonts w:hint="eastAsia" w:ascii="宋体" w:hAnsi="宋体" w:cs="Courier New"/>
          <w:sz w:val="24"/>
          <w:szCs w:val="24"/>
          <w:lang w:bidi="ar"/>
        </w:rPr>
        <w:t xml:space="preserve">，</w:t>
      </w:r>
      <w:r>
        <w:rPr>
          <w:rFonts w:hint="eastAsia"/>
          <w:bCs/>
          <w:sz w:val="24"/>
          <w:szCs w:val="24"/>
        </w:rPr>
        <w:t xml:space="preserve">包括但不限于维保服务内容、工作流程机制、服务团队要求、质量保障措施、风险控制管理、信息安全管理、维保服务规范。</w:t>
      </w:r>
      <w:r>
        <w:rPr>
          <w:rFonts w:hint="eastAsia" w:ascii="宋体" w:hAnsi="宋体" w:cs="宋体"/>
          <w:sz w:val="24"/>
          <w:szCs w:val="24"/>
        </w:rPr>
      </w:r>
      <w:r/>
    </w:p>
    <w:p>
      <w:pPr>
        <w:pStyle w:val="949"/>
        <w:ind w:firstLine="482"/>
        <w:spacing w:line="292" w:lineRule="auto"/>
        <w:rPr>
          <w:rFonts w:hint="eastAsia" w:ascii="宋体" w:hAnsi="宋体" w:cs="宋体"/>
          <w:sz w:val="24"/>
          <w:szCs w:val="24"/>
        </w:rPr>
      </w:pPr>
      <w:r>
        <w:rPr>
          <w:rFonts w:hint="eastAsia" w:ascii="宋体" w:hAnsi="宋体" w:cs="Courier New"/>
          <w:sz w:val="24"/>
          <w:szCs w:val="24"/>
          <w:lang w:bidi="ar"/>
        </w:rPr>
        <w:t xml:space="preserve">3.1.2.2 专项维保服务能力。投标人根据项目建设需求，针对网络设备、直流电源、机房动环监控等内容</w:t>
      </w:r>
      <w:r>
        <w:rPr>
          <w:rFonts w:hint="eastAsia"/>
          <w:bCs/>
          <w:sz w:val="24"/>
          <w:szCs w:val="24"/>
        </w:rPr>
        <w:t xml:space="preserve">制定科学合理可行的维保服务方案，提供完善的售后服务</w:t>
      </w:r>
      <w:r>
        <w:rPr>
          <w:rFonts w:hint="eastAsia" w:ascii="宋体" w:hAnsi="宋体" w:cs="Courier New"/>
          <w:sz w:val="24"/>
          <w:szCs w:val="24"/>
          <w:lang w:bidi="ar"/>
        </w:rPr>
        <w:t xml:space="preserve">，</w:t>
      </w:r>
      <w:r>
        <w:rPr>
          <w:rFonts w:hint="eastAsia"/>
          <w:bCs/>
          <w:sz w:val="24"/>
          <w:szCs w:val="24"/>
        </w:rPr>
        <w:t xml:space="preserve">包括但不限于维保服务内容、工作流程机制、服务团队要求、质量保障措施、风险控制管理、信息安全管理，维保服务规范。</w:t>
      </w:r>
      <w:r>
        <w:rPr>
          <w:rFonts w:hint="eastAsia" w:ascii="宋体" w:hAnsi="宋体" w:cs="宋体"/>
          <w:sz w:val="24"/>
          <w:szCs w:val="24"/>
        </w:rPr>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3.1.2.3 应急处置能力。投标人针对省市传输线路、院外单位线路、辐射功能性线路、铺设的线路，以及网络设备、直流电源、机房动环监控系统设施维保等，制定全面、可行、高效的应急处置预案，预案包括应急处置力量、应急响应机制、应急处置措施等。</w:t>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3.1.2.4 提供网络设备原厂维保服务。网络设备维保部分内容提供原厂商工程师现场维保服务，投标人应在合同签订前提供与网络设备原厂商的合作协议。</w:t>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3.1.2.5 备用保障线路。服务期内，根据采购人要求免费提供5条100M市内备用保障电路专线。（投标时提供书面承诺并加盖投标人公章）</w:t>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3.1.2.6现场保障服务。落实7×24小时现场保障，</w:t>
      </w:r>
      <w:r>
        <w:rPr>
          <w:rFonts w:hint="eastAsia" w:ascii="宋体" w:hAnsi="宋体" w:cs="宋体"/>
          <w:sz w:val="24"/>
          <w:szCs w:val="24"/>
        </w:rPr>
        <w:t xml:space="preserve">每4小时对线路、传输设备和机房环境分别进行1次巡检，巡检工作必须2名技术人员同时现场作业，1人作业、1人监护。需配备充足的技术人员进行轮换</w:t>
      </w:r>
      <w:r>
        <w:rPr>
          <w:rFonts w:hint="eastAsia" w:ascii="宋体" w:hAnsi="宋体" w:cs="Courier New"/>
          <w:sz w:val="24"/>
          <w:szCs w:val="24"/>
          <w:lang w:bidi="ar"/>
        </w:rPr>
        <w:t xml:space="preserve">，保证现场保障服务的连续性。（投标时提供书面承诺并加盖投标人公章）</w:t>
      </w:r>
      <w:r/>
    </w:p>
    <w:p>
      <w:pPr>
        <w:pStyle w:val="949"/>
        <w:ind w:firstLine="482"/>
        <w:spacing w:line="292" w:lineRule="auto"/>
        <w:rPr>
          <w:rFonts w:hint="eastAsia" w:ascii="宋体" w:hAnsi="宋体" w:cs="宋体"/>
          <w:sz w:val="24"/>
          <w:szCs w:val="24"/>
        </w:rPr>
      </w:pPr>
      <w:r>
        <w:rPr>
          <w:rFonts w:hint="eastAsia" w:ascii="宋体" w:hAnsi="宋体" w:cs="宋体"/>
          <w:sz w:val="24"/>
          <w:szCs w:val="24"/>
        </w:rPr>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3.1.3 综合实力</w:t>
      </w:r>
      <w:r/>
    </w:p>
    <w:p>
      <w:pPr>
        <w:pStyle w:val="949"/>
        <w:ind w:firstLine="480"/>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3.1.3.1 实施力量要求。为科学、合理、高效满足项目建设实施和维保服务要求，供应商须成立专门的实施团队，包括1名项目经理，具备网络规划设计师、系统规划与管理师、信息系统项目管理师或系统架构设计师证书。团队其他成员须具备3年以上机房设施运维管理或网络运维从业经验，同时具备网络工程师或信息安全工程师证书。（</w:t>
      </w:r>
      <w:r>
        <w:rPr>
          <w:rFonts w:hint="eastAsia" w:ascii="宋体" w:hAnsi="宋体" w:cs="Courier New"/>
          <w:sz w:val="24"/>
          <w:szCs w:val="24"/>
        </w:rPr>
        <w:t xml:space="preserve">投标时提供书面承诺并加盖投标人公章</w:t>
      </w:r>
      <w:r>
        <w:rPr>
          <w:rFonts w:hint="eastAsia" w:ascii="宋体" w:hAnsi="宋体" w:cs="Courier New"/>
          <w:sz w:val="24"/>
          <w:szCs w:val="24"/>
          <w:lang w:bidi="ar"/>
        </w:rPr>
        <w:t xml:space="preserve">，提供持证人员的证书扫描件或复印件，以及投标商为其缴纳的近6个月内任意1个月的社保）。</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3.1.3.2 案例要求。投标人具备较高的项目管理水平和实施能力，须提供自2020年1月1日以来类似项目的合同复印件。（以合同签订日期为准）</w:t>
      </w:r>
      <w:r>
        <w:rPr>
          <w:rFonts w:hint="eastAsia" w:ascii="宋体" w:hAnsi="宋体" w:cs="Courier New"/>
          <w:sz w:val="24"/>
          <w:szCs w:val="24"/>
        </w:rPr>
      </w:r>
      <w:r/>
    </w:p>
    <w:p>
      <w:pPr>
        <w:pStyle w:val="949"/>
        <w:ind w:firstLine="482"/>
        <w:spacing w:line="292" w:lineRule="auto"/>
        <w:rPr>
          <w:rFonts w:hint="eastAsia"/>
          <w:sz w:val="24"/>
          <w:szCs w:val="24"/>
        </w:rPr>
      </w:pPr>
      <w:r>
        <w:rPr>
          <w:rFonts w:hint="eastAsia" w:ascii="宋体" w:hAnsi="宋体" w:cs="Courier New"/>
          <w:sz w:val="24"/>
          <w:szCs w:val="24"/>
          <w:lang w:bidi="ar"/>
        </w:rPr>
        <w:t xml:space="preserve">注：采购人有权在合同签订前核查以上评分项目的证明材料原件，如有虚假，按虚假投标处理。</w:t>
      </w:r>
      <w:r>
        <w:rPr>
          <w:rFonts w:hint="eastAsia"/>
          <w:sz w:val="24"/>
          <w:szCs w:val="24"/>
        </w:rPr>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3.1.4 交付服务要求和结算条款（付款前供应商需开具对应金额的增值税发票）</w:t>
      </w:r>
      <w:r/>
    </w:p>
    <w:p>
      <w:pPr>
        <w:pStyle w:val="949"/>
        <w:ind w:firstLine="480"/>
        <w:rPr>
          <w:rFonts w:hint="eastAsia" w:ascii="宋体" w:hAnsi="宋体" w:cs="Courier New"/>
          <w:sz w:val="24"/>
          <w:szCs w:val="24"/>
        </w:rPr>
      </w:pPr>
      <w:r>
        <w:rPr>
          <w:rFonts w:hint="eastAsia" w:ascii="宋体" w:hAnsi="宋体" w:cs="Courier New"/>
          <w:sz w:val="24"/>
          <w:szCs w:val="24"/>
        </w:rPr>
        <w:t xml:space="preserve">3.1.4.1 网络设备、直流电源和机房动环监控维保服务部分:预付款为该部分第一年度服务金额的50%。第一年度服务期结束后，根据服务考核办法扣除相应处罚金，支付该部分年度服务金额的余款。</w:t>
      </w:r>
      <w:r/>
    </w:p>
    <w:p>
      <w:pPr>
        <w:pStyle w:val="949"/>
        <w:ind w:firstLine="480"/>
        <w:rPr>
          <w:rFonts w:hint="eastAsia" w:ascii="宋体" w:hAnsi="宋体" w:cs="Courier New"/>
          <w:sz w:val="24"/>
          <w:szCs w:val="24"/>
        </w:rPr>
      </w:pPr>
      <w:r>
        <w:rPr>
          <w:rFonts w:hint="eastAsia" w:ascii="宋体" w:hAnsi="宋体" w:cs="Courier New"/>
          <w:sz w:val="24"/>
          <w:szCs w:val="24"/>
        </w:rPr>
        <w:t xml:space="preserve">省市传输线路、院外单位线路、辐射功能性线路部分：按实际使用情况计收服务费。线路投入使用并经采购人确认后（以确认函件为准），开始计费并支付该部分第一年度服务金额的50%为预付款。第一年度服务期结束后，根据服务考核办法扣除相应处罚金，支付该部分年度服务金额的余款。</w:t>
      </w:r>
      <w:r/>
    </w:p>
    <w:p>
      <w:pPr>
        <w:pStyle w:val="949"/>
        <w:ind w:firstLine="480"/>
        <w:rPr>
          <w:rFonts w:hint="eastAsia" w:ascii="宋体" w:hAnsi="宋体" w:cs="Courier New"/>
          <w:sz w:val="24"/>
          <w:szCs w:val="24"/>
        </w:rPr>
      </w:pPr>
      <w:r>
        <w:rPr>
          <w:rFonts w:hint="eastAsia" w:ascii="宋体" w:hAnsi="宋体" w:cs="Courier New"/>
          <w:sz w:val="24"/>
          <w:szCs w:val="24"/>
        </w:rPr>
        <w:t xml:space="preserve">第二年度服务期结束后，根据服务考核办法扣除相应处罚金，支付上述部分年度服务金额。</w:t>
      </w:r>
      <w:r/>
    </w:p>
    <w:p>
      <w:pPr>
        <w:pStyle w:val="949"/>
        <w:ind w:firstLine="480"/>
        <w:rPr>
          <w:rFonts w:hint="eastAsia" w:ascii="宋体" w:hAnsi="宋体" w:cs="Courier New"/>
          <w:sz w:val="24"/>
          <w:szCs w:val="24"/>
        </w:rPr>
      </w:pPr>
      <w:r>
        <w:rPr>
          <w:rFonts w:hint="eastAsia" w:ascii="宋体" w:hAnsi="宋体" w:cs="Courier New"/>
          <w:sz w:val="24"/>
          <w:szCs w:val="24"/>
        </w:rPr>
        <w:t xml:space="preserve">第三年度服务期结束后，根据终验结果并结合服务考核办法，支付上述部分年度服务金额。</w:t>
      </w:r>
      <w:r/>
    </w:p>
    <w:p>
      <w:pPr>
        <w:pStyle w:val="949"/>
        <w:ind w:firstLine="480"/>
        <w:rPr>
          <w:rFonts w:hint="eastAsia" w:ascii="宋体" w:hAnsi="宋体" w:cs="Courier New"/>
          <w:sz w:val="24"/>
          <w:szCs w:val="24"/>
        </w:rPr>
      </w:pPr>
      <w:r>
        <w:rPr>
          <w:rFonts w:hint="eastAsia" w:ascii="宋体" w:hAnsi="宋体" w:cs="Courier New"/>
          <w:sz w:val="24"/>
          <w:szCs w:val="24"/>
        </w:rPr>
        <w:t xml:space="preserve">3.1.4.2 线路铺设部分：实施完毕并经采购人确认后（以确认函件为准），支付该部分合同金额的80%款项为预付款。服务期满后，根据终验结果付清该部分合同金额的余款。</w:t>
      </w:r>
      <w:r/>
    </w:p>
    <w:p>
      <w:pPr>
        <w:pStyle w:val="949"/>
        <w:ind w:firstLine="480"/>
        <w:rPr>
          <w:rFonts w:ascii="宋体" w:hAnsi="宋体" w:cs="Courier New"/>
          <w:sz w:val="24"/>
          <w:szCs w:val="24"/>
        </w:rPr>
      </w:pPr>
      <w:r>
        <w:rPr>
          <w:rFonts w:hint="eastAsia" w:ascii="宋体" w:hAnsi="宋体" w:cs="Courier New"/>
          <w:sz w:val="24"/>
          <w:szCs w:val="24"/>
        </w:rPr>
        <w:t xml:space="preserve">3.1.4.3 合同签订后，采购人在收到供应商开具的有效增值税专用发票15个工作日内支付以上各部分款项。采购人如因财政拨付不及时的原因延迟付款，不承担延迟付款的违约责任。</w:t>
      </w:r>
      <w:r>
        <w:rPr>
          <w:rFonts w:ascii="宋体" w:hAnsi="宋体" w:cs="Courier New"/>
          <w:sz w:val="24"/>
          <w:szCs w:val="24"/>
        </w:rPr>
      </w:r>
      <w:r/>
    </w:p>
    <w:p>
      <w:pPr>
        <w:pStyle w:val="949"/>
        <w:ind w:firstLine="480"/>
        <w:rPr>
          <w:rFonts w:hint="eastAsia" w:ascii="宋体" w:hAnsi="宋体" w:cs="Courier New"/>
          <w:sz w:val="24"/>
          <w:szCs w:val="24"/>
        </w:rPr>
      </w:pPr>
      <w:r>
        <w:rPr>
          <w:rFonts w:hint="eastAsia" w:ascii="宋体" w:hAnsi="宋体" w:cs="Courier New"/>
          <w:sz w:val="24"/>
          <w:szCs w:val="24"/>
        </w:rPr>
        <w:t xml:space="preserve">3.1.4.4 项目服务期为三年，如遇政策调整、预算经费无法落实，经采购人书面提出，可直接终止合同，并据实结算付费。如三年服务期顺利执行，期满后若采购人新服务合同未签订，经甲乙双方协商，在项目整体服务内容及标准不降低的情况下，可参照本合同中约定按月度据实结算付费，增加部分不得超过年度金额的10%。</w:t>
      </w:r>
      <w:r/>
    </w:p>
    <w:p>
      <w:pPr>
        <w:pStyle w:val="949"/>
        <w:ind w:firstLine="480"/>
        <w:spacing w:line="292" w:lineRule="auto"/>
        <w:rPr>
          <w:rFonts w:hint="eastAsia" w:ascii="宋体" w:hAnsi="宋体" w:cs="Courier New"/>
          <w:sz w:val="24"/>
          <w:szCs w:val="24"/>
        </w:rPr>
      </w:pPr>
      <w:r>
        <w:rPr>
          <w:rFonts w:hint="eastAsia" w:ascii="宋体" w:hAnsi="宋体" w:cs="Courier New"/>
          <w:sz w:val="24"/>
          <w:szCs w:val="24"/>
          <w:lang w:bidi="ar"/>
        </w:rPr>
        <w:t xml:space="preserve">3.1.4.5项目实施和维保服务过程中所必需的零配件、辅助设备、材料、线缆等，由供应商自行增补</w:t>
      </w:r>
      <w:r>
        <w:rPr>
          <w:rFonts w:hint="eastAsia" w:ascii="宋体" w:hAnsi="宋体" w:cs="Courier New"/>
          <w:sz w:val="24"/>
          <w:szCs w:val="24"/>
        </w:rPr>
        <w:t xml:space="preserve">承担（未做明确要求的，使用经采购人认可的辅材及线缆）。为满足项目建设实施和维保需要，所产生的所有费用由供应商负责。</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3.1.4.6 交付时间：签订合同后30个工作日内。</w:t>
      </w:r>
      <w:r>
        <w:rPr>
          <w:rFonts w:hint="eastAsia" w:ascii="宋体" w:hAnsi="宋体" w:cs="Courier New"/>
          <w:sz w:val="24"/>
          <w:szCs w:val="24"/>
        </w:rPr>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3.1.4.7 </w:t>
      </w:r>
      <w:r>
        <w:rPr>
          <w:rFonts w:hint="eastAsia" w:ascii="宋体" w:hAnsi="宋体" w:cs="Courier New"/>
          <w:sz w:val="24"/>
          <w:szCs w:val="24"/>
        </w:rPr>
        <w:t xml:space="preserve">交付方式：</w:t>
      </w:r>
      <w:r>
        <w:rPr>
          <w:rFonts w:hint="eastAsia" w:ascii="宋体" w:hAnsi="宋体" w:cs="Courier New"/>
          <w:sz w:val="24"/>
          <w:szCs w:val="24"/>
          <w:lang w:bidi="ar"/>
        </w:rPr>
        <w:t xml:space="preserve">采购人</w:t>
      </w:r>
      <w:r>
        <w:rPr>
          <w:rFonts w:hint="eastAsia" w:ascii="宋体" w:hAnsi="宋体" w:cs="Courier New"/>
          <w:sz w:val="24"/>
          <w:szCs w:val="24"/>
        </w:rPr>
        <w:t xml:space="preserve">指定方式。</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3.1.4.8 交付地点：采购人指定。</w:t>
      </w:r>
      <w:bookmarkEnd w:id="193"/>
      <w:r>
        <w:rPr>
          <w:rFonts w:hint="eastAsia" w:ascii="宋体" w:hAnsi="宋体" w:cs="Courier New"/>
          <w:sz w:val="24"/>
          <w:szCs w:val="24"/>
        </w:rPr>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分包2</w:t>
      </w:r>
      <w:r/>
    </w:p>
    <w:p>
      <w:pPr>
        <w:pStyle w:val="949"/>
        <w:ind w:firstLine="482"/>
        <w:spacing w:line="292" w:lineRule="auto"/>
        <w:rPr>
          <w:rFonts w:hint="eastAsia" w:ascii="宋体" w:hAnsi="宋体" w:cs="Courier New"/>
          <w:b/>
          <w:bCs/>
          <w:sz w:val="24"/>
          <w:szCs w:val="24"/>
        </w:rPr>
      </w:pPr>
      <w:r>
        <w:rPr>
          <w:rFonts w:hint="eastAsia" w:ascii="宋体" w:hAnsi="宋体" w:cs="Courier New"/>
          <w:b/>
          <w:bCs/>
          <w:sz w:val="24"/>
          <w:szCs w:val="24"/>
          <w:lang w:bidi="ar"/>
        </w:rPr>
        <w:t xml:space="preserve">3.2.1建设实施能力要求</w:t>
      </w:r>
      <w:r>
        <w:rPr>
          <w:rFonts w:hint="eastAsia" w:ascii="宋体" w:hAnsi="宋体" w:cs="Courier New"/>
          <w:b/>
          <w:bCs/>
          <w:sz w:val="24"/>
          <w:szCs w:val="24"/>
        </w:rPr>
      </w:r>
      <w:r/>
    </w:p>
    <w:p>
      <w:pPr>
        <w:pStyle w:val="949"/>
        <w:ind w:firstLine="482"/>
        <w:spacing w:line="292" w:lineRule="auto"/>
        <w:rPr>
          <w:rFonts w:ascii="宋体" w:hAnsi="宋体" w:cs="Courier New"/>
          <w:sz w:val="24"/>
          <w:szCs w:val="24"/>
          <w:lang w:bidi="ar"/>
        </w:rPr>
      </w:pPr>
      <w:r>
        <w:rPr>
          <w:rFonts w:hint="eastAsia" w:ascii="宋体" w:hAnsi="宋体" w:cs="Courier New"/>
          <w:sz w:val="24"/>
          <w:szCs w:val="24"/>
          <w:lang w:bidi="ar"/>
        </w:rPr>
        <w:t xml:space="preserve">3.2.1.1实施方案。投标人应针对项目建设需求，制定科学合理可行的实施方案，以保障项目顺利实施、有效服务、高质运维</w:t>
      </w:r>
      <w:r>
        <w:rPr>
          <w:rFonts w:hint="eastAsia" w:ascii="宋体" w:hAnsi="宋体" w:cs="Courier New"/>
          <w:sz w:val="24"/>
          <w:szCs w:val="24"/>
        </w:rPr>
        <w:t xml:space="preserve">，并提供网络不中断、数据不丢失服务承诺（投标时提供书面承诺并加盖投标人公章）</w:t>
      </w:r>
      <w:r>
        <w:rPr>
          <w:rFonts w:hint="eastAsia" w:ascii="宋体" w:hAnsi="宋体" w:cs="Courier New"/>
          <w:sz w:val="24"/>
          <w:szCs w:val="24"/>
          <w:lang w:bidi="ar"/>
        </w:rPr>
        <w:t xml:space="preserve">。实施方案应包括项目实施团队、工作内容、时序进度安排、质量保证等内容。</w:t>
      </w:r>
      <w:r>
        <w:rPr>
          <w:rFonts w:ascii="宋体" w:hAnsi="宋体" w:cs="Courier New"/>
          <w:sz w:val="24"/>
          <w:szCs w:val="24"/>
          <w:lang w:bidi="ar"/>
        </w:rPr>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3.2.2 运维保障能力要求</w:t>
      </w:r>
      <w:r/>
    </w:p>
    <w:p>
      <w:pPr>
        <w:pStyle w:val="949"/>
        <w:ind w:firstLine="482"/>
        <w:spacing w:line="292" w:lineRule="auto"/>
        <w:rPr>
          <w:rFonts w:hint="eastAsia"/>
          <w:bCs/>
          <w:sz w:val="24"/>
          <w:szCs w:val="24"/>
        </w:rPr>
      </w:pPr>
      <w:r>
        <w:rPr>
          <w:rFonts w:hint="eastAsia" w:ascii="宋体" w:hAnsi="宋体" w:cs="Courier New"/>
          <w:sz w:val="24"/>
          <w:szCs w:val="24"/>
          <w:lang w:bidi="ar"/>
        </w:rPr>
        <w:t xml:space="preserve">3.2.2.1 网络线路维保要求。投标人根据项目建设需求，针对省市传输线路、院外单位线路、</w:t>
      </w:r>
      <w:r>
        <w:rPr>
          <w:rFonts w:hint="eastAsia" w:ascii="宋体" w:hAnsi="宋体"/>
          <w:sz w:val="24"/>
          <w:szCs w:val="24"/>
          <w:lang w:bidi="ar"/>
        </w:rPr>
        <w:t xml:space="preserve">互联网线路</w:t>
      </w:r>
      <w:r>
        <w:rPr>
          <w:rFonts w:hint="eastAsia" w:ascii="宋体" w:hAnsi="宋体" w:cs="Courier New"/>
          <w:sz w:val="24"/>
          <w:szCs w:val="24"/>
          <w:lang w:bidi="ar"/>
        </w:rPr>
        <w:t xml:space="preserve">等内容</w:t>
      </w:r>
      <w:r>
        <w:rPr>
          <w:rFonts w:hint="eastAsia"/>
          <w:bCs/>
          <w:sz w:val="24"/>
          <w:szCs w:val="24"/>
        </w:rPr>
        <w:t xml:space="preserve">制定科学合理可行的维保服务方案，完善</w:t>
      </w:r>
      <w:r>
        <w:rPr>
          <w:rFonts w:hint="eastAsia" w:ascii="宋体" w:hAnsi="宋体" w:cs="Courier New"/>
          <w:sz w:val="24"/>
          <w:szCs w:val="24"/>
          <w:lang w:bidi="ar"/>
        </w:rPr>
        <w:t xml:space="preserve">售后服务，</w:t>
      </w:r>
      <w:r>
        <w:rPr>
          <w:rFonts w:hint="eastAsia"/>
          <w:bCs/>
          <w:sz w:val="24"/>
          <w:szCs w:val="24"/>
        </w:rPr>
        <w:t xml:space="preserve">包括但不限于维保服务内容、工作流程机制、服务团队要求、质量保障措施、风险控制管理、信息安全管理、维保服务规范。  </w:t>
      </w:r>
      <w:r/>
    </w:p>
    <w:p>
      <w:pPr>
        <w:pStyle w:val="949"/>
        <w:ind w:firstLine="482"/>
        <w:spacing w:line="292" w:lineRule="auto"/>
        <w:rPr>
          <w:rFonts w:hint="eastAsia"/>
          <w:bCs/>
          <w:sz w:val="24"/>
          <w:szCs w:val="24"/>
        </w:rPr>
      </w:pPr>
      <w:r>
        <w:rPr>
          <w:rFonts w:hint="eastAsia" w:ascii="宋体" w:hAnsi="宋体" w:cs="Courier New"/>
          <w:sz w:val="24"/>
          <w:szCs w:val="24"/>
          <w:lang w:bidi="ar"/>
        </w:rPr>
        <w:t xml:space="preserve">3.2.2.2 专项维保服务要求。投标人根据项目建设需求，针对网络综合管理系统服务内容</w:t>
      </w:r>
      <w:r>
        <w:rPr>
          <w:rFonts w:hint="eastAsia"/>
          <w:bCs/>
          <w:sz w:val="24"/>
          <w:szCs w:val="24"/>
        </w:rPr>
        <w:t xml:space="preserve">制定科学合理可行的维保服务方案，提供完善的售后服务</w:t>
      </w:r>
      <w:r>
        <w:rPr>
          <w:rFonts w:hint="eastAsia" w:ascii="宋体" w:hAnsi="宋体" w:cs="Courier New"/>
          <w:sz w:val="24"/>
          <w:szCs w:val="24"/>
          <w:lang w:bidi="ar"/>
        </w:rPr>
        <w:t xml:space="preserve">，</w:t>
      </w:r>
      <w:r>
        <w:rPr>
          <w:rFonts w:hint="eastAsia"/>
          <w:bCs/>
          <w:sz w:val="24"/>
          <w:szCs w:val="24"/>
        </w:rPr>
        <w:t xml:space="preserve">包括但不限于维保服务内容、工作流程机制、服务团队要求、质量保障措施、风险控制管理、信息安全管理，维保服务规范。</w:t>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3.2.2.3 应急处置要求。投标人针对省市传输线路、院外单位线路、</w:t>
      </w:r>
      <w:r>
        <w:rPr>
          <w:rFonts w:hint="eastAsia" w:ascii="宋体" w:hAnsi="宋体"/>
          <w:sz w:val="24"/>
          <w:szCs w:val="24"/>
          <w:lang w:bidi="ar"/>
        </w:rPr>
        <w:t xml:space="preserve">互联网线路</w:t>
      </w:r>
      <w:r>
        <w:rPr>
          <w:rFonts w:hint="eastAsia" w:ascii="宋体" w:hAnsi="宋体" w:cs="Courier New"/>
          <w:sz w:val="24"/>
          <w:szCs w:val="24"/>
          <w:lang w:bidi="ar"/>
        </w:rPr>
        <w:t xml:space="preserve">、</w:t>
      </w:r>
      <w:r>
        <w:rPr>
          <w:rFonts w:hint="eastAsia" w:ascii="宋体" w:hAnsi="宋体"/>
          <w:sz w:val="24"/>
          <w:szCs w:val="24"/>
          <w:lang w:bidi="ar"/>
        </w:rPr>
        <w:t xml:space="preserve">网络综合管理系统</w:t>
      </w:r>
      <w:r>
        <w:rPr>
          <w:rFonts w:hint="eastAsia" w:ascii="宋体" w:hAnsi="宋体" w:cs="Courier New"/>
          <w:sz w:val="24"/>
          <w:szCs w:val="24"/>
          <w:lang w:bidi="ar"/>
        </w:rPr>
        <w:t xml:space="preserve">等内容，制定全面、可行、高效的应急响应预案，预案包括但不限于应急处置力量、应急响应机制、应急处置措施等。</w:t>
      </w:r>
      <w:r/>
    </w:p>
    <w:p>
      <w:pPr>
        <w:pStyle w:val="949"/>
        <w:ind w:firstLine="482"/>
        <w:spacing w:line="292" w:lineRule="auto"/>
        <w:rPr>
          <w:rFonts w:ascii="宋体" w:hAnsi="宋体" w:cs="Courier New"/>
          <w:sz w:val="24"/>
          <w:szCs w:val="24"/>
          <w:lang w:bidi="ar"/>
        </w:rPr>
      </w:pPr>
      <w:r>
        <w:rPr>
          <w:rFonts w:hint="eastAsia" w:ascii="宋体" w:hAnsi="宋体" w:cs="Courier New"/>
          <w:sz w:val="24"/>
          <w:szCs w:val="24"/>
          <w:lang w:bidi="ar"/>
        </w:rPr>
        <w:t xml:space="preserve">3.2.2.4 网络综合管理系统原厂服务。提供网络综合管理系统服务部分的原厂维保服务，投标人应在合同签订前提供与原厂商的合作协议。</w:t>
      </w:r>
      <w:r>
        <w:rPr>
          <w:rFonts w:ascii="宋体" w:hAnsi="宋体" w:cs="Courier New"/>
          <w:sz w:val="24"/>
          <w:szCs w:val="24"/>
          <w:lang w:bidi="ar"/>
        </w:rPr>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3.2.2.5 备用保障线路。服务期内，根据采购人要求免费提供5条100M市内备用保障电路专线</w:t>
      </w:r>
      <w:r>
        <w:rPr>
          <w:rFonts w:hint="eastAsia" w:ascii="宋体" w:hAnsi="宋体" w:cs="宋体"/>
          <w:sz w:val="24"/>
          <w:szCs w:val="24"/>
        </w:rPr>
        <w:t xml:space="preserve">或互联网线路</w:t>
      </w:r>
      <w:r>
        <w:rPr>
          <w:rFonts w:hint="eastAsia" w:ascii="宋体" w:hAnsi="宋体" w:cs="Courier New"/>
          <w:sz w:val="24"/>
          <w:szCs w:val="24"/>
          <w:lang w:bidi="ar"/>
        </w:rPr>
        <w:t xml:space="preserve">。（投标时提供书面承诺并加盖投标人公章）</w:t>
      </w:r>
      <w:r/>
    </w:p>
    <w:p>
      <w:pPr>
        <w:pStyle w:val="949"/>
        <w:ind w:firstLine="482"/>
        <w:spacing w:line="292" w:lineRule="auto"/>
        <w:rPr>
          <w:rFonts w:hint="eastAsia" w:ascii="宋体" w:hAnsi="宋体" w:cs="宋体"/>
          <w:sz w:val="24"/>
          <w:szCs w:val="24"/>
        </w:rPr>
      </w:pPr>
      <w:r>
        <w:rPr>
          <w:rFonts w:hint="eastAsia" w:ascii="宋体" w:hAnsi="宋体" w:cs="Courier New"/>
          <w:sz w:val="24"/>
          <w:szCs w:val="24"/>
          <w:lang w:bidi="ar"/>
        </w:rPr>
        <w:t xml:space="preserve">3.2.2.6现场保障服务。落实7×24小时现场保障，</w:t>
      </w:r>
      <w:r>
        <w:rPr>
          <w:rFonts w:hint="eastAsia" w:ascii="宋体" w:hAnsi="宋体" w:cs="宋体"/>
          <w:sz w:val="24"/>
          <w:szCs w:val="24"/>
        </w:rPr>
        <w:t xml:space="preserve">每4小时对线路、传输设备和网络综合管理系统分别进行1次巡检，巡检工作必须2名技术人员同时现场作业，1人作业、1人监护。需配备充足的技术人员进行轮换</w:t>
      </w:r>
      <w:r>
        <w:rPr>
          <w:rFonts w:hint="eastAsia" w:ascii="宋体" w:hAnsi="宋体" w:cs="Courier New"/>
          <w:sz w:val="24"/>
          <w:szCs w:val="24"/>
          <w:lang w:bidi="ar"/>
        </w:rPr>
        <w:t xml:space="preserve">，保证现场保障服务的连续性。（投标时提供书面承诺并加盖投标人公章）</w:t>
      </w:r>
      <w:r>
        <w:rPr>
          <w:rFonts w:hint="eastAsia" w:ascii="宋体" w:hAnsi="宋体" w:cs="宋体"/>
          <w:sz w:val="24"/>
          <w:szCs w:val="24"/>
        </w:rPr>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3.2.3 综合实力</w:t>
      </w:r>
      <w:r/>
    </w:p>
    <w:p>
      <w:pPr>
        <w:pStyle w:val="949"/>
        <w:ind w:firstLine="480"/>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3.2.3.1 实施力量要求。为科学、合理、高效满足项目建设实施和维保服务要求，供应商须成立专门的实施团队，包括1名项目经理，具备网络规划设计师、系统规划与管理师、信息系统项目管理师或系统架构设计师证书。团队其他成员须具备3年以上机房设施运维管理或网络运维从业经验，同时具备网络工程师或信息安全工程师证书。（</w:t>
      </w:r>
      <w:r>
        <w:rPr>
          <w:rFonts w:hint="eastAsia" w:ascii="宋体" w:hAnsi="宋体" w:cs="Courier New"/>
          <w:sz w:val="24"/>
          <w:szCs w:val="24"/>
        </w:rPr>
        <w:t xml:space="preserve">投标时提供书面承诺并加盖投标人公章</w:t>
      </w:r>
      <w:r>
        <w:rPr>
          <w:rFonts w:hint="eastAsia" w:ascii="宋体" w:hAnsi="宋体" w:cs="Courier New"/>
          <w:sz w:val="24"/>
          <w:szCs w:val="24"/>
          <w:lang w:bidi="ar"/>
        </w:rPr>
        <w:t xml:space="preserve">，提供持证人员的证书扫描件或复印件，以及投标商为其缴纳的近6个月内任意1个月的社保）。</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3.2.3.2 案例要求。投标人具备较高的项目管理水平和实施能力，须提供自2020年1月1日以来类似项目的合同复印件。（以合同签订日期为准）</w:t>
      </w:r>
      <w:r>
        <w:rPr>
          <w:rFonts w:hint="eastAsia" w:ascii="宋体" w:hAnsi="宋体" w:cs="Courier New"/>
          <w:sz w:val="24"/>
          <w:szCs w:val="24"/>
        </w:rPr>
      </w:r>
      <w:r/>
    </w:p>
    <w:p>
      <w:pPr>
        <w:pStyle w:val="949"/>
        <w:ind w:firstLine="482"/>
        <w:spacing w:line="292" w:lineRule="auto"/>
        <w:rPr>
          <w:rFonts w:hint="eastAsia" w:ascii="宋体" w:hAnsi="宋体" w:cs="Courier New"/>
          <w:sz w:val="24"/>
          <w:szCs w:val="24"/>
          <w:lang w:bidi="ar"/>
        </w:rPr>
      </w:pPr>
      <w:r>
        <w:rPr>
          <w:rFonts w:hint="eastAsia" w:ascii="宋体" w:hAnsi="宋体" w:cs="Courier New"/>
          <w:sz w:val="24"/>
          <w:szCs w:val="24"/>
          <w:lang w:bidi="ar"/>
        </w:rPr>
        <w:t xml:space="preserve">注：采购人有权在合同签订前核查以上评分项目的证明材料原件，如有虚假，按虚假投标处理。</w:t>
      </w:r>
      <w:r/>
    </w:p>
    <w:p>
      <w:pPr>
        <w:pStyle w:val="949"/>
        <w:ind w:firstLine="482"/>
        <w:spacing w:line="292" w:lineRule="auto"/>
        <w:rPr>
          <w:rFonts w:hint="eastAsia" w:ascii="宋体" w:hAnsi="宋体" w:cs="Courier New"/>
          <w:b/>
          <w:bCs/>
          <w:sz w:val="24"/>
          <w:szCs w:val="24"/>
          <w:lang w:bidi="ar"/>
        </w:rPr>
      </w:pPr>
      <w:r>
        <w:rPr>
          <w:rFonts w:hint="eastAsia" w:ascii="宋体" w:hAnsi="宋体" w:cs="Courier New"/>
          <w:b/>
          <w:bCs/>
          <w:sz w:val="24"/>
          <w:szCs w:val="24"/>
          <w:lang w:bidi="ar"/>
        </w:rPr>
        <w:t xml:space="preserve">3.2.4 交付服务要求和结算条款（付款前供应商需开具对应金额的增值税发票）</w:t>
      </w:r>
      <w:r/>
    </w:p>
    <w:p>
      <w:pPr>
        <w:pStyle w:val="949"/>
        <w:ind w:firstLine="480"/>
        <w:spacing w:before="120" w:after="120"/>
        <w:rPr>
          <w:rFonts w:hint="eastAsia" w:ascii="宋体" w:hAnsi="宋体" w:cs="Courier New"/>
          <w:sz w:val="24"/>
          <w:szCs w:val="24"/>
        </w:rPr>
      </w:pPr>
      <w:r>
        <w:rPr>
          <w:rFonts w:hint="eastAsia" w:ascii="宋体" w:hAnsi="宋体" w:cs="Courier New"/>
          <w:sz w:val="24"/>
          <w:szCs w:val="24"/>
        </w:rPr>
        <w:t xml:space="preserve">3.2.4.1 网络综合管理系统服务部分: 系统部署上线，实现对二级主干传输网、公安网YH域、公安网SJ域、TX网等网络统一监控管理，经采购人确认后（以确认函件为准），开始计费并支付该部分第一年度服务金额的50%为预付款。第一年度服务期结束后，根据服务考核办法扣除相应处罚金，支付该部分年度服务金额的余款。</w:t>
      </w:r>
      <w:r/>
    </w:p>
    <w:p>
      <w:pPr>
        <w:pStyle w:val="949"/>
        <w:ind w:firstLine="480"/>
        <w:spacing w:before="120" w:after="120"/>
        <w:rPr>
          <w:rFonts w:hint="eastAsia" w:ascii="宋体" w:hAnsi="宋体" w:cs="Courier New"/>
          <w:sz w:val="24"/>
          <w:szCs w:val="24"/>
        </w:rPr>
      </w:pPr>
      <w:r>
        <w:rPr>
          <w:rFonts w:hint="eastAsia" w:ascii="宋体" w:hAnsi="宋体" w:cs="Courier New"/>
          <w:sz w:val="24"/>
          <w:szCs w:val="24"/>
        </w:rPr>
        <w:t xml:space="preserve">省市传输线路、院外单位线路、互联网线路部分：按实际使用情况计收服务费。线路投入使用并经采购人确认后（以确认函件为准），开始计费并支付该部分第一年度服务金额的50%为预付款。第一年度服务期结束后，根据服务考核办法扣除相应处罚金，支付该部分年度服务金额的余款。</w:t>
      </w:r>
      <w:r/>
    </w:p>
    <w:p>
      <w:pPr>
        <w:pStyle w:val="949"/>
        <w:ind w:firstLine="480"/>
        <w:spacing w:before="120" w:after="120"/>
        <w:rPr>
          <w:rFonts w:hint="eastAsia" w:ascii="宋体" w:hAnsi="宋体" w:cs="Courier New"/>
          <w:sz w:val="24"/>
          <w:szCs w:val="24"/>
        </w:rPr>
      </w:pPr>
      <w:r>
        <w:rPr>
          <w:rFonts w:hint="eastAsia" w:ascii="宋体" w:hAnsi="宋体" w:cs="Courier New"/>
          <w:sz w:val="24"/>
          <w:szCs w:val="24"/>
        </w:rPr>
        <w:t xml:space="preserve">第二年度服务期结束后，根据服务考核办法扣除相应处罚金，支付上述部分年度服务金额。</w:t>
      </w:r>
      <w:r/>
    </w:p>
    <w:p>
      <w:pPr>
        <w:pStyle w:val="949"/>
        <w:ind w:firstLine="480"/>
        <w:spacing w:before="120" w:after="120"/>
        <w:rPr>
          <w:rFonts w:hint="eastAsia" w:ascii="宋体" w:hAnsi="宋体" w:cs="Courier New"/>
          <w:sz w:val="24"/>
          <w:szCs w:val="24"/>
        </w:rPr>
      </w:pPr>
      <w:r>
        <w:rPr>
          <w:rFonts w:hint="eastAsia" w:ascii="宋体" w:hAnsi="宋体" w:cs="Courier New"/>
          <w:sz w:val="24"/>
          <w:szCs w:val="24"/>
        </w:rPr>
        <w:t xml:space="preserve">第三年度服务期结束后，根据终验结果并结合服务考核办法，支付上述部分年度服务金额。</w:t>
      </w:r>
      <w:r/>
    </w:p>
    <w:p>
      <w:pPr>
        <w:pStyle w:val="949"/>
        <w:ind w:firstLine="480"/>
        <w:spacing w:before="120" w:after="120"/>
        <w:rPr>
          <w:rFonts w:hint="eastAsia" w:ascii="宋体" w:hAnsi="宋体" w:cs="Courier New"/>
          <w:sz w:val="24"/>
          <w:szCs w:val="24"/>
        </w:rPr>
      </w:pPr>
      <w:r>
        <w:rPr>
          <w:rFonts w:hint="eastAsia" w:ascii="宋体" w:hAnsi="宋体" w:cs="Courier New"/>
          <w:sz w:val="24"/>
          <w:szCs w:val="24"/>
        </w:rPr>
        <w:t xml:space="preserve">3.2.4.2 合同签订后，采购人在收到供应商开具的有效增值税专用发票15个工作日内支付以上各部分款项。采购人如因财政拨付不及时的原因延迟付款，不承担延迟付款的违约责任。</w:t>
      </w:r>
      <w:r/>
    </w:p>
    <w:p>
      <w:pPr>
        <w:pStyle w:val="949"/>
        <w:ind w:firstLine="480"/>
        <w:rPr>
          <w:rFonts w:hint="eastAsia" w:ascii="宋体" w:hAnsi="宋体" w:cs="Courier New"/>
          <w:sz w:val="24"/>
          <w:szCs w:val="24"/>
        </w:rPr>
      </w:pPr>
      <w:r>
        <w:rPr>
          <w:rFonts w:hint="eastAsia" w:ascii="宋体" w:hAnsi="宋体" w:cs="Courier New"/>
          <w:sz w:val="24"/>
          <w:szCs w:val="24"/>
        </w:rPr>
        <w:t xml:space="preserve">3.2.4.3 项目服务期为三年，如遇政策调整、预算经费无法落实，经采购人书面提出，可直接终止合同，并据实结算付费。如三年服务期顺利执行，期满后若采购人新服务合同未签订，经甲乙双方协商，在项目整体服务内容及标准不降低的情况下，可参照本合同中约定按月度据实结算付费，增加部分不得超过年度金额的10%。</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3.2.4.3项目实施和维保服务</w:t>
      </w:r>
      <w:r>
        <w:rPr>
          <w:rFonts w:hint="eastAsia" w:ascii="宋体" w:hAnsi="宋体" w:cs="Courier New"/>
          <w:sz w:val="24"/>
          <w:szCs w:val="24"/>
        </w:rPr>
        <w:t xml:space="preserve">过程中所必需的零配件、辅助设备、材料、线缆等，由供应商自行增补承担（未做明确要求的，使用经采购人认可的辅材及线缆）。为满足项目建设实施和维保需要，所产生的所有费用由供应商负责。</w:t>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3.2.4.4 交付时间：签订合同后30个工作日内。</w:t>
      </w:r>
      <w:r>
        <w:rPr>
          <w:rFonts w:hint="eastAsia" w:ascii="宋体" w:hAnsi="宋体" w:cs="Courier New"/>
          <w:sz w:val="24"/>
          <w:szCs w:val="24"/>
        </w:rPr>
      </w:r>
      <w:r/>
    </w:p>
    <w:p>
      <w:pPr>
        <w:pStyle w:val="949"/>
        <w:ind w:firstLine="482"/>
        <w:spacing w:line="292" w:lineRule="auto"/>
        <w:rPr>
          <w:rFonts w:hint="eastAsia" w:ascii="宋体" w:hAnsi="宋体" w:cs="Courier New"/>
          <w:sz w:val="24"/>
          <w:szCs w:val="24"/>
        </w:rPr>
      </w:pPr>
      <w:r>
        <w:rPr>
          <w:rFonts w:hint="eastAsia" w:ascii="宋体" w:hAnsi="宋体" w:cs="Courier New"/>
          <w:sz w:val="24"/>
          <w:szCs w:val="24"/>
          <w:lang w:bidi="ar"/>
        </w:rPr>
        <w:t xml:space="preserve">3.2.4.5 </w:t>
      </w:r>
      <w:r>
        <w:rPr>
          <w:rFonts w:hint="eastAsia" w:ascii="宋体" w:hAnsi="宋体" w:cs="Courier New"/>
          <w:sz w:val="24"/>
          <w:szCs w:val="24"/>
        </w:rPr>
        <w:t xml:space="preserve">交付方式：</w:t>
      </w:r>
      <w:r>
        <w:rPr>
          <w:rFonts w:hint="eastAsia" w:ascii="宋体" w:hAnsi="宋体" w:cs="Courier New"/>
          <w:sz w:val="24"/>
          <w:szCs w:val="24"/>
          <w:lang w:bidi="ar"/>
        </w:rPr>
        <w:t xml:space="preserve">采购人</w:t>
      </w:r>
      <w:r>
        <w:rPr>
          <w:rFonts w:hint="eastAsia" w:ascii="宋体" w:hAnsi="宋体" w:cs="Courier New"/>
          <w:sz w:val="24"/>
          <w:szCs w:val="24"/>
        </w:rPr>
        <w:t xml:space="preserve">指定方式。</w:t>
      </w:r>
      <w:r/>
    </w:p>
    <w:p>
      <w:pPr>
        <w:pStyle w:val="949"/>
        <w:ind w:firstLine="482"/>
        <w:spacing w:line="292" w:lineRule="auto"/>
        <w:rPr>
          <w:rFonts w:hint="eastAsia" w:ascii="方正仿宋_GBK" w:hAnsi="方正仿宋_GBK" w:eastAsia="方正仿宋_GBK" w:cs="方正仿宋_GBK"/>
          <w:b/>
          <w:bCs/>
          <w:sz w:val="32"/>
          <w:szCs w:val="32"/>
        </w:rPr>
      </w:pPr>
      <w:r>
        <w:rPr>
          <w:rFonts w:hint="eastAsia" w:ascii="宋体" w:hAnsi="宋体" w:cs="Courier New"/>
          <w:sz w:val="24"/>
          <w:szCs w:val="24"/>
          <w:lang w:bidi="ar"/>
        </w:rPr>
        <w:t xml:space="preserve">3.2.4.6 交付地点：采购人指定。</w:t>
      </w:r>
      <w:r>
        <w:rPr>
          <w:rFonts w:hint="eastAsia" w:ascii="方正仿宋_GBK" w:hAnsi="方正仿宋_GBK" w:eastAsia="方正仿宋_GBK" w:cs="方正仿宋_GBK"/>
          <w:b/>
          <w:bCs/>
          <w:sz w:val="32"/>
          <w:szCs w:val="32"/>
        </w:rPr>
      </w:r>
      <w:r/>
    </w:p>
    <w:p>
      <w:pPr>
        <w:pStyle w:val="98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五、其他要求</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1.项目属性:服务类项目。</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5205"/>
      </w:tblGrid>
      <w:tr>
        <w:trPr/>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pStyle w:val="949"/>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采购包号</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pStyle w:val="949"/>
              <w:ind w:firstLine="640"/>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是否接受进口产品投标（是/否）</w:t>
            </w:r>
            <w:r/>
          </w:p>
        </w:tc>
      </w:tr>
      <w:tr>
        <w:trPr/>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pStyle w:val="949"/>
              <w:ind w:firstLine="640"/>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pStyle w:val="949"/>
              <w:ind w:firstLine="640"/>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否</w:t>
            </w:r>
            <w:r/>
          </w:p>
        </w:tc>
      </w:tr>
      <w:tr>
        <w:trPr/>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pStyle w:val="949"/>
              <w:ind w:firstLine="640"/>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pStyle w:val="949"/>
              <w:ind w:firstLine="640"/>
              <w:jc w:val="center"/>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否</w:t>
            </w:r>
            <w:r/>
          </w:p>
        </w:tc>
      </w:tr>
    </w:tbl>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r>
      <w:r/>
    </w:p>
    <w:p>
      <w:pPr>
        <w:pStyle w:val="950"/>
        <w:rPr>
          <w:rFonts w:hint="eastAsia" w:ascii="黑体" w:eastAsia="黑体"/>
          <w:bCs/>
          <w:sz w:val="44"/>
        </w:rPr>
      </w:pPr>
      <w:r/>
      <w:bookmarkStart w:id="194" w:name="_Toc120614281"/>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51"/>
        <w:spacing w:line="400" w:lineRule="exact"/>
        <w:rPr>
          <w:rFonts w:hint="eastAsia" w:ascii="黑体" w:hAnsi="黑体" w:eastAsia="黑体"/>
          <w:sz w:val="32"/>
          <w:szCs w:val="32"/>
        </w:rPr>
      </w:pPr>
      <w:r>
        <w:rPr>
          <w:rFonts w:hint="eastAsia" w:ascii="黑体" w:hAnsi="黑体" w:eastAsia="黑体"/>
          <w:sz w:val="32"/>
          <w:szCs w:val="32"/>
        </w:rPr>
        <w:t xml:space="preserve">第五章  评标方法与评标标准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采用综合评分法的，评标结果按评审后得分由高到低顺序排列。得分相同的，按投标报价由低到高顺序排列。得分且投标报价相同的并列。</w:t>
      </w:r>
      <w:r/>
    </w:p>
    <w:p>
      <w:pPr>
        <w:pStyle w:val="949"/>
        <w:rPr>
          <w:rFonts w:hint="eastAsia"/>
        </w:rPr>
      </w:pPr>
      <w:r>
        <w:rPr>
          <w:rFonts w:hint="eastAsia"/>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18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37"/>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本项目每个分包选取一名中标候选人，投标人可参与多个分包投标，分包1和分包2不能兼中。评标委员会按分包1、分包2的顺序评审并确定中标候选人，分包1的中标候选人不得参与分包2的评审。</w:t>
      </w:r>
      <w:r/>
    </w:p>
    <w:p>
      <w:pPr>
        <w:pStyle w:val="1037"/>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政府采购政策功能落实</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1.小微型企业价格扣除</w:t>
      </w:r>
      <w:r/>
    </w:p>
    <w:p>
      <w:pPr>
        <w:pStyle w:val="1037"/>
        <w:ind w:firstLine="640"/>
        <w:spacing w:line="560" w:lineRule="exact"/>
        <w:rPr>
          <w:rFonts w:hint="eastAsia" w:ascii="宋体" w:hAnsi="宋体"/>
          <w:sz w:val="32"/>
          <w:szCs w:val="32"/>
        </w:rPr>
      </w:pPr>
      <w:r>
        <w:rPr>
          <w:rFonts w:hint="eastAsia" w:ascii="方正仿宋_GBK" w:hAnsi="方正仿宋_GBK" w:eastAsia="方正仿宋_GBK" w:cs="方正仿宋_GBK"/>
          <w:sz w:val="32"/>
          <w:szCs w:val="32"/>
        </w:rPr>
        <w:t xml:space="preserve">（1）本项目对小型和微型企业提供的服务给予10%的扣除价格，用扣除后的价格参与评审。</w:t>
      </w:r>
      <w:r>
        <w:rPr>
          <w:rFonts w:hint="eastAsia" w:ascii="宋体" w:hAnsi="宋体"/>
          <w:sz w:val="32"/>
          <w:szCs w:val="32"/>
        </w:rPr>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（2）供应商需按照采购文件的要求提供相应的《中小微企业声明函》。</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2.残疾人福利单位价格扣除</w:t>
      </w:r>
      <w:r/>
    </w:p>
    <w:p>
      <w:pPr>
        <w:pStyle w:val="1037"/>
        <w:ind w:left="120" w:firstLine="640"/>
        <w:spacing w:line="560" w:lineRule="exact"/>
        <w:rPr>
          <w:rFonts w:hint="eastAsia" w:ascii="宋体" w:hAnsi="宋体"/>
          <w:sz w:val="32"/>
          <w:szCs w:val="32"/>
        </w:rPr>
      </w:pPr>
      <w:r>
        <w:rPr>
          <w:rFonts w:hint="eastAsia" w:ascii="方正仿宋_GBK" w:hAnsi="方正仿宋_GBK" w:eastAsia="方正仿宋_GBK" w:cs="方正仿宋_GBK"/>
          <w:sz w:val="32"/>
          <w:szCs w:val="32"/>
        </w:rPr>
        <w:t xml:space="preserve">（1）本项目对残疾人福利性单位视同小型、微型企业，给予10%的价格扣除，用扣除后的价格参与评审。</w:t>
      </w:r>
      <w:r>
        <w:rPr>
          <w:rFonts w:hint="eastAsia" w:ascii="宋体" w:hAnsi="宋体"/>
          <w:sz w:val="32"/>
          <w:szCs w:val="32"/>
        </w:rPr>
      </w:r>
      <w:r/>
    </w:p>
    <w:p>
      <w:pPr>
        <w:pStyle w:val="1037"/>
        <w:ind w:left="120"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（2）残疾人福利单位需按照采购文件的要求提供《残疾人福利性单位声明函》。</w:t>
      </w:r>
      <w:r/>
    </w:p>
    <w:p>
      <w:pPr>
        <w:pStyle w:val="1037"/>
        <w:ind w:left="120"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（3）残疾人福利单位标准请参照《关于促进残疾人就业政府采购政策的通知》（财库〔2017〕141号）。</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3.监狱和戒毒企业价格扣除</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（1）本项目对监狱和戒毒企业（简称监狱企业）视同小型、微型企业，给予10%的价格扣除，用扣除后的价格参与评审。</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（3）监狱企业标准请参照《关于政府采购支持监狱企业发展有关问题的通知》（财库〔2014〕68号）。</w:t>
      </w:r>
      <w:r/>
    </w:p>
    <w:p>
      <w:pPr>
        <w:pStyle w:val="103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4.残疾人福利单位、监狱企业属于小型、微型企业的，不重复享受政策。</w:t>
      </w:r>
      <w:r/>
    </w:p>
    <w:p>
      <w:pPr>
        <w:pStyle w:val="1037"/>
        <w:ind w:firstLine="640"/>
        <w:spacing w:line="560" w:lineRule="exact"/>
        <w:rPr>
          <w:rFonts w:hint="eastAsia" w:ascii="宋体" w:hAnsi="宋体" w:eastAsia="方正仿宋_GBK"/>
          <w:sz w:val="32"/>
          <w:szCs w:val="32"/>
        </w:rPr>
      </w:pPr>
      <w:r>
        <w:rPr>
          <w:rFonts w:hint="eastAsia" w:ascii="方正仿宋_GBK" w:hAnsi="方正仿宋_GBK" w:eastAsia="方正仿宋_GBK" w:cs="方正仿宋_GBK"/>
          <w:sz w:val="32"/>
          <w:szCs w:val="32"/>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方正仿宋_GBK"/>
          <w:sz w:val="32"/>
          <w:szCs w:val="32"/>
        </w:rPr>
      </w:r>
      <w:r/>
    </w:p>
    <w:p>
      <w:pPr>
        <w:pStyle w:val="1037"/>
        <w:ind w:firstLine="640"/>
        <w:spacing w:line="560" w:lineRule="exact"/>
        <w:rPr>
          <w:rFonts w:hint="eastAsia" w:ascii="宋体" w:hAnsi="宋体"/>
          <w:sz w:val="32"/>
          <w:szCs w:val="32"/>
        </w:rPr>
      </w:pPr>
      <w:r>
        <w:rPr>
          <w:rFonts w:hint="eastAsia" w:ascii="方正仿宋_GBK" w:hAnsi="方正仿宋_GBK" w:eastAsia="方正仿宋_GBK" w:cs="方正仿宋_GBK"/>
          <w:sz w:val="32"/>
          <w:szCs w:val="32"/>
        </w:rPr>
        <w:t xml:space="preserve">6.联合体各方均为小型、微型企业（残疾人福利单位、监狱企业）的，联合体享受10%价格扣除，用扣除后的价格参与评审。</w:t>
      </w:r>
      <w:r>
        <w:rPr>
          <w:rFonts w:hint="eastAsia" w:ascii="宋体" w:hAnsi="宋体"/>
          <w:sz w:val="32"/>
          <w:szCs w:val="32"/>
        </w:rPr>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7.采购本国产品的支持政策</w:t>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sz w:val="32"/>
          <w:szCs w:val="32"/>
          <w:u w:val="single"/>
        </w:rPr>
        <w:t xml:space="preserve">80%</w:t>
      </w:r>
      <w:r>
        <w:rPr>
          <w:rFonts w:hint="eastAsia" w:ascii="方正魏碑_GBK" w:hAnsi="方正魏碑_GBK" w:eastAsia="方正魏碑_GBK" w:cs="方正魏碑_GBK"/>
          <w:sz w:val="32"/>
          <w:szCs w:val="32"/>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sz w:val="32"/>
          <w:szCs w:val="32"/>
          <w:u w:val="single"/>
        </w:rPr>
        <w:t xml:space="preserve">20%</w:t>
      </w:r>
      <w:r>
        <w:rPr>
          <w:rFonts w:hint="eastAsia" w:ascii="方正魏碑_GBK" w:hAnsi="方正魏碑_GBK" w:eastAsia="方正魏碑_GBK" w:cs="方正魏碑_GBK"/>
          <w:sz w:val="32"/>
          <w:szCs w:val="32"/>
        </w:rPr>
        <w:t xml:space="preserve">的价格扣除，用扣除后的价格参与评审。供应商未填写比例数值，或比例数值不足</w:t>
      </w:r>
      <w:r>
        <w:rPr>
          <w:rFonts w:hint="eastAsia" w:ascii="方正魏碑_GBK" w:hAnsi="方正魏碑_GBK" w:eastAsia="方正魏碑_GBK" w:cs="方正魏碑_GBK"/>
          <w:sz w:val="32"/>
          <w:szCs w:val="32"/>
          <w:u w:val="single"/>
        </w:rPr>
        <w:t xml:space="preserve">80%</w:t>
      </w:r>
      <w:r>
        <w:rPr>
          <w:rFonts w:hint="eastAsia" w:ascii="方正魏碑_GBK" w:hAnsi="方正魏碑_GBK" w:eastAsia="方正魏碑_GBK" w:cs="方正魏碑_GBK"/>
          <w:sz w:val="32"/>
          <w:szCs w:val="32"/>
        </w:rPr>
        <w:t xml:space="preserve">的，将不享受本国产品价格评审优惠。</w:t>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7.2 供应商需按照招标文件的要求提供《关于符合本国产品标准的声明函》（以下简称《声明函》），如不提供将不享受本国产品价格评审优惠。</w:t>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7.3 供应商需在《声明函》中逐一、准确填写产品名称、厂名、生产厂址三项信息（《声明函》中标注</w:t>
      </w:r>
      <w:r>
        <w:rPr>
          <w:rFonts w:hint="eastAsia" w:ascii="方正魏碑_GBK" w:hAnsi="方正魏碑_GBK" w:eastAsia="方正魏碑_GBK" w:cs="方正魏碑_GBK"/>
          <w:sz w:val="32"/>
          <w:szCs w:val="32"/>
          <w:u w:val="single"/>
        </w:rPr>
        <w:t xml:space="preserve">“  /  ”</w:t>
      </w:r>
      <w:r>
        <w:rPr>
          <w:rFonts w:hint="eastAsia" w:ascii="方正魏碑_GBK" w:hAnsi="方正魏碑_GBK" w:eastAsia="方正魏碑_GBK" w:cs="方正魏碑_GBK"/>
          <w:sz w:val="32"/>
          <w:szCs w:val="32"/>
        </w:rPr>
        <w:t xml:space="preserve">的地方无需填写），三项信息中任意一项未填写的视为该项产品不符合本国产品标准，不享受本国产品价格评审优惠。</w:t>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7"/>
        <w:ind w:firstLine="482"/>
        <w:spacing w:line="0" w:lineRule="atLeast"/>
        <w:rPr>
          <w:rFonts w:hint="eastAsia" w:ascii="宋体" w:hAnsi="宋体"/>
          <w:b/>
        </w:rPr>
      </w:pPr>
      <w:r>
        <w:rPr>
          <w:rFonts w:hint="eastAsia" w:ascii="宋体" w:hAnsi="宋体"/>
          <w:b/>
        </w:rPr>
      </w:r>
      <w:r/>
    </w:p>
    <w:p>
      <w:pPr>
        <w:pStyle w:val="1037"/>
        <w:ind w:firstLine="482"/>
        <w:spacing w:line="0" w:lineRule="atLeast"/>
        <w:rPr>
          <w:rFonts w:hint="eastAsia" w:ascii="宋体" w:hAnsi="宋体"/>
          <w:b/>
        </w:rPr>
      </w:pPr>
      <w:r>
        <w:rPr>
          <w:rFonts w:hint="eastAsia" w:ascii="宋体" w:hAnsi="宋体"/>
          <w:b/>
        </w:rPr>
      </w:r>
      <w:r/>
    </w:p>
    <w:p>
      <w:pPr>
        <w:pStyle w:val="949"/>
        <w:ind w:firstLine="640"/>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评标方法与评标标准</w:t>
      </w:r>
      <w:r/>
    </w:p>
    <w:p>
      <w:pPr>
        <w:pStyle w:val="949"/>
        <w:ind w:firstLine="480"/>
        <w:spacing w:line="360" w:lineRule="auto"/>
        <w:rPr>
          <w:rFonts w:hint="eastAsia" w:ascii="宋体" w:hAnsi="宋体"/>
          <w:bCs/>
          <w:sz w:val="24"/>
        </w:rPr>
      </w:pPr>
      <w:r>
        <w:rPr>
          <w:rFonts w:hint="eastAsia" w:ascii="方正仿宋_GBK" w:hAnsi="方正仿宋_GBK" w:eastAsia="方正仿宋_GBK" w:cs="方正仿宋_GBK"/>
          <w:b/>
          <w:sz w:val="32"/>
          <w:szCs w:val="32"/>
        </w:rPr>
        <w:t xml:space="preserve"> </w:t>
      </w:r>
      <w:r>
        <w:rPr>
          <w:rFonts w:hint="eastAsia" w:ascii="宋体" w:hAnsi="宋体"/>
          <w:bCs/>
          <w:sz w:val="24"/>
        </w:rPr>
        <w:t xml:space="preserve">本项目2个分包均采用综合评分法确定中标候选人。评标委员会将按下列评分办法和标准进行评分，总分值为</w:t>
      </w:r>
      <w:r>
        <w:rPr>
          <w:rFonts w:ascii="宋体" w:hAnsi="宋体"/>
          <w:bCs/>
          <w:sz w:val="24"/>
        </w:rPr>
        <w:t xml:space="preserve">100</w:t>
      </w:r>
      <w:r>
        <w:rPr>
          <w:rFonts w:hint="eastAsia" w:ascii="宋体" w:hAnsi="宋体"/>
          <w:bCs/>
          <w:sz w:val="24"/>
        </w:rPr>
        <w:t xml:space="preserve">分。</w:t>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分包1</w:t>
      </w:r>
      <w:r/>
    </w:p>
    <w:tbl>
      <w:tblPr>
        <w:tblpPr w:horzAnchor="page" w:tblpX="1379" w:vertAnchor="text" w:tblpY="490" w:leftFromText="180" w:topFromText="0" w:rightFromText="180" w:bottomFromText="0"/>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82"/>
        <w:gridCol w:w="783"/>
        <w:gridCol w:w="784"/>
        <w:gridCol w:w="6813"/>
      </w:tblGrid>
      <w:tr>
        <w:trPr>
          <w:trHeight w:val="285"/>
        </w:trPr>
        <w:tc>
          <w:tcPr>
            <w:tcBorders>
              <w:top w:val="single" w:color="000000" w:sz="8" w:space="0"/>
              <w:left w:val="single" w:color="000000" w:sz="8" w:space="0"/>
              <w:bottom w:val="single" w:color="000000" w:sz="4" w:space="0"/>
              <w:right w:val="single" w:color="000000" w:sz="4" w:space="0"/>
            </w:tcBorders>
            <w:tcW w:w="426" w:type="pct"/>
            <w:vAlign w:val="center"/>
            <w:textDirection w:val="lrTb"/>
            <w:noWrap w:val="false"/>
          </w:tcPr>
          <w:p>
            <w:pPr>
              <w:pStyle w:val="949"/>
              <w:jc w:val="center"/>
              <w:widowControl/>
              <w:rPr>
                <w:rFonts w:hint="eastAsia" w:ascii="宋体" w:hAnsi="宋体" w:cs="宋体"/>
                <w:b/>
                <w:bCs/>
                <w:lang w:bidi="ar"/>
              </w:rPr>
              <w:framePr w:hSpace="180" w:wrap="around" w:vAnchor="text" w:hAnchor="page" w:x="1379" w:y="490"/>
            </w:pPr>
            <w:r>
              <w:rPr>
                <w:rFonts w:hint="eastAsia" w:ascii="宋体" w:hAnsi="宋体" w:cs="宋体"/>
                <w:b/>
                <w:bCs/>
                <w:lang w:bidi="ar"/>
              </w:rPr>
              <w:t xml:space="preserve">分类</w:t>
            </w:r>
            <w:r/>
          </w:p>
        </w:tc>
        <w:tc>
          <w:tcPr>
            <w:tcBorders>
              <w:top w:val="single" w:color="000000" w:sz="8"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b/>
                <w:bCs/>
                <w:lang w:bidi="ar"/>
              </w:rPr>
              <w:framePr w:hSpace="180" w:wrap="around" w:vAnchor="text" w:hAnchor="page" w:x="1379" w:y="490"/>
            </w:pPr>
            <w:r>
              <w:rPr>
                <w:rFonts w:hint="eastAsia" w:ascii="宋体" w:hAnsi="宋体" w:cs="宋体"/>
                <w:b/>
                <w:bCs/>
                <w:lang w:bidi="ar"/>
              </w:rPr>
              <w:t xml:space="preserve">评审因素</w:t>
            </w:r>
            <w:r/>
          </w:p>
        </w:tc>
        <w:tc>
          <w:tcPr>
            <w:tcBorders>
              <w:top w:val="single" w:color="000000" w:sz="8"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b/>
                <w:bCs/>
                <w:lang w:bidi="ar"/>
              </w:rPr>
              <w:framePr w:hSpace="180" w:wrap="around" w:vAnchor="text" w:hAnchor="page" w:x="1379" w:y="490"/>
            </w:pPr>
            <w:r>
              <w:rPr>
                <w:rFonts w:hint="eastAsia" w:ascii="宋体" w:hAnsi="宋体" w:cs="宋体"/>
                <w:b/>
                <w:bCs/>
                <w:lang w:bidi="ar"/>
              </w:rPr>
              <w:t xml:space="preserve">分值</w:t>
            </w:r>
            <w:r/>
          </w:p>
        </w:tc>
        <w:tc>
          <w:tcPr>
            <w:tcBorders>
              <w:top w:val="single" w:color="000000" w:sz="8" w:space="0"/>
              <w:left w:val="single" w:color="000000" w:sz="4" w:space="0"/>
              <w:bottom w:val="single" w:color="000000" w:sz="4" w:space="0"/>
              <w:right w:val="single" w:color="000000" w:sz="8" w:space="0"/>
            </w:tcBorders>
            <w:tcW w:w="3717" w:type="pct"/>
            <w:vAlign w:val="center"/>
            <w:textDirection w:val="lrTb"/>
            <w:noWrap w:val="false"/>
          </w:tcPr>
          <w:p>
            <w:pPr>
              <w:pStyle w:val="949"/>
              <w:jc w:val="center"/>
              <w:widowControl/>
              <w:rPr>
                <w:rFonts w:hint="eastAsia" w:ascii="宋体" w:hAnsi="宋体" w:cs="宋体"/>
                <w:b/>
                <w:bCs/>
                <w:lang w:bidi="ar"/>
              </w:rPr>
              <w:framePr w:hSpace="180" w:wrap="around" w:vAnchor="text" w:hAnchor="page" w:x="1379" w:y="490"/>
            </w:pPr>
            <w:r>
              <w:rPr>
                <w:rFonts w:hint="eastAsia" w:ascii="宋体" w:hAnsi="宋体" w:cs="宋体"/>
                <w:b/>
                <w:bCs/>
                <w:lang w:bidi="ar"/>
              </w:rPr>
              <w:t xml:space="preserve">评分标准</w:t>
            </w:r>
            <w:r/>
          </w:p>
        </w:tc>
      </w:tr>
      <w:tr>
        <w:trPr>
          <w:trHeight w:val="825"/>
        </w:trPr>
        <w:tc>
          <w:tcPr>
            <w:tcBorders>
              <w:top w:val="single" w:color="000000" w:sz="4" w:space="0"/>
              <w:left w:val="single" w:color="000000" w:sz="8" w:space="0"/>
              <w:bottom w:val="single" w:color="000000" w:sz="4" w:space="0"/>
              <w:right w:val="single" w:color="000000" w:sz="4" w:space="0"/>
            </w:tcBorders>
            <w:tcW w:w="426"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价格部分（10分）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报价方案</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10</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报价超过采购预算的，其投标作无效投标处理。满足招标文件要求且报价最低的供应商报价为评标基准价，其价格分为满分。其他供应商的价格分统一按照下列公式计算：投标报价得分=(评标基准价/最后报价)×10。（小数点后保留两位）</w:t>
            </w:r>
            <w:r/>
          </w:p>
        </w:tc>
      </w:tr>
      <w:tr>
        <w:trPr>
          <w:cantSplit/>
          <w:trHeight w:val="350"/>
        </w:trPr>
        <w:tc>
          <w:tcPr>
            <w:tcBorders>
              <w:top w:val="single" w:color="000000" w:sz="4" w:space="0"/>
              <w:left w:val="single" w:color="000000" w:sz="8" w:space="0"/>
              <w:bottom w:val="single" w:color="000000" w:sz="4" w:space="0"/>
              <w:right w:val="single" w:color="000000" w:sz="4" w:space="0"/>
            </w:tcBorders>
            <w:tcW w:w="426"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技术能力部分（41分）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对第四章采购需求中分包1的“技术要求”中标注★和▲的项是否偏离进行评分。标★项的共12项，不满足的每项扣2分，标▲项的共12项，不满足的每项扣1分，不提供响应偏离表或对应招标文件要求的响应承诺不完整的不得分。</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实施方案</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投标人应根据项目需求提供具体详实的实施方案。方案优于项目需求的得5分，符合项目需求的得3分，不符合项目需求或未提供的得0分。</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项目服务能力（36分）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网络线路维保方案</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根据投标人提供的针对省市传输线路、院外单位线路、辐射功能性线路、铺设的线路等维保服务方案进行评分。方案优于项目需求的得5分，符合项目需求的得3分，不符合项目需求或未提供的得0分。</w:t>
            </w:r>
            <w:r/>
          </w:p>
        </w:tc>
      </w:tr>
      <w:tr>
        <w:trPr>
          <w:cantSplit/>
          <w:trHeight w:val="76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专项维保服务方案</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根据投标人提供的针对网络设备维保服务、直流电源维保服务、机房动环监控维保服务等维保服务方案进行评分。方案优于项目需求的得5分，符合项目需求的得3分，不符合项目需求或未提供的得0分。</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应急处置预案</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根据投标人提供的应急处置预案进行评分。方案优于项目需求的得5分，符合项目需求的得3分，不符合项目需求或未提供的得0分。</w:t>
            </w:r>
            <w:r/>
          </w:p>
        </w:tc>
      </w:tr>
      <w:tr>
        <w:trPr>
          <w:cantSplit/>
          <w:trHeight w:val="76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提供原厂维保服务</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在网络设备维保服务中，能够协调原设备厂商技术力量开展现场修复的，得5分，否则不得分。投标时应提供书面承诺并加盖投标人公章。（且承诺合同签订前提供与网络设备原厂商的合作协议）</w:t>
            </w:r>
            <w:r/>
          </w:p>
        </w:tc>
      </w:tr>
      <w:tr>
        <w:trPr>
          <w:cantSplit/>
          <w:trHeight w:val="76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bookmarkStart w:id="195" w:name="_Hlk220239300"/>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备用保障线路</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ascii="宋体" w:hAnsi="宋体" w:cs="宋体"/>
                <w:lang w:bidi="ar"/>
              </w:rPr>
              <w:framePr w:hSpace="180" w:wrap="around" w:vAnchor="text" w:hAnchor="page" w:x="1379" w:y="490"/>
            </w:pPr>
            <w:r>
              <w:rPr>
                <w:rFonts w:hint="eastAsia" w:ascii="宋体" w:hAnsi="宋体" w:cs="宋体"/>
                <w:lang w:bidi="ar"/>
              </w:rPr>
              <w:t xml:space="preserve">投标人按要求提供5条备用保障线路，提供书面承诺的得6分，未提供不得分。</w:t>
            </w:r>
            <w:r>
              <w:rPr>
                <w:rFonts w:ascii="宋体" w:hAnsi="宋体" w:cs="宋体"/>
                <w:lang w:bidi="ar"/>
              </w:rPr>
            </w:r>
            <w:r/>
          </w:p>
        </w:tc>
      </w:tr>
      <w:tr>
        <w:trPr>
          <w:cantSplit/>
          <w:trHeight w:val="28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Courier New"/>
                <w:sz w:val="24"/>
                <w:szCs w:val="24"/>
                <w:lang w:bidi="ar"/>
              </w:rPr>
              <w:t xml:space="preserve">现场保障服务</w:t>
            </w: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10</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投标人需落实7×24小时现场保障和每4小时巡检工作要求。提供书面承诺的得10分，未提供不得分。</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bookmarkEnd w:id="195"/>
            <w:r>
              <w:rPr>
                <w:rFonts w:hint="eastAsia" w:ascii="宋体" w:hAnsi="宋体" w:cs="宋体"/>
                <w:sz w:val="22"/>
                <w:szCs w:val="22"/>
                <w:lang w:bidi="ar"/>
              </w:rPr>
              <w:t xml:space="preserve">投标人履约能力（7分）</w:t>
            </w:r>
            <w:r/>
          </w:p>
        </w:tc>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实施力量</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投标人具有有效的ISO9001质量管理体系认证证书得1分，具有有效的ISO/IEC27001信息安全管理体系认证证书得1分，满分2分。（提供有效证书复印件）</w:t>
            </w:r>
            <w:r/>
          </w:p>
        </w:tc>
      </w:tr>
      <w:tr>
        <w:trPr>
          <w:cantSplit/>
          <w:trHeight w:val="76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提供的项目经理具备网络规划设计师、系统规划与管理师、信息系统项目管理师或系统架构设计师证书得1分，不提供的不得分。（人员提供有效证书扫描件或复印件，以及投标人为其缴纳的近6个月内任意一个月的社保证明材料）</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实施团队其他人员（项目经理除外），具有网络工程师证书或信息安全工程师证书（1人多证的只计算1个证书），每提供一个得1分，最高得4分。（人员提供有效证书扫描件或复印件，以及投标人为其缴纳的近6个月内任意一个月的社保证明材料）</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案例（6分）</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线路租用案例</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投标人提供2020年1月1日以来（以合同签订时间为准）与本项目类似的省市传输线路的，每提供1个案例得1分，最高得2分。（提供有效合同关键页复印件）</w:t>
            </w:r>
            <w:r/>
          </w:p>
        </w:tc>
      </w:tr>
      <w:tr>
        <w:trPr>
          <w:cantSplit/>
          <w:trHeight w:val="510"/>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维保服务案例</w:t>
            </w:r>
            <w:r/>
          </w:p>
        </w:tc>
        <w:tc>
          <w:tcPr>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投标人提供2020年1月1日以来（以合同签订时间为准）与本项目类似的网络设备维保服务案例的，每提供1个案例得1分，最高得2分。（提供有效合同关键页复印件）</w:t>
            </w:r>
            <w:r/>
          </w:p>
        </w:tc>
      </w:tr>
      <w:tr>
        <w:trPr>
          <w:cantSplit/>
          <w:trHeight w:val="525"/>
        </w:trPr>
        <w:tc>
          <w:tcPr>
            <w:tcBorders>
              <w:top w:val="single" w:color="000000" w:sz="4" w:space="0"/>
              <w:left w:val="single" w:color="000000" w:sz="8" w:space="0"/>
              <w:bottom w:val="single" w:color="000000" w:sz="4" w:space="0"/>
              <w:right w:val="single" w:color="000000" w:sz="4" w:space="0"/>
            </w:tcBorders>
            <w:tcW w:w="426"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pStyle w:val="949"/>
              <w:jc w:val="center"/>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28" w:type="pct"/>
            <w:vAlign w:val="center"/>
            <w:vMerge w:val="continue"/>
            <w:textDirection w:val="lrTb"/>
            <w:noWrap w:val="false"/>
          </w:tcPr>
          <w:p>
            <w:pPr>
              <w:pStyle w:val="949"/>
              <w:jc w:val="left"/>
              <w:widowControl/>
              <w:rPr>
                <w:rFonts w:hint="eastAsia" w:ascii="宋体" w:hAnsi="宋体" w:cs="宋体"/>
                <w:sz w:val="22"/>
                <w:szCs w:val="22"/>
                <w:lang w:bidi="ar"/>
              </w:rPr>
              <w:framePr w:hSpace="180" w:wrap="around" w:vAnchor="text" w:hAnchor="page" w:x="1379" w:y="490"/>
            </w:pPr>
            <w:r>
              <w:rPr>
                <w:rFonts w:hint="eastAsia" w:ascii="宋体" w:hAnsi="宋体" w:cs="宋体"/>
                <w:sz w:val="22"/>
                <w:szCs w:val="22"/>
                <w:lang w:bidi="ar"/>
              </w:rPr>
            </w:r>
            <w:r/>
          </w:p>
        </w:tc>
        <w:tc>
          <w:tcPr>
            <w:tcBorders>
              <w:top w:val="single" w:color="000000" w:sz="4" w:space="0"/>
              <w:left w:val="single" w:color="000000" w:sz="4" w:space="0"/>
              <w:bottom w:val="single" w:color="000000" w:sz="8" w:space="0"/>
              <w:right w:val="single" w:color="000000" w:sz="8" w:space="0"/>
            </w:tcBorders>
            <w:tcW w:w="3717" w:type="pct"/>
            <w:vAlign w:val="center"/>
            <w:textDirection w:val="lrTb"/>
            <w:noWrap w:val="false"/>
          </w:tcPr>
          <w:p>
            <w:pPr>
              <w:pStyle w:val="949"/>
              <w:jc w:val="left"/>
              <w:widowControl/>
              <w:rPr>
                <w:rFonts w:hint="eastAsia" w:ascii="宋体" w:hAnsi="宋体" w:cs="宋体"/>
                <w:lang w:bidi="ar"/>
              </w:rPr>
              <w:framePr w:hSpace="180" w:wrap="around" w:vAnchor="text" w:hAnchor="page" w:x="1379" w:y="490"/>
            </w:pPr>
            <w:r>
              <w:rPr>
                <w:rFonts w:hint="eastAsia" w:ascii="宋体" w:hAnsi="宋体" w:cs="宋体"/>
                <w:lang w:bidi="ar"/>
              </w:rPr>
              <w:t xml:space="preserve">投标人提供2020年1月1日以来（以合同签订时间为准）与本项目类似的机房动力环境监控维保服务案例的，每提供1个案例得1分，最高得2分。（提供有效合同关键页复印件）</w:t>
            </w:r>
            <w:r/>
          </w:p>
        </w:tc>
      </w:tr>
    </w:tbl>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r>
      <w:r/>
    </w:p>
    <w:p>
      <w:pPr>
        <w:pStyle w:val="949"/>
        <w:ind w:firstLine="560"/>
        <w:jc w:val="left"/>
        <w:keepLines/>
        <w:keepNext/>
        <w:spacing w:line="293" w:lineRule="auto"/>
        <w:rPr>
          <w:rFonts w:hint="eastAsia" w:ascii="黑体" w:hAnsi="黑体" w:eastAsia="黑体" w:cs="Arial"/>
          <w:bCs/>
          <w:sz w:val="28"/>
          <w:szCs w:val="28"/>
        </w:rPr>
        <w:outlineLvl w:val="1"/>
      </w:pPr>
      <w:r>
        <w:rPr>
          <w:rFonts w:hint="eastAsia" w:ascii="黑体" w:hAnsi="黑体" w:eastAsia="黑体" w:cs="Arial"/>
          <w:bCs/>
          <w:sz w:val="28"/>
          <w:szCs w:val="28"/>
        </w:rPr>
        <w:t xml:space="preserve">分包2</w:t>
      </w:r>
      <w:r/>
    </w:p>
    <w:tbl>
      <w:tblPr>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76"/>
        <w:gridCol w:w="700"/>
        <w:gridCol w:w="1044"/>
        <w:gridCol w:w="6542"/>
      </w:tblGrid>
      <w:tr>
        <w:trPr>
          <w:trHeight w:val="300"/>
        </w:trPr>
        <w:tc>
          <w:tcPr>
            <w:tcBorders>
              <w:top w:val="single" w:color="000000" w:sz="8" w:space="0"/>
              <w:left w:val="single" w:color="000000" w:sz="8" w:space="0"/>
              <w:bottom w:val="single" w:color="000000" w:sz="8" w:space="0"/>
              <w:right w:val="single" w:color="000000" w:sz="8" w:space="0"/>
            </w:tcBorders>
            <w:tcW w:w="478" w:type="pct"/>
            <w:vAlign w:val="center"/>
            <w:textDirection w:val="lrTb"/>
            <w:noWrap w:val="false"/>
          </w:tcPr>
          <w:p>
            <w:pPr>
              <w:pStyle w:val="949"/>
              <w:jc w:val="center"/>
              <w:widowControl/>
              <w:rPr>
                <w:rFonts w:hint="eastAsia" w:ascii="宋体" w:hAnsi="宋体" w:cs="宋体"/>
                <w:b/>
                <w:bCs/>
              </w:rPr>
            </w:pPr>
            <w:r>
              <w:rPr>
                <w:rFonts w:hint="eastAsia" w:ascii="宋体" w:hAnsi="宋体" w:cs="宋体"/>
                <w:b/>
                <w:bCs/>
                <w:lang w:bidi="ar"/>
              </w:rPr>
              <w:t xml:space="preserve">分类</w:t>
            </w:r>
            <w:r>
              <w:rPr>
                <w:rFonts w:hint="eastAsia" w:ascii="宋体" w:hAnsi="宋体" w:cs="宋体"/>
                <w:b/>
                <w:bCs/>
              </w:rPr>
            </w:r>
            <w:r/>
          </w:p>
        </w:tc>
        <w:tc>
          <w:tcPr>
            <w:tcBorders>
              <w:top w:val="single" w:color="000000" w:sz="8"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b/>
                <w:bCs/>
              </w:rPr>
            </w:pPr>
            <w:r>
              <w:rPr>
                <w:rFonts w:hint="eastAsia" w:ascii="宋体" w:hAnsi="宋体" w:cs="宋体"/>
                <w:b/>
                <w:bCs/>
                <w:lang w:bidi="ar"/>
              </w:rPr>
              <w:t xml:space="preserve">评审因素</w:t>
            </w:r>
            <w:r>
              <w:rPr>
                <w:rFonts w:hint="eastAsia" w:ascii="宋体" w:hAnsi="宋体" w:cs="宋体"/>
                <w:b/>
                <w:bCs/>
              </w:rPr>
            </w:r>
            <w:r/>
          </w:p>
        </w:tc>
        <w:tc>
          <w:tcPr>
            <w:tcBorders>
              <w:top w:val="single" w:color="000000" w:sz="8"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b/>
                <w:bCs/>
              </w:rPr>
            </w:pPr>
            <w:r>
              <w:rPr>
                <w:rFonts w:hint="eastAsia" w:ascii="宋体" w:hAnsi="宋体" w:cs="宋体"/>
                <w:b/>
                <w:bCs/>
                <w:lang w:bidi="ar"/>
              </w:rPr>
              <w:t xml:space="preserve">分值</w:t>
            </w:r>
            <w:r>
              <w:rPr>
                <w:rFonts w:hint="eastAsia" w:ascii="宋体" w:hAnsi="宋体" w:cs="宋体"/>
                <w:b/>
                <w:bCs/>
              </w:rPr>
            </w:r>
            <w:r/>
          </w:p>
        </w:tc>
        <w:tc>
          <w:tcPr>
            <w:tcBorders>
              <w:top w:val="single" w:color="000000" w:sz="8" w:space="0"/>
              <w:left w:val="none" w:color="000000" w:sz="4" w:space="0"/>
              <w:bottom w:val="single" w:color="000000" w:sz="8" w:space="0"/>
              <w:right w:val="single" w:color="000000" w:sz="8" w:space="0"/>
            </w:tcBorders>
            <w:tcW w:w="3569" w:type="pct"/>
            <w:vAlign w:val="center"/>
            <w:textDirection w:val="lrTb"/>
            <w:noWrap w:val="false"/>
          </w:tcPr>
          <w:p>
            <w:pPr>
              <w:pStyle w:val="949"/>
              <w:jc w:val="center"/>
              <w:widowControl/>
              <w:rPr>
                <w:rFonts w:hint="eastAsia" w:ascii="宋体" w:hAnsi="宋体" w:cs="宋体"/>
                <w:b/>
                <w:bCs/>
              </w:rPr>
            </w:pPr>
            <w:r>
              <w:rPr>
                <w:rFonts w:hint="eastAsia" w:ascii="宋体" w:hAnsi="宋体" w:cs="宋体"/>
                <w:b/>
                <w:bCs/>
                <w:lang w:bidi="ar"/>
              </w:rPr>
              <w:t xml:space="preserve">评分标准</w:t>
            </w:r>
            <w:r>
              <w:rPr>
                <w:rFonts w:hint="eastAsia" w:ascii="宋体" w:hAnsi="宋体" w:cs="宋体"/>
                <w:b/>
                <w:bCs/>
              </w:rPr>
            </w:r>
            <w:r/>
          </w:p>
        </w:tc>
      </w:tr>
      <w:tr>
        <w:trPr>
          <w:trHeight w:val="780"/>
        </w:trPr>
        <w:tc>
          <w:tcPr>
            <w:tcBorders>
              <w:top w:val="none" w:color="000000" w:sz="4" w:space="0"/>
              <w:left w:val="single" w:color="000000" w:sz="8" w:space="0"/>
              <w:bottom w:val="single" w:color="000000" w:sz="8" w:space="0"/>
              <w:right w:val="single" w:color="000000" w:sz="8" w:space="0"/>
            </w:tcBorders>
            <w:tcW w:w="478"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价格部分（10分）</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报价方案</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10</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投标报价超过采购预算的，其投标作无效投标处理。满足招标文件要求且报价最低的供应商报价为评标基准价，其价格分为满分。其他供应商的价格分统一按照下列公式计算：投标报价得分=(评标基准价／最后报价)×10。（小数点后保留两位）</w:t>
            </w:r>
            <w:r>
              <w:rPr>
                <w:rFonts w:hint="eastAsia" w:ascii="宋体" w:hAnsi="宋体" w:cs="宋体"/>
              </w:rPr>
            </w:r>
            <w:r/>
          </w:p>
        </w:tc>
      </w:tr>
      <w:tr>
        <w:trPr>
          <w:cantSplit/>
          <w:trHeight w:val="1545"/>
        </w:trPr>
        <w:tc>
          <w:tcPr>
            <w:tcBorders>
              <w:top w:val="none" w:color="000000" w:sz="4" w:space="0"/>
              <w:left w:val="single" w:color="000000" w:sz="8" w:space="0"/>
              <w:bottom w:val="single" w:color="000000" w:sz="8" w:space="0"/>
              <w:right w:val="single" w:color="000000" w:sz="8" w:space="0"/>
            </w:tcBorders>
            <w:tcW w:w="478" w:type="pct"/>
            <w:vAlign w:val="center"/>
            <w:vMerge w:val="restart"/>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技术能力部分（41分）</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技术要求</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36</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对第四章采购需求中分包2的“技术要求”中标注★和▲的项是否偏离进行评分。标★项的共11项。不满足的每项扣2分，标▲项的共14项，不满足的每项扣1分，不提供响应偏离表或对应招标文件要求的响应承诺不完整的不得分。</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实施方案</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投标人应根据项目需求提供具体详实的实施方案，优于项目需求的得5分，符合项目需求的得3分，不符合项目需求或未提供的得0分。</w:t>
            </w:r>
            <w:r>
              <w:rPr>
                <w:rFonts w:hint="eastAsia" w:ascii="宋体" w:hAnsi="宋体" w:cs="宋体"/>
              </w:rPr>
            </w:r>
            <w:r/>
          </w:p>
        </w:tc>
      </w:tr>
      <w:tr>
        <w:trPr>
          <w:cantSplit/>
          <w:trHeight w:val="619"/>
        </w:trPr>
        <w:tc>
          <w:tcPr>
            <w:tcBorders>
              <w:top w:val="none" w:color="000000" w:sz="4" w:space="0"/>
              <w:left w:val="single" w:color="000000" w:sz="8" w:space="0"/>
              <w:bottom w:val="single" w:color="000000" w:sz="8" w:space="0"/>
              <w:right w:val="single" w:color="000000" w:sz="8" w:space="0"/>
            </w:tcBorders>
            <w:tcW w:w="478" w:type="pct"/>
            <w:vAlign w:val="center"/>
            <w:vMerge w:val="restart"/>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项目服务能力（36分）</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网络线路维保方案</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根据投标人提供的针对省市传输线路、院外单位线路、互联网线路等维保服务方案进行评分。方案优于项目需求的得5分，符合项目需求的得3分，不符合项目需求或未提供的得0分。</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专项维保服务方案</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根据投标人提供的针对网络综合管理系统维保服务方案进行评分。方案优于项目需求得5分，符合项目需求的得3分，不符合项目需求或未提供的得0分。</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应急处置预案</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根据投标人提供的应急处置预案进行评分。方案优于项目需求得5分，符合项目需求得3分，不符合项目需求或未提供的得0分。</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lang w:bidi="ar"/>
              </w:rPr>
            </w:pPr>
            <w:r>
              <w:rPr>
                <w:rFonts w:hint="eastAsia" w:ascii="宋体" w:hAnsi="宋体" w:cs="宋体"/>
                <w:sz w:val="22"/>
                <w:szCs w:val="22"/>
                <w:lang w:bidi="ar"/>
              </w:rPr>
              <w:t xml:space="preserve">提供原厂维保服务</w:t>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ascii="宋体" w:hAnsi="宋体" w:cs="宋体"/>
                <w:sz w:val="22"/>
                <w:szCs w:val="22"/>
                <w:lang w:bidi="ar"/>
              </w:rPr>
            </w:pPr>
            <w:r>
              <w:rPr>
                <w:rFonts w:hint="eastAsia" w:ascii="宋体" w:hAnsi="宋体" w:cs="宋体"/>
                <w:sz w:val="22"/>
                <w:szCs w:val="22"/>
                <w:lang w:bidi="ar"/>
              </w:rPr>
              <w:t xml:space="preserve">5</w:t>
            </w:r>
            <w:r>
              <w:rPr>
                <w:rFonts w:ascii="宋体" w:hAnsi="宋体" w:cs="宋体"/>
                <w:sz w:val="22"/>
                <w:szCs w:val="22"/>
                <w:lang w:bidi="ar"/>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jc w:val="left"/>
              <w:widowControl/>
              <w:rPr>
                <w:rFonts w:hint="eastAsia" w:ascii="宋体" w:hAnsi="宋体" w:cs="宋体"/>
                <w:lang w:bidi="ar"/>
              </w:rPr>
            </w:pPr>
            <w:r>
              <w:rPr>
                <w:rFonts w:hint="eastAsia" w:ascii="宋体" w:hAnsi="宋体" w:cs="宋体"/>
                <w:lang w:bidi="ar"/>
              </w:rPr>
              <w:t xml:space="preserve">在网络综合管理系统服务中，能够协调原厂商技术力量开展现场修复的，得5分，否则不得分。投标时应提供书面承诺并加盖投标人公章。（且承诺合同签订前提供与原厂商的合作协议）</w:t>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lang w:bidi="ar"/>
              </w:rPr>
            </w:pPr>
            <w:r>
              <w:rPr>
                <w:rFonts w:hint="eastAsia" w:ascii="宋体" w:hAnsi="宋体" w:cs="宋体"/>
                <w:sz w:val="22"/>
                <w:szCs w:val="22"/>
                <w:lang w:bidi="ar"/>
              </w:rPr>
              <w:t xml:space="preserve">备用保障线路</w:t>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lang w:bidi="ar"/>
              </w:rPr>
            </w:pPr>
            <w:r>
              <w:rPr>
                <w:rFonts w:hint="eastAsia" w:ascii="宋体" w:hAnsi="宋体" w:cs="宋体"/>
                <w:sz w:val="22"/>
                <w:szCs w:val="22"/>
                <w:lang w:bidi="ar"/>
              </w:rPr>
              <w:t xml:space="preserve">6</w:t>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lang w:bidi="ar"/>
              </w:rPr>
            </w:pPr>
            <w:r>
              <w:rPr>
                <w:rFonts w:hint="eastAsia" w:ascii="宋体" w:hAnsi="宋体" w:cs="宋体"/>
                <w:lang w:bidi="ar"/>
              </w:rPr>
              <w:t xml:space="preserve">投标人按要求提供5条备用保障线路，提供书面承诺的得6分，未提供不得分。</w:t>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pStyle w:val="949"/>
              <w:jc w:val="center"/>
              <w:widowControl/>
              <w:rPr>
                <w:rFonts w:hint="eastAsia" w:ascii="宋体" w:hAnsi="宋体" w:cs="宋体"/>
                <w:sz w:val="22"/>
                <w:szCs w:val="22"/>
              </w:rPr>
            </w:pPr>
            <w:r>
              <w:rPr>
                <w:rFonts w:hint="eastAsia" w:ascii="宋体" w:hAnsi="宋体" w:cs="Courier New"/>
                <w:sz w:val="24"/>
                <w:szCs w:val="24"/>
                <w:lang w:bidi="ar"/>
              </w:rPr>
              <w:t xml:space="preserve">现场保障服务</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val="false"/>
          </w:tcPr>
          <w:p>
            <w:pPr>
              <w:pStyle w:val="949"/>
              <w:jc w:val="center"/>
              <w:widowControl/>
              <w:rPr>
                <w:rFonts w:ascii="宋体" w:hAnsi="宋体" w:cs="宋体"/>
                <w:sz w:val="22"/>
                <w:szCs w:val="22"/>
              </w:rPr>
            </w:pPr>
            <w:r>
              <w:rPr>
                <w:rFonts w:hint="eastAsia" w:ascii="宋体" w:hAnsi="宋体" w:cs="宋体"/>
                <w:sz w:val="22"/>
                <w:szCs w:val="22"/>
                <w:lang w:bidi="ar"/>
              </w:rPr>
              <w:t xml:space="preserve">10</w:t>
            </w:r>
            <w:r>
              <w:rPr>
                <w:rFonts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6542" w:type="dxa"/>
            <w:vAlign w:val="center"/>
            <w:textDirection w:val="lrTb"/>
            <w:noWrap w:val="false"/>
          </w:tcPr>
          <w:p>
            <w:pPr>
              <w:pStyle w:val="949"/>
              <w:jc w:val="left"/>
              <w:widowControl/>
              <w:rPr>
                <w:rFonts w:hint="eastAsia" w:ascii="宋体" w:hAnsi="宋体" w:cs="宋体"/>
              </w:rPr>
            </w:pPr>
            <w:r>
              <w:rPr>
                <w:rFonts w:hint="eastAsia" w:ascii="宋体" w:hAnsi="宋体" w:cs="宋体"/>
                <w:lang w:bidi="ar"/>
              </w:rPr>
              <w:t xml:space="preserve">投标人需落实7×24小时现场保障和每4小时巡检工作要求。提供书面承诺的得10分，未提供不得分。</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restart"/>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投标人履约能力（7分）</w:t>
            </w:r>
            <w:r>
              <w:rPr>
                <w:rFonts w:hint="eastAsia" w:ascii="宋体" w:hAnsi="宋体" w:cs="宋体"/>
                <w:sz w:val="22"/>
                <w:szCs w:val="22"/>
              </w:rPr>
            </w:r>
            <w:r/>
          </w:p>
        </w:tc>
        <w:tc>
          <w:tcPr>
            <w:tcBorders>
              <w:top w:val="none" w:color="000000" w:sz="4" w:space="0"/>
              <w:left w:val="none" w:color="000000" w:sz="4" w:space="0"/>
              <w:right w:val="single" w:color="000000" w:sz="8" w:space="0"/>
            </w:tcBorders>
            <w:tcW w:w="382" w:type="pct"/>
            <w:vAlign w:val="center"/>
            <w:vMerge w:val="restart"/>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实施力量</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投标人具有有效的ISO9001质量管理体系认证证书得1分，具有有效的ISO/IEC27001信息安全管理体系认证证书得1分，满分2分。（提供有效证书复印件）</w:t>
            </w:r>
            <w:r>
              <w:rPr>
                <w:rFonts w:hint="eastAsia" w:ascii="宋体" w:hAnsi="宋体" w:cs="宋体"/>
              </w:rPr>
            </w:r>
            <w:r/>
          </w:p>
        </w:tc>
      </w:tr>
      <w:tr>
        <w:trPr>
          <w:cantSplit/>
          <w:trHeight w:val="780"/>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8" w:space="0"/>
            </w:tcBorders>
            <w:tcW w:w="382" w:type="pct"/>
            <w:vAlign w:val="center"/>
            <w:vMerge w:val="continue"/>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jc w:val="left"/>
              <w:widowControl/>
              <w:rPr>
                <w:rFonts w:hint="eastAsia" w:ascii="宋体" w:hAnsi="宋体" w:cs="宋体"/>
              </w:rPr>
            </w:pPr>
            <w:r>
              <w:rPr>
                <w:rFonts w:hint="eastAsia" w:ascii="宋体" w:hAnsi="宋体" w:cs="宋体"/>
                <w:lang w:bidi="ar"/>
              </w:rPr>
              <w:t xml:space="preserve">投标人提供的项目经理具备网络规划设计师、系统规划与管理师、信息系统项目管理师或系统架构设计师证书得1分，不提供的不得分。（人员提供有效证书扫描件或复印件，以及投标人为其缴纳的近6个月内任意一个月的社保证明材料）</w:t>
            </w:r>
            <w:r>
              <w:rPr>
                <w:rFonts w:hint="eastAsia" w:ascii="宋体" w:hAnsi="宋体" w:cs="宋体"/>
              </w:rPr>
            </w:r>
            <w:r/>
          </w:p>
        </w:tc>
      </w:tr>
      <w:tr>
        <w:trPr>
          <w:cantSplit/>
          <w:trHeight w:val="780"/>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8" w:space="0"/>
              <w:right w:val="single" w:color="000000" w:sz="8" w:space="0"/>
            </w:tcBorders>
            <w:tcW w:w="382"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jc w:val="left"/>
              <w:widowControl/>
              <w:rPr>
                <w:rFonts w:hint="eastAsia" w:ascii="宋体" w:hAnsi="宋体" w:cs="宋体"/>
              </w:rPr>
            </w:pPr>
            <w:r>
              <w:rPr>
                <w:rFonts w:hint="eastAsia" w:ascii="宋体" w:hAnsi="宋体" w:cs="宋体"/>
                <w:lang w:bidi="ar"/>
              </w:rPr>
              <w:t xml:space="preserve">实施团队其他人员（项目经理除外），具有网络工程师证书或信息安全工程师证书（1人多证的只计算1个证书），每提供一个得1分，最高得4分。（人员提供有效证书扫描件或复印件，以及投标人为其缴纳的近6个月内任意一个月的社保证明材料）</w:t>
            </w:r>
            <w:r>
              <w:rPr>
                <w:rFonts w:hint="eastAsia" w:ascii="宋体" w:hAnsi="宋体" w:cs="宋体"/>
              </w:rPr>
            </w:r>
            <w:r/>
          </w:p>
        </w:tc>
      </w:tr>
      <w:tr>
        <w:trPr>
          <w:cantSplit/>
          <w:trHeight w:val="525"/>
        </w:trPr>
        <w:tc>
          <w:tcPr>
            <w:tcBorders>
              <w:top w:val="none" w:color="000000" w:sz="4" w:space="0"/>
              <w:left w:val="single" w:color="000000" w:sz="8" w:space="0"/>
              <w:bottom w:val="single" w:color="000000" w:sz="8" w:space="0"/>
              <w:right w:val="single" w:color="000000" w:sz="8" w:space="0"/>
            </w:tcBorders>
            <w:tcW w:w="478" w:type="pct"/>
            <w:vAlign w:val="center"/>
            <w:vMerge w:val="restart"/>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案例（6分）</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线路租用案例</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投标人提供2020年1月1日以来（以合同签订时间为准）与本项目类似的省市传输线路的，每提供1个案例得1分，最高得3分。（提供有效合同关键页复印件）</w:t>
            </w:r>
            <w:r>
              <w:rPr>
                <w:rFonts w:hint="eastAsia" w:ascii="宋体" w:hAnsi="宋体" w:cs="宋体"/>
              </w:rPr>
            </w:r>
            <w:r/>
          </w:p>
        </w:tc>
      </w:tr>
      <w:tr>
        <w:trPr>
          <w:cantSplit/>
          <w:trHeight w:val="780"/>
        </w:trPr>
        <w:tc>
          <w:tcPr>
            <w:tcBorders>
              <w:top w:val="none" w:color="000000" w:sz="4" w:space="0"/>
              <w:left w:val="single" w:color="000000" w:sz="8" w:space="0"/>
              <w:bottom w:val="single" w:color="000000" w:sz="8" w:space="0"/>
              <w:right w:val="single" w:color="000000" w:sz="8" w:space="0"/>
            </w:tcBorders>
            <w:tcW w:w="478" w:type="pct"/>
            <w:vAlign w:val="center"/>
            <w:vMerge w:val="continue"/>
            <w:textDirection w:val="lrTb"/>
            <w:noWrap w:val="false"/>
          </w:tcPr>
          <w:p>
            <w:pPr>
              <w:pStyle w:val="949"/>
              <w:jc w:val="center"/>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82"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维保服务案例</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570" w:type="pct"/>
            <w:vAlign w:val="center"/>
            <w:textDirection w:val="lrTb"/>
            <w:noWrap w:val="false"/>
          </w:tcPr>
          <w:p>
            <w:pPr>
              <w:pStyle w:val="949"/>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3569" w:type="pct"/>
            <w:vAlign w:val="center"/>
            <w:textDirection w:val="lrTb"/>
            <w:noWrap w:val="false"/>
          </w:tcPr>
          <w:p>
            <w:pPr>
              <w:pStyle w:val="949"/>
              <w:widowControl/>
              <w:rPr>
                <w:rFonts w:hint="eastAsia" w:ascii="宋体" w:hAnsi="宋体" w:cs="宋体"/>
              </w:rPr>
            </w:pPr>
            <w:r>
              <w:rPr>
                <w:rFonts w:hint="eastAsia" w:ascii="宋体" w:hAnsi="宋体" w:cs="宋体"/>
                <w:lang w:bidi="ar"/>
              </w:rPr>
              <w:t xml:space="preserve">投标人提供2020年1月1日以来（以合同签订时间为准）与本项目类似的网络综合管理系统服务案例的，每提供1个案例得1分，最高得3分。（提供有效合同关键页复印件）</w:t>
            </w:r>
            <w:r>
              <w:rPr>
                <w:rFonts w:hint="eastAsia" w:ascii="宋体" w:hAnsi="宋体" w:cs="宋体"/>
              </w:rPr>
            </w:r>
            <w:r/>
          </w:p>
        </w:tc>
      </w:tr>
    </w:tbl>
    <w:p>
      <w:pPr>
        <w:pStyle w:val="949"/>
        <w:ind w:firstLine="640"/>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49"/>
        <w:ind w:firstLine="640"/>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49"/>
        <w:ind w:firstLine="640"/>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49"/>
        <w:rPr>
          <w:rFonts w:hint="eastAsia"/>
        </w:rPr>
      </w:pPr>
      <w:r>
        <w:rPr>
          <w:rFonts w:hint="eastAsia"/>
        </w:rPr>
      </w:r>
      <w:r/>
    </w:p>
    <w:p>
      <w:pPr>
        <w:pStyle w:val="949"/>
        <w:rPr>
          <w:rFonts w:hint="eastAsia"/>
        </w:rPr>
      </w:pPr>
      <w:r>
        <w:rPr>
          <w:rFonts w:hint="eastAsia"/>
        </w:rPr>
      </w:r>
      <w:r/>
    </w:p>
    <w:p>
      <w:pPr>
        <w:pStyle w:val="950"/>
        <w:rPr>
          <w:rFonts w:ascii="黑体" w:eastAsia="黑体"/>
          <w:bCs/>
          <w:sz w:val="44"/>
        </w:rPr>
      </w:pPr>
      <w:r>
        <w:rPr>
          <w:rFonts w:ascii="黑体" w:eastAsia="黑体"/>
          <w:bCs/>
          <w:sz w:val="44"/>
        </w:rPr>
      </w:r>
      <w:r/>
    </w:p>
    <w:p>
      <w:pPr>
        <w:pStyle w:val="949"/>
        <w:rPr>
          <w:rFonts w:ascii="黑体" w:eastAsia="黑体"/>
          <w:bCs/>
          <w:sz w:val="44"/>
        </w:rPr>
      </w:pPr>
      <w:r>
        <w:rPr>
          <w:rFonts w:ascii="黑体" w:eastAsia="黑体"/>
          <w:bCs/>
          <w:sz w:val="44"/>
        </w:rPr>
      </w:r>
      <w:r/>
    </w:p>
    <w:p>
      <w:pPr>
        <w:pStyle w:val="949"/>
        <w:rPr>
          <w:rFonts w:ascii="黑体" w:eastAsia="黑体"/>
          <w:bCs/>
          <w:sz w:val="44"/>
        </w:rPr>
      </w:pPr>
      <w:r>
        <w:rPr>
          <w:rFonts w:ascii="黑体" w:eastAsia="黑体"/>
          <w:bCs/>
          <w:sz w:val="44"/>
        </w:rPr>
      </w:r>
      <w:r/>
    </w:p>
    <w:p>
      <w:pPr>
        <w:pStyle w:val="949"/>
        <w:rPr>
          <w:rFonts w:ascii="黑体" w:eastAsia="黑体"/>
          <w:bCs/>
          <w:sz w:val="44"/>
        </w:rPr>
      </w:pPr>
      <w:r>
        <w:rPr>
          <w:rFonts w:ascii="黑体" w:eastAsia="黑体"/>
          <w:bCs/>
          <w:sz w:val="44"/>
        </w:rPr>
      </w:r>
      <w:r/>
    </w:p>
    <w:p>
      <w:pPr>
        <w:pStyle w:val="949"/>
        <w:rPr>
          <w:rFonts w:ascii="黑体" w:eastAsia="黑体"/>
          <w:bCs/>
          <w:sz w:val="44"/>
        </w:rPr>
      </w:pPr>
      <w:r>
        <w:rPr>
          <w:rFonts w:ascii="黑体" w:eastAsia="黑体"/>
          <w:bCs/>
          <w:sz w:val="44"/>
        </w:rPr>
      </w:r>
      <w:r/>
    </w:p>
    <w:p>
      <w:pPr>
        <w:pStyle w:val="949"/>
        <w:ind w:right="839"/>
        <w:jc w:val="center"/>
        <w:spacing w:line="660" w:lineRule="exact"/>
        <w:rPr>
          <w:rFonts w:hint="eastAsia" w:ascii="方正黑体_GBK" w:hAnsi="方正黑体_GBK" w:eastAsia="方正黑体_GBK" w:cs="方正黑体_GBK"/>
          <w:sz w:val="52"/>
          <w:szCs w:val="52"/>
        </w:rPr>
      </w:pPr>
      <w:r>
        <w:rPr>
          <w:rFonts w:hint="eastAsia" w:ascii="方正黑体_GBK" w:hAnsi="方正黑体_GBK" w:eastAsia="方正黑体_GBK" w:cs="方正黑体_GBK"/>
          <w:sz w:val="52"/>
          <w:szCs w:val="52"/>
        </w:rPr>
        <w:t xml:space="preserve">第六章  投标</w:t>
      </w:r>
      <w:bookmarkEnd w:id="166"/>
      <w:r/>
      <w:bookmarkEnd w:id="167"/>
      <w:r/>
      <w:bookmarkEnd w:id="194"/>
      <w:r>
        <w:rPr>
          <w:rFonts w:hint="eastAsia" w:ascii="方正黑体_GBK" w:hAnsi="方正黑体_GBK" w:eastAsia="方正黑体_GBK" w:cs="方正黑体_GBK"/>
          <w:sz w:val="52"/>
          <w:szCs w:val="52"/>
        </w:rPr>
        <w:t xml:space="preserve">文件格式 </w:t>
      </w:r>
      <w:r/>
    </w:p>
    <w:p>
      <w:pPr>
        <w:pStyle w:val="949"/>
        <w:jc w:val="center"/>
        <w:rPr>
          <w:rFonts w:hint="eastAsia" w:ascii="宋体" w:hAnsi="宋体"/>
          <w:b/>
          <w:sz w:val="52"/>
          <w:szCs w:val="52"/>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ascii="宋体" w:hAnsi="宋体"/>
          <w:b/>
          <w:sz w:val="52"/>
          <w:szCs w:val="52"/>
        </w:rPr>
      </w:r>
      <w:r/>
    </w:p>
    <w:p>
      <w:pPr>
        <w:pStyle w:val="949"/>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pStyle w:val="949"/>
        <w:jc w:val="center"/>
        <w:rPr>
          <w:rFonts w:hint="eastAsia" w:ascii="宋体" w:hAnsi="宋体"/>
          <w:b/>
          <w:sz w:val="72"/>
        </w:rPr>
      </w:pPr>
      <w:r>
        <w:rPr>
          <w:rFonts w:hint="eastAsia" w:ascii="宋体" w:hAnsi="宋体"/>
          <w:b/>
          <w:sz w:val="72"/>
        </w:rPr>
      </w:r>
      <w:r/>
    </w:p>
    <w:p>
      <w:pPr>
        <w:pStyle w:val="949"/>
        <w:jc w:val="center"/>
        <w:rPr>
          <w:rFonts w:hint="eastAsia" w:ascii="宋体" w:hAnsi="宋体"/>
          <w:b/>
          <w:sz w:val="72"/>
        </w:rPr>
      </w:pPr>
      <w:r>
        <w:rPr>
          <w:rFonts w:hint="eastAsia" w:ascii="宋体" w:hAnsi="宋体"/>
          <w:b/>
          <w:sz w:val="72"/>
        </w:rPr>
      </w:r>
      <w:r/>
    </w:p>
    <w:p>
      <w:pPr>
        <w:pStyle w:val="949"/>
        <w:jc w:val="center"/>
        <w:rPr>
          <w:rFonts w:hint="eastAsia" w:ascii="宋体" w:hAnsi="宋体"/>
          <w:b/>
          <w:sz w:val="36"/>
        </w:rPr>
      </w:pPr>
      <w:r>
        <w:rPr>
          <w:rFonts w:hint="eastAsia" w:ascii="宋体" w:hAnsi="宋体"/>
          <w:b/>
          <w:sz w:val="36"/>
        </w:rPr>
      </w:r>
      <w:r/>
    </w:p>
    <w:p>
      <w:pPr>
        <w:pStyle w:val="949"/>
        <w:jc w:val="center"/>
        <w:rPr>
          <w:rFonts w:hint="eastAsia" w:ascii="宋体" w:hAnsi="宋体"/>
          <w:b/>
          <w:sz w:val="36"/>
        </w:rPr>
      </w:pPr>
      <w:r>
        <w:rPr>
          <w:rFonts w:hint="eastAsia" w:ascii="宋体" w:hAnsi="宋体"/>
          <w:b/>
          <w:sz w:val="36"/>
        </w:rPr>
      </w:r>
      <w:r/>
    </w:p>
    <w:p>
      <w:pPr>
        <w:pStyle w:val="949"/>
        <w:jc w:val="center"/>
        <w:rPr>
          <w:rFonts w:hint="eastAsia" w:ascii="宋体" w:hAnsi="宋体"/>
          <w:b/>
          <w:sz w:val="36"/>
        </w:rPr>
      </w:pPr>
      <w:r>
        <w:rPr>
          <w:rFonts w:hint="eastAsia" w:ascii="宋体" w:hAnsi="宋体"/>
          <w:b/>
          <w:sz w:val="36"/>
        </w:rPr>
      </w:r>
      <w:r/>
    </w:p>
    <w:p>
      <w:pPr>
        <w:pStyle w:val="949"/>
        <w:ind w:firstLine="96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949"/>
        <w:ind w:firstLine="960"/>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pStyle w:val="949"/>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pStyle w:val="949"/>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spacing w:line="440" w:lineRule="exact"/>
        <w:rPr>
          <w:rFonts w:ascii="宋体" w:hAnsi="宋体"/>
        </w:rPr>
      </w:pPr>
      <w:r>
        <w:rPr>
          <w:rFonts w:ascii="宋体" w:hAnsi="宋体"/>
        </w:rPr>
      </w:r>
      <w:r/>
    </w:p>
    <w:p>
      <w:pPr>
        <w:pStyle w:val="94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1.开标一览表（格式见附件1）</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2.投标分项报价表（格式见附件2）</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3.技术要求响应及偏离表（格式见附件3）</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4.商务要求响应及偏离表（格式见附件4）</w:t>
      </w:r>
      <w:r/>
    </w:p>
    <w:p>
      <w:pPr>
        <w:pStyle w:val="949"/>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  2024年或2025</w:t>
      </w:r>
      <w:r>
        <w:rPr>
          <w:rFonts w:hint="eastAsia" w:ascii="方正仿宋_GBK" w:hAnsi="方正仿宋_GBK" w:eastAsia="方正仿宋_GBK" w:cs="方正仿宋_GBK"/>
          <w:sz w:val="32"/>
          <w:szCs w:val="32"/>
        </w:rPr>
        <w:t xml:space="preserve">年度的财务状况报告（投标人成立不满一年无需提供）</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10.中小微企业声明函（如果本项目专门面向中小微型企业采购，则必须提供。格式见附件9）</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11.残疾人福利性单位声明函（如果本项目专门面向中小微型企业采购，供应商为残疾人福利性单位并由本单位提供服务。格式见附件10）</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总备注：上述“资格审查内容”中1-5条、8、9条投标人必须在投标文件中提供相关材料，否则作无效投标处理；6条如招标文件要求必须提供相关材料而未提供的，作无效投标处理。</w:t>
      </w:r>
      <w:r/>
    </w:p>
    <w:p>
      <w:pPr>
        <w:pStyle w:val="949"/>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pStyle w:val="949"/>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pStyle w:val="949"/>
        <w:ind w:firstLine="640"/>
        <w:jc w:val="lef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3.关于符合本国产品标准的声明函（格式见附件13）</w:t>
      </w:r>
      <w:r/>
    </w:p>
    <w:p>
      <w:pPr>
        <w:pStyle w:val="949"/>
        <w:spacing w:line="440" w:lineRule="exact"/>
        <w:rPr>
          <w:rFonts w:ascii="宋体" w:hAnsi="宋体"/>
          <w:sz w:val="24"/>
        </w:rPr>
      </w:pPr>
      <w:r>
        <w:rPr>
          <w:rFonts w:ascii="宋体" w:hAnsi="宋体"/>
          <w:sz w:val="24"/>
        </w:rPr>
      </w:r>
      <w:r/>
    </w:p>
    <w:p>
      <w:pPr>
        <w:pStyle w:val="949"/>
        <w:rPr>
          <w:rFonts w:hint="eastAsia" w:ascii="宋体" w:hAnsi="宋体"/>
          <w:b/>
          <w:sz w:val="24"/>
          <w:szCs w:val="24"/>
        </w:rPr>
      </w:pPr>
      <w:r>
        <w:rPr>
          <w:rFonts w:hint="eastAsia" w:ascii="宋体" w:hAnsi="宋体"/>
          <w:b/>
          <w:sz w:val="24"/>
          <w:szCs w:val="24"/>
        </w:rPr>
      </w:r>
      <w:r/>
    </w:p>
    <w:p>
      <w:pPr>
        <w:pStyle w:val="949"/>
        <w:rPr>
          <w:rFonts w:ascii="宋体" w:hAnsi="宋体"/>
          <w:b/>
          <w:sz w:val="24"/>
          <w:szCs w:val="24"/>
        </w:rPr>
      </w:pPr>
      <w:r>
        <w:rPr>
          <w:rFonts w:ascii="宋体" w:hAnsi="宋体"/>
          <w:b/>
          <w:sz w:val="24"/>
          <w:szCs w:val="24"/>
        </w:rPr>
      </w:r>
      <w:r/>
    </w:p>
    <w:p>
      <w:pPr>
        <w:pStyle w:val="949"/>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附件1 开标一览表</w:t>
      </w:r>
      <w:r>
        <w:rPr>
          <w:rFonts w:hint="eastAsia" w:ascii="方正黑体_GBK" w:hAnsi="方正黑体_GBK" w:eastAsia="方正黑体_GBK" w:cs="方正黑体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pStyle w:val="949"/>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XXXX</w:t>
      </w:r>
      <w:r>
        <w:rPr>
          <w:rFonts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JSZC-320000-SCZX-G20XX-XXXX    </w:t>
      </w:r>
      <w:r>
        <w:rPr>
          <w:rFonts w:hint="eastAsia" w:ascii="方正仿宋_GBK" w:hAnsi="方正仿宋_GBK" w:eastAsia="方正仿宋_GBK" w:cs="方正仿宋_GBK"/>
          <w:sz w:val="32"/>
          <w:szCs w:val="32"/>
        </w:rPr>
        <w:t xml:space="preserve">                                  </w:t>
      </w:r>
      <w:r/>
    </w:p>
    <w:p>
      <w:pPr>
        <w:pStyle w:val="949"/>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ascii="方正仿宋_GBK" w:hAnsi="方正仿宋_GBK" w:eastAsia="方正仿宋_GBK" w:cs="方正仿宋_GBK"/>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37"/>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rPr>
          <w:rFonts w:hint="eastAsia" w:ascii="宋体" w:hAnsi="宋体"/>
          <w:sz w:val="24"/>
          <w:szCs w:val="24"/>
        </w:rPr>
      </w:pPr>
      <w:r>
        <w:rPr>
          <w:rFonts w:hint="eastAsia" w:ascii="宋体" w:hAnsi="宋体"/>
          <w:sz w:val="24"/>
          <w:szCs w:val="24"/>
        </w:rPr>
      </w:r>
      <w:r/>
    </w:p>
    <w:p>
      <w:pPr>
        <w:pStyle w:val="949"/>
        <w:ind w:firstLine="480"/>
        <w:rPr>
          <w:rFonts w:hint="eastAsia" w:ascii="宋体" w:hAnsi="宋体"/>
          <w:sz w:val="24"/>
          <w:szCs w:val="24"/>
        </w:rPr>
      </w:pPr>
      <w:r>
        <w:rPr>
          <w:rFonts w:hint="eastAsia" w:ascii="宋体" w:hAnsi="宋体"/>
          <w:sz w:val="24"/>
          <w:szCs w:val="24"/>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p>
      <w:pPr>
        <w:pStyle w:val="1018"/>
        <w:ind w:firstLine="0"/>
        <w:rPr>
          <w:rFonts w:hint="eastAsia" w:ascii="方正仿宋_GBK" w:hAnsi="方正仿宋_GBK" w:eastAsia="方正仿宋_GBK" w:cs="方正仿宋_GBK"/>
        </w:rPr>
      </w:pPr>
      <w:r>
        <w:rPr>
          <w:rFonts w:hint="eastAsia" w:ascii="方正仿宋_GBK" w:hAnsi="方正仿宋_GBK" w:eastAsia="方正仿宋_GBK" w:cs="方正仿宋_GBK"/>
          <w:sz w:val="24"/>
          <w:szCs w:val="24"/>
        </w:rPr>
        <w:t xml:space="preserve">分包1</w:t>
      </w:r>
      <w:r>
        <w:rPr>
          <w:rFonts w:hint="eastAsia" w:ascii="方正仿宋_GBK" w:hAnsi="方正仿宋_GBK" w:eastAsia="方正仿宋_GBK" w:cs="方正仿宋_GBK"/>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25"/>
        <w:gridCol w:w="1170"/>
        <w:gridCol w:w="1530"/>
        <w:gridCol w:w="1320"/>
        <w:gridCol w:w="880"/>
        <w:gridCol w:w="1295"/>
        <w:gridCol w:w="1293"/>
      </w:tblGrid>
      <w:tr>
        <w:trPr/>
        <w:tc>
          <w:tcPr>
            <w:tcW w:w="456"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1225"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w:t>
            </w:r>
            <w:r/>
          </w:p>
        </w:tc>
        <w:tc>
          <w:tcPr>
            <w:tcW w:w="117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交付期/服务期</w:t>
            </w:r>
            <w:r/>
          </w:p>
        </w:tc>
        <w:tc>
          <w:tcPr>
            <w:tcW w:w="153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w:t>
            </w:r>
            <w:r/>
          </w:p>
        </w:tc>
        <w:tc>
          <w:tcPr>
            <w:tcW w:w="132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分项具体内容单位（个、条等）</w:t>
            </w:r>
            <w:r/>
          </w:p>
        </w:tc>
        <w:tc>
          <w:tcPr>
            <w:tcW w:w="88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295"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分项具体内容单价（万元/月）</w:t>
            </w:r>
            <w:r/>
          </w:p>
        </w:tc>
        <w:tc>
          <w:tcPr>
            <w:tcW w:w="1293"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分项具体内容总价（万元）</w:t>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22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13条双10G线路</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225"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院外单位线路</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扬州路1号-小行路16号</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90"/>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扬州路1号-伊刘村1号</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扬州路1号-禄口机场</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226"/>
        </w:trPr>
        <w:tc>
          <w:tcPr>
            <w:tcW w:w="456"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225"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辐射功能性线路</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市内 10M</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市内 100M</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市内 1000M</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跨省 1000M</w:t>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22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网络设备维保</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22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直流电源维保</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2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122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机房动环监控维保</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2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225"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线路铺设</w:t>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湛江路86号-清凉门大街199号</w:t>
            </w:r>
            <w:r/>
          </w:p>
        </w:tc>
        <w:tc>
          <w:tcPr>
            <w:tcW w:w="132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25"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7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3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扬州路1号-北京西路50号</w:t>
            </w:r>
            <w:r/>
          </w:p>
        </w:tc>
        <w:tc>
          <w:tcPr>
            <w:tcW w:w="1320" w:type="dxa"/>
            <w:vAlign w:val="center"/>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8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5"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3"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gridSpan w:val="8"/>
            <w:tcW w:w="9169"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投标总报价（人民币：万元）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tc>
      </w:tr>
    </w:tbl>
    <w:p>
      <w:pPr>
        <w:pStyle w:val="949"/>
        <w:spacing w:line="0" w:lineRule="atLeast"/>
        <w:rPr>
          <w:rFonts w:hint="eastAsia" w:ascii="宋体" w:hAnsi="宋体"/>
          <w:sz w:val="24"/>
          <w:szCs w:val="24"/>
        </w:rPr>
      </w:pPr>
      <w:r>
        <w:rPr>
          <w:rFonts w:hint="eastAsia" w:ascii="宋体" w:hAnsi="宋体"/>
          <w:sz w:val="24"/>
          <w:szCs w:val="24"/>
        </w:rPr>
      </w:r>
      <w:r/>
    </w:p>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分包2</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952"/>
        <w:gridCol w:w="1290"/>
        <w:gridCol w:w="1296"/>
        <w:gridCol w:w="1297"/>
        <w:gridCol w:w="1290"/>
        <w:gridCol w:w="1294"/>
        <w:gridCol w:w="1294"/>
      </w:tblGrid>
      <w:tr>
        <w:trPr/>
        <w:tc>
          <w:tcPr>
            <w:tcW w:w="456"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952"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w:t>
            </w:r>
            <w:r/>
          </w:p>
        </w:tc>
        <w:tc>
          <w:tcPr>
            <w:tcW w:w="129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交付期/服务期</w:t>
            </w:r>
            <w:r/>
          </w:p>
        </w:tc>
        <w:tc>
          <w:tcPr>
            <w:tcW w:w="1296"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w:t>
            </w:r>
            <w:r/>
          </w:p>
        </w:tc>
        <w:tc>
          <w:tcPr>
            <w:tcW w:w="1297"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分项具体内容单位（个、条等）</w:t>
            </w:r>
            <w:r/>
          </w:p>
        </w:tc>
        <w:tc>
          <w:tcPr>
            <w:tcW w:w="1290"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294"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分项具体内容单价（万元/月）</w:t>
            </w:r>
            <w:r/>
          </w:p>
        </w:tc>
        <w:tc>
          <w:tcPr>
            <w:tcW w:w="1294" w:type="dxa"/>
            <w:vAlign w:val="center"/>
            <w:textDirection w:val="lrTb"/>
            <w:noWrap w:val="false"/>
          </w:tcPr>
          <w:p>
            <w:pPr>
              <w:pStyle w:val="949"/>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分项具体内容总价（万元）</w:t>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952"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13条双10G线路</w:t>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129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7"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52"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院外单位线路</w:t>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虎踞关21号-仙林大道8号</w:t>
            </w:r>
            <w:r/>
          </w:p>
        </w:tc>
        <w:tc>
          <w:tcPr>
            <w:tcW w:w="1297"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90"/>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52"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虎踞关21号-清河路9号</w:t>
            </w:r>
            <w:r/>
          </w:p>
        </w:tc>
        <w:tc>
          <w:tcPr>
            <w:tcW w:w="1297"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52"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虎踞关21号-湛江路86号</w:t>
            </w:r>
            <w:r/>
          </w:p>
        </w:tc>
        <w:tc>
          <w:tcPr>
            <w:tcW w:w="1297"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226"/>
        </w:trPr>
        <w:tc>
          <w:tcPr>
            <w:tcW w:w="456"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52" w:type="dxa"/>
            <w:vAlign w:val="top"/>
            <w:vMerge w:val="restart"/>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互联网线路</w:t>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500M专线</w:t>
            </w:r>
            <w:r/>
          </w:p>
        </w:tc>
        <w:tc>
          <w:tcPr>
            <w:tcW w:w="1297"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52"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1000M专线</w:t>
            </w:r>
            <w:r/>
          </w:p>
        </w:tc>
        <w:tc>
          <w:tcPr>
            <w:tcW w:w="1297"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Pr>
        <w:tc>
          <w:tcPr>
            <w:tcW w:w="456"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52" w:type="dxa"/>
            <w:vAlign w:val="top"/>
            <w:vMerge w:val="continue"/>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1000M拨号宽带</w:t>
            </w:r>
            <w:r/>
          </w:p>
        </w:tc>
        <w:tc>
          <w:tcPr>
            <w:tcW w:w="1297"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45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952"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网络综合管理系统服务</w:t>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6"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7"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0"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94"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gridSpan w:val="8"/>
            <w:tcW w:w="9169" w:type="dxa"/>
            <w:vAlign w:val="top"/>
            <w:textDirection w:val="lrTb"/>
            <w:noWrap w:val="false"/>
          </w:tcPr>
          <w:p>
            <w:pPr>
              <w:pStyle w:val="949"/>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投标总报价（人民币：万元）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tc>
      </w:tr>
    </w:tbl>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pStyle w:val="949"/>
        <w:ind w:firstLine="482"/>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3.分项服务不需填写品牌、规格型号、制造商、产地。</w:t>
      </w:r>
      <w:r/>
    </w:p>
    <w:p>
      <w:pPr>
        <w:pStyle w:val="949"/>
        <w:ind w:firstLine="482"/>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pStyle w:val="949"/>
        <w:ind w:firstLine="480"/>
        <w:rPr>
          <w:rFonts w:hint="eastAsia" w:ascii="宋体" w:hAnsi="宋体"/>
          <w:sz w:val="24"/>
          <w:szCs w:val="24"/>
        </w:rPr>
      </w:pPr>
      <w:r>
        <w:rPr>
          <w:rFonts w:hint="eastAsia" w:ascii="宋体" w:hAnsi="宋体"/>
          <w:sz w:val="24"/>
          <w:szCs w:val="24"/>
        </w:rPr>
      </w:r>
      <w:r/>
    </w:p>
    <w:p>
      <w:pPr>
        <w:pStyle w:val="949"/>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spacing w:line="0" w:lineRule="atLeast"/>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rPr>
          <w:rFonts w:ascii="宋体" w:hAnsi="宋体"/>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spacing w:line="0" w:lineRule="atLeas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pStyle w:val="949"/>
        <w:spacing w:line="400" w:lineRule="exact"/>
        <w:rPr>
          <w:rFonts w:ascii="宋体" w:hAnsi="宋体"/>
          <w:sz w:val="24"/>
          <w:szCs w:val="24"/>
        </w:rPr>
      </w:pPr>
      <w:r>
        <w:rPr>
          <w:rFonts w:ascii="宋体" w:hAnsi="宋体"/>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9"/>
        <w:ind w:firstLine="640"/>
        <w:spacing w:line="560" w:lineRule="exact"/>
        <w:rPr>
          <w:rFonts w:hint="eastAsia"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hint="eastAsia" w:ascii="宋体" w:hAnsi="宋体"/>
          <w:b/>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9"/>
        <w:spacing w:line="460" w:lineRule="exact"/>
        <w:rPr>
          <w:rFonts w:ascii="宋体" w:hAnsi="宋体"/>
          <w:b/>
          <w:sz w:val="24"/>
        </w:rPr>
      </w:pPr>
      <w:r>
        <w:rPr>
          <w:rFonts w:hint="eastAsia" w:ascii="宋体" w:hAnsi="宋体"/>
          <w:bCs/>
          <w:sz w:val="24"/>
        </w:rPr>
        <w:t xml:space="preserve">                                     </w:t>
      </w:r>
      <w:r>
        <w:rPr>
          <w:rFonts w:ascii="宋体" w:hAnsi="宋体"/>
          <w:b/>
          <w:sz w:val="24"/>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ascii="宋体" w:hAnsi="宋体"/>
          <w:bCs/>
          <w:sz w:val="24"/>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rPr>
          <w:rFonts w:ascii="宋体" w:hAnsi="宋体"/>
          <w:bCs/>
          <w:sz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p>
    <w:p>
      <w:pPr>
        <w:pStyle w:val="949"/>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本授权书声明：</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（投标人名称）授权</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（被授权人的姓名）为我方就采购编号为</w:t>
      </w:r>
      <w:r>
        <w:rPr>
          <w:rFonts w:eastAsia="方正仿宋_GBK"/>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项目（项目名称）采购活动的合法代理人，以本单位名义全权处理一切与该项目采购有关的事务。</w:t>
      </w:r>
      <w:r/>
    </w:p>
    <w:p>
      <w:pPr>
        <w:pStyle w:val="949"/>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本授权书于</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年</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月</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日起生效，特此声明。</w:t>
      </w:r>
      <w:r/>
    </w:p>
    <w:p>
      <w:pPr>
        <w:pStyle w:val="949"/>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被授权人身份证号码：</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rPr>
          <w:rFonts w:hint="eastAsia" w:ascii="方正仿宋_GBK" w:hAnsi="方正仿宋_GBK" w:eastAsia="方正仿宋_GBK" w:cs="方正仿宋_GBK"/>
          <w:sz w:val="32"/>
          <w:szCs w:val="32"/>
        </w:rPr>
      </w:r>
      <w:r/>
    </w:p>
    <w:p>
      <w:pPr>
        <w:pStyle w:val="949"/>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spacing w:line="560" w:lineRule="exact"/>
        <w:rPr>
          <w:rFonts w:ascii="黑体" w:hAnsi="黑体" w:eastAsia="黑体"/>
          <w:b/>
          <w:i/>
          <w:sz w:val="32"/>
          <w:szCs w:val="32"/>
          <w:u w:val="single"/>
        </w:rPr>
      </w:pPr>
      <w:r>
        <w:rPr>
          <w:rFonts w:ascii="宋体" w:hAnsi="宋体" w:eastAsia="幼圆" w:cs="Arial"/>
          <w:b/>
          <w:sz w:val="24"/>
          <w:szCs w:val="44"/>
        </w:rPr>
        <w:br w:type="page" w:clear="all"/>
      </w:r>
      <w:r>
        <w:rPr>
          <w:rFonts w:hint="eastAsia" w:ascii="方正黑体_GBK" w:hAnsi="方正黑体_GBK" w:eastAsia="方正黑体_GBK" w:cs="方正黑体_GBK"/>
          <w:bCs/>
          <w:sz w:val="32"/>
          <w:szCs w:val="32"/>
        </w:rPr>
        <w:t xml:space="preserve">附件8             </w:t>
      </w:r>
      <w:r>
        <w:rPr>
          <w:rFonts w:hint="eastAsia" w:ascii="方正黑体_GBK" w:hAnsi="方正黑体_GBK" w:eastAsia="方正黑体_GBK" w:cs="方正黑体_GBK"/>
          <w:bCs/>
          <w:sz w:val="32"/>
          <w:szCs w:val="32"/>
        </w:rPr>
        <w:t xml:space="preserve">      </w:t>
      </w:r>
      <w:r>
        <w:rPr>
          <w:rFonts w:hint="eastAsia" w:ascii="方正黑体_GBK" w:hAnsi="方正黑体_GBK" w:eastAsia="方正黑体_GBK" w:cs="方正黑体_GBK"/>
          <w:bCs/>
          <w:sz w:val="32"/>
          <w:szCs w:val="32"/>
        </w:rPr>
        <w:t xml:space="preserve"> 投标函</w:t>
      </w:r>
      <w:r>
        <w:rPr>
          <w:rFonts w:ascii="黑体" w:hAnsi="黑体" w:eastAsia="黑体"/>
          <w:b/>
          <w:i/>
          <w:sz w:val="32"/>
          <w:szCs w:val="32"/>
          <w:u w:val="single"/>
        </w:rPr>
      </w:r>
      <w:r/>
    </w:p>
    <w:p>
      <w:pPr>
        <w:pStyle w:val="949"/>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致：江苏省政府采购中心</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根据贵方采购编号为</w:t>
      </w:r>
      <w:r>
        <w:rPr>
          <w:rFonts w:ascii="Times New Roman" w:hAnsi="Times New Roman" w:eastAsia="方正仿宋_GBK"/>
          <w:sz w:val="32"/>
          <w:szCs w:val="32"/>
        </w:rPr>
        <w:t xml:space="preserve">JSZC-320000-SCZX-G20XX-XXXX，</w:t>
      </w:r>
      <w:r>
        <w:rPr>
          <w:rFonts w:ascii="Times New Roman" w:hAnsi="Times New Roman"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项目（项目名称）的招标文件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sz w:val="32"/>
          <w:szCs w:val="32"/>
          <w:u w:val="single"/>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1037"/>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1037"/>
        <w:ind w:firstLine="105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1037"/>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1037"/>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1037"/>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1037"/>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1037"/>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1037"/>
        <w:ind w:left="420"/>
        <w:spacing w:before="0" w:after="0" w:line="420" w:lineRule="exact"/>
        <w:rPr>
          <w:rFonts w:hint="eastAsia" w:ascii="宋体" w:hAnsi="宋体"/>
          <w:szCs w:val="21"/>
        </w:rPr>
      </w:pPr>
      <w:r>
        <w:rPr>
          <w:rFonts w:hint="eastAsia" w:ascii="宋体" w:hAnsi="宋体"/>
          <w:szCs w:val="21"/>
        </w:rPr>
      </w:r>
      <w:r/>
    </w:p>
    <w:p>
      <w:pPr>
        <w:pStyle w:val="949"/>
        <w:jc w:val="right"/>
        <w:spacing w:line="420" w:lineRule="exact"/>
        <w:rPr>
          <w:rFonts w:hint="eastAsia" w:ascii="宋体" w:hAnsi="宋体"/>
        </w:rPr>
      </w:pPr>
      <w:r>
        <w:rPr>
          <w:rFonts w:hint="eastAsia" w:ascii="方正魏碑_GBK" w:hAnsi="方正魏碑_GBK" w:eastAsia="方正魏碑_GBK" w:cs="方正魏碑_GBK"/>
          <w:sz w:val="32"/>
          <w:szCs w:val="32"/>
        </w:rPr>
        <w:t xml:space="preserve">供应商全称（加盖CA电子公章）：</w:t>
      </w:r>
      <w:r>
        <w:rPr>
          <w:rFonts w:hint="eastAsia" w:ascii="宋体" w:hAnsi="宋体"/>
        </w:rPr>
      </w:r>
      <w:r/>
    </w:p>
    <w:p>
      <w:pPr>
        <w:pStyle w:val="1037"/>
        <w:jc w:val="right"/>
        <w:spacing w:before="0" w:after="0" w:line="42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日      期：___年____月____日</w:t>
      </w:r>
      <w:r>
        <w:rPr>
          <w:rFonts w:hint="eastAsia" w:ascii="方正仿宋_GBK" w:hAnsi="方正仿宋_GBK" w:eastAsia="方正仿宋_GBK" w:cs="方正仿宋_GBK"/>
          <w:bCs/>
          <w:sz w:val="32"/>
          <w:szCs w:val="32"/>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ind w:firstLine="480"/>
        <w:spacing w:line="440" w:lineRule="exact"/>
        <w:rPr>
          <w:rFonts w:ascii="宋体" w:hAnsi="宋体"/>
          <w:sz w:val="24"/>
        </w:rPr>
      </w:pPr>
      <w:r>
        <w:rPr>
          <w:rFonts w:ascii="宋体" w:hAnsi="宋体"/>
          <w:sz w:val="24"/>
        </w:rPr>
      </w:r>
      <w:r/>
    </w:p>
    <w:p>
      <w:pPr>
        <w:pStyle w:val="949"/>
        <w:spacing w:line="460" w:lineRule="exact"/>
        <w:rPr>
          <w:rFonts w:hint="eastAsia" w:ascii="黑体" w:hAnsi="黑体" w:eastAsia="黑体"/>
          <w:b/>
          <w:sz w:val="32"/>
          <w:szCs w:val="32"/>
        </w:rPr>
      </w:pPr>
      <w:r/>
      <w:bookmarkEnd w:id="198"/>
      <w:r/>
      <w:bookmarkEnd w:id="199"/>
      <w:r/>
      <w:bookmarkEnd w:id="200"/>
      <w:r/>
      <w:bookmarkStart w:id="201" w:name="_Toc120614284"/>
      <w:r>
        <w:rPr>
          <w:rFonts w:hint="eastAsia" w:ascii="黑体" w:hAnsi="黑体" w:eastAsia="黑体"/>
          <w:b/>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（单位名称）采购编号为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项目（项目名称）（采购包号：XX）的采购活动，服务全部由符合政策的中小微企业承接。相关企业（含联合体中的中小微企业、签订采购包意向协议的中小微企业）的具体情况如下：</w:t>
      </w:r>
      <w:r/>
    </w:p>
    <w:p>
      <w:pPr>
        <w:pStyle w:val="949"/>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sz w:val="32"/>
          <w:szCs w:val="32"/>
          <w:u w:val="single"/>
        </w:rPr>
        <w:t xml:space="preserve">XX</w:t>
      </w:r>
      <w:r>
        <w:rPr>
          <w:rFonts w:hint="eastAsia" w:eastAsia="方正仿宋_GBK"/>
          <w:sz w:val="32"/>
          <w:szCs w:val="32"/>
        </w:rPr>
        <w:t xml:space="preserve">（</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9"/>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pStyle w:val="949"/>
        <w:ind w:right="720"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pStyle w:val="949"/>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                    日     期：___年___月___日 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pStyle w:val="949"/>
        <w:ind w:firstLine="640"/>
        <w:spacing w:line="560" w:lineRule="exact"/>
        <w:rPr>
          <w:rFonts w:hint="eastAsia" w:ascii="宋体" w:hAnsi="宋体"/>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Cs/>
          <w:sz w:val="32"/>
          <w:szCs w:val="32"/>
        </w:rPr>
        <w:t xml:space="preserve">附件10 残疾人福利性单位声明函（服务类项目）（采购包号：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pStyle w:val="949"/>
        <w:ind w:firstLine="664"/>
        <w:spacing w:line="560" w:lineRule="exact"/>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pStyle w:val="949"/>
        <w:ind w:right="1559" w:firstLine="664"/>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供应商全称（加盖CA电子公章）：</w:t>
      </w:r>
      <w:r/>
    </w:p>
    <w:p>
      <w:pPr>
        <w:pStyle w:val="949"/>
        <w:ind w:right="1559" w:firstLine="640"/>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     期：___年____月____日   </w:t>
      </w:r>
      <w:r>
        <w:rPr>
          <w:rFonts w:hint="eastAsia" w:ascii="方正仿宋_GBK" w:hAnsi="方正仿宋_GBK" w:eastAsia="方正仿宋_GBK" w:cs="方正仿宋_GBK"/>
          <w:sz w:val="32"/>
          <w:szCs w:val="32"/>
        </w:rPr>
      </w:r>
      <w:r/>
    </w:p>
    <w:p>
      <w:pPr>
        <w:pStyle w:val="94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9"/>
        <w:spacing w:line="560" w:lineRule="exact"/>
        <w:rPr>
          <w:rFonts w:hint="eastAsia" w:ascii="黑体" w:hAnsi="黑体" w:eastAsia="黑体"/>
          <w:b/>
          <w:sz w:val="32"/>
          <w:szCs w:val="32"/>
        </w:rPr>
      </w:pPr>
      <w:r>
        <w:rPr>
          <w:rFonts w:hint="eastAsia" w:ascii="黑体" w:hAnsi="黑体" w:eastAsia="黑体"/>
          <w:b/>
          <w:sz w:val="32"/>
          <w:szCs w:val="32"/>
        </w:rPr>
      </w:r>
      <w:r/>
    </w:p>
    <w:p>
      <w:pPr>
        <w:pStyle w:val="949"/>
        <w:ind w:firstLine="640"/>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pStyle w:val="949"/>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sz w:val="32"/>
          <w:szCs w:val="32"/>
        </w:rPr>
        <w:t xml:space="preserve">逐条做出明确响应，否则作无效投标处理。</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p>
    <w:p>
      <w:pPr>
        <w:pStyle w:val="949"/>
        <w:spacing w:line="400" w:lineRule="exact"/>
        <w:rPr>
          <w:rFonts w:hint="eastAsia" w:ascii="宋体" w:hAnsi="宋体"/>
          <w:sz w:val="24"/>
          <w:szCs w:val="24"/>
        </w:rPr>
      </w:pPr>
      <w:r>
        <w:rPr>
          <w:rFonts w:hint="eastAsia" w:ascii="宋体" w:hAnsi="宋体"/>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宋体" w:hAnsi="宋体" w:cs="宋体"/>
          <w:b/>
          <w:sz w:val="24"/>
          <w:szCs w:val="24"/>
        </w:rPr>
      </w:pPr>
      <w:r>
        <w:rPr>
          <w:rFonts w:hint="eastAsia" w:ascii="宋体" w:hAnsi="宋体" w:cs="宋体"/>
          <w:b/>
          <w:sz w:val="24"/>
          <w:szCs w:val="24"/>
        </w:rPr>
      </w:r>
      <w:r/>
    </w:p>
    <w:p>
      <w:pPr>
        <w:pStyle w:val="949"/>
        <w:jc w:val="center"/>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附件13  关于符合本国产品标准的声明函（采购包号：XX）</w:t>
      </w:r>
      <w:r/>
    </w:p>
    <w:p>
      <w:pPr>
        <w:pStyle w:val="1012"/>
        <w:ind w:firstLine="640"/>
        <w:spacing w:before="0" w:beforeAutospacing="0" w:after="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w:t>
      </w:r>
      <w:r>
        <w:rPr>
          <w:rStyle w:val="1024"/>
          <w:rFonts w:hint="eastAsia" w:ascii="方正魏碑_GBK" w:hAnsi="方正魏碑_GBK" w:eastAsia="方正魏碑_GBK" w:cs="方正魏碑_GBK"/>
          <w:i w:val="0"/>
          <w:sz w:val="32"/>
          <w:szCs w:val="32"/>
          <w:u w:val="single"/>
          <w:shd w:val="clear" w:color="auto" w:fill="ffffff"/>
        </w:rPr>
        <w:t xml:space="preserve">（产品名称1）</w:t>
      </w:r>
      <w:r>
        <w:rPr>
          <w:rStyle w:val="1024"/>
          <w:rFonts w:hint="eastAsia" w:ascii="方正魏碑_GBK" w:hAnsi="方正魏碑_GBK" w:eastAsia="方正魏碑_GBK" w:cs="方正魏碑_GBK"/>
          <w:i w:val="0"/>
          <w:sz w:val="32"/>
          <w:szCs w:val="32"/>
          <w:shd w:val="clear" w:color="auto" w:fill="ffffff"/>
          <w:vertAlign w:val="superscript"/>
        </w:rPr>
        <w:t xml:space="preserve">1</w:t>
      </w:r>
      <w:r>
        <w:rPr>
          <w:rFonts w:hint="eastAsia" w:ascii="方正魏碑_GBK" w:hAnsi="方正魏碑_GBK" w:eastAsia="方正魏碑_GBK" w:cs="方正魏碑_GBK"/>
          <w:sz w:val="32"/>
          <w:szCs w:val="32"/>
          <w:shd w:val="clear" w:color="auto" w:fill="ffffff"/>
        </w:rPr>
        <w:t xml:space="preserve">，生产厂为</w:t>
      </w:r>
      <w:r>
        <w:rPr>
          <w:rStyle w:val="1024"/>
          <w:rFonts w:hint="eastAsia" w:ascii="方正魏碑_GBK" w:hAnsi="方正魏碑_GBK" w:eastAsia="方正魏碑_GBK" w:cs="方正魏碑_GBK"/>
          <w:i w:val="0"/>
          <w:sz w:val="32"/>
          <w:szCs w:val="32"/>
          <w:u w:val="single"/>
          <w:shd w:val="clear" w:color="auto" w:fill="ffffff"/>
        </w:rPr>
        <w:t xml:space="preserve">（厂名）</w:t>
      </w:r>
      <w:r>
        <w:rPr>
          <w:rStyle w:val="1024"/>
          <w:rFonts w:hint="eastAsia" w:ascii="方正魏碑_GBK" w:hAnsi="方正魏碑_GBK" w:eastAsia="方正魏碑_GBK" w:cs="方正魏碑_GBK"/>
          <w:i w:val="0"/>
          <w:sz w:val="32"/>
          <w:szCs w:val="32"/>
          <w:shd w:val="clear" w:color="auto" w:fill="ffffff"/>
          <w:vertAlign w:val="superscript"/>
        </w:rPr>
        <w:t xml:space="preserve">2</w:t>
      </w:r>
      <w:r>
        <w:rPr>
          <w:rFonts w:hint="eastAsia" w:ascii="方正魏碑_GBK" w:hAnsi="方正魏碑_GBK" w:eastAsia="方正魏碑_GBK" w:cs="方正魏碑_GBK"/>
          <w:sz w:val="32"/>
          <w:szCs w:val="32"/>
          <w:shd w:val="clear" w:color="auto" w:fill="ffffff"/>
        </w:rPr>
        <w:t xml:space="preserve">，厂址为</w:t>
      </w:r>
      <w:r>
        <w:rPr>
          <w:rStyle w:val="1024"/>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shd w:val="clear" w:color="auto" w:fill="ffffff"/>
          <w:vertAlign w:val="superscript"/>
        </w:rPr>
        <w:t xml:space="preserve">3</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shd w:val="clear" w:color="auto" w:fill="ffffff"/>
          <w:vertAlign w:val="superscript"/>
        </w:rPr>
        <w:t xml:space="preserve">4</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shd w:val="clear" w:color="auto" w:fill="ffffff"/>
          <w:vertAlign w:val="superscript"/>
        </w:rPr>
        <w:t xml:space="preserve">5</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w:t>
      </w:r>
      <w:r>
        <w:rPr>
          <w:rStyle w:val="1024"/>
          <w:rFonts w:hint="eastAsia" w:ascii="方正魏碑_GBK" w:hAnsi="方正魏碑_GBK" w:eastAsia="方正魏碑_GBK" w:cs="方正魏碑_GBK"/>
          <w:i w:val="0"/>
          <w:sz w:val="32"/>
          <w:szCs w:val="32"/>
          <w:u w:val="single"/>
          <w:shd w:val="clear" w:color="auto" w:fill="ffffff"/>
        </w:rPr>
        <w:t xml:space="preserve">（产品名称2）</w:t>
      </w:r>
      <w:r>
        <w:rPr>
          <w:rFonts w:hint="eastAsia" w:ascii="方正魏碑_GBK" w:hAnsi="方正魏碑_GBK" w:eastAsia="方正魏碑_GBK" w:cs="方正魏碑_GBK"/>
          <w:sz w:val="32"/>
          <w:szCs w:val="32"/>
          <w:shd w:val="clear" w:color="auto" w:fill="ffffff"/>
        </w:rPr>
        <w:t xml:space="preserve">，生产厂为</w:t>
      </w:r>
      <w:r>
        <w:rPr>
          <w:rStyle w:val="1024"/>
          <w:rFonts w:hint="eastAsia" w:ascii="方正魏碑_GBK" w:hAnsi="方正魏碑_GBK" w:eastAsia="方正魏碑_GBK" w:cs="方正魏碑_GBK"/>
          <w:i w:val="0"/>
          <w:sz w:val="32"/>
          <w:szCs w:val="32"/>
          <w:u w:val="single"/>
          <w:shd w:val="clear" w:color="auto" w:fill="ffffff"/>
        </w:rPr>
        <w:t xml:space="preserve">（厂名）</w:t>
      </w:r>
      <w:r>
        <w:rPr>
          <w:rFonts w:hint="eastAsia" w:ascii="方正魏碑_GBK" w:hAnsi="方正魏碑_GBK" w:eastAsia="方正魏碑_GBK" w:cs="方正魏碑_GBK"/>
          <w:sz w:val="32"/>
          <w:szCs w:val="32"/>
          <w:shd w:val="clear" w:color="auto" w:fill="ffffff"/>
        </w:rPr>
        <w:t xml:space="preserve">，厂址为</w:t>
      </w:r>
      <w:r>
        <w:rPr>
          <w:rStyle w:val="1024"/>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r>
      <w:r/>
    </w:p>
    <w:p>
      <w:pPr>
        <w:pStyle w:val="1012"/>
        <w:ind w:firstLine="640"/>
        <w:jc w:val="right"/>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公司（单位）名称（加盖CA电子公章）：　        </w:t>
      </w:r>
      <w:r>
        <w:rPr>
          <w:rFonts w:hint="eastAsia" w:ascii="方正魏碑_GBK" w:hAnsi="方正魏碑_GBK" w:eastAsia="方正魏碑_GBK" w:cs="方正魏碑_GBK"/>
          <w:sz w:val="32"/>
          <w:szCs w:val="32"/>
        </w:rPr>
      </w:r>
      <w:r/>
    </w:p>
    <w:p>
      <w:pPr>
        <w:pStyle w:val="1012"/>
        <w:ind w:firstLine="640"/>
        <w:jc w:val="center"/>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日期：</w:t>
      </w:r>
      <w:r>
        <w:rPr>
          <w:rFonts w:hint="eastAsia" w:ascii="方正魏碑_GBK" w:hAnsi="方正魏碑_GBK" w:eastAsia="方正魏碑_GBK" w:cs="方正魏碑_GBK"/>
          <w:sz w:val="32"/>
          <w:szCs w:val="32"/>
        </w:rPr>
        <w:t xml:space="preserve">___年____月____日</w:t>
      </w:r>
      <w:r>
        <w:rPr>
          <w:rFonts w:hint="eastAsia" w:ascii="方正魏碑_GBK" w:hAnsi="方正魏碑_GBK" w:eastAsia="方正魏碑_GBK" w:cs="方正魏碑_GBK"/>
          <w:sz w:val="32"/>
          <w:szCs w:val="32"/>
          <w:shd w:val="clear" w:color="auto" w:fill="ffffff"/>
        </w:rPr>
        <w:t xml:space="preserve">        </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__________________</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1.产品如有型号，请在“产品名称”栏一并填写。</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4.该产品的关键组件要求实施前，“关键组件”栏可不填，下同。</w:t>
      </w:r>
      <w:r>
        <w:rPr>
          <w:rFonts w:hint="eastAsia" w:ascii="方正魏碑_GBK" w:hAnsi="方正魏碑_GBK" w:eastAsia="方正魏碑_GBK" w:cs="方正魏碑_GBK"/>
          <w:sz w:val="32"/>
          <w:szCs w:val="32"/>
        </w:rPr>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5.该产品的关键工序要求实施前，“关键工序”栏可不填，下同。</w:t>
      </w:r>
      <w:r/>
    </w:p>
    <w:p>
      <w:pPr>
        <w:pStyle w:val="1012"/>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6.《声明函》中标注“</w:t>
      </w:r>
      <w:r>
        <w:rPr>
          <w:rFonts w:hint="eastAsia" w:ascii="方正魏碑_GBK" w:hAnsi="方正魏碑_GBK" w:eastAsia="方正魏碑_GBK" w:cs="方正魏碑_GBK"/>
          <w:sz w:val="32"/>
          <w:szCs w:val="32"/>
          <w:u w:val="single"/>
          <w:shd w:val="clear" w:color="auto" w:fill="ffffff"/>
        </w:rPr>
        <w:t xml:space="preserve">  </w:t>
      </w:r>
      <w:r>
        <w:rPr>
          <w:rStyle w:val="1024"/>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”的地方无需填写。</w:t>
      </w:r>
      <w:r/>
    </w:p>
    <w:p>
      <w:pPr>
        <w:pStyle w:val="949"/>
        <w:spacing w:line="460" w:lineRule="exact"/>
        <w:rPr>
          <w:rFonts w:hint="eastAsia" w:ascii="方正魏碑_GBK" w:hAnsi="方正魏碑_GBK" w:eastAsia="方正魏碑_GBK" w:cs="方正魏碑_GBK"/>
          <w:bCs/>
          <w:sz w:val="24"/>
        </w:rPr>
      </w:pPr>
      <w:r>
        <w:rPr>
          <w:rFonts w:hint="eastAsia" w:ascii="方正魏碑_GBK" w:hAnsi="方正魏碑_GBK" w:eastAsia="方正魏碑_GBK" w:cs="方正魏碑_GBK"/>
          <w:bCs/>
          <w:sz w:val="24"/>
        </w:rPr>
      </w:r>
      <w:r/>
    </w:p>
    <w:p>
      <w:pPr>
        <w:pStyle w:val="949"/>
        <w:spacing w:line="460" w:lineRule="exact"/>
        <w:rPr>
          <w:rFonts w:hint="eastAsia" w:ascii="宋体" w:hAnsi="宋体"/>
          <w:bCs/>
          <w:sz w:val="24"/>
        </w:rPr>
      </w:pPr>
      <w:r>
        <w:rPr>
          <w:rFonts w:hint="eastAsia" w:ascii="宋体" w:hAnsi="宋体"/>
          <w:bCs/>
          <w:sz w:val="24"/>
        </w:rPr>
      </w:r>
      <w:r/>
    </w:p>
    <w:p>
      <w:pPr>
        <w:pStyle w:val="949"/>
        <w:spacing w:line="460" w:lineRule="exact"/>
        <w:rPr>
          <w:rFonts w:hint="eastAsia" w:ascii="宋体" w:hAnsi="宋体"/>
          <w:bCs/>
          <w:sz w:val="24"/>
        </w:rPr>
      </w:pPr>
      <w:r>
        <w:rPr>
          <w:rFonts w:hint="eastAsia" w:ascii="宋体" w:hAnsi="宋体"/>
          <w:bCs/>
          <w:sz w:val="24"/>
        </w:rPr>
      </w:r>
      <w:r/>
    </w:p>
    <w:p>
      <w:pPr>
        <w:pStyle w:val="949"/>
        <w:spacing w:line="460" w:lineRule="exact"/>
        <w:rPr>
          <w:rFonts w:hint="eastAsia" w:ascii="宋体" w:hAnsi="宋体"/>
          <w:bCs/>
          <w:sz w:val="24"/>
        </w:rPr>
      </w:pPr>
      <w:r>
        <w:rPr>
          <w:rFonts w:hint="eastAsia" w:ascii="宋体" w:hAnsi="宋体"/>
          <w:bCs/>
          <w:sz w:val="24"/>
        </w:rPr>
      </w:r>
      <w:r/>
    </w:p>
    <w:p>
      <w:pPr>
        <w:pStyle w:val="949"/>
        <w:spacing w:line="460" w:lineRule="exact"/>
        <w:rPr>
          <w:rFonts w:hint="eastAsia" w:ascii="宋体" w:hAnsi="宋体"/>
          <w:bCs/>
          <w:sz w:val="24"/>
        </w:rPr>
      </w:pPr>
      <w:r>
        <w:rPr>
          <w:rFonts w:hint="eastAsia" w:ascii="宋体" w:hAnsi="宋体"/>
          <w:bCs/>
          <w:sz w:val="24"/>
        </w:rPr>
      </w:r>
      <w:r/>
    </w:p>
    <w:p>
      <w:pPr>
        <w:pStyle w:val="949"/>
        <w:rPr>
          <w:rFonts w:hint="eastAsia"/>
        </w:rPr>
      </w:pPr>
      <w:r>
        <w:rPr>
          <w:rFonts w:hint="eastAsia"/>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jc w:val="center"/>
        <w:rPr>
          <w:rFonts w:hint="eastAsia" w:ascii="黑体" w:hAnsi="黑体" w:eastAsia="黑体"/>
          <w:b/>
          <w:sz w:val="32"/>
          <w:szCs w:val="32"/>
        </w:rPr>
      </w:pPr>
      <w:r>
        <w:rPr>
          <w:rFonts w:hint="eastAsia" w:ascii="黑体" w:hAnsi="黑体" w:eastAsia="黑体"/>
          <w:b/>
          <w:sz w:val="32"/>
          <w:szCs w:val="32"/>
        </w:rPr>
      </w:r>
      <w:r/>
    </w:p>
    <w:p>
      <w:pPr>
        <w:pStyle w:val="949"/>
        <w:rPr>
          <w:rFonts w:hint="eastAsia" w:ascii="黑体" w:hAnsi="黑体" w:eastAsia="黑体"/>
          <w:b/>
          <w:sz w:val="32"/>
          <w:szCs w:val="32"/>
        </w:rPr>
      </w:pPr>
      <w:r>
        <w:rPr>
          <w:rFonts w:hint="eastAsia" w:ascii="黑体" w:hAnsi="黑体" w:eastAsia="黑体"/>
          <w:b/>
          <w:sz w:val="32"/>
          <w:szCs w:val="32"/>
        </w:rPr>
      </w:r>
      <w:r/>
    </w:p>
    <w:p>
      <w:pPr>
        <w:pStyle w:val="949"/>
        <w:ind w:firstLine="640"/>
        <w:jc w:val="center"/>
        <w:spacing w:line="560" w:lineRule="exact"/>
        <w:rPr>
          <w:rFonts w:hint="eastAsia" w:ascii="方正黑体_GBK" w:hAnsi="方正黑体_GBK" w:eastAsia="方正黑体_GBK" w:cs="方正黑体_GBK"/>
          <w:bCs/>
          <w:sz w:val="32"/>
          <w:szCs w:val="32"/>
        </w:rPr>
      </w:pPr>
      <w:r/>
      <w:bookmarkEnd w:id="160"/>
      <w:r/>
      <w:bookmarkEnd w:id="161"/>
      <w:r/>
      <w:bookmarkEnd w:id="201"/>
      <w:r>
        <w:rPr>
          <w:rFonts w:hint="eastAsia" w:ascii="方正黑体_GBK" w:hAnsi="方正黑体_GBK" w:eastAsia="方正黑体_GBK" w:cs="方正黑体_GBK"/>
          <w:bCs/>
          <w:sz w:val="32"/>
          <w:szCs w:val="32"/>
        </w:rPr>
        <w:t xml:space="preserve">质疑函范本</w:t>
      </w:r>
      <w:r/>
    </w:p>
    <w:p>
      <w:pPr>
        <w:pStyle w:val="949"/>
        <w:ind w:firstLine="64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pStyle w:val="949"/>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4"/>
        <w:rPr>
          <w:rFonts w:hint="eastAsia"/>
          <w:sz w:val="24"/>
          <w:szCs w:val="24"/>
        </w:rPr>
      </w:pPr>
      <w:r>
        <w:rPr>
          <w:rFonts w:hint="eastAsia"/>
          <w:sz w:val="24"/>
          <w:szCs w:val="24"/>
        </w:rPr>
      </w:r>
      <w:r/>
    </w:p>
    <w:p>
      <w:pPr>
        <w:pStyle w:val="96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rPr>
        <w:rStyle w:val="1022"/>
      </w:rPr>
    </w:r>
    <w:r/>
  </w:p>
  <w:p>
    <w:pPr>
      <w:pStyle w:val="9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9"/>
                    </w:pPr>
                    <w:r/>
                    <w:r/>
                  </w:p>
                </w:txbxContent>
              </v:textbox>
            </v:shape>
          </w:pict>
        </mc:Fallback>
      </mc:AlternateContent>
    </w:r>
    <w:r/>
  </w:p>
  <w:p>
    <w:pPr>
      <w:pStyle w:val="9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9"/>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6"/>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5"/>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2"/>
    <w:qFormat/>
    <w:pPr>
      <w:jc w:val="center"/>
      <w:keepNext/>
      <w:outlineLvl w:val="0"/>
    </w:pPr>
    <w:rPr>
      <w:rFonts w:ascii="楷体_GB2312" w:eastAsia="楷体_GB2312"/>
      <w:sz w:val="28"/>
      <w:szCs w:val="28"/>
    </w:rPr>
  </w:style>
  <w:style w:type="paragraph" w:styleId="951">
    <w:name w:val="标题 2"/>
    <w:basedOn w:val="949"/>
    <w:next w:val="964"/>
    <w:link w:val="963"/>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4"/>
    <w:link w:val="966"/>
    <w:qFormat/>
    <w:pPr>
      <w:keepLines/>
      <w:keepNext/>
      <w:spacing w:before="260" w:after="260" w:line="416" w:lineRule="auto"/>
      <w:outlineLvl w:val="2"/>
    </w:pPr>
    <w:rPr>
      <w:b/>
      <w:bCs/>
      <w:sz w:val="32"/>
      <w:szCs w:val="32"/>
    </w:rPr>
  </w:style>
  <w:style w:type="paragraph" w:styleId="953">
    <w:name w:val="标题 4"/>
    <w:basedOn w:val="949"/>
    <w:next w:val="964"/>
    <w:link w:val="967"/>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4"/>
    <w:link w:val="968"/>
    <w:qFormat/>
    <w:pPr>
      <w:keepNext/>
      <w:outlineLvl w:val="4"/>
    </w:pPr>
    <w:rPr>
      <w:rFonts w:ascii="宋体"/>
      <w:color w:val="000000"/>
      <w:sz w:val="28"/>
      <w:szCs w:val="28"/>
    </w:rPr>
  </w:style>
  <w:style w:type="paragraph" w:styleId="955">
    <w:name w:val="标题 6"/>
    <w:basedOn w:val="949"/>
    <w:next w:val="949"/>
    <w:link w:val="969"/>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70"/>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1"/>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2"/>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numbering" w:styleId="961">
    <w:name w:val="无列表"/>
    <w:next w:val="961"/>
    <w:link w:val="949"/>
    <w:uiPriority w:val="99"/>
    <w:semiHidden/>
    <w:unhideWhenUsed/>
  </w:style>
  <w:style w:type="character" w:styleId="962">
    <w:name w:val="标题 1 Char"/>
    <w:next w:val="962"/>
    <w:link w:val="950"/>
    <w:rPr>
      <w:rFonts w:ascii="楷体_GB2312" w:hAnsi="Times New Roman" w:eastAsia="楷体_GB2312" w:cs="Times New Roman"/>
      <w:sz w:val="28"/>
      <w:szCs w:val="28"/>
    </w:rPr>
  </w:style>
  <w:style w:type="character" w:styleId="963">
    <w:name w:val="标题 2 Char"/>
    <w:next w:val="963"/>
    <w:link w:val="951"/>
    <w:rPr>
      <w:rFonts w:ascii="Arial" w:hAnsi="Arial" w:eastAsia="幼圆" w:cs="Arial"/>
      <w:b/>
      <w:bCs/>
      <w:sz w:val="44"/>
      <w:szCs w:val="44"/>
    </w:rPr>
  </w:style>
  <w:style w:type="paragraph" w:styleId="964">
    <w:name w:val="正文缩进"/>
    <w:basedOn w:val="949"/>
    <w:next w:val="964"/>
    <w:link w:val="965"/>
    <w:pPr>
      <w:ind w:firstLine="420"/>
    </w:pPr>
  </w:style>
  <w:style w:type="character" w:styleId="965">
    <w:name w:val="正文缩进 Char"/>
    <w:next w:val="965"/>
    <w:link w:val="964"/>
    <w:rPr>
      <w:rFonts w:ascii="Times New Roman" w:hAnsi="Times New Roman" w:eastAsia="宋体" w:cs="Times New Roman"/>
      <w:szCs w:val="21"/>
    </w:rPr>
  </w:style>
  <w:style w:type="character" w:styleId="966">
    <w:name w:val="标题 3 Char"/>
    <w:next w:val="966"/>
    <w:link w:val="952"/>
    <w:rPr>
      <w:rFonts w:ascii="Times New Roman" w:hAnsi="Times New Roman" w:eastAsia="宋体" w:cs="Times New Roman"/>
      <w:b/>
      <w:bCs/>
      <w:sz w:val="32"/>
      <w:szCs w:val="32"/>
    </w:rPr>
  </w:style>
  <w:style w:type="character" w:styleId="967">
    <w:name w:val="标题 4 Char"/>
    <w:next w:val="967"/>
    <w:link w:val="953"/>
    <w:rPr>
      <w:rFonts w:ascii="Arial" w:hAnsi="Arial" w:eastAsia="黑体" w:cs="Arial"/>
      <w:b/>
      <w:bCs/>
      <w:sz w:val="28"/>
      <w:szCs w:val="28"/>
    </w:rPr>
  </w:style>
  <w:style w:type="character" w:styleId="968">
    <w:name w:val="标题 5 Char"/>
    <w:next w:val="968"/>
    <w:link w:val="954"/>
    <w:rPr>
      <w:rFonts w:ascii="宋体" w:hAnsi="Times New Roman" w:eastAsia="宋体" w:cs="Times New Roman"/>
      <w:color w:val="000000"/>
      <w:sz w:val="28"/>
      <w:szCs w:val="28"/>
    </w:rPr>
  </w:style>
  <w:style w:type="character" w:styleId="969">
    <w:name w:val="标题 6 Char"/>
    <w:next w:val="969"/>
    <w:link w:val="955"/>
    <w:rPr>
      <w:rFonts w:ascii="Arial" w:hAnsi="Arial" w:eastAsia="黑体" w:cs="Times New Roman"/>
      <w:b/>
      <w:bCs/>
      <w:sz w:val="24"/>
      <w:szCs w:val="24"/>
    </w:rPr>
  </w:style>
  <w:style w:type="character" w:styleId="970">
    <w:name w:val="标题 7 Char"/>
    <w:next w:val="970"/>
    <w:link w:val="956"/>
    <w:rPr>
      <w:rFonts w:ascii="Times New Roman" w:hAnsi="Times New Roman" w:eastAsia="宋体" w:cs="Times New Roman"/>
      <w:b/>
      <w:bCs/>
      <w:sz w:val="24"/>
      <w:szCs w:val="24"/>
    </w:rPr>
  </w:style>
  <w:style w:type="character" w:styleId="971">
    <w:name w:val="标题 8 Char"/>
    <w:next w:val="971"/>
    <w:link w:val="957"/>
    <w:rPr>
      <w:rFonts w:ascii="Arial" w:hAnsi="Arial" w:eastAsia="黑体" w:cs="Times New Roman"/>
      <w:sz w:val="24"/>
      <w:szCs w:val="24"/>
    </w:rPr>
  </w:style>
  <w:style w:type="character" w:styleId="972">
    <w:name w:val="标题 9 Char"/>
    <w:next w:val="972"/>
    <w:link w:val="958"/>
    <w:rPr>
      <w:rFonts w:ascii="Arial" w:hAnsi="Arial" w:eastAsia="黑体" w:cs="Times New Roman"/>
      <w:szCs w:val="21"/>
    </w:rPr>
  </w:style>
  <w:style w:type="paragraph" w:styleId="973">
    <w:name w:val="列表 3"/>
    <w:basedOn w:val="949"/>
    <w:next w:val="973"/>
    <w:link w:val="949"/>
    <w:pPr>
      <w:ind w:left="100" w:hanging="200"/>
    </w:pPr>
  </w:style>
  <w:style w:type="paragraph" w:styleId="974">
    <w:name w:val="目录 7"/>
    <w:basedOn w:val="949"/>
    <w:next w:val="949"/>
    <w:link w:val="949"/>
    <w:semiHidden/>
    <w:pPr>
      <w:ind w:left="1260"/>
      <w:jc w:val="left"/>
    </w:pPr>
  </w:style>
  <w:style w:type="paragraph" w:styleId="975">
    <w:name w:val="文档结构图"/>
    <w:basedOn w:val="949"/>
    <w:next w:val="975"/>
    <w:link w:val="976"/>
    <w:semiHidden/>
    <w:pPr>
      <w:shd w:val="clear" w:color="auto" w:fill="000080"/>
    </w:pPr>
  </w:style>
  <w:style w:type="character" w:styleId="976">
    <w:name w:val="文档结构图 Char"/>
    <w:next w:val="976"/>
    <w:link w:val="975"/>
    <w:semiHidden/>
    <w:rPr>
      <w:rFonts w:ascii="Times New Roman" w:hAnsi="Times New Roman" w:eastAsia="宋体" w:cs="Times New Roman"/>
      <w:szCs w:val="21"/>
      <w:shd w:val="clear" w:color="auto" w:fill="000080"/>
    </w:rPr>
  </w:style>
  <w:style w:type="paragraph" w:styleId="977">
    <w:name w:val="批注文字"/>
    <w:basedOn w:val="949"/>
    <w:next w:val="977"/>
    <w:link w:val="978"/>
    <w:semiHidden/>
    <w:pPr>
      <w:jc w:val="left"/>
    </w:pPr>
  </w:style>
  <w:style w:type="character" w:styleId="978">
    <w:name w:val="批注文字 Char"/>
    <w:next w:val="978"/>
    <w:link w:val="977"/>
    <w:semiHidden/>
    <w:rPr>
      <w:rFonts w:ascii="Times New Roman" w:hAnsi="Times New Roman" w:eastAsia="宋体" w:cs="Times New Roman"/>
      <w:szCs w:val="21"/>
    </w:rPr>
  </w:style>
  <w:style w:type="paragraph" w:styleId="979">
    <w:name w:val="正文文本 3"/>
    <w:basedOn w:val="949"/>
    <w:next w:val="979"/>
    <w:link w:val="980"/>
    <w:rPr>
      <w:rFonts w:ascii="仿宋_GB2312" w:hAnsi="Arial" w:eastAsia="仿宋_GB2312"/>
      <w:sz w:val="32"/>
      <w:szCs w:val="32"/>
    </w:rPr>
  </w:style>
  <w:style w:type="character" w:styleId="980">
    <w:name w:val="正文文本 3 Char"/>
    <w:next w:val="980"/>
    <w:link w:val="979"/>
    <w:rPr>
      <w:rFonts w:ascii="仿宋_GB2312" w:hAnsi="Arial" w:eastAsia="仿宋_GB2312" w:cs="Times New Roman"/>
      <w:sz w:val="32"/>
      <w:szCs w:val="32"/>
    </w:rPr>
  </w:style>
  <w:style w:type="paragraph" w:styleId="981">
    <w:name w:val="正文文本"/>
    <w:basedOn w:val="949"/>
    <w:next w:val="981"/>
    <w:link w:val="982"/>
    <w:rPr>
      <w:rFonts w:ascii="楷体_GB2312" w:hAnsi="Arial" w:eastAsia="楷体_GB2312"/>
      <w:sz w:val="28"/>
      <w:szCs w:val="28"/>
    </w:rPr>
  </w:style>
  <w:style w:type="character" w:styleId="982">
    <w:name w:val="正文文本 Char"/>
    <w:next w:val="982"/>
    <w:link w:val="981"/>
    <w:rPr>
      <w:rFonts w:ascii="楷体_GB2312" w:hAnsi="Arial" w:eastAsia="楷体_GB2312" w:cs="Times New Roman"/>
      <w:sz w:val="28"/>
      <w:szCs w:val="28"/>
    </w:rPr>
  </w:style>
  <w:style w:type="paragraph" w:styleId="983">
    <w:name w:val="正文文本缩进"/>
    <w:basedOn w:val="949"/>
    <w:next w:val="983"/>
    <w:link w:val="984"/>
    <w:pPr>
      <w:ind w:firstLine="645"/>
    </w:pPr>
    <w:rPr>
      <w:rFonts w:ascii="楷体_GB2312" w:eastAsia="楷体_GB2312"/>
      <w:sz w:val="32"/>
      <w:szCs w:val="32"/>
    </w:rPr>
  </w:style>
  <w:style w:type="character" w:styleId="984">
    <w:name w:val="正文文本缩进 Char"/>
    <w:next w:val="984"/>
    <w:link w:val="983"/>
    <w:rPr>
      <w:rFonts w:ascii="楷体_GB2312" w:hAnsi="Times New Roman" w:eastAsia="楷体_GB2312" w:cs="Times New Roman"/>
      <w:sz w:val="32"/>
      <w:szCs w:val="32"/>
    </w:rPr>
  </w:style>
  <w:style w:type="paragraph" w:styleId="985">
    <w:name w:val="列表 2"/>
    <w:basedOn w:val="949"/>
    <w:next w:val="985"/>
    <w:link w:val="949"/>
    <w:pPr>
      <w:ind w:left="100" w:hanging="200"/>
    </w:pPr>
  </w:style>
  <w:style w:type="paragraph" w:styleId="986">
    <w:name w:val="目录 5"/>
    <w:basedOn w:val="949"/>
    <w:next w:val="949"/>
    <w:link w:val="949"/>
    <w:semiHidden/>
    <w:pPr>
      <w:ind w:left="840"/>
      <w:jc w:val="left"/>
    </w:pPr>
  </w:style>
  <w:style w:type="paragraph" w:styleId="987">
    <w:name w:val="目录 3"/>
    <w:basedOn w:val="949"/>
    <w:next w:val="949"/>
    <w:link w:val="949"/>
    <w:semiHidden/>
    <w:pPr>
      <w:ind w:left="420"/>
      <w:jc w:val="left"/>
    </w:pPr>
    <w:rPr>
      <w:i/>
      <w:iCs/>
      <w:szCs w:val="24"/>
    </w:rPr>
  </w:style>
  <w:style w:type="paragraph" w:styleId="988">
    <w:name w:val="纯文本"/>
    <w:basedOn w:val="949"/>
    <w:next w:val="988"/>
    <w:link w:val="989"/>
    <w:rPr>
      <w:rFonts w:ascii="宋体" w:hAnsi="Courier New" w:cs="Courier New"/>
    </w:rPr>
  </w:style>
  <w:style w:type="character" w:styleId="989">
    <w:name w:val="纯文本 Char"/>
    <w:next w:val="989"/>
    <w:link w:val="988"/>
    <w:rPr>
      <w:rFonts w:ascii="宋体" w:hAnsi="Courier New" w:eastAsia="宋体" w:cs="Courier New"/>
      <w:szCs w:val="21"/>
    </w:rPr>
  </w:style>
  <w:style w:type="paragraph" w:styleId="990">
    <w:name w:val="目录 8"/>
    <w:basedOn w:val="949"/>
    <w:next w:val="949"/>
    <w:link w:val="949"/>
    <w:semiHidden/>
    <w:pPr>
      <w:ind w:left="1470"/>
      <w:jc w:val="left"/>
    </w:pPr>
  </w:style>
  <w:style w:type="paragraph" w:styleId="991">
    <w:name w:val="日期"/>
    <w:basedOn w:val="949"/>
    <w:next w:val="949"/>
    <w:link w:val="992"/>
    <w:rPr>
      <w:sz w:val="24"/>
      <w:szCs w:val="24"/>
    </w:rPr>
  </w:style>
  <w:style w:type="character" w:styleId="992">
    <w:name w:val="日期 Char"/>
    <w:next w:val="992"/>
    <w:link w:val="991"/>
    <w:rPr>
      <w:rFonts w:ascii="Times New Roman" w:hAnsi="Times New Roman" w:eastAsia="宋体" w:cs="Times New Roman"/>
      <w:sz w:val="24"/>
      <w:szCs w:val="24"/>
    </w:rPr>
  </w:style>
  <w:style w:type="paragraph" w:styleId="993">
    <w:name w:val="正文文本缩进 2"/>
    <w:basedOn w:val="949"/>
    <w:next w:val="993"/>
    <w:link w:val="994"/>
    <w:pPr>
      <w:ind w:left="630" w:firstLine="645"/>
    </w:pPr>
    <w:rPr>
      <w:rFonts w:ascii="Arial" w:hAnsi="Arial" w:eastAsia="仿宋_GB2312" w:cs="Arial"/>
      <w:sz w:val="32"/>
      <w:szCs w:val="32"/>
    </w:rPr>
  </w:style>
  <w:style w:type="character" w:styleId="994">
    <w:name w:val="正文文本缩进 2 Char"/>
    <w:next w:val="994"/>
    <w:link w:val="993"/>
    <w:rPr>
      <w:rFonts w:ascii="Arial" w:hAnsi="Arial" w:eastAsia="仿宋_GB2312" w:cs="Arial"/>
      <w:sz w:val="32"/>
      <w:szCs w:val="32"/>
    </w:rPr>
  </w:style>
  <w:style w:type="paragraph" w:styleId="995">
    <w:name w:val="批注框文本"/>
    <w:basedOn w:val="949"/>
    <w:next w:val="995"/>
    <w:link w:val="996"/>
    <w:semiHidden/>
    <w:rPr>
      <w:sz w:val="18"/>
      <w:szCs w:val="18"/>
    </w:rPr>
  </w:style>
  <w:style w:type="character" w:styleId="996">
    <w:name w:val="批注框文本 Char"/>
    <w:next w:val="996"/>
    <w:link w:val="995"/>
    <w:semiHidden/>
    <w:rPr>
      <w:rFonts w:ascii="Times New Roman" w:hAnsi="Times New Roman" w:eastAsia="宋体" w:cs="Times New Roman"/>
      <w:sz w:val="18"/>
      <w:szCs w:val="18"/>
    </w:rPr>
  </w:style>
  <w:style w:type="paragraph" w:styleId="997">
    <w:name w:val="页脚"/>
    <w:basedOn w:val="949"/>
    <w:next w:val="997"/>
    <w:link w:val="998"/>
    <w:uiPriority w:val="99"/>
    <w:pPr>
      <w:jc w:val="left"/>
      <w:tabs>
        <w:tab w:val="center" w:pos="4153" w:leader="none"/>
        <w:tab w:val="right" w:pos="8306" w:leader="none"/>
      </w:tabs>
    </w:pPr>
    <w:rPr>
      <w:sz w:val="18"/>
      <w:szCs w:val="18"/>
    </w:rPr>
  </w:style>
  <w:style w:type="character" w:styleId="998">
    <w:name w:val="页脚 Char"/>
    <w:next w:val="998"/>
    <w:link w:val="997"/>
    <w:uiPriority w:val="99"/>
    <w:rPr>
      <w:rFonts w:ascii="Times New Roman" w:hAnsi="Times New Roman" w:eastAsia="宋体" w:cs="Times New Roman"/>
      <w:sz w:val="18"/>
      <w:szCs w:val="18"/>
    </w:rPr>
  </w:style>
  <w:style w:type="paragraph" w:styleId="999">
    <w:name w:val="页眉"/>
    <w:basedOn w:val="949"/>
    <w:next w:val="999"/>
    <w:link w:val="1000"/>
    <w:pPr>
      <w:jc w:val="center"/>
      <w:tabs>
        <w:tab w:val="center" w:pos="4153" w:leader="none"/>
        <w:tab w:val="right" w:pos="8306" w:leader="none"/>
      </w:tabs>
      <w:pBdr>
        <w:bottom w:val="single" w:color="000000" w:sz="6" w:space="1"/>
      </w:pBdr>
    </w:pPr>
    <w:rPr>
      <w:sz w:val="18"/>
      <w:szCs w:val="18"/>
    </w:rPr>
  </w:style>
  <w:style w:type="character" w:styleId="1000">
    <w:name w:val="页眉 Char"/>
    <w:next w:val="1000"/>
    <w:link w:val="999"/>
    <w:rPr>
      <w:rFonts w:ascii="Times New Roman" w:hAnsi="Times New Roman" w:eastAsia="宋体" w:cs="Times New Roman"/>
      <w:sz w:val="18"/>
      <w:szCs w:val="18"/>
    </w:rPr>
  </w:style>
  <w:style w:type="paragraph" w:styleId="1001">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2">
    <w:name w:val="目录 4"/>
    <w:basedOn w:val="949"/>
    <w:next w:val="949"/>
    <w:link w:val="949"/>
    <w:semiHidden/>
    <w:pPr>
      <w:ind w:left="630"/>
      <w:jc w:val="left"/>
    </w:pPr>
  </w:style>
  <w:style w:type="paragraph" w:styleId="1003">
    <w:name w:val="列表"/>
    <w:basedOn w:val="949"/>
    <w:next w:val="1003"/>
    <w:link w:val="949"/>
    <w:pPr>
      <w:ind w:left="200" w:hanging="200"/>
    </w:pPr>
  </w:style>
  <w:style w:type="paragraph" w:styleId="1004">
    <w:name w:val="目录 6"/>
    <w:basedOn w:val="949"/>
    <w:next w:val="949"/>
    <w:link w:val="949"/>
    <w:semiHidden/>
    <w:pPr>
      <w:ind w:left="1050"/>
      <w:jc w:val="left"/>
    </w:pPr>
  </w:style>
  <w:style w:type="paragraph" w:styleId="1005">
    <w:name w:val="正文文本缩进 3"/>
    <w:basedOn w:val="949"/>
    <w:next w:val="1005"/>
    <w:link w:val="1006"/>
    <w:pPr>
      <w:ind w:left="645" w:firstLine="645"/>
    </w:pPr>
    <w:rPr>
      <w:rFonts w:ascii="Arial" w:hAnsi="Arial" w:eastAsia="仿宋_GB2312" w:cs="Arial"/>
      <w:color w:val="ffff00"/>
      <w:sz w:val="32"/>
      <w:szCs w:val="32"/>
    </w:rPr>
  </w:style>
  <w:style w:type="character" w:styleId="1006">
    <w:name w:val="正文文本缩进 3 Char"/>
    <w:next w:val="1006"/>
    <w:link w:val="1005"/>
    <w:rPr>
      <w:rFonts w:ascii="Arial" w:hAnsi="Arial" w:eastAsia="仿宋_GB2312" w:cs="Arial"/>
      <w:color w:val="ffff00"/>
      <w:sz w:val="32"/>
      <w:szCs w:val="32"/>
    </w:rPr>
  </w:style>
  <w:style w:type="paragraph" w:styleId="1007">
    <w:name w:val="图表目录"/>
    <w:basedOn w:val="949"/>
    <w:next w:val="949"/>
    <w:link w:val="949"/>
    <w:semiHidden/>
    <w:pPr>
      <w:ind w:left="840" w:hanging="420"/>
    </w:pPr>
  </w:style>
  <w:style w:type="paragraph" w:styleId="1008">
    <w:name w:val="目录 2"/>
    <w:basedOn w:val="949"/>
    <w:next w:val="949"/>
    <w:link w:val="949"/>
    <w:semiHidden/>
    <w:pPr>
      <w:ind w:left="210"/>
      <w:jc w:val="left"/>
    </w:pPr>
    <w:rPr>
      <w:smallCaps/>
      <w:szCs w:val="24"/>
    </w:rPr>
  </w:style>
  <w:style w:type="paragraph" w:styleId="1009">
    <w:name w:val="目录 9"/>
    <w:basedOn w:val="949"/>
    <w:next w:val="949"/>
    <w:link w:val="949"/>
    <w:semiHidden/>
    <w:pPr>
      <w:ind w:left="1680"/>
      <w:jc w:val="left"/>
    </w:pPr>
  </w:style>
  <w:style w:type="paragraph" w:styleId="1010">
    <w:name w:val="正文文本 2"/>
    <w:basedOn w:val="949"/>
    <w:next w:val="1010"/>
    <w:link w:val="1011"/>
    <w:pPr>
      <w:jc w:val="center"/>
      <w:widowControl/>
    </w:pPr>
    <w:rPr>
      <w:rFonts w:ascii="楷体_GB2312" w:eastAsia="楷体_GB2312"/>
      <w:sz w:val="28"/>
      <w:szCs w:val="28"/>
    </w:rPr>
  </w:style>
  <w:style w:type="character" w:styleId="1011">
    <w:name w:val="正文文本 2 Char"/>
    <w:next w:val="1011"/>
    <w:link w:val="1010"/>
    <w:rPr>
      <w:rFonts w:ascii="楷体_GB2312" w:hAnsi="Times New Roman" w:eastAsia="楷体_GB2312" w:cs="Times New Roman"/>
      <w:sz w:val="28"/>
      <w:szCs w:val="28"/>
    </w:rPr>
  </w:style>
  <w:style w:type="paragraph" w:styleId="1012">
    <w:name w:val="普通(网站)"/>
    <w:basedOn w:val="949"/>
    <w:next w:val="1012"/>
    <w:link w:val="949"/>
    <w:uiPriority w:val="99"/>
    <w:pPr>
      <w:jc w:val="left"/>
      <w:spacing w:before="100" w:beforeAutospacing="1" w:after="100" w:afterAutospacing="1"/>
      <w:widowControl/>
    </w:pPr>
    <w:rPr>
      <w:rFonts w:ascii="宋体" w:hAnsi="宋体" w:cs="宋体"/>
      <w:sz w:val="24"/>
      <w:szCs w:val="24"/>
    </w:rPr>
  </w:style>
  <w:style w:type="paragraph" w:styleId="1013">
    <w:name w:val="索引 1"/>
    <w:basedOn w:val="949"/>
    <w:next w:val="949"/>
    <w:link w:val="949"/>
    <w:semiHidden/>
    <w:pPr>
      <w:spacing w:line="240" w:lineRule="atLeast"/>
    </w:pPr>
    <w:rPr>
      <w:b/>
      <w:bCs/>
    </w:rPr>
  </w:style>
  <w:style w:type="paragraph" w:styleId="1014">
    <w:name w:val="批注主题"/>
    <w:basedOn w:val="977"/>
    <w:next w:val="977"/>
    <w:link w:val="1015"/>
    <w:semiHidden/>
    <w:rPr>
      <w:b/>
      <w:bCs/>
    </w:rPr>
  </w:style>
  <w:style w:type="character" w:styleId="1015">
    <w:name w:val="批注主题 Char"/>
    <w:next w:val="1015"/>
    <w:link w:val="1014"/>
    <w:semiHidden/>
    <w:rPr>
      <w:rFonts w:ascii="Times New Roman" w:hAnsi="Times New Roman" w:eastAsia="宋体" w:cs="Times New Roman"/>
      <w:b/>
      <w:bCs/>
      <w:szCs w:val="21"/>
    </w:rPr>
  </w:style>
  <w:style w:type="paragraph" w:styleId="1016">
    <w:name w:val="正文首行缩进"/>
    <w:basedOn w:val="949"/>
    <w:next w:val="1016"/>
    <w:link w:val="1017"/>
    <w:pPr>
      <w:ind w:firstLine="200"/>
      <w:spacing w:line="360" w:lineRule="auto"/>
    </w:pPr>
    <w:rPr>
      <w:rFonts w:ascii="仿宋_GB2312" w:eastAsia="仿宋_GB2312"/>
      <w:sz w:val="30"/>
      <w:szCs w:val="30"/>
    </w:rPr>
  </w:style>
  <w:style w:type="character" w:styleId="1017">
    <w:name w:val="正文首行缩进 Char"/>
    <w:next w:val="1017"/>
    <w:link w:val="1016"/>
    <w:rPr>
      <w:rFonts w:ascii="仿宋_GB2312" w:hAnsi="Times New Roman" w:eastAsia="仿宋_GB2312" w:cs="Times New Roman"/>
      <w:sz w:val="30"/>
      <w:szCs w:val="30"/>
    </w:rPr>
  </w:style>
  <w:style w:type="paragraph" w:styleId="1018">
    <w:name w:val="正文首行缩进 2"/>
    <w:basedOn w:val="983"/>
    <w:next w:val="1018"/>
    <w:link w:val="1019"/>
    <w:pPr>
      <w:ind w:firstLine="420"/>
      <w:spacing w:line="360" w:lineRule="auto"/>
    </w:pPr>
    <w:rPr>
      <w:rFonts w:ascii="宋体" w:hAnsi="宋体" w:eastAsia="宋体"/>
      <w:sz w:val="21"/>
      <w:szCs w:val="20"/>
    </w:rPr>
  </w:style>
  <w:style w:type="character" w:styleId="1019">
    <w:name w:val="正文首行缩进 2 Char"/>
    <w:next w:val="1019"/>
    <w:link w:val="1018"/>
    <w:rPr>
      <w:rFonts w:ascii="宋体" w:hAnsi="宋体" w:eastAsia="宋体" w:cs="Times New Roman"/>
      <w:sz w:val="32"/>
      <w:szCs w:val="20"/>
    </w:rPr>
  </w:style>
  <w:style w:type="table" w:styleId="1020">
    <w:name w:val="网格型"/>
    <w:basedOn w:val="960"/>
    <w:next w:val="1020"/>
    <w:link w:val="949"/>
    <w:pPr>
      <w:jc w:val="both"/>
      <w:widowControl w:val="off"/>
    </w:pPr>
    <w:rPr>
      <w:rFonts w:ascii="Times New Roman" w:hAnsi="Times New Roman" w:eastAsia="宋体" w:cs="Times New Roman"/>
      <w:sz w:val="20"/>
      <w:szCs w:val="20"/>
    </w:rPr>
    <w:tblPr/>
  </w:style>
  <w:style w:type="character" w:styleId="1021">
    <w:name w:val="要点"/>
    <w:next w:val="1021"/>
    <w:link w:val="949"/>
    <w:qFormat/>
    <w:rPr>
      <w:b/>
      <w:bCs/>
    </w:rPr>
  </w:style>
  <w:style w:type="character" w:styleId="1022">
    <w:name w:val="页码"/>
    <w:next w:val="1022"/>
    <w:link w:val="949"/>
  </w:style>
  <w:style w:type="character" w:styleId="1023">
    <w:name w:val="访问过的超链接"/>
    <w:next w:val="1023"/>
    <w:link w:val="949"/>
    <w:rPr>
      <w:color w:val="800080"/>
      <w:u w:val="single"/>
    </w:rPr>
  </w:style>
  <w:style w:type="character" w:styleId="1024">
    <w:name w:val="强调"/>
    <w:next w:val="1024"/>
    <w:link w:val="949"/>
    <w:qFormat/>
    <w:rPr>
      <w:i/>
    </w:rPr>
  </w:style>
  <w:style w:type="character" w:styleId="1025">
    <w:name w:val="超链接"/>
    <w:next w:val="1025"/>
    <w:link w:val="949"/>
    <w:rPr>
      <w:color w:val="0000ff"/>
      <w:u w:val="single"/>
    </w:rPr>
  </w:style>
  <w:style w:type="character" w:styleId="1026">
    <w:name w:val="批注引用"/>
    <w:next w:val="1026"/>
    <w:link w:val="949"/>
    <w:semiHidden/>
    <w:rPr>
      <w:sz w:val="21"/>
      <w:szCs w:val="21"/>
    </w:rPr>
  </w:style>
  <w:style w:type="character" w:styleId="1027">
    <w:name w:val="font5 Char"/>
    <w:next w:val="1027"/>
    <w:link w:val="949"/>
    <w:rPr>
      <w:rFonts w:ascii="宋体" w:hAnsi="宋体" w:eastAsia="宋体"/>
      <w:sz w:val="28"/>
      <w:szCs w:val="28"/>
      <w:lang w:val="en-US" w:eastAsia="zh-CN" w:bidi="ar-SA"/>
    </w:rPr>
  </w:style>
  <w:style w:type="character" w:styleId="1028">
    <w:name w:val="二级目录 Char"/>
    <w:next w:val="1028"/>
    <w:link w:val="1029"/>
    <w:rPr>
      <w:b/>
      <w:sz w:val="30"/>
      <w:szCs w:val="28"/>
    </w:rPr>
  </w:style>
  <w:style w:type="paragraph" w:styleId="1029">
    <w:name w:val="二级目录"/>
    <w:next w:val="949"/>
    <w:link w:val="1028"/>
    <w:pPr>
      <w:numPr>
        <w:ilvl w:val="0"/>
        <w:numId w:val="2"/>
      </w:numPr>
      <w:tabs>
        <w:tab w:val="left" w:pos="907" w:leader="none"/>
        <w:tab w:val="left" w:pos="1145" w:leader="none"/>
      </w:tabs>
      <w:outlineLvl w:val="1"/>
    </w:pPr>
    <w:rPr>
      <w:b/>
      <w:sz w:val="30"/>
      <w:szCs w:val="28"/>
      <w:lang w:val="en-US" w:eastAsia="zh-CN" w:bidi="ar-SA"/>
    </w:rPr>
  </w:style>
  <w:style w:type="character" w:styleId="1030">
    <w:name w:val="列出段落 Char,Bullet List Char,numbered Char,FooterText Char,List Paragraph1 Char,Paragraphe de liste1 Char"/>
    <w:next w:val="1030"/>
    <w:link w:val="1031"/>
    <w:rPr>
      <w:rFonts w:ascii="Calibri" w:hAnsi="Calibri"/>
      <w:sz w:val="24"/>
      <w:szCs w:val="24"/>
      <w:lang w:eastAsia="en-US" w:bidi="en-US"/>
    </w:rPr>
  </w:style>
  <w:style w:type="paragraph" w:styleId="1031">
    <w:name w:val="列出段落1"/>
    <w:basedOn w:val="949"/>
    <w:next w:val="1031"/>
    <w:link w:val="1030"/>
    <w:qFormat/>
    <w:pPr>
      <w:contextualSpacing/>
      <w:ind w:left="720"/>
      <w:jc w:val="left"/>
      <w:widowControl/>
    </w:pPr>
    <w:rPr>
      <w:rFonts w:ascii="Calibri" w:hAnsi="Calibri" w:eastAsia="宋体" w:cs="Times New Roman"/>
      <w:sz w:val="24"/>
      <w:szCs w:val="24"/>
      <w:lang w:eastAsia="en-US" w:bidi="en-US"/>
    </w:rPr>
  </w:style>
  <w:style w:type="paragraph" w:styleId="1032">
    <w:name w:val="Body Text(ch)"/>
    <w:basedOn w:val="949"/>
    <w:next w:val="981"/>
    <w:link w:val="949"/>
    <w:pPr>
      <w:spacing w:after="120"/>
    </w:pPr>
    <w:rPr>
      <w:rFonts w:ascii="宋体" w:hAnsi="Arial"/>
      <w:bCs/>
      <w:iCs/>
      <w:szCs w:val="24"/>
    </w:rPr>
  </w:style>
  <w:style w:type="paragraph" w:styleId="1033">
    <w:name w:val="xl27"/>
    <w:basedOn w:val="949"/>
    <w:next w:val="1033"/>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name w:val="xl26"/>
    <w:basedOn w:val="949"/>
    <w:next w:val="1034"/>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name w:val="Char"/>
    <w:basedOn w:val="949"/>
    <w:next w:val="1035"/>
    <w:link w:val="949"/>
    <w:pPr>
      <w:ind w:firstLine="200"/>
      <w:tabs>
        <w:tab w:val="left" w:pos="360" w:leader="none"/>
      </w:tabs>
    </w:pPr>
    <w:rPr>
      <w:sz w:val="28"/>
      <w:szCs w:val="30"/>
    </w:rPr>
  </w:style>
  <w:style w:type="paragraph" w:styleId="1036">
    <w:name w:val=" Char"/>
    <w:basedOn w:val="975"/>
    <w:next w:val="1036"/>
    <w:link w:val="949"/>
    <w:rPr>
      <w:rFonts w:ascii="Tahoma" w:hAnsi="Tahoma"/>
      <w:sz w:val="24"/>
      <w:szCs w:val="24"/>
    </w:rPr>
  </w:style>
  <w:style w:type="paragraph" w:styleId="1037">
    <w:name w:val="普通正文"/>
    <w:basedOn w:val="949"/>
    <w:next w:val="1037"/>
    <w:link w:val="949"/>
    <w:pPr>
      <w:ind w:firstLine="480"/>
      <w:jc w:val="left"/>
      <w:spacing w:before="120" w:after="120" w:line="360" w:lineRule="auto"/>
    </w:pPr>
    <w:rPr>
      <w:rFonts w:ascii="Arial" w:hAnsi="Arial"/>
      <w:sz w:val="24"/>
      <w:szCs w:val="24"/>
    </w:rPr>
  </w:style>
  <w:style w:type="paragraph" w:styleId="1038">
    <w:name w:val="table_lines"/>
    <w:basedOn w:val="949"/>
    <w:next w:val="1038"/>
    <w:link w:val="949"/>
    <w:pPr>
      <w:jc w:val="left"/>
      <w:widowControl/>
    </w:pPr>
    <w:rPr>
      <w:sz w:val="20"/>
      <w:szCs w:val="20"/>
      <w:lang w:val="de-DE" w:eastAsia="de-DE"/>
    </w:rPr>
  </w:style>
  <w:style w:type="paragraph" w:styleId="1039">
    <w:name w:val="附录1"/>
    <w:next w:val="1039"/>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0">
    <w:name w:val="font7"/>
    <w:basedOn w:val="949"/>
    <w:next w:val="1040"/>
    <w:link w:val="949"/>
    <w:pPr>
      <w:jc w:val="left"/>
      <w:spacing w:before="100" w:beforeAutospacing="1" w:after="100" w:afterAutospacing="1"/>
      <w:widowControl/>
    </w:pPr>
    <w:rPr>
      <w:rFonts w:hint="eastAsia" w:ascii="宋体" w:hAnsi="宋体"/>
      <w:sz w:val="18"/>
      <w:szCs w:val="18"/>
    </w:rPr>
  </w:style>
  <w:style w:type="paragraph" w:styleId="1041">
    <w:name w:val=" Char Char Char Char"/>
    <w:basedOn w:val="975"/>
    <w:next w:val="1041"/>
    <w:link w:val="949"/>
    <w:pPr>
      <w:spacing w:line="360" w:lineRule="auto"/>
    </w:pPr>
    <w:rPr>
      <w:rFonts w:ascii="Tahoma" w:hAnsi="Tahoma"/>
      <w:sz w:val="24"/>
      <w:szCs w:val="24"/>
    </w:rPr>
  </w:style>
  <w:style w:type="paragraph" w:styleId="1042">
    <w:name w:val="列出段落"/>
    <w:basedOn w:val="949"/>
    <w:next w:val="1042"/>
    <w:link w:val="949"/>
    <w:qFormat/>
    <w:pPr>
      <w:contextualSpacing/>
      <w:ind w:left="720"/>
      <w:jc w:val="left"/>
      <w:widowControl/>
    </w:pPr>
    <w:rPr>
      <w:rFonts w:ascii="Calibri" w:hAnsi="Calibri"/>
      <w:sz w:val="24"/>
      <w:szCs w:val="24"/>
      <w:lang w:eastAsia="en-US" w:bidi="en-US"/>
    </w:rPr>
  </w:style>
  <w:style w:type="paragraph" w:styleId="1043">
    <w:name w:val="4"/>
    <w:basedOn w:val="949"/>
    <w:next w:val="1005"/>
    <w:link w:val="949"/>
    <w:pPr>
      <w:ind w:firstLine="420"/>
      <w:spacing w:line="360" w:lineRule="auto"/>
    </w:pPr>
    <w:rPr>
      <w:color w:val="ff0000"/>
      <w:sz w:val="24"/>
      <w:szCs w:val="24"/>
    </w:rPr>
  </w:style>
  <w:style w:type="paragraph" w:styleId="1044">
    <w:name w:val="普通 (Web)"/>
    <w:basedOn w:val="949"/>
    <w:next w:val="1044"/>
    <w:link w:val="949"/>
    <w:pPr>
      <w:jc w:val="left"/>
      <w:spacing w:before="100" w:beforeAutospacing="1" w:after="100" w:afterAutospacing="1"/>
      <w:widowControl/>
    </w:pPr>
    <w:rPr>
      <w:rFonts w:ascii="宋体" w:hAnsi="宋体"/>
      <w:sz w:val="24"/>
      <w:szCs w:val="24"/>
    </w:rPr>
  </w:style>
  <w:style w:type="paragraph" w:styleId="1045">
    <w:name w:val=" Char Char Char Char Char Char Char Char Char Char"/>
    <w:basedOn w:val="949"/>
    <w:next w:val="1045"/>
    <w:link w:val="949"/>
    <w:pPr>
      <w:spacing w:line="360" w:lineRule="auto"/>
    </w:pPr>
    <w:rPr>
      <w:sz w:val="24"/>
      <w:szCs w:val="20"/>
    </w:rPr>
  </w:style>
  <w:style w:type="paragraph" w:styleId="1046">
    <w:name w:val="样式1"/>
    <w:basedOn w:val="949"/>
    <w:next w:val="1046"/>
    <w:link w:val="949"/>
    <w:pPr>
      <w:numPr>
        <w:ilvl w:val="0"/>
        <w:numId w:val="3"/>
      </w:numPr>
      <w:tabs>
        <w:tab w:val="left" w:pos="709" w:leader="none"/>
      </w:tabs>
    </w:pPr>
    <w:rPr>
      <w:rFonts w:ascii="宋体" w:hAnsi="宋体"/>
    </w:rPr>
  </w:style>
  <w:style w:type="paragraph" w:styleId="1047">
    <w:name w:val="font6"/>
    <w:basedOn w:val="949"/>
    <w:next w:val="1047"/>
    <w:link w:val="949"/>
    <w:pPr>
      <w:jc w:val="left"/>
      <w:spacing w:before="100" w:beforeAutospacing="1" w:after="100" w:afterAutospacing="1"/>
      <w:widowControl/>
    </w:pPr>
    <w:rPr>
      <w:rFonts w:hint="eastAsia" w:ascii="宋体" w:hAnsi="宋体"/>
      <w:sz w:val="28"/>
      <w:szCs w:val="28"/>
      <w:u w:val="single"/>
    </w:rPr>
  </w:style>
  <w:style w:type="paragraph" w:styleId="1048">
    <w:name w:val="xl25"/>
    <w:basedOn w:val="949"/>
    <w:next w:val="1048"/>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name w:val="标题3"/>
    <w:basedOn w:val="949"/>
    <w:next w:val="949"/>
    <w:link w:val="949"/>
    <w:pPr>
      <w:ind w:firstLine="624"/>
      <w:spacing w:line="590" w:lineRule="atLeast"/>
    </w:pPr>
    <w:rPr>
      <w:rFonts w:ascii="方正黑体_GBK" w:eastAsia="方正黑体_GBK"/>
      <w:sz w:val="32"/>
      <w:szCs w:val="32"/>
    </w:rPr>
  </w:style>
  <w:style w:type="paragraph" w:styleId="1051">
    <w:name w:val="xl24"/>
    <w:basedOn w:val="949"/>
    <w:next w:val="1051"/>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name w:val="xl29"/>
    <w:basedOn w:val="949"/>
    <w:next w:val="1052"/>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name w:val="Char Char Char Char Char Char Char Char"/>
    <w:basedOn w:val="949"/>
    <w:next w:val="1053"/>
    <w:link w:val="949"/>
    <w:pPr>
      <w:jc w:val="left"/>
      <w:spacing w:after="160" w:line="240" w:lineRule="exact"/>
      <w:widowControl/>
    </w:pPr>
    <w:rPr>
      <w:rFonts w:ascii="Verdana" w:hAnsi="Verdana"/>
      <w:sz w:val="20"/>
      <w:szCs w:val="20"/>
      <w:lang w:eastAsia="en-US"/>
    </w:rPr>
  </w:style>
  <w:style w:type="paragraph" w:styleId="1054">
    <w:name w:val="xl28"/>
    <w:basedOn w:val="949"/>
    <w:next w:val="1054"/>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name w:val=" Char Char Char Char Char Char Char Char"/>
    <w:basedOn w:val="949"/>
    <w:next w:val="1055"/>
    <w:link w:val="949"/>
    <w:pPr>
      <w:jc w:val="left"/>
      <w:spacing w:after="160" w:line="240" w:lineRule="exact"/>
      <w:widowControl/>
    </w:pPr>
    <w:rPr>
      <w:rFonts w:ascii="Verdana" w:hAnsi="Verdana"/>
      <w:sz w:val="20"/>
      <w:szCs w:val="20"/>
      <w:lang w:eastAsia="en-US"/>
    </w:rPr>
  </w:style>
  <w:style w:type="paragraph" w:styleId="1056">
    <w:name w:val="xl30"/>
    <w:basedOn w:val="949"/>
    <w:next w:val="1056"/>
    <w:link w:val="949"/>
    <w:pPr>
      <w:jc w:val="center"/>
      <w:spacing w:before="100" w:beforeAutospacing="1" w:after="100" w:afterAutospacing="1"/>
      <w:widowControl/>
    </w:pPr>
    <w:rPr>
      <w:rFonts w:ascii="宋体" w:hAnsi="宋体"/>
      <w:b/>
      <w:bCs/>
      <w:sz w:val="36"/>
      <w:szCs w:val="36"/>
    </w:rPr>
  </w:style>
  <w:style w:type="paragraph" w:styleId="1057">
    <w:name w:val="Char Char Char Char"/>
    <w:basedOn w:val="975"/>
    <w:next w:val="1057"/>
    <w:link w:val="949"/>
    <w:pPr>
      <w:spacing w:line="360" w:lineRule="auto"/>
    </w:pPr>
    <w:rPr>
      <w:rFonts w:ascii="Tahoma" w:hAnsi="Tahoma"/>
      <w:sz w:val="24"/>
      <w:szCs w:val="24"/>
    </w:rPr>
  </w:style>
  <w:style w:type="paragraph" w:styleId="1058">
    <w:name w:val="table_1stline"/>
    <w:basedOn w:val="949"/>
    <w:next w:val="1058"/>
    <w:link w:val="949"/>
    <w:pPr>
      <w:jc w:val="left"/>
      <w:spacing w:before="120"/>
      <w:widowControl/>
    </w:pPr>
    <w:rPr>
      <w:bCs/>
      <w:sz w:val="20"/>
      <w:szCs w:val="20"/>
      <w:lang w:val="de-DE" w:eastAsia="de-DE"/>
    </w:rPr>
  </w:style>
  <w:style w:type="paragraph" w:styleId="1059">
    <w:name w:val="font5"/>
    <w:basedOn w:val="949"/>
    <w:next w:val="1059"/>
    <w:link w:val="949"/>
    <w:pPr>
      <w:jc w:val="left"/>
      <w:spacing w:before="100" w:beforeAutospacing="1" w:after="100" w:afterAutospacing="1"/>
      <w:widowControl/>
    </w:pPr>
    <w:rPr>
      <w:rFonts w:hint="eastAsia" w:ascii="宋体" w:hAnsi="宋体"/>
      <w:sz w:val="28"/>
      <w:szCs w:val="28"/>
    </w:rPr>
  </w:style>
  <w:style w:type="paragraph" w:styleId="1060">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name w:val="修订"/>
    <w:next w:val="1061"/>
    <w:link w:val="949"/>
    <w:uiPriority w:val="99"/>
    <w:semiHidden/>
    <w:rPr>
      <w:rFonts w:ascii="Times New Roman" w:hAnsi="Times New Roman"/>
      <w:sz w:val="21"/>
      <w:szCs w:val="21"/>
      <w:lang w:val="en-US" w:eastAsia="zh-CN" w:bidi="ar-SA"/>
    </w:rPr>
  </w:style>
  <w:style w:type="paragraph" w:styleId="1062">
    <w:name w:val="无间隔"/>
    <w:next w:val="1062"/>
    <w:link w:val="949"/>
    <w:uiPriority w:val="99"/>
    <w:qFormat/>
    <w:pPr>
      <w:jc w:val="both"/>
      <w:widowControl w:val="off"/>
    </w:pPr>
    <w:rPr>
      <w:rFonts w:ascii="Times New Roman" w:hAnsi="Times New Roman"/>
      <w:sz w:val="21"/>
      <w:szCs w:val="21"/>
      <w:lang w:val="en-US" w:eastAsia="zh-CN" w:bidi="ar-SA"/>
    </w:rPr>
  </w:style>
  <w:style w:type="paragraph" w:styleId="1063">
    <w:name w:val="纯文本1"/>
    <w:next w:val="1063"/>
    <w:link w:val="949"/>
    <w:qFormat/>
    <w:pPr>
      <w:jc w:val="both"/>
      <w:widowControl w:val="off"/>
    </w:pPr>
    <w:rPr>
      <w:rFonts w:ascii="宋体" w:hAnsi="Courier New" w:cs="Courier New"/>
      <w:sz w:val="21"/>
      <w:szCs w:val="21"/>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乔秀善</cp:lastModifiedBy>
  <cp:revision>6</cp:revision>
  <dcterms:created xsi:type="dcterms:W3CDTF">2026-05-12T01:04:00Z</dcterms:created>
  <dcterms:modified xsi:type="dcterms:W3CDTF">2026-05-19T03:17:16Z</dcterms:modified>
  <cp:version>917504</cp:version>
</cp:coreProperties>
</file>