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0EE678">
      <w:pPr>
        <w:pStyle w:val="10"/>
        <w:spacing w:before="120" w:beforeAutospacing="0" w:after="120" w:afterAutospacing="0" w:line="360" w:lineRule="auto"/>
        <w:jc w:val="center"/>
        <w:rPr>
          <w:rFonts w:hint="eastAsia" w:ascii="宋体" w:hAnsi="宋体" w:eastAsia="宋体" w:cs="宋体"/>
          <w:b/>
          <w:color w:val="000000"/>
          <w:sz w:val="84"/>
          <w:szCs w:val="84"/>
        </w:rPr>
      </w:pPr>
      <w:r>
        <w:rPr>
          <w:rFonts w:hint="eastAsia" w:ascii="宋体" w:hAnsi="宋体" w:eastAsia="宋体" w:cs="宋体"/>
          <w:b/>
          <w:color w:val="000000"/>
          <w:sz w:val="44"/>
          <w:szCs w:val="44"/>
        </w:rPr>
        <w:t>大丰区城镇生活污水治理提质增效项目-城区、镇级管网检测项目</w:t>
      </w:r>
    </w:p>
    <w:p w14:paraId="022FB667">
      <w:pPr>
        <w:pStyle w:val="10"/>
        <w:spacing w:before="120" w:beforeAutospacing="0" w:after="120" w:afterAutospacing="0" w:line="360" w:lineRule="auto"/>
        <w:ind w:firstLine="1683"/>
        <w:jc w:val="center"/>
        <w:rPr>
          <w:rFonts w:hint="eastAsia" w:ascii="宋体" w:hAnsi="宋体" w:eastAsia="宋体" w:cs="宋体"/>
          <w:b/>
          <w:color w:val="000000"/>
          <w:sz w:val="84"/>
          <w:szCs w:val="84"/>
        </w:rPr>
      </w:pPr>
    </w:p>
    <w:p w14:paraId="5B98BCEC">
      <w:pPr>
        <w:pStyle w:val="10"/>
        <w:spacing w:before="120" w:beforeAutospacing="0" w:after="120" w:afterAutospacing="0" w:line="360" w:lineRule="auto"/>
        <w:ind w:firstLine="1683"/>
        <w:jc w:val="center"/>
        <w:rPr>
          <w:rFonts w:hint="eastAsia" w:ascii="宋体" w:hAnsi="宋体" w:eastAsia="宋体" w:cs="宋体"/>
          <w:b/>
          <w:color w:val="000000"/>
          <w:sz w:val="84"/>
          <w:szCs w:val="84"/>
        </w:rPr>
      </w:pPr>
    </w:p>
    <w:p w14:paraId="365AAA23">
      <w:pPr>
        <w:pStyle w:val="10"/>
        <w:spacing w:before="120" w:beforeAutospacing="0" w:after="120" w:afterAutospacing="0" w:line="360" w:lineRule="auto"/>
        <w:ind w:firstLine="1683"/>
        <w:jc w:val="center"/>
        <w:rPr>
          <w:rFonts w:hint="eastAsia" w:ascii="宋体" w:hAnsi="宋体" w:eastAsia="宋体" w:cs="宋体"/>
          <w:b/>
          <w:color w:val="000000"/>
          <w:sz w:val="84"/>
          <w:szCs w:val="84"/>
        </w:rPr>
      </w:pPr>
    </w:p>
    <w:p w14:paraId="5A1B839B">
      <w:pPr>
        <w:pStyle w:val="10"/>
        <w:spacing w:before="120" w:beforeAutospacing="0" w:after="120" w:afterAutospacing="0" w:line="360" w:lineRule="auto"/>
        <w:jc w:val="center"/>
        <w:rPr>
          <w:rFonts w:hint="eastAsia" w:ascii="宋体" w:hAnsi="宋体" w:eastAsia="宋体" w:cs="宋体"/>
        </w:rPr>
      </w:pPr>
      <w:r>
        <w:rPr>
          <w:rFonts w:hint="eastAsia" w:ascii="宋体" w:hAnsi="宋体" w:eastAsia="宋体" w:cs="宋体"/>
          <w:b/>
          <w:color w:val="000000"/>
          <w:sz w:val="84"/>
          <w:szCs w:val="84"/>
        </w:rPr>
        <w:t>招标文件</w:t>
      </w:r>
    </w:p>
    <w:p w14:paraId="07516562">
      <w:pPr>
        <w:pStyle w:val="10"/>
        <w:spacing w:beforeAutospacing="0" w:afterAutospacing="0" w:line="360" w:lineRule="auto"/>
        <w:rPr>
          <w:rFonts w:hint="eastAsia" w:ascii="宋体" w:hAnsi="宋体" w:eastAsia="宋体" w:cs="宋体"/>
        </w:rPr>
      </w:pPr>
      <w:r>
        <w:rPr>
          <w:rFonts w:hint="eastAsia" w:ascii="宋体" w:hAnsi="宋体" w:eastAsia="宋体" w:cs="宋体"/>
        </w:rPr>
        <w:t>  </w:t>
      </w:r>
    </w:p>
    <w:p w14:paraId="2D211B99">
      <w:pPr>
        <w:pStyle w:val="10"/>
        <w:spacing w:beforeAutospacing="0" w:afterAutospacing="0" w:line="360" w:lineRule="auto"/>
        <w:rPr>
          <w:rFonts w:hint="eastAsia" w:ascii="宋体" w:hAnsi="宋体" w:eastAsia="宋体" w:cs="宋体"/>
        </w:rPr>
      </w:pPr>
      <w:r>
        <w:rPr>
          <w:rFonts w:hint="eastAsia" w:ascii="宋体" w:hAnsi="宋体" w:eastAsia="宋体" w:cs="宋体"/>
        </w:rPr>
        <w:t> </w:t>
      </w:r>
    </w:p>
    <w:p w14:paraId="2961440C">
      <w:pPr>
        <w:pStyle w:val="10"/>
        <w:spacing w:beforeAutospacing="0" w:afterAutospacing="0" w:line="360" w:lineRule="auto"/>
        <w:rPr>
          <w:rFonts w:hint="eastAsia" w:ascii="宋体" w:hAnsi="宋体" w:eastAsia="宋体" w:cs="宋体"/>
        </w:rPr>
      </w:pPr>
      <w:r>
        <w:rPr>
          <w:rFonts w:hint="eastAsia" w:ascii="宋体" w:hAnsi="宋体" w:eastAsia="宋体" w:cs="宋体"/>
        </w:rPr>
        <w:t>  </w:t>
      </w:r>
    </w:p>
    <w:p w14:paraId="577E8666">
      <w:pPr>
        <w:pStyle w:val="10"/>
        <w:spacing w:beforeAutospacing="0" w:afterAutospacing="0" w:line="360" w:lineRule="auto"/>
        <w:rPr>
          <w:rFonts w:hint="eastAsia" w:ascii="宋体" w:hAnsi="宋体" w:eastAsia="宋体" w:cs="宋体"/>
        </w:rPr>
      </w:pPr>
    </w:p>
    <w:p w14:paraId="4A04C867">
      <w:pPr>
        <w:pStyle w:val="10"/>
        <w:spacing w:beforeAutospacing="0" w:afterAutospacing="0" w:line="360" w:lineRule="auto"/>
        <w:rPr>
          <w:rFonts w:hint="eastAsia" w:ascii="宋体" w:hAnsi="宋体" w:eastAsia="宋体" w:cs="宋体"/>
        </w:rPr>
      </w:pPr>
      <w:r>
        <w:rPr>
          <w:rFonts w:hint="eastAsia" w:ascii="宋体" w:hAnsi="宋体" w:eastAsia="宋体" w:cs="宋体"/>
        </w:rPr>
        <w:t> </w:t>
      </w:r>
    </w:p>
    <w:p w14:paraId="1C4E0CC1">
      <w:pPr>
        <w:pStyle w:val="10"/>
        <w:spacing w:beforeAutospacing="0" w:afterAutospacing="0" w:line="360" w:lineRule="auto"/>
        <w:rPr>
          <w:rFonts w:hint="eastAsia" w:ascii="宋体" w:hAnsi="宋体" w:eastAsia="宋体" w:cs="宋体"/>
        </w:rPr>
      </w:pPr>
      <w:r>
        <w:rPr>
          <w:rFonts w:hint="eastAsia" w:ascii="宋体" w:hAnsi="宋体" w:eastAsia="宋体" w:cs="宋体"/>
        </w:rPr>
        <w:t> </w:t>
      </w:r>
    </w:p>
    <w:p w14:paraId="04F9DBB1">
      <w:pPr>
        <w:pStyle w:val="10"/>
        <w:kinsoku w:val="0"/>
        <w:overflowPunct w:val="0"/>
        <w:spacing w:beforeAutospacing="0" w:afterAutospacing="0" w:line="520" w:lineRule="exact"/>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t>采   购   人：盐城市大丰区住房和城乡建设局</w:t>
      </w:r>
    </w:p>
    <w:p w14:paraId="2B7D61C9">
      <w:pPr>
        <w:pStyle w:val="10"/>
        <w:kinsoku w:val="0"/>
        <w:overflowPunct w:val="0"/>
        <w:spacing w:beforeAutospacing="0" w:afterAutospacing="0" w:line="520" w:lineRule="exact"/>
        <w:ind w:firstLine="638"/>
        <w:rPr>
          <w:rFonts w:hint="eastAsia" w:ascii="宋体" w:hAnsi="宋体" w:eastAsia="宋体" w:cs="宋体"/>
          <w:b/>
          <w:color w:val="000000"/>
          <w:sz w:val="32"/>
          <w:szCs w:val="32"/>
        </w:rPr>
      </w:pPr>
    </w:p>
    <w:p w14:paraId="5AECAC75">
      <w:pPr>
        <w:pStyle w:val="10"/>
        <w:kinsoku w:val="0"/>
        <w:overflowPunct w:val="0"/>
        <w:spacing w:beforeAutospacing="0" w:afterAutospacing="0" w:line="520" w:lineRule="exact"/>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t>招标代理机构：江苏双清工程造价咨询有限公司</w:t>
      </w:r>
    </w:p>
    <w:p w14:paraId="2EB65005">
      <w:pPr>
        <w:pStyle w:val="10"/>
        <w:kinsoku w:val="0"/>
        <w:overflowPunct w:val="0"/>
        <w:spacing w:beforeAutospacing="0" w:afterAutospacing="0" w:line="520" w:lineRule="exact"/>
        <w:ind w:firstLine="638"/>
        <w:rPr>
          <w:rFonts w:hint="eastAsia" w:ascii="宋体" w:hAnsi="宋体" w:eastAsia="宋体" w:cs="宋体"/>
          <w:b/>
          <w:color w:val="000000"/>
          <w:sz w:val="32"/>
          <w:szCs w:val="32"/>
        </w:rPr>
      </w:pPr>
    </w:p>
    <w:p w14:paraId="0113EEC0">
      <w:pPr>
        <w:pStyle w:val="10"/>
        <w:kinsoku w:val="0"/>
        <w:overflowPunct w:val="0"/>
        <w:spacing w:beforeAutospacing="0" w:afterAutospacing="0"/>
        <w:jc w:val="center"/>
        <w:rPr>
          <w:rFonts w:hint="eastAsia" w:ascii="宋体" w:hAnsi="宋体" w:eastAsia="宋体" w:cs="宋体"/>
        </w:rPr>
      </w:pPr>
      <w:r>
        <w:rPr>
          <w:rFonts w:hint="eastAsia" w:ascii="宋体" w:hAnsi="宋体" w:eastAsia="宋体" w:cs="宋体"/>
          <w:b/>
          <w:color w:val="000000"/>
          <w:sz w:val="32"/>
          <w:szCs w:val="32"/>
        </w:rPr>
        <w:t>日期：2026年05月</w:t>
      </w:r>
    </w:p>
    <w:p w14:paraId="779CAB0C">
      <w:pPr>
        <w:pStyle w:val="10"/>
        <w:spacing w:beforeAutospacing="0" w:afterAutospacing="0" w:line="480" w:lineRule="auto"/>
        <w:ind w:firstLine="416"/>
        <w:jc w:val="center"/>
        <w:rPr>
          <w:rFonts w:hint="eastAsia" w:ascii="宋体" w:hAnsi="宋体" w:eastAsia="宋体" w:cs="宋体"/>
          <w:color w:val="000000"/>
          <w:sz w:val="21"/>
          <w:szCs w:val="21"/>
        </w:rPr>
        <w:sectPr>
          <w:footerReference r:id="rId3" w:type="default"/>
          <w:pgSz w:w="11906" w:h="16838"/>
          <w:pgMar w:top="1327" w:right="1576" w:bottom="1213" w:left="1576" w:header="851" w:footer="992" w:gutter="0"/>
          <w:cols w:space="0" w:num="1"/>
          <w:docGrid w:type="lines" w:linePitch="312" w:charSpace="0"/>
        </w:sectPr>
      </w:pPr>
    </w:p>
    <w:p w14:paraId="79F83A63">
      <w:pPr>
        <w:pStyle w:val="10"/>
        <w:spacing w:beforeAutospacing="0" w:afterAutospacing="0" w:line="480" w:lineRule="auto"/>
        <w:ind w:firstLine="416"/>
        <w:jc w:val="center"/>
        <w:rPr>
          <w:rFonts w:hint="eastAsia" w:ascii="宋体" w:hAnsi="宋体" w:eastAsia="宋体" w:cs="宋体"/>
          <w:color w:val="000000"/>
          <w:sz w:val="21"/>
          <w:szCs w:val="21"/>
        </w:rPr>
      </w:pPr>
      <w:r>
        <w:rPr>
          <w:rFonts w:hint="eastAsia" w:ascii="宋体" w:hAnsi="宋体" w:eastAsia="宋体" w:cs="宋体"/>
          <w:color w:val="000000"/>
          <w:sz w:val="21"/>
          <w:szCs w:val="21"/>
        </w:rPr>
        <w:t> </w:t>
      </w:r>
      <w:bookmarkStart w:id="0" w:name="_Toc523127445"/>
      <w:bookmarkStart w:id="1" w:name="_Toc479757206"/>
      <w:bookmarkStart w:id="2" w:name="_Toc16938516"/>
      <w:bookmarkStart w:id="3" w:name="_Toc120614210"/>
      <w:bookmarkStart w:id="4" w:name="_Toc513029200"/>
      <w:bookmarkStart w:id="5" w:name="_Toc20823272"/>
      <w:r>
        <w:rPr>
          <w:rFonts w:hint="eastAsia" w:ascii="宋体" w:hAnsi="宋体" w:eastAsia="宋体" w:cs="宋体"/>
          <w:color w:val="000000"/>
          <w:sz w:val="21"/>
          <w:szCs w:val="21"/>
        </w:rPr>
        <w:t> </w:t>
      </w:r>
    </w:p>
    <w:p w14:paraId="1568A8A4">
      <w:pPr>
        <w:pStyle w:val="10"/>
        <w:spacing w:beforeAutospacing="0" w:afterAutospacing="0"/>
        <w:ind w:firstLine="879"/>
        <w:jc w:val="center"/>
      </w:pPr>
      <w:r>
        <w:rPr>
          <w:rFonts w:hint="eastAsia" w:ascii="宋体" w:hAnsi="宋体" w:eastAsia="宋体" w:cs="宋体"/>
          <w:b/>
          <w:color w:val="000000"/>
          <w:sz w:val="44"/>
          <w:szCs w:val="44"/>
        </w:rPr>
        <w:t>总 目 录</w:t>
      </w:r>
      <w:bookmarkEnd w:id="0"/>
      <w:bookmarkEnd w:id="1"/>
      <w:bookmarkEnd w:id="2"/>
      <w:bookmarkEnd w:id="3"/>
      <w:bookmarkEnd w:id="4"/>
      <w:bookmarkEnd w:id="5"/>
    </w:p>
    <w:sdt>
      <w:sdtPr>
        <w:rPr>
          <w:rFonts w:ascii="宋体" w:hAnsi="宋体" w:eastAsia="宋体" w:cstheme="minorBidi"/>
          <w:kern w:val="2"/>
          <w:sz w:val="21"/>
        </w:rPr>
        <w:id w:val="147477876"/>
        <w15:color w:val="DBDBDB"/>
        <w:docPartObj>
          <w:docPartGallery w:val="Table of Contents"/>
          <w:docPartUnique/>
        </w:docPartObj>
      </w:sdtPr>
      <w:sdtEndPr>
        <w:rPr>
          <w:rFonts w:hint="eastAsia" w:ascii="宋体" w:hAnsi="宋体" w:eastAsia="宋体" w:cs="宋体"/>
          <w:kern w:val="0"/>
          <w:sz w:val="24"/>
        </w:rPr>
      </w:sdtEndPr>
      <w:sdtContent>
        <w:p w14:paraId="718B2A4C">
          <w:pPr>
            <w:pStyle w:val="10"/>
            <w:spacing w:beforeAutospacing="0" w:afterAutospacing="0" w:line="480" w:lineRule="auto"/>
            <w:ind w:firstLine="420"/>
            <w:jc w:val="both"/>
          </w:pPr>
        </w:p>
        <w:p w14:paraId="0EE5D82F">
          <w:pPr>
            <w:pStyle w:val="9"/>
            <w:tabs>
              <w:tab w:val="right" w:leader="dot" w:pos="8306"/>
            </w:tabs>
            <w:spacing w:line="1000" w:lineRule="exact"/>
            <w:ind w:firstLine="400"/>
            <w:rPr>
              <w:rFonts w:hint="eastAsia" w:ascii="宋体" w:hAnsi="宋体" w:eastAsia="宋体" w:cs="宋体"/>
              <w:sz w:val="32"/>
              <w:szCs w:val="32"/>
            </w:rPr>
          </w:pPr>
          <w:r>
            <w:rPr>
              <w:rFonts w:hint="eastAsia" w:ascii="宋体" w:hAnsi="宋体" w:eastAsia="宋体" w:cs="宋体"/>
              <w:sz w:val="20"/>
              <w:szCs w:val="22"/>
            </w:rPr>
            <w:fldChar w:fldCharType="begin"/>
          </w:r>
          <w:r>
            <w:rPr>
              <w:rFonts w:hint="eastAsia" w:ascii="宋体" w:hAnsi="宋体" w:eastAsia="宋体" w:cs="宋体"/>
              <w:sz w:val="20"/>
              <w:szCs w:val="22"/>
            </w:rPr>
            <w:instrText xml:space="preserve">TOC \o "1-2" \h \u </w:instrText>
          </w:r>
          <w:r>
            <w:rPr>
              <w:rFonts w:hint="eastAsia" w:ascii="宋体" w:hAnsi="宋体" w:eastAsia="宋体" w:cs="宋体"/>
              <w:sz w:val="20"/>
              <w:szCs w:val="22"/>
            </w:rPr>
            <w:fldChar w:fldCharType="separate"/>
          </w:r>
          <w:r>
            <w:fldChar w:fldCharType="begin"/>
          </w:r>
          <w:r>
            <w:instrText xml:space="preserve"> HYPERLINK \l "_Toc23135" </w:instrText>
          </w:r>
          <w:r>
            <w:fldChar w:fldCharType="separate"/>
          </w:r>
          <w:r>
            <w:rPr>
              <w:rFonts w:hint="eastAsia" w:ascii="宋体" w:hAnsi="宋体" w:eastAsia="宋体" w:cs="宋体"/>
              <w:bCs/>
              <w:sz w:val="32"/>
              <w:szCs w:val="32"/>
            </w:rPr>
            <w:t>第一章 招标公告</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_Toc23135 \h </w:instrText>
          </w:r>
          <w:r>
            <w:rPr>
              <w:rFonts w:hint="eastAsia" w:ascii="宋体" w:hAnsi="宋体" w:eastAsia="宋体" w:cs="宋体"/>
              <w:sz w:val="32"/>
              <w:szCs w:val="32"/>
            </w:rPr>
            <w:fldChar w:fldCharType="separate"/>
          </w:r>
          <w:r>
            <w:rPr>
              <w:rFonts w:hint="eastAsia" w:ascii="宋体" w:hAnsi="宋体" w:eastAsia="宋体" w:cs="宋体"/>
              <w:sz w:val="32"/>
              <w:szCs w:val="32"/>
            </w:rPr>
            <w:t>2</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p>
        <w:p w14:paraId="5177964A">
          <w:pPr>
            <w:pStyle w:val="9"/>
            <w:tabs>
              <w:tab w:val="right" w:leader="dot" w:pos="8306"/>
            </w:tabs>
            <w:spacing w:line="1000" w:lineRule="exact"/>
            <w:ind w:firstLine="400"/>
            <w:rPr>
              <w:rFonts w:hint="eastAsia" w:ascii="宋体" w:hAnsi="宋体" w:eastAsia="宋体" w:cs="宋体"/>
              <w:sz w:val="32"/>
              <w:szCs w:val="32"/>
            </w:rPr>
          </w:pPr>
          <w:r>
            <w:rPr>
              <w:rFonts w:hint="eastAsia" w:ascii="宋体" w:hAnsi="宋体" w:eastAsia="宋体" w:cs="宋体"/>
              <w:bCs/>
              <w:sz w:val="32"/>
              <w:szCs w:val="32"/>
            </w:rPr>
            <w:t>第二</w:t>
          </w:r>
          <w:r>
            <w:fldChar w:fldCharType="begin"/>
          </w:r>
          <w:r>
            <w:instrText xml:space="preserve"> HYPERLINK \l "_Toc4741" </w:instrText>
          </w:r>
          <w:r>
            <w:fldChar w:fldCharType="separate"/>
          </w:r>
          <w:r>
            <w:rPr>
              <w:rFonts w:hint="eastAsia" w:ascii="宋体" w:hAnsi="宋体" w:eastAsia="宋体" w:cs="宋体"/>
              <w:bCs/>
              <w:sz w:val="32"/>
              <w:szCs w:val="32"/>
            </w:rPr>
            <w:t>章  投标人须知</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_Toc4741 \h </w:instrText>
          </w:r>
          <w:r>
            <w:rPr>
              <w:rFonts w:hint="eastAsia" w:ascii="宋体" w:hAnsi="宋体" w:eastAsia="宋体" w:cs="宋体"/>
              <w:sz w:val="32"/>
              <w:szCs w:val="32"/>
            </w:rPr>
            <w:fldChar w:fldCharType="separate"/>
          </w:r>
          <w:r>
            <w:rPr>
              <w:rFonts w:hint="eastAsia" w:ascii="宋体" w:hAnsi="宋体" w:eastAsia="宋体" w:cs="宋体"/>
              <w:sz w:val="32"/>
              <w:szCs w:val="32"/>
            </w:rPr>
            <w:t>6</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p>
        <w:p w14:paraId="78A46583">
          <w:pPr>
            <w:pStyle w:val="9"/>
            <w:tabs>
              <w:tab w:val="right" w:leader="dot" w:pos="8306"/>
            </w:tabs>
            <w:spacing w:line="1000" w:lineRule="exact"/>
            <w:ind w:firstLine="420"/>
            <w:rPr>
              <w:rFonts w:hint="eastAsia" w:ascii="宋体" w:hAnsi="宋体" w:eastAsia="宋体" w:cs="宋体"/>
              <w:sz w:val="32"/>
              <w:szCs w:val="32"/>
            </w:rPr>
          </w:pPr>
          <w:r>
            <w:fldChar w:fldCharType="begin"/>
          </w:r>
          <w:r>
            <w:instrText xml:space="preserve"> HYPERLINK \l "_Toc25333" </w:instrText>
          </w:r>
          <w:r>
            <w:fldChar w:fldCharType="separate"/>
          </w:r>
          <w:r>
            <w:rPr>
              <w:rFonts w:hint="eastAsia" w:ascii="宋体" w:hAnsi="宋体" w:eastAsia="宋体" w:cs="宋体"/>
              <w:bCs/>
              <w:kern w:val="0"/>
              <w:sz w:val="32"/>
              <w:szCs w:val="32"/>
            </w:rPr>
            <w:t>第三章  合同文本</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_Toc25333 \h </w:instrText>
          </w:r>
          <w:r>
            <w:rPr>
              <w:rFonts w:hint="eastAsia" w:ascii="宋体" w:hAnsi="宋体" w:eastAsia="宋体" w:cs="宋体"/>
              <w:sz w:val="32"/>
              <w:szCs w:val="32"/>
            </w:rPr>
            <w:fldChar w:fldCharType="separate"/>
          </w:r>
          <w:r>
            <w:rPr>
              <w:rFonts w:hint="eastAsia" w:ascii="宋体" w:hAnsi="宋体" w:eastAsia="宋体" w:cs="宋体"/>
              <w:sz w:val="32"/>
              <w:szCs w:val="32"/>
            </w:rPr>
            <w:t>21</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p>
        <w:p w14:paraId="6089692F">
          <w:pPr>
            <w:pStyle w:val="9"/>
            <w:tabs>
              <w:tab w:val="right" w:leader="dot" w:pos="8306"/>
            </w:tabs>
            <w:spacing w:line="1000" w:lineRule="exact"/>
            <w:ind w:firstLine="420"/>
            <w:rPr>
              <w:rFonts w:hint="eastAsia" w:ascii="宋体" w:hAnsi="宋体" w:eastAsia="宋体" w:cs="宋体"/>
              <w:sz w:val="32"/>
              <w:szCs w:val="32"/>
            </w:rPr>
          </w:pPr>
          <w:r>
            <w:fldChar w:fldCharType="begin"/>
          </w:r>
          <w:r>
            <w:instrText xml:space="preserve"> HYPERLINK \l "_Toc28589" </w:instrText>
          </w:r>
          <w:r>
            <w:fldChar w:fldCharType="separate"/>
          </w:r>
          <w:r>
            <w:rPr>
              <w:rFonts w:hint="eastAsia" w:ascii="宋体" w:hAnsi="宋体" w:eastAsia="宋体" w:cs="宋体"/>
              <w:bCs/>
              <w:kern w:val="0"/>
              <w:sz w:val="32"/>
              <w:szCs w:val="32"/>
            </w:rPr>
            <w:t>第四章  采购需求</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_Toc28589 \h </w:instrText>
          </w:r>
          <w:r>
            <w:rPr>
              <w:rFonts w:hint="eastAsia" w:ascii="宋体" w:hAnsi="宋体" w:eastAsia="宋体" w:cs="宋体"/>
              <w:sz w:val="32"/>
              <w:szCs w:val="32"/>
            </w:rPr>
            <w:fldChar w:fldCharType="separate"/>
          </w:r>
          <w:r>
            <w:rPr>
              <w:rFonts w:hint="eastAsia" w:ascii="宋体" w:hAnsi="宋体" w:eastAsia="宋体" w:cs="宋体"/>
              <w:sz w:val="32"/>
              <w:szCs w:val="32"/>
            </w:rPr>
            <w:t>22</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p>
        <w:p w14:paraId="4ACB0D70">
          <w:pPr>
            <w:pStyle w:val="9"/>
            <w:tabs>
              <w:tab w:val="right" w:leader="dot" w:pos="8306"/>
            </w:tabs>
            <w:spacing w:line="1000" w:lineRule="exact"/>
            <w:ind w:firstLine="420"/>
            <w:rPr>
              <w:rFonts w:hint="eastAsia" w:ascii="宋体" w:hAnsi="宋体" w:eastAsia="宋体" w:cs="宋体"/>
              <w:sz w:val="32"/>
              <w:szCs w:val="32"/>
            </w:rPr>
          </w:pPr>
          <w:r>
            <w:fldChar w:fldCharType="begin"/>
          </w:r>
          <w:r>
            <w:instrText xml:space="preserve"> HYPERLINK \l "_Toc21850" </w:instrText>
          </w:r>
          <w:r>
            <w:fldChar w:fldCharType="separate"/>
          </w:r>
          <w:r>
            <w:rPr>
              <w:rFonts w:hint="eastAsia" w:ascii="宋体" w:hAnsi="宋体" w:eastAsia="宋体" w:cs="宋体"/>
              <w:bCs/>
              <w:kern w:val="0"/>
              <w:sz w:val="32"/>
              <w:szCs w:val="32"/>
            </w:rPr>
            <w:t>第五章  评标方法与评标标准</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_Toc21850 \h </w:instrText>
          </w:r>
          <w:r>
            <w:rPr>
              <w:rFonts w:hint="eastAsia" w:ascii="宋体" w:hAnsi="宋体" w:eastAsia="宋体" w:cs="宋体"/>
              <w:sz w:val="32"/>
              <w:szCs w:val="32"/>
            </w:rPr>
            <w:fldChar w:fldCharType="separate"/>
          </w:r>
          <w:r>
            <w:rPr>
              <w:rFonts w:hint="eastAsia" w:ascii="宋体" w:hAnsi="宋体" w:eastAsia="宋体" w:cs="宋体"/>
              <w:sz w:val="32"/>
              <w:szCs w:val="32"/>
            </w:rPr>
            <w:t>48</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p>
        <w:p w14:paraId="2FF1882D">
          <w:pPr>
            <w:pStyle w:val="9"/>
            <w:tabs>
              <w:tab w:val="right" w:leader="dot" w:pos="8306"/>
            </w:tabs>
            <w:spacing w:line="1000" w:lineRule="exact"/>
            <w:ind w:firstLine="420"/>
            <w:rPr>
              <w:sz w:val="20"/>
              <w:szCs w:val="22"/>
            </w:rPr>
          </w:pPr>
          <w:r>
            <w:fldChar w:fldCharType="begin"/>
          </w:r>
          <w:r>
            <w:instrText xml:space="preserve"> HYPERLINK \l "_Toc12036" </w:instrText>
          </w:r>
          <w:r>
            <w:fldChar w:fldCharType="separate"/>
          </w:r>
          <w:r>
            <w:rPr>
              <w:rFonts w:hint="eastAsia" w:ascii="宋体" w:hAnsi="宋体" w:eastAsia="宋体" w:cs="宋体"/>
              <w:bCs/>
              <w:kern w:val="0"/>
              <w:sz w:val="32"/>
              <w:szCs w:val="32"/>
            </w:rPr>
            <w:t>第六章 投标文件格式</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_Toc12036 \h </w:instrText>
          </w:r>
          <w:r>
            <w:rPr>
              <w:rFonts w:hint="eastAsia" w:ascii="宋体" w:hAnsi="宋体" w:eastAsia="宋体" w:cs="宋体"/>
              <w:sz w:val="32"/>
              <w:szCs w:val="32"/>
            </w:rPr>
            <w:fldChar w:fldCharType="separate"/>
          </w:r>
          <w:r>
            <w:rPr>
              <w:rFonts w:hint="eastAsia" w:ascii="宋体" w:hAnsi="宋体" w:eastAsia="宋体" w:cs="宋体"/>
              <w:sz w:val="32"/>
              <w:szCs w:val="32"/>
            </w:rPr>
            <w:t>56</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p>
        <w:p w14:paraId="6B42B501">
          <w:pPr>
            <w:pStyle w:val="10"/>
            <w:spacing w:beforeAutospacing="0" w:afterAutospacing="0" w:line="480" w:lineRule="auto"/>
            <w:ind w:firstLine="440"/>
            <w:jc w:val="both"/>
            <w:rPr>
              <w:rFonts w:hint="eastAsia" w:ascii="宋体" w:hAnsi="宋体" w:eastAsia="宋体" w:cs="宋体"/>
            </w:rPr>
          </w:pPr>
          <w:r>
            <w:rPr>
              <w:rFonts w:hint="eastAsia" w:ascii="宋体" w:hAnsi="宋体" w:eastAsia="宋体" w:cs="宋体"/>
              <w:sz w:val="22"/>
              <w:szCs w:val="22"/>
            </w:rPr>
            <w:fldChar w:fldCharType="end"/>
          </w:r>
        </w:p>
      </w:sdtContent>
    </w:sdt>
    <w:p w14:paraId="4169B66C">
      <w:pPr>
        <w:pStyle w:val="10"/>
        <w:spacing w:beforeAutospacing="0" w:afterAutospacing="0"/>
        <w:jc w:val="both"/>
        <w:rPr>
          <w:rFonts w:hint="eastAsia" w:ascii="宋体" w:hAnsi="宋体" w:eastAsia="宋体" w:cs="宋体"/>
        </w:rPr>
      </w:pPr>
      <w:r>
        <w:rPr>
          <w:rFonts w:hint="eastAsia" w:ascii="宋体" w:hAnsi="宋体" w:eastAsia="宋体" w:cs="宋体"/>
        </w:rPr>
        <w:t> </w:t>
      </w:r>
    </w:p>
    <w:p w14:paraId="173EECF6">
      <w:pPr>
        <w:pStyle w:val="10"/>
        <w:spacing w:beforeAutospacing="0" w:afterAutospacing="0"/>
        <w:jc w:val="both"/>
        <w:rPr>
          <w:rFonts w:hint="eastAsia" w:ascii="宋体" w:hAnsi="宋体" w:eastAsia="宋体" w:cs="宋体"/>
        </w:rPr>
      </w:pPr>
      <w:r>
        <w:rPr>
          <w:rFonts w:hint="eastAsia" w:ascii="宋体" w:hAnsi="宋体" w:eastAsia="宋体" w:cs="宋体"/>
        </w:rPr>
        <w:t> </w:t>
      </w:r>
    </w:p>
    <w:p w14:paraId="022D73B1">
      <w:pPr>
        <w:pStyle w:val="10"/>
        <w:spacing w:beforeAutospacing="0" w:afterAutospacing="0"/>
        <w:jc w:val="both"/>
        <w:rPr>
          <w:rFonts w:hint="eastAsia" w:ascii="宋体" w:hAnsi="宋体" w:eastAsia="宋体" w:cs="宋体"/>
        </w:rPr>
      </w:pPr>
      <w:r>
        <w:rPr>
          <w:rFonts w:hint="eastAsia" w:ascii="宋体" w:hAnsi="宋体" w:eastAsia="宋体" w:cs="宋体"/>
        </w:rPr>
        <w:t> </w:t>
      </w:r>
    </w:p>
    <w:p w14:paraId="5F4DF85A">
      <w:pPr>
        <w:pStyle w:val="10"/>
        <w:spacing w:beforeAutospacing="0" w:afterAutospacing="0"/>
        <w:jc w:val="both"/>
        <w:rPr>
          <w:rFonts w:hint="eastAsia" w:ascii="宋体" w:hAnsi="宋体" w:eastAsia="宋体" w:cs="宋体"/>
        </w:rPr>
      </w:pPr>
      <w:r>
        <w:rPr>
          <w:rFonts w:hint="eastAsia" w:ascii="宋体" w:hAnsi="宋体" w:eastAsia="宋体" w:cs="宋体"/>
        </w:rPr>
        <w:t> </w:t>
      </w:r>
    </w:p>
    <w:p w14:paraId="2E0CA8A0">
      <w:pPr>
        <w:pStyle w:val="10"/>
        <w:spacing w:beforeAutospacing="0" w:afterAutospacing="0"/>
        <w:jc w:val="both"/>
        <w:rPr>
          <w:rFonts w:hint="eastAsia" w:ascii="宋体" w:hAnsi="宋体" w:eastAsia="宋体" w:cs="宋体"/>
        </w:rPr>
      </w:pPr>
      <w:r>
        <w:rPr>
          <w:rFonts w:hint="eastAsia" w:ascii="宋体" w:hAnsi="宋体" w:eastAsia="宋体" w:cs="宋体"/>
        </w:rPr>
        <w:t> </w:t>
      </w:r>
    </w:p>
    <w:p w14:paraId="00F8A4E0">
      <w:pPr>
        <w:pStyle w:val="10"/>
        <w:spacing w:beforeAutospacing="0" w:afterAutospacing="0"/>
        <w:jc w:val="both"/>
        <w:rPr>
          <w:rFonts w:hint="eastAsia" w:ascii="宋体" w:hAnsi="宋体" w:eastAsia="宋体" w:cs="宋体"/>
        </w:rPr>
      </w:pPr>
      <w:r>
        <w:rPr>
          <w:rFonts w:hint="eastAsia" w:ascii="宋体" w:hAnsi="宋体" w:eastAsia="宋体" w:cs="宋体"/>
        </w:rPr>
        <w:t> </w:t>
      </w:r>
    </w:p>
    <w:p w14:paraId="3852D3C9">
      <w:pPr>
        <w:pStyle w:val="10"/>
        <w:spacing w:beforeAutospacing="0" w:afterAutospacing="0"/>
        <w:jc w:val="both"/>
        <w:rPr>
          <w:rFonts w:hint="eastAsia" w:ascii="宋体" w:hAnsi="宋体" w:eastAsia="宋体" w:cs="宋体"/>
        </w:rPr>
      </w:pPr>
      <w:r>
        <w:rPr>
          <w:rFonts w:hint="eastAsia" w:ascii="宋体" w:hAnsi="宋体" w:eastAsia="宋体" w:cs="宋体"/>
        </w:rPr>
        <w:t> </w:t>
      </w:r>
    </w:p>
    <w:p w14:paraId="506BDE97">
      <w:pPr>
        <w:pStyle w:val="10"/>
        <w:spacing w:beforeAutospacing="0" w:afterAutospacing="0"/>
        <w:jc w:val="both"/>
        <w:rPr>
          <w:rFonts w:hint="eastAsia" w:ascii="宋体" w:hAnsi="宋体" w:eastAsia="宋体" w:cs="宋体"/>
        </w:rPr>
      </w:pPr>
      <w:r>
        <w:rPr>
          <w:rFonts w:hint="eastAsia" w:ascii="宋体" w:hAnsi="宋体" w:eastAsia="宋体" w:cs="宋体"/>
        </w:rPr>
        <w:t> </w:t>
      </w:r>
    </w:p>
    <w:p w14:paraId="656B4D98">
      <w:pPr>
        <w:pStyle w:val="10"/>
        <w:spacing w:beforeAutospacing="0" w:afterAutospacing="0"/>
        <w:jc w:val="both"/>
        <w:rPr>
          <w:rFonts w:hint="eastAsia" w:ascii="宋体" w:hAnsi="宋体" w:eastAsia="宋体" w:cs="宋体"/>
        </w:rPr>
      </w:pPr>
      <w:r>
        <w:rPr>
          <w:rFonts w:hint="eastAsia" w:ascii="宋体" w:hAnsi="宋体" w:eastAsia="宋体" w:cs="宋体"/>
        </w:rPr>
        <w:t> </w:t>
      </w:r>
    </w:p>
    <w:p w14:paraId="0AB6C32D">
      <w:pPr>
        <w:pStyle w:val="10"/>
        <w:spacing w:beforeAutospacing="0" w:afterAutospacing="0"/>
        <w:jc w:val="both"/>
        <w:rPr>
          <w:rFonts w:hint="eastAsia" w:ascii="宋体" w:hAnsi="宋体" w:eastAsia="宋体" w:cs="宋体"/>
        </w:rPr>
      </w:pPr>
      <w:r>
        <w:rPr>
          <w:rFonts w:hint="eastAsia" w:ascii="宋体" w:hAnsi="宋体" w:eastAsia="宋体" w:cs="宋体"/>
        </w:rPr>
        <w:t> </w:t>
      </w:r>
    </w:p>
    <w:p w14:paraId="5BA4E24B">
      <w:pPr>
        <w:pStyle w:val="10"/>
        <w:spacing w:beforeAutospacing="0" w:afterAutospacing="0"/>
        <w:jc w:val="both"/>
        <w:rPr>
          <w:rFonts w:hint="eastAsia" w:ascii="宋体" w:hAnsi="宋体" w:eastAsia="宋体" w:cs="宋体"/>
        </w:rPr>
      </w:pPr>
      <w:r>
        <w:rPr>
          <w:rFonts w:hint="eastAsia" w:ascii="宋体" w:hAnsi="宋体" w:eastAsia="宋体" w:cs="宋体"/>
        </w:rPr>
        <w:t> </w:t>
      </w:r>
    </w:p>
    <w:p w14:paraId="0101BC7E">
      <w:pPr>
        <w:pStyle w:val="10"/>
        <w:spacing w:beforeAutospacing="0" w:afterAutospacing="0"/>
        <w:jc w:val="both"/>
        <w:rPr>
          <w:rFonts w:hint="eastAsia" w:ascii="宋体" w:hAnsi="宋体" w:eastAsia="宋体" w:cs="宋体"/>
        </w:rPr>
      </w:pPr>
      <w:r>
        <w:rPr>
          <w:rFonts w:hint="eastAsia" w:ascii="宋体" w:hAnsi="宋体" w:eastAsia="宋体" w:cs="宋体"/>
        </w:rPr>
        <w:t> </w:t>
      </w:r>
    </w:p>
    <w:p w14:paraId="09553C98">
      <w:pPr>
        <w:pStyle w:val="10"/>
        <w:spacing w:beforeAutospacing="0" w:afterAutospacing="0"/>
        <w:jc w:val="both"/>
        <w:rPr>
          <w:rFonts w:hint="eastAsia" w:ascii="宋体" w:hAnsi="宋体" w:eastAsia="宋体" w:cs="宋体"/>
        </w:rPr>
      </w:pPr>
      <w:r>
        <w:rPr>
          <w:rFonts w:hint="eastAsia" w:ascii="宋体" w:hAnsi="宋体" w:eastAsia="宋体" w:cs="宋体"/>
        </w:rPr>
        <w:t> </w:t>
      </w:r>
    </w:p>
    <w:p w14:paraId="3FDB0CEA">
      <w:pPr>
        <w:pStyle w:val="10"/>
        <w:spacing w:beforeAutospacing="0" w:afterAutospacing="0"/>
        <w:jc w:val="both"/>
        <w:rPr>
          <w:rFonts w:hint="eastAsia" w:ascii="宋体" w:hAnsi="宋体" w:eastAsia="宋体" w:cs="宋体"/>
        </w:rPr>
      </w:pPr>
      <w:r>
        <w:rPr>
          <w:rFonts w:hint="eastAsia" w:ascii="宋体" w:hAnsi="宋体" w:eastAsia="宋体" w:cs="宋体"/>
        </w:rPr>
        <w:t> </w:t>
      </w:r>
    </w:p>
    <w:p w14:paraId="0ADB10C9">
      <w:pPr>
        <w:pStyle w:val="10"/>
        <w:spacing w:beforeAutospacing="0" w:afterAutospacing="0"/>
        <w:jc w:val="both"/>
        <w:rPr>
          <w:rFonts w:hint="eastAsia" w:ascii="宋体" w:hAnsi="宋体" w:eastAsia="宋体" w:cs="宋体"/>
        </w:rPr>
      </w:pPr>
      <w:r>
        <w:rPr>
          <w:rFonts w:hint="eastAsia" w:ascii="宋体" w:hAnsi="宋体" w:eastAsia="宋体" w:cs="宋体"/>
        </w:rPr>
        <w:t> </w:t>
      </w:r>
    </w:p>
    <w:p w14:paraId="2568FD86">
      <w:pPr>
        <w:pStyle w:val="10"/>
        <w:spacing w:beforeAutospacing="0" w:afterAutospacing="0"/>
        <w:jc w:val="both"/>
        <w:rPr>
          <w:rFonts w:hint="eastAsia" w:ascii="宋体" w:hAnsi="宋体" w:eastAsia="宋体" w:cs="宋体"/>
        </w:rPr>
      </w:pPr>
      <w:r>
        <w:rPr>
          <w:rFonts w:hint="eastAsia" w:ascii="宋体" w:hAnsi="宋体" w:eastAsia="宋体" w:cs="宋体"/>
        </w:rPr>
        <w:t> </w:t>
      </w:r>
    </w:p>
    <w:p w14:paraId="53779668">
      <w:pPr>
        <w:pStyle w:val="10"/>
        <w:spacing w:beforeAutospacing="0" w:afterAutospacing="0"/>
        <w:jc w:val="both"/>
        <w:rPr>
          <w:rFonts w:hint="eastAsia" w:ascii="宋体" w:hAnsi="宋体" w:eastAsia="宋体" w:cs="宋体"/>
        </w:rPr>
      </w:pPr>
      <w:r>
        <w:rPr>
          <w:rFonts w:hint="eastAsia" w:ascii="宋体" w:hAnsi="宋体" w:eastAsia="宋体" w:cs="宋体"/>
        </w:rPr>
        <w:t> </w:t>
      </w:r>
    </w:p>
    <w:p w14:paraId="1436738A">
      <w:pPr>
        <w:pStyle w:val="10"/>
        <w:spacing w:beforeAutospacing="0" w:afterAutospacing="0"/>
        <w:jc w:val="both"/>
        <w:rPr>
          <w:rFonts w:hint="eastAsia" w:ascii="宋体" w:hAnsi="宋体" w:eastAsia="宋体" w:cs="宋体"/>
        </w:rPr>
      </w:pPr>
      <w:r>
        <w:rPr>
          <w:rFonts w:hint="eastAsia" w:ascii="宋体" w:hAnsi="宋体" w:eastAsia="宋体" w:cs="宋体"/>
        </w:rPr>
        <w:t> </w:t>
      </w:r>
    </w:p>
    <w:p w14:paraId="474D1FB9">
      <w:pPr>
        <w:pStyle w:val="10"/>
        <w:spacing w:beforeAutospacing="0" w:afterAutospacing="0"/>
        <w:ind w:firstLine="799"/>
        <w:jc w:val="center"/>
        <w:outlineLvl w:val="0"/>
        <w:rPr>
          <w:rFonts w:hint="eastAsia" w:ascii="宋体" w:hAnsi="宋体" w:eastAsia="宋体" w:cs="宋体"/>
          <w:b/>
          <w:bCs/>
          <w:sz w:val="40"/>
          <w:szCs w:val="40"/>
        </w:rPr>
      </w:pPr>
      <w:bookmarkStart w:id="6" w:name="_Toc23135"/>
      <w:r>
        <w:rPr>
          <w:rFonts w:hint="eastAsia" w:ascii="宋体" w:hAnsi="宋体" w:eastAsia="宋体" w:cs="宋体"/>
          <w:b/>
          <w:bCs/>
          <w:color w:val="000000"/>
          <w:sz w:val="40"/>
          <w:szCs w:val="40"/>
        </w:rPr>
        <w:t>第一章  招标公告</w:t>
      </w:r>
      <w:bookmarkEnd w:id="6"/>
    </w:p>
    <w:p w14:paraId="44157466">
      <w:pPr>
        <w:pStyle w:val="10"/>
        <w:pBdr>
          <w:top w:val="single" w:color="000000" w:sz="4" w:space="0"/>
          <w:left w:val="single" w:color="000000" w:sz="4" w:space="0"/>
          <w:bottom w:val="single" w:color="000000" w:sz="4" w:space="0"/>
          <w:right w:val="single" w:color="000000" w:sz="4" w:space="0"/>
        </w:pBdr>
        <w:spacing w:beforeAutospacing="0" w:afterAutospacing="0" w:line="360" w:lineRule="auto"/>
        <w:ind w:firstLine="476"/>
        <w:jc w:val="both"/>
        <w:rPr>
          <w:rFonts w:hint="eastAsia" w:ascii="宋体" w:hAnsi="宋体" w:eastAsia="宋体" w:cs="宋体"/>
        </w:rPr>
      </w:pPr>
      <w:r>
        <w:rPr>
          <w:rFonts w:hint="eastAsia" w:ascii="宋体" w:hAnsi="宋体" w:eastAsia="宋体" w:cs="宋体"/>
          <w:color w:val="000000"/>
        </w:rPr>
        <w:t>项目概况</w:t>
      </w:r>
    </w:p>
    <w:p w14:paraId="54C01FD6">
      <w:pPr>
        <w:pStyle w:val="10"/>
        <w:pBdr>
          <w:top w:val="single" w:color="000000" w:sz="4" w:space="0"/>
          <w:left w:val="single" w:color="000000" w:sz="4" w:space="0"/>
          <w:bottom w:val="single" w:color="000000" w:sz="4" w:space="0"/>
          <w:right w:val="single" w:color="000000" w:sz="4" w:space="0"/>
        </w:pBdr>
        <w:spacing w:beforeAutospacing="0" w:afterAutospacing="0" w:line="360" w:lineRule="auto"/>
        <w:ind w:firstLine="476"/>
        <w:jc w:val="both"/>
        <w:rPr>
          <w:rFonts w:hint="eastAsia" w:ascii="宋体" w:hAnsi="宋体" w:eastAsia="宋体" w:cs="宋体"/>
        </w:rPr>
      </w:pPr>
      <w:r>
        <w:rPr>
          <w:rFonts w:hint="eastAsia" w:ascii="宋体" w:hAnsi="宋体" w:eastAsia="宋体" w:cs="宋体"/>
          <w:color w:val="000000"/>
          <w:u w:val="none"/>
        </w:rPr>
        <w:t>大丰区城镇生活污水治理提质增效项目-城区、镇级管网检测项目</w:t>
      </w:r>
      <w:r>
        <w:rPr>
          <w:rFonts w:hint="eastAsia" w:ascii="宋体" w:hAnsi="宋体" w:eastAsia="宋体" w:cs="宋体"/>
          <w:color w:val="000000"/>
          <w:u w:val="none"/>
          <w:lang w:eastAsia="zh-CN"/>
        </w:rPr>
        <w:t>（</w:t>
      </w:r>
      <w:r>
        <w:rPr>
          <w:rFonts w:hint="eastAsia" w:ascii="宋体" w:hAnsi="宋体" w:eastAsia="宋体" w:cs="宋体"/>
          <w:color w:val="000000"/>
          <w:u w:val="none"/>
        </w:rPr>
        <w:t>项目编号：</w:t>
      </w:r>
      <w:r>
        <w:rPr>
          <w:rFonts w:hint="eastAsia" w:ascii="宋体" w:hAnsi="宋体" w:eastAsia="宋体" w:cs="宋体"/>
          <w:color w:val="000000"/>
          <w:u w:val="none"/>
          <w:shd w:val="clear" w:color="auto" w:fill="FFFFFF"/>
        </w:rPr>
        <w:t>JSZC-320904-SQGC-G2026-0010</w:t>
      </w:r>
      <w:r>
        <w:rPr>
          <w:rFonts w:hint="eastAsia" w:ascii="宋体" w:hAnsi="宋体" w:eastAsia="宋体" w:cs="宋体"/>
          <w:color w:val="000000"/>
          <w:u w:val="none"/>
          <w:lang w:eastAsia="zh-CN"/>
        </w:rPr>
        <w:t>）</w:t>
      </w:r>
      <w:bookmarkStart w:id="234" w:name="_GoBack"/>
      <w:bookmarkEnd w:id="234"/>
      <w:r>
        <w:rPr>
          <w:rFonts w:hint="eastAsia" w:ascii="宋体" w:hAnsi="宋体" w:eastAsia="宋体" w:cs="宋体"/>
          <w:color w:val="000000"/>
        </w:rPr>
        <w:t>招标项目的潜在投标人可在</w:t>
      </w:r>
      <w:r>
        <w:rPr>
          <w:rFonts w:hint="eastAsia" w:ascii="宋体" w:hAnsi="宋体" w:eastAsia="宋体" w:cs="宋体"/>
          <w:color w:val="333333"/>
          <w:shd w:val="clear" w:color="auto" w:fill="FFFFFF"/>
        </w:rPr>
        <w:t>“苏采云”系统内免费下载（投标人必须在苏采云系统中获取采购文件，方能参与政府采购项目）获取招标文件，</w:t>
      </w:r>
      <w:r>
        <w:rPr>
          <w:rFonts w:hint="eastAsia" w:ascii="宋体" w:hAnsi="宋体" w:eastAsia="宋体" w:cs="宋体"/>
          <w:color w:val="000000"/>
        </w:rPr>
        <w:t>并于</w:t>
      </w:r>
      <w:r>
        <w:rPr>
          <w:rFonts w:hint="eastAsia" w:ascii="宋体" w:hAnsi="宋体" w:eastAsia="宋体" w:cs="宋体"/>
          <w:color w:val="000000"/>
          <w:u w:val="single"/>
        </w:rPr>
        <w:t>2026年</w:t>
      </w:r>
      <w:r>
        <w:rPr>
          <w:rFonts w:hint="eastAsia" w:ascii="宋体" w:hAnsi="宋体" w:eastAsia="宋体" w:cs="宋体"/>
          <w:color w:val="000000"/>
          <w:u w:val="single"/>
          <w:lang w:val="en-US" w:eastAsia="zh-CN"/>
        </w:rPr>
        <w:t>06月11日10点00分</w:t>
      </w:r>
      <w:r>
        <w:rPr>
          <w:rFonts w:hint="eastAsia" w:ascii="宋体" w:hAnsi="宋体" w:eastAsia="宋体" w:cs="宋体"/>
          <w:color w:val="000000"/>
        </w:rPr>
        <w:t>（北京时间）前递交投标文件。</w:t>
      </w:r>
    </w:p>
    <w:p w14:paraId="4C533631">
      <w:pPr>
        <w:pStyle w:val="10"/>
        <w:spacing w:beforeAutospacing="0" w:afterAutospacing="0" w:line="460" w:lineRule="exact"/>
        <w:ind w:firstLine="478"/>
        <w:rPr>
          <w:rFonts w:hint="eastAsia" w:ascii="宋体" w:hAnsi="宋体" w:eastAsia="宋体" w:cs="宋体"/>
        </w:rPr>
      </w:pPr>
      <w:bookmarkStart w:id="7" w:name="_Toc35393790"/>
      <w:bookmarkStart w:id="8" w:name="_Toc38985263"/>
      <w:bookmarkStart w:id="9" w:name="_Toc35393621"/>
      <w:bookmarkStart w:id="10" w:name="_Toc28359002"/>
      <w:bookmarkStart w:id="11" w:name="_Hlk24379207"/>
      <w:bookmarkStart w:id="12" w:name="_Toc28359079"/>
      <w:r>
        <w:rPr>
          <w:rFonts w:hint="eastAsia" w:ascii="宋体" w:hAnsi="宋体" w:eastAsia="宋体" w:cs="宋体"/>
          <w:b/>
          <w:color w:val="000000"/>
        </w:rPr>
        <w:t>一、项目基本情况</w:t>
      </w:r>
      <w:bookmarkEnd w:id="7"/>
      <w:bookmarkEnd w:id="8"/>
      <w:bookmarkEnd w:id="9"/>
      <w:bookmarkEnd w:id="10"/>
      <w:bookmarkEnd w:id="11"/>
      <w:bookmarkEnd w:id="12"/>
    </w:p>
    <w:p w14:paraId="22DB4CDD">
      <w:pPr>
        <w:pStyle w:val="10"/>
        <w:spacing w:beforeAutospacing="0" w:afterAutospacing="0" w:line="460" w:lineRule="exact"/>
        <w:ind w:firstLine="476"/>
        <w:rPr>
          <w:rFonts w:hint="eastAsia" w:ascii="宋体" w:hAnsi="宋体" w:eastAsia="宋体" w:cs="宋体"/>
          <w:color w:val="000000"/>
        </w:rPr>
      </w:pPr>
      <w:r>
        <w:rPr>
          <w:rFonts w:hint="eastAsia" w:ascii="宋体" w:hAnsi="宋体" w:eastAsia="宋体" w:cs="宋体"/>
          <w:color w:val="000000"/>
        </w:rPr>
        <w:t>1.项目编号：</w:t>
      </w:r>
      <w:r>
        <w:rPr>
          <w:rFonts w:hint="eastAsia" w:ascii="宋体" w:hAnsi="宋体" w:eastAsia="宋体" w:cs="宋体"/>
          <w:color w:val="000000"/>
          <w:shd w:val="clear" w:color="auto" w:fill="FFFFFF"/>
        </w:rPr>
        <w:t>JSZC-320904-SQGC-G2026-0010</w:t>
      </w:r>
    </w:p>
    <w:p w14:paraId="508E06BB">
      <w:pPr>
        <w:pStyle w:val="10"/>
        <w:spacing w:beforeAutospacing="0" w:afterAutospacing="0" w:line="460" w:lineRule="exact"/>
        <w:ind w:firstLine="476"/>
        <w:rPr>
          <w:rFonts w:hint="eastAsia" w:ascii="宋体" w:hAnsi="宋体" w:eastAsia="宋体" w:cs="宋体"/>
          <w:color w:val="000000"/>
        </w:rPr>
      </w:pPr>
      <w:r>
        <w:rPr>
          <w:rFonts w:hint="eastAsia" w:ascii="宋体" w:hAnsi="宋体" w:eastAsia="宋体" w:cs="宋体"/>
          <w:color w:val="000000"/>
        </w:rPr>
        <w:t>2.项目名称：大丰区城镇生活污水治理提质增效项目-城区、镇级管网检测项目</w:t>
      </w:r>
    </w:p>
    <w:p w14:paraId="3F7CCEDC">
      <w:pPr>
        <w:pStyle w:val="10"/>
        <w:spacing w:beforeAutospacing="0" w:afterAutospacing="0" w:line="460" w:lineRule="exact"/>
        <w:ind w:firstLine="476"/>
        <w:rPr>
          <w:rFonts w:hint="eastAsia" w:ascii="宋体" w:hAnsi="宋体" w:eastAsia="宋体" w:cs="宋体"/>
          <w:color w:val="000000"/>
        </w:rPr>
      </w:pPr>
      <w:r>
        <w:rPr>
          <w:rFonts w:hint="eastAsia" w:ascii="宋体" w:hAnsi="宋体" w:eastAsia="宋体" w:cs="宋体"/>
          <w:color w:val="333333"/>
          <w:shd w:val="clear" w:color="auto" w:fill="FFFFFF"/>
        </w:rPr>
        <w:t>3.采购方式：公开招标</w:t>
      </w:r>
    </w:p>
    <w:p w14:paraId="2D3DE3B5">
      <w:pPr>
        <w:pStyle w:val="10"/>
        <w:spacing w:beforeAutospacing="0" w:afterAutospacing="0" w:line="460" w:lineRule="exact"/>
        <w:ind w:firstLine="476"/>
        <w:rPr>
          <w:rFonts w:hint="eastAsia" w:ascii="宋体" w:hAnsi="宋体" w:eastAsia="宋体" w:cs="宋体"/>
          <w:color w:val="000000"/>
        </w:rPr>
      </w:pPr>
      <w:r>
        <w:rPr>
          <w:rFonts w:hint="eastAsia" w:ascii="宋体" w:hAnsi="宋体" w:eastAsia="宋体" w:cs="宋体"/>
          <w:color w:val="000000"/>
        </w:rPr>
        <w:t>4.预算金额：1200万元</w:t>
      </w:r>
    </w:p>
    <w:p w14:paraId="49648A5B">
      <w:pPr>
        <w:pStyle w:val="10"/>
        <w:spacing w:beforeAutospacing="0" w:afterAutospacing="0" w:line="460" w:lineRule="exact"/>
        <w:ind w:firstLine="476"/>
        <w:rPr>
          <w:rFonts w:hint="eastAsia" w:ascii="宋体" w:hAnsi="宋体" w:eastAsia="宋体" w:cs="宋体"/>
          <w:color w:val="000000"/>
        </w:rPr>
      </w:pPr>
      <w:r>
        <w:rPr>
          <w:rFonts w:hint="eastAsia" w:ascii="宋体" w:hAnsi="宋体" w:eastAsia="宋体" w:cs="宋体"/>
          <w:color w:val="000000"/>
        </w:rPr>
        <w:t>5.最高限价：1200万元</w:t>
      </w:r>
    </w:p>
    <w:p w14:paraId="57CB1DB1">
      <w:pPr>
        <w:pStyle w:val="10"/>
        <w:spacing w:beforeAutospacing="0" w:afterAutospacing="0" w:line="460" w:lineRule="exact"/>
        <w:ind w:firstLine="476"/>
        <w:rPr>
          <w:rFonts w:hint="eastAsia" w:ascii="宋体" w:hAnsi="宋体" w:eastAsia="宋体" w:cs="宋体"/>
          <w:color w:val="000000"/>
        </w:rPr>
      </w:pPr>
      <w:r>
        <w:rPr>
          <w:rFonts w:hint="eastAsia" w:ascii="宋体" w:hAnsi="宋体" w:eastAsia="宋体" w:cs="宋体"/>
          <w:color w:val="000000"/>
        </w:rPr>
        <w:t>6.采购需求：大丰区城镇生活污水治理提质增效项目-城区、镇级管网检测项目服务内容包含但不限于：对城区内的小区及周边管网进行CCTV和QV清淤、检测、疏通、测绘等；对镇级板块生活污水管网、提升泵站开展功能性和结构性检测、测绘等。对管径DN300以上污水管道实施CCTV检测，对管径DN300（含DN300）以下的管道实施QV镜检测，检测前污水管道降水、疏通和清淤等应满足规范要求。提交测绘和检测成果，数据按要求协助采购人将检测成果数据接入已有的"管网信息化管理平台"系统（城市生命线平台），同时根据外业数据进行分析，出具混接、错接、管道破损等病害方面分析报告（具体详见本招标文件第四章）。</w:t>
      </w:r>
    </w:p>
    <w:p w14:paraId="3BE1C609">
      <w:pPr>
        <w:pStyle w:val="10"/>
        <w:spacing w:beforeAutospacing="0" w:afterAutospacing="0" w:line="460" w:lineRule="exact"/>
        <w:ind w:firstLine="476"/>
        <w:rPr>
          <w:rFonts w:hint="eastAsia" w:ascii="宋体" w:hAnsi="宋体" w:eastAsia="宋体" w:cs="宋体"/>
          <w:color w:val="000000"/>
        </w:rPr>
      </w:pPr>
      <w:r>
        <w:rPr>
          <w:rFonts w:hint="eastAsia" w:ascii="宋体" w:hAnsi="宋体" w:eastAsia="宋体" w:cs="宋体"/>
          <w:color w:val="000000"/>
        </w:rPr>
        <w:t>7.合同履行期限：100日历天</w:t>
      </w:r>
    </w:p>
    <w:p w14:paraId="1E67377D">
      <w:pPr>
        <w:pStyle w:val="10"/>
        <w:spacing w:beforeAutospacing="0" w:afterAutospacing="0" w:line="460" w:lineRule="exact"/>
        <w:ind w:firstLine="478"/>
        <w:rPr>
          <w:rFonts w:hint="eastAsia" w:ascii="宋体" w:hAnsi="宋体" w:eastAsia="宋体" w:cs="宋体"/>
        </w:rPr>
      </w:pPr>
      <w:bookmarkStart w:id="13" w:name="_Toc28359080"/>
      <w:bookmarkStart w:id="14" w:name="_Toc35393622"/>
      <w:bookmarkStart w:id="15" w:name="_Toc38985264"/>
      <w:bookmarkStart w:id="16" w:name="_Toc28359003"/>
      <w:bookmarkStart w:id="17" w:name="_Toc35393791"/>
      <w:r>
        <w:rPr>
          <w:rFonts w:hint="eastAsia" w:ascii="宋体" w:hAnsi="宋体" w:eastAsia="宋体" w:cs="宋体"/>
          <w:b/>
          <w:color w:val="000000"/>
        </w:rPr>
        <w:t>二、申请人的资格要求：</w:t>
      </w:r>
      <w:bookmarkEnd w:id="13"/>
      <w:bookmarkEnd w:id="14"/>
      <w:bookmarkEnd w:id="15"/>
      <w:bookmarkEnd w:id="16"/>
      <w:bookmarkEnd w:id="17"/>
    </w:p>
    <w:p w14:paraId="3E9CC9AB">
      <w:pPr>
        <w:pStyle w:val="10"/>
        <w:spacing w:beforeAutospacing="0" w:afterAutospacing="0" w:line="460" w:lineRule="exact"/>
        <w:ind w:firstLine="476"/>
        <w:rPr>
          <w:rFonts w:hint="eastAsia" w:ascii="宋体" w:hAnsi="宋体" w:eastAsia="宋体" w:cs="宋体"/>
        </w:rPr>
      </w:pPr>
      <w:r>
        <w:rPr>
          <w:rFonts w:hint="eastAsia" w:ascii="宋体" w:hAnsi="宋体" w:eastAsia="宋体" w:cs="宋体"/>
          <w:color w:val="000000"/>
        </w:rPr>
        <w:t>1.满足《中华人民共和国政府采购法》第二十二条规定，并提供下列材料：</w:t>
      </w:r>
    </w:p>
    <w:p w14:paraId="06E1BDAE">
      <w:pPr>
        <w:pStyle w:val="10"/>
        <w:spacing w:beforeAutospacing="0" w:afterAutospacing="0" w:line="460" w:lineRule="exact"/>
        <w:ind w:firstLine="476"/>
        <w:rPr>
          <w:rFonts w:hint="eastAsia" w:ascii="宋体" w:hAnsi="宋体" w:eastAsia="宋体" w:cs="宋体"/>
        </w:rPr>
      </w:pPr>
      <w:r>
        <w:rPr>
          <w:rFonts w:hint="eastAsia" w:ascii="宋体" w:hAnsi="宋体" w:eastAsia="宋体" w:cs="宋体"/>
          <w:color w:val="000000"/>
        </w:rPr>
        <w:t>1.1法人或者其他组织的营业执照等证明文件，自然人的身份证明；</w:t>
      </w:r>
    </w:p>
    <w:p w14:paraId="4F002438">
      <w:pPr>
        <w:pStyle w:val="10"/>
        <w:spacing w:beforeAutospacing="0" w:afterAutospacing="0" w:line="460" w:lineRule="exact"/>
        <w:ind w:firstLine="476"/>
        <w:rPr>
          <w:rFonts w:hint="eastAsia" w:ascii="宋体" w:hAnsi="宋体" w:eastAsia="宋体" w:cs="宋体"/>
          <w:color w:val="000000"/>
        </w:rPr>
      </w:pPr>
      <w:r>
        <w:rPr>
          <w:rFonts w:hint="eastAsia" w:ascii="宋体" w:hAnsi="宋体" w:eastAsia="宋体" w:cs="宋体"/>
          <w:color w:val="000000"/>
        </w:rPr>
        <w:t>1.2上一年度的财务状况报告（</w:t>
      </w:r>
      <w:r>
        <w:rPr>
          <w:rFonts w:ascii="宋体" w:hAnsi="宋体" w:eastAsia="宋体" w:cs="宋体"/>
          <w:spacing w:val="4"/>
        </w:rPr>
        <w:t>至少提供资产负债表、利润表、现金流量表，</w:t>
      </w:r>
      <w:r>
        <w:rPr>
          <w:rFonts w:hint="eastAsia" w:ascii="宋体" w:hAnsi="宋体" w:eastAsia="宋体" w:cs="宋体"/>
          <w:color w:val="000000"/>
        </w:rPr>
        <w:t>成立不满一年无需提供）；</w:t>
      </w:r>
    </w:p>
    <w:p w14:paraId="7311ABF1">
      <w:pPr>
        <w:pStyle w:val="10"/>
        <w:spacing w:beforeAutospacing="0" w:afterAutospacing="0" w:line="460" w:lineRule="exact"/>
        <w:ind w:firstLine="476"/>
        <w:rPr>
          <w:rFonts w:hint="eastAsia" w:ascii="宋体" w:hAnsi="宋体" w:eastAsia="宋体" w:cs="宋体"/>
          <w:color w:val="000000"/>
        </w:rPr>
      </w:pPr>
      <w:r>
        <w:rPr>
          <w:rFonts w:hint="eastAsia" w:ascii="宋体" w:hAnsi="宋体" w:eastAsia="宋体" w:cs="宋体"/>
          <w:color w:val="000000"/>
        </w:rPr>
        <w:t>1.3具备履行合同所必需的设备和专业技术能力的书面声明；</w:t>
      </w:r>
    </w:p>
    <w:p w14:paraId="4152191A">
      <w:pPr>
        <w:pStyle w:val="10"/>
        <w:spacing w:beforeAutospacing="0" w:afterAutospacing="0" w:line="460" w:lineRule="exact"/>
        <w:ind w:firstLine="476"/>
        <w:rPr>
          <w:rFonts w:hint="eastAsia" w:ascii="宋体" w:hAnsi="宋体" w:eastAsia="宋体" w:cs="宋体"/>
        </w:rPr>
      </w:pPr>
      <w:r>
        <w:rPr>
          <w:rFonts w:hint="eastAsia" w:ascii="宋体" w:hAnsi="宋体" w:eastAsia="宋体" w:cs="宋体"/>
          <w:color w:val="000000"/>
        </w:rPr>
        <w:t>1.4依法缴纳税收和社会保障资金的相关材料（提供提交响应文件截止时间前一年内至少一个月依法缴纳税收及缴纳社会保障资金的证明材料。供应商依法享受缓缴、免缴税收、社会保障资金的提供证明材料。）；</w:t>
      </w:r>
    </w:p>
    <w:p w14:paraId="7E3E1C1A">
      <w:pPr>
        <w:pStyle w:val="10"/>
        <w:spacing w:beforeAutospacing="0" w:afterAutospacing="0" w:line="460" w:lineRule="exact"/>
        <w:ind w:firstLine="476"/>
        <w:rPr>
          <w:rFonts w:hint="eastAsia" w:ascii="宋体" w:hAnsi="宋体" w:eastAsia="宋体" w:cs="宋体"/>
          <w:color w:val="000000"/>
        </w:rPr>
      </w:pPr>
      <w:r>
        <w:rPr>
          <w:rFonts w:hint="eastAsia" w:ascii="宋体" w:hAnsi="宋体" w:eastAsia="宋体" w:cs="宋体"/>
          <w:color w:val="000000"/>
        </w:rPr>
        <w:t>1.5参加政府采购活动前3年内在经营活动中没有重大违法记录的书面声明。</w:t>
      </w:r>
    </w:p>
    <w:p w14:paraId="3D0A3999">
      <w:pPr>
        <w:pStyle w:val="10"/>
        <w:spacing w:beforeAutospacing="0" w:afterAutospacing="0" w:line="460" w:lineRule="exact"/>
        <w:ind w:firstLine="476"/>
        <w:rPr>
          <w:rFonts w:hint="eastAsia" w:ascii="宋体" w:hAnsi="宋体" w:eastAsia="宋体" w:cs="宋体"/>
          <w:color w:val="000000"/>
        </w:rPr>
      </w:pPr>
      <w:r>
        <w:rPr>
          <w:rFonts w:hint="eastAsia" w:ascii="宋体" w:hAnsi="宋体" w:eastAsia="宋体" w:cs="宋体"/>
          <w:color w:val="000000"/>
        </w:rPr>
        <w:t>1.6法律、行政法规规定的其他条件。</w:t>
      </w:r>
    </w:p>
    <w:p w14:paraId="15C40D6D">
      <w:pPr>
        <w:pStyle w:val="10"/>
        <w:spacing w:beforeAutospacing="0" w:afterAutospacing="0" w:line="460" w:lineRule="exact"/>
        <w:ind w:firstLine="476"/>
        <w:rPr>
          <w:rFonts w:hint="eastAsia" w:ascii="宋体" w:hAnsi="宋体" w:eastAsia="宋体" w:cs="宋体"/>
          <w:color w:val="000000"/>
        </w:rPr>
      </w:pPr>
      <w:r>
        <w:rPr>
          <w:rFonts w:hint="eastAsia" w:ascii="宋体" w:hAnsi="宋体" w:eastAsia="宋体" w:cs="宋体"/>
          <w:color w:val="000000"/>
        </w:rPr>
        <w:t>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10B63015">
      <w:pPr>
        <w:pStyle w:val="10"/>
        <w:spacing w:beforeAutospacing="0" w:afterAutospacing="0" w:line="460" w:lineRule="exact"/>
        <w:ind w:firstLine="476"/>
        <w:rPr>
          <w:rFonts w:hint="eastAsia" w:ascii="宋体" w:hAnsi="宋体" w:eastAsia="宋体" w:cs="宋体"/>
          <w:color w:val="000000"/>
        </w:rPr>
      </w:pPr>
      <w:r>
        <w:rPr>
          <w:rFonts w:hint="eastAsia" w:ascii="宋体" w:hAnsi="宋体" w:eastAsia="宋体" w:cs="宋体"/>
          <w:color w:val="000000"/>
        </w:rPr>
        <w:t>1.8单位负责人为同一人或者存在直接控股、管理关系的不同供应商，不得参加同一合同项下的政府采购活动。</w:t>
      </w:r>
    </w:p>
    <w:p w14:paraId="1C15B0E5">
      <w:pPr>
        <w:pStyle w:val="10"/>
        <w:spacing w:beforeAutospacing="0" w:afterAutospacing="0" w:line="460" w:lineRule="exact"/>
        <w:ind w:firstLine="476"/>
        <w:rPr>
          <w:rFonts w:hint="eastAsia" w:ascii="宋体" w:hAnsi="宋体" w:eastAsia="宋体" w:cs="宋体"/>
          <w:color w:val="000000"/>
        </w:rPr>
      </w:pPr>
      <w:r>
        <w:rPr>
          <w:rFonts w:hint="eastAsia" w:ascii="宋体" w:hAnsi="宋体" w:eastAsia="宋体" w:cs="宋体"/>
          <w:color w:val="000000"/>
        </w:rPr>
        <w:t>2.落实政府采购政策需满足的资格要求：本项目非专门面向中小企业采购。</w:t>
      </w:r>
    </w:p>
    <w:p w14:paraId="65E2E2BF">
      <w:pPr>
        <w:pStyle w:val="10"/>
        <w:spacing w:beforeAutospacing="0" w:afterAutospacing="0" w:line="460" w:lineRule="exact"/>
        <w:ind w:firstLine="476"/>
        <w:rPr>
          <w:rFonts w:hint="eastAsia" w:ascii="宋体" w:hAnsi="宋体" w:eastAsia="宋体" w:cs="宋体"/>
          <w:color w:val="000000"/>
        </w:rPr>
      </w:pPr>
      <w:r>
        <w:rPr>
          <w:rFonts w:hint="eastAsia" w:ascii="宋体" w:hAnsi="宋体" w:eastAsia="宋体" w:cs="宋体"/>
        </w:rPr>
        <w:t>3.</w:t>
      </w:r>
      <w:r>
        <w:rPr>
          <w:rFonts w:hint="eastAsia" w:ascii="宋体" w:hAnsi="宋体" w:eastAsia="宋体" w:cs="宋体"/>
          <w:color w:val="000000"/>
        </w:rPr>
        <w:t>本项目的特定资格要求：</w:t>
      </w:r>
    </w:p>
    <w:p w14:paraId="0D1FC6A6">
      <w:pPr>
        <w:pStyle w:val="10"/>
        <w:spacing w:beforeAutospacing="0" w:afterAutospacing="0" w:line="460" w:lineRule="exact"/>
        <w:ind w:firstLine="476"/>
        <w:rPr>
          <w:rFonts w:hint="eastAsia" w:ascii="宋体" w:hAnsi="宋体" w:eastAsia="宋体" w:cs="宋体"/>
          <w:spacing w:val="5"/>
        </w:rPr>
      </w:pPr>
      <w:r>
        <w:rPr>
          <w:rFonts w:hint="eastAsia" w:ascii="宋体" w:hAnsi="宋体" w:eastAsia="宋体" w:cs="宋体"/>
          <w:color w:val="000000"/>
        </w:rPr>
        <w:t>3.1具有满足《城镇排水管道检测与评估技术规程》（CJJ 181-2012）从事城镇排水管道检测和评估的单位应具备相应的资格和能力</w:t>
      </w:r>
      <w:r>
        <w:rPr>
          <w:rFonts w:hint="eastAsia" w:ascii="宋体" w:hAnsi="宋体" w:eastAsia="宋体" w:cs="宋体"/>
          <w:spacing w:val="5"/>
        </w:rPr>
        <w:t>。</w:t>
      </w:r>
    </w:p>
    <w:p w14:paraId="28A6F697">
      <w:pPr>
        <w:pStyle w:val="10"/>
        <w:spacing w:beforeAutospacing="0" w:afterAutospacing="0" w:line="460" w:lineRule="exact"/>
        <w:ind w:firstLine="500"/>
        <w:rPr>
          <w:rFonts w:hint="eastAsia" w:ascii="宋体" w:hAnsi="宋体" w:eastAsia="宋体" w:cs="宋体"/>
          <w:spacing w:val="5"/>
        </w:rPr>
      </w:pPr>
      <w:r>
        <w:rPr>
          <w:rFonts w:hint="eastAsia" w:ascii="宋体" w:hAnsi="宋体" w:eastAsia="宋体" w:cs="宋体"/>
          <w:spacing w:val="5"/>
        </w:rPr>
        <w:t>3.2项目负责人资格要求：项目负责人必须是投标人本单位正式职工，具有</w:t>
      </w:r>
      <w:r>
        <w:rPr>
          <w:rFonts w:hint="eastAsia" w:ascii="宋体" w:hAnsi="宋体" w:eastAsia="宋体" w:cs="宋体"/>
          <w:szCs w:val="21"/>
        </w:rPr>
        <w:t>建设工程类（或测绘类）</w:t>
      </w:r>
      <w:r>
        <w:rPr>
          <w:rFonts w:hint="eastAsia" w:ascii="宋体" w:hAnsi="宋体" w:eastAsia="宋体" w:cs="宋体"/>
          <w:spacing w:val="5"/>
        </w:rPr>
        <w:t>中级及以上技术职称。</w:t>
      </w:r>
    </w:p>
    <w:p w14:paraId="2E40BB0C">
      <w:pPr>
        <w:pStyle w:val="10"/>
        <w:spacing w:beforeAutospacing="0" w:afterAutospacing="0" w:line="460" w:lineRule="exact"/>
        <w:ind w:firstLine="500"/>
        <w:rPr>
          <w:rFonts w:hint="eastAsia" w:ascii="宋体" w:hAnsi="宋体" w:eastAsia="宋体" w:cs="宋体"/>
          <w:color w:val="000000"/>
          <w:spacing w:val="-1"/>
        </w:rPr>
      </w:pPr>
      <w:r>
        <w:rPr>
          <w:rFonts w:hint="eastAsia" w:ascii="宋体" w:hAnsi="宋体" w:eastAsia="宋体" w:cs="宋体"/>
          <w:spacing w:val="5"/>
        </w:rPr>
        <w:t>3.3</w:t>
      </w:r>
      <w:r>
        <w:rPr>
          <w:rFonts w:ascii="宋体" w:hAnsi="宋体" w:eastAsia="宋体" w:cs="宋体"/>
          <w:color w:val="000000"/>
          <w:spacing w:val="5"/>
        </w:rPr>
        <w:t>投标申请人代理人及投标承诺的项目负责人均为本单位的正式职工，投标</w:t>
      </w:r>
      <w:r>
        <w:rPr>
          <w:rFonts w:ascii="宋体" w:hAnsi="宋体" w:eastAsia="宋体" w:cs="宋体"/>
          <w:color w:val="000000"/>
        </w:rPr>
        <w:t>时提</w:t>
      </w:r>
      <w:r>
        <w:rPr>
          <w:rFonts w:ascii="宋体" w:hAnsi="宋体" w:eastAsia="宋体" w:cs="宋体"/>
        </w:rPr>
        <w:t>供从</w:t>
      </w:r>
      <w:r>
        <w:rPr>
          <w:rFonts w:hint="eastAsia" w:ascii="宋体" w:hAnsi="宋体" w:eastAsia="宋体" w:cs="宋体"/>
          <w:color w:val="000000"/>
          <w:spacing w:val="5"/>
        </w:rPr>
        <w:t>2026年</w:t>
      </w:r>
      <w:r>
        <w:rPr>
          <w:rFonts w:hint="eastAsia" w:ascii="宋体" w:hAnsi="宋体" w:eastAsia="宋体" w:cs="宋体"/>
          <w:color w:val="000000"/>
          <w:spacing w:val="5"/>
          <w:lang w:val="en-US" w:eastAsia="zh-CN"/>
        </w:rPr>
        <w:t>02</w:t>
      </w:r>
      <w:r>
        <w:rPr>
          <w:rFonts w:hint="eastAsia" w:ascii="宋体" w:hAnsi="宋体" w:eastAsia="宋体" w:cs="宋体"/>
          <w:color w:val="000000"/>
          <w:spacing w:val="5"/>
        </w:rPr>
        <w:t>月</w:t>
      </w:r>
      <w:r>
        <w:rPr>
          <w:rFonts w:ascii="宋体" w:hAnsi="宋体" w:eastAsia="宋体" w:cs="宋体"/>
          <w:color w:val="000000"/>
          <w:spacing w:val="5"/>
        </w:rPr>
        <w:t>开始</w:t>
      </w:r>
      <w:r>
        <w:rPr>
          <w:rFonts w:ascii="宋体" w:hAnsi="宋体" w:eastAsia="宋体" w:cs="宋体"/>
        </w:rPr>
        <w:t>至投标截止之日当月至少</w:t>
      </w:r>
      <w:r>
        <w:rPr>
          <w:rFonts w:hint="eastAsia" w:ascii="宋体" w:hAnsi="宋体" w:eastAsia="宋体" w:cs="宋体"/>
          <w:spacing w:val="-31"/>
        </w:rPr>
        <w:t>1</w:t>
      </w:r>
      <w:r>
        <w:rPr>
          <w:rFonts w:ascii="宋体" w:hAnsi="宋体" w:eastAsia="宋体" w:cs="宋体"/>
        </w:rPr>
        <w:t>个月在</w:t>
      </w:r>
      <w:r>
        <w:rPr>
          <w:rFonts w:ascii="宋体" w:hAnsi="宋体" w:eastAsia="宋体" w:cs="宋体"/>
          <w:spacing w:val="-1"/>
        </w:rPr>
        <w:t>本单位缴</w:t>
      </w:r>
      <w:r>
        <w:rPr>
          <w:rFonts w:ascii="宋体" w:hAnsi="宋体" w:eastAsia="宋体" w:cs="宋体"/>
          <w:color w:val="000000"/>
          <w:spacing w:val="-1"/>
        </w:rPr>
        <w:t>纳养老保险承诺函或缴纳养老保险缴费记录证明（退休人员提供在本单位相关证明）。</w:t>
      </w:r>
    </w:p>
    <w:p w14:paraId="4AC87E44">
      <w:pPr>
        <w:pStyle w:val="10"/>
        <w:spacing w:beforeAutospacing="0" w:afterAutospacing="0" w:line="460" w:lineRule="exact"/>
        <w:ind w:firstLine="476"/>
        <w:rPr>
          <w:rFonts w:hint="eastAsia" w:ascii="宋体" w:hAnsi="宋体" w:eastAsia="宋体" w:cs="宋体"/>
          <w:color w:val="000000"/>
          <w:spacing w:val="-1"/>
        </w:rPr>
      </w:pPr>
      <w:r>
        <w:rPr>
          <w:rFonts w:hint="eastAsia" w:ascii="宋体" w:hAnsi="宋体" w:eastAsia="宋体" w:cs="宋体"/>
          <w:color w:val="000000"/>
          <w:spacing w:val="-1"/>
        </w:rPr>
        <w:t>3.4本项目不接受联合体投标。</w:t>
      </w:r>
    </w:p>
    <w:p w14:paraId="6D70685A">
      <w:pPr>
        <w:pStyle w:val="10"/>
        <w:spacing w:beforeAutospacing="0" w:afterAutospacing="0" w:line="460" w:lineRule="exact"/>
        <w:ind w:firstLine="478"/>
        <w:rPr>
          <w:rFonts w:hint="eastAsia" w:ascii="宋体" w:hAnsi="宋体" w:eastAsia="宋体" w:cs="宋体"/>
        </w:rPr>
      </w:pPr>
      <w:r>
        <w:rPr>
          <w:rFonts w:hint="eastAsia" w:ascii="宋体" w:hAnsi="宋体" w:eastAsia="宋体" w:cs="宋体"/>
          <w:b/>
          <w:color w:val="000000"/>
        </w:rPr>
        <w:t>三、获取招标文件</w:t>
      </w:r>
    </w:p>
    <w:p w14:paraId="414EFE48">
      <w:pPr>
        <w:spacing w:line="460" w:lineRule="exact"/>
        <w:ind w:firstLine="480" w:firstLineChars="200"/>
        <w:jc w:val="left"/>
        <w:rPr>
          <w:rFonts w:hint="eastAsia" w:ascii="宋体" w:hAnsi="宋体" w:eastAsia="宋体" w:cs="宋体"/>
          <w:color w:val="000000"/>
          <w:kern w:val="0"/>
          <w:sz w:val="24"/>
        </w:rPr>
      </w:pPr>
      <w:bookmarkStart w:id="18" w:name="_Toc35393624"/>
      <w:bookmarkStart w:id="19" w:name="_Toc38985266"/>
      <w:bookmarkStart w:id="20" w:name="_Toc28359005"/>
      <w:bookmarkStart w:id="21" w:name="_Toc35393793"/>
      <w:bookmarkStart w:id="22" w:name="_Toc28359082"/>
      <w:r>
        <w:rPr>
          <w:rFonts w:hint="eastAsia" w:ascii="宋体" w:hAnsi="宋体" w:eastAsia="宋体" w:cs="宋体"/>
          <w:color w:val="000000"/>
          <w:sz w:val="24"/>
        </w:rPr>
        <w:t>1.时间</w:t>
      </w:r>
      <w:r>
        <w:rPr>
          <w:rFonts w:hint="eastAsia" w:ascii="宋体" w:hAnsi="宋体" w:eastAsia="宋体" w:cs="宋体"/>
          <w:color w:val="000000"/>
          <w:kern w:val="0"/>
          <w:sz w:val="24"/>
        </w:rPr>
        <w:t>：</w:t>
      </w:r>
      <w:bookmarkEnd w:id="18"/>
      <w:bookmarkEnd w:id="19"/>
      <w:bookmarkEnd w:id="20"/>
      <w:bookmarkEnd w:id="21"/>
      <w:bookmarkEnd w:id="22"/>
      <w:r>
        <w:rPr>
          <w:rFonts w:hint="eastAsia" w:ascii="宋体" w:hAnsi="宋体" w:eastAsia="宋体" w:cs="宋体"/>
          <w:color w:val="000000"/>
          <w:kern w:val="0"/>
          <w:sz w:val="24"/>
        </w:rPr>
        <w:t>自招标文件公告发布之日起5个工作日。</w:t>
      </w:r>
    </w:p>
    <w:p w14:paraId="453B483A">
      <w:pPr>
        <w:spacing w:line="460" w:lineRule="exact"/>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2.地点：“苏采云”系统内免费下载（投标人必须在苏采云系统中获取采购文件，方能参与政府采购项目）；</w:t>
      </w:r>
    </w:p>
    <w:p w14:paraId="5D339881">
      <w:pPr>
        <w:spacing w:line="460" w:lineRule="exact"/>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3.方式：本项目采用网上注册登记方式。</w:t>
      </w:r>
    </w:p>
    <w:p w14:paraId="00129C26">
      <w:pPr>
        <w:spacing w:line="460" w:lineRule="exact"/>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4.售价：0.00元</w:t>
      </w:r>
    </w:p>
    <w:p w14:paraId="4CF3DA51">
      <w:pPr>
        <w:pStyle w:val="10"/>
        <w:spacing w:beforeAutospacing="0" w:afterAutospacing="0" w:line="460" w:lineRule="exact"/>
        <w:ind w:firstLine="478"/>
        <w:rPr>
          <w:rFonts w:hint="eastAsia" w:ascii="宋体" w:hAnsi="宋体" w:eastAsia="宋体" w:cs="宋体"/>
        </w:rPr>
      </w:pPr>
      <w:r>
        <w:rPr>
          <w:rFonts w:hint="eastAsia" w:ascii="宋体" w:hAnsi="宋体" w:eastAsia="宋体" w:cs="宋体"/>
          <w:b/>
          <w:color w:val="000000"/>
        </w:rPr>
        <w:t>四、提交投标文件截止时间、开标时间和地点</w:t>
      </w:r>
    </w:p>
    <w:p w14:paraId="6B9224AD">
      <w:pPr>
        <w:spacing w:line="460" w:lineRule="exact"/>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sz w:val="24"/>
        </w:rPr>
        <w:t>1.</w:t>
      </w:r>
      <w:r>
        <w:rPr>
          <w:rFonts w:hint="eastAsia" w:ascii="宋体" w:hAnsi="宋体" w:eastAsia="宋体" w:cs="宋体"/>
          <w:color w:val="000000"/>
          <w:kern w:val="0"/>
          <w:sz w:val="24"/>
        </w:rPr>
        <w:t>时间：2026年</w:t>
      </w:r>
      <w:r>
        <w:rPr>
          <w:rFonts w:hint="eastAsia" w:ascii="宋体" w:hAnsi="宋体" w:eastAsia="宋体" w:cs="宋体"/>
          <w:color w:val="000000"/>
          <w:kern w:val="0"/>
          <w:sz w:val="24"/>
          <w:lang w:val="en-US" w:eastAsia="zh-CN"/>
        </w:rPr>
        <w:t>06月11日10点00分</w:t>
      </w:r>
      <w:r>
        <w:rPr>
          <w:rFonts w:hint="eastAsia" w:ascii="宋体" w:hAnsi="宋体" w:eastAsia="宋体" w:cs="宋体"/>
          <w:color w:val="000000"/>
          <w:kern w:val="0"/>
          <w:sz w:val="24"/>
        </w:rPr>
        <w:t>（北京时间）</w:t>
      </w:r>
    </w:p>
    <w:p w14:paraId="4EE04456">
      <w:pPr>
        <w:spacing w:line="460" w:lineRule="exact"/>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2.地点：“苏采云”</w:t>
      </w:r>
      <w:r>
        <w:rPr>
          <w:rFonts w:hint="eastAsia" w:ascii="宋体" w:hAnsi="宋体" w:eastAsia="宋体" w:cs="宋体"/>
          <w:color w:val="000000"/>
          <w:kern w:val="0"/>
          <w:sz w:val="24"/>
          <w:lang w:val="en-US" w:eastAsia="zh-CN"/>
        </w:rPr>
        <w:t>系统</w:t>
      </w:r>
      <w:r>
        <w:rPr>
          <w:rFonts w:hint="eastAsia" w:ascii="宋体" w:hAnsi="宋体" w:eastAsia="宋体" w:cs="宋体"/>
          <w:color w:val="000000"/>
          <w:kern w:val="0"/>
          <w:sz w:val="24"/>
          <w:lang w:eastAsia="zh-CN"/>
        </w:rPr>
        <w:t>（</w:t>
      </w:r>
      <w:r>
        <w:rPr>
          <w:rFonts w:hint="eastAsia" w:ascii="宋体" w:hAnsi="宋体" w:eastAsia="宋体" w:cs="宋体"/>
          <w:color w:val="000000"/>
          <w:kern w:val="0"/>
          <w:sz w:val="24"/>
        </w:rPr>
        <w:t>网址</w:t>
      </w:r>
      <w:r>
        <w:rPr>
          <w:rFonts w:hint="eastAsia" w:ascii="宋体" w:hAnsi="宋体" w:eastAsia="宋体" w:cs="宋体"/>
          <w:color w:val="000000"/>
          <w:kern w:val="0"/>
          <w:sz w:val="24"/>
          <w:lang w:eastAsia="zh-CN"/>
        </w:rPr>
        <w:t>：</w:t>
      </w:r>
      <w:r>
        <w:rPr>
          <w:rFonts w:hint="eastAsia" w:ascii="宋体" w:hAnsi="宋体" w:eastAsia="宋体" w:cs="宋体"/>
          <w:color w:val="000000"/>
          <w:kern w:val="0"/>
          <w:sz w:val="24"/>
        </w:rPr>
        <w:t>http://jszfcg.jsczt</w:t>
      </w:r>
      <w:r>
        <w:rPr>
          <w:rFonts w:hint="eastAsia" w:ascii="宋体" w:hAnsi="宋体" w:eastAsia="宋体" w:cs="宋体"/>
          <w:color w:val="000000"/>
          <w:kern w:val="0"/>
          <w:sz w:val="24"/>
          <w:lang w:val="en-US" w:eastAsia="zh-CN"/>
        </w:rPr>
        <w:t>.cn</w:t>
      </w:r>
      <w:r>
        <w:rPr>
          <w:rFonts w:hint="eastAsia" w:ascii="宋体" w:hAnsi="宋体" w:eastAsia="宋体" w:cs="宋体"/>
          <w:color w:val="000000"/>
          <w:kern w:val="0"/>
          <w:sz w:val="24"/>
        </w:rPr>
        <w:t>/</w:t>
      </w:r>
      <w:r>
        <w:rPr>
          <w:rFonts w:hint="eastAsia" w:ascii="宋体" w:hAnsi="宋体" w:eastAsia="宋体" w:cs="宋体"/>
          <w:color w:val="000000"/>
          <w:kern w:val="0"/>
          <w:sz w:val="24"/>
          <w:lang w:eastAsia="zh-CN"/>
        </w:rPr>
        <w:t>）</w:t>
      </w:r>
      <w:r>
        <w:rPr>
          <w:rFonts w:hint="eastAsia" w:ascii="宋体" w:hAnsi="宋体" w:eastAsia="宋体" w:cs="宋体"/>
          <w:color w:val="000000"/>
          <w:kern w:val="0"/>
          <w:sz w:val="24"/>
        </w:rPr>
        <w:t>开标大厅。</w:t>
      </w:r>
    </w:p>
    <w:p w14:paraId="62DA916B">
      <w:pPr>
        <w:pStyle w:val="10"/>
        <w:spacing w:beforeAutospacing="0" w:afterAutospacing="0" w:line="460" w:lineRule="exact"/>
        <w:ind w:firstLine="478"/>
        <w:rPr>
          <w:rFonts w:hint="eastAsia" w:ascii="宋体" w:hAnsi="宋体" w:eastAsia="宋体" w:cs="宋体"/>
          <w:b/>
          <w:color w:val="000000"/>
        </w:rPr>
      </w:pPr>
      <w:bookmarkStart w:id="23" w:name="_Toc35393625"/>
      <w:bookmarkStart w:id="24" w:name="_Toc35393794"/>
      <w:bookmarkStart w:id="25" w:name="_Toc38985267"/>
      <w:bookmarkStart w:id="26" w:name="_Toc28359007"/>
      <w:bookmarkStart w:id="27" w:name="_Toc28359084"/>
      <w:r>
        <w:rPr>
          <w:rFonts w:hint="eastAsia" w:ascii="宋体" w:hAnsi="宋体" w:eastAsia="宋体" w:cs="宋体"/>
          <w:b/>
          <w:color w:val="000000"/>
        </w:rPr>
        <w:t>五、公告期限</w:t>
      </w:r>
      <w:bookmarkEnd w:id="23"/>
      <w:bookmarkEnd w:id="24"/>
      <w:bookmarkEnd w:id="25"/>
      <w:bookmarkEnd w:id="26"/>
      <w:bookmarkEnd w:id="27"/>
      <w:bookmarkStart w:id="28" w:name="_Toc35393795"/>
      <w:bookmarkStart w:id="29" w:name="_Toc35393626"/>
      <w:bookmarkStart w:id="30" w:name="_Toc38985268"/>
    </w:p>
    <w:p w14:paraId="3BA5EEB0">
      <w:pPr>
        <w:pStyle w:val="10"/>
        <w:spacing w:beforeAutospacing="0" w:afterAutospacing="0" w:line="460" w:lineRule="exact"/>
        <w:ind w:firstLine="476"/>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自本公告发布之日起5个工作日。</w:t>
      </w:r>
      <w:bookmarkEnd w:id="28"/>
      <w:bookmarkEnd w:id="29"/>
      <w:bookmarkEnd w:id="30"/>
    </w:p>
    <w:p w14:paraId="1999C27D">
      <w:pPr>
        <w:pStyle w:val="10"/>
        <w:spacing w:beforeAutospacing="0" w:afterAutospacing="0" w:line="460" w:lineRule="exact"/>
        <w:ind w:firstLine="478"/>
        <w:rPr>
          <w:rFonts w:hint="eastAsia" w:ascii="宋体" w:hAnsi="宋体" w:eastAsia="宋体" w:cs="宋体"/>
        </w:rPr>
      </w:pPr>
      <w:r>
        <w:rPr>
          <w:rFonts w:hint="eastAsia" w:ascii="宋体" w:hAnsi="宋体" w:eastAsia="宋体" w:cs="宋体"/>
          <w:b/>
          <w:color w:val="000000"/>
        </w:rPr>
        <w:t>六、其他补充事宜</w:t>
      </w:r>
    </w:p>
    <w:p w14:paraId="00E44157">
      <w:pPr>
        <w:pStyle w:val="10"/>
        <w:shd w:val="clear" w:color="auto" w:fill="FFFFFF"/>
        <w:spacing w:beforeAutospacing="0" w:afterAutospacing="0" w:line="460" w:lineRule="exact"/>
        <w:ind w:firstLine="476"/>
        <w:rPr>
          <w:rFonts w:hint="eastAsia" w:ascii="宋体" w:hAnsi="宋体" w:eastAsia="宋体" w:cs="宋体"/>
          <w:shd w:val="clear" w:color="auto" w:fill="FFFFFF"/>
        </w:rPr>
      </w:pPr>
      <w:bookmarkStart w:id="31" w:name="_Toc28359018"/>
      <w:r>
        <w:rPr>
          <w:rFonts w:hint="eastAsia" w:ascii="宋体" w:hAnsi="宋体" w:eastAsia="宋体" w:cs="宋体"/>
          <w:color w:val="333333"/>
          <w:shd w:val="clear" w:color="auto" w:fill="FFFFFF"/>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w:t>
      </w:r>
      <w:r>
        <w:rPr>
          <w:rFonts w:hint="eastAsia" w:ascii="宋体" w:hAnsi="宋体" w:eastAsia="宋体" w:cs="宋体"/>
          <w:shd w:val="clear" w:color="auto" w:fill="FFFFFF"/>
        </w:rPr>
        <w:t>击【办事指南】-【供应商参与政府采购活动相关资料】。</w:t>
      </w:r>
    </w:p>
    <w:p w14:paraId="2EC2B3F8">
      <w:pPr>
        <w:spacing w:line="460" w:lineRule="exact"/>
        <w:ind w:firstLine="480" w:firstLineChars="200"/>
        <w:jc w:val="left"/>
        <w:rPr>
          <w:rFonts w:hint="eastAsia" w:ascii="宋体" w:hAnsi="宋体" w:eastAsia="宋体" w:cs="宋体"/>
          <w:color w:val="333333"/>
          <w:sz w:val="24"/>
          <w:shd w:val="clear" w:color="auto" w:fill="FFFFFF"/>
        </w:rPr>
      </w:pPr>
      <w:r>
        <w:rPr>
          <w:rFonts w:hint="eastAsia" w:ascii="宋体" w:hAnsi="宋体" w:eastAsia="宋体" w:cs="宋体"/>
          <w:sz w:val="24"/>
          <w:shd w:val="clear" w:color="auto" w:fill="FFFFFF"/>
        </w:rPr>
        <w:t>领取CA和办理电子签章（</w:t>
      </w:r>
      <w:r>
        <w:rPr>
          <w:rFonts w:hint="eastAsia" w:ascii="宋体" w:hAnsi="宋体" w:eastAsia="宋体" w:cs="宋体"/>
          <w:sz w:val="24"/>
        </w:rPr>
        <w:t>请至盐城市府西路1号盐城市公共资源交易中心四楼大厅10号，11号窗口办理</w:t>
      </w:r>
      <w:r>
        <w:rPr>
          <w:rFonts w:hint="eastAsia" w:ascii="宋体" w:hAnsi="宋体" w:eastAsia="宋体" w:cs="宋体"/>
          <w:sz w:val="24"/>
          <w:shd w:val="clear" w:color="auto" w:fill="FFFFFF"/>
        </w:rPr>
        <w:t>，联系电话：15051556883，办理邮箱：yancheng@ideabank.net.cn，具体联系方式见《苏采云系统供应商操作手册》（以下简称《操作手册》）、进行注册并按《操作手册》要求制作、上传电子投标文件,《苏采云系统供应商操作手册》</w:t>
      </w:r>
      <w:r>
        <w:rPr>
          <w:rFonts w:hint="eastAsia" w:ascii="宋体" w:hAnsi="宋体" w:eastAsia="宋体" w:cs="宋体"/>
          <w:color w:val="333333"/>
          <w:sz w:val="24"/>
          <w:shd w:val="clear" w:color="auto" w:fill="FFFFFF"/>
        </w:rPr>
        <w:t>：在盐城市政府采购网点击【办事指南】-【供应商参与政府采购活动相关资料】。</w:t>
      </w:r>
    </w:p>
    <w:p w14:paraId="468B9191">
      <w:pPr>
        <w:spacing w:line="460" w:lineRule="exact"/>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2.潜在供应商访问电子招标响应交易平台的网络地址和方法：</w:t>
      </w:r>
    </w:p>
    <w:p w14:paraId="1AEA8F29">
      <w:pPr>
        <w:spacing w:line="460" w:lineRule="exact"/>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2.1“苏采云”系统用户注册--获取“CA数字证书”--CA绑定与登录--参与投标--下载采购文件（后缀名为“.kedt”）--将后缀名为“.kedt”的采购文件导入政府采购客户端工具--制作响应文件--导出加密的响应文件（后缀名为zip）--通过“苏采云”系统上传响应文件。具体见《“苏采云”系统供应商操作手册》（手册下载地址：苏采云系统-右侧消息通知栏）。</w:t>
      </w:r>
    </w:p>
    <w:p w14:paraId="60D5209D">
      <w:pPr>
        <w:spacing w:line="460" w:lineRule="exact"/>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2.2潜在投标人访问“苏采云”系统方法：江苏省政府采购网首页-“苏采云”链接。</w:t>
      </w:r>
    </w:p>
    <w:p w14:paraId="170CBDB7">
      <w:pPr>
        <w:spacing w:line="460" w:lineRule="exact"/>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2.3采购文件（后缀名为“.kedt”）、供应商操作手册及政府采购客户端工具可通过“苏采云”系统相应链接进行下载。</w:t>
      </w:r>
    </w:p>
    <w:p w14:paraId="7C5BB1BF">
      <w:pPr>
        <w:spacing w:line="460" w:lineRule="exact"/>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2.4采购代理机构将数据电文形式的采购文件加载至“苏采云”系统，供潜在供应商下载或者查阅。</w:t>
      </w:r>
    </w:p>
    <w:p w14:paraId="29E4F21A">
      <w:pPr>
        <w:spacing w:line="460" w:lineRule="exact"/>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2.5请潜在投标单位提前安装相应的控件（详见《“苏采云”系统供应商操作手册》）并使用谷歌浏览器登录“苏采云”系统参与不见面开评标。</w:t>
      </w:r>
    </w:p>
    <w:p w14:paraId="0457005A">
      <w:pPr>
        <w:spacing w:line="460" w:lineRule="exact"/>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如潜在投标人未按上述要求操作，将自行承担所产生的风险。</w:t>
      </w:r>
    </w:p>
    <w:p w14:paraId="08D8BD16">
      <w:pPr>
        <w:spacing w:line="460" w:lineRule="exact"/>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3.有关本次招标的事项若存在变动或修改，敬请及时关注盐城市政府采购中心在“中国政府采购网”“江苏政府采购网”“盐城市政府采购网”发布的更正公告。</w:t>
      </w:r>
    </w:p>
    <w:p w14:paraId="46AF47E5">
      <w:pPr>
        <w:spacing w:line="460" w:lineRule="exact"/>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4.本次招标不收取投标保证金，不收取质量保证金。</w:t>
      </w:r>
    </w:p>
    <w:p w14:paraId="1DBDF31A">
      <w:pPr>
        <w:shd w:val="clear" w:color="auto" w:fill="FFFFFF"/>
        <w:spacing w:line="460" w:lineRule="exact"/>
        <w:ind w:firstLine="482" w:firstLineChars="200"/>
        <w:jc w:val="left"/>
        <w:rPr>
          <w:rFonts w:hint="eastAsia" w:ascii="宋体" w:hAnsi="宋体" w:eastAsia="宋体" w:cs="宋体"/>
          <w:b/>
          <w:bCs/>
          <w:color w:val="333333"/>
          <w:sz w:val="24"/>
        </w:rPr>
      </w:pPr>
      <w:r>
        <w:rPr>
          <w:rFonts w:hint="eastAsia" w:ascii="宋体" w:hAnsi="宋体" w:eastAsia="宋体" w:cs="宋体"/>
          <w:b/>
          <w:bCs/>
          <w:color w:val="333333"/>
          <w:sz w:val="24"/>
          <w:shd w:val="clear" w:color="auto" w:fill="FFFFFF"/>
        </w:rPr>
        <w:t>七、对本次招标提出询问，请按以下方式联系。</w:t>
      </w:r>
      <w:bookmarkEnd w:id="31"/>
    </w:p>
    <w:p w14:paraId="67192060">
      <w:pPr>
        <w:pStyle w:val="10"/>
        <w:shd w:val="clear" w:color="auto" w:fill="FFFFFF"/>
        <w:spacing w:beforeAutospacing="0" w:afterAutospacing="0" w:line="460" w:lineRule="exact"/>
        <w:ind w:firstLine="476"/>
        <w:rPr>
          <w:rFonts w:hint="eastAsia" w:ascii="宋体" w:hAnsi="宋体" w:eastAsia="宋体" w:cs="宋体"/>
          <w:color w:val="333333"/>
          <w:shd w:val="clear" w:color="auto" w:fill="FFFFFF"/>
        </w:rPr>
      </w:pPr>
      <w:bookmarkStart w:id="32" w:name="_Toc28359009"/>
      <w:r>
        <w:rPr>
          <w:rFonts w:hint="eastAsia" w:ascii="宋体" w:hAnsi="宋体" w:eastAsia="宋体" w:cs="宋体"/>
          <w:color w:val="333333"/>
          <w:shd w:val="clear" w:color="auto" w:fill="FFFFFF"/>
        </w:rPr>
        <w:t>1.采购人信息</w:t>
      </w:r>
    </w:p>
    <w:p w14:paraId="1DFA3669">
      <w:pPr>
        <w:pStyle w:val="10"/>
        <w:shd w:val="clear" w:color="auto" w:fill="FFFFFF"/>
        <w:spacing w:beforeAutospacing="0" w:afterAutospacing="0" w:line="460" w:lineRule="exact"/>
        <w:ind w:firstLine="476"/>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名称：</w:t>
      </w:r>
      <w:r>
        <w:rPr>
          <w:rFonts w:ascii="宋体" w:hAnsi="宋体" w:eastAsia="宋体" w:cs="宋体"/>
          <w:spacing w:val="-1"/>
        </w:rPr>
        <w:t>盐城市大丰区住房和城乡建设局</w:t>
      </w:r>
    </w:p>
    <w:p w14:paraId="7C1D89E9">
      <w:pPr>
        <w:pStyle w:val="10"/>
        <w:shd w:val="clear" w:color="auto" w:fill="FFFFFF"/>
        <w:spacing w:beforeAutospacing="0" w:afterAutospacing="0" w:line="460" w:lineRule="exact"/>
        <w:ind w:firstLine="476"/>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地址：</w:t>
      </w:r>
      <w:r>
        <w:rPr>
          <w:rFonts w:ascii="宋体" w:hAnsi="宋体" w:eastAsia="宋体" w:cs="宋体"/>
          <w:spacing w:val="2"/>
        </w:rPr>
        <w:t>盐城市大丰区健康东路82号</w:t>
      </w:r>
      <w:r>
        <w:rPr>
          <w:rFonts w:hint="eastAsia" w:ascii="宋体" w:hAnsi="宋体" w:eastAsia="宋体" w:cs="宋体"/>
          <w:color w:val="333333"/>
          <w:shd w:val="clear" w:color="auto" w:fill="FFFFFF"/>
        </w:rPr>
        <w:t> </w:t>
      </w:r>
    </w:p>
    <w:p w14:paraId="28D6BC07">
      <w:pPr>
        <w:pStyle w:val="10"/>
        <w:shd w:val="clear" w:color="auto" w:fill="FFFFFF"/>
        <w:spacing w:beforeAutospacing="0" w:afterAutospacing="0" w:line="460" w:lineRule="exact"/>
        <w:ind w:firstLine="476"/>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联系人：曹建龙      </w:t>
      </w:r>
    </w:p>
    <w:p w14:paraId="6F1882E0">
      <w:pPr>
        <w:pStyle w:val="10"/>
        <w:shd w:val="clear" w:color="auto" w:fill="FFFFFF"/>
        <w:spacing w:beforeAutospacing="0" w:afterAutospacing="0" w:line="460" w:lineRule="exact"/>
        <w:ind w:firstLine="476"/>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联系方式：18851555278     </w:t>
      </w:r>
    </w:p>
    <w:p w14:paraId="0CEE3E62">
      <w:pPr>
        <w:pStyle w:val="10"/>
        <w:shd w:val="clear" w:color="auto" w:fill="FFFFFF"/>
        <w:spacing w:beforeAutospacing="0" w:afterAutospacing="0" w:line="460" w:lineRule="exact"/>
        <w:ind w:firstLine="476"/>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2.采购代理机构信息</w:t>
      </w:r>
    </w:p>
    <w:p w14:paraId="49C520F0">
      <w:pPr>
        <w:pStyle w:val="10"/>
        <w:shd w:val="clear" w:color="auto" w:fill="FFFFFF"/>
        <w:spacing w:beforeAutospacing="0" w:afterAutospacing="0" w:line="460" w:lineRule="exact"/>
        <w:ind w:firstLine="476"/>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名称：江苏双清工程造价咨询有限公司</w:t>
      </w:r>
    </w:p>
    <w:p w14:paraId="5832E113">
      <w:pPr>
        <w:pStyle w:val="10"/>
        <w:shd w:val="clear" w:color="auto" w:fill="FFFFFF"/>
        <w:spacing w:beforeAutospacing="0" w:afterAutospacing="0" w:line="460" w:lineRule="exact"/>
        <w:ind w:firstLine="476"/>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地址：盐城市大丰区五一北路6号锦和科技大厦21楼</w:t>
      </w:r>
    </w:p>
    <w:p w14:paraId="7A753B8B">
      <w:pPr>
        <w:pStyle w:val="10"/>
        <w:shd w:val="clear" w:color="auto" w:fill="FFFFFF"/>
        <w:spacing w:beforeAutospacing="0" w:afterAutospacing="0" w:line="460" w:lineRule="exact"/>
        <w:ind w:firstLine="476"/>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联系人：张媛媛        </w:t>
      </w:r>
    </w:p>
    <w:p w14:paraId="45B34D15">
      <w:pPr>
        <w:pStyle w:val="10"/>
        <w:shd w:val="clear" w:color="auto" w:fill="FFFFFF"/>
        <w:spacing w:beforeAutospacing="0" w:afterAutospacing="0" w:line="460" w:lineRule="exact"/>
        <w:ind w:firstLine="476"/>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联系方式：</w:t>
      </w:r>
      <w:bookmarkStart w:id="33" w:name="_Toc28359087"/>
      <w:bookmarkStart w:id="34" w:name="_Toc28359010"/>
      <w:r>
        <w:rPr>
          <w:rFonts w:hint="eastAsia" w:ascii="宋体" w:hAnsi="宋体" w:eastAsia="宋体" w:cs="宋体"/>
          <w:color w:val="333333"/>
          <w:shd w:val="clear" w:color="auto" w:fill="FFFFFF"/>
        </w:rPr>
        <w:t>17751573136       </w:t>
      </w:r>
      <w:bookmarkEnd w:id="33"/>
      <w:bookmarkEnd w:id="34"/>
    </w:p>
    <w:p w14:paraId="36406E3F">
      <w:pPr>
        <w:pStyle w:val="10"/>
        <w:shd w:val="clear" w:color="auto" w:fill="FFFFFF"/>
        <w:spacing w:beforeAutospacing="0" w:afterAutospacing="0" w:line="460" w:lineRule="exact"/>
        <w:ind w:firstLine="476"/>
        <w:rPr>
          <w:rFonts w:hint="eastAsia" w:ascii="宋体" w:hAnsi="宋体" w:eastAsia="宋体" w:cs="宋体"/>
          <w:color w:val="333333"/>
          <w:shd w:val="clear" w:color="auto" w:fill="FFFFFF"/>
        </w:rPr>
      </w:pPr>
      <w:bookmarkStart w:id="35" w:name="_Toc28359021"/>
      <w:r>
        <w:rPr>
          <w:rFonts w:hint="eastAsia" w:ascii="宋体" w:hAnsi="宋体" w:eastAsia="宋体" w:cs="宋体"/>
          <w:color w:val="333333"/>
          <w:shd w:val="clear" w:color="auto" w:fill="FFFFFF"/>
        </w:rPr>
        <w:t>3.</w:t>
      </w:r>
      <w:bookmarkEnd w:id="35"/>
      <w:r>
        <w:rPr>
          <w:rFonts w:hint="eastAsia" w:ascii="宋体" w:hAnsi="宋体" w:eastAsia="宋体" w:cs="宋体"/>
          <w:color w:val="333333"/>
          <w:shd w:val="clear" w:color="auto" w:fill="FFFFFF"/>
        </w:rPr>
        <w:t>项目联系方式</w:t>
      </w:r>
    </w:p>
    <w:p w14:paraId="5918225B">
      <w:pPr>
        <w:pStyle w:val="10"/>
        <w:shd w:val="clear" w:color="auto" w:fill="FFFFFF"/>
        <w:spacing w:beforeAutospacing="0" w:afterAutospacing="0" w:line="460" w:lineRule="exact"/>
        <w:ind w:firstLine="476"/>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项目联系人：张媛媛</w:t>
      </w:r>
    </w:p>
    <w:p w14:paraId="7432E522">
      <w:pPr>
        <w:pStyle w:val="10"/>
        <w:shd w:val="clear" w:color="auto" w:fill="FFFFFF"/>
        <w:spacing w:beforeAutospacing="0" w:afterAutospacing="0" w:line="460" w:lineRule="exact"/>
        <w:ind w:firstLine="476"/>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电　　话：17751573136　　　　　　　　　　　</w:t>
      </w:r>
    </w:p>
    <w:p w14:paraId="0E2425A2">
      <w:pPr>
        <w:rPr>
          <w:rFonts w:hint="eastAsia" w:ascii="宋体" w:hAnsi="宋体" w:eastAsia="宋体" w:cs="宋体"/>
          <w:sz w:val="24"/>
        </w:rPr>
      </w:pPr>
      <w:r>
        <w:rPr>
          <w:rFonts w:hint="eastAsia" w:ascii="宋体" w:hAnsi="宋体" w:eastAsia="宋体" w:cs="宋体"/>
          <w:sz w:val="24"/>
        </w:rPr>
        <w:t> </w:t>
      </w:r>
    </w:p>
    <w:p w14:paraId="3209DE49">
      <w:pPr>
        <w:pStyle w:val="10"/>
        <w:tabs>
          <w:tab w:val="left" w:pos="7350"/>
          <w:tab w:val="left" w:pos="8340"/>
        </w:tabs>
        <w:spacing w:beforeAutospacing="0" w:afterAutospacing="0"/>
        <w:jc w:val="center"/>
        <w:outlineLvl w:val="0"/>
        <w:rPr>
          <w:rFonts w:hint="eastAsia" w:ascii="宋体" w:hAnsi="宋体" w:eastAsia="宋体" w:cs="宋体"/>
        </w:rPr>
      </w:pPr>
      <w:r>
        <w:rPr>
          <w:rFonts w:hint="eastAsia" w:ascii="宋体" w:hAnsi="宋体" w:eastAsia="宋体" w:cs="宋体"/>
          <w:color w:val="000000"/>
        </w:rPr>
        <w:br w:type="page"/>
      </w:r>
      <w:bookmarkStart w:id="36" w:name="_Toc120614211"/>
      <w:bookmarkStart w:id="37" w:name="_Toc4741"/>
      <w:r>
        <w:rPr>
          <w:rFonts w:hint="eastAsia" w:ascii="宋体" w:hAnsi="宋体" w:eastAsia="宋体" w:cs="宋体"/>
          <w:b/>
          <w:bCs/>
          <w:color w:val="000000"/>
          <w:sz w:val="40"/>
          <w:szCs w:val="40"/>
        </w:rPr>
        <w:t>第二章</w:t>
      </w:r>
      <w:bookmarkEnd w:id="36"/>
      <w:bookmarkStart w:id="38" w:name="_Toc20823274"/>
      <w:bookmarkStart w:id="39" w:name="_Toc513029202"/>
      <w:bookmarkStart w:id="40" w:name="_Toc16938518"/>
      <w:bookmarkStart w:id="41" w:name="_Toc120614213"/>
      <w:r>
        <w:rPr>
          <w:rFonts w:hint="eastAsia" w:ascii="宋体" w:hAnsi="宋体" w:eastAsia="宋体" w:cs="宋体"/>
          <w:b/>
          <w:bCs/>
          <w:color w:val="000000"/>
          <w:sz w:val="40"/>
          <w:szCs w:val="40"/>
        </w:rPr>
        <w:t xml:space="preserve">  投标人须知</w:t>
      </w:r>
      <w:bookmarkEnd w:id="37"/>
      <w:bookmarkEnd w:id="38"/>
      <w:bookmarkEnd w:id="39"/>
      <w:bookmarkEnd w:id="40"/>
      <w:bookmarkEnd w:id="41"/>
    </w:p>
    <w:p w14:paraId="13C3BD74">
      <w:pPr>
        <w:pStyle w:val="10"/>
        <w:spacing w:beforeAutospacing="0" w:afterAutospacing="0" w:line="450" w:lineRule="exact"/>
        <w:ind w:firstLine="422" w:firstLineChars="175"/>
        <w:rPr>
          <w:rFonts w:hint="eastAsia" w:ascii="宋体" w:hAnsi="宋体" w:eastAsia="宋体" w:cs="宋体"/>
        </w:rPr>
      </w:pPr>
      <w:bookmarkStart w:id="42" w:name="_Toc20823275"/>
      <w:bookmarkStart w:id="43" w:name="_Toc513029203"/>
      <w:bookmarkStart w:id="44" w:name="_Toc120614214"/>
      <w:bookmarkStart w:id="45" w:name="_Toc16938519"/>
      <w:r>
        <w:rPr>
          <w:rFonts w:hint="eastAsia" w:ascii="宋体" w:hAnsi="宋体" w:eastAsia="宋体" w:cs="宋体"/>
          <w:b/>
          <w:color w:val="000000"/>
        </w:rPr>
        <w:t>一、总则</w:t>
      </w:r>
      <w:bookmarkEnd w:id="42"/>
      <w:bookmarkEnd w:id="43"/>
      <w:bookmarkEnd w:id="44"/>
      <w:bookmarkEnd w:id="45"/>
    </w:p>
    <w:p w14:paraId="46CD5BF1">
      <w:pPr>
        <w:pStyle w:val="10"/>
        <w:spacing w:beforeAutospacing="0" w:afterAutospacing="0" w:line="450" w:lineRule="exact"/>
        <w:ind w:firstLine="420" w:firstLineChars="175"/>
        <w:rPr>
          <w:rFonts w:hint="eastAsia" w:ascii="宋体" w:hAnsi="宋体" w:eastAsia="宋体" w:cs="宋体"/>
        </w:rPr>
      </w:pPr>
      <w:bookmarkStart w:id="46" w:name="_Toc16938520"/>
      <w:bookmarkStart w:id="47" w:name="_Toc513029204"/>
      <w:bookmarkStart w:id="48" w:name="_Toc20823276"/>
      <w:bookmarkStart w:id="49" w:name="_Toc458694821"/>
      <w:bookmarkStart w:id="50" w:name="_Hlt16619475"/>
      <w:r>
        <w:rPr>
          <w:rFonts w:hint="eastAsia" w:ascii="宋体" w:hAnsi="宋体" w:eastAsia="宋体" w:cs="宋体"/>
          <w:color w:val="000000"/>
        </w:rPr>
        <w:t>1</w:t>
      </w:r>
      <w:bookmarkEnd w:id="46"/>
      <w:r>
        <w:rPr>
          <w:rFonts w:hint="eastAsia" w:ascii="宋体" w:hAnsi="宋体" w:eastAsia="宋体" w:cs="宋体"/>
          <w:color w:val="000000"/>
        </w:rPr>
        <w:t>、招标方式</w:t>
      </w:r>
      <w:bookmarkEnd w:id="47"/>
      <w:bookmarkEnd w:id="48"/>
      <w:bookmarkEnd w:id="49"/>
    </w:p>
    <w:p w14:paraId="1A91F345">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1.1本次招标采取公开招标方式，本招标文件仅适用于招标公告中所述项目。</w:t>
      </w:r>
    </w:p>
    <w:p w14:paraId="4AB6331C">
      <w:pPr>
        <w:pStyle w:val="10"/>
        <w:spacing w:beforeAutospacing="0" w:afterAutospacing="0" w:line="450" w:lineRule="exact"/>
        <w:ind w:firstLine="420" w:firstLineChars="175"/>
        <w:rPr>
          <w:rFonts w:hint="eastAsia" w:ascii="宋体" w:hAnsi="宋体" w:eastAsia="宋体" w:cs="宋体"/>
        </w:rPr>
      </w:pPr>
      <w:bookmarkStart w:id="51" w:name="_Toc16938521"/>
      <w:bookmarkStart w:id="52" w:name="_Toc20823277"/>
      <w:bookmarkStart w:id="53" w:name="_Toc513029205"/>
      <w:r>
        <w:rPr>
          <w:rFonts w:hint="eastAsia" w:ascii="宋体" w:hAnsi="宋体" w:eastAsia="宋体" w:cs="宋体"/>
          <w:color w:val="000000"/>
        </w:rPr>
        <w:t>2、合格的投标人</w:t>
      </w:r>
      <w:bookmarkEnd w:id="51"/>
      <w:bookmarkEnd w:id="52"/>
      <w:bookmarkEnd w:id="53"/>
    </w:p>
    <w:p w14:paraId="1DE4AE7E">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2.1满足招标公告中供应商的资格要求的规定。</w:t>
      </w:r>
    </w:p>
    <w:p w14:paraId="6026BAC3">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2.2满足本文件实质性要求和条件的规定。</w:t>
      </w:r>
    </w:p>
    <w:p w14:paraId="3DFAB3B0">
      <w:pPr>
        <w:spacing w:line="450" w:lineRule="exact"/>
        <w:ind w:firstLine="420" w:firstLineChars="175"/>
        <w:jc w:val="left"/>
        <w:rPr>
          <w:rFonts w:hint="eastAsia" w:ascii="宋体" w:hAnsi="宋体" w:eastAsia="宋体" w:cs="宋体"/>
          <w:sz w:val="24"/>
          <w:szCs w:val="21"/>
        </w:rPr>
      </w:pPr>
      <w:bookmarkStart w:id="54" w:name="_Toc20823278"/>
      <w:bookmarkStart w:id="55" w:name="_Toc16938522"/>
      <w:bookmarkStart w:id="56" w:name="_Toc513029206"/>
      <w:bookmarkStart w:id="57" w:name="_Toc462564067"/>
      <w:bookmarkStart w:id="58" w:name="_Toc20823279"/>
      <w:bookmarkStart w:id="59" w:name="_Toc513029207"/>
      <w:bookmarkStart w:id="60" w:name="_Toc16938523"/>
      <w:r>
        <w:rPr>
          <w:rFonts w:hint="eastAsia" w:ascii="宋体" w:hAnsi="宋体" w:eastAsia="宋体" w:cs="宋体"/>
          <w:sz w:val="24"/>
          <w:szCs w:val="21"/>
        </w:rPr>
        <w:t>3、适用法律</w:t>
      </w:r>
      <w:bookmarkEnd w:id="54"/>
      <w:bookmarkEnd w:id="55"/>
      <w:bookmarkEnd w:id="56"/>
      <w:r>
        <w:rPr>
          <w:rFonts w:hint="eastAsia" w:ascii="宋体" w:hAnsi="宋体" w:eastAsia="宋体" w:cs="宋体"/>
          <w:sz w:val="24"/>
          <w:szCs w:val="21"/>
        </w:rPr>
        <w:t>和标准</w:t>
      </w:r>
    </w:p>
    <w:p w14:paraId="35F88CC9">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rPr>
        <w:t>3.1本次招标及由此产生的合同受中华人民共和国有关的法律法规制约和保护。</w:t>
      </w:r>
    </w:p>
    <w:p w14:paraId="3C890BB7">
      <w:pPr>
        <w:spacing w:line="450" w:lineRule="exact"/>
        <w:ind w:firstLine="420" w:firstLineChars="175"/>
        <w:jc w:val="left"/>
        <w:rPr>
          <w:rFonts w:hint="eastAsia" w:ascii="宋体" w:hAnsi="宋体" w:eastAsia="宋体" w:cs="宋体"/>
          <w:sz w:val="24"/>
        </w:rPr>
      </w:pPr>
      <w:r>
        <w:rPr>
          <w:rFonts w:hint="eastAsia" w:ascii="宋体" w:hAnsi="宋体" w:eastAsia="宋体" w:cs="宋体"/>
          <w:sz w:val="24"/>
          <w:szCs w:val="21"/>
        </w:rPr>
        <w:t>3.2在本项目政府采购活动过程中，如果所执行的标准有更新的，按照最新标准执行。</w:t>
      </w:r>
    </w:p>
    <w:p w14:paraId="7C9211B6">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4、投标费用</w:t>
      </w:r>
      <w:bookmarkEnd w:id="57"/>
      <w:bookmarkEnd w:id="58"/>
      <w:bookmarkEnd w:id="59"/>
      <w:bookmarkEnd w:id="60"/>
    </w:p>
    <w:p w14:paraId="5CE26399">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4.1投标人应自行承担所有与参加投标有关的费用，无论投标过程中的做法和结果如何，盐城市政府采购中心（以下简称采购中心）在任何情况下均无义务和责任承担这些费用。</w:t>
      </w:r>
    </w:p>
    <w:p w14:paraId="51B89BE7">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4.2本次招标采购中心和采购人不收取标书工本费。</w:t>
      </w:r>
    </w:p>
    <w:p w14:paraId="4DB6D013">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5、招标文件的约束力</w:t>
      </w:r>
    </w:p>
    <w:p w14:paraId="35739FD7">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5.1投标人一旦参加本项目采购活动，即被认为接受了本招标文件的规定和约束。</w:t>
      </w:r>
    </w:p>
    <w:p w14:paraId="41149627">
      <w:pPr>
        <w:pStyle w:val="10"/>
        <w:spacing w:beforeAutospacing="0" w:afterAutospacing="0" w:line="450" w:lineRule="exact"/>
        <w:ind w:firstLine="422" w:firstLineChars="175"/>
        <w:rPr>
          <w:rFonts w:hint="eastAsia" w:ascii="宋体" w:hAnsi="宋体" w:eastAsia="宋体" w:cs="宋体"/>
        </w:rPr>
      </w:pPr>
      <w:bookmarkStart w:id="61" w:name="_Toc120614215"/>
      <w:bookmarkStart w:id="62" w:name="_Toc16938525"/>
      <w:bookmarkStart w:id="63" w:name="_Toc513029209"/>
      <w:bookmarkStart w:id="64" w:name="_Toc20823281"/>
      <w:r>
        <w:rPr>
          <w:rFonts w:hint="eastAsia" w:ascii="宋体" w:hAnsi="宋体" w:eastAsia="宋体" w:cs="宋体"/>
          <w:b/>
          <w:color w:val="000000"/>
        </w:rPr>
        <w:t>二、招标文件</w:t>
      </w:r>
      <w:bookmarkEnd w:id="61"/>
      <w:bookmarkEnd w:id="62"/>
      <w:bookmarkEnd w:id="63"/>
      <w:bookmarkEnd w:id="64"/>
    </w:p>
    <w:p w14:paraId="04C5DBF0">
      <w:pPr>
        <w:pStyle w:val="10"/>
        <w:spacing w:beforeAutospacing="0" w:afterAutospacing="0" w:line="450" w:lineRule="exact"/>
        <w:ind w:firstLine="420" w:firstLineChars="175"/>
        <w:rPr>
          <w:rFonts w:hint="eastAsia" w:ascii="宋体" w:hAnsi="宋体" w:eastAsia="宋体" w:cs="宋体"/>
        </w:rPr>
      </w:pPr>
      <w:bookmarkStart w:id="65" w:name="_Toc513029210"/>
      <w:bookmarkStart w:id="66" w:name="_Toc16938526"/>
      <w:bookmarkStart w:id="67" w:name="_Toc20823282"/>
      <w:r>
        <w:rPr>
          <w:rFonts w:hint="eastAsia" w:ascii="宋体" w:hAnsi="宋体" w:eastAsia="宋体" w:cs="宋体"/>
          <w:color w:val="000000"/>
        </w:rPr>
        <w:t>6、招标文件构成</w:t>
      </w:r>
      <w:bookmarkEnd w:id="65"/>
      <w:bookmarkEnd w:id="66"/>
      <w:bookmarkEnd w:id="67"/>
    </w:p>
    <w:p w14:paraId="05B59092">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6.1招标文件由以下部分组成：</w:t>
      </w:r>
    </w:p>
    <w:p w14:paraId="71F6C387">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(1)招标公告</w:t>
      </w:r>
    </w:p>
    <w:p w14:paraId="31C90840">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(2)投标人须知</w:t>
      </w:r>
    </w:p>
    <w:p w14:paraId="608B1F5C">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(3)合同文本</w:t>
      </w:r>
    </w:p>
    <w:p w14:paraId="76C5FE24">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(4)采购需求</w:t>
      </w:r>
    </w:p>
    <w:p w14:paraId="4338C48F">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(5)评标方法与评标标准</w:t>
      </w:r>
    </w:p>
    <w:p w14:paraId="50F0609E">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(6)投标文件格式</w:t>
      </w:r>
    </w:p>
    <w:p w14:paraId="68BCE49D">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请仔细检查招标文件是否齐全，如有缺漏请立即与采购中心联系解决。</w:t>
      </w:r>
    </w:p>
    <w:p w14:paraId="35A4D2C5">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A9F9645">
      <w:pPr>
        <w:pStyle w:val="10"/>
        <w:spacing w:beforeAutospacing="0" w:afterAutospacing="0" w:line="450" w:lineRule="exact"/>
        <w:ind w:firstLine="420" w:firstLineChars="175"/>
        <w:rPr>
          <w:rFonts w:hint="eastAsia" w:ascii="宋体" w:hAnsi="宋体" w:eastAsia="宋体" w:cs="宋体"/>
        </w:rPr>
      </w:pPr>
      <w:bookmarkStart w:id="68" w:name="_Toc462564070"/>
      <w:bookmarkStart w:id="69" w:name="_Toc513029211"/>
      <w:bookmarkStart w:id="70" w:name="_Toc16938527"/>
      <w:bookmarkStart w:id="71" w:name="_Toc20823283"/>
      <w:r>
        <w:rPr>
          <w:rFonts w:hint="eastAsia" w:ascii="宋体" w:hAnsi="宋体" w:eastAsia="宋体" w:cs="宋体"/>
          <w:color w:val="000000"/>
        </w:rPr>
        <w:t>7、招标文件的澄清</w:t>
      </w:r>
      <w:bookmarkEnd w:id="68"/>
      <w:bookmarkEnd w:id="69"/>
      <w:bookmarkEnd w:id="70"/>
      <w:bookmarkEnd w:id="71"/>
    </w:p>
    <w:p w14:paraId="66B4BDE2">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7.1任何要求对招标文件进行澄清的投标人，应在投标截止期</w:t>
      </w:r>
      <w:r>
        <w:rPr>
          <w:rFonts w:hint="eastAsia" w:ascii="宋体" w:hAnsi="宋体" w:eastAsia="宋体" w:cs="宋体"/>
          <w:b/>
          <w:color w:val="000000"/>
        </w:rPr>
        <w:t>十日</w:t>
      </w:r>
      <w:r>
        <w:rPr>
          <w:rFonts w:hint="eastAsia" w:ascii="宋体" w:hAnsi="宋体" w:eastAsia="宋体" w:cs="宋体"/>
          <w:color w:val="000000"/>
        </w:rPr>
        <w:t>前按招标公告中的通讯地址，以书面形式通知采购中心。</w:t>
      </w:r>
    </w:p>
    <w:p w14:paraId="22D4F1EA">
      <w:pPr>
        <w:pStyle w:val="10"/>
        <w:spacing w:beforeAutospacing="0" w:afterAutospacing="0" w:line="450" w:lineRule="exact"/>
        <w:ind w:firstLine="420" w:firstLineChars="175"/>
        <w:rPr>
          <w:rFonts w:hint="eastAsia" w:ascii="宋体" w:hAnsi="宋体" w:eastAsia="宋体" w:cs="宋体"/>
        </w:rPr>
      </w:pPr>
      <w:bookmarkStart w:id="72" w:name="_Toc513029212"/>
      <w:bookmarkStart w:id="73" w:name="_Toc16938528"/>
      <w:bookmarkStart w:id="74" w:name="_Toc462564071"/>
      <w:bookmarkStart w:id="75" w:name="_Toc20823284"/>
      <w:r>
        <w:rPr>
          <w:rFonts w:hint="eastAsia" w:ascii="宋体" w:hAnsi="宋体" w:eastAsia="宋体" w:cs="宋体"/>
          <w:color w:val="000000"/>
        </w:rPr>
        <w:t>8、招标文件的修改</w:t>
      </w:r>
      <w:bookmarkEnd w:id="72"/>
      <w:bookmarkEnd w:id="73"/>
      <w:bookmarkEnd w:id="74"/>
      <w:bookmarkEnd w:id="75"/>
    </w:p>
    <w:p w14:paraId="5454A71E">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8.1在投标截止时间前，采购中心可以对招标文件进行修改。</w:t>
      </w:r>
    </w:p>
    <w:p w14:paraId="653449E0">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8.2采购中心有权按照法定的要求推迟投标截止日期和开标日期。</w:t>
      </w:r>
    </w:p>
    <w:p w14:paraId="0606A29E">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8.3招标文件的修改将在中国政府采购网</w:t>
      </w:r>
      <w:r>
        <w:rPr>
          <w:rFonts w:hint="eastAsia" w:ascii="宋体" w:hAnsi="宋体" w:eastAsia="宋体" w:cs="宋体"/>
          <w:color w:val="333333"/>
          <w:shd w:val="clear" w:color="auto" w:fill="FFFFFF"/>
        </w:rPr>
        <w:t>、</w:t>
      </w:r>
      <w:r>
        <w:rPr>
          <w:rFonts w:hint="eastAsia" w:ascii="宋体" w:hAnsi="宋体" w:eastAsia="宋体" w:cs="宋体"/>
          <w:color w:val="000000"/>
        </w:rPr>
        <w:t>江苏政府采购网、盐城市政府采购网公布，补充文件将作为招标文件的组成部分，并对投标人具有约束力。</w:t>
      </w:r>
    </w:p>
    <w:p w14:paraId="00F35A99">
      <w:pPr>
        <w:pStyle w:val="10"/>
        <w:spacing w:beforeAutospacing="0" w:afterAutospacing="0" w:line="450" w:lineRule="exact"/>
        <w:ind w:firstLine="422" w:firstLineChars="175"/>
        <w:rPr>
          <w:rFonts w:hint="eastAsia" w:ascii="宋体" w:hAnsi="宋体" w:eastAsia="宋体" w:cs="宋体"/>
        </w:rPr>
      </w:pPr>
      <w:bookmarkStart w:id="76" w:name="_Toc513029213"/>
      <w:bookmarkStart w:id="77" w:name="_Toc20823285"/>
      <w:bookmarkStart w:id="78" w:name="_Toc120614216"/>
      <w:bookmarkStart w:id="79" w:name="_Toc462564072"/>
      <w:bookmarkStart w:id="80" w:name="_Toc16938529"/>
      <w:r>
        <w:rPr>
          <w:rFonts w:hint="eastAsia" w:ascii="宋体" w:hAnsi="宋体" w:eastAsia="宋体" w:cs="宋体"/>
          <w:b/>
          <w:color w:val="000000"/>
        </w:rPr>
        <w:t>三、投标文件的编制</w:t>
      </w:r>
      <w:bookmarkEnd w:id="76"/>
      <w:bookmarkEnd w:id="77"/>
      <w:bookmarkEnd w:id="78"/>
      <w:bookmarkEnd w:id="79"/>
      <w:bookmarkEnd w:id="80"/>
    </w:p>
    <w:p w14:paraId="25F3CA8F">
      <w:pPr>
        <w:pStyle w:val="10"/>
        <w:spacing w:beforeAutospacing="0" w:afterAutospacing="0" w:line="450" w:lineRule="exact"/>
        <w:ind w:firstLine="420" w:firstLineChars="175"/>
        <w:rPr>
          <w:rFonts w:hint="eastAsia" w:ascii="宋体" w:hAnsi="宋体" w:eastAsia="宋体" w:cs="宋体"/>
        </w:rPr>
      </w:pPr>
      <w:bookmarkStart w:id="81" w:name="_Toc16938530"/>
      <w:bookmarkStart w:id="82" w:name="_Toc462564073"/>
      <w:bookmarkStart w:id="83" w:name="_Toc20823286"/>
      <w:bookmarkStart w:id="84" w:name="_Toc513029214"/>
      <w:r>
        <w:rPr>
          <w:rFonts w:hint="eastAsia" w:ascii="宋体" w:hAnsi="宋体" w:eastAsia="宋体" w:cs="宋体"/>
          <w:color w:val="000000"/>
        </w:rPr>
        <w:t>9、投标文件的语言及度量衡单位</w:t>
      </w:r>
      <w:bookmarkEnd w:id="81"/>
      <w:bookmarkEnd w:id="82"/>
      <w:bookmarkEnd w:id="83"/>
      <w:bookmarkEnd w:id="84"/>
    </w:p>
    <w:p w14:paraId="409EBBE3">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9.1投标人提交的投标文件以及投标人与采购中心就有关投标的所有来往通知、函件和文件均应使用</w:t>
      </w:r>
      <w:r>
        <w:rPr>
          <w:rFonts w:hint="eastAsia" w:ascii="宋体" w:hAnsi="宋体" w:eastAsia="宋体" w:cs="宋体"/>
          <w:b/>
          <w:color w:val="000000"/>
        </w:rPr>
        <w:t>简体中文</w:t>
      </w:r>
      <w:r>
        <w:rPr>
          <w:rFonts w:hint="eastAsia" w:ascii="宋体" w:hAnsi="宋体" w:eastAsia="宋体" w:cs="宋体"/>
          <w:color w:val="000000"/>
        </w:rPr>
        <w:t>。</w:t>
      </w:r>
    </w:p>
    <w:p w14:paraId="256CEF3F">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9.2除技术性能另有规定外，投标文件所使用的度量衡单位，均须采用国家法定计量单位。</w:t>
      </w:r>
    </w:p>
    <w:p w14:paraId="7F276C0C">
      <w:pPr>
        <w:pStyle w:val="10"/>
        <w:spacing w:beforeAutospacing="0" w:afterAutospacing="0" w:line="450" w:lineRule="exact"/>
        <w:ind w:firstLine="420" w:firstLineChars="175"/>
        <w:rPr>
          <w:rFonts w:hint="eastAsia" w:ascii="宋体" w:hAnsi="宋体" w:eastAsia="宋体" w:cs="宋体"/>
        </w:rPr>
      </w:pPr>
      <w:bookmarkStart w:id="85" w:name="_Toc462564074"/>
      <w:bookmarkStart w:id="86" w:name="_Toc16938531"/>
      <w:bookmarkStart w:id="87" w:name="_Toc513029215"/>
      <w:bookmarkStart w:id="88" w:name="_Toc20823287"/>
      <w:r>
        <w:rPr>
          <w:rFonts w:hint="eastAsia" w:ascii="宋体" w:hAnsi="宋体" w:eastAsia="宋体" w:cs="宋体"/>
          <w:color w:val="000000"/>
        </w:rPr>
        <w:t>10、投标文件构成</w:t>
      </w:r>
      <w:bookmarkEnd w:id="85"/>
      <w:bookmarkEnd w:id="86"/>
      <w:bookmarkEnd w:id="87"/>
      <w:bookmarkEnd w:id="88"/>
    </w:p>
    <w:p w14:paraId="126E9530">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10.1投标人编写的投标文件应包括资格证明文件、符合性证明文件、投标分项报价表、技术要求响应及偏离表、商务要求响应及偏离表、其他证明文件、投标函、开标一览表等部分。</w:t>
      </w:r>
    </w:p>
    <w:p w14:paraId="7367AEF5">
      <w:pPr>
        <w:pStyle w:val="10"/>
        <w:spacing w:beforeAutospacing="0" w:afterAutospacing="0" w:line="450" w:lineRule="exact"/>
        <w:ind w:firstLine="420" w:firstLineChars="175"/>
        <w:rPr>
          <w:rFonts w:hint="eastAsia" w:ascii="宋体" w:hAnsi="宋体" w:eastAsia="宋体" w:cs="宋体"/>
          <w:color w:val="000000"/>
        </w:rPr>
      </w:pPr>
      <w:r>
        <w:rPr>
          <w:rFonts w:hint="eastAsia" w:ascii="宋体" w:hAnsi="宋体" w:eastAsia="宋体" w:cs="宋体"/>
          <w:color w:val="000000"/>
        </w:rPr>
        <w:t>10.2如标书制作工具中格式和内容与</w:t>
      </w:r>
      <w:r>
        <w:rPr>
          <w:rFonts w:hint="eastAsia" w:ascii="宋体" w:hAnsi="宋体" w:eastAsia="宋体" w:cs="宋体"/>
          <w:color w:val="333333"/>
          <w:shd w:val="clear" w:color="auto" w:fill="FFFFFF"/>
        </w:rPr>
        <w:t>“</w:t>
      </w:r>
      <w:r>
        <w:rPr>
          <w:rFonts w:hint="eastAsia" w:ascii="宋体" w:hAnsi="宋体" w:eastAsia="宋体" w:cs="宋体"/>
          <w:color w:val="000000"/>
        </w:rPr>
        <w:t>中国政府采购网”“江苏政府采购网”“盐城市政府采购网”发布的招标文件不一致，请以</w:t>
      </w:r>
      <w:r>
        <w:rPr>
          <w:rFonts w:hint="eastAsia" w:ascii="宋体" w:hAnsi="宋体" w:eastAsia="宋体" w:cs="宋体"/>
          <w:color w:val="333333"/>
          <w:shd w:val="clear" w:color="auto" w:fill="FFFFFF"/>
        </w:rPr>
        <w:t>“</w:t>
      </w:r>
      <w:r>
        <w:rPr>
          <w:rFonts w:hint="eastAsia" w:ascii="宋体" w:hAnsi="宋体" w:eastAsia="宋体" w:cs="宋体"/>
          <w:color w:val="000000"/>
        </w:rPr>
        <w:t>中国政府采购网”“江苏政府采购网”“盐城市政府采购网”发布的招标文件为准。</w:t>
      </w:r>
      <w:bookmarkStart w:id="89" w:name="_Toc49090509"/>
      <w:bookmarkStart w:id="90" w:name="_Toc513029216"/>
      <w:bookmarkStart w:id="91" w:name="_Toc14577354"/>
      <w:bookmarkStart w:id="92" w:name="_Toc49090507"/>
      <w:bookmarkStart w:id="93" w:name="_Toc513029219"/>
      <w:bookmarkStart w:id="94" w:name="_Toc14577357"/>
      <w:bookmarkStart w:id="95" w:name="_Hlt26954838"/>
      <w:bookmarkStart w:id="96" w:name="_Hlt26668975"/>
      <w:bookmarkStart w:id="97" w:name="_Hlt26670360"/>
    </w:p>
    <w:p w14:paraId="126C8E6B">
      <w:pPr>
        <w:pStyle w:val="10"/>
        <w:spacing w:beforeAutospacing="0" w:afterAutospacing="0" w:line="450" w:lineRule="exact"/>
        <w:ind w:firstLine="420" w:firstLineChars="175"/>
        <w:rPr>
          <w:rFonts w:hint="eastAsia" w:ascii="宋体" w:hAnsi="宋体" w:eastAsia="宋体" w:cs="宋体"/>
          <w:color w:val="000000"/>
        </w:rPr>
      </w:pPr>
      <w:r>
        <w:rPr>
          <w:rFonts w:hint="eastAsia" w:ascii="宋体" w:hAnsi="宋体" w:eastAsia="宋体" w:cs="宋体"/>
          <w:color w:val="000000"/>
        </w:rPr>
        <w:t>11、证明投标人及投标标的符合招标文件规定的文件</w:t>
      </w:r>
      <w:bookmarkEnd w:id="89"/>
      <w:bookmarkEnd w:id="90"/>
      <w:bookmarkEnd w:id="91"/>
      <w:bookmarkEnd w:id="92"/>
      <w:bookmarkEnd w:id="93"/>
      <w:bookmarkEnd w:id="94"/>
      <w:bookmarkStart w:id="98" w:name="_Toc14577355"/>
      <w:bookmarkStart w:id="99" w:name="_Toc49090508"/>
    </w:p>
    <w:p w14:paraId="161DB774">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11.1投标人应按照法律、法规、规章和规范性文件以及招标文件要求提交证明文件，证明其及投标标的符合招标文件规定。</w:t>
      </w:r>
      <w:bookmarkEnd w:id="98"/>
      <w:bookmarkEnd w:id="99"/>
    </w:p>
    <w:p w14:paraId="1A74BFF9">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11.2招标文件对证明文件无明确形式要求的，证明文件可以以文字资料、图纸和数据等形式提交。</w:t>
      </w:r>
    </w:p>
    <w:p w14:paraId="7DC4B0B7">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12、投标分项报价</w:t>
      </w:r>
      <w:bookmarkStart w:id="100" w:name="_Hlt26670373"/>
      <w:r>
        <w:rPr>
          <w:rFonts w:hint="eastAsia" w:ascii="宋体" w:hAnsi="宋体" w:eastAsia="宋体" w:cs="宋体"/>
          <w:color w:val="000000"/>
        </w:rPr>
        <w:t>表</w:t>
      </w:r>
    </w:p>
    <w:p w14:paraId="11B60720">
      <w:pPr>
        <w:pStyle w:val="10"/>
        <w:spacing w:beforeAutospacing="0" w:afterAutospacing="0" w:line="450" w:lineRule="exact"/>
        <w:ind w:firstLine="420" w:firstLineChars="175"/>
        <w:rPr>
          <w:rFonts w:hint="eastAsia" w:ascii="宋体" w:hAnsi="宋体" w:eastAsia="宋体" w:cs="宋体"/>
          <w:color w:val="000000"/>
        </w:rPr>
      </w:pPr>
      <w:r>
        <w:rPr>
          <w:rFonts w:hint="eastAsia" w:ascii="宋体" w:hAnsi="宋体" w:eastAsia="宋体" w:cs="宋体"/>
          <w:color w:val="000000"/>
        </w:rPr>
        <w:t>12.1投</w:t>
      </w:r>
      <w:bookmarkStart w:id="101" w:name="_Hlt26954840"/>
      <w:r>
        <w:rPr>
          <w:rFonts w:hint="eastAsia" w:ascii="宋体" w:hAnsi="宋体" w:eastAsia="宋体" w:cs="宋体"/>
          <w:color w:val="000000"/>
        </w:rPr>
        <w:t>标人应按照招标文件规定格式填报投标分项报价表</w:t>
      </w:r>
      <w:bookmarkStart w:id="102" w:name="_Hlt26670399"/>
      <w:r>
        <w:rPr>
          <w:rFonts w:hint="eastAsia" w:ascii="宋体" w:hAnsi="宋体" w:eastAsia="宋体" w:cs="宋体"/>
          <w:color w:val="000000"/>
        </w:rPr>
        <w:t>。</w:t>
      </w:r>
    </w:p>
    <w:p w14:paraId="08246B4C">
      <w:pPr>
        <w:pStyle w:val="10"/>
        <w:spacing w:beforeAutospacing="0" w:afterAutospacing="0" w:line="450" w:lineRule="exact"/>
        <w:ind w:firstLine="420" w:firstLineChars="175"/>
        <w:rPr>
          <w:rFonts w:hint="eastAsia" w:ascii="宋体" w:hAnsi="宋体" w:eastAsia="宋体" w:cs="宋体"/>
          <w:color w:val="000000"/>
        </w:rPr>
      </w:pPr>
      <w:r>
        <w:rPr>
          <w:rFonts w:hint="eastAsia" w:ascii="宋体" w:hAnsi="宋体" w:eastAsia="宋体" w:cs="宋体"/>
          <w:color w:val="000000"/>
        </w:rPr>
        <w:t>投标分项报价表中的单价、合价均包含完成本项目招标文件规定的全部工作内容所需的全部费用，中标综合单价即为合同结算单价。</w:t>
      </w:r>
    </w:p>
    <w:p w14:paraId="7F8CE1F5">
      <w:pPr>
        <w:pStyle w:val="10"/>
        <w:spacing w:beforeAutospacing="0" w:afterAutospacing="0" w:line="450" w:lineRule="exact"/>
        <w:ind w:firstLine="420" w:firstLineChars="175"/>
        <w:rPr>
          <w:rFonts w:hint="eastAsia" w:ascii="宋体" w:hAnsi="宋体" w:eastAsia="宋体" w:cs="宋体"/>
          <w:color w:val="000000"/>
        </w:rPr>
      </w:pPr>
      <w:r>
        <w:rPr>
          <w:rFonts w:ascii="宋体" w:hAnsi="宋体" w:eastAsia="宋体" w:cs="宋体"/>
          <w:color w:val="000000"/>
        </w:rPr>
        <w:t>投标报价说明：</w:t>
      </w:r>
    </w:p>
    <w:p w14:paraId="63CE74AE">
      <w:pPr>
        <w:pStyle w:val="10"/>
        <w:spacing w:beforeAutospacing="0" w:afterAutospacing="0" w:line="450" w:lineRule="exact"/>
        <w:ind w:firstLine="420" w:firstLineChars="175"/>
        <w:rPr>
          <w:rFonts w:hint="eastAsia" w:ascii="宋体" w:hAnsi="宋体" w:eastAsia="宋体" w:cs="宋体"/>
          <w:color w:val="000000"/>
        </w:rPr>
      </w:pPr>
    </w:p>
    <w:p w14:paraId="0E469FCD">
      <w:pPr>
        <w:pStyle w:val="10"/>
        <w:spacing w:beforeAutospacing="0" w:afterAutospacing="0" w:line="450" w:lineRule="exact"/>
        <w:ind w:firstLine="420" w:firstLineChars="175"/>
        <w:rPr>
          <w:rFonts w:hint="eastAsia" w:ascii="宋体" w:hAnsi="宋体" w:eastAsia="宋体" w:cs="宋体"/>
          <w:color w:val="000000"/>
        </w:rPr>
      </w:pPr>
      <w:r>
        <w:rPr>
          <w:rFonts w:ascii="宋体" w:hAnsi="宋体" w:eastAsia="宋体" w:cs="宋体"/>
          <w:color w:val="000000"/>
        </w:rPr>
        <w:t>本项目采用固定单价报价方式，投标人填报的综合单价及投标总价应为完成本项目招标文件所要求的全部服务内容的最终完全价格。</w:t>
      </w:r>
    </w:p>
    <w:p w14:paraId="3844D295">
      <w:pPr>
        <w:pStyle w:val="10"/>
        <w:spacing w:beforeAutospacing="0" w:afterAutospacing="0" w:line="450" w:lineRule="exact"/>
        <w:ind w:firstLine="422" w:firstLineChars="175"/>
        <w:rPr>
          <w:rFonts w:hint="eastAsia" w:ascii="宋体" w:hAnsi="宋体" w:eastAsia="宋体" w:cs="宋体"/>
          <w:b/>
          <w:bCs/>
          <w:color w:val="000000"/>
        </w:rPr>
      </w:pPr>
      <w:r>
        <w:rPr>
          <w:rFonts w:ascii="宋体" w:hAnsi="宋体" w:eastAsia="宋体" w:cs="宋体"/>
          <w:b/>
          <w:bCs/>
          <w:color w:val="000000"/>
        </w:rPr>
        <w:t>投标报价应包括但不限于以下各项费用：</w:t>
      </w:r>
    </w:p>
    <w:p w14:paraId="4BAC8D5E">
      <w:pPr>
        <w:pStyle w:val="10"/>
        <w:spacing w:beforeAutospacing="0" w:afterAutospacing="0" w:line="450" w:lineRule="exact"/>
        <w:ind w:firstLine="422" w:firstLineChars="175"/>
        <w:rPr>
          <w:rFonts w:hint="eastAsia" w:ascii="宋体" w:hAnsi="宋体" w:eastAsia="宋体" w:cs="宋体"/>
          <w:b/>
          <w:bCs/>
          <w:color w:val="000000"/>
        </w:rPr>
      </w:pPr>
      <w:r>
        <w:rPr>
          <w:rFonts w:ascii="宋体" w:hAnsi="宋体" w:eastAsia="宋体" w:cs="宋体"/>
          <w:b/>
          <w:bCs/>
          <w:color w:val="000000"/>
        </w:rPr>
        <w:t>（1）人工费用：项目负责人、技术负责人、专业组负责人、现场负责人、作业安全组、地理信息安全员、平台数据接入负责人、管道检测与分析评估人员、清淤及检测作业人员等所有参与本项目人员的工资、津贴、加班费、社会保险、住房公积金、商业保险（含意外伤害险）、差旅费、食宿费等；</w:t>
      </w:r>
    </w:p>
    <w:p w14:paraId="56B6CD5C">
      <w:pPr>
        <w:pStyle w:val="10"/>
        <w:spacing w:beforeAutospacing="0" w:afterAutospacing="0" w:line="450" w:lineRule="exact"/>
        <w:ind w:firstLine="422" w:firstLineChars="175"/>
        <w:rPr>
          <w:rFonts w:hint="eastAsia" w:ascii="宋体" w:hAnsi="宋体" w:eastAsia="宋体" w:cs="宋体"/>
          <w:b/>
          <w:bCs/>
          <w:color w:val="000000"/>
        </w:rPr>
      </w:pPr>
      <w:r>
        <w:rPr>
          <w:rFonts w:ascii="宋体" w:hAnsi="宋体" w:eastAsia="宋体" w:cs="宋体"/>
          <w:b/>
          <w:bCs/>
          <w:color w:val="000000"/>
        </w:rPr>
        <w:t>（2）设备及材料费用：CCTV检测机器人、QV潜望镜、三维激光扫描仪、声纳检测系统、管线探测仪、导向仪、GPS接收机、全站仪、水准仪、吸污车辆、封堵气囊、抽排水设备、通风设备、气体检测仪、安全防护装备（安全帽、安全带、防毒面具等）、照明设备、视频录制设备、电脑及数据处理设备等所有仪器设备的购置费（或租赁费）、运输费、装卸费、安装调试费、维护保养费、折旧费；</w:t>
      </w:r>
    </w:p>
    <w:p w14:paraId="29BD264C">
      <w:pPr>
        <w:pStyle w:val="10"/>
        <w:spacing w:beforeAutospacing="0" w:afterAutospacing="0" w:line="450" w:lineRule="exact"/>
        <w:ind w:firstLine="422" w:firstLineChars="175"/>
        <w:rPr>
          <w:rFonts w:hint="eastAsia" w:ascii="宋体" w:hAnsi="宋体" w:eastAsia="宋体" w:cs="宋体"/>
          <w:b/>
          <w:bCs/>
          <w:color w:val="000000"/>
        </w:rPr>
      </w:pPr>
      <w:r>
        <w:rPr>
          <w:rFonts w:ascii="宋体" w:hAnsi="宋体" w:eastAsia="宋体" w:cs="宋体"/>
          <w:b/>
          <w:bCs/>
          <w:color w:val="000000"/>
        </w:rPr>
        <w:t>（3）作业直接费用：管道清淤、疏通、降水、封堵、排水、调水、有毒有害气体检测与处理、有限空间作业安全措施、临时用电用水、废弃物清运及合法处置（淤泥、垃圾等）、交通疏导及安全警示设施（警示牌、反光锥、导向灯等）、现场围护、成品保护、场地清理及保洁等；</w:t>
      </w:r>
    </w:p>
    <w:p w14:paraId="55BA6579">
      <w:pPr>
        <w:pStyle w:val="10"/>
        <w:spacing w:beforeAutospacing="0" w:afterAutospacing="0" w:line="450" w:lineRule="exact"/>
        <w:ind w:firstLine="422" w:firstLineChars="175"/>
        <w:rPr>
          <w:rFonts w:hint="eastAsia" w:ascii="宋体" w:hAnsi="宋体" w:eastAsia="宋体" w:cs="宋体"/>
          <w:b/>
          <w:bCs/>
          <w:color w:val="000000"/>
        </w:rPr>
      </w:pPr>
      <w:r>
        <w:rPr>
          <w:rFonts w:ascii="宋体" w:hAnsi="宋体" w:eastAsia="宋体" w:cs="宋体"/>
          <w:b/>
          <w:bCs/>
          <w:color w:val="000000"/>
        </w:rPr>
        <w:t>（4）成果制作费用：检测报告（含影像资料）、管网测绘图纸（CAD格式）、混接错接分析报告、管道病害评估报告、管网信息化管理平台数据接入服务、三维扫描成像成果、电子数据存储介质（U盘、移动硬盘）等所有成果文件的编制、打印、装订、复制、存储及交付费用；</w:t>
      </w:r>
    </w:p>
    <w:p w14:paraId="18CBBC89">
      <w:pPr>
        <w:pStyle w:val="10"/>
        <w:spacing w:beforeAutospacing="0" w:afterAutospacing="0" w:line="450" w:lineRule="exact"/>
        <w:ind w:firstLine="422" w:firstLineChars="175"/>
        <w:rPr>
          <w:rFonts w:hint="eastAsia" w:ascii="宋体" w:hAnsi="宋体" w:eastAsia="宋体" w:cs="宋体"/>
          <w:b/>
          <w:bCs/>
          <w:color w:val="000000"/>
        </w:rPr>
      </w:pPr>
      <w:r>
        <w:rPr>
          <w:rFonts w:ascii="宋体" w:hAnsi="宋体" w:eastAsia="宋体" w:cs="宋体"/>
          <w:b/>
          <w:bCs/>
          <w:color w:val="000000"/>
        </w:rPr>
        <w:t>（5）管理及间接费用：项目管理费、办公费、通讯费、资料费、技术培训费、安全教育培训费、应急预案编制及演练费、人员及设备调度费、与采购人及相关部门协调配合费；</w:t>
      </w:r>
    </w:p>
    <w:p w14:paraId="0A711FA3">
      <w:pPr>
        <w:pStyle w:val="10"/>
        <w:spacing w:beforeAutospacing="0" w:afterAutospacing="0" w:line="450" w:lineRule="exact"/>
        <w:ind w:firstLine="422" w:firstLineChars="175"/>
        <w:rPr>
          <w:rFonts w:hint="eastAsia" w:ascii="宋体" w:hAnsi="宋体" w:eastAsia="宋体" w:cs="宋体"/>
          <w:b/>
          <w:bCs/>
          <w:color w:val="000000"/>
        </w:rPr>
      </w:pPr>
      <w:r>
        <w:rPr>
          <w:rFonts w:ascii="宋体" w:hAnsi="宋体" w:eastAsia="宋体" w:cs="宋体"/>
          <w:b/>
          <w:bCs/>
          <w:color w:val="000000"/>
        </w:rPr>
        <w:t>（6）税费：增值税及附加、企业所得税（按相关规定）、个人所得税（代扣代缴）、印花税等所有应缴税费；</w:t>
      </w:r>
    </w:p>
    <w:p w14:paraId="0B0CB996">
      <w:pPr>
        <w:pStyle w:val="10"/>
        <w:spacing w:beforeAutospacing="0" w:afterAutospacing="0" w:line="450" w:lineRule="exact"/>
        <w:ind w:firstLine="422" w:firstLineChars="175"/>
        <w:rPr>
          <w:rFonts w:ascii="宋体" w:hAnsi="宋体" w:eastAsia="宋体" w:cs="宋体"/>
          <w:b/>
          <w:bCs/>
          <w:color w:val="000000"/>
        </w:rPr>
      </w:pPr>
      <w:r>
        <w:rPr>
          <w:rFonts w:ascii="宋体" w:hAnsi="宋体" w:eastAsia="宋体" w:cs="宋体"/>
          <w:b/>
          <w:bCs/>
          <w:color w:val="000000"/>
        </w:rPr>
        <w:t>（7）风险及预备费：现场踏勘风险、管道实际淤积量超预期风险（友情提醒已明确清淤费用包干）、恶劣天气影响风险、现场施工条件变化风险、因采购人原因导致的服务暂停或工期调整风险（工期顺延但不另增费用）、市场价格波动风险（合同期内不因材料、人工、设备租赁等市场价格变化而调整单价）；</w:t>
      </w:r>
    </w:p>
    <w:p w14:paraId="0D1248E6">
      <w:pPr>
        <w:pStyle w:val="10"/>
        <w:spacing w:beforeAutospacing="0" w:afterAutospacing="0" w:line="450" w:lineRule="exact"/>
        <w:ind w:firstLine="422" w:firstLineChars="175"/>
        <w:rPr>
          <w:rFonts w:hint="eastAsia" w:ascii="宋体" w:hAnsi="宋体" w:eastAsia="宋体" w:cs="宋体"/>
          <w:b/>
          <w:bCs/>
          <w:color w:val="000000"/>
        </w:rPr>
      </w:pPr>
      <w:r>
        <w:rPr>
          <w:rFonts w:hint="eastAsia" w:ascii="宋体" w:hAnsi="宋体" w:eastAsia="宋体" w:cs="宋体"/>
          <w:b/>
          <w:bCs/>
          <w:color w:val="000000"/>
        </w:rPr>
        <w:t>（8）</w:t>
      </w:r>
      <w:r>
        <w:rPr>
          <w:rFonts w:ascii="宋体" w:hAnsi="宋体" w:eastAsia="宋体" w:cs="宋体"/>
          <w:b/>
          <w:bCs/>
          <w:color w:val="000000"/>
        </w:rPr>
        <w:t>投标报价</w:t>
      </w:r>
      <w:r>
        <w:rPr>
          <w:rFonts w:hint="eastAsia" w:ascii="宋体" w:hAnsi="宋体" w:eastAsia="宋体" w:cs="宋体"/>
          <w:b/>
          <w:bCs/>
          <w:color w:val="000000"/>
        </w:rPr>
        <w:t>还应</w:t>
      </w:r>
      <w:r>
        <w:rPr>
          <w:rFonts w:ascii="宋体" w:hAnsi="宋体" w:eastAsia="宋体" w:cs="宋体"/>
          <w:b/>
          <w:bCs/>
          <w:color w:val="000000"/>
        </w:rPr>
        <w:t>包含为完成本项目所可能发生的青苗补偿费、临时占地补偿费、地上附着物及农作物损坏补偿费，以及与管道检测、清淤、测绘等作业所涉范围内的农户、农村集体经济组织、社区居民、沿街商铺、企事业单位等所有相关方进行现场协调、矛盾调处、停工窝工损失补偿、临时通行协调、临时占用场地恢复等一切与外部环境协调相关的费用。上述费用无论是否在工程量清单中单独列项，均由投标人自行测算并综合考虑在投标报价中。采购人不再另行支付。投标人应自行踏勘现场，充分了解项目所在地的民情、社情及协调难度，并自行承担因协调不力导致的一切工期延误、费用增加等风险</w:t>
      </w:r>
      <w:r>
        <w:rPr>
          <w:rFonts w:hint="eastAsia" w:ascii="宋体" w:hAnsi="宋体" w:eastAsia="宋体" w:cs="宋体"/>
          <w:b/>
          <w:bCs/>
          <w:color w:val="000000"/>
        </w:rPr>
        <w:t>。</w:t>
      </w:r>
    </w:p>
    <w:p w14:paraId="7F65F420">
      <w:pPr>
        <w:pStyle w:val="10"/>
        <w:spacing w:beforeAutospacing="0" w:afterAutospacing="0" w:line="450" w:lineRule="exact"/>
        <w:ind w:firstLine="422" w:firstLineChars="175"/>
        <w:rPr>
          <w:rFonts w:hint="eastAsia" w:ascii="宋体" w:hAnsi="宋体" w:eastAsia="宋体" w:cs="宋体"/>
          <w:b/>
          <w:bCs/>
          <w:color w:val="000000"/>
        </w:rPr>
      </w:pPr>
      <w:r>
        <w:rPr>
          <w:rFonts w:ascii="宋体" w:hAnsi="宋体" w:eastAsia="宋体" w:cs="宋体"/>
          <w:b/>
          <w:bCs/>
          <w:color w:val="000000"/>
        </w:rPr>
        <w:t>（8）其他费用：招标代理服务费（按招标文件约定由中标人支付，金额已折算在综合单价中，不单列）、履约保函费用（如中标人选择以保函形式提交）、政策性文件规定由中标人承担的费用。</w:t>
      </w:r>
    </w:p>
    <w:p w14:paraId="36550E6A">
      <w:pPr>
        <w:pStyle w:val="10"/>
        <w:spacing w:beforeAutospacing="0" w:afterAutospacing="0" w:line="450" w:lineRule="exact"/>
        <w:ind w:firstLine="422" w:firstLineChars="175"/>
        <w:rPr>
          <w:rFonts w:hint="eastAsia" w:ascii="宋体" w:hAnsi="宋体" w:eastAsia="宋体" w:cs="宋体"/>
          <w:b/>
          <w:bCs/>
          <w:color w:val="000000"/>
        </w:rPr>
      </w:pPr>
      <w:r>
        <w:rPr>
          <w:rFonts w:ascii="宋体" w:hAnsi="宋体" w:eastAsia="宋体" w:cs="宋体"/>
          <w:b/>
          <w:bCs/>
          <w:color w:val="000000"/>
        </w:rPr>
        <w:t>除中标价外，采购人不再支付任何其他费用。投标人应充分考虑所有成本因素，合理报价。</w:t>
      </w:r>
    </w:p>
    <w:p w14:paraId="37322E90">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12.2投标货币。投标文件中的单价和总价无特殊规定的采用人民币报价，以元为单位标注。招标文件中另有规定的按规定执行。</w:t>
      </w:r>
    </w:p>
    <w:p w14:paraId="28C20F4B">
      <w:pPr>
        <w:pStyle w:val="10"/>
        <w:spacing w:beforeAutospacing="0" w:afterAutospacing="0" w:line="450" w:lineRule="exact"/>
        <w:ind w:firstLine="420" w:firstLineChars="175"/>
        <w:rPr>
          <w:rFonts w:hint="eastAsia" w:ascii="宋体" w:hAnsi="宋体" w:eastAsia="宋体" w:cs="宋体"/>
        </w:rPr>
      </w:pPr>
      <w:bookmarkStart w:id="103" w:name="_Hlt26954731"/>
      <w:bookmarkStart w:id="104" w:name="_Hlt26954846"/>
      <w:bookmarkStart w:id="105" w:name="_Hlt26670486"/>
      <w:bookmarkStart w:id="106" w:name="_Hlt26954842"/>
      <w:bookmarkStart w:id="107" w:name="_Hlt26670482"/>
      <w:bookmarkStart w:id="108" w:name="_Hlt26670425"/>
      <w:bookmarkStart w:id="109" w:name="_Hlt26954848"/>
      <w:bookmarkStart w:id="110" w:name="_Hlt26670403"/>
      <w:bookmarkStart w:id="111" w:name="_Hlt26668983"/>
      <w:bookmarkStart w:id="112" w:name="_Hlt26954844"/>
      <w:r>
        <w:rPr>
          <w:rFonts w:hint="eastAsia" w:ascii="宋体" w:hAnsi="宋体" w:eastAsia="宋体" w:cs="宋体"/>
          <w:color w:val="000000"/>
        </w:rPr>
        <w:t>13、技术要求响应及偏离表、商务要求响应及偏离表</w:t>
      </w:r>
    </w:p>
    <w:p w14:paraId="02AF889C">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13.1投标人需对招标文件中的技术要求与商务要求逐项作出响应或偏离，并说明原因。</w:t>
      </w:r>
    </w:p>
    <w:p w14:paraId="37C3B45C">
      <w:pPr>
        <w:pStyle w:val="10"/>
        <w:tabs>
          <w:tab w:val="left" w:pos="1036"/>
        </w:tabs>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13.2投标人可在投标文件中提供认为需要的其他技术文件或说明。</w:t>
      </w:r>
    </w:p>
    <w:p w14:paraId="33D6EDCA">
      <w:pPr>
        <w:pStyle w:val="10"/>
        <w:spacing w:beforeAutospacing="0" w:afterAutospacing="0" w:line="450" w:lineRule="exact"/>
        <w:ind w:firstLine="420" w:firstLineChars="175"/>
        <w:rPr>
          <w:rFonts w:hint="eastAsia" w:ascii="宋体" w:hAnsi="宋体" w:eastAsia="宋体" w:cs="宋体"/>
        </w:rPr>
      </w:pPr>
      <w:bookmarkStart w:id="113" w:name="_Toc49090510"/>
      <w:bookmarkStart w:id="114" w:name="_Toc14577359"/>
      <w:r>
        <w:rPr>
          <w:rFonts w:hint="eastAsia" w:ascii="宋体" w:hAnsi="宋体" w:eastAsia="宋体" w:cs="宋体"/>
          <w:color w:val="000000"/>
        </w:rPr>
        <w:t>14、投标函和开标一览表</w:t>
      </w:r>
      <w:bookmarkEnd w:id="113"/>
      <w:bookmarkEnd w:id="114"/>
    </w:p>
    <w:p w14:paraId="35800BC6">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14.1投标人应按照招标文件中提供的格式完整、正确填写投标函、开标一览表。</w:t>
      </w:r>
    </w:p>
    <w:p w14:paraId="6B6F017F">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rPr>
        <w:t>。</w:t>
      </w:r>
    </w:p>
    <w:p w14:paraId="72CACC4A">
      <w:pPr>
        <w:pStyle w:val="10"/>
        <w:spacing w:beforeAutospacing="0" w:afterAutospacing="0" w:line="450" w:lineRule="exact"/>
        <w:ind w:firstLine="420" w:firstLineChars="175"/>
        <w:rPr>
          <w:rFonts w:hint="eastAsia" w:ascii="宋体" w:hAnsi="宋体" w:eastAsia="宋体" w:cs="宋体"/>
        </w:rPr>
      </w:pPr>
      <w:bookmarkStart w:id="115" w:name="_Toc14577360"/>
      <w:bookmarkStart w:id="116" w:name="_Toc49090511"/>
      <w:bookmarkStart w:id="117" w:name="_Hlt26954850"/>
      <w:bookmarkStart w:id="118" w:name="_Hlt26954734"/>
      <w:bookmarkStart w:id="119" w:name="_Hlt26670489"/>
      <w:r>
        <w:rPr>
          <w:rFonts w:hint="eastAsia" w:ascii="宋体" w:hAnsi="宋体" w:eastAsia="宋体" w:cs="宋体"/>
          <w:color w:val="000000"/>
        </w:rPr>
        <w:t>15、投标有效期</w:t>
      </w:r>
      <w:bookmarkEnd w:id="115"/>
      <w:bookmarkEnd w:id="116"/>
    </w:p>
    <w:p w14:paraId="0A6487D4">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15.1投标有效期为采购中心规定的开标之日后</w:t>
      </w:r>
      <w:r>
        <w:rPr>
          <w:rFonts w:hint="eastAsia" w:ascii="宋体" w:hAnsi="宋体" w:eastAsia="宋体" w:cs="宋体"/>
          <w:b/>
          <w:u w:val="single"/>
        </w:rPr>
        <w:t>九十（90）天</w:t>
      </w:r>
      <w:r>
        <w:rPr>
          <w:rFonts w:hint="eastAsia" w:ascii="宋体" w:hAnsi="宋体" w:eastAsia="宋体" w:cs="宋体"/>
          <w:color w:val="000000"/>
        </w:rPr>
        <w:t>。投标有效期比规定短的将被视为未实质性响应招标文件而予以拒绝。</w:t>
      </w:r>
    </w:p>
    <w:p w14:paraId="52EC852C">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16、投标有效期的延长</w:t>
      </w:r>
    </w:p>
    <w:p w14:paraId="2CB40F3D">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p>
    <w:p w14:paraId="7E392364">
      <w:pPr>
        <w:pStyle w:val="10"/>
        <w:spacing w:beforeAutospacing="0" w:afterAutospacing="0" w:line="450" w:lineRule="exact"/>
        <w:ind w:firstLine="422" w:firstLineChars="175"/>
        <w:rPr>
          <w:rFonts w:hint="eastAsia" w:ascii="宋体" w:hAnsi="宋体" w:eastAsia="宋体" w:cs="宋体"/>
        </w:rPr>
      </w:pPr>
      <w:bookmarkStart w:id="120" w:name="_Toc16938540"/>
      <w:bookmarkStart w:id="121" w:name="_Toc20823296"/>
      <w:bookmarkStart w:id="122" w:name="_Toc513029224"/>
      <w:bookmarkStart w:id="123" w:name="_Toc120614217"/>
      <w:bookmarkStart w:id="124" w:name="_Hlt26954852"/>
      <w:bookmarkStart w:id="125" w:name="_Hlt26954739"/>
      <w:r>
        <w:rPr>
          <w:rFonts w:hint="eastAsia" w:ascii="宋体" w:hAnsi="宋体" w:eastAsia="宋体" w:cs="宋体"/>
          <w:b/>
          <w:color w:val="000000"/>
        </w:rPr>
        <w:t>四、投标文件的递交</w:t>
      </w:r>
      <w:bookmarkEnd w:id="120"/>
      <w:bookmarkEnd w:id="121"/>
      <w:bookmarkEnd w:id="122"/>
      <w:bookmarkEnd w:id="123"/>
    </w:p>
    <w:p w14:paraId="69D89042">
      <w:pPr>
        <w:pStyle w:val="10"/>
        <w:spacing w:beforeAutospacing="0" w:afterAutospacing="0" w:line="450" w:lineRule="exact"/>
        <w:ind w:firstLine="420" w:firstLineChars="175"/>
        <w:rPr>
          <w:rFonts w:hint="eastAsia" w:ascii="宋体" w:hAnsi="宋体" w:eastAsia="宋体" w:cs="宋体"/>
        </w:rPr>
      </w:pPr>
      <w:bookmarkStart w:id="126" w:name="_Toc462564084"/>
      <w:bookmarkStart w:id="127" w:name="_Toc16938541"/>
      <w:bookmarkStart w:id="128" w:name="_Toc20823297"/>
      <w:bookmarkStart w:id="129" w:name="_Toc513029225"/>
      <w:r>
        <w:rPr>
          <w:rFonts w:hint="eastAsia" w:ascii="宋体" w:hAnsi="宋体" w:eastAsia="宋体" w:cs="宋体"/>
          <w:color w:val="000000"/>
        </w:rPr>
        <w:t>17、投标文件</w:t>
      </w:r>
      <w:bookmarkEnd w:id="126"/>
      <w:bookmarkEnd w:id="127"/>
      <w:bookmarkEnd w:id="128"/>
      <w:bookmarkEnd w:id="129"/>
      <w:r>
        <w:rPr>
          <w:rFonts w:hint="eastAsia" w:ascii="宋体" w:hAnsi="宋体" w:eastAsia="宋体" w:cs="宋体"/>
          <w:color w:val="000000"/>
        </w:rPr>
        <w:t>的递交</w:t>
      </w:r>
    </w:p>
    <w:p w14:paraId="084B94A4">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17.1电子投标文件的递交</w:t>
      </w:r>
    </w:p>
    <w:p w14:paraId="202C0798">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投标人应当按照《操作手册》规定，在投标截止时间前制作并上传电子投标文件。</w:t>
      </w:r>
      <w:bookmarkStart w:id="130" w:name="_Toc16938542"/>
      <w:bookmarkEnd w:id="130"/>
      <w:bookmarkStart w:id="131" w:name="_Toc20823298"/>
      <w:bookmarkEnd w:id="131"/>
      <w:bookmarkStart w:id="132" w:name="_Toc513029226"/>
    </w:p>
    <w:p w14:paraId="11D122F2">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18、投标截止时间</w:t>
      </w:r>
    </w:p>
    <w:p w14:paraId="514F64EB">
      <w:pPr>
        <w:pStyle w:val="10"/>
        <w:spacing w:beforeAutospacing="0" w:afterAutospacing="0" w:line="450" w:lineRule="exact"/>
        <w:ind w:firstLine="420" w:firstLineChars="175"/>
        <w:rPr>
          <w:rFonts w:hint="eastAsia" w:ascii="宋体" w:hAnsi="宋体" w:eastAsia="宋体" w:cs="宋体"/>
          <w:i/>
          <w:iCs/>
        </w:rPr>
      </w:pPr>
      <w:r>
        <w:rPr>
          <w:rFonts w:hint="eastAsia" w:ascii="宋体" w:hAnsi="宋体" w:eastAsia="宋体" w:cs="宋体"/>
          <w:i/>
          <w:iCs/>
          <w:color w:val="000000"/>
          <w:u w:val="single"/>
        </w:rPr>
        <w:t>18.1投标人上传电子投标文件的时间不得迟于招标公告中规定的投标截止时间。</w:t>
      </w:r>
    </w:p>
    <w:p w14:paraId="6E783E7B">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投标人应充分考虑到网络环境、网络带宽等风险因素，如因投标人自身原因造成的电子投标文件上传不成功的按照本招标文件第二章第26.1.2条规定做无效投标处理。</w:t>
      </w:r>
    </w:p>
    <w:p w14:paraId="1F16D20B">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18.2采购中心可以按照规定，通过修改招标文件酌情延长投标截止时间，在此情况下，投标人的所有权利和义务以及投标人受制的截止时间均应以延长后新的截止时间为准。</w:t>
      </w:r>
    </w:p>
    <w:p w14:paraId="3791E573">
      <w:pPr>
        <w:pStyle w:val="10"/>
        <w:spacing w:beforeAutospacing="0" w:afterAutospacing="0" w:line="450" w:lineRule="exact"/>
        <w:ind w:firstLine="420" w:firstLineChars="175"/>
        <w:rPr>
          <w:rFonts w:hint="eastAsia" w:ascii="宋体" w:hAnsi="宋体" w:eastAsia="宋体" w:cs="宋体"/>
        </w:rPr>
      </w:pPr>
      <w:bookmarkStart w:id="133" w:name="_Toc20823299"/>
      <w:bookmarkStart w:id="134" w:name="_Toc16938543"/>
      <w:bookmarkStart w:id="135" w:name="_Toc513029227"/>
      <w:r>
        <w:rPr>
          <w:rFonts w:hint="eastAsia" w:ascii="宋体" w:hAnsi="宋体" w:eastAsia="宋体" w:cs="宋体"/>
          <w:color w:val="000000"/>
        </w:rPr>
        <w:t>19、投标文件</w:t>
      </w:r>
      <w:bookmarkEnd w:id="133"/>
      <w:bookmarkEnd w:id="134"/>
      <w:bookmarkEnd w:id="135"/>
      <w:r>
        <w:rPr>
          <w:rFonts w:hint="eastAsia" w:ascii="宋体" w:hAnsi="宋体" w:eastAsia="宋体" w:cs="宋体"/>
          <w:color w:val="000000"/>
        </w:rPr>
        <w:t>的拒收</w:t>
      </w:r>
    </w:p>
    <w:p w14:paraId="54992941">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19.1采购中心拒绝接收在其规定的投标截止时间后上传的任何投标文件。</w:t>
      </w:r>
    </w:p>
    <w:p w14:paraId="1D5E1A6A">
      <w:pPr>
        <w:pStyle w:val="10"/>
        <w:spacing w:beforeAutospacing="0" w:afterAutospacing="0" w:line="450" w:lineRule="exact"/>
        <w:ind w:firstLine="420" w:firstLineChars="175"/>
        <w:rPr>
          <w:rFonts w:hint="eastAsia" w:ascii="宋体" w:hAnsi="宋体" w:eastAsia="宋体" w:cs="宋体"/>
        </w:rPr>
      </w:pPr>
      <w:bookmarkStart w:id="136" w:name="_Toc20823300"/>
      <w:bookmarkStart w:id="137" w:name="_Toc513029228"/>
      <w:bookmarkStart w:id="138" w:name="_Toc16938544"/>
      <w:r>
        <w:rPr>
          <w:rFonts w:hint="eastAsia" w:ascii="宋体" w:hAnsi="宋体" w:eastAsia="宋体" w:cs="宋体"/>
          <w:color w:val="000000"/>
        </w:rPr>
        <w:t>20、投标文件的撤回和修改</w:t>
      </w:r>
      <w:bookmarkEnd w:id="136"/>
      <w:bookmarkEnd w:id="137"/>
      <w:bookmarkEnd w:id="138"/>
    </w:p>
    <w:p w14:paraId="3EBFA1F4">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20.1投标文件的撤回</w:t>
      </w:r>
    </w:p>
    <w:p w14:paraId="702183BA">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20.1.1电子投标文件的撤回</w:t>
      </w:r>
    </w:p>
    <w:p w14:paraId="2C0725D8">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投标人可在投标截止时间前，撤回其电子投标文件，具体操作方法见《操作手册》。</w:t>
      </w:r>
    </w:p>
    <w:p w14:paraId="65DE47B7">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20.1.2投标人撤回电子投标文件，则认为其不再参与本项目投标活动。</w:t>
      </w:r>
    </w:p>
    <w:p w14:paraId="4B349386">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20.2投标文件的修改</w:t>
      </w:r>
    </w:p>
    <w:p w14:paraId="0FDE0C15">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20.2.1投标人可在投标截止时间前，对其电子投标文件进行修改，具体操作方法见《操作手册》。</w:t>
      </w:r>
    </w:p>
    <w:p w14:paraId="4D979D6B">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20.2.2在投标截止时间之后，投标人不得对其电子投标文件作任何修改。</w:t>
      </w:r>
    </w:p>
    <w:p w14:paraId="75798928">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20.3在投标截止时间至招标文件中规定的投标有效期满之间的这段时间内，投标人不得撤回其投标。</w:t>
      </w:r>
    </w:p>
    <w:p w14:paraId="356B5F1D">
      <w:pPr>
        <w:pStyle w:val="10"/>
        <w:spacing w:beforeAutospacing="0" w:afterAutospacing="0" w:line="450" w:lineRule="exact"/>
        <w:ind w:firstLine="422" w:firstLineChars="175"/>
        <w:rPr>
          <w:rFonts w:hint="eastAsia" w:ascii="宋体" w:hAnsi="宋体" w:eastAsia="宋体" w:cs="宋体"/>
        </w:rPr>
      </w:pPr>
      <w:bookmarkStart w:id="139" w:name="_Toc20823301"/>
      <w:bookmarkStart w:id="140" w:name="_Toc120614218"/>
      <w:bookmarkStart w:id="141" w:name="_Toc513029229"/>
      <w:bookmarkStart w:id="142" w:name="_Toc16938545"/>
      <w:r>
        <w:rPr>
          <w:rFonts w:hint="eastAsia" w:ascii="宋体" w:hAnsi="宋体" w:eastAsia="宋体" w:cs="宋体"/>
          <w:b/>
          <w:color w:val="000000"/>
        </w:rPr>
        <w:t>五、开标与评标</w:t>
      </w:r>
      <w:bookmarkEnd w:id="139"/>
      <w:bookmarkEnd w:id="140"/>
      <w:bookmarkEnd w:id="141"/>
      <w:bookmarkEnd w:id="142"/>
    </w:p>
    <w:p w14:paraId="450F2AB5">
      <w:pPr>
        <w:pStyle w:val="10"/>
        <w:spacing w:beforeAutospacing="0" w:afterAutospacing="0" w:line="450" w:lineRule="exact"/>
        <w:ind w:firstLine="420" w:firstLineChars="175"/>
        <w:rPr>
          <w:rFonts w:hint="eastAsia" w:ascii="宋体" w:hAnsi="宋体" w:eastAsia="宋体" w:cs="宋体"/>
        </w:rPr>
      </w:pPr>
      <w:bookmarkStart w:id="143" w:name="_Toc20823302"/>
      <w:bookmarkStart w:id="144" w:name="_Toc513029230"/>
      <w:bookmarkStart w:id="145" w:name="_Toc16938546"/>
      <w:r>
        <w:rPr>
          <w:rFonts w:hint="eastAsia" w:ascii="宋体" w:hAnsi="宋体" w:eastAsia="宋体" w:cs="宋体"/>
        </w:rPr>
        <w:t>21、开标</w:t>
      </w:r>
      <w:bookmarkEnd w:id="143"/>
      <w:bookmarkEnd w:id="144"/>
      <w:bookmarkEnd w:id="145"/>
    </w:p>
    <w:p w14:paraId="20B94C73">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rPr>
        <w:t>21.1采购中心将在招标公告中规定的时间和地点组织公开开标。投标人应当按照《操作手册》规定，参加开标活动和在苏采云系统规定的时间内对投标文件进行解密。</w:t>
      </w:r>
    </w:p>
    <w:p w14:paraId="15CA7C15">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rPr>
        <w:t>21.2开标仪式由采购中心组织。苏采云系统将自动对项目进行开标，并宣布各投标人名称和投标价格。</w:t>
      </w:r>
    </w:p>
    <w:p w14:paraId="27382B94">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rPr>
        <w:t>21.3投标人在开标过程中涉及到的投标文件解密、开标结果确认等工作，应按照《操作手册》规定执行。</w:t>
      </w:r>
    </w:p>
    <w:p w14:paraId="35E9C3BB">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rPr>
        <w:t>21.4投标人如果对开标过程和开标记录有疑义，应当根据《操作手册》规定提出，如苏采云系统中《开标记录表》宣布后5分钟内未提出的，视同认可开标结果。</w:t>
      </w:r>
    </w:p>
    <w:p w14:paraId="0BE135C4">
      <w:pPr>
        <w:pStyle w:val="10"/>
        <w:spacing w:beforeAutospacing="0" w:afterAutospacing="0" w:line="450" w:lineRule="exact"/>
        <w:ind w:firstLine="420" w:firstLineChars="175"/>
        <w:rPr>
          <w:rFonts w:hint="eastAsia" w:ascii="宋体" w:hAnsi="宋体" w:eastAsia="宋体" w:cs="宋体"/>
        </w:rPr>
      </w:pPr>
      <w:bookmarkStart w:id="146" w:name="_Toc16938547"/>
      <w:bookmarkStart w:id="147" w:name="_Toc513029231"/>
      <w:bookmarkStart w:id="148" w:name="_Toc20823303"/>
      <w:r>
        <w:rPr>
          <w:rFonts w:hint="eastAsia" w:ascii="宋体" w:hAnsi="宋体" w:eastAsia="宋体" w:cs="宋体"/>
        </w:rPr>
        <w:t>22、评标委员会</w:t>
      </w:r>
      <w:bookmarkEnd w:id="146"/>
      <w:bookmarkEnd w:id="147"/>
      <w:bookmarkEnd w:id="148"/>
    </w:p>
    <w:p w14:paraId="5A11D874">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22.1开标后，采购中心将立即组织评标委员会（以下简称评委会）进行评标。</w:t>
      </w:r>
    </w:p>
    <w:p w14:paraId="525EA331">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22.2评委会由采购人代表和有关技术、经济等方面的专家组成，且人员构成符合政府采购有关规定。</w:t>
      </w:r>
    </w:p>
    <w:p w14:paraId="77C2FB1F">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22.3评委会独立工作，负责评审所有投标文件并确定中标候选人。</w:t>
      </w:r>
    </w:p>
    <w:p w14:paraId="50DC5BA0">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23、评标过程的保密与公正</w:t>
      </w:r>
    </w:p>
    <w:p w14:paraId="4C7F8DF0">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23.1凡是与审查、澄清、评价和比较投标的有关资料以及授标建议等，采购人、评委、采购中心均不得向投标人或与评标无关的其他人员透露。</w:t>
      </w:r>
    </w:p>
    <w:p w14:paraId="6D782CE6">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23.2在评标过程中，投标人不得以任何行为影响评标过程，否则其投标文件将被作为无效投标文件。</w:t>
      </w:r>
    </w:p>
    <w:p w14:paraId="157C4828">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23.</w:t>
      </w:r>
      <w:r>
        <w:rPr>
          <w:rFonts w:hint="eastAsia" w:ascii="宋体" w:hAnsi="宋体" w:eastAsia="宋体" w:cs="宋体"/>
        </w:rPr>
        <w:t>3采购中心和评标委员会不向未中标的投标人解释未中标原因，也不公布评标过程中的相关细节。</w:t>
      </w:r>
    </w:p>
    <w:p w14:paraId="73B7CECC">
      <w:pPr>
        <w:pStyle w:val="10"/>
        <w:spacing w:beforeAutospacing="0" w:afterAutospacing="0" w:line="450" w:lineRule="exact"/>
        <w:ind w:firstLine="420" w:firstLineChars="175"/>
        <w:rPr>
          <w:rFonts w:hint="eastAsia" w:ascii="宋体" w:hAnsi="宋体" w:eastAsia="宋体" w:cs="宋体"/>
          <w:color w:val="000000"/>
        </w:rPr>
      </w:pPr>
      <w:r>
        <w:rPr>
          <w:rFonts w:hint="eastAsia" w:ascii="宋体" w:hAnsi="宋体" w:eastAsia="宋体" w:cs="宋体"/>
        </w:rPr>
        <w:t>23.4采用综合评分法的项目，未中标的</w:t>
      </w:r>
      <w:r>
        <w:rPr>
          <w:rFonts w:hint="eastAsia" w:ascii="宋体" w:hAnsi="宋体" w:eastAsia="宋体" w:cs="宋体"/>
          <w:color w:val="000000"/>
        </w:rPr>
        <w:t>投标人可于中标结果公告期限届满之日起通过苏采云系统查看自己的评审得分及排序情况。</w:t>
      </w:r>
    </w:p>
    <w:p w14:paraId="5BCEA2EC">
      <w:pPr>
        <w:pStyle w:val="10"/>
        <w:spacing w:beforeAutospacing="0" w:afterAutospacing="0" w:line="450" w:lineRule="exact"/>
        <w:ind w:firstLine="420" w:firstLineChars="175"/>
        <w:rPr>
          <w:rFonts w:hint="eastAsia" w:ascii="宋体" w:hAnsi="宋体" w:eastAsia="宋体" w:cs="宋体"/>
        </w:rPr>
      </w:pPr>
      <w:bookmarkStart w:id="149" w:name="_Toc16938548"/>
      <w:bookmarkStart w:id="150" w:name="_Toc513029232"/>
      <w:bookmarkStart w:id="151" w:name="_Toc20823304"/>
      <w:r>
        <w:rPr>
          <w:rFonts w:hint="eastAsia" w:ascii="宋体" w:hAnsi="宋体" w:eastAsia="宋体" w:cs="宋体"/>
          <w:color w:val="000000"/>
        </w:rPr>
        <w:t>24、投标文件的澄清</w:t>
      </w:r>
      <w:bookmarkEnd w:id="149"/>
      <w:bookmarkEnd w:id="150"/>
      <w:bookmarkEnd w:id="151"/>
    </w:p>
    <w:p w14:paraId="73DF3A9C">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24.1评标期间，评委会对投标文件中含义不明确、同类问题表述不一致或者有明显文字和计算错误的内容，有权要求投标人作出必要的澄清、说明或者补正。</w:t>
      </w:r>
    </w:p>
    <w:p w14:paraId="090EDED5">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投标人的澄清、说明或者补正不得超出投标文件的范围或者改变投标文件的实质性内容。</w:t>
      </w:r>
    </w:p>
    <w:p w14:paraId="720CB29A">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rPr>
        <w:t>评标委员会并非对每个投标人都做澄清要求。</w:t>
      </w:r>
    </w:p>
    <w:p w14:paraId="18C00731">
      <w:pPr>
        <w:pStyle w:val="10"/>
        <w:spacing w:beforeAutospacing="0" w:afterAutospacing="0" w:line="450" w:lineRule="exact"/>
        <w:ind w:firstLine="420" w:firstLineChars="175"/>
        <w:rPr>
          <w:rFonts w:hint="eastAsia" w:ascii="宋体" w:hAnsi="宋体" w:eastAsia="宋体" w:cs="宋体"/>
          <w:color w:val="000000"/>
        </w:rPr>
      </w:pPr>
      <w:r>
        <w:rPr>
          <w:rFonts w:hint="eastAsia" w:ascii="宋体" w:hAnsi="宋体" w:eastAsia="宋体" w:cs="宋体"/>
        </w:rPr>
        <w:t>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hint="eastAsia" w:ascii="宋体" w:hAnsi="宋体" w:eastAsia="宋体" w:cs="宋体"/>
          <w:color w:val="000000"/>
        </w:rPr>
        <w:t>投标文件的补充部分，具体操作方式见《操作手册》。</w:t>
      </w:r>
    </w:p>
    <w:p w14:paraId="12381943">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24.3接到评委会澄清、说明和补正要求的投标人如未按规定作出澄清、说明和补正，其风险由投标人自行承担。</w:t>
      </w:r>
    </w:p>
    <w:p w14:paraId="0DEBAC7F">
      <w:pPr>
        <w:pStyle w:val="10"/>
        <w:spacing w:beforeAutospacing="0" w:afterAutospacing="0" w:line="450" w:lineRule="exact"/>
        <w:ind w:firstLine="420" w:firstLineChars="175"/>
        <w:rPr>
          <w:rFonts w:hint="eastAsia" w:ascii="宋体" w:hAnsi="宋体" w:eastAsia="宋体" w:cs="宋体"/>
        </w:rPr>
      </w:pPr>
      <w:bookmarkStart w:id="152" w:name="_Toc16938549"/>
      <w:bookmarkStart w:id="153" w:name="_Toc20823305"/>
      <w:bookmarkStart w:id="154" w:name="_Toc513029233"/>
      <w:r>
        <w:rPr>
          <w:rFonts w:hint="eastAsia" w:ascii="宋体" w:hAnsi="宋体" w:eastAsia="宋体" w:cs="宋体"/>
          <w:color w:val="000000"/>
        </w:rPr>
        <w:t>25、对投标文件的初审</w:t>
      </w:r>
      <w:bookmarkEnd w:id="152"/>
      <w:bookmarkEnd w:id="153"/>
      <w:bookmarkEnd w:id="154"/>
    </w:p>
    <w:p w14:paraId="7DD9914C">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25.1投标文件初审分为资格审查和符合性审查。</w:t>
      </w:r>
    </w:p>
    <w:p w14:paraId="280495B9">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25.1.1资格审查：依据法律法规和招标文件的规定，由采购人对投标文件中的资格证明文件进行审查。资格审查的结论，采购人以书面形式向评委会进行反馈。</w:t>
      </w:r>
    </w:p>
    <w:p w14:paraId="2506C5E2">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采购人在进行资格性审查的同时，将在“信用中国”网站（www.creditchina.gov.cn）查询投标人的信用记录，以确定投标人是否具备投标资格,查询结果留存并归档。</w:t>
      </w:r>
    </w:p>
    <w:p w14:paraId="36A56CF4">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接受联合体的项目，两个以上的自然人、法人或者其他组织组成一个联合体，以一个供应商的身份共同参加政府采购活动的,联合体成员存在不良信用记录的，视同联合体存在不良应用记录。</w:t>
      </w:r>
    </w:p>
    <w:p w14:paraId="1A7116A3">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25.1.2符合性审查：依据招标文件的规定，由评委会从投标文件的有效性、完整性和对招标文件的响应程度进行审查，以确定是否对招标文件的实质性要求作出响应。</w:t>
      </w:r>
    </w:p>
    <w:p w14:paraId="29D6824D">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rPr>
        <w:t>25.1.3未通过资格审查或符合性审查的投标人，采购中心将在苏采云系统中告知未通过资格审查或符合性审查的原因，评标结束后，采购中心将不再告知</w:t>
      </w:r>
      <w:r>
        <w:rPr>
          <w:rFonts w:hint="eastAsia" w:ascii="宋体" w:hAnsi="宋体" w:eastAsia="宋体" w:cs="宋体"/>
          <w:color w:val="000000"/>
        </w:rPr>
        <w:t>未通过资格审查和符合性审查的原因。</w:t>
      </w:r>
    </w:p>
    <w:p w14:paraId="37ED6BC3">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25.2在详细评标之前，评委会将首先审查每份投标文件是否实质性响应了招标文件的要求。实质性响应的投标应该是与招标文件要求的全部条款、条件和规格相符，没有重大偏离或保留的投标。</w:t>
      </w:r>
    </w:p>
    <w:p w14:paraId="7401082A">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26E3D36E">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25.3如果投标文件实质上没有响应招标文件的要求，评委会将予以拒绝，投标人不得通过修改或撤销不合要求的偏离或保留而使其投标成为实质性响应的投标。</w:t>
      </w:r>
    </w:p>
    <w:p w14:paraId="33CA4CE2">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25.4评委会将对确定为实质性响应的投标进行进一步审核，确定其是否有计算上或累加上的算术错误，修正错误的原则如下：</w:t>
      </w:r>
    </w:p>
    <w:p w14:paraId="251FDBAD">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（1）投标文件中开标一览表内容与投标文件中相应内容不一致的，以开标一览表为准。</w:t>
      </w:r>
    </w:p>
    <w:p w14:paraId="79B73C4D">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（2）大写金额和小写金额不一致的，以大写金额为准。</w:t>
      </w:r>
    </w:p>
    <w:p w14:paraId="008BF408">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（3）单价金额小数点或者百分比有明显错位的，以开标一览表的总价为准，并修改单价。</w:t>
      </w:r>
    </w:p>
    <w:p w14:paraId="446EF14E">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（4）总价金额与按单价汇总金额不一致的，以单价金额计算结果为准。</w:t>
      </w:r>
    </w:p>
    <w:p w14:paraId="6059D9BF">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rPr>
        <w:t>同时出现两种以上错误的，按照前款规定的顺序修正。</w:t>
      </w:r>
    </w:p>
    <w:p w14:paraId="1CE19F5C">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rPr>
        <w:t>25.5评委会将按上述修正错误的方法调整投标文件中的投标报价，并通过苏采云系统告知投标人，调整后的价格应对投标人具有约束力。如果投标人不接受修正后的价格，则其投标将被拒绝。</w:t>
      </w:r>
    </w:p>
    <w:p w14:paraId="6F4F3D89">
      <w:pPr>
        <w:pStyle w:val="10"/>
        <w:spacing w:beforeAutospacing="0" w:afterAutospacing="0" w:line="450" w:lineRule="exact"/>
        <w:ind w:firstLine="420" w:firstLineChars="175"/>
        <w:rPr>
          <w:rFonts w:hint="eastAsia" w:ascii="宋体" w:hAnsi="宋体" w:eastAsia="宋体" w:cs="宋体"/>
        </w:rPr>
      </w:pPr>
      <w:bookmarkStart w:id="155" w:name="_Toc20823306"/>
      <w:bookmarkStart w:id="156" w:name="_Toc513029234"/>
      <w:bookmarkStart w:id="157" w:name="_Toc16938550"/>
      <w:r>
        <w:rPr>
          <w:rFonts w:hint="eastAsia" w:ascii="宋体" w:hAnsi="宋体" w:eastAsia="宋体" w:cs="宋体"/>
        </w:rPr>
        <w:t>25.6投标人在开、评标全过程中应保持通信畅通，及时登录苏采云系统查阅、答复相关信息，并安排专人与采购中心及评标委员会联系。</w:t>
      </w:r>
      <w:bookmarkEnd w:id="155"/>
      <w:bookmarkEnd w:id="156"/>
      <w:bookmarkEnd w:id="157"/>
    </w:p>
    <w:p w14:paraId="2732139B">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rPr>
        <w:t>26、无效投标条款和废标条款</w:t>
      </w:r>
    </w:p>
    <w:p w14:paraId="5C0CE5CA">
      <w:pPr>
        <w:pStyle w:val="10"/>
        <w:spacing w:beforeAutospacing="0" w:afterAutospacing="0" w:line="450" w:lineRule="exact"/>
        <w:ind w:firstLine="420" w:firstLineChars="175"/>
        <w:rPr>
          <w:rFonts w:hint="eastAsia" w:ascii="宋体" w:hAnsi="宋体" w:eastAsia="宋体" w:cs="宋体"/>
        </w:rPr>
      </w:pPr>
      <w:bookmarkStart w:id="158" w:name="_Toc20823307"/>
      <w:bookmarkStart w:id="159" w:name="_Toc513029235"/>
      <w:bookmarkStart w:id="160" w:name="_Toc16938551"/>
      <w:r>
        <w:rPr>
          <w:rFonts w:hint="eastAsia" w:ascii="宋体" w:hAnsi="宋体" w:eastAsia="宋体" w:cs="宋体"/>
        </w:rPr>
        <w:t>26.1无效投标条款</w:t>
      </w:r>
      <w:bookmarkEnd w:id="158"/>
      <w:bookmarkEnd w:id="159"/>
      <w:bookmarkEnd w:id="160"/>
    </w:p>
    <w:p w14:paraId="2711180B">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rPr>
        <w:t>26.1.1投标人在苏采云系统规定的时间内未成功解密电子投标文件的。</w:t>
      </w:r>
    </w:p>
    <w:p w14:paraId="4D232BE0">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rPr>
        <w:t>26.1.2投标人未按照招标文件要求上传电子投标文件的。</w:t>
      </w:r>
    </w:p>
    <w:p w14:paraId="2EF83C9A">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rPr>
        <w:t>26.1.3同一投标人提交两个（含两个）以上不同的投标报价的。</w:t>
      </w:r>
    </w:p>
    <w:p w14:paraId="4DD74072">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rPr>
        <w:t>26.1.4投标人不具备招标文件中规定资格要求的。</w:t>
      </w:r>
    </w:p>
    <w:p w14:paraId="65FA1ED0">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26.1.5投标人的报价超过了采购预算或最高限价的。</w:t>
      </w:r>
    </w:p>
    <w:p w14:paraId="333EC8E7">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26.1.6未通过符合性审查的。</w:t>
      </w:r>
    </w:p>
    <w:p w14:paraId="2A10E0F0">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26.1.7不符合招标文件中规定的实质性要求和条件的（</w:t>
      </w:r>
      <w:r>
        <w:rPr>
          <w:rFonts w:hint="eastAsia" w:ascii="宋体" w:hAnsi="宋体" w:eastAsia="宋体" w:cs="宋体"/>
          <w:i/>
          <w:color w:val="000000"/>
          <w:u w:val="single"/>
        </w:rPr>
        <w:t>本招标文件中斜体且有下划线部分为实质性要求和条件）。</w:t>
      </w:r>
    </w:p>
    <w:p w14:paraId="1C50397D">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09590317">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26.1.9投标文件含有采购人不能接受的附加条件的。</w:t>
      </w:r>
    </w:p>
    <w:p w14:paraId="5D37135A">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26.1.10</w:t>
      </w:r>
      <w:r>
        <w:rPr>
          <w:rFonts w:hint="eastAsia" w:ascii="宋体" w:hAnsi="宋体" w:eastAsia="宋体" w:cs="宋体"/>
        </w:rPr>
        <w:t>投标人不能证明其报价合理性的，评标委员会应当将其作为无效投标处理。</w:t>
      </w:r>
    </w:p>
    <w:p w14:paraId="19E15432">
      <w:pPr>
        <w:pStyle w:val="10"/>
        <w:spacing w:beforeAutospacing="0" w:afterAutospacing="0" w:line="450" w:lineRule="exact"/>
        <w:ind w:firstLine="422" w:firstLineChars="175"/>
        <w:rPr>
          <w:rFonts w:hint="eastAsia" w:ascii="宋体" w:hAnsi="宋体" w:eastAsia="宋体" w:cs="宋体"/>
          <w:b/>
          <w:bCs/>
        </w:rPr>
      </w:pPr>
      <w:r>
        <w:rPr>
          <w:rFonts w:hint="eastAsia" w:ascii="宋体" w:hAnsi="宋体" w:eastAsia="宋体" w:cs="宋体"/>
          <w:b/>
          <w:bCs/>
        </w:rPr>
        <w:t>（一）评审过程中出现下列情形之一的，评标委员会应当启动异常低价投标审查程序：</w:t>
      </w:r>
    </w:p>
    <w:p w14:paraId="5C7FDA2E">
      <w:pPr>
        <w:pStyle w:val="10"/>
        <w:spacing w:beforeAutospacing="0" w:afterAutospacing="0" w:line="450" w:lineRule="exact"/>
        <w:ind w:firstLine="422" w:firstLineChars="175"/>
        <w:rPr>
          <w:rFonts w:hint="eastAsia" w:ascii="宋体" w:hAnsi="宋体" w:eastAsia="宋体" w:cs="宋体"/>
          <w:b/>
          <w:bCs/>
        </w:rPr>
      </w:pPr>
      <w:r>
        <w:rPr>
          <w:rFonts w:hint="eastAsia" w:ascii="宋体" w:hAnsi="宋体" w:eastAsia="宋体" w:cs="宋体"/>
          <w:b/>
          <w:bCs/>
        </w:rPr>
        <w:t>1.投标（响应）报价低于全部通过符合性审查供应商投标（响应）报价平均值50%的，即投标（响应）报价&lt;全部通过符合性审查供应商投标（响应）报价平均值×50%；</w:t>
      </w:r>
    </w:p>
    <w:p w14:paraId="7CA318AF">
      <w:pPr>
        <w:pStyle w:val="10"/>
        <w:spacing w:beforeAutospacing="0" w:afterAutospacing="0" w:line="450" w:lineRule="exact"/>
        <w:ind w:firstLine="422" w:firstLineChars="175"/>
        <w:rPr>
          <w:rFonts w:hint="eastAsia" w:ascii="宋体" w:hAnsi="宋体" w:eastAsia="宋体" w:cs="宋体"/>
          <w:b/>
          <w:bCs/>
        </w:rPr>
      </w:pPr>
      <w:r>
        <w:rPr>
          <w:rFonts w:hint="eastAsia" w:ascii="宋体" w:hAnsi="宋体" w:eastAsia="宋体" w:cs="宋体"/>
          <w:b/>
          <w:bCs/>
        </w:rPr>
        <w:t>2.投标（响应）报价低于通过符合性审查的次低报价供应商投标（响应）报价50%的，即投标（响应）报价&lt;通过符合性审查的次低报价供应商投标（响应）报价×50%；</w:t>
      </w:r>
    </w:p>
    <w:p w14:paraId="5F058373">
      <w:pPr>
        <w:pStyle w:val="10"/>
        <w:spacing w:beforeAutospacing="0" w:afterAutospacing="0" w:line="450" w:lineRule="exact"/>
        <w:ind w:firstLine="422" w:firstLineChars="175"/>
        <w:rPr>
          <w:rFonts w:hint="eastAsia" w:ascii="宋体" w:hAnsi="宋体" w:eastAsia="宋体" w:cs="宋体"/>
          <w:b/>
          <w:bCs/>
        </w:rPr>
      </w:pPr>
      <w:r>
        <w:rPr>
          <w:rFonts w:hint="eastAsia" w:ascii="宋体" w:hAnsi="宋体" w:eastAsia="宋体" w:cs="宋体"/>
          <w:b/>
          <w:bCs/>
        </w:rPr>
        <w:t>3.投标（响应）报价低于采购项目最高限价45%的，即投标（响应）报价&lt;采购项目最高限价×45%；</w:t>
      </w:r>
    </w:p>
    <w:p w14:paraId="02D05C9C">
      <w:pPr>
        <w:pStyle w:val="10"/>
        <w:spacing w:beforeAutospacing="0" w:afterAutospacing="0" w:line="450" w:lineRule="exact"/>
        <w:ind w:firstLine="422" w:firstLineChars="175"/>
        <w:rPr>
          <w:rFonts w:hint="eastAsia" w:ascii="宋体" w:hAnsi="宋体" w:eastAsia="宋体" w:cs="宋体"/>
          <w:b/>
          <w:bCs/>
        </w:rPr>
      </w:pPr>
      <w:r>
        <w:rPr>
          <w:rFonts w:hint="eastAsia" w:ascii="宋体" w:hAnsi="宋体" w:eastAsia="宋体" w:cs="宋体"/>
          <w:b/>
          <w:bCs/>
        </w:rPr>
        <w:t>4.评审委员会基于专业判断，认为供应商报价过低，有可能影响产品质量或者不能诚信履约的其他情形。</w:t>
      </w:r>
    </w:p>
    <w:p w14:paraId="22894E0A">
      <w:pPr>
        <w:pStyle w:val="10"/>
        <w:spacing w:beforeAutospacing="0" w:afterAutospacing="0" w:line="450" w:lineRule="exact"/>
        <w:ind w:firstLine="422" w:firstLineChars="175"/>
        <w:rPr>
          <w:rFonts w:hint="eastAsia" w:ascii="宋体" w:hAnsi="宋体" w:eastAsia="宋体" w:cs="宋体"/>
          <w:b/>
          <w:bCs/>
        </w:rPr>
      </w:pPr>
      <w:r>
        <w:rPr>
          <w:rFonts w:hint="eastAsia" w:ascii="宋体" w:hAnsi="宋体" w:eastAsia="宋体" w:cs="宋体"/>
          <w:b/>
          <w:bCs/>
        </w:rPr>
        <w:t>相关法律法规对供应商报价有规定的，从其规定。</w:t>
      </w:r>
    </w:p>
    <w:p w14:paraId="21120414">
      <w:pPr>
        <w:pStyle w:val="10"/>
        <w:spacing w:beforeAutospacing="0" w:afterAutospacing="0" w:line="450" w:lineRule="exact"/>
        <w:ind w:firstLine="422" w:firstLineChars="175"/>
        <w:rPr>
          <w:rFonts w:hint="eastAsia" w:ascii="宋体" w:hAnsi="宋体" w:eastAsia="宋体" w:cs="宋体"/>
          <w:b/>
          <w:bCs/>
        </w:rPr>
      </w:pPr>
      <w:r>
        <w:rPr>
          <w:rFonts w:hint="eastAsia" w:ascii="宋体" w:hAnsi="宋体" w:eastAsia="宋体" w:cs="宋体"/>
          <w:b/>
          <w:bCs/>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B0EE327">
      <w:pPr>
        <w:pStyle w:val="10"/>
        <w:spacing w:beforeAutospacing="0" w:afterAutospacing="0" w:line="450" w:lineRule="exact"/>
        <w:ind w:firstLine="422" w:firstLineChars="175"/>
        <w:rPr>
          <w:rFonts w:hint="eastAsia" w:ascii="宋体" w:hAnsi="宋体" w:eastAsia="宋体" w:cs="宋体"/>
          <w:b/>
          <w:bCs/>
        </w:rPr>
      </w:pPr>
      <w:r>
        <w:rPr>
          <w:rFonts w:hint="eastAsia" w:ascii="宋体" w:hAnsi="宋体" w:eastAsia="宋体" w:cs="宋体"/>
          <w:b/>
          <w:bCs/>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DA24A60">
      <w:pPr>
        <w:pStyle w:val="10"/>
        <w:spacing w:beforeAutospacing="0" w:afterAutospacing="0" w:line="450" w:lineRule="exact"/>
        <w:ind w:firstLine="422" w:firstLineChars="175"/>
        <w:rPr>
          <w:rFonts w:hint="eastAsia" w:ascii="宋体" w:hAnsi="宋体" w:eastAsia="宋体" w:cs="宋体"/>
          <w:b/>
          <w:bCs/>
        </w:rPr>
      </w:pPr>
      <w:r>
        <w:rPr>
          <w:rFonts w:hint="eastAsia" w:ascii="宋体" w:hAnsi="宋体" w:eastAsia="宋体" w:cs="宋体"/>
          <w:b/>
          <w:bCs/>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4B914A36">
      <w:pPr>
        <w:pStyle w:val="10"/>
        <w:spacing w:beforeAutospacing="0" w:afterAutospacing="0" w:line="450" w:lineRule="exact"/>
        <w:ind w:firstLine="422" w:firstLineChars="175"/>
        <w:rPr>
          <w:rFonts w:hint="eastAsia" w:ascii="宋体" w:hAnsi="宋体" w:eastAsia="宋体" w:cs="宋体"/>
          <w:b/>
          <w:bCs/>
        </w:rPr>
      </w:pPr>
      <w:r>
        <w:rPr>
          <w:rFonts w:hint="eastAsia" w:ascii="宋体" w:hAnsi="宋体" w:eastAsia="宋体" w:cs="宋体"/>
          <w:b/>
          <w:bCs/>
        </w:rPr>
        <w:t>异常低价投标（响应）审查的启动原因、审查意见和审查结果应当在评审报告中记录，并随供应商提供的相关书面说明及证明材料，以及评审委员会有关互联网浏览、查询历史一并归档。</w:t>
      </w:r>
    </w:p>
    <w:p w14:paraId="095C52A9">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rPr>
        <w:t>26.1.11投标文件未按照招标文件要求加盖CA电子公章的。</w:t>
      </w:r>
    </w:p>
    <w:p w14:paraId="504E83CD">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rPr>
        <w:t>26.1.12其他法律、法规及本招标文件规定的属无效投标的情形。</w:t>
      </w:r>
    </w:p>
    <w:p w14:paraId="2868619D">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rPr>
        <w:t>26.2废标条款</w:t>
      </w:r>
    </w:p>
    <w:p w14:paraId="0A11EEA4">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rPr>
        <w:t>26.2.1符合专业条件的供应商或者对招标文件作实质响应的供应商不足三家的。</w:t>
      </w:r>
    </w:p>
    <w:p w14:paraId="6F443F40">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rPr>
        <w:t>26.2.2出现影响采购公正的违法、违规行为的。</w:t>
      </w:r>
    </w:p>
    <w:p w14:paraId="7363D8EF">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rPr>
        <w:t>26.2.3因重大变故，采购任务取消的。</w:t>
      </w:r>
    </w:p>
    <w:p w14:paraId="6FB00809">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rPr>
        <w:t>26.2.4评标委员会认定招标文件存在歧义、重大缺陷导致评审工作无法进行。</w:t>
      </w:r>
    </w:p>
    <w:p w14:paraId="412F213F">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rPr>
        <w:t>26.2.5因苏采云系统系统故障原因造成开标不成功的。</w:t>
      </w:r>
    </w:p>
    <w:p w14:paraId="335544DA">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rPr>
        <w:t>26.3投标截止时间结束后参加投标的供应商不足三家的处理：</w:t>
      </w:r>
    </w:p>
    <w:p w14:paraId="036CB41B">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26.3.1如出现投标截止时间结束后参加投标的供应商或者在评标期间对招标文件做出实质响应的供应商不足三家情况，按政府采购相关规定执行。</w:t>
      </w:r>
    </w:p>
    <w:p w14:paraId="604751A0">
      <w:pPr>
        <w:pStyle w:val="10"/>
        <w:spacing w:beforeAutospacing="0" w:afterAutospacing="0" w:line="450" w:lineRule="exact"/>
        <w:ind w:firstLine="422" w:firstLineChars="175"/>
        <w:rPr>
          <w:rFonts w:hint="eastAsia" w:ascii="宋体" w:hAnsi="宋体" w:eastAsia="宋体" w:cs="宋体"/>
        </w:rPr>
      </w:pPr>
      <w:bookmarkStart w:id="161" w:name="_Toc120614219"/>
      <w:r>
        <w:rPr>
          <w:rFonts w:hint="eastAsia" w:ascii="宋体" w:hAnsi="宋体" w:eastAsia="宋体" w:cs="宋体"/>
          <w:b/>
          <w:color w:val="000000"/>
        </w:rPr>
        <w:t>六、定标</w:t>
      </w:r>
      <w:bookmarkEnd w:id="161"/>
    </w:p>
    <w:p w14:paraId="10B2E237">
      <w:pPr>
        <w:pStyle w:val="10"/>
        <w:spacing w:beforeAutospacing="0" w:afterAutospacing="0" w:line="450" w:lineRule="exact"/>
        <w:ind w:firstLine="420" w:firstLineChars="175"/>
        <w:rPr>
          <w:rFonts w:hint="eastAsia" w:ascii="宋体" w:hAnsi="宋体" w:eastAsia="宋体" w:cs="宋体"/>
        </w:rPr>
      </w:pPr>
      <w:bookmarkStart w:id="162" w:name="_Toc20823310"/>
      <w:bookmarkStart w:id="163" w:name="_Toc513029238"/>
      <w:bookmarkStart w:id="164" w:name="_Toc16938554"/>
      <w:r>
        <w:rPr>
          <w:rFonts w:hint="eastAsia" w:ascii="宋体" w:hAnsi="宋体" w:eastAsia="宋体" w:cs="宋体"/>
          <w:color w:val="000000"/>
        </w:rPr>
        <w:t>27、</w:t>
      </w:r>
      <w:bookmarkEnd w:id="162"/>
      <w:r>
        <w:rPr>
          <w:rFonts w:hint="eastAsia" w:ascii="宋体" w:hAnsi="宋体" w:eastAsia="宋体" w:cs="宋体"/>
          <w:color w:val="000000"/>
        </w:rPr>
        <w:t>确定</w:t>
      </w:r>
      <w:bookmarkEnd w:id="163"/>
      <w:bookmarkEnd w:id="164"/>
      <w:r>
        <w:rPr>
          <w:rFonts w:hint="eastAsia" w:ascii="宋体" w:hAnsi="宋体" w:eastAsia="宋体" w:cs="宋体"/>
          <w:color w:val="000000"/>
        </w:rPr>
        <w:t>中标单位</w:t>
      </w:r>
    </w:p>
    <w:p w14:paraId="4D6C4B5B">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27.1中标候选人的选取原则和数量见招标文件第五章规定。</w:t>
      </w:r>
    </w:p>
    <w:p w14:paraId="7A5846EE">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27.2采购人应根据评委会推荐的中标候选人确定中标人。</w:t>
      </w:r>
    </w:p>
    <w:p w14:paraId="61F26D05">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27.3采购中心将在“中国政府采购网”“江苏政府采购网”“盐城市政府采购网”发布中标公告，公告期限为1个工作日。</w:t>
      </w:r>
    </w:p>
    <w:p w14:paraId="1D512D94">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27.4若有充分证据证明，中标人出现下列情况之一的，一经查实，将被取消中标资格：</w:t>
      </w:r>
    </w:p>
    <w:p w14:paraId="7F11770C">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27.4.1提供虚假材料谋取中标的。</w:t>
      </w:r>
    </w:p>
    <w:p w14:paraId="1D21BAA3">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27.4.2向采购人、采购中心行贿或者提供其他不正当利益的。</w:t>
      </w:r>
    </w:p>
    <w:p w14:paraId="21CBFF6E">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27.4.3属于本文件规定的无效条件，但在评标过程中又未被评委会发现的。</w:t>
      </w:r>
    </w:p>
    <w:p w14:paraId="58610C16">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27.4.4与采购人或者其他供应商恶意串通的。</w:t>
      </w:r>
    </w:p>
    <w:p w14:paraId="2BCCFC45">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27.4.5采取不正当手段诋毁、排挤其他供应商的。</w:t>
      </w:r>
    </w:p>
    <w:p w14:paraId="6704A717">
      <w:pPr>
        <w:pStyle w:val="10"/>
        <w:spacing w:beforeAutospacing="0" w:afterAutospacing="0" w:line="450" w:lineRule="exact"/>
        <w:ind w:firstLine="420" w:firstLineChars="175"/>
        <w:rPr>
          <w:rFonts w:hint="eastAsia" w:ascii="宋体" w:hAnsi="宋体" w:eastAsia="宋体" w:cs="宋体"/>
        </w:rPr>
      </w:pPr>
      <w:bookmarkStart w:id="165" w:name="_Toc200451960"/>
      <w:r>
        <w:rPr>
          <w:rFonts w:hint="eastAsia" w:ascii="宋体" w:hAnsi="宋体" w:eastAsia="宋体" w:cs="宋体"/>
          <w:color w:val="000000"/>
        </w:rPr>
        <w:t>27.5有下列情形之一的，视为投标人串通投标，投标无效：</w:t>
      </w:r>
      <w:bookmarkEnd w:id="165"/>
    </w:p>
    <w:p w14:paraId="287D49D2">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27.5.1不同投标人的投标文件由同一单位或者个人编制。</w:t>
      </w:r>
    </w:p>
    <w:p w14:paraId="2EB49A25">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27.5.2不同投标人委托同一单位或者个人办理投标事宜。</w:t>
      </w:r>
    </w:p>
    <w:p w14:paraId="201849D0">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27.5.3不同投标人的投标文件载明的项目管理成员或者联系人员为同一人。</w:t>
      </w:r>
    </w:p>
    <w:p w14:paraId="6AB4D655">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27.5.4不同投标人的投标文件异常一致或者投标报价呈规律性差异。</w:t>
      </w:r>
    </w:p>
    <w:p w14:paraId="6259A59F">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28、质疑处理</w:t>
      </w:r>
    </w:p>
    <w:p w14:paraId="25BB9459">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28.1提出质疑的供应商应当是参与所质疑项目采购活动的供应商。潜在供应商依法获取其可质疑的采购文件的，可以对采购文件提出质疑。</w:t>
      </w:r>
    </w:p>
    <w:p w14:paraId="12179AEC">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p>
    <w:p w14:paraId="15C39D1C">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28.2.1对可以质疑的采购文件提出质疑的，为收到采购文件之日或者采购文件公告期限届满之日；</w:t>
      </w:r>
    </w:p>
    <w:p w14:paraId="43ED929C">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28.2.2对采购过程提出质疑的，为各采购程序环节结束之日；</w:t>
      </w:r>
    </w:p>
    <w:p w14:paraId="3BF988EC">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28.2.3对中标或者成交结果提出质疑的，为中标或者成交结果公告期限届满之日。</w:t>
      </w:r>
    </w:p>
    <w:p w14:paraId="2D36BFA0">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供应商应当在法定质疑期内一次性提出针对同一采购程序环节的质疑。供应商如在法定期限内对同一采购程序环节提出多次质疑的，采购中心、采购人将只对供应商第一次质疑作出答复。</w:t>
      </w:r>
    </w:p>
    <w:p w14:paraId="7B75296D">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28.3质疑函必须按照本招标文件中《质疑函范本》要求的格式和内容进行填写。供应商如组成联合体参加投标，则《质疑函范本》中要求签字、盖章、加盖公章之处，联合体各方均须按要求签字、盖章、加盖公章。</w:t>
      </w:r>
    </w:p>
    <w:p w14:paraId="1D7A623C">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28.4</w:t>
      </w:r>
      <w:r>
        <w:rPr>
          <w:rFonts w:hint="eastAsia" w:ascii="宋体" w:hAnsi="宋体" w:eastAsia="宋体" w:cs="宋体"/>
          <w:color w:val="000000" w:themeColor="text1"/>
          <w14:textFill>
            <w14:solidFill>
              <w14:schemeClr w14:val="tx1"/>
            </w14:solidFill>
          </w14:textFill>
        </w:rPr>
        <w:t>供应商（含潜在供应商）对采购方式、采购需求、供应商资格条件及审查结果、评标方法和评标标准、合同文本的询问、质疑请向采购人提出，由采购人负责答复。</w:t>
      </w:r>
      <w:r>
        <w:rPr>
          <w:rFonts w:hint="eastAsia" w:ascii="宋体" w:hAnsi="宋体" w:eastAsia="宋体" w:cs="宋体"/>
          <w:color w:val="000000"/>
        </w:rPr>
        <w:t>供应商对除上述事项以外其他事项的询问、质疑请向采购中心提出，由采购中心负责答复。</w:t>
      </w:r>
    </w:p>
    <w:p w14:paraId="700622FC">
      <w:pPr>
        <w:tabs>
          <w:tab w:val="left" w:pos="1331"/>
        </w:tabs>
        <w:spacing w:line="450" w:lineRule="exact"/>
        <w:ind w:firstLine="420" w:firstLineChars="175"/>
        <w:jc w:val="left"/>
        <w:rPr>
          <w:rFonts w:hint="eastAsia" w:ascii="宋体" w:hAnsi="宋体" w:eastAsia="宋体" w:cs="宋体"/>
          <w:color w:val="000000"/>
          <w:kern w:val="0"/>
          <w:sz w:val="24"/>
        </w:rPr>
      </w:pPr>
      <w:r>
        <w:rPr>
          <w:rFonts w:hint="eastAsia" w:ascii="宋体" w:hAnsi="宋体" w:eastAsia="宋体" w:cs="宋体"/>
          <w:color w:val="000000"/>
          <w:kern w:val="0"/>
          <w:sz w:val="24"/>
        </w:rPr>
        <w:t>采购中心及采购人只接收以纸质原件形式送达的质疑,采购人和采购中心不接受未填写快递运单的快件。</w:t>
      </w:r>
    </w:p>
    <w:p w14:paraId="0E36D6E2">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28.5以下情形的质疑不予受理</w:t>
      </w:r>
    </w:p>
    <w:p w14:paraId="681CE759">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28.5.1内容不符合《政府采购质疑和投诉办法》第十二条规定的质疑。</w:t>
      </w:r>
    </w:p>
    <w:p w14:paraId="6726F4DE">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28.5.2超出政府采购法定期限的质疑。</w:t>
      </w:r>
    </w:p>
    <w:p w14:paraId="52AE79B2">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28.5.3以传真、电子邮件等方式递交的非原件形式的质疑。</w:t>
      </w:r>
    </w:p>
    <w:p w14:paraId="4B83051F">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28.5.4未参加投标活动的供应商或在投标活动中自身权益未受到损害的供应商所提出的质疑。</w:t>
      </w:r>
    </w:p>
    <w:p w14:paraId="6F8E173F">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28.5.5供应商组成联合体参加投标，联合体中任何一方或多方未按要求签字、盖章、加盖公章的质疑。</w:t>
      </w:r>
    </w:p>
    <w:p w14:paraId="6240FD20">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p>
    <w:p w14:paraId="7BB63155">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29、中标通知书</w:t>
      </w:r>
    </w:p>
    <w:p w14:paraId="076F5302">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29.l中标结果确定后，采购中心将向中标人发</w:t>
      </w:r>
      <w:r>
        <w:rPr>
          <w:rFonts w:hint="eastAsia" w:ascii="宋体" w:hAnsi="宋体" w:eastAsia="宋体" w:cs="宋体"/>
        </w:rPr>
        <w:t>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5A4D7154">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rPr>
        <w:t>29.2中标通知书将是合同的一个组成部分。对采购人和中标人均具有法律</w:t>
      </w:r>
      <w:r>
        <w:rPr>
          <w:rFonts w:hint="eastAsia" w:ascii="宋体" w:hAnsi="宋体" w:eastAsia="宋体" w:cs="宋体"/>
          <w:color w:val="000000"/>
        </w:rPr>
        <w:t>效力。中标通知书发出后，采购人改变中标结果的，或者中标人放弃中标项目的，应当依法承担法律责任。</w:t>
      </w:r>
    </w:p>
    <w:p w14:paraId="0F2B72FE">
      <w:pPr>
        <w:pStyle w:val="10"/>
        <w:spacing w:beforeAutospacing="0" w:afterAutospacing="0" w:line="450" w:lineRule="exact"/>
        <w:ind w:firstLine="422" w:firstLineChars="175"/>
        <w:rPr>
          <w:rFonts w:hint="eastAsia" w:ascii="宋体" w:hAnsi="宋体" w:eastAsia="宋体" w:cs="宋体"/>
        </w:rPr>
      </w:pPr>
      <w:bookmarkStart w:id="166" w:name="_Toc16938552"/>
      <w:bookmarkStart w:id="167" w:name="_Toc513029236"/>
      <w:bookmarkStart w:id="168" w:name="_Toc20823308"/>
      <w:bookmarkStart w:id="169" w:name="_Toc120614220"/>
      <w:r>
        <w:rPr>
          <w:rFonts w:hint="eastAsia" w:ascii="宋体" w:hAnsi="宋体" w:eastAsia="宋体" w:cs="宋体"/>
          <w:b/>
          <w:color w:val="000000"/>
        </w:rPr>
        <w:t>七、授予合同</w:t>
      </w:r>
      <w:bookmarkEnd w:id="166"/>
      <w:bookmarkEnd w:id="167"/>
      <w:bookmarkEnd w:id="168"/>
      <w:bookmarkEnd w:id="169"/>
    </w:p>
    <w:p w14:paraId="721ECF2B">
      <w:pPr>
        <w:pStyle w:val="10"/>
        <w:spacing w:beforeAutospacing="0" w:afterAutospacing="0" w:line="450" w:lineRule="exact"/>
        <w:ind w:firstLine="420" w:firstLineChars="175"/>
        <w:rPr>
          <w:rFonts w:hint="eastAsia" w:ascii="宋体" w:hAnsi="宋体" w:eastAsia="宋体" w:cs="宋体"/>
        </w:rPr>
      </w:pPr>
      <w:bookmarkStart w:id="170" w:name="_Toc16938553"/>
      <w:bookmarkStart w:id="171" w:name="_Toc513029237"/>
      <w:bookmarkStart w:id="172" w:name="_Toc20823309"/>
      <w:r>
        <w:rPr>
          <w:rFonts w:hint="eastAsia" w:ascii="宋体" w:hAnsi="宋体" w:eastAsia="宋体" w:cs="宋体"/>
          <w:color w:val="000000"/>
        </w:rPr>
        <w:t>30.签订合同</w:t>
      </w:r>
      <w:bookmarkEnd w:id="170"/>
      <w:bookmarkEnd w:id="171"/>
      <w:bookmarkEnd w:id="172"/>
    </w:p>
    <w:p w14:paraId="028CDC4D">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30.l中标人应当在中标通知书发出之日起三十日内，按照招标文件确定的事项与采购人签订政府采购合同。</w:t>
      </w:r>
    </w:p>
    <w:p w14:paraId="2CED9525">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30.2招标文件、中标人的投标文件及招标过程中有关澄清、承诺文件均应作为合同附件。</w:t>
      </w:r>
    </w:p>
    <w:p w14:paraId="5FB50499">
      <w:pPr>
        <w:pStyle w:val="10"/>
        <w:spacing w:beforeAutospacing="0" w:afterAutospacing="0" w:line="450" w:lineRule="exact"/>
        <w:ind w:firstLine="420" w:firstLineChars="175"/>
        <w:rPr>
          <w:rFonts w:hint="eastAsia" w:ascii="宋体" w:hAnsi="宋体" w:eastAsia="宋体" w:cs="宋体"/>
          <w:color w:val="000000"/>
        </w:rPr>
      </w:pPr>
      <w:r>
        <w:rPr>
          <w:rFonts w:hint="eastAsia" w:ascii="宋体" w:hAnsi="宋体" w:eastAsia="宋体" w:cs="宋体"/>
          <w:color w:val="000000"/>
        </w:rPr>
        <w:t>30.3签订合同后，</w:t>
      </w:r>
      <w:r>
        <w:rPr>
          <w:rFonts w:hint="eastAsia" w:ascii="宋体" w:hAnsi="宋体" w:eastAsia="宋体" w:cs="宋体"/>
          <w:i/>
          <w:color w:val="000000"/>
          <w:u w:val="single"/>
        </w:rPr>
        <w:t>中标人不得将合同标的进行转包</w:t>
      </w:r>
      <w:r>
        <w:rPr>
          <w:rFonts w:hint="eastAsia" w:ascii="宋体" w:hAnsi="宋体" w:eastAsia="宋体" w:cs="宋体"/>
          <w:color w:val="000000"/>
        </w:rPr>
        <w:t>。未经采购人同意，中标人也不得采用分包的形式履行合同，否则采购人有权终止合同。转包或分包造成采购人损失的，中标人应承担相应赔偿责任。</w:t>
      </w:r>
    </w:p>
    <w:p w14:paraId="133CE13F">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31、服务（包含与服务相关的货物）的追加</w:t>
      </w:r>
    </w:p>
    <w:p w14:paraId="725C4263">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369C2E46">
      <w:pPr>
        <w:pStyle w:val="10"/>
        <w:spacing w:beforeAutospacing="0" w:afterAutospacing="0" w:line="450" w:lineRule="exact"/>
        <w:ind w:firstLine="420" w:firstLineChars="175"/>
        <w:rPr>
          <w:rFonts w:hint="eastAsia" w:ascii="宋体" w:hAnsi="宋体" w:eastAsia="宋体" w:cs="宋体"/>
          <w:color w:val="000000"/>
        </w:rPr>
      </w:pPr>
      <w:r>
        <w:rPr>
          <w:rFonts w:hint="eastAsia" w:ascii="宋体" w:hAnsi="宋体" w:eastAsia="宋体" w:cs="宋体"/>
          <w:color w:val="000000"/>
        </w:rPr>
        <w:t>32.政府采购政策功能落实</w:t>
      </w:r>
    </w:p>
    <w:p w14:paraId="465E00AA">
      <w:pPr>
        <w:pStyle w:val="10"/>
        <w:spacing w:beforeAutospacing="0" w:afterAutospacing="0" w:line="450" w:lineRule="exact"/>
        <w:ind w:firstLine="420" w:firstLineChars="175"/>
        <w:rPr>
          <w:rFonts w:hint="eastAsia" w:ascii="宋体" w:hAnsi="宋体" w:eastAsia="宋体" w:cs="宋体"/>
          <w:color w:val="000000"/>
        </w:rPr>
      </w:pPr>
      <w:r>
        <w:rPr>
          <w:rFonts w:hint="eastAsia" w:ascii="宋体" w:hAnsi="宋体" w:eastAsia="宋体" w:cs="宋体"/>
          <w:color w:val="000000"/>
        </w:rPr>
        <w:t>32.1政府采购线上合同信用融资政策</w:t>
      </w:r>
    </w:p>
    <w:p w14:paraId="6DE05C4E">
      <w:pPr>
        <w:pStyle w:val="10"/>
        <w:spacing w:beforeAutospacing="0" w:afterAutospacing="0" w:line="450" w:lineRule="exact"/>
        <w:ind w:firstLine="420" w:firstLineChars="175"/>
        <w:rPr>
          <w:rFonts w:hint="eastAsia" w:ascii="宋体" w:hAnsi="宋体" w:eastAsia="宋体" w:cs="宋体"/>
          <w:color w:val="000000"/>
        </w:rPr>
      </w:pPr>
      <w:r>
        <w:rPr>
          <w:rFonts w:hint="eastAsia" w:ascii="宋体" w:hAnsi="宋体" w:eastAsia="宋体" w:cs="宋体"/>
          <w:color w:val="000000"/>
        </w:rPr>
        <w:t>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14:paraId="1FA02BB2">
      <w:pPr>
        <w:tabs>
          <w:tab w:val="left" w:pos="1381"/>
        </w:tabs>
        <w:spacing w:line="450" w:lineRule="exact"/>
        <w:ind w:firstLine="420" w:firstLineChars="175"/>
        <w:jc w:val="left"/>
        <w:rPr>
          <w:rFonts w:hint="eastAsia" w:ascii="宋体" w:hAnsi="宋体" w:eastAsia="宋体" w:cs="宋体"/>
          <w:color w:val="000000"/>
          <w:kern w:val="0"/>
          <w:sz w:val="24"/>
        </w:rPr>
      </w:pPr>
      <w:r>
        <w:rPr>
          <w:rFonts w:hint="eastAsia" w:ascii="宋体" w:hAnsi="宋体" w:eastAsia="宋体" w:cs="宋体"/>
          <w:color w:val="000000"/>
          <w:kern w:val="0"/>
          <w:sz w:val="24"/>
        </w:rPr>
        <w:t>32.2进口产品</w:t>
      </w:r>
    </w:p>
    <w:p w14:paraId="1FCB915B">
      <w:pPr>
        <w:pStyle w:val="10"/>
        <w:spacing w:beforeAutospacing="0" w:afterAutospacing="0" w:line="450" w:lineRule="exact"/>
        <w:ind w:firstLine="420" w:firstLineChars="175"/>
        <w:rPr>
          <w:rFonts w:hint="eastAsia" w:ascii="宋体" w:hAnsi="宋体" w:eastAsia="宋体" w:cs="宋体"/>
          <w:color w:val="000000"/>
        </w:rPr>
      </w:pPr>
      <w:r>
        <w:rPr>
          <w:rFonts w:hint="eastAsia" w:ascii="宋体" w:hAnsi="宋体" w:eastAsia="宋体" w:cs="宋体"/>
          <w:color w:val="000000"/>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2FAF7896">
      <w:pPr>
        <w:tabs>
          <w:tab w:val="left" w:pos="1381"/>
        </w:tabs>
        <w:spacing w:line="450" w:lineRule="exact"/>
        <w:ind w:firstLine="420" w:firstLineChars="175"/>
        <w:jc w:val="left"/>
        <w:rPr>
          <w:rFonts w:hint="eastAsia" w:ascii="宋体" w:hAnsi="宋体" w:eastAsia="宋体" w:cs="宋体"/>
          <w:color w:val="000000"/>
          <w:kern w:val="0"/>
          <w:sz w:val="24"/>
        </w:rPr>
      </w:pPr>
      <w:r>
        <w:rPr>
          <w:rFonts w:hint="eastAsia" w:ascii="宋体" w:hAnsi="宋体" w:eastAsia="宋体" w:cs="宋体"/>
          <w:color w:val="000000"/>
          <w:kern w:val="0"/>
          <w:sz w:val="24"/>
        </w:rPr>
        <w:t>32.3中小企业、监狱企业及残疾人福利性单位</w:t>
      </w:r>
    </w:p>
    <w:p w14:paraId="6CC8198B">
      <w:pPr>
        <w:pStyle w:val="10"/>
        <w:spacing w:beforeAutospacing="0" w:afterAutospacing="0" w:line="450" w:lineRule="exact"/>
        <w:ind w:firstLine="420" w:firstLineChars="175"/>
        <w:rPr>
          <w:rFonts w:hint="eastAsia" w:ascii="宋体" w:hAnsi="宋体" w:eastAsia="宋体" w:cs="宋体"/>
          <w:color w:val="000000"/>
        </w:rPr>
      </w:pPr>
      <w:r>
        <w:rPr>
          <w:rFonts w:hint="eastAsia" w:ascii="宋体" w:hAnsi="宋体" w:eastAsia="宋体" w:cs="宋体"/>
          <w:color w:val="000000"/>
        </w:rPr>
        <w:t>32.3.1中小企业定义：</w:t>
      </w:r>
    </w:p>
    <w:p w14:paraId="735182E5">
      <w:pPr>
        <w:pStyle w:val="10"/>
        <w:spacing w:beforeAutospacing="0" w:afterAutospacing="0" w:line="450" w:lineRule="exact"/>
        <w:ind w:firstLine="420" w:firstLineChars="175"/>
        <w:rPr>
          <w:rFonts w:hint="eastAsia" w:ascii="宋体" w:hAnsi="宋体" w:eastAsia="宋体" w:cs="宋体"/>
          <w:color w:val="000000"/>
        </w:rPr>
      </w:pPr>
      <w:r>
        <w:rPr>
          <w:rFonts w:hint="eastAsia" w:ascii="宋体" w:hAnsi="宋体" w:eastAsia="宋体" w:cs="宋体"/>
          <w:color w:val="000000"/>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p>
    <w:p w14:paraId="79AA35A1">
      <w:pPr>
        <w:pStyle w:val="10"/>
        <w:spacing w:beforeAutospacing="0" w:afterAutospacing="0" w:line="450" w:lineRule="exact"/>
        <w:ind w:firstLine="420" w:firstLineChars="175"/>
        <w:rPr>
          <w:rFonts w:hint="eastAsia" w:ascii="宋体" w:hAnsi="宋体" w:eastAsia="宋体" w:cs="宋体"/>
          <w:color w:val="000000"/>
        </w:rPr>
      </w:pPr>
      <w:r>
        <w:rPr>
          <w:rFonts w:hint="eastAsia" w:ascii="宋体" w:hAnsi="宋体" w:eastAsia="宋体" w:cs="宋体"/>
          <w:color w:val="000000"/>
        </w:rPr>
        <w:t>32.3.2供应商提供的货物、工程或者服务符合下列情形的，享受中小企业扶持政策：</w:t>
      </w:r>
    </w:p>
    <w:p w14:paraId="7D20A5D2">
      <w:pPr>
        <w:pStyle w:val="10"/>
        <w:spacing w:beforeAutospacing="0" w:afterAutospacing="0" w:line="450" w:lineRule="exact"/>
        <w:ind w:firstLine="420" w:firstLineChars="175"/>
        <w:rPr>
          <w:rFonts w:hint="eastAsia" w:ascii="宋体" w:hAnsi="宋体" w:eastAsia="宋体" w:cs="宋体"/>
          <w:color w:val="000000"/>
        </w:rPr>
      </w:pPr>
      <w:r>
        <w:rPr>
          <w:rFonts w:hint="eastAsia" w:ascii="宋体" w:hAnsi="宋体" w:eastAsia="宋体" w:cs="宋体"/>
          <w:color w:val="000000"/>
        </w:rPr>
        <w:t>32.3.2.1在货物采购项目中，货物由中小企业制造，即货物由中小企业生产且使用该中小企业商号或者注册商标；</w:t>
      </w:r>
    </w:p>
    <w:p w14:paraId="2264BD55">
      <w:pPr>
        <w:pStyle w:val="10"/>
        <w:spacing w:beforeAutospacing="0" w:afterAutospacing="0" w:line="450" w:lineRule="exact"/>
        <w:ind w:firstLine="420" w:firstLineChars="175"/>
        <w:rPr>
          <w:rFonts w:hint="eastAsia" w:ascii="宋体" w:hAnsi="宋体" w:eastAsia="宋体" w:cs="宋体"/>
          <w:color w:val="000000"/>
        </w:rPr>
      </w:pPr>
      <w:r>
        <w:rPr>
          <w:rFonts w:hint="eastAsia" w:ascii="宋体" w:hAnsi="宋体" w:eastAsia="宋体" w:cs="宋体"/>
          <w:color w:val="000000"/>
        </w:rPr>
        <w:t>32.3.2.2在工程采购项目中，工程由中小企业承建，即工程施工单位为中小企业；</w:t>
      </w:r>
    </w:p>
    <w:p w14:paraId="679C22E6">
      <w:pPr>
        <w:pStyle w:val="10"/>
        <w:spacing w:beforeAutospacing="0" w:afterAutospacing="0" w:line="450" w:lineRule="exact"/>
        <w:ind w:firstLine="420" w:firstLineChars="175"/>
        <w:rPr>
          <w:rFonts w:hint="eastAsia" w:ascii="宋体" w:hAnsi="宋体" w:eastAsia="宋体" w:cs="宋体"/>
          <w:color w:val="000000"/>
        </w:rPr>
      </w:pPr>
      <w:r>
        <w:rPr>
          <w:rFonts w:hint="eastAsia" w:ascii="宋体" w:hAnsi="宋体" w:eastAsia="宋体" w:cs="宋体"/>
          <w:color w:val="000000"/>
        </w:rPr>
        <w:t>32.3.2.3在服务采购项目中，服务由中小企业承接，即提供服务的人员为中小企业依照《中华人民共和国劳动合同法》订立劳动合同的从业人员。</w:t>
      </w:r>
    </w:p>
    <w:p w14:paraId="53ABB26A">
      <w:pPr>
        <w:pStyle w:val="10"/>
        <w:spacing w:beforeAutospacing="0" w:afterAutospacing="0" w:line="450" w:lineRule="exact"/>
        <w:ind w:firstLine="420" w:firstLineChars="175"/>
        <w:rPr>
          <w:rFonts w:hint="eastAsia" w:ascii="宋体" w:hAnsi="宋体" w:eastAsia="宋体" w:cs="宋体"/>
          <w:color w:val="000000"/>
        </w:rPr>
      </w:pPr>
      <w:r>
        <w:rPr>
          <w:rFonts w:hint="eastAsia" w:ascii="宋体" w:hAnsi="宋体" w:eastAsia="宋体" w:cs="宋体"/>
          <w:color w:val="000000"/>
        </w:rPr>
        <w:t>32.3.3在货物采购项目中，供应商提供的货物既有中小企业制造货物，也有大型企业制造货物的，不享受中小企业扶持政策。</w:t>
      </w:r>
    </w:p>
    <w:p w14:paraId="336222B6">
      <w:pPr>
        <w:pStyle w:val="10"/>
        <w:spacing w:beforeAutospacing="0" w:afterAutospacing="0" w:line="450" w:lineRule="exact"/>
        <w:ind w:firstLine="420" w:firstLineChars="175"/>
        <w:rPr>
          <w:rFonts w:hint="eastAsia" w:ascii="宋体" w:hAnsi="宋体" w:eastAsia="宋体" w:cs="宋体"/>
          <w:color w:val="000000"/>
        </w:rPr>
      </w:pPr>
      <w:r>
        <w:rPr>
          <w:rFonts w:hint="eastAsia" w:ascii="宋体" w:hAnsi="宋体" w:eastAsia="宋体" w:cs="宋体"/>
          <w:color w:val="000000"/>
        </w:rPr>
        <w:t>32.3.4以联合体形式参加政府采购活动，联合体各方均为中小企业的，联合体视同中小企业。其中，联合体各方均为小微企业的，联合体视同小微企业。</w:t>
      </w:r>
    </w:p>
    <w:p w14:paraId="54E4C704">
      <w:pPr>
        <w:pStyle w:val="10"/>
        <w:spacing w:beforeAutospacing="0" w:afterAutospacing="0" w:line="450" w:lineRule="exact"/>
        <w:ind w:firstLine="420" w:firstLineChars="175"/>
        <w:rPr>
          <w:rFonts w:hint="eastAsia" w:ascii="宋体" w:hAnsi="宋体" w:eastAsia="宋体" w:cs="宋体"/>
          <w:color w:val="000000"/>
        </w:rPr>
      </w:pPr>
      <w:r>
        <w:rPr>
          <w:rFonts w:hint="eastAsia" w:ascii="宋体" w:hAnsi="宋体" w:eastAsia="宋体" w:cs="宋体"/>
          <w:color w:val="000000"/>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63FDBC3">
      <w:pPr>
        <w:pStyle w:val="10"/>
        <w:spacing w:beforeAutospacing="0" w:afterAutospacing="0" w:line="450" w:lineRule="exact"/>
        <w:ind w:firstLine="420" w:firstLineChars="175"/>
        <w:rPr>
          <w:rFonts w:hint="eastAsia" w:ascii="宋体" w:hAnsi="宋体" w:eastAsia="宋体" w:cs="宋体"/>
          <w:color w:val="000000"/>
        </w:rPr>
      </w:pPr>
      <w:r>
        <w:rPr>
          <w:rFonts w:hint="eastAsia" w:ascii="宋体" w:hAnsi="宋体" w:eastAsia="宋体" w:cs="宋体"/>
          <w:color w:val="000000"/>
        </w:rPr>
        <w:t>32.3.6残疾人福利单位定义：享受政府采购支持政策的残疾人福利性单位应当同时满足以下条件：</w:t>
      </w:r>
    </w:p>
    <w:p w14:paraId="7E5541F3">
      <w:pPr>
        <w:pStyle w:val="10"/>
        <w:spacing w:beforeAutospacing="0" w:afterAutospacing="0" w:line="450" w:lineRule="exact"/>
        <w:ind w:firstLine="420" w:firstLineChars="175"/>
        <w:rPr>
          <w:rFonts w:hint="eastAsia" w:ascii="宋体" w:hAnsi="宋体" w:eastAsia="宋体" w:cs="宋体"/>
          <w:color w:val="000000"/>
        </w:rPr>
      </w:pPr>
      <w:r>
        <w:rPr>
          <w:rFonts w:hint="eastAsia" w:ascii="宋体" w:hAnsi="宋体" w:eastAsia="宋体" w:cs="宋体"/>
          <w:color w:val="000000"/>
        </w:rPr>
        <w:t>32.3.6.1安置的残疾人占本单位在职职工人数的比例不低于25%（含25%），并且安置的残疾人人数不少于10人（含10人）；</w:t>
      </w:r>
    </w:p>
    <w:p w14:paraId="28C3C101">
      <w:pPr>
        <w:pStyle w:val="10"/>
        <w:spacing w:beforeAutospacing="0" w:afterAutospacing="0" w:line="450" w:lineRule="exact"/>
        <w:ind w:firstLine="420" w:firstLineChars="175"/>
        <w:rPr>
          <w:rFonts w:hint="eastAsia" w:ascii="宋体" w:hAnsi="宋体" w:eastAsia="宋体" w:cs="宋体"/>
          <w:color w:val="000000"/>
        </w:rPr>
      </w:pPr>
      <w:r>
        <w:rPr>
          <w:rFonts w:hint="eastAsia" w:ascii="宋体" w:hAnsi="宋体" w:eastAsia="宋体" w:cs="宋体"/>
          <w:color w:val="000000"/>
        </w:rPr>
        <w:t>32.3.6.2依法与安置的每位残疾人签订了一年以上（含一年）的劳动合同或服务协议；</w:t>
      </w:r>
    </w:p>
    <w:p w14:paraId="75FFF148">
      <w:pPr>
        <w:pStyle w:val="10"/>
        <w:spacing w:beforeAutospacing="0" w:afterAutospacing="0" w:line="450" w:lineRule="exact"/>
        <w:ind w:firstLine="420" w:firstLineChars="175"/>
        <w:rPr>
          <w:rFonts w:hint="eastAsia" w:ascii="宋体" w:hAnsi="宋体" w:eastAsia="宋体" w:cs="宋体"/>
          <w:color w:val="000000"/>
        </w:rPr>
      </w:pPr>
      <w:r>
        <w:rPr>
          <w:rFonts w:hint="eastAsia" w:ascii="宋体" w:hAnsi="宋体" w:eastAsia="宋体" w:cs="宋体"/>
          <w:color w:val="000000"/>
        </w:rPr>
        <w:t>32.3.6.3为安置的每位残疾人按月足额缴纳了基本养老保险、基本医疗保险、失业保险、工伤保险和生育保险等社会保险费；</w:t>
      </w:r>
    </w:p>
    <w:p w14:paraId="7DD98769">
      <w:pPr>
        <w:pStyle w:val="10"/>
        <w:spacing w:beforeAutospacing="0" w:afterAutospacing="0" w:line="450" w:lineRule="exact"/>
        <w:ind w:firstLine="420" w:firstLineChars="175"/>
        <w:rPr>
          <w:rFonts w:hint="eastAsia" w:ascii="宋体" w:hAnsi="宋体" w:eastAsia="宋体" w:cs="宋体"/>
          <w:color w:val="000000"/>
        </w:rPr>
      </w:pPr>
      <w:r>
        <w:rPr>
          <w:rFonts w:hint="eastAsia" w:ascii="宋体" w:hAnsi="宋体" w:eastAsia="宋体" w:cs="宋体"/>
          <w:color w:val="000000"/>
        </w:rPr>
        <w:t>32.3.6.4通过银行等金融机构向安置的每位残疾人，按月支付了不低于单位所在区县适用的经省级人民政府批准的月最低工资标准的工资；</w:t>
      </w:r>
    </w:p>
    <w:p w14:paraId="6A41163C">
      <w:pPr>
        <w:pStyle w:val="10"/>
        <w:spacing w:beforeAutospacing="0" w:afterAutospacing="0" w:line="450" w:lineRule="exact"/>
        <w:ind w:firstLine="420" w:firstLineChars="175"/>
        <w:rPr>
          <w:rFonts w:hint="eastAsia" w:ascii="宋体" w:hAnsi="宋体" w:eastAsia="宋体" w:cs="宋体"/>
          <w:color w:val="000000"/>
        </w:rPr>
      </w:pPr>
      <w:r>
        <w:rPr>
          <w:rFonts w:hint="eastAsia" w:ascii="宋体" w:hAnsi="宋体" w:eastAsia="宋体" w:cs="宋体"/>
          <w:color w:val="000000"/>
        </w:rPr>
        <w:t>32.3.6.5提供本单位制造的货物、承担的工程或者服务（以下简称产品），或者提供其他残疾人福利性单位制造的货物（不包括使用非残疾人福利性单位注册商标的货物）；</w:t>
      </w:r>
    </w:p>
    <w:p w14:paraId="7206BB94">
      <w:pPr>
        <w:pStyle w:val="10"/>
        <w:spacing w:beforeAutospacing="0" w:afterAutospacing="0" w:line="450" w:lineRule="exact"/>
        <w:ind w:firstLine="420" w:firstLineChars="175"/>
        <w:rPr>
          <w:rFonts w:hint="eastAsia" w:ascii="宋体" w:hAnsi="宋体" w:eastAsia="宋体" w:cs="宋体"/>
          <w:color w:val="000000"/>
        </w:rPr>
      </w:pPr>
      <w:r>
        <w:rPr>
          <w:rFonts w:hint="eastAsia" w:ascii="宋体" w:hAnsi="宋体" w:eastAsia="宋体" w:cs="宋体"/>
          <w:color w:val="000000"/>
        </w:rPr>
        <w:t>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7409F9B5">
      <w:pPr>
        <w:pStyle w:val="10"/>
        <w:spacing w:beforeAutospacing="0" w:afterAutospacing="0" w:line="450" w:lineRule="exact"/>
        <w:ind w:firstLine="420" w:firstLineChars="175"/>
        <w:rPr>
          <w:rFonts w:hint="eastAsia" w:ascii="宋体" w:hAnsi="宋体" w:eastAsia="宋体" w:cs="宋体"/>
          <w:color w:val="000000"/>
        </w:rPr>
      </w:pPr>
      <w:r>
        <w:rPr>
          <w:rFonts w:hint="eastAsia" w:ascii="宋体" w:hAnsi="宋体" w:eastAsia="宋体" w:cs="宋体"/>
          <w:color w:val="000000"/>
        </w:rPr>
        <w:t>32.3.7本项目是否专门面向中小企业预留采购份额见第一章《</w:t>
      </w:r>
      <w:r>
        <w:rPr>
          <w:rFonts w:hint="eastAsia" w:ascii="宋体" w:hAnsi="宋体" w:eastAsia="宋体" w:cs="宋体"/>
        </w:rPr>
        <w:t>招标公告</w:t>
      </w:r>
      <w:r>
        <w:rPr>
          <w:rFonts w:hint="eastAsia" w:ascii="宋体" w:hAnsi="宋体" w:eastAsia="宋体" w:cs="宋体"/>
          <w:color w:val="000000"/>
        </w:rPr>
        <w:t>》。</w:t>
      </w:r>
    </w:p>
    <w:p w14:paraId="05D40310">
      <w:pPr>
        <w:pStyle w:val="10"/>
        <w:spacing w:beforeAutospacing="0" w:afterAutospacing="0" w:line="450" w:lineRule="exact"/>
        <w:ind w:firstLine="420" w:firstLineChars="175"/>
        <w:rPr>
          <w:rFonts w:hint="eastAsia" w:ascii="宋体" w:hAnsi="宋体" w:eastAsia="宋体" w:cs="宋体"/>
          <w:color w:val="000000"/>
        </w:rPr>
      </w:pPr>
      <w:r>
        <w:rPr>
          <w:rFonts w:hint="eastAsia" w:ascii="宋体" w:hAnsi="宋体" w:eastAsia="宋体" w:cs="宋体"/>
          <w:color w:val="000000"/>
        </w:rPr>
        <w:t>32.3.8采购标的对应的中小企业划分标准所属行业为</w:t>
      </w:r>
      <w:r>
        <w:rPr>
          <w:rFonts w:hint="eastAsia" w:ascii="宋体" w:hAnsi="宋体" w:eastAsia="宋体" w:cs="宋体"/>
          <w:b/>
          <w:bCs/>
          <w:color w:val="000000"/>
          <w:u w:val="single"/>
        </w:rPr>
        <w:t>其他未列明行业</w:t>
      </w:r>
      <w:r>
        <w:rPr>
          <w:rFonts w:hint="eastAsia" w:ascii="宋体" w:hAnsi="宋体" w:eastAsia="宋体" w:cs="宋体"/>
          <w:color w:val="000000"/>
        </w:rPr>
        <w:t>。</w:t>
      </w:r>
    </w:p>
    <w:p w14:paraId="5B03F588">
      <w:pPr>
        <w:pStyle w:val="10"/>
        <w:spacing w:beforeAutospacing="0" w:afterAutospacing="0" w:line="450" w:lineRule="exact"/>
        <w:ind w:firstLine="420" w:firstLineChars="175"/>
        <w:rPr>
          <w:rFonts w:hint="eastAsia" w:ascii="宋体" w:hAnsi="宋体" w:eastAsia="宋体" w:cs="宋体"/>
          <w:color w:val="000000"/>
        </w:rPr>
      </w:pPr>
      <w:r>
        <w:rPr>
          <w:rFonts w:hint="eastAsia" w:ascii="宋体" w:hAnsi="宋体" w:eastAsia="宋体" w:cs="宋体"/>
          <w:color w:val="000000"/>
        </w:rPr>
        <w:t>32.3.9小微企业价格评审优惠的政策：见第五章《评标方法和评标标准》。</w:t>
      </w:r>
    </w:p>
    <w:p w14:paraId="2FDC5B5B">
      <w:pPr>
        <w:pStyle w:val="10"/>
        <w:spacing w:beforeAutospacing="0" w:afterAutospacing="0" w:line="450" w:lineRule="exact"/>
        <w:ind w:firstLine="420" w:firstLineChars="175"/>
        <w:rPr>
          <w:rFonts w:hint="eastAsia" w:ascii="宋体" w:hAnsi="宋体" w:eastAsia="宋体" w:cs="宋体"/>
          <w:color w:val="000000"/>
        </w:rPr>
      </w:pPr>
      <w:r>
        <w:rPr>
          <w:rFonts w:hint="eastAsia" w:ascii="宋体" w:hAnsi="宋体" w:eastAsia="宋体" w:cs="宋体"/>
          <w:color w:val="000000"/>
        </w:rPr>
        <w:t>32.4政府采购节能产品、环境标志产品</w:t>
      </w:r>
    </w:p>
    <w:p w14:paraId="13513E04">
      <w:pPr>
        <w:pStyle w:val="10"/>
        <w:spacing w:beforeAutospacing="0" w:afterAutospacing="0" w:line="450" w:lineRule="exact"/>
        <w:ind w:firstLine="420" w:firstLineChars="175"/>
        <w:rPr>
          <w:rFonts w:hint="eastAsia" w:ascii="宋体" w:hAnsi="宋体" w:eastAsia="宋体" w:cs="宋体"/>
          <w:color w:val="000000"/>
        </w:rPr>
      </w:pPr>
      <w:r>
        <w:rPr>
          <w:rFonts w:hint="eastAsia" w:ascii="宋体" w:hAnsi="宋体" w:eastAsia="宋体" w:cs="宋体"/>
          <w:color w:val="000000"/>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12D68EDB">
      <w:pPr>
        <w:pStyle w:val="10"/>
        <w:spacing w:beforeAutospacing="0" w:afterAutospacing="0" w:line="450" w:lineRule="exact"/>
        <w:ind w:firstLine="420" w:firstLineChars="175"/>
        <w:rPr>
          <w:rFonts w:hint="eastAsia" w:ascii="宋体" w:hAnsi="宋体" w:eastAsia="宋体" w:cs="宋体"/>
          <w:color w:val="000000"/>
        </w:rPr>
      </w:pPr>
      <w:r>
        <w:rPr>
          <w:rFonts w:hint="eastAsia" w:ascii="宋体" w:hAnsi="宋体" w:eastAsia="宋体" w:cs="宋体"/>
          <w:color w:val="000000"/>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6F9DB0FE">
      <w:pPr>
        <w:pStyle w:val="10"/>
        <w:spacing w:beforeAutospacing="0" w:afterAutospacing="0" w:line="450" w:lineRule="exact"/>
        <w:ind w:firstLine="420" w:firstLineChars="175"/>
        <w:rPr>
          <w:rFonts w:hint="eastAsia" w:ascii="宋体" w:hAnsi="宋体" w:eastAsia="宋体" w:cs="宋体"/>
          <w:color w:val="000000"/>
        </w:rPr>
      </w:pPr>
      <w:r>
        <w:rPr>
          <w:rFonts w:hint="eastAsia" w:ascii="宋体" w:hAnsi="宋体" w:eastAsia="宋体" w:cs="宋体"/>
          <w:color w:val="000000"/>
        </w:rPr>
        <w:t>32.5绿色包装</w:t>
      </w:r>
    </w:p>
    <w:p w14:paraId="71D241C1">
      <w:pPr>
        <w:pStyle w:val="10"/>
        <w:spacing w:beforeAutospacing="0" w:afterAutospacing="0" w:line="450" w:lineRule="exact"/>
        <w:ind w:firstLine="420" w:firstLineChars="175"/>
        <w:rPr>
          <w:rFonts w:hint="eastAsia" w:ascii="宋体" w:hAnsi="宋体" w:eastAsia="宋体" w:cs="宋体"/>
          <w:color w:val="000000"/>
        </w:rPr>
      </w:pPr>
      <w:r>
        <w:rPr>
          <w:rFonts w:hint="eastAsia" w:ascii="宋体" w:hAnsi="宋体" w:eastAsia="宋体" w:cs="宋体"/>
          <w:color w:val="000000"/>
        </w:rPr>
        <w:t>本项目中涉及商品的包装应按照“财办库〔2020〕123号《关于印发《商品包装政府采购需求标准（试行）》、《快递包装政府采购需求标准（试行）》的通知》”执行,在供货、安装过程中能做到低碳物流、环保节约、提高资源利用率。</w:t>
      </w:r>
    </w:p>
    <w:p w14:paraId="314BD884">
      <w:pPr>
        <w:tabs>
          <w:tab w:val="left" w:pos="1381"/>
        </w:tabs>
        <w:spacing w:line="450" w:lineRule="exact"/>
        <w:ind w:firstLine="420" w:firstLineChars="175"/>
        <w:jc w:val="left"/>
        <w:rPr>
          <w:rFonts w:hint="eastAsia" w:ascii="宋体" w:hAnsi="宋体" w:eastAsia="宋体" w:cs="宋体"/>
          <w:color w:val="000000"/>
          <w:kern w:val="0"/>
          <w:sz w:val="24"/>
        </w:rPr>
      </w:pPr>
      <w:r>
        <w:rPr>
          <w:rFonts w:hint="eastAsia" w:ascii="宋体" w:hAnsi="宋体" w:eastAsia="宋体" w:cs="宋体"/>
          <w:color w:val="000000"/>
          <w:kern w:val="0"/>
          <w:sz w:val="24"/>
        </w:rPr>
        <w:t>32.6政府采购创新产品</w:t>
      </w:r>
    </w:p>
    <w:p w14:paraId="15FE7BA2">
      <w:pPr>
        <w:pStyle w:val="10"/>
        <w:spacing w:beforeAutospacing="0" w:afterAutospacing="0" w:line="450" w:lineRule="exact"/>
        <w:ind w:firstLine="420" w:firstLineChars="175"/>
        <w:rPr>
          <w:rFonts w:hint="eastAsia" w:ascii="宋体" w:hAnsi="宋体" w:eastAsia="宋体" w:cs="宋体"/>
          <w:color w:val="000000"/>
        </w:rPr>
      </w:pPr>
      <w:r>
        <w:rPr>
          <w:rFonts w:hint="eastAsia" w:ascii="宋体" w:hAnsi="宋体" w:eastAsia="宋体" w:cs="宋体"/>
          <w:color w:val="000000"/>
        </w:rPr>
        <w:t>采购人优先采购各级政府部门公开发布的有效期内的创新产品、创新服务、首台套、首购首用等《目录》的创新产品。</w:t>
      </w:r>
    </w:p>
    <w:p w14:paraId="0AC06249">
      <w:pPr>
        <w:tabs>
          <w:tab w:val="left" w:pos="1381"/>
        </w:tabs>
        <w:spacing w:line="450" w:lineRule="exact"/>
        <w:ind w:firstLine="420" w:firstLineChars="175"/>
        <w:jc w:val="left"/>
        <w:rPr>
          <w:rFonts w:hint="eastAsia" w:ascii="宋体" w:hAnsi="宋体" w:eastAsia="宋体" w:cs="宋体"/>
          <w:color w:val="000000"/>
          <w:kern w:val="0"/>
          <w:sz w:val="24"/>
        </w:rPr>
      </w:pPr>
      <w:r>
        <w:rPr>
          <w:rFonts w:hint="eastAsia" w:ascii="宋体" w:hAnsi="宋体" w:eastAsia="宋体" w:cs="宋体"/>
          <w:color w:val="000000"/>
          <w:kern w:val="0"/>
          <w:sz w:val="24"/>
        </w:rPr>
        <w:t>32.7绿色数据中心政策</w:t>
      </w:r>
    </w:p>
    <w:p w14:paraId="4667D135">
      <w:pPr>
        <w:pStyle w:val="10"/>
        <w:spacing w:beforeAutospacing="0" w:afterAutospacing="0" w:line="450" w:lineRule="exact"/>
        <w:ind w:firstLine="420" w:firstLineChars="175"/>
        <w:rPr>
          <w:rFonts w:hint="eastAsia" w:ascii="宋体" w:hAnsi="宋体" w:eastAsia="宋体" w:cs="宋体"/>
          <w:color w:val="000000"/>
        </w:rPr>
      </w:pPr>
      <w:r>
        <w:rPr>
          <w:rFonts w:hint="eastAsia" w:ascii="宋体" w:hAnsi="宋体" w:eastAsia="宋体" w:cs="宋体"/>
          <w:color w:val="000000"/>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23D49DBA">
      <w:pPr>
        <w:tabs>
          <w:tab w:val="left" w:pos="1381"/>
        </w:tabs>
        <w:spacing w:line="450" w:lineRule="exact"/>
        <w:ind w:firstLine="420" w:firstLineChars="175"/>
        <w:jc w:val="left"/>
        <w:rPr>
          <w:rFonts w:hint="eastAsia" w:ascii="宋体" w:hAnsi="宋体" w:eastAsia="宋体" w:cs="宋体"/>
          <w:color w:val="000000"/>
          <w:kern w:val="0"/>
          <w:sz w:val="24"/>
        </w:rPr>
      </w:pPr>
      <w:r>
        <w:rPr>
          <w:rFonts w:hint="eastAsia" w:ascii="宋体" w:hAnsi="宋体" w:eastAsia="宋体" w:cs="宋体"/>
          <w:kern w:val="0"/>
          <w:sz w:val="24"/>
        </w:rPr>
        <w:t>32.8</w:t>
      </w:r>
      <w:r>
        <w:rPr>
          <w:rFonts w:hint="eastAsia" w:ascii="宋体" w:hAnsi="宋体" w:eastAsia="宋体" w:cs="宋体"/>
          <w:color w:val="000000"/>
          <w:kern w:val="0"/>
          <w:sz w:val="24"/>
        </w:rPr>
        <w:t>履约保证金政策</w:t>
      </w:r>
    </w:p>
    <w:p w14:paraId="0F7FCD13">
      <w:pPr>
        <w:pStyle w:val="10"/>
        <w:spacing w:beforeAutospacing="0" w:afterAutospacing="0" w:line="450" w:lineRule="exact"/>
        <w:ind w:firstLine="420" w:firstLineChars="175"/>
        <w:rPr>
          <w:rFonts w:hint="eastAsia" w:ascii="宋体" w:hAnsi="宋体" w:eastAsia="宋体" w:cs="宋体"/>
          <w:color w:val="000000"/>
        </w:rPr>
      </w:pPr>
      <w:r>
        <w:rPr>
          <w:rFonts w:hint="eastAsia" w:ascii="宋体" w:hAnsi="宋体" w:eastAsia="宋体" w:cs="宋体"/>
          <w:color w:val="000000"/>
        </w:rPr>
        <w:t>确需收取履约保证金的，履约保证金的缴纳形式：</w:t>
      </w:r>
    </w:p>
    <w:p w14:paraId="234A0353">
      <w:pPr>
        <w:pStyle w:val="10"/>
        <w:spacing w:beforeAutospacing="0" w:afterAutospacing="0" w:line="450" w:lineRule="exact"/>
        <w:ind w:firstLine="420" w:firstLineChars="175"/>
        <w:rPr>
          <w:rFonts w:hint="eastAsia" w:ascii="宋体" w:hAnsi="宋体" w:eastAsia="宋体" w:cs="宋体"/>
          <w:color w:val="000000"/>
        </w:rPr>
      </w:pPr>
      <w:r>
        <w:rPr>
          <w:rFonts w:hint="eastAsia" w:ascii="宋体" w:hAnsi="宋体" w:eastAsia="宋体" w:cs="宋体"/>
          <w:color w:val="000000"/>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FDFA79F">
      <w:pPr>
        <w:pStyle w:val="10"/>
        <w:spacing w:beforeAutospacing="0" w:afterAutospacing="0" w:line="450" w:lineRule="exact"/>
        <w:ind w:firstLine="420" w:firstLineChars="175"/>
        <w:rPr>
          <w:rFonts w:hint="eastAsia" w:ascii="宋体" w:hAnsi="宋体" w:eastAsia="宋体" w:cs="宋体"/>
          <w:color w:val="000000"/>
        </w:rPr>
      </w:pPr>
      <w:r>
        <w:rPr>
          <w:rFonts w:hint="eastAsia" w:ascii="宋体" w:hAnsi="宋体" w:eastAsia="宋体" w:cs="宋体"/>
          <w:color w:val="000000"/>
        </w:rPr>
        <w:t>如以履约保函（保险）形式缴纳履约保证金，供应商可通过政府采购电子履约保函（保险）平台（www.jsdzbh.com）在线申请履约保函（保险）。</w:t>
      </w:r>
    </w:p>
    <w:p w14:paraId="210403E1">
      <w:pPr>
        <w:pStyle w:val="10"/>
        <w:spacing w:beforeAutospacing="0" w:afterAutospacing="0" w:line="450" w:lineRule="exact"/>
        <w:ind w:firstLine="420" w:firstLineChars="175"/>
        <w:rPr>
          <w:rFonts w:hint="eastAsia" w:ascii="宋体" w:hAnsi="宋体" w:eastAsia="宋体" w:cs="宋体"/>
          <w:color w:val="000000"/>
        </w:rPr>
      </w:pPr>
      <w:r>
        <w:rPr>
          <w:rFonts w:hint="eastAsia" w:ascii="宋体" w:hAnsi="宋体" w:eastAsia="宋体" w:cs="宋体"/>
          <w:color w:val="000000"/>
        </w:rPr>
        <w:t>履约保证金金额为合同金额的10%，采购人对第三方信用服务机构依据标准规范评定为 AA 级及以上的政府采购供应商（需在签订采购合同前提供信用管理 部门备案的第三方信用报告，且信用报告通过“信用盐城网”可查实），免收履约保证金。</w:t>
      </w:r>
    </w:p>
    <w:p w14:paraId="2BC3CBF1">
      <w:pPr>
        <w:pStyle w:val="10"/>
        <w:spacing w:beforeAutospacing="0" w:afterAutospacing="0" w:line="450" w:lineRule="exact"/>
        <w:ind w:firstLine="420" w:firstLineChars="175"/>
        <w:rPr>
          <w:rFonts w:hint="eastAsia" w:ascii="宋体" w:hAnsi="宋体" w:eastAsia="宋体" w:cs="宋体"/>
          <w:color w:val="000000"/>
        </w:rPr>
      </w:pPr>
      <w:r>
        <w:rPr>
          <w:rFonts w:hint="eastAsia" w:ascii="宋体" w:hAnsi="宋体" w:eastAsia="宋体" w:cs="宋体"/>
          <w:color w:val="000000"/>
        </w:rPr>
        <w:t>33.预付款制度</w:t>
      </w:r>
    </w:p>
    <w:p w14:paraId="0B099625">
      <w:pPr>
        <w:pStyle w:val="10"/>
        <w:spacing w:beforeAutospacing="0" w:afterAutospacing="0" w:line="450" w:lineRule="exact"/>
        <w:ind w:firstLine="420" w:firstLineChars="175"/>
        <w:rPr>
          <w:rFonts w:hint="eastAsia" w:ascii="宋体" w:hAnsi="宋体" w:eastAsia="宋体" w:cs="宋体"/>
          <w:color w:val="000000"/>
        </w:rPr>
      </w:pPr>
      <w:r>
        <w:rPr>
          <w:rFonts w:hint="eastAsia" w:ascii="宋体" w:hAnsi="宋体" w:eastAsia="宋体" w:cs="宋体"/>
          <w:color w:val="000000"/>
        </w:rPr>
        <w:t>本项目落实预付款制度，预付款比例为</w:t>
      </w:r>
      <w:r>
        <w:rPr>
          <w:rFonts w:hint="eastAsia" w:ascii="宋体" w:hAnsi="宋体" w:eastAsia="宋体" w:cs="宋体"/>
          <w:color w:val="000000"/>
          <w:u w:val="single"/>
        </w:rPr>
        <w:t>30</w:t>
      </w:r>
      <w:r>
        <w:rPr>
          <w:rFonts w:hint="eastAsia" w:ascii="宋体" w:hAnsi="宋体" w:eastAsia="宋体" w:cs="宋体"/>
          <w:color w:val="000000"/>
        </w:rPr>
        <w:t>%。在签订合同时，中标、成交供应商明确书面表示无需预付款或者主动要求降低预付款比例的，采购人可就预付款比例作相应调整。</w:t>
      </w:r>
    </w:p>
    <w:p w14:paraId="74A75837">
      <w:pPr>
        <w:pStyle w:val="10"/>
        <w:spacing w:beforeAutospacing="0" w:afterAutospacing="0" w:line="450" w:lineRule="exact"/>
        <w:ind w:firstLine="420" w:firstLineChars="175"/>
        <w:rPr>
          <w:rFonts w:hint="eastAsia" w:ascii="宋体" w:hAnsi="宋体" w:eastAsia="宋体" w:cs="宋体"/>
          <w:color w:val="000000"/>
        </w:rPr>
      </w:pPr>
      <w:r>
        <w:rPr>
          <w:rFonts w:hint="eastAsia" w:ascii="宋体" w:hAnsi="宋体" w:eastAsia="宋体" w:cs="宋体"/>
          <w:color w:val="000000"/>
        </w:rPr>
        <w:t>34.招标代理服务费</w:t>
      </w:r>
    </w:p>
    <w:p w14:paraId="080458F8">
      <w:pPr>
        <w:pStyle w:val="10"/>
        <w:spacing w:beforeAutospacing="0" w:afterAutospacing="0" w:line="450" w:lineRule="exact"/>
        <w:ind w:firstLine="420" w:firstLineChars="175"/>
        <w:rPr>
          <w:rFonts w:hint="eastAsia" w:ascii="宋体" w:hAnsi="宋体" w:eastAsia="宋体" w:cs="宋体"/>
          <w:color w:val="000000"/>
        </w:rPr>
      </w:pPr>
      <w:r>
        <w:rPr>
          <w:rFonts w:hint="eastAsia" w:ascii="宋体" w:hAnsi="宋体" w:eastAsia="宋体" w:cs="宋体"/>
          <w:color w:val="000000"/>
        </w:rPr>
        <w:t>本项目招标代理服务费参照苏招协【2022】002号规定服务招标的收费标准40%计取。招标完成后，由中标供应商在领取中标通知书前一次性向代理机构支付，请各投标人投标报价时综合考虑到报价中，不得单列。</w:t>
      </w:r>
    </w:p>
    <w:p w14:paraId="0BFC9D64">
      <w:pPr>
        <w:pStyle w:val="10"/>
        <w:spacing w:beforeAutospacing="0" w:afterAutospacing="0"/>
        <w:jc w:val="both"/>
        <w:rPr>
          <w:rFonts w:hint="eastAsia" w:ascii="宋体" w:hAnsi="宋体" w:eastAsia="宋体" w:cs="宋体"/>
        </w:rPr>
      </w:pPr>
      <w:r>
        <w:rPr>
          <w:rFonts w:hint="eastAsia" w:ascii="宋体" w:hAnsi="宋体" w:eastAsia="宋体" w:cs="宋体"/>
        </w:rPr>
        <w:t> </w:t>
      </w:r>
    </w:p>
    <w:p w14:paraId="46EC3D42">
      <w:pPr>
        <w:ind w:firstLine="799"/>
        <w:rPr>
          <w:rFonts w:hint="eastAsia" w:ascii="宋体" w:hAnsi="宋体" w:eastAsia="宋体" w:cs="宋体"/>
          <w:b/>
          <w:bCs/>
          <w:color w:val="000000"/>
          <w:kern w:val="0"/>
          <w:sz w:val="40"/>
          <w:szCs w:val="40"/>
        </w:rPr>
      </w:pPr>
      <w:bookmarkStart w:id="173" w:name="_Toc25333"/>
      <w:r>
        <w:rPr>
          <w:rFonts w:hint="eastAsia" w:ascii="宋体" w:hAnsi="宋体" w:eastAsia="宋体" w:cs="宋体"/>
          <w:b/>
          <w:bCs/>
          <w:color w:val="000000"/>
          <w:kern w:val="0"/>
          <w:sz w:val="40"/>
          <w:szCs w:val="40"/>
        </w:rPr>
        <w:br w:type="page"/>
      </w:r>
    </w:p>
    <w:p w14:paraId="484DA01C">
      <w:pPr>
        <w:pStyle w:val="10"/>
        <w:spacing w:beforeAutospacing="0" w:afterAutospacing="0"/>
        <w:ind w:firstLine="799"/>
        <w:jc w:val="center"/>
        <w:outlineLvl w:val="0"/>
        <w:rPr>
          <w:rFonts w:hint="eastAsia" w:ascii="宋体" w:hAnsi="宋体" w:eastAsia="宋体" w:cs="宋体"/>
          <w:b/>
          <w:bCs/>
          <w:color w:val="000000"/>
          <w:sz w:val="40"/>
          <w:szCs w:val="40"/>
        </w:rPr>
      </w:pPr>
      <w:r>
        <w:rPr>
          <w:rFonts w:hint="eastAsia" w:ascii="宋体" w:hAnsi="宋体" w:eastAsia="宋体" w:cs="宋体"/>
          <w:b/>
          <w:bCs/>
          <w:color w:val="000000"/>
          <w:sz w:val="40"/>
          <w:szCs w:val="40"/>
        </w:rPr>
        <w:t>第三章  合同文本</w:t>
      </w:r>
      <w:bookmarkEnd w:id="173"/>
    </w:p>
    <w:p w14:paraId="7D5E644C">
      <w:pPr>
        <w:pStyle w:val="5"/>
        <w:ind w:firstLine="616"/>
        <w:rPr>
          <w:rFonts w:hint="eastAsia"/>
          <w:lang w:eastAsia="zh-CN"/>
        </w:rPr>
      </w:pPr>
    </w:p>
    <w:p w14:paraId="72830936">
      <w:pPr>
        <w:ind w:firstLine="991"/>
        <w:jc w:val="center"/>
        <w:rPr>
          <w:rFonts w:hint="eastAsia" w:ascii="宋体" w:hAnsi="宋体" w:eastAsia="宋体" w:cs="宋体"/>
          <w:b/>
          <w:bCs/>
          <w:color w:val="000000"/>
          <w:spacing w:val="27"/>
          <w:sz w:val="44"/>
          <w:szCs w:val="44"/>
        </w:rPr>
      </w:pPr>
      <w:r>
        <w:rPr>
          <w:rFonts w:hint="eastAsia" w:ascii="宋体" w:hAnsi="宋体" w:eastAsia="宋体" w:cs="宋体"/>
          <w:b/>
          <w:bCs/>
          <w:color w:val="000000"/>
          <w:spacing w:val="27"/>
          <w:sz w:val="44"/>
          <w:szCs w:val="44"/>
        </w:rPr>
        <w:t>大丰区城镇生活污水治理提质增效项目-城区、镇级管网检测项目</w:t>
      </w:r>
    </w:p>
    <w:p w14:paraId="54CDB189">
      <w:pPr>
        <w:ind w:firstLine="1052"/>
        <w:jc w:val="center"/>
        <w:rPr>
          <w:rFonts w:hint="eastAsia" w:ascii="宋体" w:hAnsi="宋体" w:eastAsia="宋体" w:cs="宋体"/>
          <w:b/>
          <w:bCs/>
          <w:color w:val="000000"/>
          <w:spacing w:val="27"/>
          <w:sz w:val="47"/>
          <w:szCs w:val="47"/>
        </w:rPr>
      </w:pPr>
    </w:p>
    <w:p w14:paraId="43E8C982">
      <w:pPr>
        <w:rPr>
          <w:rFonts w:ascii="Arial" w:hAnsi="Arial" w:eastAsia="Arial" w:cs="Arial"/>
          <w:color w:val="000000"/>
          <w:szCs w:val="21"/>
          <w:highlight w:val="yellow"/>
        </w:rPr>
      </w:pPr>
    </w:p>
    <w:p w14:paraId="0442A472">
      <w:pPr>
        <w:rPr>
          <w:rFonts w:ascii="Arial" w:hAnsi="Arial" w:eastAsia="Arial" w:cs="Arial"/>
          <w:color w:val="000000"/>
          <w:szCs w:val="21"/>
          <w:highlight w:val="yellow"/>
        </w:rPr>
      </w:pPr>
    </w:p>
    <w:p w14:paraId="2F0F275A">
      <w:pPr>
        <w:ind w:firstLine="1436"/>
        <w:jc w:val="center"/>
        <w:rPr>
          <w:rFonts w:ascii="Arial" w:hAnsi="Arial" w:eastAsia="Arial" w:cs="Arial"/>
          <w:color w:val="000000"/>
          <w:sz w:val="72"/>
          <w:szCs w:val="72"/>
        </w:rPr>
      </w:pPr>
    </w:p>
    <w:p w14:paraId="039B3F04">
      <w:pPr>
        <w:ind w:firstLine="1196"/>
        <w:jc w:val="center"/>
        <w:rPr>
          <w:rFonts w:ascii="Arial" w:hAnsi="Arial" w:eastAsia="Arial" w:cs="Arial"/>
          <w:color w:val="000000"/>
          <w:sz w:val="60"/>
          <w:szCs w:val="60"/>
        </w:rPr>
      </w:pPr>
      <w:r>
        <w:rPr>
          <w:rFonts w:hint="eastAsia" w:ascii="Arial" w:hAnsi="Arial" w:eastAsia="Arial" w:cs="Arial"/>
          <w:color w:val="000000"/>
          <w:sz w:val="60"/>
          <w:szCs w:val="60"/>
        </w:rPr>
        <w:t>服</w:t>
      </w:r>
    </w:p>
    <w:p w14:paraId="1843DC15">
      <w:pPr>
        <w:ind w:firstLine="1196"/>
        <w:jc w:val="center"/>
        <w:rPr>
          <w:rFonts w:ascii="Arial" w:hAnsi="Arial" w:eastAsia="Arial" w:cs="Arial"/>
          <w:color w:val="000000"/>
          <w:sz w:val="60"/>
          <w:szCs w:val="60"/>
        </w:rPr>
      </w:pPr>
      <w:r>
        <w:rPr>
          <w:rFonts w:hint="eastAsia" w:ascii="Arial" w:hAnsi="Arial" w:eastAsia="Arial" w:cs="Arial"/>
          <w:color w:val="000000"/>
          <w:sz w:val="60"/>
          <w:szCs w:val="60"/>
        </w:rPr>
        <w:t>务</w:t>
      </w:r>
    </w:p>
    <w:p w14:paraId="58310E40">
      <w:pPr>
        <w:ind w:firstLine="1196"/>
        <w:jc w:val="center"/>
        <w:rPr>
          <w:rFonts w:ascii="Arial" w:hAnsi="Arial" w:eastAsia="Arial" w:cs="Arial"/>
          <w:color w:val="000000"/>
          <w:sz w:val="60"/>
          <w:szCs w:val="60"/>
        </w:rPr>
      </w:pPr>
      <w:r>
        <w:rPr>
          <w:rFonts w:hint="eastAsia" w:ascii="Arial" w:hAnsi="Arial" w:eastAsia="Arial" w:cs="Arial"/>
          <w:color w:val="000000"/>
          <w:sz w:val="60"/>
          <w:szCs w:val="60"/>
        </w:rPr>
        <w:t>合</w:t>
      </w:r>
    </w:p>
    <w:p w14:paraId="6A8233FF">
      <w:pPr>
        <w:ind w:firstLine="1196"/>
        <w:jc w:val="center"/>
        <w:rPr>
          <w:rFonts w:ascii="Arial" w:hAnsi="Arial" w:eastAsia="Arial" w:cs="Arial"/>
          <w:color w:val="000000"/>
          <w:sz w:val="60"/>
          <w:szCs w:val="60"/>
        </w:rPr>
      </w:pPr>
      <w:r>
        <w:rPr>
          <w:rFonts w:hint="eastAsia" w:ascii="Arial" w:hAnsi="Arial" w:eastAsia="Arial" w:cs="Arial"/>
          <w:color w:val="000000"/>
          <w:sz w:val="60"/>
          <w:szCs w:val="60"/>
        </w:rPr>
        <w:t>同</w:t>
      </w:r>
    </w:p>
    <w:p w14:paraId="41D3B2CD">
      <w:pPr>
        <w:rPr>
          <w:rFonts w:ascii="Arial" w:hAnsi="Arial" w:eastAsia="Arial" w:cs="Arial"/>
          <w:color w:val="000000"/>
          <w:szCs w:val="21"/>
          <w:highlight w:val="yellow"/>
        </w:rPr>
      </w:pPr>
    </w:p>
    <w:p w14:paraId="5CB3F01F">
      <w:pPr>
        <w:rPr>
          <w:rFonts w:ascii="Arial" w:hAnsi="Arial" w:eastAsia="Arial" w:cs="Arial"/>
          <w:color w:val="000000"/>
          <w:szCs w:val="21"/>
          <w:highlight w:val="yellow"/>
        </w:rPr>
      </w:pPr>
    </w:p>
    <w:p w14:paraId="66A096B9">
      <w:pPr>
        <w:rPr>
          <w:rFonts w:ascii="Arial" w:hAnsi="Arial" w:eastAsia="Arial" w:cs="Arial"/>
          <w:color w:val="000000"/>
          <w:szCs w:val="21"/>
          <w:highlight w:val="yellow"/>
        </w:rPr>
      </w:pPr>
    </w:p>
    <w:p w14:paraId="0638D7EB">
      <w:pPr>
        <w:rPr>
          <w:rFonts w:ascii="Arial" w:hAnsi="Arial" w:eastAsia="Arial" w:cs="Arial"/>
          <w:color w:val="000000"/>
          <w:szCs w:val="21"/>
          <w:highlight w:val="yellow"/>
        </w:rPr>
      </w:pPr>
    </w:p>
    <w:p w14:paraId="7CDEA9BB">
      <w:pPr>
        <w:rPr>
          <w:rFonts w:ascii="Arial" w:hAnsi="Arial" w:eastAsia="Arial" w:cs="Arial"/>
          <w:color w:val="000000"/>
          <w:szCs w:val="21"/>
          <w:highlight w:val="yellow"/>
        </w:rPr>
      </w:pPr>
    </w:p>
    <w:p w14:paraId="7E884D9C">
      <w:pPr>
        <w:rPr>
          <w:rFonts w:ascii="Arial" w:hAnsi="Arial" w:eastAsia="Arial" w:cs="Arial"/>
          <w:color w:val="000000"/>
          <w:szCs w:val="21"/>
          <w:highlight w:val="yellow"/>
        </w:rPr>
      </w:pPr>
    </w:p>
    <w:p w14:paraId="4AAD8AF8">
      <w:pPr>
        <w:spacing w:line="241" w:lineRule="auto"/>
        <w:rPr>
          <w:rFonts w:ascii="Arial" w:hAnsi="Arial" w:eastAsia="Arial" w:cs="Arial"/>
          <w:color w:val="000000"/>
          <w:szCs w:val="21"/>
        </w:rPr>
      </w:pPr>
    </w:p>
    <w:p w14:paraId="0005BD34">
      <w:pPr>
        <w:spacing w:line="241" w:lineRule="auto"/>
        <w:rPr>
          <w:rFonts w:ascii="Arial" w:hAnsi="Arial" w:eastAsia="Arial" w:cs="Arial"/>
          <w:color w:val="000000"/>
          <w:szCs w:val="21"/>
        </w:rPr>
      </w:pPr>
    </w:p>
    <w:p w14:paraId="50E8DFBD">
      <w:pPr>
        <w:widowControl/>
        <w:spacing w:before="113" w:line="600" w:lineRule="exact"/>
        <w:ind w:firstLine="1114" w:firstLineChars="300"/>
        <w:rPr>
          <w:rFonts w:hint="eastAsia" w:ascii="宋体" w:hAnsi="宋体" w:eastAsia="宋体" w:cs="宋体"/>
          <w:b/>
          <w:bCs/>
          <w:color w:val="000000"/>
          <w:spacing w:val="5"/>
          <w:kern w:val="0"/>
          <w:sz w:val="36"/>
          <w:szCs w:val="36"/>
        </w:rPr>
      </w:pPr>
      <w:r>
        <w:rPr>
          <w:rFonts w:hint="eastAsia" w:ascii="宋体" w:hAnsi="宋体" w:eastAsia="宋体" w:cs="宋体"/>
          <w:b/>
          <w:bCs/>
          <w:color w:val="000000"/>
          <w:spacing w:val="5"/>
          <w:kern w:val="0"/>
          <w:sz w:val="36"/>
          <w:szCs w:val="36"/>
        </w:rPr>
        <w:t>甲方：盐城市</w:t>
      </w:r>
      <w:r>
        <w:rPr>
          <w:rFonts w:ascii="宋体" w:hAnsi="宋体" w:eastAsia="宋体" w:cs="宋体"/>
          <w:b/>
          <w:bCs/>
          <w:color w:val="000000"/>
          <w:spacing w:val="5"/>
          <w:kern w:val="0"/>
          <w:sz w:val="36"/>
          <w:szCs w:val="36"/>
        </w:rPr>
        <w:t>大丰区住房和城乡建设局</w:t>
      </w:r>
    </w:p>
    <w:p w14:paraId="6924387B">
      <w:pPr>
        <w:pStyle w:val="5"/>
        <w:spacing w:line="600" w:lineRule="exact"/>
        <w:ind w:firstLine="1114" w:firstLineChars="300"/>
        <w:rPr>
          <w:rFonts w:hint="eastAsia" w:ascii="宋体" w:hAnsi="宋体" w:eastAsia="宋体" w:cs="宋体"/>
          <w:b/>
          <w:bCs/>
          <w:color w:val="000000"/>
          <w:spacing w:val="5"/>
          <w:kern w:val="0"/>
          <w:sz w:val="36"/>
          <w:szCs w:val="36"/>
          <w:lang w:eastAsia="zh-CN"/>
        </w:rPr>
      </w:pPr>
    </w:p>
    <w:p w14:paraId="502B8D71">
      <w:pPr>
        <w:pStyle w:val="5"/>
        <w:spacing w:line="600" w:lineRule="exact"/>
        <w:ind w:firstLine="1114" w:firstLineChars="300"/>
        <w:rPr>
          <w:rFonts w:hint="eastAsia" w:ascii="宋体" w:hAnsi="宋体" w:eastAsia="宋体" w:cs="宋体"/>
          <w:b/>
          <w:bCs/>
          <w:color w:val="000000"/>
          <w:spacing w:val="4"/>
          <w:kern w:val="0"/>
          <w:sz w:val="36"/>
          <w:szCs w:val="36"/>
          <w:u w:val="single"/>
          <w:lang w:eastAsia="zh-CN"/>
        </w:rPr>
      </w:pPr>
      <w:r>
        <w:rPr>
          <w:rFonts w:hint="eastAsia" w:ascii="宋体" w:hAnsi="宋体" w:eastAsia="宋体" w:cs="宋体"/>
          <w:b/>
          <w:bCs/>
          <w:color w:val="000000"/>
          <w:spacing w:val="5"/>
          <w:kern w:val="0"/>
          <w:sz w:val="36"/>
          <w:szCs w:val="36"/>
          <w:lang w:eastAsia="zh-CN"/>
        </w:rPr>
        <w:t>乙方：</w:t>
      </w:r>
    </w:p>
    <w:p w14:paraId="009CBF8E">
      <w:pPr>
        <w:pStyle w:val="5"/>
        <w:spacing w:line="600" w:lineRule="exact"/>
        <w:ind w:firstLine="1108" w:firstLineChars="300"/>
        <w:rPr>
          <w:rFonts w:hint="eastAsia" w:ascii="宋体" w:hAnsi="宋体" w:eastAsia="宋体" w:cs="宋体"/>
          <w:b/>
          <w:bCs/>
          <w:color w:val="000000"/>
          <w:spacing w:val="4"/>
          <w:kern w:val="0"/>
          <w:sz w:val="36"/>
          <w:szCs w:val="36"/>
          <w:u w:val="single"/>
          <w:lang w:eastAsia="zh-CN"/>
        </w:rPr>
      </w:pPr>
    </w:p>
    <w:p w14:paraId="480E2B20">
      <w:pPr>
        <w:pStyle w:val="5"/>
        <w:spacing w:line="600" w:lineRule="exact"/>
        <w:ind w:firstLine="1108" w:firstLineChars="300"/>
        <w:rPr>
          <w:rFonts w:hint="eastAsia" w:ascii="宋体" w:hAnsi="宋体" w:eastAsia="宋体" w:cs="宋体"/>
          <w:color w:val="000000"/>
          <w:kern w:val="0"/>
          <w:sz w:val="36"/>
          <w:szCs w:val="36"/>
          <w:lang w:eastAsia="zh-CN"/>
        </w:rPr>
      </w:pPr>
      <w:r>
        <w:rPr>
          <w:rFonts w:hint="eastAsia" w:ascii="宋体" w:hAnsi="宋体" w:eastAsia="宋体" w:cs="宋体"/>
          <w:b/>
          <w:bCs/>
          <w:color w:val="000000"/>
          <w:spacing w:val="4"/>
          <w:kern w:val="0"/>
          <w:sz w:val="36"/>
          <w:szCs w:val="36"/>
          <w:lang w:eastAsia="zh-CN"/>
        </w:rPr>
        <w:t xml:space="preserve">日期：    </w:t>
      </w:r>
      <w:r>
        <w:rPr>
          <w:rFonts w:ascii="宋体" w:hAnsi="宋体" w:eastAsia="宋体" w:cs="宋体"/>
          <w:b/>
          <w:bCs/>
          <w:color w:val="000000"/>
          <w:spacing w:val="4"/>
          <w:kern w:val="0"/>
          <w:sz w:val="36"/>
          <w:szCs w:val="36"/>
          <w:lang w:eastAsia="zh-CN"/>
        </w:rPr>
        <w:t>年</w:t>
      </w:r>
      <w:r>
        <w:rPr>
          <w:rFonts w:hint="eastAsia" w:ascii="宋体" w:hAnsi="宋体" w:eastAsia="宋体" w:cs="宋体"/>
          <w:b/>
          <w:bCs/>
          <w:color w:val="000000"/>
          <w:spacing w:val="4"/>
          <w:kern w:val="0"/>
          <w:sz w:val="36"/>
          <w:szCs w:val="36"/>
          <w:lang w:eastAsia="zh-CN"/>
        </w:rPr>
        <w:t xml:space="preserve">   </w:t>
      </w:r>
      <w:r>
        <w:rPr>
          <w:rFonts w:ascii="宋体" w:hAnsi="宋体" w:eastAsia="宋体" w:cs="宋体"/>
          <w:b/>
          <w:bCs/>
          <w:color w:val="000000"/>
          <w:spacing w:val="4"/>
          <w:kern w:val="0"/>
          <w:sz w:val="36"/>
          <w:szCs w:val="36"/>
          <w:lang w:eastAsia="zh-CN"/>
        </w:rPr>
        <w:t>月</w:t>
      </w:r>
    </w:p>
    <w:p w14:paraId="67927056">
      <w:pPr>
        <w:widowControl/>
        <w:spacing w:before="63" w:line="225" w:lineRule="auto"/>
        <w:ind w:left="53" w:firstLine="638"/>
        <w:jc w:val="center"/>
        <w:rPr>
          <w:rFonts w:hint="eastAsia" w:ascii="宋体" w:hAnsi="宋体" w:eastAsia="宋体" w:cs="宋体"/>
          <w:color w:val="000000"/>
          <w:kern w:val="0"/>
          <w:sz w:val="31"/>
          <w:szCs w:val="31"/>
        </w:rPr>
      </w:pPr>
      <w:bookmarkStart w:id="174" w:name="_Toc479757211"/>
      <w:bookmarkStart w:id="175" w:name="_Hlt16619350"/>
      <w:bookmarkStart w:id="176" w:name="_Toc462564139"/>
      <w:bookmarkStart w:id="177" w:name="_Toc16938590"/>
      <w:bookmarkStart w:id="178" w:name="_Toc120614244"/>
      <w:bookmarkStart w:id="179" w:name="_Toc20823346"/>
      <w:bookmarkStart w:id="180" w:name="_Hlt16619369"/>
      <w:r>
        <w:rPr>
          <w:rFonts w:ascii="宋体" w:hAnsi="宋体" w:eastAsia="宋体" w:cs="宋体"/>
          <w:b/>
          <w:bCs/>
          <w:color w:val="000000"/>
          <w:spacing w:val="4"/>
          <w:kern w:val="0"/>
          <w:sz w:val="31"/>
          <w:szCs w:val="31"/>
        </w:rPr>
        <w:t>合同条款</w:t>
      </w:r>
    </w:p>
    <w:p w14:paraId="52EAE1DD">
      <w:pPr>
        <w:spacing w:line="480" w:lineRule="exact"/>
        <w:jc w:val="left"/>
        <w:rPr>
          <w:rFonts w:hint="eastAsia" w:ascii="宋体" w:hAnsi="宋体" w:eastAsia="宋体" w:cs="宋体"/>
          <w:color w:val="000000"/>
          <w:kern w:val="0"/>
          <w:sz w:val="24"/>
        </w:rPr>
      </w:pPr>
      <w:bookmarkStart w:id="181" w:name="_Toc28589"/>
      <w:r>
        <w:rPr>
          <w:rFonts w:hint="eastAsia" w:ascii="宋体" w:hAnsi="宋体" w:eastAsia="宋体" w:cs="宋体"/>
          <w:color w:val="000000"/>
          <w:spacing w:val="-1"/>
          <w:kern w:val="0"/>
          <w:sz w:val="24"/>
        </w:rPr>
        <w:t>招标人（全称</w:t>
      </w:r>
      <w:r>
        <w:rPr>
          <w:rFonts w:hint="eastAsia" w:ascii="宋体" w:hAnsi="宋体" w:eastAsia="宋体" w:cs="宋体"/>
          <w:color w:val="000000"/>
          <w:spacing w:val="1"/>
          <w:kern w:val="0"/>
          <w:sz w:val="24"/>
        </w:rPr>
        <w:t>）：</w:t>
      </w:r>
      <w:r>
        <w:rPr>
          <w:rFonts w:hint="eastAsia" w:ascii="宋体" w:hAnsi="宋体" w:eastAsia="宋体" w:cs="宋体"/>
          <w:color w:val="000000"/>
          <w:spacing w:val="6"/>
          <w:kern w:val="0"/>
          <w:sz w:val="24"/>
          <w:u w:val="single"/>
        </w:rPr>
        <w:t>盐城市</w:t>
      </w:r>
      <w:r>
        <w:rPr>
          <w:rFonts w:hint="eastAsia" w:ascii="宋体" w:hAnsi="宋体" w:eastAsia="宋体" w:cs="宋体"/>
          <w:color w:val="000000"/>
          <w:spacing w:val="-1"/>
          <w:kern w:val="0"/>
          <w:sz w:val="24"/>
          <w:u w:val="single"/>
        </w:rPr>
        <w:t>大丰区住房和城乡建设局</w:t>
      </w:r>
      <w:r>
        <w:rPr>
          <w:rFonts w:hint="eastAsia" w:ascii="宋体" w:hAnsi="宋体" w:eastAsia="宋体" w:cs="宋体"/>
          <w:color w:val="000000"/>
          <w:spacing w:val="-1"/>
          <w:kern w:val="0"/>
          <w:sz w:val="24"/>
        </w:rPr>
        <w:t>（以下简称甲方）</w:t>
      </w:r>
    </w:p>
    <w:p w14:paraId="2A077228">
      <w:pPr>
        <w:spacing w:line="480" w:lineRule="exact"/>
        <w:jc w:val="left"/>
        <w:rPr>
          <w:rFonts w:hint="eastAsia" w:ascii="宋体" w:hAnsi="宋体" w:eastAsia="宋体" w:cs="宋体"/>
          <w:color w:val="000000"/>
          <w:kern w:val="0"/>
          <w:sz w:val="24"/>
        </w:rPr>
      </w:pPr>
      <w:r>
        <w:rPr>
          <w:rFonts w:hint="eastAsia" w:ascii="宋体" w:hAnsi="宋体" w:eastAsia="宋体" w:cs="宋体"/>
          <w:color w:val="000000"/>
          <w:kern w:val="0"/>
          <w:sz w:val="24"/>
        </w:rPr>
        <w:t>中标人（全称</w:t>
      </w:r>
      <w:r>
        <w:rPr>
          <w:rFonts w:hint="eastAsia" w:ascii="宋体" w:hAnsi="宋体" w:eastAsia="宋体" w:cs="宋体"/>
          <w:color w:val="000000"/>
          <w:spacing w:val="-11"/>
          <w:kern w:val="0"/>
          <w:sz w:val="24"/>
        </w:rPr>
        <w:t>）：</w:t>
      </w:r>
      <w:r>
        <w:rPr>
          <w:rFonts w:hint="eastAsia" w:ascii="宋体" w:hAnsi="宋体" w:eastAsia="宋体" w:cs="宋体"/>
          <w:color w:val="000000"/>
          <w:spacing w:val="-11"/>
          <w:kern w:val="0"/>
          <w:sz w:val="24"/>
          <w:u w:val="single"/>
        </w:rPr>
        <w:t xml:space="preserve">                                   </w:t>
      </w:r>
      <w:r>
        <w:rPr>
          <w:rFonts w:hint="eastAsia" w:ascii="宋体" w:hAnsi="宋体" w:eastAsia="宋体" w:cs="宋体"/>
          <w:color w:val="000000"/>
          <w:spacing w:val="-11"/>
          <w:kern w:val="0"/>
          <w:sz w:val="24"/>
        </w:rPr>
        <w:t>（</w:t>
      </w:r>
      <w:r>
        <w:rPr>
          <w:rFonts w:hint="eastAsia" w:ascii="宋体" w:hAnsi="宋体" w:eastAsia="宋体" w:cs="宋体"/>
          <w:color w:val="000000"/>
          <w:kern w:val="0"/>
          <w:sz w:val="24"/>
        </w:rPr>
        <w:t>以下简称乙方）</w:t>
      </w:r>
    </w:p>
    <w:p w14:paraId="3575B8C2">
      <w:pPr>
        <w:spacing w:line="480" w:lineRule="exact"/>
        <w:ind w:firstLine="422" w:firstLineChars="176"/>
        <w:jc w:val="left"/>
        <w:rPr>
          <w:rFonts w:hint="eastAsia" w:ascii="宋体" w:hAnsi="宋体" w:eastAsia="宋体" w:cs="宋体"/>
          <w:color w:val="000000"/>
          <w:kern w:val="0"/>
          <w:sz w:val="24"/>
        </w:rPr>
      </w:pPr>
      <w:r>
        <w:rPr>
          <w:rFonts w:hint="eastAsia" w:ascii="宋体" w:hAnsi="宋体" w:eastAsia="宋体" w:cs="宋体"/>
          <w:color w:val="000000"/>
          <w:kern w:val="0"/>
          <w:sz w:val="24"/>
        </w:rPr>
        <w:t>依照《中华人民共和国民法典》及其他相关法律法规，遵循平等、自愿、公平和诚</w:t>
      </w:r>
      <w:r>
        <w:rPr>
          <w:rFonts w:hint="eastAsia" w:ascii="宋体" w:hAnsi="宋体" w:eastAsia="宋体" w:cs="宋体"/>
          <w:color w:val="000000"/>
          <w:spacing w:val="4"/>
          <w:kern w:val="0"/>
          <w:sz w:val="24"/>
        </w:rPr>
        <w:t>实信用原则，双方就</w:t>
      </w:r>
      <w:r>
        <w:rPr>
          <w:rFonts w:hint="eastAsia" w:ascii="宋体" w:hAnsi="宋体" w:eastAsia="宋体" w:cs="宋体"/>
          <w:color w:val="000000"/>
          <w:spacing w:val="4"/>
          <w:kern w:val="0"/>
          <w:sz w:val="24"/>
          <w:u w:val="single"/>
        </w:rPr>
        <w:t>大丰区城镇生活污水治理提质增效项目-城区、镇级管网检测项目</w:t>
      </w:r>
      <w:r>
        <w:rPr>
          <w:rFonts w:hint="eastAsia" w:ascii="宋体" w:hAnsi="宋体" w:eastAsia="宋体" w:cs="宋体"/>
          <w:color w:val="000000"/>
          <w:spacing w:val="-1"/>
          <w:kern w:val="0"/>
          <w:sz w:val="24"/>
        </w:rPr>
        <w:t>相关事项协商一致，达成如下合同条款：</w:t>
      </w:r>
    </w:p>
    <w:p w14:paraId="31583A3B">
      <w:pPr>
        <w:spacing w:line="500" w:lineRule="exact"/>
        <w:ind w:firstLine="466" w:firstLineChars="200"/>
        <w:jc w:val="left"/>
        <w:rPr>
          <w:rFonts w:hint="eastAsia" w:ascii="宋体" w:hAnsi="宋体" w:eastAsia="宋体" w:cs="宋体"/>
          <w:color w:val="000000"/>
          <w:kern w:val="0"/>
          <w:sz w:val="24"/>
        </w:rPr>
      </w:pPr>
      <w:r>
        <w:rPr>
          <w:rFonts w:hint="eastAsia" w:ascii="宋体" w:hAnsi="宋体" w:eastAsia="宋体" w:cs="宋体"/>
          <w:b/>
          <w:bCs/>
          <w:color w:val="000000"/>
          <w:spacing w:val="-4"/>
          <w:kern w:val="0"/>
          <w:sz w:val="24"/>
        </w:rPr>
        <w:t>一、项目内容</w:t>
      </w:r>
    </w:p>
    <w:p w14:paraId="2D30E525">
      <w:pPr>
        <w:spacing w:line="500" w:lineRule="exact"/>
        <w:ind w:firstLine="484" w:firstLineChars="200"/>
        <w:jc w:val="left"/>
        <w:rPr>
          <w:rFonts w:hint="eastAsia" w:ascii="宋体" w:hAnsi="宋体" w:eastAsia="宋体" w:cs="宋体"/>
          <w:color w:val="000000"/>
          <w:kern w:val="0"/>
          <w:sz w:val="24"/>
        </w:rPr>
      </w:pPr>
      <w:r>
        <w:rPr>
          <w:rFonts w:hint="eastAsia" w:ascii="宋体" w:hAnsi="宋体" w:eastAsia="宋体" w:cs="宋体"/>
          <w:color w:val="000000"/>
          <w:spacing w:val="1"/>
          <w:kern w:val="0"/>
          <w:sz w:val="24"/>
        </w:rPr>
        <w:t>1、项目名称：大丰区城镇生活污水治理提质增效项目-城区、镇级管网检测项目</w:t>
      </w:r>
    </w:p>
    <w:p w14:paraId="0120B317">
      <w:pPr>
        <w:spacing w:line="500" w:lineRule="exact"/>
        <w:ind w:firstLine="472" w:firstLineChars="200"/>
        <w:jc w:val="left"/>
        <w:rPr>
          <w:rFonts w:hint="eastAsia" w:ascii="宋体" w:hAnsi="宋体" w:eastAsia="宋体" w:cs="宋体"/>
          <w:color w:val="000000"/>
          <w:spacing w:val="-2"/>
          <w:kern w:val="0"/>
          <w:sz w:val="24"/>
        </w:rPr>
      </w:pPr>
      <w:r>
        <w:rPr>
          <w:rFonts w:hint="eastAsia" w:ascii="宋体" w:hAnsi="宋体" w:eastAsia="宋体" w:cs="宋体"/>
          <w:color w:val="000000"/>
          <w:spacing w:val="-2"/>
          <w:kern w:val="0"/>
          <w:sz w:val="24"/>
        </w:rPr>
        <w:t>2、招标需求：</w:t>
      </w:r>
    </w:p>
    <w:p w14:paraId="430B5A7F">
      <w:pPr>
        <w:spacing w:line="500" w:lineRule="exact"/>
        <w:ind w:firstLine="472" w:firstLineChars="200"/>
        <w:jc w:val="left"/>
        <w:rPr>
          <w:rFonts w:hint="eastAsia" w:ascii="宋体" w:hAnsi="宋体" w:eastAsia="宋体" w:cs="宋体"/>
          <w:color w:val="000000"/>
          <w:kern w:val="0"/>
          <w:sz w:val="24"/>
        </w:rPr>
      </w:pPr>
      <w:r>
        <w:rPr>
          <w:rFonts w:hint="eastAsia" w:ascii="宋体" w:hAnsi="宋体" w:eastAsia="宋体" w:cs="宋体"/>
          <w:color w:val="000000"/>
          <w:spacing w:val="-2"/>
          <w:kern w:val="0"/>
          <w:sz w:val="24"/>
        </w:rPr>
        <w:t>2.1包括但不限于</w:t>
      </w:r>
      <w:r>
        <w:rPr>
          <w:rFonts w:hint="eastAsia" w:ascii="宋体" w:hAnsi="宋体" w:eastAsia="宋体" w:cs="宋体"/>
          <w:color w:val="000000"/>
          <w:spacing w:val="4"/>
          <w:kern w:val="0"/>
          <w:sz w:val="24"/>
        </w:rPr>
        <w:t>对城区内的小区及周边管网进行CCTV和QV清淤、检测、疏通、测绘等；对镇级板块生活污水管网、提升泵站开展功能性和结构性检测、测绘等。对管径DN300以上污水管道实施CCTV检测，对管径DN300（含DN300）以下的管道实施QV镜检测，检测前污水管道降水、疏通和清淤等应满足规范要求。提交测绘和检测成果，数据按要求协助采购人将检测成果数据接入已有的"管网信息化管理平台"系统（城市生命线平台），同时根据外业数据进行分析，出具混接、错接、管道破损等病害方面分析报告（包含不限于）</w:t>
      </w:r>
      <w:r>
        <w:rPr>
          <w:rFonts w:hint="eastAsia" w:ascii="宋体" w:hAnsi="宋体" w:eastAsia="宋体" w:cs="宋体"/>
          <w:color w:val="000000"/>
          <w:spacing w:val="5"/>
          <w:kern w:val="0"/>
          <w:sz w:val="24"/>
        </w:rPr>
        <w:t>；</w:t>
      </w:r>
    </w:p>
    <w:p w14:paraId="69CFEC55">
      <w:pPr>
        <w:spacing w:line="500" w:lineRule="exact"/>
        <w:ind w:firstLine="492" w:firstLineChars="200"/>
        <w:jc w:val="left"/>
        <w:rPr>
          <w:rFonts w:hint="eastAsia" w:ascii="宋体" w:hAnsi="宋体" w:eastAsia="宋体" w:cs="宋体"/>
          <w:color w:val="000000"/>
          <w:kern w:val="0"/>
          <w:sz w:val="24"/>
        </w:rPr>
      </w:pPr>
      <w:r>
        <w:rPr>
          <w:rFonts w:hint="eastAsia" w:ascii="宋体" w:hAnsi="宋体" w:eastAsia="宋体" w:cs="宋体"/>
          <w:color w:val="000000"/>
          <w:spacing w:val="3"/>
          <w:kern w:val="0"/>
          <w:sz w:val="24"/>
        </w:rPr>
        <w:t>2.2排水管网包含雨水管道（包括暗涵、明渠）、合流管道（包括暗涵、明渠）及检查井、截流井、雨水口等全部附属设施</w:t>
      </w:r>
      <w:r>
        <w:rPr>
          <w:rFonts w:hint="eastAsia" w:ascii="宋体" w:hAnsi="宋体" w:eastAsia="宋体" w:cs="宋体"/>
          <w:color w:val="000000"/>
          <w:spacing w:val="-1"/>
          <w:kern w:val="0"/>
          <w:sz w:val="24"/>
        </w:rPr>
        <w:t>。</w:t>
      </w:r>
    </w:p>
    <w:p w14:paraId="354BC77C">
      <w:pPr>
        <w:kinsoku w:val="0"/>
        <w:autoSpaceDE w:val="0"/>
        <w:autoSpaceDN w:val="0"/>
        <w:adjustRightInd w:val="0"/>
        <w:snapToGrid w:val="0"/>
        <w:spacing w:line="500" w:lineRule="exact"/>
        <w:ind w:firstLine="492" w:firstLineChars="200"/>
        <w:jc w:val="left"/>
        <w:textAlignment w:val="baseline"/>
        <w:rPr>
          <w:rFonts w:hint="eastAsia" w:ascii="宋体" w:hAnsi="宋体" w:eastAsia="宋体" w:cs="宋体"/>
          <w:snapToGrid w:val="0"/>
          <w:color w:val="000000"/>
          <w:kern w:val="0"/>
          <w:sz w:val="24"/>
        </w:rPr>
      </w:pPr>
      <w:r>
        <w:rPr>
          <w:rFonts w:ascii="宋体" w:hAnsi="宋体" w:eastAsia="宋体" w:cs="宋体"/>
          <w:snapToGrid w:val="0"/>
          <w:color w:val="000000"/>
          <w:spacing w:val="3"/>
          <w:kern w:val="0"/>
          <w:sz w:val="24"/>
        </w:rPr>
        <w:t>2.3排水管网检测、评估范围包含截流管道、合流管道，工作内容中包</w:t>
      </w:r>
      <w:r>
        <w:rPr>
          <w:rFonts w:ascii="宋体" w:hAnsi="宋体" w:eastAsia="宋体" w:cs="宋体"/>
          <w:snapToGrid w:val="0"/>
          <w:color w:val="000000"/>
          <w:spacing w:val="2"/>
          <w:kern w:val="0"/>
          <w:sz w:val="24"/>
        </w:rPr>
        <w:t>含清淤、疏</w:t>
      </w:r>
      <w:r>
        <w:rPr>
          <w:rFonts w:ascii="宋体" w:hAnsi="宋体" w:eastAsia="宋体" w:cs="宋体"/>
          <w:snapToGrid w:val="0"/>
          <w:color w:val="000000"/>
          <w:spacing w:val="-1"/>
          <w:kern w:val="0"/>
          <w:sz w:val="24"/>
        </w:rPr>
        <w:t>通工作，以及完成上述工作所需要进行的</w:t>
      </w:r>
      <w:r>
        <w:rPr>
          <w:rFonts w:hint="eastAsia" w:ascii="宋体" w:hAnsi="宋体" w:eastAsia="宋体" w:cs="宋体"/>
          <w:snapToGrid w:val="0"/>
          <w:color w:val="000000"/>
          <w:spacing w:val="-1"/>
          <w:kern w:val="0"/>
          <w:sz w:val="24"/>
        </w:rPr>
        <w:t>检测服务</w:t>
      </w:r>
      <w:r>
        <w:rPr>
          <w:rFonts w:ascii="宋体" w:hAnsi="宋体" w:eastAsia="宋体" w:cs="宋体"/>
          <w:snapToGrid w:val="0"/>
          <w:color w:val="000000"/>
          <w:spacing w:val="-1"/>
          <w:kern w:val="0"/>
          <w:sz w:val="24"/>
        </w:rPr>
        <w:t>措施。</w:t>
      </w:r>
    </w:p>
    <w:p w14:paraId="5F7A35E0">
      <w:pPr>
        <w:kinsoku w:val="0"/>
        <w:autoSpaceDE w:val="0"/>
        <w:autoSpaceDN w:val="0"/>
        <w:adjustRightInd w:val="0"/>
        <w:snapToGrid w:val="0"/>
        <w:spacing w:line="500" w:lineRule="exact"/>
        <w:ind w:firstLine="488" w:firstLineChars="200"/>
        <w:jc w:val="left"/>
        <w:textAlignment w:val="baseline"/>
        <w:rPr>
          <w:rFonts w:hint="eastAsia" w:ascii="宋体" w:hAnsi="宋体" w:eastAsia="宋体" w:cs="宋体"/>
          <w:snapToGrid w:val="0"/>
          <w:color w:val="000000"/>
          <w:kern w:val="0"/>
          <w:sz w:val="24"/>
        </w:rPr>
      </w:pPr>
      <w:r>
        <w:rPr>
          <w:rFonts w:ascii="宋体" w:hAnsi="宋体" w:eastAsia="宋体" w:cs="宋体"/>
          <w:snapToGrid w:val="0"/>
          <w:color w:val="000000"/>
          <w:spacing w:val="2"/>
          <w:kern w:val="0"/>
          <w:sz w:val="24"/>
        </w:rPr>
        <w:t>2.4以查错混接和管网缺陷为目的的管线调查，包含所有排水管网，对于通过管线</w:t>
      </w:r>
      <w:r>
        <w:rPr>
          <w:rFonts w:ascii="宋体" w:hAnsi="宋体" w:eastAsia="宋体" w:cs="宋体"/>
          <w:snapToGrid w:val="0"/>
          <w:color w:val="000000"/>
          <w:spacing w:val="1"/>
          <w:kern w:val="0"/>
          <w:sz w:val="24"/>
        </w:rPr>
        <w:t>普查无法发现的错混接点、缺陷点，雨水管道需通过管道封堵、降水进一步排查，以及</w:t>
      </w:r>
      <w:r>
        <w:rPr>
          <w:rFonts w:ascii="宋体" w:hAnsi="宋体" w:eastAsia="宋体" w:cs="宋体"/>
          <w:snapToGrid w:val="0"/>
          <w:color w:val="000000"/>
          <w:spacing w:val="-1"/>
          <w:kern w:val="0"/>
          <w:sz w:val="24"/>
        </w:rPr>
        <w:t>完成上述工作所需要进行的</w:t>
      </w:r>
      <w:r>
        <w:rPr>
          <w:rFonts w:hint="eastAsia" w:ascii="宋体" w:hAnsi="宋体" w:eastAsia="宋体" w:cs="宋体"/>
          <w:snapToGrid w:val="0"/>
          <w:color w:val="000000"/>
          <w:spacing w:val="-1"/>
          <w:kern w:val="0"/>
          <w:sz w:val="24"/>
        </w:rPr>
        <w:t>检测服务</w:t>
      </w:r>
      <w:r>
        <w:rPr>
          <w:rFonts w:ascii="宋体" w:hAnsi="宋体" w:eastAsia="宋体" w:cs="宋体"/>
          <w:snapToGrid w:val="0"/>
          <w:color w:val="000000"/>
          <w:spacing w:val="-1"/>
          <w:kern w:val="0"/>
          <w:sz w:val="24"/>
        </w:rPr>
        <w:t>措施。</w:t>
      </w:r>
    </w:p>
    <w:p w14:paraId="2DDADA26">
      <w:pPr>
        <w:kinsoku w:val="0"/>
        <w:autoSpaceDE w:val="0"/>
        <w:autoSpaceDN w:val="0"/>
        <w:adjustRightInd w:val="0"/>
        <w:snapToGrid w:val="0"/>
        <w:spacing w:line="500" w:lineRule="exact"/>
        <w:ind w:firstLine="484" w:firstLineChars="200"/>
        <w:jc w:val="left"/>
        <w:textAlignment w:val="baseline"/>
        <w:rPr>
          <w:rFonts w:hint="eastAsia" w:ascii="宋体" w:hAnsi="宋体" w:eastAsia="宋体" w:cs="宋体"/>
          <w:snapToGrid w:val="0"/>
          <w:color w:val="000000"/>
          <w:kern w:val="0"/>
          <w:sz w:val="24"/>
        </w:rPr>
      </w:pPr>
      <w:r>
        <w:rPr>
          <w:rFonts w:ascii="宋体" w:hAnsi="宋体" w:eastAsia="宋体" w:cs="宋体"/>
          <w:snapToGrid w:val="0"/>
          <w:color w:val="000000"/>
          <w:spacing w:val="1"/>
          <w:kern w:val="0"/>
          <w:sz w:val="24"/>
        </w:rPr>
        <w:t>2.5管网检测内容包括排水管道视频检测，提供管网结构性和功能性等检测报告，</w:t>
      </w:r>
      <w:r>
        <w:rPr>
          <w:rFonts w:ascii="宋体" w:hAnsi="宋体" w:eastAsia="宋体" w:cs="宋体"/>
          <w:snapToGrid w:val="0"/>
          <w:color w:val="000000"/>
          <w:spacing w:val="-1"/>
          <w:kern w:val="0"/>
          <w:sz w:val="24"/>
        </w:rPr>
        <w:t>本次清淤检测范围内走向分布图及其他相关资料等。</w:t>
      </w:r>
    </w:p>
    <w:p w14:paraId="3E5FF06E">
      <w:pPr>
        <w:kinsoku w:val="0"/>
        <w:autoSpaceDE w:val="0"/>
        <w:autoSpaceDN w:val="0"/>
        <w:adjustRightInd w:val="0"/>
        <w:snapToGrid w:val="0"/>
        <w:spacing w:line="500" w:lineRule="exact"/>
        <w:ind w:firstLine="468" w:firstLineChars="200"/>
        <w:jc w:val="left"/>
        <w:textAlignment w:val="baseline"/>
        <w:rPr>
          <w:rFonts w:ascii="Arial" w:hAnsi="Arial" w:eastAsia="Arial" w:cs="Arial"/>
          <w:snapToGrid w:val="0"/>
          <w:color w:val="000000"/>
          <w:kern w:val="0"/>
          <w:szCs w:val="21"/>
        </w:rPr>
      </w:pPr>
      <w:r>
        <w:rPr>
          <w:rFonts w:ascii="宋体" w:hAnsi="宋体" w:eastAsia="宋体" w:cs="宋体"/>
          <w:snapToGrid w:val="0"/>
          <w:color w:val="000000"/>
          <w:spacing w:val="-3"/>
          <w:kern w:val="0"/>
          <w:sz w:val="24"/>
        </w:rPr>
        <w:t>3、技术要求</w:t>
      </w:r>
    </w:p>
    <w:p w14:paraId="1AB1E5A0">
      <w:pPr>
        <w:kinsoku w:val="0"/>
        <w:autoSpaceDE w:val="0"/>
        <w:autoSpaceDN w:val="0"/>
        <w:adjustRightInd w:val="0"/>
        <w:snapToGrid w:val="0"/>
        <w:spacing w:line="500" w:lineRule="exact"/>
        <w:ind w:firstLine="464" w:firstLineChars="200"/>
        <w:jc w:val="left"/>
        <w:textAlignment w:val="baseline"/>
        <w:rPr>
          <w:rFonts w:hint="eastAsia" w:ascii="宋体" w:hAnsi="宋体" w:eastAsia="宋体" w:cs="宋体"/>
          <w:snapToGrid w:val="0"/>
          <w:color w:val="000000"/>
          <w:kern w:val="0"/>
          <w:sz w:val="24"/>
        </w:rPr>
      </w:pPr>
      <w:r>
        <w:rPr>
          <w:rFonts w:ascii="宋体" w:hAnsi="宋体" w:eastAsia="宋体" w:cs="宋体"/>
          <w:snapToGrid w:val="0"/>
          <w:color w:val="000000"/>
          <w:spacing w:val="-4"/>
          <w:kern w:val="0"/>
          <w:sz w:val="24"/>
        </w:rPr>
        <w:t>3.1工作内容</w:t>
      </w:r>
    </w:p>
    <w:p w14:paraId="4EB04E91">
      <w:pPr>
        <w:kinsoku w:val="0"/>
        <w:autoSpaceDE w:val="0"/>
        <w:autoSpaceDN w:val="0"/>
        <w:adjustRightInd w:val="0"/>
        <w:snapToGrid w:val="0"/>
        <w:spacing w:line="500" w:lineRule="exact"/>
        <w:ind w:firstLine="492" w:firstLineChars="200"/>
        <w:jc w:val="left"/>
        <w:textAlignment w:val="baseline"/>
        <w:rPr>
          <w:rFonts w:hint="eastAsia" w:ascii="宋体" w:hAnsi="宋体" w:eastAsia="宋体" w:cs="宋体"/>
          <w:snapToGrid w:val="0"/>
          <w:color w:val="000000"/>
          <w:kern w:val="0"/>
          <w:sz w:val="24"/>
        </w:rPr>
      </w:pPr>
      <w:r>
        <w:rPr>
          <w:rFonts w:ascii="宋体" w:hAnsi="宋体" w:eastAsia="宋体" w:cs="宋体"/>
          <w:snapToGrid w:val="0"/>
          <w:color w:val="000000"/>
          <w:spacing w:val="3"/>
          <w:kern w:val="0"/>
          <w:sz w:val="24"/>
        </w:rPr>
        <w:t>3.1.1对大丰区建城区指定范围内排水管道现状调查</w:t>
      </w:r>
      <w:r>
        <w:rPr>
          <w:rFonts w:ascii="宋体" w:hAnsi="宋体" w:eastAsia="宋体" w:cs="宋体"/>
          <w:snapToGrid w:val="0"/>
          <w:color w:val="000000"/>
          <w:spacing w:val="2"/>
          <w:kern w:val="0"/>
          <w:sz w:val="24"/>
        </w:rPr>
        <w:t>：排查指定范围内市政排水管</w:t>
      </w:r>
      <w:r>
        <w:rPr>
          <w:rFonts w:ascii="宋体" w:hAnsi="宋体" w:eastAsia="宋体" w:cs="宋体"/>
          <w:snapToGrid w:val="0"/>
          <w:color w:val="000000"/>
          <w:spacing w:val="1"/>
          <w:kern w:val="0"/>
          <w:sz w:val="24"/>
        </w:rPr>
        <w:t>线(包括雨水管线、污水管线、合流管线、沟、渠、函等)的平面位置、高程、埋深、走向(流向)、规格、材质、淤积深度、井盖尺寸、井盖材质、井深、井脖深、井室规格、</w:t>
      </w:r>
      <w:r>
        <w:rPr>
          <w:rFonts w:ascii="宋体" w:hAnsi="宋体" w:eastAsia="宋体" w:cs="宋体"/>
          <w:snapToGrid w:val="0"/>
          <w:color w:val="000000"/>
          <w:spacing w:val="-1"/>
          <w:kern w:val="0"/>
          <w:sz w:val="24"/>
        </w:rPr>
        <w:t>埋设方式、水位等内容；</w:t>
      </w:r>
    </w:p>
    <w:p w14:paraId="5E61DC10">
      <w:pPr>
        <w:kinsoku w:val="0"/>
        <w:autoSpaceDE w:val="0"/>
        <w:autoSpaceDN w:val="0"/>
        <w:adjustRightInd w:val="0"/>
        <w:snapToGrid w:val="0"/>
        <w:spacing w:line="500" w:lineRule="exact"/>
        <w:ind w:firstLine="488" w:firstLineChars="200"/>
        <w:jc w:val="left"/>
        <w:textAlignment w:val="baseline"/>
        <w:rPr>
          <w:rFonts w:hint="eastAsia" w:ascii="宋体" w:hAnsi="宋体" w:eastAsia="宋体" w:cs="宋体"/>
          <w:snapToGrid w:val="0"/>
          <w:color w:val="000000"/>
          <w:kern w:val="0"/>
          <w:sz w:val="24"/>
        </w:rPr>
      </w:pPr>
      <w:r>
        <w:rPr>
          <w:rFonts w:ascii="宋体" w:hAnsi="宋体" w:eastAsia="宋体" w:cs="宋体"/>
          <w:snapToGrid w:val="0"/>
          <w:color w:val="000000"/>
          <w:spacing w:val="2"/>
          <w:kern w:val="0"/>
          <w:sz w:val="24"/>
        </w:rPr>
        <w:t>3.1.2查明雨污混接情况，检查是否存在雨污管道混接、错接情况，管线性连接关</w:t>
      </w:r>
      <w:r>
        <w:rPr>
          <w:rFonts w:ascii="宋体" w:hAnsi="宋体" w:eastAsia="宋体" w:cs="宋体"/>
          <w:snapToGrid w:val="0"/>
          <w:color w:val="000000"/>
          <w:spacing w:val="1"/>
          <w:kern w:val="0"/>
          <w:sz w:val="24"/>
        </w:rPr>
        <w:t>系，混接状况，混接位置，混接原因等。并对发现的雨污混、错接管道进行标注，给出</w:t>
      </w:r>
      <w:r>
        <w:rPr>
          <w:rFonts w:ascii="宋体" w:hAnsi="宋体" w:eastAsia="宋体" w:cs="宋体"/>
          <w:snapToGrid w:val="0"/>
          <w:color w:val="000000"/>
          <w:spacing w:val="-1"/>
          <w:kern w:val="0"/>
          <w:sz w:val="24"/>
        </w:rPr>
        <w:t>整改建议，为雨污分流设计改造、</w:t>
      </w:r>
      <w:r>
        <w:rPr>
          <w:rFonts w:hint="eastAsia" w:ascii="宋体" w:hAnsi="宋体" w:eastAsia="宋体" w:cs="宋体"/>
          <w:snapToGrid w:val="0"/>
          <w:color w:val="000000"/>
          <w:spacing w:val="-1"/>
          <w:kern w:val="0"/>
          <w:sz w:val="24"/>
        </w:rPr>
        <w:t>实施</w:t>
      </w:r>
      <w:r>
        <w:rPr>
          <w:rFonts w:ascii="宋体" w:hAnsi="宋体" w:eastAsia="宋体" w:cs="宋体"/>
          <w:snapToGrid w:val="0"/>
          <w:color w:val="000000"/>
          <w:spacing w:val="-1"/>
          <w:kern w:val="0"/>
          <w:sz w:val="24"/>
        </w:rPr>
        <w:t>提供依据。</w:t>
      </w:r>
    </w:p>
    <w:p w14:paraId="657C28D3">
      <w:pPr>
        <w:kinsoku w:val="0"/>
        <w:autoSpaceDE w:val="0"/>
        <w:autoSpaceDN w:val="0"/>
        <w:adjustRightInd w:val="0"/>
        <w:snapToGrid w:val="0"/>
        <w:spacing w:line="500" w:lineRule="exact"/>
        <w:ind w:firstLine="488" w:firstLineChars="200"/>
        <w:jc w:val="left"/>
        <w:textAlignment w:val="baseline"/>
        <w:rPr>
          <w:rFonts w:hint="eastAsia" w:ascii="宋体" w:hAnsi="宋体" w:eastAsia="宋体" w:cs="宋体"/>
          <w:snapToGrid w:val="0"/>
          <w:color w:val="000000"/>
          <w:kern w:val="0"/>
          <w:sz w:val="24"/>
        </w:rPr>
      </w:pPr>
      <w:r>
        <w:rPr>
          <w:rFonts w:ascii="宋体" w:hAnsi="宋体" w:eastAsia="宋体" w:cs="宋体"/>
          <w:snapToGrid w:val="0"/>
          <w:color w:val="000000"/>
          <w:spacing w:val="2"/>
          <w:kern w:val="0"/>
          <w:sz w:val="24"/>
        </w:rPr>
        <w:t>3.1.3以甲方提供的控制测量成果为起算依据测量排水管线的平面坐</w:t>
      </w:r>
      <w:r>
        <w:rPr>
          <w:rFonts w:ascii="宋体" w:hAnsi="宋体" w:eastAsia="宋体" w:cs="宋体"/>
          <w:snapToGrid w:val="0"/>
          <w:color w:val="000000"/>
          <w:spacing w:val="1"/>
          <w:kern w:val="0"/>
          <w:sz w:val="24"/>
        </w:rPr>
        <w:t>标及高程，建</w:t>
      </w:r>
      <w:r>
        <w:rPr>
          <w:rFonts w:ascii="宋体" w:hAnsi="宋体" w:eastAsia="宋体" w:cs="宋体"/>
          <w:snapToGrid w:val="0"/>
          <w:color w:val="000000"/>
          <w:spacing w:val="-2"/>
          <w:kern w:val="0"/>
          <w:sz w:val="24"/>
        </w:rPr>
        <w:t>立排水管线数据库。</w:t>
      </w:r>
    </w:p>
    <w:p w14:paraId="1B767EE7">
      <w:pPr>
        <w:kinsoku w:val="0"/>
        <w:autoSpaceDE w:val="0"/>
        <w:autoSpaceDN w:val="0"/>
        <w:adjustRightInd w:val="0"/>
        <w:snapToGrid w:val="0"/>
        <w:spacing w:line="500" w:lineRule="exact"/>
        <w:ind w:firstLine="476" w:firstLineChars="200"/>
        <w:jc w:val="left"/>
        <w:textAlignment w:val="baseline"/>
        <w:rPr>
          <w:rFonts w:hint="eastAsia" w:ascii="宋体" w:hAnsi="宋体" w:eastAsia="宋体" w:cs="宋体"/>
          <w:snapToGrid w:val="0"/>
          <w:color w:val="000000"/>
          <w:kern w:val="0"/>
          <w:sz w:val="24"/>
        </w:rPr>
      </w:pPr>
      <w:r>
        <w:rPr>
          <w:rFonts w:ascii="宋体" w:hAnsi="宋体" w:eastAsia="宋体" w:cs="宋体"/>
          <w:snapToGrid w:val="0"/>
          <w:color w:val="000000"/>
          <w:spacing w:val="-1"/>
          <w:kern w:val="0"/>
          <w:sz w:val="24"/>
        </w:rPr>
        <w:t>3.1.4对大丰区建城区指定范围内雨水管网及附属设施进行清掏、清淤、疏通。</w:t>
      </w:r>
    </w:p>
    <w:p w14:paraId="509DF035">
      <w:pPr>
        <w:kinsoku w:val="0"/>
        <w:autoSpaceDE w:val="0"/>
        <w:autoSpaceDN w:val="0"/>
        <w:adjustRightInd w:val="0"/>
        <w:snapToGrid w:val="0"/>
        <w:spacing w:line="500" w:lineRule="exact"/>
        <w:ind w:firstLine="492" w:firstLineChars="200"/>
        <w:jc w:val="left"/>
        <w:textAlignment w:val="baseline"/>
        <w:rPr>
          <w:rFonts w:hint="eastAsia" w:ascii="宋体" w:hAnsi="宋体" w:eastAsia="宋体" w:cs="宋体"/>
          <w:snapToGrid w:val="0"/>
          <w:color w:val="000000"/>
          <w:kern w:val="0"/>
          <w:sz w:val="24"/>
        </w:rPr>
      </w:pPr>
      <w:r>
        <w:rPr>
          <w:rFonts w:ascii="宋体" w:hAnsi="宋体" w:eastAsia="宋体" w:cs="宋体"/>
          <w:snapToGrid w:val="0"/>
          <w:color w:val="000000"/>
          <w:spacing w:val="3"/>
          <w:kern w:val="0"/>
          <w:sz w:val="24"/>
        </w:rPr>
        <w:t>3.1.5对大丰区建城区指定范围内雨水管网及附属设</w:t>
      </w:r>
      <w:r>
        <w:rPr>
          <w:rFonts w:ascii="宋体" w:hAnsi="宋体" w:eastAsia="宋体" w:cs="宋体"/>
          <w:snapToGrid w:val="0"/>
          <w:color w:val="000000"/>
          <w:spacing w:val="2"/>
          <w:kern w:val="0"/>
          <w:sz w:val="24"/>
        </w:rPr>
        <w:t>施管网运行情况缺陷评估：使</w:t>
      </w:r>
      <w:r>
        <w:rPr>
          <w:rFonts w:ascii="宋体" w:hAnsi="宋体" w:eastAsia="宋体" w:cs="宋体"/>
          <w:snapToGrid w:val="0"/>
          <w:color w:val="000000"/>
          <w:kern w:val="0"/>
          <w:sz w:val="24"/>
        </w:rPr>
        <w:t>用CCTV检测机器人、QV内窥镜、SLAM三维激光扫描仪、声纳等设备检查管道内部健</w:t>
      </w:r>
      <w:r>
        <w:rPr>
          <w:rFonts w:ascii="宋体" w:hAnsi="宋体" w:eastAsia="宋体" w:cs="宋体"/>
          <w:snapToGrid w:val="0"/>
          <w:color w:val="000000"/>
          <w:spacing w:val="-1"/>
          <w:kern w:val="0"/>
          <w:sz w:val="24"/>
        </w:rPr>
        <w:t>康状况及精准定位、溯源雨污混接点，对排水管网进行详细的结</w:t>
      </w:r>
      <w:r>
        <w:rPr>
          <w:rFonts w:ascii="宋体" w:hAnsi="宋体" w:eastAsia="宋体" w:cs="宋体"/>
          <w:snapToGrid w:val="0"/>
          <w:color w:val="000000"/>
          <w:spacing w:val="-2"/>
          <w:kern w:val="0"/>
          <w:sz w:val="24"/>
        </w:rPr>
        <w:t>构性缺陷（错接、破裂、</w:t>
      </w:r>
      <w:r>
        <w:rPr>
          <w:rFonts w:ascii="宋体" w:hAnsi="宋体" w:eastAsia="宋体" w:cs="宋体"/>
          <w:snapToGrid w:val="0"/>
          <w:color w:val="000000"/>
          <w:spacing w:val="1"/>
          <w:kern w:val="0"/>
          <w:sz w:val="24"/>
        </w:rPr>
        <w:t>变形、腐蚀、错口、起伏、脱节、接口材料脱落、支管暗接、异物穿入、渗漏等）和功能性缺陷（沉积、结垢、障碍物、残墙坝根、树根、浮渣等）全面排查，形成全过程检测视频资料，和缺陷点位图像资料，判定缺陷类型、数量、位置和状况，评估管道损坏</w:t>
      </w:r>
      <w:r>
        <w:rPr>
          <w:rFonts w:ascii="宋体" w:hAnsi="宋体" w:eastAsia="宋体" w:cs="宋体"/>
          <w:snapToGrid w:val="0"/>
          <w:color w:val="000000"/>
          <w:spacing w:val="-1"/>
          <w:kern w:val="0"/>
          <w:sz w:val="24"/>
        </w:rPr>
        <w:t>程度，并提出修复和养护建议。</w:t>
      </w:r>
    </w:p>
    <w:p w14:paraId="23CA4964">
      <w:pPr>
        <w:kinsoku w:val="0"/>
        <w:autoSpaceDE w:val="0"/>
        <w:autoSpaceDN w:val="0"/>
        <w:adjustRightInd w:val="0"/>
        <w:snapToGrid w:val="0"/>
        <w:spacing w:line="500" w:lineRule="exact"/>
        <w:ind w:firstLine="464" w:firstLineChars="200"/>
        <w:jc w:val="left"/>
        <w:textAlignment w:val="baseline"/>
        <w:rPr>
          <w:rFonts w:hint="eastAsia" w:ascii="宋体" w:hAnsi="宋体" w:eastAsia="宋体" w:cs="宋体"/>
          <w:snapToGrid w:val="0"/>
          <w:color w:val="000000"/>
          <w:kern w:val="0"/>
          <w:sz w:val="24"/>
        </w:rPr>
      </w:pPr>
      <w:r>
        <w:rPr>
          <w:rFonts w:ascii="宋体" w:hAnsi="宋体" w:eastAsia="宋体" w:cs="宋体"/>
          <w:snapToGrid w:val="0"/>
          <w:color w:val="000000"/>
          <w:spacing w:val="-4"/>
          <w:kern w:val="0"/>
          <w:sz w:val="24"/>
        </w:rPr>
        <w:t>3.2服务标准</w:t>
      </w:r>
    </w:p>
    <w:p w14:paraId="59D95985">
      <w:pPr>
        <w:kinsoku w:val="0"/>
        <w:autoSpaceDE w:val="0"/>
        <w:autoSpaceDN w:val="0"/>
        <w:adjustRightInd w:val="0"/>
        <w:snapToGrid w:val="0"/>
        <w:spacing w:line="500" w:lineRule="exact"/>
        <w:ind w:firstLine="468" w:firstLineChars="200"/>
        <w:jc w:val="left"/>
        <w:textAlignment w:val="baseline"/>
        <w:rPr>
          <w:rFonts w:hint="eastAsia" w:ascii="宋体" w:hAnsi="宋体" w:eastAsia="宋体" w:cs="宋体"/>
          <w:snapToGrid w:val="0"/>
          <w:color w:val="000000"/>
          <w:kern w:val="0"/>
          <w:sz w:val="24"/>
        </w:rPr>
      </w:pPr>
      <w:r>
        <w:rPr>
          <w:rFonts w:ascii="宋体" w:hAnsi="宋体" w:eastAsia="宋体" w:cs="宋体"/>
          <w:snapToGrid w:val="0"/>
          <w:color w:val="000000"/>
          <w:spacing w:val="-3"/>
          <w:kern w:val="0"/>
          <w:sz w:val="24"/>
        </w:rPr>
        <w:t>3.2.1技术要求</w:t>
      </w:r>
    </w:p>
    <w:p w14:paraId="03159C72">
      <w:pPr>
        <w:kinsoku w:val="0"/>
        <w:autoSpaceDE w:val="0"/>
        <w:autoSpaceDN w:val="0"/>
        <w:adjustRightInd w:val="0"/>
        <w:snapToGrid w:val="0"/>
        <w:spacing w:line="500" w:lineRule="exact"/>
        <w:ind w:firstLine="476" w:firstLineChars="200"/>
        <w:jc w:val="left"/>
        <w:textAlignment w:val="baseline"/>
        <w:rPr>
          <w:rFonts w:hint="eastAsia" w:ascii="宋体" w:hAnsi="宋体" w:eastAsia="宋体" w:cs="宋体"/>
          <w:snapToGrid w:val="0"/>
          <w:color w:val="000000"/>
          <w:kern w:val="0"/>
          <w:sz w:val="24"/>
        </w:rPr>
      </w:pPr>
      <w:r>
        <w:rPr>
          <w:rFonts w:ascii="宋体" w:hAnsi="宋体" w:eastAsia="宋体" w:cs="宋体"/>
          <w:snapToGrid w:val="0"/>
          <w:color w:val="000000"/>
          <w:spacing w:val="-1"/>
          <w:kern w:val="0"/>
          <w:sz w:val="24"/>
        </w:rPr>
        <w:t>（1）管网排查成果表包括但不限于排查时</w:t>
      </w:r>
      <w:r>
        <w:rPr>
          <w:rFonts w:ascii="宋体" w:hAnsi="宋体" w:eastAsia="宋体" w:cs="宋体"/>
          <w:snapToGrid w:val="0"/>
          <w:color w:val="000000"/>
          <w:spacing w:val="-2"/>
          <w:kern w:val="0"/>
          <w:sz w:val="24"/>
        </w:rPr>
        <w:t>间、路名、管道类型、开始/结束井编号、</w:t>
      </w:r>
      <w:r>
        <w:rPr>
          <w:rFonts w:ascii="宋体" w:hAnsi="宋体" w:eastAsia="宋体" w:cs="宋体"/>
          <w:snapToGrid w:val="0"/>
          <w:color w:val="000000"/>
          <w:spacing w:val="-1"/>
          <w:kern w:val="0"/>
          <w:sz w:val="24"/>
        </w:rPr>
        <w:t>管径、高程（管底高程、井底高程、检查井地面高程）、坐</w:t>
      </w:r>
      <w:r>
        <w:rPr>
          <w:rFonts w:ascii="宋体" w:hAnsi="宋体" w:eastAsia="宋体" w:cs="宋体"/>
          <w:snapToGrid w:val="0"/>
          <w:color w:val="000000"/>
          <w:spacing w:val="-2"/>
          <w:kern w:val="0"/>
          <w:sz w:val="24"/>
        </w:rPr>
        <w:t>标、材质、内衬、缺陷位置、起止位置和长度等。</w:t>
      </w:r>
    </w:p>
    <w:p w14:paraId="11DD0651">
      <w:pPr>
        <w:kinsoku w:val="0"/>
        <w:autoSpaceDE w:val="0"/>
        <w:autoSpaceDN w:val="0"/>
        <w:adjustRightInd w:val="0"/>
        <w:snapToGrid w:val="0"/>
        <w:spacing w:line="500" w:lineRule="exact"/>
        <w:ind w:firstLine="476" w:firstLineChars="200"/>
        <w:jc w:val="left"/>
        <w:textAlignment w:val="baseline"/>
        <w:rPr>
          <w:rFonts w:hint="eastAsia" w:ascii="宋体" w:hAnsi="宋体" w:eastAsia="宋体" w:cs="宋体"/>
          <w:snapToGrid w:val="0"/>
          <w:color w:val="000000"/>
          <w:kern w:val="0"/>
          <w:sz w:val="24"/>
        </w:rPr>
      </w:pPr>
      <w:r>
        <w:rPr>
          <w:rFonts w:ascii="宋体" w:hAnsi="宋体" w:eastAsia="宋体" w:cs="宋体"/>
          <w:snapToGrid w:val="0"/>
          <w:color w:val="000000"/>
          <w:spacing w:val="-1"/>
          <w:kern w:val="0"/>
          <w:sz w:val="24"/>
        </w:rPr>
        <w:t>（2）CAD排水管网图应采用2000国家大地坐标系、1985国家高程基准，内容包括但不限于标注管道类型、结构性缺陷和功能性缺陷，管道及</w:t>
      </w:r>
      <w:r>
        <w:rPr>
          <w:rFonts w:ascii="宋体" w:hAnsi="宋体" w:eastAsia="宋体" w:cs="宋体"/>
          <w:snapToGrid w:val="0"/>
          <w:color w:val="000000"/>
          <w:spacing w:val="-2"/>
          <w:kern w:val="0"/>
          <w:sz w:val="24"/>
        </w:rPr>
        <w:t>检查井的标高、位置坐标、</w:t>
      </w:r>
      <w:r>
        <w:rPr>
          <w:rFonts w:ascii="宋体" w:hAnsi="宋体" w:eastAsia="宋体" w:cs="宋体"/>
          <w:snapToGrid w:val="0"/>
          <w:color w:val="000000"/>
          <w:spacing w:val="1"/>
          <w:kern w:val="0"/>
          <w:sz w:val="24"/>
        </w:rPr>
        <w:t>管径尺寸、连接状况、雨污合流情况、埋深、材质、流向及防坠网等辅助设施，并与排</w:t>
      </w:r>
      <w:r>
        <w:rPr>
          <w:rFonts w:ascii="宋体" w:hAnsi="宋体" w:eastAsia="宋体" w:cs="宋体"/>
          <w:snapToGrid w:val="0"/>
          <w:color w:val="000000"/>
          <w:spacing w:val="-2"/>
          <w:kern w:val="0"/>
          <w:sz w:val="24"/>
        </w:rPr>
        <w:t>查成果表相对应。</w:t>
      </w:r>
    </w:p>
    <w:p w14:paraId="5DC2D8E6">
      <w:pPr>
        <w:kinsoku w:val="0"/>
        <w:autoSpaceDE w:val="0"/>
        <w:autoSpaceDN w:val="0"/>
        <w:adjustRightInd w:val="0"/>
        <w:snapToGrid w:val="0"/>
        <w:spacing w:line="500" w:lineRule="exact"/>
        <w:ind w:firstLine="496" w:firstLineChars="200"/>
        <w:jc w:val="left"/>
        <w:textAlignment w:val="baseline"/>
        <w:rPr>
          <w:rFonts w:hint="eastAsia" w:ascii="宋体" w:hAnsi="宋体" w:eastAsia="宋体" w:cs="宋体"/>
          <w:snapToGrid w:val="0"/>
          <w:color w:val="000000"/>
          <w:kern w:val="0"/>
          <w:sz w:val="24"/>
        </w:rPr>
      </w:pPr>
      <w:r>
        <w:rPr>
          <w:rFonts w:ascii="宋体" w:hAnsi="宋体" w:eastAsia="宋体" w:cs="宋体"/>
          <w:snapToGrid w:val="0"/>
          <w:color w:val="000000"/>
          <w:spacing w:val="4"/>
          <w:kern w:val="0"/>
          <w:sz w:val="24"/>
        </w:rPr>
        <w:t>（3）排查成果报告应对管道排查成果进行全面系统的整理，客观科学的评价现状</w:t>
      </w:r>
      <w:r>
        <w:rPr>
          <w:rFonts w:ascii="宋体" w:hAnsi="宋体" w:eastAsia="宋体" w:cs="宋体"/>
          <w:snapToGrid w:val="0"/>
          <w:color w:val="000000"/>
          <w:spacing w:val="-1"/>
          <w:kern w:val="0"/>
          <w:sz w:val="24"/>
        </w:rPr>
        <w:t>雨污水管道，给出检测结论，并提出修复建议等。</w:t>
      </w:r>
    </w:p>
    <w:p w14:paraId="33CD4271">
      <w:pPr>
        <w:kinsoku w:val="0"/>
        <w:autoSpaceDE w:val="0"/>
        <w:autoSpaceDN w:val="0"/>
        <w:adjustRightInd w:val="0"/>
        <w:snapToGrid w:val="0"/>
        <w:spacing w:line="500" w:lineRule="exact"/>
        <w:ind w:firstLine="472" w:firstLineChars="200"/>
        <w:jc w:val="left"/>
        <w:textAlignment w:val="baseline"/>
        <w:rPr>
          <w:rFonts w:hint="eastAsia" w:ascii="宋体" w:hAnsi="宋体" w:eastAsia="宋体" w:cs="宋体"/>
          <w:snapToGrid w:val="0"/>
          <w:color w:val="000000"/>
          <w:kern w:val="0"/>
          <w:sz w:val="24"/>
        </w:rPr>
      </w:pPr>
      <w:r>
        <w:rPr>
          <w:rFonts w:ascii="宋体" w:hAnsi="宋体" w:eastAsia="宋体" w:cs="宋体"/>
          <w:snapToGrid w:val="0"/>
          <w:color w:val="000000"/>
          <w:spacing w:val="-2"/>
          <w:kern w:val="0"/>
          <w:sz w:val="24"/>
        </w:rPr>
        <w:t>（4）排查测量及测量精度要求：</w:t>
      </w:r>
    </w:p>
    <w:p w14:paraId="08D25432">
      <w:pPr>
        <w:kinsoku w:val="0"/>
        <w:autoSpaceDE w:val="0"/>
        <w:autoSpaceDN w:val="0"/>
        <w:adjustRightInd w:val="0"/>
        <w:snapToGrid w:val="0"/>
        <w:spacing w:line="500" w:lineRule="exact"/>
        <w:ind w:firstLine="496" w:firstLineChars="200"/>
        <w:textAlignment w:val="baseline"/>
        <w:rPr>
          <w:rFonts w:hint="eastAsia" w:ascii="宋体" w:hAnsi="宋体" w:eastAsia="宋体" w:cs="宋体"/>
          <w:snapToGrid w:val="0"/>
          <w:color w:val="000000"/>
          <w:kern w:val="0"/>
          <w:sz w:val="24"/>
        </w:rPr>
      </w:pPr>
      <w:r>
        <w:rPr>
          <w:rFonts w:ascii="宋体" w:hAnsi="宋体" w:eastAsia="宋体" w:cs="宋体"/>
          <w:snapToGrid w:val="0"/>
          <w:color w:val="000000"/>
          <w:spacing w:val="4"/>
          <w:kern w:val="0"/>
          <w:sz w:val="24"/>
        </w:rPr>
        <w:t>平面精度明显地下管线（构筑物）点的平面位置测量中误差不大于50</w:t>
      </w:r>
      <w:r>
        <w:rPr>
          <w:rFonts w:ascii="宋体" w:hAnsi="宋体" w:eastAsia="宋体" w:cs="宋体"/>
          <w:snapToGrid w:val="0"/>
          <w:color w:val="000000"/>
          <w:spacing w:val="3"/>
          <w:kern w:val="0"/>
          <w:sz w:val="24"/>
        </w:rPr>
        <w:t>毫米。隐蔽地下管线（构筑物）点的平面位置探查中误差不大于</w:t>
      </w:r>
      <w:r>
        <w:rPr>
          <w:rFonts w:hint="eastAsia" w:ascii="宋体" w:hAnsi="宋体" w:eastAsia="宋体" w:cs="宋体"/>
          <w:snapToGrid w:val="0"/>
          <w:color w:val="000000"/>
          <w:spacing w:val="3"/>
          <w:kern w:val="0"/>
          <w:sz w:val="24"/>
        </w:rPr>
        <w:t>0.1</w:t>
      </w:r>
      <w:r>
        <w:rPr>
          <w:rFonts w:ascii="宋体" w:hAnsi="宋体" w:eastAsia="宋体" w:cs="宋体"/>
          <w:snapToGrid w:val="0"/>
          <w:color w:val="000000"/>
          <w:spacing w:val="3"/>
          <w:kern w:val="0"/>
          <w:sz w:val="24"/>
        </w:rPr>
        <w:t>h毫米(h为管线（</w:t>
      </w:r>
      <w:r>
        <w:rPr>
          <w:rFonts w:ascii="宋体" w:hAnsi="宋体" w:eastAsia="宋体" w:cs="宋体"/>
          <w:snapToGrid w:val="0"/>
          <w:color w:val="000000"/>
          <w:spacing w:val="2"/>
          <w:kern w:val="0"/>
          <w:sz w:val="24"/>
        </w:rPr>
        <w:t>构筑物）</w:t>
      </w:r>
      <w:r>
        <w:rPr>
          <w:rFonts w:ascii="宋体" w:hAnsi="宋体" w:eastAsia="宋体" w:cs="宋体"/>
          <w:snapToGrid w:val="0"/>
          <w:color w:val="000000"/>
          <w:kern w:val="0"/>
          <w:sz w:val="24"/>
        </w:rPr>
        <w:t>中心埋深，单位为毫米，当h&lt;1000毫米时以1000毫米</w:t>
      </w:r>
      <w:r>
        <w:rPr>
          <w:rFonts w:ascii="宋体" w:hAnsi="宋体" w:eastAsia="宋体" w:cs="宋体"/>
          <w:snapToGrid w:val="0"/>
          <w:color w:val="000000"/>
          <w:spacing w:val="-1"/>
          <w:kern w:val="0"/>
          <w:sz w:val="24"/>
        </w:rPr>
        <w:t>代入计算）。高程精度地下管线</w:t>
      </w:r>
      <w:r>
        <w:rPr>
          <w:rFonts w:ascii="宋体" w:hAnsi="宋体" w:eastAsia="宋体" w:cs="宋体"/>
          <w:snapToGrid w:val="0"/>
          <w:color w:val="000000"/>
          <w:spacing w:val="4"/>
          <w:kern w:val="0"/>
          <w:sz w:val="24"/>
        </w:rPr>
        <w:t>（构筑物）点的高程测量中误差不大于30毫米</w:t>
      </w:r>
      <w:r>
        <w:rPr>
          <w:rFonts w:ascii="宋体" w:hAnsi="宋体" w:eastAsia="宋体" w:cs="宋体"/>
          <w:snapToGrid w:val="0"/>
          <w:color w:val="000000"/>
          <w:spacing w:val="3"/>
          <w:kern w:val="0"/>
          <w:sz w:val="24"/>
        </w:rPr>
        <w:t>。埋深精度明显管线（构筑物）点的埋</w:t>
      </w:r>
      <w:r>
        <w:rPr>
          <w:rFonts w:ascii="宋体" w:hAnsi="宋体" w:eastAsia="宋体" w:cs="宋体"/>
          <w:snapToGrid w:val="0"/>
          <w:color w:val="000000"/>
          <w:spacing w:val="2"/>
          <w:kern w:val="0"/>
          <w:sz w:val="24"/>
        </w:rPr>
        <w:t>深量测中误差不大于25毫米。隐蔽管线（构筑物）</w:t>
      </w:r>
      <w:r>
        <w:rPr>
          <w:rFonts w:ascii="宋体" w:hAnsi="宋体" w:eastAsia="宋体" w:cs="宋体"/>
          <w:snapToGrid w:val="0"/>
          <w:color w:val="000000"/>
          <w:spacing w:val="1"/>
          <w:kern w:val="0"/>
          <w:sz w:val="24"/>
        </w:rPr>
        <w:t>点的埋深探查中误差不大于</w:t>
      </w:r>
      <w:r>
        <w:rPr>
          <w:rFonts w:hint="eastAsia" w:ascii="宋体" w:hAnsi="宋体" w:eastAsia="宋体" w:cs="宋体"/>
          <w:snapToGrid w:val="0"/>
          <w:color w:val="000000"/>
          <w:spacing w:val="1"/>
          <w:kern w:val="0"/>
          <w:sz w:val="24"/>
        </w:rPr>
        <w:t>0.15</w:t>
      </w:r>
      <w:r>
        <w:rPr>
          <w:rFonts w:ascii="宋体" w:hAnsi="宋体" w:eastAsia="宋体" w:cs="宋体"/>
          <w:snapToGrid w:val="0"/>
          <w:color w:val="000000"/>
          <w:spacing w:val="1"/>
          <w:kern w:val="0"/>
          <w:sz w:val="24"/>
        </w:rPr>
        <w:t>h</w:t>
      </w:r>
      <w:r>
        <w:rPr>
          <w:rFonts w:ascii="宋体" w:hAnsi="宋体" w:eastAsia="宋体" w:cs="宋体"/>
          <w:snapToGrid w:val="0"/>
          <w:color w:val="000000"/>
          <w:spacing w:val="2"/>
          <w:kern w:val="0"/>
          <w:sz w:val="24"/>
        </w:rPr>
        <w:t>毫米(h为管线（构筑物）中心埋深，单位为毫米，当h&lt;1000毫米时以1000毫米代入</w:t>
      </w:r>
      <w:r>
        <w:rPr>
          <w:rFonts w:ascii="宋体" w:hAnsi="宋体" w:eastAsia="宋体" w:cs="宋体"/>
          <w:snapToGrid w:val="0"/>
          <w:color w:val="000000"/>
          <w:spacing w:val="-2"/>
          <w:kern w:val="0"/>
          <w:sz w:val="24"/>
        </w:rPr>
        <w:t>计算）。</w:t>
      </w:r>
    </w:p>
    <w:p w14:paraId="3029914A">
      <w:pPr>
        <w:kinsoku w:val="0"/>
        <w:autoSpaceDE w:val="0"/>
        <w:autoSpaceDN w:val="0"/>
        <w:adjustRightInd w:val="0"/>
        <w:snapToGrid w:val="0"/>
        <w:spacing w:line="500" w:lineRule="exact"/>
        <w:ind w:firstLine="464" w:firstLineChars="200"/>
        <w:jc w:val="left"/>
        <w:textAlignment w:val="baseline"/>
        <w:rPr>
          <w:rFonts w:hint="eastAsia" w:ascii="宋体" w:hAnsi="宋体" w:eastAsia="宋体" w:cs="宋体"/>
          <w:snapToGrid w:val="0"/>
          <w:color w:val="000000"/>
          <w:kern w:val="0"/>
          <w:sz w:val="24"/>
        </w:rPr>
      </w:pPr>
      <w:r>
        <w:rPr>
          <w:rFonts w:ascii="宋体" w:hAnsi="宋体" w:eastAsia="宋体" w:cs="宋体"/>
          <w:snapToGrid w:val="0"/>
          <w:color w:val="000000"/>
          <w:spacing w:val="-4"/>
          <w:kern w:val="0"/>
          <w:sz w:val="24"/>
        </w:rPr>
        <w:t>3.3服务标准</w:t>
      </w:r>
    </w:p>
    <w:p w14:paraId="447E282E">
      <w:pPr>
        <w:kinsoku w:val="0"/>
        <w:autoSpaceDE w:val="0"/>
        <w:autoSpaceDN w:val="0"/>
        <w:adjustRightInd w:val="0"/>
        <w:snapToGrid w:val="0"/>
        <w:spacing w:line="500" w:lineRule="exact"/>
        <w:ind w:firstLine="476" w:firstLineChars="200"/>
        <w:jc w:val="left"/>
        <w:textAlignment w:val="baseline"/>
        <w:rPr>
          <w:rFonts w:hint="eastAsia" w:ascii="宋体" w:hAnsi="宋体" w:eastAsia="宋体" w:cs="宋体"/>
          <w:snapToGrid w:val="0"/>
          <w:color w:val="000000"/>
          <w:kern w:val="0"/>
          <w:sz w:val="24"/>
        </w:rPr>
      </w:pPr>
      <w:r>
        <w:rPr>
          <w:rFonts w:ascii="宋体" w:hAnsi="宋体" w:eastAsia="宋体" w:cs="宋体"/>
          <w:snapToGrid w:val="0"/>
          <w:color w:val="000000"/>
          <w:spacing w:val="-1"/>
          <w:kern w:val="0"/>
          <w:sz w:val="24"/>
        </w:rPr>
        <w:t>（1)《城镇内涝防治技术规范》（GB51222-2017</w:t>
      </w:r>
      <w:r>
        <w:rPr>
          <w:rFonts w:ascii="宋体" w:hAnsi="宋体" w:eastAsia="宋体" w:cs="宋体"/>
          <w:snapToGrid w:val="0"/>
          <w:color w:val="000000"/>
          <w:spacing w:val="3"/>
          <w:kern w:val="0"/>
          <w:sz w:val="24"/>
        </w:rPr>
        <w:t>）；</w:t>
      </w:r>
    </w:p>
    <w:p w14:paraId="012FB05B">
      <w:pPr>
        <w:kinsoku w:val="0"/>
        <w:autoSpaceDE w:val="0"/>
        <w:autoSpaceDN w:val="0"/>
        <w:adjustRightInd w:val="0"/>
        <w:snapToGrid w:val="0"/>
        <w:spacing w:line="500" w:lineRule="exact"/>
        <w:ind w:firstLine="476" w:firstLineChars="200"/>
        <w:jc w:val="left"/>
        <w:textAlignment w:val="baseline"/>
        <w:rPr>
          <w:rFonts w:hint="eastAsia" w:ascii="宋体" w:hAnsi="宋体" w:eastAsia="宋体" w:cs="宋体"/>
          <w:snapToGrid w:val="0"/>
          <w:color w:val="000000"/>
          <w:kern w:val="0"/>
          <w:sz w:val="24"/>
        </w:rPr>
      </w:pPr>
      <w:r>
        <w:rPr>
          <w:rFonts w:ascii="宋体" w:hAnsi="宋体" w:eastAsia="宋体" w:cs="宋体"/>
          <w:snapToGrid w:val="0"/>
          <w:color w:val="000000"/>
          <w:spacing w:val="-1"/>
          <w:kern w:val="0"/>
          <w:sz w:val="24"/>
        </w:rPr>
        <w:t>（2)《城镇排水管渠与泵站运行、维护及安全技术规程》（CJJ68-2016</w:t>
      </w:r>
      <w:r>
        <w:rPr>
          <w:rFonts w:ascii="宋体" w:hAnsi="宋体" w:eastAsia="宋体" w:cs="宋体"/>
          <w:snapToGrid w:val="0"/>
          <w:color w:val="000000"/>
          <w:spacing w:val="7"/>
          <w:kern w:val="0"/>
          <w:sz w:val="24"/>
        </w:rPr>
        <w:t>）；</w:t>
      </w:r>
    </w:p>
    <w:p w14:paraId="0EF052C0">
      <w:pPr>
        <w:kinsoku w:val="0"/>
        <w:autoSpaceDE w:val="0"/>
        <w:autoSpaceDN w:val="0"/>
        <w:adjustRightInd w:val="0"/>
        <w:snapToGrid w:val="0"/>
        <w:spacing w:line="500" w:lineRule="exact"/>
        <w:ind w:firstLine="476" w:firstLineChars="200"/>
        <w:jc w:val="left"/>
        <w:textAlignment w:val="baseline"/>
        <w:rPr>
          <w:rFonts w:hint="eastAsia" w:ascii="宋体" w:hAnsi="宋体" w:eastAsia="宋体" w:cs="宋体"/>
          <w:snapToGrid w:val="0"/>
          <w:color w:val="000000"/>
          <w:kern w:val="0"/>
          <w:sz w:val="24"/>
        </w:rPr>
      </w:pPr>
      <w:r>
        <w:rPr>
          <w:rFonts w:ascii="宋体" w:hAnsi="宋体" w:eastAsia="宋体" w:cs="宋体"/>
          <w:snapToGrid w:val="0"/>
          <w:color w:val="000000"/>
          <w:spacing w:val="-1"/>
          <w:kern w:val="0"/>
          <w:sz w:val="24"/>
        </w:rPr>
        <w:t>（3)《城市排水防涝设施数据采集与维护技术规范》（GB/T51187-2016</w:t>
      </w:r>
      <w:r>
        <w:rPr>
          <w:rFonts w:ascii="宋体" w:hAnsi="宋体" w:eastAsia="宋体" w:cs="宋体"/>
          <w:snapToGrid w:val="0"/>
          <w:color w:val="000000"/>
          <w:spacing w:val="8"/>
          <w:kern w:val="0"/>
          <w:sz w:val="24"/>
        </w:rPr>
        <w:t>）；</w:t>
      </w:r>
    </w:p>
    <w:p w14:paraId="6F537F9C">
      <w:pPr>
        <w:kinsoku w:val="0"/>
        <w:autoSpaceDE w:val="0"/>
        <w:autoSpaceDN w:val="0"/>
        <w:adjustRightInd w:val="0"/>
        <w:snapToGrid w:val="0"/>
        <w:spacing w:line="500" w:lineRule="exact"/>
        <w:ind w:firstLine="476" w:firstLineChars="200"/>
        <w:jc w:val="left"/>
        <w:textAlignment w:val="baseline"/>
        <w:rPr>
          <w:rFonts w:hint="eastAsia" w:ascii="宋体" w:hAnsi="宋体" w:eastAsia="宋体" w:cs="宋体"/>
          <w:snapToGrid w:val="0"/>
          <w:color w:val="000000"/>
          <w:kern w:val="0"/>
          <w:sz w:val="24"/>
        </w:rPr>
      </w:pPr>
      <w:r>
        <w:rPr>
          <w:rFonts w:ascii="宋体" w:hAnsi="宋体" w:eastAsia="宋体" w:cs="宋体"/>
          <w:snapToGrid w:val="0"/>
          <w:color w:val="000000"/>
          <w:spacing w:val="-1"/>
          <w:kern w:val="0"/>
          <w:sz w:val="24"/>
        </w:rPr>
        <w:t>（4)《基础地理信息城市数据库建设规范》（GB/T21740-2008</w:t>
      </w:r>
      <w:r>
        <w:rPr>
          <w:rFonts w:ascii="宋体" w:hAnsi="宋体" w:eastAsia="宋体" w:cs="宋体"/>
          <w:snapToGrid w:val="0"/>
          <w:color w:val="000000"/>
          <w:spacing w:val="6"/>
          <w:kern w:val="0"/>
          <w:sz w:val="24"/>
        </w:rPr>
        <w:t>）；</w:t>
      </w:r>
    </w:p>
    <w:p w14:paraId="1FD8D113">
      <w:pPr>
        <w:kinsoku w:val="0"/>
        <w:autoSpaceDE w:val="0"/>
        <w:autoSpaceDN w:val="0"/>
        <w:adjustRightInd w:val="0"/>
        <w:snapToGrid w:val="0"/>
        <w:spacing w:line="500" w:lineRule="exact"/>
        <w:ind w:firstLine="468" w:firstLineChars="200"/>
        <w:jc w:val="left"/>
        <w:textAlignment w:val="baseline"/>
        <w:rPr>
          <w:rFonts w:hint="eastAsia" w:ascii="宋体" w:hAnsi="宋体" w:eastAsia="宋体" w:cs="宋体"/>
          <w:snapToGrid w:val="0"/>
          <w:color w:val="000000"/>
          <w:kern w:val="0"/>
          <w:sz w:val="24"/>
        </w:rPr>
      </w:pPr>
      <w:r>
        <w:rPr>
          <w:rFonts w:ascii="宋体" w:hAnsi="宋体" w:eastAsia="宋体" w:cs="宋体"/>
          <w:snapToGrid w:val="0"/>
          <w:color w:val="000000"/>
          <w:spacing w:val="-3"/>
          <w:kern w:val="0"/>
          <w:sz w:val="24"/>
        </w:rPr>
        <w:t>（5)《城市地下管线探测技术规程》(CJJ61-2017)；</w:t>
      </w:r>
    </w:p>
    <w:p w14:paraId="5A936A1F">
      <w:pPr>
        <w:kinsoku w:val="0"/>
        <w:autoSpaceDE w:val="0"/>
        <w:autoSpaceDN w:val="0"/>
        <w:adjustRightInd w:val="0"/>
        <w:snapToGrid w:val="0"/>
        <w:spacing w:line="500" w:lineRule="exact"/>
        <w:ind w:firstLine="484" w:firstLineChars="200"/>
        <w:jc w:val="left"/>
        <w:textAlignment w:val="baseline"/>
        <w:rPr>
          <w:rFonts w:hint="eastAsia" w:ascii="宋体" w:hAnsi="宋体" w:eastAsia="宋体" w:cs="宋体"/>
          <w:snapToGrid w:val="0"/>
          <w:color w:val="000000"/>
          <w:kern w:val="0"/>
          <w:sz w:val="24"/>
        </w:rPr>
      </w:pPr>
      <w:r>
        <w:rPr>
          <w:rFonts w:ascii="宋体" w:hAnsi="宋体" w:eastAsia="宋体" w:cs="宋体"/>
          <w:snapToGrid w:val="0"/>
          <w:color w:val="000000"/>
          <w:spacing w:val="1"/>
          <w:kern w:val="0"/>
          <w:sz w:val="24"/>
        </w:rPr>
        <w:t>（6)《城市排水防涝设施普查数据采集与管理技术导则</w:t>
      </w:r>
      <w:r>
        <w:rPr>
          <w:rFonts w:ascii="宋体" w:hAnsi="宋体" w:eastAsia="宋体" w:cs="宋体"/>
          <w:snapToGrid w:val="0"/>
          <w:color w:val="000000"/>
          <w:kern w:val="0"/>
          <w:sz w:val="24"/>
        </w:rPr>
        <w:t>》;</w:t>
      </w:r>
    </w:p>
    <w:p w14:paraId="7D8DD556">
      <w:pPr>
        <w:kinsoku w:val="0"/>
        <w:autoSpaceDE w:val="0"/>
        <w:autoSpaceDN w:val="0"/>
        <w:adjustRightInd w:val="0"/>
        <w:snapToGrid w:val="0"/>
        <w:spacing w:line="500" w:lineRule="exact"/>
        <w:ind w:firstLine="476" w:firstLineChars="200"/>
        <w:jc w:val="left"/>
        <w:textAlignment w:val="baseline"/>
        <w:rPr>
          <w:rFonts w:hint="eastAsia" w:ascii="宋体" w:hAnsi="宋体" w:eastAsia="宋体" w:cs="宋体"/>
          <w:snapToGrid w:val="0"/>
          <w:color w:val="000000"/>
          <w:kern w:val="0"/>
          <w:sz w:val="24"/>
        </w:rPr>
      </w:pPr>
      <w:r>
        <w:rPr>
          <w:rFonts w:ascii="宋体" w:hAnsi="宋体" w:eastAsia="宋体" w:cs="宋体"/>
          <w:snapToGrid w:val="0"/>
          <w:color w:val="000000"/>
          <w:spacing w:val="-1"/>
          <w:kern w:val="0"/>
          <w:sz w:val="24"/>
        </w:rPr>
        <w:t>（7)《城市地下管线探测技术规程》（CJJ61-2017)；</w:t>
      </w:r>
    </w:p>
    <w:p w14:paraId="7CB4086E">
      <w:pPr>
        <w:kinsoku w:val="0"/>
        <w:autoSpaceDE w:val="0"/>
        <w:autoSpaceDN w:val="0"/>
        <w:adjustRightInd w:val="0"/>
        <w:snapToGrid w:val="0"/>
        <w:spacing w:line="500" w:lineRule="exact"/>
        <w:ind w:firstLine="476" w:firstLineChars="200"/>
        <w:jc w:val="left"/>
        <w:textAlignment w:val="baseline"/>
        <w:rPr>
          <w:rFonts w:hint="eastAsia" w:ascii="宋体" w:hAnsi="宋体" w:eastAsia="宋体" w:cs="宋体"/>
          <w:snapToGrid w:val="0"/>
          <w:color w:val="000000"/>
          <w:kern w:val="0"/>
          <w:sz w:val="24"/>
        </w:rPr>
      </w:pPr>
      <w:r>
        <w:rPr>
          <w:rFonts w:ascii="宋体" w:hAnsi="宋体" w:eastAsia="宋体" w:cs="宋体"/>
          <w:snapToGrid w:val="0"/>
          <w:color w:val="000000"/>
          <w:spacing w:val="-1"/>
          <w:kern w:val="0"/>
          <w:sz w:val="24"/>
        </w:rPr>
        <w:t>（8)《城市排水管渠与泵站维护技术规程》（CJJ68-2007</w:t>
      </w:r>
      <w:r>
        <w:rPr>
          <w:rFonts w:ascii="宋体" w:hAnsi="宋体" w:eastAsia="宋体" w:cs="宋体"/>
          <w:snapToGrid w:val="0"/>
          <w:color w:val="000000"/>
          <w:spacing w:val="4"/>
          <w:kern w:val="0"/>
          <w:sz w:val="24"/>
        </w:rPr>
        <w:t>）；</w:t>
      </w:r>
    </w:p>
    <w:p w14:paraId="60B61CF1">
      <w:pPr>
        <w:kinsoku w:val="0"/>
        <w:autoSpaceDE w:val="0"/>
        <w:autoSpaceDN w:val="0"/>
        <w:adjustRightInd w:val="0"/>
        <w:snapToGrid w:val="0"/>
        <w:spacing w:line="500" w:lineRule="exact"/>
        <w:ind w:firstLine="476" w:firstLineChars="200"/>
        <w:jc w:val="left"/>
        <w:textAlignment w:val="baseline"/>
        <w:rPr>
          <w:rFonts w:hint="eastAsia" w:ascii="宋体" w:hAnsi="宋体" w:eastAsia="宋体" w:cs="宋体"/>
          <w:snapToGrid w:val="0"/>
          <w:color w:val="000000"/>
          <w:kern w:val="0"/>
          <w:sz w:val="24"/>
        </w:rPr>
      </w:pPr>
      <w:r>
        <w:rPr>
          <w:rFonts w:ascii="宋体" w:hAnsi="宋体" w:eastAsia="宋体" w:cs="宋体"/>
          <w:snapToGrid w:val="0"/>
          <w:color w:val="000000"/>
          <w:spacing w:val="-1"/>
          <w:kern w:val="0"/>
          <w:sz w:val="24"/>
        </w:rPr>
        <w:t>（9)《排水管道维护安全技术规程》（CJJ6-85)；</w:t>
      </w:r>
    </w:p>
    <w:p w14:paraId="49D3832E">
      <w:pPr>
        <w:kinsoku w:val="0"/>
        <w:autoSpaceDE w:val="0"/>
        <w:autoSpaceDN w:val="0"/>
        <w:adjustRightInd w:val="0"/>
        <w:snapToGrid w:val="0"/>
        <w:spacing w:line="500" w:lineRule="exact"/>
        <w:ind w:firstLine="472" w:firstLineChars="200"/>
        <w:jc w:val="left"/>
        <w:textAlignment w:val="baseline"/>
        <w:rPr>
          <w:rFonts w:hint="eastAsia" w:ascii="宋体" w:hAnsi="宋体" w:eastAsia="宋体" w:cs="宋体"/>
          <w:snapToGrid w:val="0"/>
          <w:color w:val="000000"/>
          <w:kern w:val="0"/>
          <w:sz w:val="24"/>
        </w:rPr>
      </w:pPr>
      <w:r>
        <w:rPr>
          <w:rFonts w:ascii="宋体" w:hAnsi="宋体" w:eastAsia="宋体" w:cs="宋体"/>
          <w:snapToGrid w:val="0"/>
          <w:color w:val="000000"/>
          <w:spacing w:val="-2"/>
          <w:kern w:val="0"/>
          <w:sz w:val="24"/>
        </w:rPr>
        <w:t>（10)《城镇排水管道检测与评估技术规程》(CJJ181-2012)</w:t>
      </w:r>
      <w:r>
        <w:rPr>
          <w:rFonts w:ascii="宋体" w:hAnsi="宋体" w:eastAsia="宋体" w:cs="宋体"/>
          <w:snapToGrid w:val="0"/>
          <w:color w:val="000000"/>
          <w:spacing w:val="-3"/>
          <w:kern w:val="0"/>
          <w:sz w:val="24"/>
        </w:rPr>
        <w:t>；</w:t>
      </w:r>
    </w:p>
    <w:p w14:paraId="226CA0D4">
      <w:pPr>
        <w:kinsoku w:val="0"/>
        <w:autoSpaceDE w:val="0"/>
        <w:autoSpaceDN w:val="0"/>
        <w:adjustRightInd w:val="0"/>
        <w:snapToGrid w:val="0"/>
        <w:spacing w:line="500" w:lineRule="exact"/>
        <w:ind w:firstLine="476" w:firstLineChars="200"/>
        <w:jc w:val="left"/>
        <w:textAlignment w:val="baseline"/>
        <w:rPr>
          <w:rFonts w:hint="eastAsia" w:ascii="宋体" w:hAnsi="宋体" w:eastAsia="宋体" w:cs="宋体"/>
          <w:snapToGrid w:val="0"/>
          <w:color w:val="000000"/>
          <w:kern w:val="0"/>
          <w:sz w:val="24"/>
        </w:rPr>
      </w:pPr>
      <w:r>
        <w:rPr>
          <w:rFonts w:ascii="宋体" w:hAnsi="宋体" w:eastAsia="宋体" w:cs="宋体"/>
          <w:snapToGrid w:val="0"/>
          <w:color w:val="000000"/>
          <w:spacing w:val="-1"/>
          <w:kern w:val="0"/>
          <w:sz w:val="24"/>
        </w:rPr>
        <w:t>（11)《市地下管线基础信息普查技术规程》；</w:t>
      </w:r>
    </w:p>
    <w:p w14:paraId="03210A79">
      <w:pPr>
        <w:kinsoku w:val="0"/>
        <w:autoSpaceDE w:val="0"/>
        <w:autoSpaceDN w:val="0"/>
        <w:adjustRightInd w:val="0"/>
        <w:snapToGrid w:val="0"/>
        <w:spacing w:line="500" w:lineRule="exact"/>
        <w:ind w:firstLine="484" w:firstLineChars="200"/>
        <w:jc w:val="left"/>
        <w:textAlignment w:val="baseline"/>
        <w:rPr>
          <w:rFonts w:hint="eastAsia" w:ascii="宋体" w:hAnsi="宋体" w:eastAsia="宋体" w:cs="宋体"/>
          <w:snapToGrid w:val="0"/>
          <w:color w:val="000000"/>
          <w:kern w:val="0"/>
          <w:sz w:val="24"/>
        </w:rPr>
      </w:pPr>
      <w:r>
        <w:rPr>
          <w:rFonts w:ascii="宋体" w:hAnsi="宋体" w:eastAsia="宋体" w:cs="宋体"/>
          <w:snapToGrid w:val="0"/>
          <w:color w:val="000000"/>
          <w:spacing w:val="1"/>
          <w:kern w:val="0"/>
          <w:sz w:val="24"/>
        </w:rPr>
        <w:t>（12)《管线信息系统建设技术规范》（</w:t>
      </w:r>
      <w:r>
        <w:rPr>
          <w:rFonts w:ascii="宋体" w:hAnsi="宋体" w:eastAsia="宋体" w:cs="宋体"/>
          <w:snapToGrid w:val="0"/>
          <w:color w:val="000000"/>
          <w:kern w:val="0"/>
          <w:sz w:val="24"/>
        </w:rPr>
        <w:t>CH</w:t>
      </w:r>
      <w:r>
        <w:rPr>
          <w:rFonts w:ascii="宋体" w:hAnsi="宋体" w:eastAsia="宋体" w:cs="宋体"/>
          <w:snapToGrid w:val="0"/>
          <w:color w:val="000000"/>
          <w:spacing w:val="1"/>
          <w:kern w:val="0"/>
          <w:sz w:val="24"/>
        </w:rPr>
        <w:t>/T103</w:t>
      </w:r>
      <w:r>
        <w:rPr>
          <w:rFonts w:ascii="宋体" w:hAnsi="宋体" w:eastAsia="宋体" w:cs="宋体"/>
          <w:snapToGrid w:val="0"/>
          <w:color w:val="000000"/>
          <w:kern w:val="0"/>
          <w:sz w:val="24"/>
        </w:rPr>
        <w:t>7-2015）;</w:t>
      </w:r>
    </w:p>
    <w:p w14:paraId="4F75E63E">
      <w:pPr>
        <w:kinsoku w:val="0"/>
        <w:autoSpaceDE w:val="0"/>
        <w:autoSpaceDN w:val="0"/>
        <w:adjustRightInd w:val="0"/>
        <w:snapToGrid w:val="0"/>
        <w:spacing w:line="500" w:lineRule="exact"/>
        <w:ind w:firstLine="476" w:firstLineChars="200"/>
        <w:jc w:val="left"/>
        <w:textAlignment w:val="baseline"/>
        <w:rPr>
          <w:rFonts w:hint="eastAsia" w:ascii="宋体" w:hAnsi="宋体" w:eastAsia="宋体" w:cs="宋体"/>
          <w:snapToGrid w:val="0"/>
          <w:color w:val="000000"/>
          <w:kern w:val="0"/>
          <w:sz w:val="24"/>
        </w:rPr>
      </w:pPr>
      <w:r>
        <w:rPr>
          <w:rFonts w:ascii="宋体" w:hAnsi="宋体" w:eastAsia="宋体" w:cs="宋体"/>
          <w:snapToGrid w:val="0"/>
          <w:color w:val="000000"/>
          <w:spacing w:val="-1"/>
          <w:kern w:val="0"/>
          <w:sz w:val="24"/>
        </w:rPr>
        <w:t>（13）《城市测量规范》（CJJ/T8-2011</w:t>
      </w:r>
      <w:r>
        <w:rPr>
          <w:rFonts w:ascii="宋体" w:hAnsi="宋体" w:eastAsia="宋体" w:cs="宋体"/>
          <w:snapToGrid w:val="0"/>
          <w:color w:val="000000"/>
          <w:spacing w:val="1"/>
          <w:kern w:val="0"/>
          <w:sz w:val="24"/>
        </w:rPr>
        <w:t>）；</w:t>
      </w:r>
    </w:p>
    <w:p w14:paraId="36BBA41D">
      <w:pPr>
        <w:kinsoku w:val="0"/>
        <w:autoSpaceDE w:val="0"/>
        <w:autoSpaceDN w:val="0"/>
        <w:adjustRightInd w:val="0"/>
        <w:snapToGrid w:val="0"/>
        <w:spacing w:line="500" w:lineRule="exact"/>
        <w:ind w:firstLine="476" w:firstLineChars="200"/>
        <w:jc w:val="left"/>
        <w:textAlignment w:val="baseline"/>
        <w:rPr>
          <w:rFonts w:hint="eastAsia" w:ascii="宋体" w:hAnsi="宋体" w:eastAsia="宋体" w:cs="宋体"/>
          <w:snapToGrid w:val="0"/>
          <w:color w:val="000000"/>
          <w:kern w:val="0"/>
          <w:sz w:val="24"/>
        </w:rPr>
      </w:pPr>
      <w:r>
        <w:rPr>
          <w:rFonts w:ascii="宋体" w:hAnsi="宋体" w:eastAsia="宋体" w:cs="宋体"/>
          <w:snapToGrid w:val="0"/>
          <w:color w:val="000000"/>
          <w:spacing w:val="-1"/>
          <w:kern w:val="0"/>
          <w:sz w:val="24"/>
        </w:rPr>
        <w:t>（14）《测绘成果质量检查与验收》（GB/T24356-2023</w:t>
      </w:r>
      <w:r>
        <w:rPr>
          <w:rFonts w:ascii="宋体" w:hAnsi="宋体" w:eastAsia="宋体" w:cs="宋体"/>
          <w:snapToGrid w:val="0"/>
          <w:color w:val="000000"/>
          <w:spacing w:val="5"/>
          <w:kern w:val="0"/>
          <w:sz w:val="24"/>
        </w:rPr>
        <w:t>）；</w:t>
      </w:r>
    </w:p>
    <w:p w14:paraId="246CDF66">
      <w:pPr>
        <w:kinsoku w:val="0"/>
        <w:autoSpaceDE w:val="0"/>
        <w:autoSpaceDN w:val="0"/>
        <w:adjustRightInd w:val="0"/>
        <w:snapToGrid w:val="0"/>
        <w:spacing w:line="500" w:lineRule="exact"/>
        <w:ind w:firstLine="480" w:firstLineChars="200"/>
        <w:jc w:val="left"/>
        <w:textAlignment w:val="baseline"/>
        <w:rPr>
          <w:rFonts w:hint="eastAsia" w:ascii="宋体" w:hAnsi="宋体" w:eastAsia="宋体" w:cs="宋体"/>
          <w:snapToGrid w:val="0"/>
          <w:color w:val="000000"/>
          <w:kern w:val="0"/>
          <w:sz w:val="24"/>
        </w:rPr>
      </w:pPr>
      <w:r>
        <w:rPr>
          <w:rFonts w:ascii="宋体" w:hAnsi="宋体" w:eastAsia="宋体" w:cs="宋体"/>
          <w:snapToGrid w:val="0"/>
          <w:color w:val="000000"/>
          <w:kern w:val="0"/>
          <w:sz w:val="24"/>
        </w:rPr>
        <w:t>（15）《1:5001:10001:2000地形图数</w:t>
      </w:r>
      <w:r>
        <w:rPr>
          <w:rFonts w:ascii="宋体" w:hAnsi="宋体" w:eastAsia="宋体" w:cs="宋体"/>
          <w:snapToGrid w:val="0"/>
          <w:color w:val="000000"/>
          <w:spacing w:val="-1"/>
          <w:kern w:val="0"/>
          <w:sz w:val="24"/>
        </w:rPr>
        <w:t>字化规范》（GB/T20257.1-2017</w:t>
      </w:r>
      <w:r>
        <w:rPr>
          <w:rFonts w:ascii="宋体" w:hAnsi="宋体" w:eastAsia="宋体" w:cs="宋体"/>
          <w:snapToGrid w:val="0"/>
          <w:color w:val="000000"/>
          <w:kern w:val="0"/>
          <w:sz w:val="24"/>
        </w:rPr>
        <w:t>）；</w:t>
      </w:r>
    </w:p>
    <w:p w14:paraId="254F1180">
      <w:pPr>
        <w:kinsoku w:val="0"/>
        <w:autoSpaceDE w:val="0"/>
        <w:autoSpaceDN w:val="0"/>
        <w:adjustRightInd w:val="0"/>
        <w:snapToGrid w:val="0"/>
        <w:spacing w:line="500" w:lineRule="exact"/>
        <w:ind w:firstLine="476" w:firstLineChars="200"/>
        <w:jc w:val="left"/>
        <w:textAlignment w:val="baseline"/>
        <w:rPr>
          <w:rFonts w:hint="eastAsia" w:ascii="宋体" w:hAnsi="宋体" w:eastAsia="宋体" w:cs="宋体"/>
          <w:snapToGrid w:val="0"/>
          <w:color w:val="000000"/>
          <w:kern w:val="0"/>
          <w:sz w:val="24"/>
        </w:rPr>
      </w:pPr>
      <w:r>
        <w:rPr>
          <w:rFonts w:ascii="宋体" w:hAnsi="宋体" w:eastAsia="宋体" w:cs="宋体"/>
          <w:snapToGrid w:val="0"/>
          <w:color w:val="000000"/>
          <w:spacing w:val="-1"/>
          <w:kern w:val="0"/>
          <w:sz w:val="24"/>
        </w:rPr>
        <w:t>（16）《卫星定位城市测量技术标准》（CJJ/T73-2019</w:t>
      </w:r>
      <w:r>
        <w:rPr>
          <w:rFonts w:ascii="宋体" w:hAnsi="宋体" w:eastAsia="宋体" w:cs="宋体"/>
          <w:snapToGrid w:val="0"/>
          <w:color w:val="000000"/>
          <w:spacing w:val="5"/>
          <w:kern w:val="0"/>
          <w:sz w:val="24"/>
        </w:rPr>
        <w:t>）；</w:t>
      </w:r>
    </w:p>
    <w:p w14:paraId="081A8364">
      <w:pPr>
        <w:kinsoku w:val="0"/>
        <w:autoSpaceDE w:val="0"/>
        <w:autoSpaceDN w:val="0"/>
        <w:adjustRightInd w:val="0"/>
        <w:snapToGrid w:val="0"/>
        <w:spacing w:line="500" w:lineRule="exact"/>
        <w:ind w:firstLine="508" w:firstLineChars="200"/>
        <w:jc w:val="left"/>
        <w:textAlignment w:val="baseline"/>
        <w:rPr>
          <w:rFonts w:hint="eastAsia" w:ascii="宋体" w:hAnsi="宋体" w:eastAsia="宋体" w:cs="宋体"/>
          <w:snapToGrid w:val="0"/>
          <w:color w:val="000000"/>
          <w:spacing w:val="-13"/>
          <w:kern w:val="0"/>
          <w:sz w:val="24"/>
        </w:rPr>
      </w:pPr>
      <w:r>
        <w:rPr>
          <w:rFonts w:ascii="宋体" w:hAnsi="宋体" w:eastAsia="宋体" w:cs="宋体"/>
          <w:snapToGrid w:val="0"/>
          <w:color w:val="000000"/>
          <w:spacing w:val="7"/>
          <w:kern w:val="0"/>
          <w:sz w:val="24"/>
        </w:rPr>
        <w:t>（17）《城市黑臭水体整治——排水口、管道及检查井治理技术指南（试行）》</w:t>
      </w:r>
      <w:r>
        <w:rPr>
          <w:rFonts w:ascii="宋体" w:hAnsi="宋体" w:eastAsia="宋体" w:cs="宋体"/>
          <w:snapToGrid w:val="0"/>
          <w:color w:val="000000"/>
          <w:spacing w:val="-2"/>
          <w:kern w:val="0"/>
          <w:sz w:val="24"/>
        </w:rPr>
        <w:t>（住房城乡建设部2016年8月</w:t>
      </w:r>
      <w:r>
        <w:rPr>
          <w:rFonts w:ascii="宋体" w:hAnsi="宋体" w:eastAsia="宋体" w:cs="宋体"/>
          <w:snapToGrid w:val="0"/>
          <w:color w:val="000000"/>
          <w:spacing w:val="-13"/>
          <w:kern w:val="0"/>
          <w:sz w:val="24"/>
        </w:rPr>
        <w:t>）；</w:t>
      </w:r>
    </w:p>
    <w:p w14:paraId="0DD5E684">
      <w:pPr>
        <w:kinsoku w:val="0"/>
        <w:autoSpaceDE w:val="0"/>
        <w:autoSpaceDN w:val="0"/>
        <w:adjustRightInd w:val="0"/>
        <w:snapToGrid w:val="0"/>
        <w:spacing w:line="500" w:lineRule="exact"/>
        <w:ind w:firstLine="472" w:firstLineChars="200"/>
        <w:jc w:val="left"/>
        <w:textAlignment w:val="baseline"/>
        <w:rPr>
          <w:rFonts w:hint="eastAsia" w:ascii="宋体" w:hAnsi="宋体" w:eastAsia="宋体" w:cs="宋体"/>
          <w:snapToGrid w:val="0"/>
          <w:color w:val="000000"/>
          <w:kern w:val="0"/>
          <w:sz w:val="24"/>
        </w:rPr>
      </w:pPr>
      <w:r>
        <w:rPr>
          <w:rFonts w:ascii="宋体" w:hAnsi="宋体" w:eastAsia="宋体" w:cs="宋体"/>
          <w:snapToGrid w:val="0"/>
          <w:color w:val="000000"/>
          <w:spacing w:val="-2"/>
          <w:kern w:val="0"/>
          <w:sz w:val="24"/>
        </w:rPr>
        <w:t>（18）其他相关规范、标准。</w:t>
      </w:r>
    </w:p>
    <w:p w14:paraId="49F1D600">
      <w:pPr>
        <w:kinsoku w:val="0"/>
        <w:autoSpaceDE w:val="0"/>
        <w:autoSpaceDN w:val="0"/>
        <w:adjustRightInd w:val="0"/>
        <w:snapToGrid w:val="0"/>
        <w:spacing w:line="500" w:lineRule="exact"/>
        <w:ind w:firstLine="464" w:firstLineChars="200"/>
        <w:jc w:val="left"/>
        <w:textAlignment w:val="baseline"/>
        <w:rPr>
          <w:rFonts w:hint="eastAsia" w:ascii="宋体" w:hAnsi="宋体" w:eastAsia="宋体" w:cs="宋体"/>
          <w:snapToGrid w:val="0"/>
          <w:color w:val="000000"/>
          <w:kern w:val="0"/>
          <w:sz w:val="24"/>
        </w:rPr>
      </w:pPr>
      <w:r>
        <w:rPr>
          <w:rFonts w:ascii="宋体" w:hAnsi="宋体" w:eastAsia="宋体" w:cs="宋体"/>
          <w:snapToGrid w:val="0"/>
          <w:color w:val="000000"/>
          <w:spacing w:val="-4"/>
          <w:kern w:val="0"/>
          <w:sz w:val="24"/>
        </w:rPr>
        <w:t>3.4提交成果</w:t>
      </w:r>
    </w:p>
    <w:p w14:paraId="5B9AB7A4">
      <w:pPr>
        <w:kinsoku w:val="0"/>
        <w:autoSpaceDE w:val="0"/>
        <w:autoSpaceDN w:val="0"/>
        <w:adjustRightInd w:val="0"/>
        <w:snapToGrid w:val="0"/>
        <w:spacing w:line="500" w:lineRule="exact"/>
        <w:ind w:firstLine="460" w:firstLineChars="200"/>
        <w:jc w:val="left"/>
        <w:textAlignment w:val="baseline"/>
        <w:rPr>
          <w:rFonts w:hint="eastAsia" w:ascii="宋体" w:hAnsi="宋体" w:eastAsia="宋体" w:cs="宋体"/>
          <w:snapToGrid w:val="0"/>
          <w:color w:val="000000"/>
          <w:kern w:val="0"/>
          <w:sz w:val="24"/>
        </w:rPr>
      </w:pPr>
      <w:r>
        <w:rPr>
          <w:rFonts w:ascii="宋体" w:hAnsi="宋体" w:eastAsia="宋体" w:cs="宋体"/>
          <w:snapToGrid w:val="0"/>
          <w:color w:val="000000"/>
          <w:spacing w:val="-5"/>
          <w:kern w:val="0"/>
          <w:sz w:val="24"/>
        </w:rPr>
        <w:t>（1）实施方案1套纸质；</w:t>
      </w:r>
    </w:p>
    <w:p w14:paraId="0AFA0659">
      <w:pPr>
        <w:kinsoku w:val="0"/>
        <w:autoSpaceDE w:val="0"/>
        <w:autoSpaceDN w:val="0"/>
        <w:adjustRightInd w:val="0"/>
        <w:snapToGrid w:val="0"/>
        <w:spacing w:line="500" w:lineRule="exact"/>
        <w:ind w:firstLine="460" w:firstLineChars="200"/>
        <w:jc w:val="left"/>
        <w:textAlignment w:val="baseline"/>
        <w:rPr>
          <w:rFonts w:hint="eastAsia" w:ascii="宋体" w:hAnsi="宋体" w:eastAsia="宋体" w:cs="宋体"/>
          <w:snapToGrid w:val="0"/>
          <w:color w:val="000000"/>
          <w:kern w:val="0"/>
          <w:sz w:val="24"/>
        </w:rPr>
      </w:pPr>
      <w:r>
        <w:rPr>
          <w:rFonts w:ascii="宋体" w:hAnsi="宋体" w:eastAsia="宋体" w:cs="宋体"/>
          <w:snapToGrid w:val="0"/>
          <w:color w:val="000000"/>
          <w:spacing w:val="-5"/>
          <w:kern w:val="0"/>
          <w:sz w:val="24"/>
        </w:rPr>
        <w:t>（2）检查报告1套纸质；</w:t>
      </w:r>
    </w:p>
    <w:p w14:paraId="0ADD339A">
      <w:pPr>
        <w:kinsoku w:val="0"/>
        <w:autoSpaceDE w:val="0"/>
        <w:autoSpaceDN w:val="0"/>
        <w:adjustRightInd w:val="0"/>
        <w:snapToGrid w:val="0"/>
        <w:spacing w:line="500" w:lineRule="exact"/>
        <w:ind w:firstLine="460" w:firstLineChars="200"/>
        <w:jc w:val="left"/>
        <w:textAlignment w:val="baseline"/>
        <w:rPr>
          <w:rFonts w:hint="eastAsia" w:ascii="宋体" w:hAnsi="宋体" w:eastAsia="宋体" w:cs="宋体"/>
          <w:snapToGrid w:val="0"/>
          <w:color w:val="000000"/>
          <w:kern w:val="0"/>
          <w:sz w:val="24"/>
        </w:rPr>
      </w:pPr>
      <w:r>
        <w:rPr>
          <w:rFonts w:ascii="宋体" w:hAnsi="宋体" w:eastAsia="宋体" w:cs="宋体"/>
          <w:snapToGrid w:val="0"/>
          <w:color w:val="000000"/>
          <w:spacing w:val="-5"/>
          <w:kern w:val="0"/>
          <w:sz w:val="24"/>
        </w:rPr>
        <w:t>（3）质量检验报告1套纸质；</w:t>
      </w:r>
    </w:p>
    <w:p w14:paraId="20A2513B">
      <w:pPr>
        <w:kinsoku w:val="0"/>
        <w:autoSpaceDE w:val="0"/>
        <w:autoSpaceDN w:val="0"/>
        <w:adjustRightInd w:val="0"/>
        <w:snapToGrid w:val="0"/>
        <w:spacing w:line="500" w:lineRule="exact"/>
        <w:ind w:firstLine="468" w:firstLineChars="200"/>
        <w:jc w:val="left"/>
        <w:textAlignment w:val="baseline"/>
        <w:rPr>
          <w:rFonts w:hint="eastAsia" w:ascii="宋体" w:hAnsi="宋体" w:eastAsia="宋体" w:cs="宋体"/>
          <w:snapToGrid w:val="0"/>
          <w:color w:val="000000"/>
          <w:kern w:val="0"/>
          <w:sz w:val="24"/>
        </w:rPr>
      </w:pPr>
      <w:r>
        <w:rPr>
          <w:rFonts w:ascii="宋体" w:hAnsi="宋体" w:eastAsia="宋体" w:cs="宋体"/>
          <w:snapToGrid w:val="0"/>
          <w:color w:val="000000"/>
          <w:spacing w:val="-3"/>
          <w:kern w:val="0"/>
          <w:sz w:val="24"/>
        </w:rPr>
        <w:t>（4）地下管线探测图表、成果表1套纸质；</w:t>
      </w:r>
    </w:p>
    <w:p w14:paraId="3A47A936">
      <w:pPr>
        <w:kinsoku w:val="0"/>
        <w:autoSpaceDE w:val="0"/>
        <w:autoSpaceDN w:val="0"/>
        <w:adjustRightInd w:val="0"/>
        <w:snapToGrid w:val="0"/>
        <w:spacing w:line="500" w:lineRule="exact"/>
        <w:ind w:firstLine="460" w:firstLineChars="200"/>
        <w:jc w:val="left"/>
        <w:textAlignment w:val="baseline"/>
        <w:rPr>
          <w:rFonts w:hint="eastAsia" w:ascii="宋体" w:hAnsi="宋体" w:eastAsia="宋体" w:cs="宋体"/>
          <w:snapToGrid w:val="0"/>
          <w:color w:val="000000"/>
          <w:kern w:val="0"/>
          <w:sz w:val="24"/>
        </w:rPr>
      </w:pPr>
      <w:r>
        <w:rPr>
          <w:rFonts w:ascii="宋体" w:hAnsi="宋体" w:eastAsia="宋体" w:cs="宋体"/>
          <w:snapToGrid w:val="0"/>
          <w:color w:val="000000"/>
          <w:spacing w:val="-5"/>
          <w:kern w:val="0"/>
          <w:sz w:val="24"/>
        </w:rPr>
        <w:t>（5）排水管线图1套纸质；</w:t>
      </w:r>
    </w:p>
    <w:p w14:paraId="40FD09DB">
      <w:pPr>
        <w:kinsoku w:val="0"/>
        <w:autoSpaceDE w:val="0"/>
        <w:autoSpaceDN w:val="0"/>
        <w:adjustRightInd w:val="0"/>
        <w:snapToGrid w:val="0"/>
        <w:spacing w:line="500" w:lineRule="exact"/>
        <w:ind w:firstLine="468" w:firstLineChars="200"/>
        <w:jc w:val="left"/>
        <w:textAlignment w:val="baseline"/>
        <w:rPr>
          <w:rFonts w:hint="eastAsia" w:ascii="宋体" w:hAnsi="宋体" w:eastAsia="宋体" w:cs="宋体"/>
          <w:snapToGrid w:val="0"/>
          <w:color w:val="000000"/>
          <w:kern w:val="0"/>
          <w:sz w:val="24"/>
        </w:rPr>
      </w:pPr>
      <w:r>
        <w:rPr>
          <w:rFonts w:ascii="宋体" w:hAnsi="宋体" w:eastAsia="宋体" w:cs="宋体"/>
          <w:snapToGrid w:val="0"/>
          <w:color w:val="000000"/>
          <w:spacing w:val="-3"/>
          <w:kern w:val="0"/>
          <w:sz w:val="24"/>
        </w:rPr>
        <w:t>（6）排水管道（函）缺陷位置示意图1套纸质；</w:t>
      </w:r>
    </w:p>
    <w:p w14:paraId="12ABB280">
      <w:pPr>
        <w:kinsoku w:val="0"/>
        <w:autoSpaceDE w:val="0"/>
        <w:autoSpaceDN w:val="0"/>
        <w:adjustRightInd w:val="0"/>
        <w:snapToGrid w:val="0"/>
        <w:spacing w:line="500" w:lineRule="exact"/>
        <w:ind w:firstLine="460" w:firstLineChars="200"/>
        <w:jc w:val="left"/>
        <w:textAlignment w:val="baseline"/>
        <w:rPr>
          <w:rFonts w:hint="eastAsia" w:ascii="宋体" w:hAnsi="宋体" w:eastAsia="宋体" w:cs="宋体"/>
          <w:snapToGrid w:val="0"/>
          <w:color w:val="000000"/>
          <w:kern w:val="0"/>
          <w:sz w:val="24"/>
        </w:rPr>
      </w:pPr>
      <w:r>
        <w:rPr>
          <w:rFonts w:ascii="宋体" w:hAnsi="宋体" w:eastAsia="宋体" w:cs="宋体"/>
          <w:snapToGrid w:val="0"/>
          <w:color w:val="000000"/>
          <w:spacing w:val="-5"/>
          <w:kern w:val="0"/>
          <w:sz w:val="24"/>
        </w:rPr>
        <w:t>（7）混接报告1套纸质；</w:t>
      </w:r>
    </w:p>
    <w:p w14:paraId="44169062">
      <w:pPr>
        <w:kinsoku w:val="0"/>
        <w:autoSpaceDE w:val="0"/>
        <w:autoSpaceDN w:val="0"/>
        <w:adjustRightInd w:val="0"/>
        <w:snapToGrid w:val="0"/>
        <w:spacing w:line="500" w:lineRule="exact"/>
        <w:ind w:firstLine="460" w:firstLineChars="200"/>
        <w:jc w:val="left"/>
        <w:textAlignment w:val="baseline"/>
        <w:rPr>
          <w:rFonts w:hint="eastAsia" w:ascii="宋体" w:hAnsi="宋体" w:eastAsia="宋体" w:cs="宋体"/>
          <w:snapToGrid w:val="0"/>
          <w:color w:val="000000"/>
          <w:kern w:val="0"/>
          <w:sz w:val="24"/>
        </w:rPr>
      </w:pPr>
      <w:r>
        <w:rPr>
          <w:rFonts w:ascii="宋体" w:hAnsi="宋体" w:eastAsia="宋体" w:cs="宋体"/>
          <w:snapToGrid w:val="0"/>
          <w:color w:val="000000"/>
          <w:spacing w:val="-5"/>
          <w:kern w:val="0"/>
          <w:sz w:val="24"/>
        </w:rPr>
        <w:t>（8）检测评估报告1套纸质；</w:t>
      </w:r>
    </w:p>
    <w:p w14:paraId="710107CF">
      <w:pPr>
        <w:kinsoku w:val="0"/>
        <w:autoSpaceDE w:val="0"/>
        <w:autoSpaceDN w:val="0"/>
        <w:adjustRightInd w:val="0"/>
        <w:snapToGrid w:val="0"/>
        <w:spacing w:line="500" w:lineRule="exact"/>
        <w:ind w:firstLine="496" w:firstLineChars="200"/>
        <w:jc w:val="left"/>
        <w:textAlignment w:val="baseline"/>
        <w:rPr>
          <w:rFonts w:hint="eastAsia" w:ascii="宋体" w:hAnsi="宋体" w:eastAsia="宋体" w:cs="宋体"/>
          <w:snapToGrid w:val="0"/>
          <w:color w:val="000000"/>
          <w:kern w:val="0"/>
          <w:sz w:val="24"/>
        </w:rPr>
      </w:pPr>
      <w:r>
        <w:rPr>
          <w:rFonts w:ascii="宋体" w:hAnsi="宋体" w:eastAsia="宋体" w:cs="宋体"/>
          <w:snapToGrid w:val="0"/>
          <w:color w:val="000000"/>
          <w:spacing w:val="4"/>
          <w:kern w:val="0"/>
          <w:sz w:val="24"/>
        </w:rPr>
        <w:t>（9）资料硬盘（含以上资料电子数据、管线属性数据库、管道检测缺陷照片、检</w:t>
      </w:r>
      <w:r>
        <w:rPr>
          <w:rFonts w:ascii="宋体" w:hAnsi="宋体" w:eastAsia="宋体" w:cs="宋体"/>
          <w:snapToGrid w:val="0"/>
          <w:color w:val="000000"/>
          <w:spacing w:val="-2"/>
          <w:kern w:val="0"/>
          <w:sz w:val="24"/>
        </w:rPr>
        <w:t>测视频）1套移动硬盘。</w:t>
      </w:r>
    </w:p>
    <w:p w14:paraId="691BDD9F">
      <w:pPr>
        <w:kinsoku w:val="0"/>
        <w:autoSpaceDE w:val="0"/>
        <w:autoSpaceDN w:val="0"/>
        <w:adjustRightInd w:val="0"/>
        <w:snapToGrid w:val="0"/>
        <w:spacing w:line="500" w:lineRule="exact"/>
        <w:ind w:firstLine="466" w:firstLineChars="200"/>
        <w:jc w:val="left"/>
        <w:textAlignment w:val="baseline"/>
        <w:rPr>
          <w:rFonts w:hint="eastAsia" w:ascii="宋体" w:hAnsi="宋体" w:eastAsia="宋体" w:cs="宋体"/>
          <w:snapToGrid w:val="0"/>
          <w:color w:val="000000"/>
          <w:kern w:val="0"/>
          <w:sz w:val="24"/>
        </w:rPr>
      </w:pPr>
      <w:r>
        <w:rPr>
          <w:rFonts w:ascii="宋体" w:hAnsi="宋体" w:eastAsia="宋体" w:cs="宋体"/>
          <w:b/>
          <w:bCs/>
          <w:snapToGrid w:val="0"/>
          <w:color w:val="000000"/>
          <w:spacing w:val="-4"/>
          <w:kern w:val="0"/>
          <w:sz w:val="24"/>
        </w:rPr>
        <w:t>二、合同标的</w:t>
      </w:r>
    </w:p>
    <w:p w14:paraId="2B80B282">
      <w:pPr>
        <w:kinsoku w:val="0"/>
        <w:autoSpaceDE w:val="0"/>
        <w:autoSpaceDN w:val="0"/>
        <w:adjustRightInd w:val="0"/>
        <w:snapToGrid w:val="0"/>
        <w:spacing w:line="500" w:lineRule="exact"/>
        <w:ind w:firstLine="468" w:firstLineChars="200"/>
        <w:jc w:val="left"/>
        <w:textAlignment w:val="baseline"/>
        <w:rPr>
          <w:rFonts w:hint="eastAsia" w:ascii="宋体" w:hAnsi="宋体" w:eastAsia="宋体" w:cs="宋体"/>
          <w:snapToGrid w:val="0"/>
          <w:color w:val="000000"/>
          <w:kern w:val="0"/>
          <w:sz w:val="24"/>
        </w:rPr>
      </w:pPr>
      <w:r>
        <w:rPr>
          <w:rFonts w:ascii="宋体" w:hAnsi="宋体" w:eastAsia="宋体" w:cs="宋体"/>
          <w:snapToGrid w:val="0"/>
          <w:color w:val="000000"/>
          <w:spacing w:val="-3"/>
          <w:kern w:val="0"/>
          <w:sz w:val="24"/>
        </w:rPr>
        <w:t>1、中标价即为合同价。</w:t>
      </w:r>
    </w:p>
    <w:p w14:paraId="30E2C84C">
      <w:pPr>
        <w:kinsoku w:val="0"/>
        <w:autoSpaceDE w:val="0"/>
        <w:autoSpaceDN w:val="0"/>
        <w:adjustRightInd w:val="0"/>
        <w:snapToGrid w:val="0"/>
        <w:spacing w:line="500" w:lineRule="exact"/>
        <w:ind w:firstLine="460" w:firstLineChars="200"/>
        <w:jc w:val="left"/>
        <w:textAlignment w:val="baseline"/>
        <w:rPr>
          <w:rFonts w:hint="eastAsia" w:ascii="宋体" w:hAnsi="宋体" w:eastAsia="宋体" w:cs="宋体"/>
          <w:snapToGrid w:val="0"/>
          <w:color w:val="000000"/>
          <w:spacing w:val="-5"/>
          <w:kern w:val="0"/>
          <w:sz w:val="24"/>
        </w:rPr>
      </w:pPr>
      <w:r>
        <w:rPr>
          <w:rFonts w:ascii="宋体" w:hAnsi="宋体" w:eastAsia="宋体" w:cs="宋体"/>
          <w:snapToGrid w:val="0"/>
          <w:color w:val="000000"/>
          <w:spacing w:val="-5"/>
          <w:kern w:val="0"/>
          <w:sz w:val="24"/>
        </w:rPr>
        <w:t>2、</w:t>
      </w:r>
      <w:r>
        <w:rPr>
          <w:rFonts w:ascii="宋体" w:hAnsi="宋体" w:eastAsia="宋体" w:cs="宋体"/>
          <w:snapToGrid w:val="0"/>
          <w:color w:val="000000"/>
          <w:spacing w:val="-5"/>
          <w:kern w:val="0"/>
          <w:sz w:val="24"/>
          <w:u w:val="single"/>
        </w:rPr>
        <w:t>本合同总金额（小写</w:t>
      </w:r>
      <w:r>
        <w:rPr>
          <w:rFonts w:ascii="宋体" w:hAnsi="宋体" w:eastAsia="宋体" w:cs="宋体"/>
          <w:snapToGrid w:val="0"/>
          <w:color w:val="000000"/>
          <w:spacing w:val="10"/>
          <w:kern w:val="0"/>
          <w:sz w:val="24"/>
          <w:u w:val="single"/>
        </w:rPr>
        <w:t>）：</w:t>
      </w:r>
      <w:r>
        <w:rPr>
          <w:rFonts w:hint="eastAsia" w:ascii="宋体" w:hAnsi="宋体" w:eastAsia="宋体" w:cs="宋体"/>
          <w:snapToGrid w:val="0"/>
          <w:color w:val="000000"/>
          <w:spacing w:val="10"/>
          <w:kern w:val="0"/>
          <w:sz w:val="24"/>
          <w:u w:val="single"/>
        </w:rPr>
        <w:t xml:space="preserve">     </w:t>
      </w:r>
      <w:r>
        <w:rPr>
          <w:rFonts w:ascii="宋体" w:hAnsi="宋体" w:eastAsia="宋体" w:cs="宋体"/>
          <w:snapToGrid w:val="0"/>
          <w:color w:val="000000"/>
          <w:spacing w:val="-5"/>
          <w:kern w:val="0"/>
          <w:sz w:val="24"/>
          <w:u w:val="single"/>
        </w:rPr>
        <w:t>元，(大写)</w:t>
      </w:r>
      <w:r>
        <w:rPr>
          <w:rFonts w:hint="eastAsia" w:ascii="宋体" w:hAnsi="宋体" w:eastAsia="宋体" w:cs="宋体"/>
          <w:snapToGrid w:val="0"/>
          <w:color w:val="000000"/>
          <w:spacing w:val="-5"/>
          <w:kern w:val="0"/>
          <w:sz w:val="24"/>
          <w:u w:val="single"/>
        </w:rPr>
        <w:t xml:space="preserve">       </w:t>
      </w:r>
      <w:r>
        <w:rPr>
          <w:rFonts w:hint="eastAsia" w:ascii="宋体" w:hAnsi="宋体" w:eastAsia="宋体" w:cs="宋体"/>
          <w:snapToGrid w:val="0"/>
          <w:color w:val="000000"/>
          <w:spacing w:val="-5"/>
          <w:kern w:val="0"/>
          <w:sz w:val="24"/>
        </w:rPr>
        <w:t>。</w:t>
      </w:r>
    </w:p>
    <w:p w14:paraId="229029F8">
      <w:pPr>
        <w:kinsoku w:val="0"/>
        <w:autoSpaceDE w:val="0"/>
        <w:autoSpaceDN w:val="0"/>
        <w:adjustRightInd w:val="0"/>
        <w:snapToGrid w:val="0"/>
        <w:spacing w:line="500" w:lineRule="exact"/>
        <w:ind w:firstLine="460" w:firstLineChars="200"/>
        <w:jc w:val="left"/>
        <w:textAlignment w:val="baseline"/>
        <w:rPr>
          <w:rFonts w:hint="eastAsia" w:ascii="宋体" w:hAnsi="宋体" w:eastAsia="宋体" w:cs="宋体"/>
          <w:snapToGrid w:val="0"/>
          <w:color w:val="000000"/>
          <w:spacing w:val="-1"/>
          <w:kern w:val="0"/>
          <w:sz w:val="24"/>
        </w:rPr>
      </w:pPr>
      <w:r>
        <w:rPr>
          <w:rFonts w:hint="eastAsia" w:ascii="宋体" w:hAnsi="宋体" w:eastAsia="宋体" w:cs="宋体"/>
          <w:snapToGrid w:val="0"/>
          <w:color w:val="000000"/>
          <w:spacing w:val="-5"/>
          <w:kern w:val="0"/>
          <w:sz w:val="24"/>
        </w:rPr>
        <w:t>注：</w:t>
      </w:r>
      <w:r>
        <w:rPr>
          <w:rFonts w:ascii="宋体" w:hAnsi="宋体" w:eastAsia="宋体" w:cs="宋体"/>
          <w:snapToGrid w:val="0"/>
          <w:color w:val="000000"/>
          <w:spacing w:val="-5"/>
          <w:kern w:val="0"/>
          <w:sz w:val="24"/>
        </w:rPr>
        <w:t>合同</w:t>
      </w:r>
      <w:r>
        <w:rPr>
          <w:rFonts w:ascii="宋体" w:hAnsi="宋体" w:eastAsia="宋体" w:cs="宋体"/>
          <w:snapToGrid w:val="0"/>
          <w:color w:val="000000"/>
          <w:spacing w:val="1"/>
          <w:kern w:val="0"/>
          <w:sz w:val="24"/>
        </w:rPr>
        <w:t>价包括检测人员、清淤、运输、管理、安装、检测、排查</w:t>
      </w:r>
      <w:r>
        <w:rPr>
          <w:rFonts w:hint="eastAsia" w:ascii="宋体" w:hAnsi="宋体" w:eastAsia="宋体" w:cs="宋体"/>
          <w:snapToGrid w:val="0"/>
          <w:color w:val="000000"/>
          <w:spacing w:val="1"/>
          <w:kern w:val="0"/>
          <w:sz w:val="24"/>
        </w:rPr>
        <w:t>、</w:t>
      </w:r>
      <w:r>
        <w:rPr>
          <w:rFonts w:ascii="宋体" w:hAnsi="宋体" w:eastAsia="宋体" w:cs="宋体"/>
          <w:snapToGrid w:val="0"/>
          <w:color w:val="000000"/>
          <w:spacing w:val="1"/>
          <w:kern w:val="0"/>
          <w:sz w:val="24"/>
        </w:rPr>
        <w:t>保险、利润、税金、政策性文件规定</w:t>
      </w:r>
      <w:r>
        <w:rPr>
          <w:rFonts w:hint="eastAsia" w:ascii="宋体" w:hAnsi="宋体" w:eastAsia="宋体" w:cs="宋体"/>
          <w:snapToGrid w:val="0"/>
          <w:color w:val="000000"/>
          <w:spacing w:val="1"/>
          <w:kern w:val="0"/>
          <w:sz w:val="24"/>
        </w:rPr>
        <w:t>以及招标文件包含的所有工作内容</w:t>
      </w:r>
      <w:r>
        <w:rPr>
          <w:rFonts w:ascii="宋体" w:hAnsi="宋体" w:eastAsia="宋体" w:cs="宋体"/>
          <w:snapToGrid w:val="0"/>
          <w:color w:val="000000"/>
          <w:spacing w:val="1"/>
          <w:kern w:val="0"/>
          <w:sz w:val="24"/>
        </w:rPr>
        <w:t>应有费用。除中标价</w:t>
      </w:r>
      <w:r>
        <w:rPr>
          <w:rFonts w:ascii="宋体" w:hAnsi="宋体" w:eastAsia="宋体" w:cs="宋体"/>
          <w:snapToGrid w:val="0"/>
          <w:color w:val="000000"/>
          <w:spacing w:val="-1"/>
          <w:kern w:val="0"/>
          <w:sz w:val="24"/>
        </w:rPr>
        <w:t>外，甲方不再支付其他任何费用。</w:t>
      </w:r>
    </w:p>
    <w:p w14:paraId="6BB0BBF3">
      <w:pPr>
        <w:kinsoku w:val="0"/>
        <w:autoSpaceDE w:val="0"/>
        <w:autoSpaceDN w:val="0"/>
        <w:adjustRightInd w:val="0"/>
        <w:snapToGrid w:val="0"/>
        <w:spacing w:line="500" w:lineRule="exact"/>
        <w:ind w:firstLine="470" w:firstLineChars="200"/>
        <w:jc w:val="left"/>
        <w:textAlignment w:val="baseline"/>
        <w:rPr>
          <w:rFonts w:hint="eastAsia" w:ascii="宋体" w:hAnsi="宋体" w:eastAsia="宋体" w:cs="宋体"/>
          <w:snapToGrid w:val="0"/>
          <w:color w:val="000000"/>
          <w:kern w:val="0"/>
          <w:sz w:val="24"/>
        </w:rPr>
      </w:pPr>
      <w:r>
        <w:rPr>
          <w:rFonts w:ascii="宋体" w:hAnsi="宋体" w:eastAsia="宋体" w:cs="宋体"/>
          <w:b/>
          <w:bCs/>
          <w:snapToGrid w:val="0"/>
          <w:color w:val="000000"/>
          <w:spacing w:val="-3"/>
          <w:kern w:val="0"/>
          <w:sz w:val="24"/>
        </w:rPr>
        <w:t>三、合同其他文件</w:t>
      </w:r>
    </w:p>
    <w:p w14:paraId="69F7C68D">
      <w:pPr>
        <w:kinsoku w:val="0"/>
        <w:autoSpaceDE w:val="0"/>
        <w:autoSpaceDN w:val="0"/>
        <w:adjustRightInd w:val="0"/>
        <w:snapToGrid w:val="0"/>
        <w:spacing w:line="500" w:lineRule="exact"/>
        <w:ind w:firstLine="476" w:firstLineChars="200"/>
        <w:jc w:val="left"/>
        <w:textAlignment w:val="baseline"/>
        <w:rPr>
          <w:rFonts w:hint="eastAsia" w:ascii="宋体" w:hAnsi="宋体" w:eastAsia="宋体" w:cs="宋体"/>
          <w:snapToGrid w:val="0"/>
          <w:color w:val="000000"/>
          <w:kern w:val="0"/>
          <w:sz w:val="24"/>
        </w:rPr>
      </w:pPr>
      <w:r>
        <w:rPr>
          <w:rFonts w:ascii="宋体" w:hAnsi="宋体" w:eastAsia="宋体" w:cs="宋体"/>
          <w:snapToGrid w:val="0"/>
          <w:color w:val="000000"/>
          <w:spacing w:val="-1"/>
          <w:kern w:val="0"/>
          <w:sz w:val="24"/>
        </w:rPr>
        <w:t>下列文件为本合同不可分割部分，与本合同具有同等效力。</w:t>
      </w:r>
    </w:p>
    <w:p w14:paraId="4E5B0272">
      <w:pPr>
        <w:kinsoku w:val="0"/>
        <w:autoSpaceDE w:val="0"/>
        <w:autoSpaceDN w:val="0"/>
        <w:adjustRightInd w:val="0"/>
        <w:snapToGrid w:val="0"/>
        <w:spacing w:line="500" w:lineRule="exact"/>
        <w:ind w:firstLine="484" w:firstLineChars="200"/>
        <w:jc w:val="left"/>
        <w:textAlignment w:val="baseline"/>
        <w:rPr>
          <w:rFonts w:hint="eastAsia" w:ascii="宋体" w:hAnsi="宋体" w:eastAsia="宋体" w:cs="宋体"/>
          <w:snapToGrid w:val="0"/>
          <w:color w:val="000000"/>
          <w:kern w:val="0"/>
          <w:sz w:val="24"/>
        </w:rPr>
      </w:pPr>
      <w:r>
        <w:rPr>
          <w:rFonts w:ascii="宋体" w:hAnsi="宋体" w:eastAsia="宋体" w:cs="宋体"/>
          <w:snapToGrid w:val="0"/>
          <w:color w:val="000000"/>
          <w:spacing w:val="1"/>
          <w:kern w:val="0"/>
          <w:sz w:val="24"/>
        </w:rPr>
        <w:t>1、中标通知书；2、供方中标的投标书；3、招标文件；4、供方在招投标过程中所</w:t>
      </w:r>
      <w:r>
        <w:rPr>
          <w:rFonts w:ascii="宋体" w:hAnsi="宋体" w:eastAsia="宋体" w:cs="宋体"/>
          <w:snapToGrid w:val="0"/>
          <w:color w:val="000000"/>
          <w:spacing w:val="-1"/>
          <w:kern w:val="0"/>
          <w:sz w:val="24"/>
        </w:rPr>
        <w:t>作的其他承诺、声明</w:t>
      </w:r>
      <w:r>
        <w:rPr>
          <w:rFonts w:hint="eastAsia" w:ascii="宋体" w:hAnsi="宋体" w:eastAsia="宋体" w:cs="宋体"/>
          <w:snapToGrid w:val="0"/>
          <w:color w:val="000000"/>
          <w:spacing w:val="-1"/>
          <w:kern w:val="0"/>
          <w:sz w:val="24"/>
        </w:rPr>
        <w:t>、</w:t>
      </w:r>
      <w:r>
        <w:rPr>
          <w:rFonts w:ascii="宋体" w:hAnsi="宋体" w:eastAsia="宋体" w:cs="宋体"/>
          <w:snapToGrid w:val="0"/>
          <w:color w:val="000000"/>
          <w:spacing w:val="-1"/>
          <w:kern w:val="0"/>
          <w:sz w:val="24"/>
        </w:rPr>
        <w:t>书面澄清等。</w:t>
      </w:r>
    </w:p>
    <w:p w14:paraId="7405788D">
      <w:pPr>
        <w:kinsoku w:val="0"/>
        <w:autoSpaceDE w:val="0"/>
        <w:autoSpaceDN w:val="0"/>
        <w:adjustRightInd w:val="0"/>
        <w:snapToGrid w:val="0"/>
        <w:spacing w:line="500" w:lineRule="exact"/>
        <w:ind w:firstLine="454" w:firstLineChars="200"/>
        <w:jc w:val="left"/>
        <w:textAlignment w:val="baseline"/>
        <w:rPr>
          <w:rFonts w:hint="eastAsia" w:ascii="宋体" w:hAnsi="宋体" w:eastAsia="宋体" w:cs="宋体"/>
          <w:snapToGrid w:val="0"/>
          <w:color w:val="000000"/>
          <w:kern w:val="0"/>
          <w:sz w:val="24"/>
        </w:rPr>
      </w:pPr>
      <w:r>
        <w:rPr>
          <w:rFonts w:ascii="宋体" w:hAnsi="宋体" w:eastAsia="宋体" w:cs="宋体"/>
          <w:b/>
          <w:bCs/>
          <w:snapToGrid w:val="0"/>
          <w:color w:val="000000"/>
          <w:spacing w:val="-7"/>
          <w:kern w:val="0"/>
          <w:sz w:val="24"/>
        </w:rPr>
        <w:t>四、履约保证金</w:t>
      </w:r>
    </w:p>
    <w:p w14:paraId="1184D499">
      <w:pPr>
        <w:kinsoku w:val="0"/>
        <w:autoSpaceDE w:val="0"/>
        <w:autoSpaceDN w:val="0"/>
        <w:adjustRightInd w:val="0"/>
        <w:snapToGrid w:val="0"/>
        <w:spacing w:line="500" w:lineRule="exact"/>
        <w:ind w:firstLine="476" w:firstLineChars="200"/>
        <w:jc w:val="left"/>
        <w:textAlignment w:val="baseline"/>
        <w:rPr>
          <w:rFonts w:hint="eastAsia" w:ascii="宋体" w:hAnsi="宋体" w:eastAsia="宋体" w:cs="宋体"/>
          <w:snapToGrid w:val="0"/>
          <w:color w:val="auto"/>
          <w:spacing w:val="1"/>
          <w:kern w:val="0"/>
          <w:sz w:val="24"/>
        </w:rPr>
      </w:pPr>
      <w:r>
        <w:rPr>
          <w:rFonts w:ascii="宋体" w:hAnsi="宋体" w:eastAsia="宋体" w:cs="宋体"/>
          <w:snapToGrid w:val="0"/>
          <w:color w:val="000000"/>
          <w:spacing w:val="-1"/>
          <w:kern w:val="0"/>
          <w:sz w:val="24"/>
        </w:rPr>
        <w:t>1、乙方在签订合同前须向甲方交纳</w:t>
      </w:r>
      <w:r>
        <w:rPr>
          <w:rFonts w:ascii="宋体" w:hAnsi="宋体" w:eastAsia="宋体" w:cs="宋体"/>
          <w:snapToGrid w:val="0"/>
          <w:color w:val="000000"/>
          <w:spacing w:val="-1"/>
          <w:kern w:val="0"/>
          <w:sz w:val="24"/>
          <w:u w:val="single"/>
        </w:rPr>
        <w:t>中标价的</w:t>
      </w:r>
      <w:r>
        <w:rPr>
          <w:rFonts w:hint="eastAsia" w:ascii="宋体" w:hAnsi="宋体" w:eastAsia="宋体" w:cs="宋体"/>
          <w:snapToGrid w:val="0"/>
          <w:color w:val="000000"/>
          <w:spacing w:val="-1"/>
          <w:kern w:val="0"/>
          <w:sz w:val="24"/>
          <w:u w:val="single"/>
        </w:rPr>
        <w:t>10</w:t>
      </w:r>
      <w:r>
        <w:rPr>
          <w:rFonts w:ascii="宋体" w:hAnsi="宋体" w:eastAsia="宋体" w:cs="宋体"/>
          <w:snapToGrid w:val="0"/>
          <w:color w:val="000000"/>
          <w:spacing w:val="-1"/>
          <w:kern w:val="0"/>
          <w:sz w:val="24"/>
          <w:u w:val="single"/>
        </w:rPr>
        <w:t>%作为履约保证金（人</w:t>
      </w:r>
      <w:r>
        <w:rPr>
          <w:rFonts w:ascii="宋体" w:hAnsi="宋体" w:eastAsia="宋体" w:cs="宋体"/>
          <w:snapToGrid w:val="0"/>
          <w:color w:val="000000"/>
          <w:spacing w:val="-2"/>
          <w:kern w:val="0"/>
          <w:sz w:val="24"/>
          <w:u w:val="single"/>
        </w:rPr>
        <w:t>民币</w:t>
      </w:r>
      <w:r>
        <w:rPr>
          <w:rFonts w:ascii="Arial" w:hAnsi="Arial" w:eastAsia="宋体" w:cs="Arial"/>
          <w:snapToGrid w:val="0"/>
          <w:color w:val="000000"/>
          <w:spacing w:val="-2"/>
          <w:kern w:val="0"/>
          <w:sz w:val="24"/>
          <w:u w:val="single"/>
        </w:rPr>
        <w:t>¥</w:t>
      </w:r>
      <w:r>
        <w:rPr>
          <w:rFonts w:hint="eastAsia" w:ascii="Arial" w:hAnsi="Arial" w:eastAsia="宋体" w:cs="Arial"/>
          <w:snapToGrid w:val="0"/>
          <w:color w:val="000000"/>
          <w:spacing w:val="-2"/>
          <w:kern w:val="0"/>
          <w:sz w:val="24"/>
          <w:u w:val="single"/>
        </w:rPr>
        <w:t xml:space="preserve">    </w:t>
      </w:r>
      <w:r>
        <w:rPr>
          <w:rFonts w:ascii="宋体" w:hAnsi="宋体" w:eastAsia="宋体" w:cs="宋体"/>
          <w:snapToGrid w:val="0"/>
          <w:color w:val="000000"/>
          <w:spacing w:val="-2"/>
          <w:kern w:val="0"/>
          <w:sz w:val="24"/>
          <w:u w:val="single"/>
        </w:rPr>
        <w:t>元</w:t>
      </w:r>
      <w:r>
        <w:rPr>
          <w:rFonts w:hint="eastAsia" w:ascii="宋体" w:hAnsi="宋体" w:eastAsia="宋体" w:cs="宋体"/>
          <w:snapToGrid w:val="0"/>
          <w:color w:val="000000"/>
          <w:spacing w:val="-2"/>
          <w:kern w:val="0"/>
          <w:sz w:val="24"/>
          <w:u w:val="single"/>
          <w:lang w:eastAsia="zh-CN"/>
        </w:rPr>
        <w:t>）</w:t>
      </w:r>
      <w:r>
        <w:rPr>
          <w:rFonts w:ascii="宋体" w:hAnsi="宋体" w:eastAsia="宋体" w:cs="宋体"/>
          <w:snapToGrid w:val="0"/>
          <w:color w:val="000000"/>
          <w:spacing w:val="-29"/>
          <w:kern w:val="0"/>
          <w:sz w:val="24"/>
          <w:u w:val="single"/>
        </w:rPr>
        <w:t>，</w:t>
      </w:r>
      <w:r>
        <w:rPr>
          <w:rFonts w:ascii="宋体" w:hAnsi="宋体" w:eastAsia="宋体" w:cs="宋体"/>
          <w:snapToGrid w:val="0"/>
          <w:color w:val="000000"/>
          <w:spacing w:val="-5"/>
          <w:kern w:val="0"/>
          <w:sz w:val="24"/>
          <w:u w:val="single"/>
        </w:rPr>
        <w:t>(大写</w:t>
      </w:r>
      <w:r>
        <w:rPr>
          <w:rFonts w:hint="eastAsia" w:ascii="宋体" w:hAnsi="宋体" w:eastAsia="宋体" w:cs="宋体"/>
          <w:snapToGrid w:val="0"/>
          <w:color w:val="000000"/>
          <w:spacing w:val="-5"/>
          <w:kern w:val="0"/>
          <w:sz w:val="24"/>
          <w:u w:val="single"/>
        </w:rPr>
        <w:t xml:space="preserve">        </w:t>
      </w:r>
      <w:r>
        <w:rPr>
          <w:rFonts w:ascii="宋体" w:hAnsi="宋体" w:eastAsia="宋体" w:cs="宋体"/>
          <w:snapToGrid w:val="0"/>
          <w:color w:val="000000"/>
          <w:spacing w:val="-5"/>
          <w:kern w:val="0"/>
          <w:sz w:val="24"/>
          <w:u w:val="single"/>
        </w:rPr>
        <w:t>)</w:t>
      </w:r>
      <w:r>
        <w:rPr>
          <w:rFonts w:hint="eastAsia" w:ascii="宋体" w:hAnsi="宋体" w:eastAsia="宋体" w:cs="宋体"/>
          <w:snapToGrid w:val="0"/>
          <w:color w:val="000000"/>
          <w:spacing w:val="-5"/>
          <w:kern w:val="0"/>
          <w:sz w:val="24"/>
        </w:rPr>
        <w:t>。</w:t>
      </w:r>
      <w:r>
        <w:rPr>
          <w:rFonts w:ascii="宋体" w:hAnsi="宋体" w:eastAsia="宋体" w:cs="宋体"/>
          <w:snapToGrid w:val="0"/>
          <w:color w:val="000000"/>
          <w:spacing w:val="1"/>
          <w:kern w:val="0"/>
          <w:sz w:val="24"/>
        </w:rPr>
        <w:t>合同履行结束后退还。履约保证金用以约束成交供应商在合同履行中的行为，弥补合同执</w:t>
      </w:r>
      <w:r>
        <w:rPr>
          <w:rFonts w:ascii="宋体" w:hAnsi="宋体" w:eastAsia="宋体" w:cs="宋体"/>
          <w:snapToGrid w:val="0"/>
          <w:color w:val="auto"/>
          <w:spacing w:val="1"/>
          <w:kern w:val="0"/>
          <w:sz w:val="24"/>
        </w:rPr>
        <w:t>行中由于自身行为可能给招标人带来的各种损失。</w:t>
      </w:r>
    </w:p>
    <w:p w14:paraId="2A725252">
      <w:pPr>
        <w:kinsoku w:val="0"/>
        <w:autoSpaceDE w:val="0"/>
        <w:autoSpaceDN w:val="0"/>
        <w:adjustRightInd w:val="0"/>
        <w:snapToGrid w:val="0"/>
        <w:spacing w:line="500" w:lineRule="exact"/>
        <w:ind w:firstLine="484" w:firstLineChars="200"/>
        <w:jc w:val="left"/>
        <w:textAlignment w:val="baseline"/>
        <w:rPr>
          <w:rFonts w:hint="eastAsia" w:ascii="宋体" w:hAnsi="宋体" w:eastAsia="宋体" w:cs="宋体"/>
          <w:snapToGrid w:val="0"/>
          <w:color w:val="auto"/>
          <w:spacing w:val="1"/>
          <w:kern w:val="0"/>
          <w:sz w:val="24"/>
        </w:rPr>
      </w:pPr>
      <w:r>
        <w:rPr>
          <w:rFonts w:hint="eastAsia" w:ascii="宋体" w:hAnsi="宋体" w:eastAsia="宋体" w:cs="宋体"/>
          <w:snapToGrid w:val="0"/>
          <w:color w:val="auto"/>
          <w:spacing w:val="1"/>
          <w:kern w:val="0"/>
          <w:sz w:val="24"/>
        </w:rPr>
        <w:t xml:space="preserve">如以履约保函（保险）形式缴纳履约保证金，供应商可通过政府采购电子履约保函（保险）平台（www.jsdzbh.com）在线申请履约保函（保险），乙方须确保履约保函在合同服务终止前始终保持有效。 </w:t>
      </w:r>
    </w:p>
    <w:p w14:paraId="2086AC1E">
      <w:pPr>
        <w:kinsoku w:val="0"/>
        <w:autoSpaceDE w:val="0"/>
        <w:autoSpaceDN w:val="0"/>
        <w:adjustRightInd w:val="0"/>
        <w:snapToGrid w:val="0"/>
        <w:spacing w:line="500" w:lineRule="exact"/>
        <w:ind w:firstLine="480" w:firstLineChars="200"/>
        <w:jc w:val="left"/>
        <w:textAlignment w:val="baseline"/>
        <w:rPr>
          <w:rFonts w:hint="eastAsia" w:ascii="宋体" w:hAnsi="宋体" w:eastAsia="宋体" w:cs="宋体"/>
          <w:snapToGrid w:val="0"/>
          <w:color w:val="000000"/>
          <w:kern w:val="0"/>
          <w:sz w:val="24"/>
        </w:rPr>
      </w:pPr>
      <w:r>
        <w:rPr>
          <w:rFonts w:hint="eastAsia" w:ascii="宋体" w:hAnsi="宋体" w:eastAsia="宋体" w:cs="宋体"/>
          <w:color w:val="000000"/>
          <w:sz w:val="24"/>
        </w:rPr>
        <w:t>采购人对第三方信用服务机构依据标准规范评定为 AA 级及以上的政府采购供应商（需在签订采购合同前提供信用管理 部门备案的第三方信用报告，且信用报告通过“信用盐城网”可查实），免收履约保证金。</w:t>
      </w:r>
    </w:p>
    <w:p w14:paraId="15D6F1D6">
      <w:pPr>
        <w:kinsoku w:val="0"/>
        <w:autoSpaceDE w:val="0"/>
        <w:autoSpaceDN w:val="0"/>
        <w:adjustRightInd w:val="0"/>
        <w:snapToGrid w:val="0"/>
        <w:spacing w:line="500" w:lineRule="exact"/>
        <w:ind w:firstLine="476" w:firstLineChars="200"/>
        <w:jc w:val="left"/>
        <w:textAlignment w:val="baseline"/>
        <w:rPr>
          <w:rFonts w:hint="eastAsia" w:ascii="宋体" w:hAnsi="宋体" w:eastAsia="宋体" w:cs="宋体"/>
          <w:snapToGrid w:val="0"/>
          <w:color w:val="000000"/>
          <w:kern w:val="0"/>
          <w:sz w:val="24"/>
        </w:rPr>
      </w:pPr>
      <w:r>
        <w:rPr>
          <w:rFonts w:ascii="宋体" w:hAnsi="宋体" w:eastAsia="宋体" w:cs="宋体"/>
          <w:snapToGrid w:val="0"/>
          <w:color w:val="000000"/>
          <w:spacing w:val="-1"/>
          <w:kern w:val="0"/>
          <w:sz w:val="24"/>
        </w:rPr>
        <w:t>2、合同履行结束后，甲方应及时退还交纳的履约保证金。</w:t>
      </w:r>
    </w:p>
    <w:p w14:paraId="094CCAEE">
      <w:pPr>
        <w:kinsoku w:val="0"/>
        <w:autoSpaceDE w:val="0"/>
        <w:autoSpaceDN w:val="0"/>
        <w:adjustRightInd w:val="0"/>
        <w:snapToGrid w:val="0"/>
        <w:spacing w:line="500" w:lineRule="exact"/>
        <w:ind w:firstLine="472" w:firstLineChars="200"/>
        <w:jc w:val="left"/>
        <w:textAlignment w:val="baseline"/>
        <w:rPr>
          <w:rFonts w:hint="eastAsia" w:ascii="宋体" w:hAnsi="宋体" w:eastAsia="宋体" w:cs="宋体"/>
          <w:snapToGrid w:val="0"/>
          <w:color w:val="000000"/>
          <w:kern w:val="0"/>
          <w:sz w:val="24"/>
        </w:rPr>
      </w:pPr>
      <w:r>
        <w:rPr>
          <w:rFonts w:ascii="宋体" w:hAnsi="宋体" w:eastAsia="宋体" w:cs="宋体"/>
          <w:snapToGrid w:val="0"/>
          <w:color w:val="000000"/>
          <w:spacing w:val="-2"/>
          <w:kern w:val="0"/>
          <w:sz w:val="24"/>
        </w:rPr>
        <w:t>3、履约保证金的退还：</w:t>
      </w:r>
    </w:p>
    <w:p w14:paraId="6D132E48">
      <w:pPr>
        <w:kinsoku w:val="0"/>
        <w:autoSpaceDE w:val="0"/>
        <w:autoSpaceDN w:val="0"/>
        <w:adjustRightInd w:val="0"/>
        <w:snapToGrid w:val="0"/>
        <w:spacing w:line="500" w:lineRule="exact"/>
        <w:ind w:firstLine="460" w:firstLineChars="200"/>
        <w:jc w:val="left"/>
        <w:textAlignment w:val="baseline"/>
        <w:rPr>
          <w:rFonts w:hint="eastAsia" w:ascii="宋体" w:hAnsi="宋体" w:eastAsia="宋体" w:cs="宋体"/>
          <w:snapToGrid w:val="0"/>
          <w:color w:val="000000"/>
          <w:spacing w:val="-5"/>
          <w:kern w:val="0"/>
          <w:sz w:val="24"/>
        </w:rPr>
      </w:pPr>
      <w:r>
        <w:rPr>
          <w:rFonts w:ascii="宋体" w:hAnsi="宋体" w:eastAsia="宋体" w:cs="宋体"/>
          <w:snapToGrid w:val="0"/>
          <w:color w:val="000000"/>
          <w:spacing w:val="-5"/>
          <w:kern w:val="0"/>
          <w:sz w:val="24"/>
        </w:rPr>
        <w:t>3.1方式：</w:t>
      </w:r>
    </w:p>
    <w:p w14:paraId="1DCDA0A4">
      <w:pPr>
        <w:kinsoku w:val="0"/>
        <w:autoSpaceDE w:val="0"/>
        <w:autoSpaceDN w:val="0"/>
        <w:adjustRightInd w:val="0"/>
        <w:snapToGrid w:val="0"/>
        <w:spacing w:line="500" w:lineRule="exact"/>
        <w:ind w:firstLine="480" w:firstLineChars="200"/>
        <w:jc w:val="left"/>
        <w:textAlignment w:val="baseline"/>
        <w:rPr>
          <w:rFonts w:hint="eastAsia" w:ascii="宋体" w:hAnsi="宋体" w:eastAsia="宋体" w:cs="宋体"/>
          <w:snapToGrid w:val="0"/>
          <w:color w:val="000000"/>
          <w:spacing w:val="-1"/>
          <w:kern w:val="0"/>
          <w:sz w:val="24"/>
        </w:rPr>
      </w:pPr>
      <w:r>
        <w:rPr>
          <w:rFonts w:ascii="宋体" w:hAnsi="宋体" w:eastAsia="宋体" w:cs="宋体"/>
          <w:snapToGrid w:val="0"/>
          <w:color w:val="000000"/>
          <w:kern w:val="0"/>
          <w:sz w:val="24"/>
        </w:rPr>
        <w:t>无息退还至投标人缴纳履约保证金的账户。如</w:t>
      </w:r>
      <w:r>
        <w:rPr>
          <w:rFonts w:ascii="宋体" w:hAnsi="宋体" w:eastAsia="宋体" w:cs="宋体"/>
          <w:snapToGrid w:val="0"/>
          <w:color w:val="000000"/>
          <w:spacing w:val="-1"/>
          <w:kern w:val="0"/>
          <w:sz w:val="24"/>
        </w:rPr>
        <w:t>为保函，在到期时自行失效；</w:t>
      </w:r>
    </w:p>
    <w:p w14:paraId="46B181C0">
      <w:pPr>
        <w:kinsoku w:val="0"/>
        <w:autoSpaceDE w:val="0"/>
        <w:autoSpaceDN w:val="0"/>
        <w:adjustRightInd w:val="0"/>
        <w:snapToGrid w:val="0"/>
        <w:spacing w:line="500" w:lineRule="exact"/>
        <w:ind w:firstLine="460" w:firstLineChars="200"/>
        <w:jc w:val="left"/>
        <w:textAlignment w:val="baseline"/>
        <w:rPr>
          <w:rFonts w:hint="eastAsia" w:ascii="宋体" w:hAnsi="宋体" w:eastAsia="宋体" w:cs="宋体"/>
          <w:snapToGrid w:val="0"/>
          <w:color w:val="000000"/>
          <w:kern w:val="0"/>
          <w:sz w:val="24"/>
        </w:rPr>
      </w:pPr>
      <w:r>
        <w:rPr>
          <w:rFonts w:ascii="宋体" w:hAnsi="宋体" w:eastAsia="宋体" w:cs="宋体"/>
          <w:snapToGrid w:val="0"/>
          <w:color w:val="000000"/>
          <w:spacing w:val="-5"/>
          <w:kern w:val="0"/>
          <w:sz w:val="24"/>
        </w:rPr>
        <w:t>3.2时间：验收合格且招标人收到发票后30日内；</w:t>
      </w:r>
    </w:p>
    <w:p w14:paraId="5A07BF05">
      <w:pPr>
        <w:kinsoku w:val="0"/>
        <w:autoSpaceDE w:val="0"/>
        <w:autoSpaceDN w:val="0"/>
        <w:adjustRightInd w:val="0"/>
        <w:snapToGrid w:val="0"/>
        <w:spacing w:line="500" w:lineRule="exact"/>
        <w:ind w:firstLine="460" w:firstLineChars="200"/>
        <w:jc w:val="left"/>
        <w:textAlignment w:val="baseline"/>
        <w:rPr>
          <w:rFonts w:hint="eastAsia" w:ascii="宋体" w:hAnsi="宋体" w:eastAsia="宋体" w:cs="宋体"/>
          <w:snapToGrid w:val="0"/>
          <w:color w:val="000000"/>
          <w:kern w:val="0"/>
          <w:sz w:val="24"/>
        </w:rPr>
      </w:pPr>
      <w:r>
        <w:rPr>
          <w:rFonts w:ascii="宋体" w:hAnsi="宋体" w:eastAsia="宋体" w:cs="宋体"/>
          <w:snapToGrid w:val="0"/>
          <w:color w:val="000000"/>
          <w:spacing w:val="-5"/>
          <w:kern w:val="0"/>
          <w:sz w:val="24"/>
        </w:rPr>
        <w:t>3.3条件：</w:t>
      </w:r>
    </w:p>
    <w:p w14:paraId="292657EE">
      <w:pPr>
        <w:kinsoku w:val="0"/>
        <w:autoSpaceDE w:val="0"/>
        <w:autoSpaceDN w:val="0"/>
        <w:adjustRightInd w:val="0"/>
        <w:snapToGrid w:val="0"/>
        <w:spacing w:line="500" w:lineRule="exact"/>
        <w:ind w:firstLine="480" w:firstLineChars="200"/>
        <w:jc w:val="left"/>
        <w:textAlignment w:val="baseline"/>
        <w:rPr>
          <w:rFonts w:hint="eastAsia" w:ascii="宋体" w:hAnsi="宋体" w:eastAsia="宋体" w:cs="宋体"/>
          <w:snapToGrid w:val="0"/>
          <w:color w:val="000000"/>
          <w:spacing w:val="-1"/>
          <w:kern w:val="0"/>
          <w:sz w:val="24"/>
        </w:rPr>
      </w:pPr>
      <w:r>
        <w:rPr>
          <w:rFonts w:ascii="宋体" w:hAnsi="宋体" w:eastAsia="宋体" w:cs="宋体"/>
          <w:snapToGrid w:val="0"/>
          <w:color w:val="000000"/>
          <w:kern w:val="0"/>
          <w:sz w:val="24"/>
        </w:rPr>
        <w:t>按合同要求全部履约完成并经甲方验收合格，</w:t>
      </w:r>
      <w:r>
        <w:rPr>
          <w:rFonts w:ascii="宋体" w:hAnsi="宋体" w:eastAsia="宋体" w:cs="宋体"/>
          <w:snapToGrid w:val="0"/>
          <w:color w:val="000000"/>
          <w:spacing w:val="-1"/>
          <w:kern w:val="0"/>
          <w:sz w:val="24"/>
        </w:rPr>
        <w:t>且甲方收到乙方出具的发票。</w:t>
      </w:r>
    </w:p>
    <w:p w14:paraId="01D6F2A3">
      <w:pPr>
        <w:kinsoku w:val="0"/>
        <w:autoSpaceDE w:val="0"/>
        <w:autoSpaceDN w:val="0"/>
        <w:adjustRightInd w:val="0"/>
        <w:snapToGrid w:val="0"/>
        <w:spacing w:line="500" w:lineRule="exact"/>
        <w:ind w:firstLine="468" w:firstLineChars="200"/>
        <w:jc w:val="left"/>
        <w:textAlignment w:val="baseline"/>
        <w:rPr>
          <w:rFonts w:hint="eastAsia" w:ascii="宋体" w:hAnsi="宋体" w:eastAsia="宋体" w:cs="宋体"/>
          <w:snapToGrid w:val="0"/>
          <w:color w:val="000000"/>
          <w:kern w:val="0"/>
          <w:sz w:val="24"/>
        </w:rPr>
      </w:pPr>
      <w:r>
        <w:rPr>
          <w:rFonts w:ascii="宋体" w:hAnsi="宋体" w:eastAsia="宋体" w:cs="宋体"/>
          <w:snapToGrid w:val="0"/>
          <w:color w:val="000000"/>
          <w:spacing w:val="-3"/>
          <w:kern w:val="0"/>
          <w:sz w:val="24"/>
        </w:rPr>
        <w:t>3.4不予退还情形：</w:t>
      </w:r>
    </w:p>
    <w:p w14:paraId="366FAB42">
      <w:pPr>
        <w:kinsoku w:val="0"/>
        <w:autoSpaceDE w:val="0"/>
        <w:autoSpaceDN w:val="0"/>
        <w:adjustRightInd w:val="0"/>
        <w:snapToGrid w:val="0"/>
        <w:spacing w:line="500" w:lineRule="exact"/>
        <w:ind w:firstLine="484" w:firstLineChars="200"/>
        <w:jc w:val="left"/>
        <w:textAlignment w:val="baseline"/>
        <w:rPr>
          <w:rFonts w:hint="eastAsia" w:ascii="宋体" w:hAnsi="宋体" w:eastAsia="宋体" w:cs="宋体"/>
          <w:snapToGrid w:val="0"/>
          <w:color w:val="000000"/>
          <w:kern w:val="0"/>
          <w:sz w:val="24"/>
        </w:rPr>
      </w:pPr>
      <w:r>
        <w:rPr>
          <w:rFonts w:ascii="宋体" w:hAnsi="宋体" w:eastAsia="宋体" w:cs="宋体"/>
          <w:snapToGrid w:val="0"/>
          <w:color w:val="000000"/>
          <w:spacing w:val="1"/>
          <w:kern w:val="0"/>
          <w:sz w:val="24"/>
        </w:rPr>
        <w:t>除不可抗力情况外，投标人出现下列情形之一的，其履约保证金，甲方将视情节决</w:t>
      </w:r>
      <w:r>
        <w:rPr>
          <w:rFonts w:ascii="宋体" w:hAnsi="宋体" w:eastAsia="宋体" w:cs="宋体"/>
          <w:snapToGrid w:val="0"/>
          <w:color w:val="000000"/>
          <w:spacing w:val="-2"/>
          <w:kern w:val="0"/>
          <w:sz w:val="24"/>
        </w:rPr>
        <w:t>定不予退还或部分不予退还。</w:t>
      </w:r>
    </w:p>
    <w:p w14:paraId="0A7627B9">
      <w:pPr>
        <w:kinsoku w:val="0"/>
        <w:autoSpaceDE w:val="0"/>
        <w:autoSpaceDN w:val="0"/>
        <w:adjustRightInd w:val="0"/>
        <w:snapToGrid w:val="0"/>
        <w:spacing w:line="500" w:lineRule="exact"/>
        <w:ind w:firstLine="488" w:firstLineChars="200"/>
        <w:jc w:val="left"/>
        <w:textAlignment w:val="baseline"/>
        <w:rPr>
          <w:rFonts w:hint="eastAsia" w:ascii="宋体" w:hAnsi="宋体" w:eastAsia="宋体" w:cs="宋体"/>
          <w:snapToGrid w:val="0"/>
          <w:color w:val="000000"/>
          <w:kern w:val="0"/>
          <w:sz w:val="24"/>
        </w:rPr>
      </w:pPr>
      <w:r>
        <w:rPr>
          <w:rFonts w:ascii="宋体" w:hAnsi="宋体" w:eastAsia="宋体" w:cs="宋体"/>
          <w:snapToGrid w:val="0"/>
          <w:color w:val="000000"/>
          <w:spacing w:val="2"/>
          <w:kern w:val="0"/>
          <w:sz w:val="24"/>
        </w:rPr>
        <w:t>3.4.1乙方无正当理由拒绝签订合同的，或者在签订合同时向招标人提出附加条件</w:t>
      </w:r>
      <w:r>
        <w:rPr>
          <w:rFonts w:ascii="宋体" w:hAnsi="宋体" w:eastAsia="宋体" w:cs="宋体"/>
          <w:snapToGrid w:val="0"/>
          <w:color w:val="000000"/>
          <w:spacing w:val="-1"/>
          <w:kern w:val="0"/>
          <w:sz w:val="24"/>
        </w:rPr>
        <w:t>或者更改合同实质性内容要求的；</w:t>
      </w:r>
    </w:p>
    <w:p w14:paraId="480F1BA7">
      <w:pPr>
        <w:kinsoku w:val="0"/>
        <w:autoSpaceDE w:val="0"/>
        <w:autoSpaceDN w:val="0"/>
        <w:adjustRightInd w:val="0"/>
        <w:snapToGrid w:val="0"/>
        <w:spacing w:line="500" w:lineRule="exact"/>
        <w:ind w:firstLine="468" w:firstLineChars="200"/>
        <w:jc w:val="left"/>
        <w:textAlignment w:val="baseline"/>
        <w:rPr>
          <w:rFonts w:hint="eastAsia" w:ascii="宋体" w:hAnsi="宋体" w:eastAsia="宋体" w:cs="宋体"/>
          <w:snapToGrid w:val="0"/>
          <w:color w:val="000000"/>
          <w:kern w:val="0"/>
          <w:sz w:val="24"/>
        </w:rPr>
      </w:pPr>
      <w:r>
        <w:rPr>
          <w:rFonts w:ascii="宋体" w:hAnsi="宋体" w:eastAsia="宋体" w:cs="宋体"/>
          <w:snapToGrid w:val="0"/>
          <w:color w:val="000000"/>
          <w:spacing w:val="-3"/>
          <w:kern w:val="0"/>
          <w:sz w:val="24"/>
        </w:rPr>
        <w:t>3.4.2乙方不履行与招标人订立的合同的；</w:t>
      </w:r>
    </w:p>
    <w:p w14:paraId="112FD514">
      <w:pPr>
        <w:kinsoku w:val="0"/>
        <w:autoSpaceDE w:val="0"/>
        <w:autoSpaceDN w:val="0"/>
        <w:adjustRightInd w:val="0"/>
        <w:snapToGrid w:val="0"/>
        <w:spacing w:line="500" w:lineRule="exact"/>
        <w:ind w:firstLine="472" w:firstLineChars="200"/>
        <w:jc w:val="left"/>
        <w:textAlignment w:val="baseline"/>
        <w:rPr>
          <w:rFonts w:hint="eastAsia" w:ascii="宋体" w:hAnsi="宋体" w:eastAsia="宋体" w:cs="宋体"/>
          <w:snapToGrid w:val="0"/>
          <w:color w:val="000000"/>
          <w:kern w:val="0"/>
          <w:sz w:val="24"/>
        </w:rPr>
      </w:pPr>
      <w:r>
        <w:rPr>
          <w:rFonts w:ascii="宋体" w:hAnsi="宋体" w:eastAsia="宋体" w:cs="宋体"/>
          <w:snapToGrid w:val="0"/>
          <w:color w:val="000000"/>
          <w:spacing w:val="-2"/>
          <w:kern w:val="0"/>
          <w:sz w:val="24"/>
        </w:rPr>
        <w:t>3.4.3乙方所供货物或服务不符合招标文件规定要求的；</w:t>
      </w:r>
    </w:p>
    <w:p w14:paraId="5214C1FF">
      <w:pPr>
        <w:kinsoku w:val="0"/>
        <w:autoSpaceDE w:val="0"/>
        <w:autoSpaceDN w:val="0"/>
        <w:adjustRightInd w:val="0"/>
        <w:snapToGrid w:val="0"/>
        <w:spacing w:line="500" w:lineRule="exact"/>
        <w:ind w:firstLine="476" w:firstLineChars="200"/>
        <w:jc w:val="left"/>
        <w:textAlignment w:val="baseline"/>
        <w:rPr>
          <w:rFonts w:hint="eastAsia" w:ascii="宋体" w:hAnsi="宋体" w:eastAsia="宋体" w:cs="宋体"/>
          <w:snapToGrid w:val="0"/>
          <w:color w:val="000000"/>
          <w:kern w:val="0"/>
          <w:sz w:val="24"/>
        </w:rPr>
      </w:pPr>
      <w:r>
        <w:rPr>
          <w:rFonts w:ascii="宋体" w:hAnsi="宋体" w:eastAsia="宋体" w:cs="宋体"/>
          <w:snapToGrid w:val="0"/>
          <w:color w:val="000000"/>
          <w:spacing w:val="-1"/>
          <w:kern w:val="0"/>
          <w:sz w:val="24"/>
        </w:rPr>
        <w:t>3.4.4乙方采取欺骗、弄虚作假方式投</w:t>
      </w:r>
      <w:r>
        <w:rPr>
          <w:rFonts w:ascii="宋体" w:hAnsi="宋体" w:eastAsia="宋体" w:cs="宋体"/>
          <w:snapToGrid w:val="0"/>
          <w:color w:val="000000"/>
          <w:spacing w:val="-2"/>
          <w:kern w:val="0"/>
          <w:sz w:val="24"/>
        </w:rPr>
        <w:t>标的或与其它投标人串通投标的；</w:t>
      </w:r>
    </w:p>
    <w:p w14:paraId="26FFA025">
      <w:pPr>
        <w:kinsoku w:val="0"/>
        <w:autoSpaceDE w:val="0"/>
        <w:autoSpaceDN w:val="0"/>
        <w:adjustRightInd w:val="0"/>
        <w:snapToGrid w:val="0"/>
        <w:spacing w:line="500" w:lineRule="exact"/>
        <w:ind w:firstLine="468" w:firstLineChars="200"/>
        <w:jc w:val="left"/>
        <w:textAlignment w:val="baseline"/>
        <w:rPr>
          <w:rFonts w:hint="eastAsia" w:ascii="宋体" w:hAnsi="宋体" w:eastAsia="宋体" w:cs="宋体"/>
          <w:snapToGrid w:val="0"/>
          <w:color w:val="000000"/>
          <w:kern w:val="0"/>
          <w:sz w:val="24"/>
        </w:rPr>
      </w:pPr>
      <w:r>
        <w:rPr>
          <w:rFonts w:ascii="宋体" w:hAnsi="宋体" w:eastAsia="宋体" w:cs="宋体"/>
          <w:snapToGrid w:val="0"/>
          <w:color w:val="000000"/>
          <w:spacing w:val="-3"/>
          <w:kern w:val="0"/>
          <w:sz w:val="24"/>
        </w:rPr>
        <w:t>3.4.5乙方将合同内容转包、违法分包的；</w:t>
      </w:r>
    </w:p>
    <w:p w14:paraId="47A24FE6">
      <w:pPr>
        <w:kinsoku w:val="0"/>
        <w:autoSpaceDE w:val="0"/>
        <w:autoSpaceDN w:val="0"/>
        <w:adjustRightInd w:val="0"/>
        <w:snapToGrid w:val="0"/>
        <w:spacing w:line="500" w:lineRule="exact"/>
        <w:ind w:firstLine="476" w:firstLineChars="200"/>
        <w:jc w:val="left"/>
        <w:textAlignment w:val="baseline"/>
        <w:rPr>
          <w:rFonts w:hint="eastAsia" w:ascii="宋体" w:hAnsi="宋体" w:eastAsia="宋体" w:cs="宋体"/>
          <w:snapToGrid w:val="0"/>
          <w:color w:val="000000"/>
          <w:kern w:val="0"/>
          <w:sz w:val="24"/>
        </w:rPr>
      </w:pPr>
      <w:r>
        <w:rPr>
          <w:rFonts w:ascii="宋体" w:hAnsi="宋体" w:eastAsia="宋体" w:cs="宋体"/>
          <w:snapToGrid w:val="0"/>
          <w:color w:val="000000"/>
          <w:spacing w:val="-1"/>
          <w:kern w:val="0"/>
          <w:sz w:val="24"/>
        </w:rPr>
        <w:t>3.4.6乙方故意捏造事实或伪造证明材</w:t>
      </w:r>
      <w:r>
        <w:rPr>
          <w:rFonts w:ascii="宋体" w:hAnsi="宋体" w:eastAsia="宋体" w:cs="宋体"/>
          <w:snapToGrid w:val="0"/>
          <w:color w:val="000000"/>
          <w:spacing w:val="-2"/>
          <w:kern w:val="0"/>
          <w:sz w:val="24"/>
        </w:rPr>
        <w:t>料，进行虚假恶意投诉或反映的。</w:t>
      </w:r>
    </w:p>
    <w:p w14:paraId="051D93FF">
      <w:pPr>
        <w:kinsoku w:val="0"/>
        <w:autoSpaceDE w:val="0"/>
        <w:autoSpaceDN w:val="0"/>
        <w:adjustRightInd w:val="0"/>
        <w:snapToGrid w:val="0"/>
        <w:spacing w:line="500" w:lineRule="exact"/>
        <w:ind w:firstLine="492" w:firstLineChars="200"/>
        <w:textAlignment w:val="baseline"/>
        <w:rPr>
          <w:rFonts w:hint="eastAsia" w:ascii="宋体" w:hAnsi="宋体" w:eastAsia="宋体" w:cs="宋体"/>
          <w:snapToGrid w:val="0"/>
          <w:color w:val="000000"/>
          <w:spacing w:val="-2"/>
          <w:kern w:val="0"/>
          <w:sz w:val="24"/>
        </w:rPr>
      </w:pPr>
      <w:r>
        <w:rPr>
          <w:rFonts w:ascii="宋体" w:hAnsi="宋体" w:eastAsia="宋体" w:cs="宋体"/>
          <w:snapToGrid w:val="0"/>
          <w:color w:val="000000"/>
          <w:spacing w:val="3"/>
          <w:kern w:val="0"/>
          <w:sz w:val="24"/>
        </w:rPr>
        <w:t>3.5逾期退还的违约责任：招标人逾期无故未退还履约保证金的，按中</w:t>
      </w:r>
      <w:r>
        <w:rPr>
          <w:rFonts w:ascii="宋体" w:hAnsi="宋体" w:eastAsia="宋体" w:cs="宋体"/>
          <w:snapToGrid w:val="0"/>
          <w:color w:val="000000"/>
          <w:spacing w:val="2"/>
          <w:kern w:val="0"/>
          <w:sz w:val="24"/>
        </w:rPr>
        <w:t>国人民银行</w:t>
      </w:r>
      <w:r>
        <w:rPr>
          <w:rFonts w:ascii="宋体" w:hAnsi="宋体" w:eastAsia="宋体" w:cs="宋体"/>
          <w:snapToGrid w:val="0"/>
          <w:color w:val="000000"/>
          <w:spacing w:val="3"/>
          <w:kern w:val="0"/>
          <w:sz w:val="24"/>
        </w:rPr>
        <w:t>同期贷款基准利率上浮20%后的利率支付超期资</w:t>
      </w:r>
      <w:r>
        <w:rPr>
          <w:rFonts w:ascii="宋体" w:hAnsi="宋体" w:eastAsia="宋体" w:cs="宋体"/>
          <w:snapToGrid w:val="0"/>
          <w:color w:val="000000"/>
          <w:spacing w:val="2"/>
          <w:kern w:val="0"/>
          <w:sz w:val="24"/>
        </w:rPr>
        <w:t>金占用费，但因乙方自身原因导致无法</w:t>
      </w:r>
      <w:r>
        <w:rPr>
          <w:rFonts w:ascii="宋体" w:hAnsi="宋体" w:eastAsia="宋体" w:cs="宋体"/>
          <w:snapToGrid w:val="0"/>
          <w:color w:val="000000"/>
          <w:spacing w:val="-2"/>
          <w:kern w:val="0"/>
          <w:sz w:val="24"/>
        </w:rPr>
        <w:t>及时退还的除外。</w:t>
      </w:r>
    </w:p>
    <w:p w14:paraId="00D754FA">
      <w:pPr>
        <w:kinsoku w:val="0"/>
        <w:autoSpaceDE w:val="0"/>
        <w:autoSpaceDN w:val="0"/>
        <w:adjustRightInd w:val="0"/>
        <w:snapToGrid w:val="0"/>
        <w:spacing w:line="500" w:lineRule="exact"/>
        <w:ind w:firstLine="466" w:firstLineChars="200"/>
        <w:jc w:val="left"/>
        <w:textAlignment w:val="baseline"/>
        <w:rPr>
          <w:rFonts w:hint="eastAsia" w:ascii="宋体" w:hAnsi="宋体" w:eastAsia="宋体" w:cs="宋体"/>
          <w:snapToGrid w:val="0"/>
          <w:color w:val="000000"/>
          <w:kern w:val="0"/>
          <w:sz w:val="24"/>
        </w:rPr>
      </w:pPr>
      <w:r>
        <w:rPr>
          <w:rFonts w:ascii="宋体" w:hAnsi="宋体" w:eastAsia="宋体" w:cs="宋体"/>
          <w:b/>
          <w:bCs/>
          <w:snapToGrid w:val="0"/>
          <w:color w:val="000000"/>
          <w:spacing w:val="-4"/>
          <w:kern w:val="0"/>
          <w:sz w:val="24"/>
        </w:rPr>
        <w:t>五、服务期与验收</w:t>
      </w:r>
    </w:p>
    <w:p w14:paraId="0B95A4F1">
      <w:pPr>
        <w:kinsoku w:val="0"/>
        <w:autoSpaceDE w:val="0"/>
        <w:autoSpaceDN w:val="0"/>
        <w:adjustRightInd w:val="0"/>
        <w:snapToGrid w:val="0"/>
        <w:spacing w:line="500" w:lineRule="exact"/>
        <w:ind w:firstLine="484" w:firstLineChars="200"/>
        <w:jc w:val="left"/>
        <w:textAlignment w:val="baseline"/>
        <w:rPr>
          <w:rFonts w:hint="eastAsia" w:ascii="宋体" w:hAnsi="宋体" w:eastAsia="宋体" w:cs="宋体"/>
          <w:snapToGrid w:val="0"/>
          <w:kern w:val="0"/>
          <w:sz w:val="24"/>
        </w:rPr>
      </w:pPr>
      <w:r>
        <w:rPr>
          <w:rFonts w:ascii="宋体" w:hAnsi="宋体" w:eastAsia="宋体" w:cs="宋体"/>
          <w:snapToGrid w:val="0"/>
          <w:spacing w:val="1"/>
          <w:kern w:val="0"/>
          <w:sz w:val="24"/>
        </w:rPr>
        <w:t>1、合同履行期限：</w:t>
      </w:r>
      <w:r>
        <w:rPr>
          <w:rFonts w:hint="eastAsia" w:ascii="宋体" w:hAnsi="宋体" w:eastAsia="宋体" w:cs="宋体"/>
          <w:snapToGrid w:val="0"/>
          <w:spacing w:val="1"/>
          <w:kern w:val="0"/>
          <w:sz w:val="24"/>
          <w:u w:val="single"/>
        </w:rPr>
        <w:t>100日历天</w:t>
      </w:r>
    </w:p>
    <w:p w14:paraId="7E949A4D">
      <w:pPr>
        <w:kinsoku w:val="0"/>
        <w:autoSpaceDE w:val="0"/>
        <w:autoSpaceDN w:val="0"/>
        <w:adjustRightInd w:val="0"/>
        <w:snapToGrid w:val="0"/>
        <w:spacing w:line="500" w:lineRule="exact"/>
        <w:ind w:firstLine="476" w:firstLineChars="200"/>
        <w:jc w:val="left"/>
        <w:textAlignment w:val="baseline"/>
        <w:rPr>
          <w:rFonts w:hint="eastAsia" w:ascii="宋体" w:hAnsi="宋体" w:eastAsia="宋体" w:cs="宋体"/>
          <w:snapToGrid w:val="0"/>
          <w:color w:val="000000"/>
          <w:spacing w:val="-1"/>
          <w:kern w:val="0"/>
          <w:sz w:val="24"/>
          <w:u w:val="single"/>
        </w:rPr>
      </w:pPr>
      <w:r>
        <w:rPr>
          <w:rFonts w:ascii="宋体" w:hAnsi="宋体" w:eastAsia="宋体" w:cs="宋体"/>
          <w:snapToGrid w:val="0"/>
          <w:color w:val="000000"/>
          <w:spacing w:val="-1"/>
          <w:kern w:val="0"/>
          <w:sz w:val="24"/>
        </w:rPr>
        <w:t>2、项目地点：</w:t>
      </w:r>
      <w:r>
        <w:rPr>
          <w:rFonts w:ascii="宋体" w:hAnsi="宋体" w:eastAsia="宋体" w:cs="宋体"/>
          <w:snapToGrid w:val="0"/>
          <w:color w:val="000000"/>
          <w:spacing w:val="-1"/>
          <w:kern w:val="0"/>
          <w:sz w:val="24"/>
          <w:u w:val="single"/>
        </w:rPr>
        <w:t>大丰区城区</w:t>
      </w:r>
      <w:r>
        <w:rPr>
          <w:rFonts w:hint="eastAsia" w:ascii="宋体" w:hAnsi="宋体" w:eastAsia="宋体" w:cs="宋体"/>
          <w:snapToGrid w:val="0"/>
          <w:color w:val="000000"/>
          <w:spacing w:val="-1"/>
          <w:kern w:val="0"/>
          <w:sz w:val="24"/>
          <w:u w:val="single"/>
        </w:rPr>
        <w:t>、镇级</w:t>
      </w:r>
    </w:p>
    <w:p w14:paraId="3AD24328">
      <w:pPr>
        <w:kinsoku w:val="0"/>
        <w:autoSpaceDE w:val="0"/>
        <w:autoSpaceDN w:val="0"/>
        <w:adjustRightInd w:val="0"/>
        <w:snapToGrid w:val="0"/>
        <w:spacing w:line="500" w:lineRule="exact"/>
        <w:ind w:firstLine="500" w:firstLineChars="200"/>
        <w:jc w:val="left"/>
        <w:textAlignment w:val="baseline"/>
        <w:rPr>
          <w:rFonts w:hint="eastAsia" w:ascii="宋体" w:hAnsi="宋体" w:eastAsia="宋体" w:cs="宋体"/>
          <w:snapToGrid w:val="0"/>
          <w:color w:val="000000"/>
          <w:kern w:val="0"/>
          <w:sz w:val="24"/>
        </w:rPr>
      </w:pPr>
      <w:r>
        <w:rPr>
          <w:rFonts w:ascii="宋体" w:hAnsi="宋体" w:eastAsia="宋体" w:cs="宋体"/>
          <w:snapToGrid w:val="0"/>
          <w:color w:val="000000"/>
          <w:spacing w:val="5"/>
          <w:kern w:val="0"/>
          <w:sz w:val="24"/>
        </w:rPr>
        <w:t>3、甲方或者招标代理机构应当按照采购合同规定的</w:t>
      </w:r>
      <w:r>
        <w:rPr>
          <w:rFonts w:ascii="宋体" w:hAnsi="宋体" w:eastAsia="宋体" w:cs="宋体"/>
          <w:snapToGrid w:val="0"/>
          <w:color w:val="000000"/>
          <w:spacing w:val="4"/>
          <w:kern w:val="0"/>
          <w:sz w:val="24"/>
        </w:rPr>
        <w:t>技术、服务、安全标准组织对</w:t>
      </w:r>
      <w:r>
        <w:rPr>
          <w:rFonts w:ascii="宋体" w:hAnsi="宋体" w:eastAsia="宋体" w:cs="宋体"/>
          <w:snapToGrid w:val="0"/>
          <w:color w:val="000000"/>
          <w:spacing w:val="1"/>
          <w:kern w:val="0"/>
          <w:sz w:val="24"/>
        </w:rPr>
        <w:t>乙方履约情况进行验收，并出具验收书。验收书应当包括每一项技术、服务、</w:t>
      </w:r>
      <w:r>
        <w:rPr>
          <w:rFonts w:ascii="宋体" w:hAnsi="宋体" w:eastAsia="宋体" w:cs="宋体"/>
          <w:snapToGrid w:val="0"/>
          <w:color w:val="000000"/>
          <w:kern w:val="0"/>
          <w:sz w:val="24"/>
        </w:rPr>
        <w:t>安全标准</w:t>
      </w:r>
      <w:r>
        <w:rPr>
          <w:rFonts w:ascii="宋体" w:hAnsi="宋体" w:eastAsia="宋体" w:cs="宋体"/>
          <w:snapToGrid w:val="0"/>
          <w:color w:val="000000"/>
          <w:spacing w:val="-5"/>
          <w:kern w:val="0"/>
          <w:sz w:val="24"/>
        </w:rPr>
        <w:t>的履约情况。</w:t>
      </w:r>
    </w:p>
    <w:p w14:paraId="7220297A">
      <w:pPr>
        <w:kinsoku w:val="0"/>
        <w:autoSpaceDE w:val="0"/>
        <w:autoSpaceDN w:val="0"/>
        <w:adjustRightInd w:val="0"/>
        <w:snapToGrid w:val="0"/>
        <w:spacing w:line="500" w:lineRule="exact"/>
        <w:ind w:firstLine="468" w:firstLineChars="200"/>
        <w:jc w:val="left"/>
        <w:textAlignment w:val="baseline"/>
        <w:rPr>
          <w:rFonts w:hint="eastAsia" w:ascii="宋体" w:hAnsi="宋体" w:eastAsia="宋体" w:cs="宋体"/>
          <w:snapToGrid w:val="0"/>
          <w:color w:val="000000"/>
          <w:kern w:val="0"/>
          <w:sz w:val="24"/>
        </w:rPr>
      </w:pPr>
      <w:r>
        <w:rPr>
          <w:rFonts w:ascii="宋体" w:hAnsi="宋体" w:eastAsia="宋体" w:cs="宋体"/>
          <w:snapToGrid w:val="0"/>
          <w:spacing w:val="-3"/>
          <w:kern w:val="0"/>
          <w:sz w:val="24"/>
        </w:rPr>
        <w:t>4、本项目中的管道清淤必须</w:t>
      </w:r>
      <w:r>
        <w:rPr>
          <w:rFonts w:hint="eastAsia" w:ascii="宋体" w:hAnsi="宋体" w:eastAsia="宋体" w:cs="宋体"/>
          <w:snapToGrid w:val="0"/>
          <w:spacing w:val="-3"/>
          <w:kern w:val="0"/>
          <w:sz w:val="24"/>
        </w:rPr>
        <w:t>同步</w:t>
      </w:r>
      <w:r>
        <w:rPr>
          <w:rFonts w:ascii="宋体" w:hAnsi="宋体" w:eastAsia="宋体" w:cs="宋体"/>
          <w:snapToGrid w:val="0"/>
          <w:spacing w:val="-3"/>
          <w:kern w:val="0"/>
          <w:sz w:val="24"/>
        </w:rPr>
        <w:t>完成。</w:t>
      </w:r>
    </w:p>
    <w:p w14:paraId="0C6D8223">
      <w:pPr>
        <w:kinsoku w:val="0"/>
        <w:autoSpaceDE w:val="0"/>
        <w:autoSpaceDN w:val="0"/>
        <w:adjustRightInd w:val="0"/>
        <w:snapToGrid w:val="0"/>
        <w:spacing w:line="500" w:lineRule="exact"/>
        <w:ind w:firstLine="470" w:firstLineChars="200"/>
        <w:jc w:val="left"/>
        <w:textAlignment w:val="baseline"/>
        <w:rPr>
          <w:rFonts w:hint="eastAsia" w:ascii="宋体" w:hAnsi="宋体" w:eastAsia="宋体" w:cs="宋体"/>
          <w:snapToGrid w:val="0"/>
          <w:color w:val="000000"/>
          <w:kern w:val="0"/>
          <w:sz w:val="24"/>
        </w:rPr>
      </w:pPr>
      <w:r>
        <w:rPr>
          <w:rFonts w:ascii="宋体" w:hAnsi="宋体" w:eastAsia="宋体" w:cs="宋体"/>
          <w:b/>
          <w:bCs/>
          <w:snapToGrid w:val="0"/>
          <w:color w:val="000000"/>
          <w:spacing w:val="-3"/>
          <w:kern w:val="0"/>
          <w:sz w:val="24"/>
        </w:rPr>
        <w:t>六、结算方式及期限</w:t>
      </w:r>
    </w:p>
    <w:p w14:paraId="2425ADAF">
      <w:pPr>
        <w:kinsoku w:val="0"/>
        <w:autoSpaceDE w:val="0"/>
        <w:autoSpaceDN w:val="0"/>
        <w:adjustRightInd w:val="0"/>
        <w:snapToGrid w:val="0"/>
        <w:spacing w:line="500" w:lineRule="exact"/>
        <w:ind w:firstLine="472" w:firstLineChars="200"/>
        <w:jc w:val="left"/>
        <w:textAlignment w:val="baseline"/>
        <w:rPr>
          <w:rFonts w:hint="eastAsia" w:ascii="宋体" w:hAnsi="宋体" w:eastAsia="宋体" w:cs="宋体"/>
          <w:snapToGrid w:val="0"/>
          <w:color w:val="000000"/>
          <w:spacing w:val="-2"/>
          <w:kern w:val="0"/>
          <w:sz w:val="24"/>
        </w:rPr>
      </w:pPr>
      <w:r>
        <w:rPr>
          <w:rFonts w:hint="eastAsia" w:ascii="宋体" w:hAnsi="宋体" w:eastAsia="宋体" w:cs="宋体"/>
          <w:snapToGrid w:val="0"/>
          <w:color w:val="000000"/>
          <w:spacing w:val="-2"/>
          <w:kern w:val="0"/>
          <w:sz w:val="24"/>
        </w:rPr>
        <w:t>1、</w:t>
      </w:r>
      <w:r>
        <w:rPr>
          <w:rFonts w:ascii="宋体" w:hAnsi="宋体" w:eastAsia="宋体" w:cs="宋体"/>
          <w:snapToGrid w:val="0"/>
          <w:color w:val="000000"/>
          <w:spacing w:val="-2"/>
          <w:kern w:val="0"/>
          <w:sz w:val="24"/>
        </w:rPr>
        <w:t>结算方式：</w:t>
      </w:r>
      <w:r>
        <w:rPr>
          <w:rFonts w:hint="eastAsia" w:ascii="宋体" w:hAnsi="宋体" w:eastAsia="宋体" w:cs="宋体"/>
          <w:snapToGrid w:val="0"/>
          <w:color w:val="000000"/>
          <w:spacing w:val="-2"/>
          <w:kern w:val="0"/>
          <w:sz w:val="24"/>
        </w:rPr>
        <w:t>本项目采用固定单价合同，最终服务费按照</w:t>
      </w:r>
      <w:r>
        <w:rPr>
          <w:rFonts w:ascii="宋体" w:hAnsi="宋体" w:eastAsia="宋体" w:cs="宋体"/>
          <w:snapToGrid w:val="0"/>
          <w:color w:val="000000"/>
          <w:spacing w:val="-2"/>
          <w:kern w:val="0"/>
          <w:sz w:val="24"/>
        </w:rPr>
        <w:t>实际数量按实结算</w:t>
      </w:r>
      <w:r>
        <w:rPr>
          <w:rFonts w:hint="eastAsia" w:ascii="宋体" w:hAnsi="宋体" w:eastAsia="宋体" w:cs="宋体"/>
          <w:snapToGrid w:val="0"/>
          <w:color w:val="000000"/>
          <w:spacing w:val="-2"/>
          <w:kern w:val="0"/>
          <w:sz w:val="24"/>
        </w:rPr>
        <w:t>，结算单价按照中标综合单价结算，乙方完成工程量须经审核，双方约定以采购人委托的审计单位审核结论为准。</w:t>
      </w:r>
    </w:p>
    <w:p w14:paraId="1094DFA5">
      <w:pPr>
        <w:kinsoku w:val="0"/>
        <w:autoSpaceDE w:val="0"/>
        <w:autoSpaceDN w:val="0"/>
        <w:adjustRightInd w:val="0"/>
        <w:snapToGrid w:val="0"/>
        <w:spacing w:line="500" w:lineRule="exact"/>
        <w:ind w:firstLine="472" w:firstLineChars="200"/>
        <w:jc w:val="left"/>
        <w:textAlignment w:val="baseline"/>
        <w:rPr>
          <w:rFonts w:hint="eastAsia" w:ascii="宋体" w:hAnsi="宋体" w:eastAsia="宋体" w:cs="宋体"/>
          <w:snapToGrid w:val="0"/>
          <w:color w:val="000000"/>
          <w:spacing w:val="-2"/>
          <w:kern w:val="0"/>
          <w:sz w:val="24"/>
        </w:rPr>
      </w:pPr>
      <w:r>
        <w:rPr>
          <w:rFonts w:hint="eastAsia" w:ascii="宋体" w:hAnsi="宋体" w:eastAsia="宋体" w:cs="宋体"/>
          <w:snapToGrid w:val="0"/>
          <w:color w:val="000000"/>
          <w:spacing w:val="-2"/>
          <w:kern w:val="0"/>
          <w:sz w:val="24"/>
        </w:rPr>
        <w:t>最终服务费=∑（经审定的工程量清单×中标综合单价）。</w:t>
      </w:r>
    </w:p>
    <w:p w14:paraId="7E8E42E4">
      <w:pPr>
        <w:kinsoku w:val="0"/>
        <w:autoSpaceDE w:val="0"/>
        <w:autoSpaceDN w:val="0"/>
        <w:adjustRightInd w:val="0"/>
        <w:snapToGrid w:val="0"/>
        <w:spacing w:line="500" w:lineRule="exact"/>
        <w:ind w:firstLine="472" w:firstLineChars="200"/>
        <w:jc w:val="left"/>
        <w:textAlignment w:val="baseline"/>
        <w:rPr>
          <w:rFonts w:hint="eastAsia" w:ascii="宋体" w:hAnsi="宋体" w:eastAsia="宋体" w:cs="宋体"/>
          <w:snapToGrid w:val="0"/>
          <w:color w:val="000000"/>
          <w:spacing w:val="-2"/>
          <w:kern w:val="0"/>
          <w:sz w:val="24"/>
        </w:rPr>
      </w:pPr>
      <w:r>
        <w:rPr>
          <w:rFonts w:hint="eastAsia" w:ascii="宋体" w:hAnsi="宋体" w:eastAsia="宋体" w:cs="宋体"/>
          <w:snapToGrid w:val="0"/>
          <w:color w:val="000000"/>
          <w:spacing w:val="-2"/>
          <w:kern w:val="0"/>
          <w:sz w:val="24"/>
        </w:rPr>
        <w:t>2、付款采用分期拨付方式：</w:t>
      </w:r>
    </w:p>
    <w:p w14:paraId="4E510CEC">
      <w:pPr>
        <w:kinsoku w:val="0"/>
        <w:autoSpaceDE w:val="0"/>
        <w:autoSpaceDN w:val="0"/>
        <w:adjustRightInd w:val="0"/>
        <w:snapToGrid w:val="0"/>
        <w:spacing w:line="500" w:lineRule="exact"/>
        <w:ind w:firstLine="472" w:firstLineChars="200"/>
        <w:jc w:val="left"/>
        <w:textAlignment w:val="baseline"/>
        <w:rPr>
          <w:rFonts w:hint="eastAsia" w:ascii="宋体" w:hAnsi="宋体" w:eastAsia="宋体" w:cs="宋体"/>
          <w:snapToGrid w:val="0"/>
          <w:color w:val="000000"/>
          <w:spacing w:val="-2"/>
          <w:kern w:val="0"/>
          <w:sz w:val="24"/>
        </w:rPr>
      </w:pPr>
      <w:r>
        <w:rPr>
          <w:rFonts w:hint="eastAsia" w:ascii="宋体" w:hAnsi="宋体" w:eastAsia="宋体" w:cs="宋体"/>
          <w:snapToGrid w:val="0"/>
          <w:color w:val="000000"/>
          <w:spacing w:val="-2"/>
          <w:kern w:val="0"/>
          <w:sz w:val="24"/>
        </w:rPr>
        <w:t>2.1根据市财政局《关于进一步优化政府采购营商环境的通知》文件要求，合同签订后30日内，甲方收到发票10个工作日内支付预付款，预付款支付比例：合同金额的30%；签订合同时，乙方明确表示无需预付款或者主动要求降低预付款比例金额，甲方可不适用该条款；</w:t>
      </w:r>
    </w:p>
    <w:p w14:paraId="6FB6281C">
      <w:pPr>
        <w:kinsoku w:val="0"/>
        <w:autoSpaceDE w:val="0"/>
        <w:autoSpaceDN w:val="0"/>
        <w:adjustRightInd w:val="0"/>
        <w:snapToGrid w:val="0"/>
        <w:spacing w:line="500" w:lineRule="exact"/>
        <w:ind w:firstLine="472" w:firstLineChars="200"/>
        <w:jc w:val="left"/>
        <w:textAlignment w:val="baseline"/>
        <w:rPr>
          <w:rFonts w:hint="eastAsia" w:ascii="宋体" w:hAnsi="宋体" w:eastAsia="宋体" w:cs="宋体"/>
          <w:snapToGrid w:val="0"/>
          <w:color w:val="000000"/>
          <w:kern w:val="0"/>
          <w:sz w:val="24"/>
        </w:rPr>
      </w:pPr>
      <w:r>
        <w:rPr>
          <w:rFonts w:hint="eastAsia" w:ascii="宋体" w:hAnsi="宋体" w:eastAsia="宋体" w:cs="宋体"/>
          <w:snapToGrid w:val="0"/>
          <w:color w:val="000000"/>
          <w:spacing w:val="-2"/>
          <w:kern w:val="0"/>
          <w:sz w:val="24"/>
        </w:rPr>
        <w:t>2.2本项目按要求完成并提交报告，经甲方及相关单位验收通过后，付至合同价的60%，满一年后付至合同价的80%，满二年后依据审计结果付清余款，支付合同款时须提供正式发票。</w:t>
      </w:r>
    </w:p>
    <w:p w14:paraId="22F57E62">
      <w:pPr>
        <w:kinsoku w:val="0"/>
        <w:autoSpaceDE w:val="0"/>
        <w:autoSpaceDN w:val="0"/>
        <w:adjustRightInd w:val="0"/>
        <w:snapToGrid w:val="0"/>
        <w:spacing w:line="500" w:lineRule="exact"/>
        <w:ind w:firstLine="466" w:firstLineChars="200"/>
        <w:jc w:val="left"/>
        <w:textAlignment w:val="baseline"/>
        <w:rPr>
          <w:rFonts w:hint="eastAsia" w:ascii="宋体" w:hAnsi="宋体" w:eastAsia="宋体" w:cs="宋体"/>
          <w:snapToGrid w:val="0"/>
          <w:color w:val="000000"/>
          <w:kern w:val="0"/>
          <w:sz w:val="24"/>
        </w:rPr>
      </w:pPr>
      <w:r>
        <w:rPr>
          <w:rFonts w:ascii="宋体" w:hAnsi="宋体" w:eastAsia="宋体" w:cs="宋体"/>
          <w:b/>
          <w:bCs/>
          <w:snapToGrid w:val="0"/>
          <w:color w:val="000000"/>
          <w:spacing w:val="-4"/>
          <w:kern w:val="0"/>
          <w:sz w:val="24"/>
        </w:rPr>
        <w:t>七、违约责任</w:t>
      </w:r>
    </w:p>
    <w:p w14:paraId="476008E2">
      <w:pPr>
        <w:kinsoku w:val="0"/>
        <w:autoSpaceDE w:val="0"/>
        <w:autoSpaceDN w:val="0"/>
        <w:adjustRightInd w:val="0"/>
        <w:snapToGrid w:val="0"/>
        <w:spacing w:line="500" w:lineRule="exact"/>
        <w:ind w:firstLine="496" w:firstLineChars="200"/>
        <w:jc w:val="left"/>
        <w:textAlignment w:val="baseline"/>
        <w:rPr>
          <w:rFonts w:hint="eastAsia" w:ascii="宋体" w:hAnsi="宋体" w:eastAsia="宋体" w:cs="宋体"/>
          <w:snapToGrid w:val="0"/>
          <w:color w:val="000000"/>
          <w:kern w:val="0"/>
          <w:sz w:val="24"/>
        </w:rPr>
      </w:pPr>
      <w:r>
        <w:rPr>
          <w:rFonts w:ascii="宋体" w:hAnsi="宋体" w:eastAsia="宋体" w:cs="宋体"/>
          <w:snapToGrid w:val="0"/>
          <w:color w:val="000000"/>
          <w:spacing w:val="4"/>
          <w:kern w:val="0"/>
          <w:sz w:val="24"/>
        </w:rPr>
        <w:t>1、任何一方违反本合同约定，造成本合同不能履行或不能完全履行，由违约方承</w:t>
      </w:r>
      <w:r>
        <w:rPr>
          <w:rFonts w:ascii="宋体" w:hAnsi="宋体" w:eastAsia="宋体" w:cs="宋体"/>
          <w:snapToGrid w:val="0"/>
          <w:color w:val="000000"/>
          <w:spacing w:val="1"/>
          <w:kern w:val="0"/>
          <w:sz w:val="24"/>
        </w:rPr>
        <w:t>担违约责任，每次违约应向对方支付合同总价0.5%的违约金。如违约造成的实际损失超</w:t>
      </w:r>
      <w:r>
        <w:rPr>
          <w:rFonts w:ascii="宋体" w:hAnsi="宋体" w:eastAsia="宋体" w:cs="宋体"/>
          <w:snapToGrid w:val="0"/>
          <w:color w:val="000000"/>
          <w:spacing w:val="-1"/>
          <w:kern w:val="0"/>
          <w:sz w:val="24"/>
        </w:rPr>
        <w:t>过违约金的，超出部份的损失还应予赔偿。</w:t>
      </w:r>
    </w:p>
    <w:p w14:paraId="282BF580">
      <w:pPr>
        <w:kinsoku w:val="0"/>
        <w:autoSpaceDE w:val="0"/>
        <w:autoSpaceDN w:val="0"/>
        <w:adjustRightInd w:val="0"/>
        <w:snapToGrid w:val="0"/>
        <w:spacing w:line="500" w:lineRule="exact"/>
        <w:ind w:firstLine="500" w:firstLineChars="200"/>
        <w:jc w:val="left"/>
        <w:textAlignment w:val="baseline"/>
        <w:rPr>
          <w:rFonts w:hint="eastAsia" w:ascii="宋体" w:hAnsi="宋体" w:eastAsia="宋体" w:cs="宋体"/>
          <w:snapToGrid w:val="0"/>
          <w:color w:val="000000"/>
          <w:kern w:val="0"/>
          <w:sz w:val="24"/>
        </w:rPr>
      </w:pPr>
      <w:r>
        <w:rPr>
          <w:rFonts w:ascii="宋体" w:hAnsi="宋体" w:eastAsia="宋体" w:cs="宋体"/>
          <w:snapToGrid w:val="0"/>
          <w:color w:val="000000"/>
          <w:spacing w:val="5"/>
          <w:kern w:val="0"/>
          <w:sz w:val="24"/>
        </w:rPr>
        <w:t>2、乙方因自身原因未按照合同约定期限完成合同约定的整个</w:t>
      </w:r>
      <w:r>
        <w:rPr>
          <w:rFonts w:ascii="宋体" w:hAnsi="宋体" w:eastAsia="宋体" w:cs="宋体"/>
          <w:snapToGrid w:val="0"/>
          <w:color w:val="000000"/>
          <w:spacing w:val="4"/>
          <w:kern w:val="0"/>
          <w:sz w:val="24"/>
        </w:rPr>
        <w:t>项目，每逾期一天，乙方应按合同总价的0.</w:t>
      </w:r>
      <w:r>
        <w:rPr>
          <w:rFonts w:hint="eastAsia" w:ascii="宋体" w:hAnsi="宋体" w:eastAsia="宋体" w:cs="宋体"/>
          <w:snapToGrid w:val="0"/>
          <w:color w:val="000000"/>
          <w:spacing w:val="4"/>
          <w:kern w:val="0"/>
          <w:sz w:val="24"/>
        </w:rPr>
        <w:t>3</w:t>
      </w:r>
      <w:r>
        <w:rPr>
          <w:rFonts w:ascii="宋体" w:hAnsi="宋体" w:eastAsia="宋体" w:cs="宋体"/>
          <w:snapToGrid w:val="0"/>
          <w:color w:val="000000"/>
          <w:spacing w:val="4"/>
          <w:kern w:val="0"/>
          <w:sz w:val="24"/>
        </w:rPr>
        <w:t>%向甲方支付违约</w:t>
      </w:r>
      <w:r>
        <w:rPr>
          <w:rFonts w:ascii="宋体" w:hAnsi="宋体" w:eastAsia="宋体" w:cs="宋体"/>
          <w:snapToGrid w:val="0"/>
          <w:color w:val="000000"/>
          <w:spacing w:val="3"/>
          <w:kern w:val="0"/>
          <w:sz w:val="24"/>
        </w:rPr>
        <w:t>金，但违约金最高额以不超过合同总价的8%</w:t>
      </w:r>
      <w:r>
        <w:rPr>
          <w:rFonts w:ascii="宋体" w:hAnsi="宋体" w:eastAsia="宋体" w:cs="宋体"/>
          <w:snapToGrid w:val="0"/>
          <w:color w:val="000000"/>
          <w:spacing w:val="-1"/>
          <w:kern w:val="0"/>
          <w:sz w:val="24"/>
        </w:rPr>
        <w:t>为限。因延期产生的所有费用由乙方承担。</w:t>
      </w:r>
    </w:p>
    <w:p w14:paraId="69988830">
      <w:pPr>
        <w:kinsoku w:val="0"/>
        <w:autoSpaceDE w:val="0"/>
        <w:autoSpaceDN w:val="0"/>
        <w:adjustRightInd w:val="0"/>
        <w:snapToGrid w:val="0"/>
        <w:spacing w:line="500" w:lineRule="exact"/>
        <w:ind w:firstLine="476" w:firstLineChars="200"/>
        <w:jc w:val="left"/>
        <w:textAlignment w:val="baseline"/>
        <w:rPr>
          <w:rFonts w:hint="eastAsia" w:ascii="宋体" w:hAnsi="宋体" w:eastAsia="宋体" w:cs="宋体"/>
          <w:snapToGrid w:val="0"/>
          <w:color w:val="000000"/>
          <w:kern w:val="0"/>
          <w:sz w:val="24"/>
        </w:rPr>
      </w:pPr>
      <w:r>
        <w:rPr>
          <w:rFonts w:ascii="宋体" w:hAnsi="宋体" w:eastAsia="宋体" w:cs="宋体"/>
          <w:snapToGrid w:val="0"/>
          <w:color w:val="000000"/>
          <w:spacing w:val="-1"/>
          <w:kern w:val="0"/>
          <w:sz w:val="24"/>
        </w:rPr>
        <w:t>3、因甲方原因需延长工期的，工期顺延。</w:t>
      </w:r>
    </w:p>
    <w:p w14:paraId="181895E0">
      <w:pPr>
        <w:kinsoku w:val="0"/>
        <w:autoSpaceDE w:val="0"/>
        <w:autoSpaceDN w:val="0"/>
        <w:adjustRightInd w:val="0"/>
        <w:snapToGrid w:val="0"/>
        <w:spacing w:line="500" w:lineRule="exact"/>
        <w:ind w:firstLine="500" w:firstLineChars="200"/>
        <w:jc w:val="left"/>
        <w:textAlignment w:val="baseline"/>
        <w:rPr>
          <w:rFonts w:hint="eastAsia" w:ascii="宋体" w:hAnsi="宋体" w:eastAsia="宋体" w:cs="宋体"/>
          <w:snapToGrid w:val="0"/>
          <w:color w:val="000000"/>
          <w:kern w:val="0"/>
          <w:sz w:val="24"/>
        </w:rPr>
      </w:pPr>
      <w:r>
        <w:rPr>
          <w:rFonts w:ascii="宋体" w:hAnsi="宋体" w:eastAsia="宋体" w:cs="宋体"/>
          <w:snapToGrid w:val="0"/>
          <w:color w:val="000000"/>
          <w:spacing w:val="5"/>
          <w:kern w:val="0"/>
          <w:sz w:val="24"/>
        </w:rPr>
        <w:t>4、乙方履行本合同达不到项目要求，乙方应负责根据合同及甲</w:t>
      </w:r>
      <w:r>
        <w:rPr>
          <w:rFonts w:ascii="宋体" w:hAnsi="宋体" w:eastAsia="宋体" w:cs="宋体"/>
          <w:snapToGrid w:val="0"/>
          <w:color w:val="000000"/>
          <w:spacing w:val="4"/>
          <w:kern w:val="0"/>
          <w:sz w:val="24"/>
        </w:rPr>
        <w:t>方的要求采取相应</w:t>
      </w:r>
      <w:r>
        <w:rPr>
          <w:rFonts w:ascii="宋体" w:hAnsi="宋体" w:eastAsia="宋体" w:cs="宋体"/>
          <w:snapToGrid w:val="0"/>
          <w:color w:val="000000"/>
          <w:spacing w:val="1"/>
          <w:kern w:val="0"/>
          <w:sz w:val="24"/>
        </w:rPr>
        <w:t>的处理措施进行整改，并承担由此发生的一切损失和费用，整改延误的时间不作为整个</w:t>
      </w:r>
      <w:r>
        <w:rPr>
          <w:rFonts w:ascii="宋体" w:hAnsi="宋体" w:eastAsia="宋体" w:cs="宋体"/>
          <w:snapToGrid w:val="0"/>
          <w:color w:val="000000"/>
          <w:spacing w:val="-2"/>
          <w:kern w:val="0"/>
          <w:sz w:val="24"/>
        </w:rPr>
        <w:t>项目工期延期的理由。</w:t>
      </w:r>
    </w:p>
    <w:p w14:paraId="7822EBF8">
      <w:pPr>
        <w:kinsoku w:val="0"/>
        <w:autoSpaceDE w:val="0"/>
        <w:autoSpaceDN w:val="0"/>
        <w:adjustRightInd w:val="0"/>
        <w:snapToGrid w:val="0"/>
        <w:spacing w:line="500" w:lineRule="exact"/>
        <w:ind w:firstLine="476" w:firstLineChars="200"/>
        <w:jc w:val="left"/>
        <w:textAlignment w:val="baseline"/>
        <w:rPr>
          <w:rFonts w:hint="eastAsia" w:ascii="宋体" w:hAnsi="宋体" w:eastAsia="宋体" w:cs="宋体"/>
          <w:snapToGrid w:val="0"/>
          <w:color w:val="000000"/>
          <w:kern w:val="0"/>
          <w:sz w:val="24"/>
        </w:rPr>
      </w:pPr>
      <w:r>
        <w:rPr>
          <w:rFonts w:ascii="宋体" w:hAnsi="宋体" w:eastAsia="宋体" w:cs="宋体"/>
          <w:snapToGrid w:val="0"/>
          <w:color w:val="000000"/>
          <w:spacing w:val="-1"/>
          <w:kern w:val="0"/>
          <w:sz w:val="24"/>
        </w:rPr>
        <w:t>5.本合同其他条款对违约责任另有约定的，从其他约定。</w:t>
      </w:r>
    </w:p>
    <w:p w14:paraId="24C0D5EF">
      <w:pPr>
        <w:kinsoku w:val="0"/>
        <w:autoSpaceDE w:val="0"/>
        <w:autoSpaceDN w:val="0"/>
        <w:adjustRightInd w:val="0"/>
        <w:snapToGrid w:val="0"/>
        <w:spacing w:line="500" w:lineRule="exact"/>
        <w:ind w:firstLine="462" w:firstLineChars="200"/>
        <w:jc w:val="left"/>
        <w:textAlignment w:val="baseline"/>
        <w:rPr>
          <w:rFonts w:hint="eastAsia" w:ascii="宋体" w:hAnsi="宋体" w:eastAsia="宋体" w:cs="宋体"/>
          <w:snapToGrid w:val="0"/>
          <w:color w:val="000000"/>
          <w:kern w:val="0"/>
          <w:sz w:val="24"/>
        </w:rPr>
      </w:pPr>
      <w:r>
        <w:rPr>
          <w:rFonts w:ascii="宋体" w:hAnsi="宋体" w:eastAsia="宋体" w:cs="宋体"/>
          <w:b/>
          <w:bCs/>
          <w:snapToGrid w:val="0"/>
          <w:color w:val="000000"/>
          <w:spacing w:val="-5"/>
          <w:kern w:val="0"/>
          <w:sz w:val="24"/>
        </w:rPr>
        <w:t>八、双方义务</w:t>
      </w:r>
    </w:p>
    <w:p w14:paraId="53A07013">
      <w:pPr>
        <w:kinsoku w:val="0"/>
        <w:autoSpaceDE w:val="0"/>
        <w:autoSpaceDN w:val="0"/>
        <w:adjustRightInd w:val="0"/>
        <w:snapToGrid w:val="0"/>
        <w:spacing w:line="500" w:lineRule="exact"/>
        <w:ind w:firstLine="444" w:firstLineChars="200"/>
        <w:jc w:val="left"/>
        <w:textAlignment w:val="baseline"/>
        <w:rPr>
          <w:rFonts w:hint="eastAsia" w:ascii="宋体" w:hAnsi="宋体" w:eastAsia="宋体" w:cs="宋体"/>
          <w:snapToGrid w:val="0"/>
          <w:color w:val="000000"/>
          <w:kern w:val="0"/>
          <w:sz w:val="24"/>
        </w:rPr>
      </w:pPr>
      <w:r>
        <w:rPr>
          <w:rFonts w:ascii="宋体" w:hAnsi="宋体" w:eastAsia="宋体" w:cs="宋体"/>
          <w:snapToGrid w:val="0"/>
          <w:color w:val="000000"/>
          <w:spacing w:val="-9"/>
          <w:kern w:val="0"/>
          <w:sz w:val="24"/>
        </w:rPr>
        <w:t>乙方义务</w:t>
      </w:r>
    </w:p>
    <w:p w14:paraId="7D0D3C81">
      <w:pPr>
        <w:kinsoku w:val="0"/>
        <w:autoSpaceDE w:val="0"/>
        <w:autoSpaceDN w:val="0"/>
        <w:adjustRightInd w:val="0"/>
        <w:snapToGrid w:val="0"/>
        <w:spacing w:line="500" w:lineRule="exact"/>
        <w:ind w:firstLine="496" w:firstLineChars="200"/>
        <w:jc w:val="left"/>
        <w:textAlignment w:val="baseline"/>
        <w:rPr>
          <w:rFonts w:hint="eastAsia" w:ascii="宋体" w:hAnsi="宋体" w:eastAsia="宋体" w:cs="宋体"/>
          <w:snapToGrid w:val="0"/>
          <w:color w:val="000000"/>
          <w:spacing w:val="4"/>
          <w:kern w:val="0"/>
          <w:sz w:val="24"/>
        </w:rPr>
      </w:pPr>
      <w:r>
        <w:rPr>
          <w:rFonts w:hint="eastAsia" w:ascii="宋体" w:hAnsi="宋体" w:eastAsia="宋体" w:cs="宋体"/>
          <w:snapToGrid w:val="0"/>
          <w:color w:val="000000"/>
          <w:spacing w:val="4"/>
          <w:kern w:val="0"/>
          <w:sz w:val="24"/>
        </w:rPr>
        <w:t>1、乙方委派，电话号码，身份证号码：，证书级别：，注册编号：为该项目的总负责人，关于项目负责人每月在项目服务现场的时间要求：乙方的项目负责人，在合同工期期间必须常驻项目服务现场，每周工作时间不少于5天，每天不少于8小时，且必须参加每周的例会，特殊情况报甲方批准认可方能离开；</w:t>
      </w:r>
    </w:p>
    <w:p w14:paraId="1B828BA5">
      <w:pPr>
        <w:kinsoku w:val="0"/>
        <w:autoSpaceDE w:val="0"/>
        <w:autoSpaceDN w:val="0"/>
        <w:adjustRightInd w:val="0"/>
        <w:snapToGrid w:val="0"/>
        <w:spacing w:line="500" w:lineRule="exact"/>
        <w:ind w:firstLine="496" w:firstLineChars="200"/>
        <w:jc w:val="left"/>
        <w:textAlignment w:val="baseline"/>
        <w:rPr>
          <w:rFonts w:hint="eastAsia" w:ascii="宋体" w:hAnsi="宋体" w:eastAsia="宋体" w:cs="宋体"/>
          <w:snapToGrid w:val="0"/>
          <w:color w:val="000000"/>
          <w:spacing w:val="4"/>
          <w:kern w:val="0"/>
          <w:sz w:val="24"/>
        </w:rPr>
      </w:pPr>
      <w:r>
        <w:rPr>
          <w:rFonts w:hint="eastAsia" w:ascii="宋体" w:hAnsi="宋体" w:eastAsia="宋体" w:cs="宋体"/>
          <w:snapToGrid w:val="0"/>
          <w:color w:val="000000"/>
          <w:spacing w:val="4"/>
          <w:kern w:val="0"/>
          <w:sz w:val="24"/>
        </w:rPr>
        <w:t>2、乙方未按投标文件承诺提交项目负责人的劳动合同或社会保险缴纳证明的，应在甲方要求的期限内补正；逾期未补正的，每逾期一日按合同总价的万分之五支付违约金；</w:t>
      </w:r>
    </w:p>
    <w:p w14:paraId="65C0CED2">
      <w:pPr>
        <w:kinsoku w:val="0"/>
        <w:autoSpaceDE w:val="0"/>
        <w:autoSpaceDN w:val="0"/>
        <w:adjustRightInd w:val="0"/>
        <w:snapToGrid w:val="0"/>
        <w:spacing w:line="500" w:lineRule="exact"/>
        <w:ind w:firstLine="504" w:firstLineChars="200"/>
        <w:jc w:val="left"/>
        <w:textAlignment w:val="baseline"/>
        <w:rPr>
          <w:rFonts w:hint="eastAsia" w:ascii="宋体" w:hAnsi="宋体" w:eastAsia="宋体" w:cs="宋体"/>
          <w:snapToGrid w:val="0"/>
          <w:color w:val="000000"/>
          <w:spacing w:val="6"/>
          <w:kern w:val="0"/>
          <w:sz w:val="24"/>
        </w:rPr>
      </w:pPr>
      <w:r>
        <w:rPr>
          <w:rFonts w:hint="eastAsia" w:ascii="宋体" w:hAnsi="宋体" w:eastAsia="宋体" w:cs="宋体"/>
          <w:snapToGrid w:val="0"/>
          <w:color w:val="000000"/>
          <w:spacing w:val="6"/>
          <w:kern w:val="0"/>
          <w:sz w:val="24"/>
        </w:rPr>
        <w:t>3、项目负责人</w:t>
      </w:r>
    </w:p>
    <w:p w14:paraId="77C06E96">
      <w:pPr>
        <w:kinsoku w:val="0"/>
        <w:autoSpaceDE w:val="0"/>
        <w:autoSpaceDN w:val="0"/>
        <w:adjustRightInd w:val="0"/>
        <w:snapToGrid w:val="0"/>
        <w:spacing w:line="500" w:lineRule="exact"/>
        <w:ind w:firstLine="504" w:firstLineChars="200"/>
        <w:jc w:val="left"/>
        <w:textAlignment w:val="baseline"/>
        <w:rPr>
          <w:rFonts w:hint="eastAsia" w:ascii="宋体" w:hAnsi="宋体" w:eastAsia="宋体" w:cs="宋体"/>
          <w:snapToGrid w:val="0"/>
          <w:color w:val="000000"/>
          <w:spacing w:val="6"/>
          <w:kern w:val="0"/>
          <w:sz w:val="24"/>
        </w:rPr>
      </w:pPr>
      <w:r>
        <w:rPr>
          <w:rFonts w:hint="eastAsia" w:ascii="宋体" w:hAnsi="宋体" w:eastAsia="宋体" w:cs="宋体"/>
          <w:snapToGrid w:val="0"/>
          <w:color w:val="000000"/>
          <w:spacing w:val="6"/>
          <w:kern w:val="0"/>
          <w:sz w:val="24"/>
        </w:rPr>
        <w:t>3.1项目负责人未经批准，擅自离开项目服务现场的违约责任：中途项目负责人需离岗必须履行书面请假手续并经甲方同意。若未经甲方同意而擅自离岗的，将处以每人每天5000元的违约金，在支付合同价款时从应付的合同价款中扣除。如连续5天或3个月内累计10天不在现场，经甲方提出仍未改正的，甲方有权终止合同，并要求乙方承担由此给甲方造成的直接经济损失。项目负责人在管理部门检查，项目例会日未在现场按现场管理细则相关条款执行或2000元/次。</w:t>
      </w:r>
    </w:p>
    <w:p w14:paraId="15898A27">
      <w:pPr>
        <w:kinsoku w:val="0"/>
        <w:autoSpaceDE w:val="0"/>
        <w:autoSpaceDN w:val="0"/>
        <w:adjustRightInd w:val="0"/>
        <w:snapToGrid w:val="0"/>
        <w:spacing w:line="500" w:lineRule="exact"/>
        <w:ind w:firstLine="504" w:firstLineChars="200"/>
        <w:jc w:val="left"/>
        <w:textAlignment w:val="baseline"/>
        <w:rPr>
          <w:rFonts w:hint="eastAsia" w:ascii="宋体" w:hAnsi="宋体" w:eastAsia="宋体" w:cs="宋体"/>
          <w:snapToGrid w:val="0"/>
          <w:color w:val="000000"/>
          <w:spacing w:val="6"/>
          <w:kern w:val="0"/>
          <w:sz w:val="24"/>
        </w:rPr>
      </w:pPr>
      <w:r>
        <w:rPr>
          <w:rFonts w:hint="eastAsia" w:ascii="宋体" w:hAnsi="宋体" w:eastAsia="宋体" w:cs="宋体"/>
          <w:snapToGrid w:val="0"/>
          <w:color w:val="000000"/>
          <w:spacing w:val="6"/>
          <w:kern w:val="0"/>
          <w:sz w:val="24"/>
        </w:rPr>
        <w:t>3.2乙方擅自更换项目负责人的违约责任：本项目常驻现场管理人员必须与投标承诺人员相符，如需变更项目负责人须经甲方书面同意并向甲方交纳5万元/次的违约金；无论任何时间，只要现场有施工活动，管理人员应24小时监管。乙方所派项目负责人只能担任本项目项目负责人，不得担任其他项目的项目负责人，如违反规定视为违约，违约金5万元，拒不改正的，甲方有权解除合同，由乙方承担由此造成的所有损失。</w:t>
      </w:r>
    </w:p>
    <w:p w14:paraId="479465E4">
      <w:pPr>
        <w:numPr>
          <w:ilvl w:val="0"/>
          <w:numId w:val="1"/>
        </w:numPr>
        <w:kinsoku w:val="0"/>
        <w:autoSpaceDE w:val="0"/>
        <w:autoSpaceDN w:val="0"/>
        <w:adjustRightInd w:val="0"/>
        <w:snapToGrid w:val="0"/>
        <w:spacing w:line="500" w:lineRule="exact"/>
        <w:ind w:firstLine="504" w:firstLineChars="200"/>
        <w:jc w:val="left"/>
        <w:textAlignment w:val="baseline"/>
        <w:rPr>
          <w:rFonts w:hint="eastAsia" w:ascii="宋体" w:hAnsi="宋体" w:eastAsia="宋体" w:cs="宋体"/>
          <w:snapToGrid w:val="0"/>
          <w:color w:val="000000"/>
          <w:spacing w:val="6"/>
          <w:kern w:val="0"/>
          <w:sz w:val="24"/>
        </w:rPr>
      </w:pPr>
      <w:r>
        <w:rPr>
          <w:rFonts w:hint="eastAsia" w:ascii="宋体" w:hAnsi="宋体" w:eastAsia="宋体" w:cs="宋体"/>
          <w:snapToGrid w:val="0"/>
          <w:color w:val="000000"/>
          <w:spacing w:val="6"/>
          <w:kern w:val="0"/>
          <w:sz w:val="24"/>
        </w:rPr>
        <w:t>技术负责人、安全员</w:t>
      </w:r>
    </w:p>
    <w:p w14:paraId="61CD0AD7">
      <w:pPr>
        <w:kinsoku w:val="0"/>
        <w:autoSpaceDE w:val="0"/>
        <w:autoSpaceDN w:val="0"/>
        <w:adjustRightInd w:val="0"/>
        <w:snapToGrid w:val="0"/>
        <w:spacing w:line="500" w:lineRule="exact"/>
        <w:ind w:firstLine="504"/>
        <w:jc w:val="left"/>
        <w:textAlignment w:val="baseline"/>
        <w:rPr>
          <w:rFonts w:hint="eastAsia" w:ascii="宋体" w:hAnsi="宋体" w:eastAsia="宋体" w:cs="宋体"/>
          <w:snapToGrid w:val="0"/>
          <w:color w:val="000000"/>
          <w:spacing w:val="6"/>
          <w:kern w:val="0"/>
          <w:sz w:val="24"/>
        </w:rPr>
      </w:pPr>
      <w:r>
        <w:rPr>
          <w:rFonts w:hint="eastAsia" w:ascii="宋体" w:hAnsi="宋体" w:eastAsia="宋体" w:cs="宋体"/>
          <w:snapToGrid w:val="0"/>
          <w:color w:val="000000"/>
          <w:spacing w:val="6"/>
          <w:kern w:val="0"/>
          <w:sz w:val="24"/>
        </w:rPr>
        <w:t>4.1乙方技术负责人及安全员离开项目服务现场的批准要求：乙方的技术负责人及安全员，在合同工期期间必须常驻项目服务现场，每周工作时间不少于5天，每天不少于8小时，且必须参加每周的例会，特殊情况报甲方批准认可方能离开。如发现技术负责人及安全员未经甲方同意违反上述规定。每发现一次，承担违约金2万元；如连续5天或3个月内累计10天不在现场，甲方有权追究乙方的违约责任直至解除合同。</w:t>
      </w:r>
    </w:p>
    <w:p w14:paraId="54923F64">
      <w:pPr>
        <w:kinsoku w:val="0"/>
        <w:autoSpaceDE w:val="0"/>
        <w:autoSpaceDN w:val="0"/>
        <w:adjustRightInd w:val="0"/>
        <w:snapToGrid w:val="0"/>
        <w:spacing w:line="500" w:lineRule="exact"/>
        <w:ind w:firstLine="504"/>
        <w:jc w:val="left"/>
        <w:textAlignment w:val="baseline"/>
        <w:rPr>
          <w:rFonts w:hint="eastAsia" w:ascii="宋体" w:hAnsi="宋体" w:eastAsia="宋体" w:cs="宋体"/>
          <w:snapToGrid w:val="0"/>
          <w:color w:val="000000"/>
          <w:spacing w:val="6"/>
          <w:kern w:val="0"/>
          <w:sz w:val="24"/>
        </w:rPr>
      </w:pPr>
      <w:r>
        <w:rPr>
          <w:rFonts w:hint="eastAsia" w:ascii="宋体" w:hAnsi="宋体" w:eastAsia="宋体" w:cs="宋体"/>
          <w:snapToGrid w:val="0"/>
          <w:color w:val="000000"/>
          <w:spacing w:val="6"/>
          <w:kern w:val="0"/>
          <w:sz w:val="24"/>
        </w:rPr>
        <w:t>4.2乙方擅自更换技术负责人及安全员的违约责任：本项目常驻现场的技术负责人及安全员必须与投标承诺人员相符，如需变更技术负责人、安全员重要管理人员须经甲方书面同意并向甲方交纳2万元/次的违约金。无论任何时间，只要现场有检测服务活动，管理人员应24小时监管。如擅自更换乙方技术负责人及安全员，乙方承担2万元/人的违约金，限期整改；若乙方拒绝整改的，甲方有权追究乙方的违约责任直至终止本合同并要求乙方无条件退场，乙方还应按中标总价的5%承担违约金。</w:t>
      </w:r>
    </w:p>
    <w:p w14:paraId="6454B423">
      <w:pPr>
        <w:kinsoku w:val="0"/>
        <w:autoSpaceDE w:val="0"/>
        <w:autoSpaceDN w:val="0"/>
        <w:adjustRightInd w:val="0"/>
        <w:snapToGrid w:val="0"/>
        <w:spacing w:line="500" w:lineRule="exact"/>
        <w:ind w:firstLine="504" w:firstLineChars="200"/>
        <w:jc w:val="left"/>
        <w:textAlignment w:val="baseline"/>
        <w:rPr>
          <w:rFonts w:hint="eastAsia" w:ascii="宋体" w:hAnsi="宋体" w:eastAsia="宋体" w:cs="宋体"/>
          <w:snapToGrid w:val="0"/>
          <w:color w:val="000000"/>
          <w:spacing w:val="6"/>
          <w:kern w:val="0"/>
          <w:sz w:val="24"/>
        </w:rPr>
      </w:pPr>
      <w:r>
        <w:rPr>
          <w:rFonts w:ascii="宋体" w:hAnsi="宋体" w:eastAsia="宋体" w:cs="宋体"/>
          <w:snapToGrid w:val="0"/>
          <w:color w:val="000000"/>
          <w:spacing w:val="6"/>
          <w:kern w:val="0"/>
          <w:sz w:val="24"/>
        </w:rPr>
        <w:t>5、其他主要管理人员</w:t>
      </w:r>
    </w:p>
    <w:p w14:paraId="1354A13E">
      <w:pPr>
        <w:kinsoku w:val="0"/>
        <w:autoSpaceDE w:val="0"/>
        <w:autoSpaceDN w:val="0"/>
        <w:adjustRightInd w:val="0"/>
        <w:snapToGrid w:val="0"/>
        <w:spacing w:line="500" w:lineRule="exact"/>
        <w:ind w:firstLine="504"/>
        <w:jc w:val="left"/>
        <w:textAlignment w:val="baseline"/>
        <w:rPr>
          <w:rFonts w:hint="eastAsia" w:ascii="宋体" w:hAnsi="宋体" w:eastAsia="宋体" w:cs="宋体"/>
          <w:snapToGrid w:val="0"/>
          <w:color w:val="000000"/>
          <w:spacing w:val="6"/>
          <w:kern w:val="0"/>
          <w:sz w:val="24"/>
        </w:rPr>
      </w:pPr>
      <w:r>
        <w:rPr>
          <w:rFonts w:hint="eastAsia" w:ascii="宋体" w:hAnsi="宋体" w:eastAsia="宋体" w:cs="宋体"/>
          <w:snapToGrid w:val="0"/>
          <w:color w:val="000000"/>
          <w:spacing w:val="6"/>
          <w:kern w:val="0"/>
          <w:sz w:val="24"/>
        </w:rPr>
        <w:t>5.1乙方其他主要管理人员擅自离开项目服务现场的违约责任：乙方的</w:t>
      </w:r>
      <w:r>
        <w:rPr>
          <w:rFonts w:ascii="宋体" w:hAnsi="宋体" w:eastAsia="宋体" w:cs="宋体"/>
          <w:snapToGrid w:val="0"/>
          <w:color w:val="000000"/>
          <w:spacing w:val="6"/>
          <w:kern w:val="0"/>
          <w:sz w:val="24"/>
        </w:rPr>
        <w:t>其他主要管理人员</w:t>
      </w:r>
      <w:r>
        <w:rPr>
          <w:rFonts w:hint="eastAsia" w:ascii="宋体" w:hAnsi="宋体" w:eastAsia="宋体" w:cs="宋体"/>
          <w:snapToGrid w:val="0"/>
          <w:color w:val="000000"/>
          <w:spacing w:val="6"/>
          <w:kern w:val="0"/>
          <w:sz w:val="24"/>
        </w:rPr>
        <w:t>，在合同工期期间必须常驻项目服务现场，每周工作时间不少于5天，每天不少于8小时，且必须参加每周的例会，特殊情况报甲方批准认可方能离开。如发现</w:t>
      </w:r>
      <w:r>
        <w:rPr>
          <w:rFonts w:ascii="宋体" w:hAnsi="宋体" w:eastAsia="宋体" w:cs="宋体"/>
          <w:snapToGrid w:val="0"/>
          <w:color w:val="000000"/>
          <w:spacing w:val="6"/>
          <w:kern w:val="0"/>
          <w:sz w:val="24"/>
        </w:rPr>
        <w:t>其他主要管理人员</w:t>
      </w:r>
      <w:r>
        <w:rPr>
          <w:rFonts w:hint="eastAsia" w:ascii="宋体" w:hAnsi="宋体" w:eastAsia="宋体" w:cs="宋体"/>
          <w:snapToGrid w:val="0"/>
          <w:color w:val="000000"/>
          <w:spacing w:val="6"/>
          <w:kern w:val="0"/>
          <w:sz w:val="24"/>
        </w:rPr>
        <w:t>未经甲方同意违反上述规定。每发现一次，承担违约金1万元；如连续5天或3个月内累计10天不在现场，甲方有权追究乙方的违约责任直至解除合同。</w:t>
      </w:r>
    </w:p>
    <w:p w14:paraId="6B831D71">
      <w:pPr>
        <w:kinsoku w:val="0"/>
        <w:autoSpaceDE w:val="0"/>
        <w:autoSpaceDN w:val="0"/>
        <w:adjustRightInd w:val="0"/>
        <w:snapToGrid w:val="0"/>
        <w:spacing w:line="500" w:lineRule="exact"/>
        <w:ind w:firstLine="504"/>
        <w:jc w:val="left"/>
        <w:textAlignment w:val="baseline"/>
        <w:rPr>
          <w:rFonts w:hint="eastAsia" w:ascii="宋体" w:hAnsi="宋体" w:eastAsia="宋体" w:cs="宋体"/>
          <w:snapToGrid w:val="0"/>
          <w:color w:val="000000"/>
          <w:spacing w:val="6"/>
          <w:kern w:val="0"/>
          <w:sz w:val="24"/>
        </w:rPr>
      </w:pPr>
      <w:r>
        <w:rPr>
          <w:rFonts w:hint="eastAsia" w:ascii="宋体" w:hAnsi="宋体" w:eastAsia="宋体" w:cs="宋体"/>
          <w:snapToGrid w:val="0"/>
          <w:color w:val="000000"/>
          <w:spacing w:val="6"/>
          <w:kern w:val="0"/>
          <w:sz w:val="24"/>
        </w:rPr>
        <w:t>5.2乙方擅自更换其他主要管理人员的违约责任：本项目其他主要管理人员员必须与投标承诺人员相符，如需变更其他主要管理人员须经甲方书面同意并向甲方交纳1万元/次的违约金。无论任何时间，只要现场有检测服务活动，管理人员应24小时监管。如擅自更换乙方其他主要管理人员，乙方承担1万元/人的违约金，限期整改；若乙方拒绝整改的，甲方有权追究乙方的违约责任直至终止本合同并要求乙方无条件退场，乙方还应按中标总价的5%承担违约金。</w:t>
      </w:r>
    </w:p>
    <w:p w14:paraId="02660CA9">
      <w:pPr>
        <w:kinsoku w:val="0"/>
        <w:autoSpaceDE w:val="0"/>
        <w:autoSpaceDN w:val="0"/>
        <w:adjustRightInd w:val="0"/>
        <w:snapToGrid w:val="0"/>
        <w:spacing w:line="500" w:lineRule="exact"/>
        <w:ind w:firstLine="504"/>
        <w:jc w:val="left"/>
        <w:textAlignment w:val="baseline"/>
        <w:rPr>
          <w:rFonts w:hint="eastAsia" w:ascii="宋体" w:hAnsi="宋体" w:eastAsia="宋体" w:cs="宋体"/>
          <w:snapToGrid w:val="0"/>
          <w:color w:val="000000"/>
          <w:spacing w:val="6"/>
          <w:kern w:val="0"/>
          <w:sz w:val="24"/>
        </w:rPr>
      </w:pPr>
      <w:r>
        <w:rPr>
          <w:rFonts w:hint="eastAsia" w:ascii="宋体" w:hAnsi="宋体" w:eastAsia="宋体" w:cs="宋体"/>
          <w:snapToGrid w:val="0"/>
          <w:color w:val="000000"/>
          <w:spacing w:val="6"/>
          <w:kern w:val="0"/>
          <w:sz w:val="24"/>
        </w:rPr>
        <w:t>6、乙方未按投标承诺人数足额配备作业技术人员的，乙方按照2万元/人/天承担违约金，1个月内累计达20万元违约金的，甲方有权追究乙方的违约责任、终止本合同并要求乙方无条件退场，乙方还应按中标总价的5%承担违约金；</w:t>
      </w:r>
    </w:p>
    <w:p w14:paraId="5ED29EB5">
      <w:pPr>
        <w:kinsoku w:val="0"/>
        <w:autoSpaceDE w:val="0"/>
        <w:autoSpaceDN w:val="0"/>
        <w:adjustRightInd w:val="0"/>
        <w:snapToGrid w:val="0"/>
        <w:spacing w:line="500" w:lineRule="exact"/>
        <w:ind w:firstLine="496" w:firstLineChars="200"/>
        <w:jc w:val="left"/>
        <w:textAlignment w:val="baseline"/>
        <w:rPr>
          <w:rFonts w:hint="eastAsia" w:ascii="宋体" w:hAnsi="宋体" w:eastAsia="宋体" w:cs="宋体"/>
          <w:snapToGrid w:val="0"/>
          <w:color w:val="000000"/>
          <w:spacing w:val="4"/>
          <w:kern w:val="0"/>
          <w:sz w:val="24"/>
        </w:rPr>
      </w:pPr>
      <w:r>
        <w:rPr>
          <w:rFonts w:hint="eastAsia" w:ascii="宋体" w:hAnsi="宋体" w:eastAsia="宋体" w:cs="宋体"/>
          <w:snapToGrid w:val="0"/>
          <w:color w:val="000000"/>
          <w:spacing w:val="4"/>
          <w:kern w:val="0"/>
          <w:sz w:val="24"/>
        </w:rPr>
        <w:t>7、乙方提交的竣工资料的内容：提供符合《城镇排水管道检测与评估技术规程CJJ181-2012》的检测报告3份（含光盘）,并向甲方提供管线测绘报告三份（含光盘）；</w:t>
      </w:r>
    </w:p>
    <w:p w14:paraId="52342977">
      <w:pPr>
        <w:kinsoku w:val="0"/>
        <w:autoSpaceDE w:val="0"/>
        <w:autoSpaceDN w:val="0"/>
        <w:adjustRightInd w:val="0"/>
        <w:snapToGrid w:val="0"/>
        <w:spacing w:line="500" w:lineRule="exact"/>
        <w:ind w:firstLine="480" w:firstLineChars="200"/>
        <w:jc w:val="left"/>
        <w:textAlignment w:val="baseline"/>
        <w:rPr>
          <w:rFonts w:hint="eastAsia" w:ascii="宋体" w:hAnsi="宋体" w:eastAsia="宋体" w:cs="宋体"/>
          <w:snapToGrid w:val="0"/>
          <w:color w:val="000000"/>
          <w:kern w:val="0"/>
          <w:sz w:val="24"/>
        </w:rPr>
      </w:pPr>
      <w:r>
        <w:rPr>
          <w:rFonts w:hint="eastAsia" w:ascii="宋体" w:hAnsi="宋体" w:eastAsia="宋体" w:cs="宋体"/>
          <w:snapToGrid w:val="0"/>
          <w:color w:val="000000"/>
          <w:kern w:val="0"/>
          <w:sz w:val="24"/>
        </w:rPr>
        <w:t>8、</w:t>
      </w:r>
      <w:r>
        <w:rPr>
          <w:rFonts w:ascii="宋体" w:hAnsi="宋体" w:eastAsia="宋体" w:cs="宋体"/>
          <w:snapToGrid w:val="0"/>
          <w:color w:val="000000"/>
          <w:spacing w:val="-2"/>
          <w:kern w:val="0"/>
          <w:sz w:val="24"/>
        </w:rPr>
        <w:t>乙方负责排查检测方案报甲方审核；</w:t>
      </w:r>
    </w:p>
    <w:p w14:paraId="45722CA8">
      <w:pPr>
        <w:kinsoku w:val="0"/>
        <w:autoSpaceDE w:val="0"/>
        <w:autoSpaceDN w:val="0"/>
        <w:adjustRightInd w:val="0"/>
        <w:snapToGrid w:val="0"/>
        <w:spacing w:line="500" w:lineRule="exact"/>
        <w:ind w:firstLine="484" w:firstLineChars="200"/>
        <w:jc w:val="left"/>
        <w:textAlignment w:val="baseline"/>
        <w:rPr>
          <w:rFonts w:hint="eastAsia" w:ascii="宋体" w:hAnsi="宋体" w:eastAsia="宋体" w:cs="宋体"/>
          <w:snapToGrid w:val="0"/>
          <w:color w:val="000000"/>
          <w:kern w:val="0"/>
          <w:sz w:val="24"/>
        </w:rPr>
      </w:pPr>
      <w:r>
        <w:rPr>
          <w:rFonts w:hint="eastAsia" w:ascii="宋体" w:hAnsi="宋体" w:eastAsia="宋体" w:cs="宋体"/>
          <w:snapToGrid w:val="0"/>
          <w:color w:val="000000"/>
          <w:spacing w:val="1"/>
          <w:kern w:val="0"/>
          <w:sz w:val="24"/>
        </w:rPr>
        <w:t>9</w:t>
      </w:r>
      <w:r>
        <w:rPr>
          <w:rFonts w:ascii="宋体" w:hAnsi="宋体" w:eastAsia="宋体" w:cs="宋体"/>
          <w:snapToGrid w:val="0"/>
          <w:color w:val="000000"/>
          <w:spacing w:val="1"/>
          <w:kern w:val="0"/>
          <w:sz w:val="24"/>
        </w:rPr>
        <w:t>、乙方应根据《中华人民共和国安全生产法》</w:t>
      </w:r>
      <w:r>
        <w:rPr>
          <w:rFonts w:ascii="宋体" w:hAnsi="宋体" w:eastAsia="宋体" w:cs="宋体"/>
          <w:snapToGrid w:val="0"/>
          <w:color w:val="000000"/>
          <w:kern w:val="0"/>
          <w:sz w:val="24"/>
        </w:rPr>
        <w:t>、《职业健康安全管理体系规范》和地方有关的法规，编制一份施工安全措</w:t>
      </w:r>
      <w:r>
        <w:rPr>
          <w:rFonts w:ascii="宋体" w:hAnsi="宋体" w:eastAsia="宋体" w:cs="宋体"/>
          <w:snapToGrid w:val="0"/>
          <w:color w:val="000000"/>
          <w:spacing w:val="-1"/>
          <w:kern w:val="0"/>
          <w:sz w:val="24"/>
        </w:rPr>
        <w:t>施计划，报送监理人审批；</w:t>
      </w:r>
    </w:p>
    <w:p w14:paraId="1C8E0498">
      <w:pPr>
        <w:kinsoku w:val="0"/>
        <w:autoSpaceDE w:val="0"/>
        <w:autoSpaceDN w:val="0"/>
        <w:adjustRightInd w:val="0"/>
        <w:snapToGrid w:val="0"/>
        <w:spacing w:line="500" w:lineRule="exact"/>
        <w:ind w:firstLine="484" w:firstLineChars="200"/>
        <w:jc w:val="left"/>
        <w:textAlignment w:val="baseline"/>
        <w:rPr>
          <w:rFonts w:hint="eastAsia" w:ascii="宋体" w:hAnsi="宋体" w:eastAsia="宋体" w:cs="宋体"/>
          <w:snapToGrid w:val="0"/>
          <w:color w:val="000000"/>
          <w:spacing w:val="-2"/>
          <w:kern w:val="0"/>
          <w:sz w:val="24"/>
        </w:rPr>
      </w:pPr>
      <w:r>
        <w:rPr>
          <w:rFonts w:hint="eastAsia" w:ascii="宋体" w:hAnsi="宋体" w:eastAsia="宋体" w:cs="宋体"/>
          <w:snapToGrid w:val="0"/>
          <w:color w:val="000000"/>
          <w:spacing w:val="1"/>
          <w:kern w:val="0"/>
          <w:sz w:val="24"/>
        </w:rPr>
        <w:t>10</w:t>
      </w:r>
      <w:r>
        <w:rPr>
          <w:rFonts w:ascii="宋体" w:hAnsi="宋体" w:eastAsia="宋体" w:cs="宋体"/>
          <w:snapToGrid w:val="0"/>
          <w:color w:val="000000"/>
          <w:spacing w:val="1"/>
          <w:kern w:val="0"/>
          <w:sz w:val="24"/>
        </w:rPr>
        <w:t>、乙方负责现场安全文明施工，最大限度减少给居民带来不便，向居民做好为民</w:t>
      </w:r>
      <w:r>
        <w:rPr>
          <w:rFonts w:ascii="宋体" w:hAnsi="宋体" w:eastAsia="宋体" w:cs="宋体"/>
          <w:snapToGrid w:val="0"/>
          <w:color w:val="000000"/>
          <w:spacing w:val="-2"/>
          <w:kern w:val="0"/>
          <w:sz w:val="24"/>
        </w:rPr>
        <w:t>宣传工作，坚决杜绝安全隐患。必须做到有序施工，施工作业期间确保排放户正常排水；</w:t>
      </w:r>
      <w:r>
        <w:rPr>
          <w:rFonts w:ascii="宋体" w:hAnsi="宋体" w:eastAsia="宋体" w:cs="宋体"/>
          <w:snapToGrid w:val="0"/>
          <w:color w:val="000000"/>
          <w:spacing w:val="1"/>
          <w:kern w:val="0"/>
          <w:sz w:val="24"/>
        </w:rPr>
        <w:t>做到文明施工专项费用专款专用。如甲方收到关于乙方在文明施工方面的投诉，甲方有</w:t>
      </w:r>
      <w:r>
        <w:rPr>
          <w:rFonts w:ascii="宋体" w:hAnsi="宋体" w:eastAsia="宋体" w:cs="宋体"/>
          <w:snapToGrid w:val="0"/>
          <w:color w:val="000000"/>
          <w:spacing w:val="-2"/>
          <w:kern w:val="0"/>
          <w:sz w:val="24"/>
        </w:rPr>
        <w:t>权视事件严重程度对乙方进行1000～5000元/次的处罚；</w:t>
      </w:r>
    </w:p>
    <w:p w14:paraId="75C1591F">
      <w:pPr>
        <w:kinsoku w:val="0"/>
        <w:autoSpaceDE w:val="0"/>
        <w:autoSpaceDN w:val="0"/>
        <w:adjustRightInd w:val="0"/>
        <w:snapToGrid w:val="0"/>
        <w:spacing w:line="500" w:lineRule="exact"/>
        <w:ind w:firstLine="484" w:firstLineChars="200"/>
        <w:jc w:val="left"/>
        <w:textAlignment w:val="baseline"/>
        <w:rPr>
          <w:rFonts w:hint="eastAsia" w:ascii="宋体" w:hAnsi="宋体" w:eastAsia="宋体" w:cs="宋体"/>
          <w:snapToGrid w:val="0"/>
          <w:color w:val="000000"/>
          <w:spacing w:val="1"/>
          <w:kern w:val="0"/>
          <w:sz w:val="24"/>
        </w:rPr>
      </w:pPr>
      <w:r>
        <w:rPr>
          <w:rFonts w:hint="eastAsia" w:ascii="宋体" w:hAnsi="宋体" w:eastAsia="宋体" w:cs="宋体"/>
          <w:snapToGrid w:val="0"/>
          <w:color w:val="000000"/>
          <w:spacing w:val="1"/>
          <w:kern w:val="0"/>
          <w:sz w:val="24"/>
        </w:rPr>
        <w:t>11</w:t>
      </w:r>
      <w:r>
        <w:rPr>
          <w:rFonts w:ascii="宋体" w:hAnsi="宋体" w:eastAsia="宋体" w:cs="宋体"/>
          <w:snapToGrid w:val="0"/>
          <w:color w:val="000000"/>
          <w:spacing w:val="1"/>
          <w:kern w:val="0"/>
          <w:sz w:val="24"/>
        </w:rPr>
        <w:t>、乙方必须按照甲方要求统一着装，工作服、车辆及现场安全文明措施必须按甲</w:t>
      </w:r>
      <w:r>
        <w:rPr>
          <w:rFonts w:ascii="宋体" w:hAnsi="宋体" w:eastAsia="宋体" w:cs="宋体"/>
          <w:snapToGrid w:val="0"/>
          <w:color w:val="000000"/>
          <w:spacing w:val="-2"/>
          <w:kern w:val="0"/>
          <w:sz w:val="24"/>
        </w:rPr>
        <w:t>方要求的标准落实，若甲方在巡查中发现乙方存在安全隐患、未按甲方要求标准落实的，一经发现甲方有权扣除乙方1000元/次</w:t>
      </w:r>
      <w:r>
        <w:rPr>
          <w:rFonts w:ascii="宋体" w:hAnsi="宋体" w:eastAsia="宋体" w:cs="宋体"/>
          <w:snapToGrid w:val="0"/>
          <w:color w:val="000000"/>
          <w:spacing w:val="-3"/>
          <w:kern w:val="0"/>
          <w:sz w:val="24"/>
        </w:rPr>
        <w:t>的处罚；</w:t>
      </w:r>
    </w:p>
    <w:p w14:paraId="4E691912">
      <w:pPr>
        <w:kinsoku w:val="0"/>
        <w:autoSpaceDE w:val="0"/>
        <w:autoSpaceDN w:val="0"/>
        <w:adjustRightInd w:val="0"/>
        <w:snapToGrid w:val="0"/>
        <w:spacing w:line="500" w:lineRule="exact"/>
        <w:ind w:firstLine="484" w:firstLineChars="200"/>
        <w:jc w:val="left"/>
        <w:textAlignment w:val="baseline"/>
        <w:rPr>
          <w:rFonts w:hint="eastAsia" w:ascii="宋体" w:hAnsi="宋体" w:eastAsia="宋体" w:cs="宋体"/>
          <w:snapToGrid w:val="0"/>
          <w:color w:val="000000"/>
          <w:kern w:val="0"/>
          <w:sz w:val="24"/>
        </w:rPr>
      </w:pPr>
      <w:r>
        <w:rPr>
          <w:rFonts w:ascii="宋体" w:hAnsi="宋体" w:eastAsia="宋体" w:cs="宋体"/>
          <w:snapToGrid w:val="0"/>
          <w:color w:val="000000"/>
          <w:spacing w:val="1"/>
          <w:kern w:val="0"/>
          <w:sz w:val="24"/>
        </w:rPr>
        <w:t>1</w:t>
      </w:r>
      <w:r>
        <w:rPr>
          <w:rFonts w:hint="eastAsia" w:ascii="宋体" w:hAnsi="宋体" w:eastAsia="宋体" w:cs="宋体"/>
          <w:snapToGrid w:val="0"/>
          <w:color w:val="000000"/>
          <w:spacing w:val="1"/>
          <w:kern w:val="0"/>
          <w:sz w:val="24"/>
        </w:rPr>
        <w:t>2</w:t>
      </w:r>
      <w:r>
        <w:rPr>
          <w:rFonts w:ascii="宋体" w:hAnsi="宋体" w:eastAsia="宋体" w:cs="宋体"/>
          <w:snapToGrid w:val="0"/>
          <w:color w:val="000000"/>
          <w:spacing w:val="-2"/>
          <w:kern w:val="0"/>
          <w:sz w:val="24"/>
        </w:rPr>
        <w:t>、乙方须禁止施工作业人员在居民区随地大小便严</w:t>
      </w:r>
      <w:r>
        <w:rPr>
          <w:rFonts w:ascii="宋体" w:hAnsi="宋体" w:eastAsia="宋体" w:cs="宋体"/>
          <w:snapToGrid w:val="0"/>
          <w:color w:val="000000"/>
          <w:spacing w:val="-3"/>
          <w:kern w:val="0"/>
          <w:sz w:val="24"/>
        </w:rPr>
        <w:t>控污水井废气给污染周边居民；</w:t>
      </w:r>
    </w:p>
    <w:p w14:paraId="1941C7D5">
      <w:pPr>
        <w:kinsoku w:val="0"/>
        <w:autoSpaceDE w:val="0"/>
        <w:autoSpaceDN w:val="0"/>
        <w:adjustRightInd w:val="0"/>
        <w:snapToGrid w:val="0"/>
        <w:spacing w:line="500" w:lineRule="exact"/>
        <w:ind w:firstLine="484" w:firstLineChars="200"/>
        <w:jc w:val="left"/>
        <w:textAlignment w:val="baseline"/>
        <w:rPr>
          <w:rFonts w:hint="eastAsia" w:ascii="宋体" w:hAnsi="宋体" w:eastAsia="宋体" w:cs="宋体"/>
          <w:snapToGrid w:val="0"/>
          <w:color w:val="000000"/>
          <w:kern w:val="0"/>
          <w:sz w:val="24"/>
        </w:rPr>
      </w:pPr>
      <w:r>
        <w:rPr>
          <w:rFonts w:ascii="宋体" w:hAnsi="宋体" w:eastAsia="宋体" w:cs="宋体"/>
          <w:snapToGrid w:val="0"/>
          <w:color w:val="000000"/>
          <w:spacing w:val="1"/>
          <w:kern w:val="0"/>
          <w:sz w:val="24"/>
        </w:rPr>
        <w:t>1</w:t>
      </w:r>
      <w:r>
        <w:rPr>
          <w:rFonts w:hint="eastAsia" w:ascii="宋体" w:hAnsi="宋体" w:eastAsia="宋体" w:cs="宋体"/>
          <w:snapToGrid w:val="0"/>
          <w:color w:val="000000"/>
          <w:spacing w:val="1"/>
          <w:kern w:val="0"/>
          <w:sz w:val="24"/>
        </w:rPr>
        <w:t>3</w:t>
      </w:r>
      <w:r>
        <w:rPr>
          <w:rFonts w:ascii="宋体" w:hAnsi="宋体" w:eastAsia="宋体" w:cs="宋体"/>
          <w:snapToGrid w:val="0"/>
          <w:color w:val="000000"/>
          <w:spacing w:val="1"/>
          <w:kern w:val="0"/>
          <w:sz w:val="24"/>
        </w:rPr>
        <w:t>、乙方应对离场垃圾和所有车辆进行防遗洒和防污染公共道路的处理。乙方在运</w:t>
      </w:r>
      <w:r>
        <w:rPr>
          <w:rFonts w:ascii="宋体" w:hAnsi="宋体" w:eastAsia="宋体" w:cs="宋体"/>
          <w:snapToGrid w:val="0"/>
          <w:color w:val="000000"/>
          <w:kern w:val="0"/>
          <w:sz w:val="24"/>
        </w:rPr>
        <w:t>输污物的过程中，应采取一切必要的措施，防止污染空气、防止</w:t>
      </w:r>
      <w:r>
        <w:rPr>
          <w:rFonts w:ascii="宋体" w:hAnsi="宋体" w:eastAsia="宋体" w:cs="宋体"/>
          <w:snapToGrid w:val="0"/>
          <w:color w:val="000000"/>
          <w:spacing w:val="-1"/>
          <w:kern w:val="0"/>
          <w:sz w:val="24"/>
        </w:rPr>
        <w:t>遗洒和污染公共道路；</w:t>
      </w:r>
    </w:p>
    <w:p w14:paraId="53B4B4E4">
      <w:pPr>
        <w:kinsoku w:val="0"/>
        <w:autoSpaceDE w:val="0"/>
        <w:autoSpaceDN w:val="0"/>
        <w:adjustRightInd w:val="0"/>
        <w:snapToGrid w:val="0"/>
        <w:spacing w:line="500" w:lineRule="exact"/>
        <w:ind w:firstLine="484" w:firstLineChars="200"/>
        <w:jc w:val="left"/>
        <w:textAlignment w:val="baseline"/>
        <w:rPr>
          <w:rFonts w:hint="eastAsia" w:ascii="宋体" w:hAnsi="宋体" w:eastAsia="宋体" w:cs="宋体"/>
          <w:snapToGrid w:val="0"/>
          <w:color w:val="000000"/>
          <w:kern w:val="0"/>
          <w:sz w:val="24"/>
        </w:rPr>
      </w:pPr>
      <w:r>
        <w:rPr>
          <w:rFonts w:ascii="宋体" w:hAnsi="宋体" w:eastAsia="宋体" w:cs="宋体"/>
          <w:snapToGrid w:val="0"/>
          <w:color w:val="000000"/>
          <w:spacing w:val="1"/>
          <w:kern w:val="0"/>
          <w:sz w:val="24"/>
        </w:rPr>
        <w:t>1</w:t>
      </w:r>
      <w:r>
        <w:rPr>
          <w:rFonts w:hint="eastAsia" w:ascii="宋体" w:hAnsi="宋体" w:eastAsia="宋体" w:cs="宋体"/>
          <w:snapToGrid w:val="0"/>
          <w:color w:val="000000"/>
          <w:spacing w:val="1"/>
          <w:kern w:val="0"/>
          <w:sz w:val="24"/>
        </w:rPr>
        <w:t>4</w:t>
      </w:r>
      <w:r>
        <w:rPr>
          <w:rFonts w:ascii="宋体" w:hAnsi="宋体" w:eastAsia="宋体" w:cs="宋体"/>
          <w:snapToGrid w:val="0"/>
          <w:color w:val="000000"/>
          <w:spacing w:val="1"/>
          <w:kern w:val="0"/>
          <w:sz w:val="24"/>
        </w:rPr>
        <w:t>、乙方应按合同约定和监理人指示，接受国家和地方环境保护行政主管部门的监督、监测和检查。乙方应对其违反现行法律、法规、规章、规范、标准和规程等以及本</w:t>
      </w:r>
      <w:r>
        <w:rPr>
          <w:rFonts w:ascii="宋体" w:hAnsi="宋体" w:eastAsia="宋体" w:cs="宋体"/>
          <w:snapToGrid w:val="0"/>
          <w:color w:val="000000"/>
          <w:spacing w:val="-1"/>
          <w:kern w:val="0"/>
          <w:sz w:val="24"/>
        </w:rPr>
        <w:t>合同约定所造成的环境污染、人员伤害和财产损失等承担赔偿责任；</w:t>
      </w:r>
    </w:p>
    <w:p w14:paraId="5DE4792A">
      <w:pPr>
        <w:kinsoku w:val="0"/>
        <w:autoSpaceDE w:val="0"/>
        <w:autoSpaceDN w:val="0"/>
        <w:adjustRightInd w:val="0"/>
        <w:snapToGrid w:val="0"/>
        <w:spacing w:line="500" w:lineRule="exact"/>
        <w:ind w:firstLine="476" w:firstLineChars="200"/>
        <w:jc w:val="left"/>
        <w:textAlignment w:val="baseline"/>
        <w:rPr>
          <w:rFonts w:hint="eastAsia" w:ascii="宋体" w:hAnsi="宋体" w:eastAsia="宋体" w:cs="宋体"/>
          <w:snapToGrid w:val="0"/>
          <w:color w:val="000000"/>
          <w:kern w:val="0"/>
          <w:sz w:val="24"/>
        </w:rPr>
      </w:pPr>
      <w:r>
        <w:rPr>
          <w:rFonts w:ascii="宋体" w:hAnsi="宋体" w:eastAsia="宋体" w:cs="宋体"/>
          <w:snapToGrid w:val="0"/>
          <w:color w:val="000000"/>
          <w:spacing w:val="-1"/>
          <w:kern w:val="0"/>
          <w:sz w:val="24"/>
        </w:rPr>
        <w:t>1</w:t>
      </w:r>
      <w:r>
        <w:rPr>
          <w:rFonts w:hint="eastAsia" w:ascii="宋体" w:hAnsi="宋体" w:eastAsia="宋体" w:cs="宋体"/>
          <w:snapToGrid w:val="0"/>
          <w:color w:val="000000"/>
          <w:spacing w:val="-1"/>
          <w:kern w:val="0"/>
          <w:sz w:val="24"/>
        </w:rPr>
        <w:t>5</w:t>
      </w:r>
      <w:r>
        <w:rPr>
          <w:rFonts w:ascii="宋体" w:hAnsi="宋体" w:eastAsia="宋体" w:cs="宋体"/>
          <w:snapToGrid w:val="0"/>
          <w:color w:val="000000"/>
          <w:spacing w:val="-1"/>
          <w:kern w:val="0"/>
          <w:sz w:val="24"/>
        </w:rPr>
        <w:t>、乙方除负责现场施工人员的安全外还必须为其施工作业面的第三方安全负责；</w:t>
      </w:r>
    </w:p>
    <w:p w14:paraId="68FBD5AB">
      <w:pPr>
        <w:kinsoku w:val="0"/>
        <w:autoSpaceDE w:val="0"/>
        <w:autoSpaceDN w:val="0"/>
        <w:adjustRightInd w:val="0"/>
        <w:snapToGrid w:val="0"/>
        <w:spacing w:line="500" w:lineRule="exact"/>
        <w:ind w:firstLine="484" w:firstLineChars="200"/>
        <w:jc w:val="left"/>
        <w:textAlignment w:val="baseline"/>
        <w:rPr>
          <w:rFonts w:hint="eastAsia" w:ascii="宋体" w:hAnsi="宋体" w:eastAsia="宋体" w:cs="宋体"/>
          <w:snapToGrid w:val="0"/>
          <w:color w:val="000000"/>
          <w:kern w:val="0"/>
          <w:sz w:val="24"/>
        </w:rPr>
      </w:pPr>
      <w:r>
        <w:rPr>
          <w:rFonts w:ascii="宋体" w:hAnsi="宋体" w:eastAsia="宋体" w:cs="宋体"/>
          <w:snapToGrid w:val="0"/>
          <w:color w:val="000000"/>
          <w:spacing w:val="1"/>
          <w:kern w:val="0"/>
          <w:sz w:val="24"/>
        </w:rPr>
        <w:t>1</w:t>
      </w:r>
      <w:r>
        <w:rPr>
          <w:rFonts w:hint="eastAsia" w:ascii="宋体" w:hAnsi="宋体" w:eastAsia="宋体" w:cs="宋体"/>
          <w:snapToGrid w:val="0"/>
          <w:color w:val="000000"/>
          <w:spacing w:val="1"/>
          <w:kern w:val="0"/>
          <w:sz w:val="24"/>
        </w:rPr>
        <w:t>6</w:t>
      </w:r>
      <w:r>
        <w:rPr>
          <w:rFonts w:ascii="宋体" w:hAnsi="宋体" w:eastAsia="宋体" w:cs="宋体"/>
          <w:snapToGrid w:val="0"/>
          <w:color w:val="000000"/>
          <w:spacing w:val="1"/>
          <w:kern w:val="0"/>
          <w:sz w:val="24"/>
        </w:rPr>
        <w:t>、严格按照本合同及双方约定的内容按期、按质、按量履行合同义务，全面履行</w:t>
      </w:r>
      <w:r>
        <w:rPr>
          <w:rFonts w:ascii="宋体" w:hAnsi="宋体" w:eastAsia="宋体" w:cs="宋体"/>
          <w:snapToGrid w:val="0"/>
          <w:color w:val="000000"/>
          <w:spacing w:val="-1"/>
          <w:kern w:val="0"/>
          <w:sz w:val="24"/>
        </w:rPr>
        <w:t>在本次招投标过程中所作的服务承诺；</w:t>
      </w:r>
    </w:p>
    <w:p w14:paraId="42CE769D">
      <w:pPr>
        <w:kinsoku w:val="0"/>
        <w:autoSpaceDE w:val="0"/>
        <w:autoSpaceDN w:val="0"/>
        <w:adjustRightInd w:val="0"/>
        <w:snapToGrid w:val="0"/>
        <w:spacing w:line="500" w:lineRule="exact"/>
        <w:ind w:firstLine="484" w:firstLineChars="200"/>
        <w:jc w:val="left"/>
        <w:textAlignment w:val="baseline"/>
        <w:rPr>
          <w:rFonts w:hint="eastAsia" w:ascii="宋体" w:hAnsi="宋体" w:eastAsia="宋体" w:cs="宋体"/>
          <w:snapToGrid w:val="0"/>
          <w:color w:val="000000"/>
          <w:kern w:val="0"/>
          <w:sz w:val="24"/>
        </w:rPr>
      </w:pPr>
      <w:r>
        <w:rPr>
          <w:rFonts w:hint="eastAsia" w:ascii="宋体" w:hAnsi="宋体" w:eastAsia="宋体" w:cs="宋体"/>
          <w:snapToGrid w:val="0"/>
          <w:color w:val="000000"/>
          <w:spacing w:val="1"/>
          <w:kern w:val="0"/>
          <w:sz w:val="24"/>
        </w:rPr>
        <w:t>17</w:t>
      </w:r>
      <w:r>
        <w:rPr>
          <w:rFonts w:ascii="宋体" w:hAnsi="宋体" w:eastAsia="宋体" w:cs="宋体"/>
          <w:snapToGrid w:val="0"/>
          <w:color w:val="000000"/>
          <w:spacing w:val="1"/>
          <w:kern w:val="0"/>
          <w:sz w:val="24"/>
        </w:rPr>
        <w:t>、乙方对所提供的服务均必须严格按国家相关规定和中标的响应文件的有关内容</w:t>
      </w:r>
      <w:r>
        <w:rPr>
          <w:rFonts w:ascii="宋体" w:hAnsi="宋体" w:eastAsia="宋体" w:cs="宋体"/>
          <w:snapToGrid w:val="0"/>
          <w:color w:val="000000"/>
          <w:spacing w:val="-6"/>
          <w:kern w:val="0"/>
          <w:sz w:val="24"/>
        </w:rPr>
        <w:t>(包括承诺)执行；</w:t>
      </w:r>
    </w:p>
    <w:p w14:paraId="6F75976F">
      <w:pPr>
        <w:kinsoku w:val="0"/>
        <w:autoSpaceDE w:val="0"/>
        <w:autoSpaceDN w:val="0"/>
        <w:adjustRightInd w:val="0"/>
        <w:snapToGrid w:val="0"/>
        <w:spacing w:line="500" w:lineRule="exact"/>
        <w:ind w:firstLine="484" w:firstLineChars="200"/>
        <w:jc w:val="left"/>
        <w:textAlignment w:val="baseline"/>
        <w:rPr>
          <w:rFonts w:hint="eastAsia" w:ascii="宋体" w:hAnsi="宋体" w:eastAsia="宋体" w:cs="宋体"/>
          <w:snapToGrid w:val="0"/>
          <w:color w:val="000000"/>
          <w:kern w:val="0"/>
          <w:sz w:val="24"/>
        </w:rPr>
      </w:pPr>
      <w:r>
        <w:rPr>
          <w:rFonts w:hint="eastAsia" w:ascii="宋体" w:hAnsi="宋体" w:eastAsia="宋体" w:cs="宋体"/>
          <w:snapToGrid w:val="0"/>
          <w:color w:val="000000"/>
          <w:spacing w:val="1"/>
          <w:kern w:val="0"/>
          <w:sz w:val="24"/>
        </w:rPr>
        <w:t>18</w:t>
      </w:r>
      <w:r>
        <w:rPr>
          <w:rFonts w:ascii="宋体" w:hAnsi="宋体" w:eastAsia="宋体" w:cs="宋体"/>
          <w:snapToGrid w:val="0"/>
          <w:color w:val="000000"/>
          <w:spacing w:val="1"/>
          <w:kern w:val="0"/>
          <w:sz w:val="24"/>
        </w:rPr>
        <w:t>、本合同生效后，除不可抗力外，不得拒绝甲方提出的相应服务要求。但超出乙</w:t>
      </w:r>
      <w:r>
        <w:rPr>
          <w:rFonts w:ascii="宋体" w:hAnsi="宋体" w:eastAsia="宋体" w:cs="宋体"/>
          <w:snapToGrid w:val="0"/>
          <w:color w:val="000000"/>
          <w:spacing w:val="-1"/>
          <w:kern w:val="0"/>
          <w:sz w:val="24"/>
        </w:rPr>
        <w:t>方中标文件的商品类别以外的不在此列；</w:t>
      </w:r>
    </w:p>
    <w:p w14:paraId="67224F14">
      <w:pPr>
        <w:kinsoku w:val="0"/>
        <w:autoSpaceDE w:val="0"/>
        <w:autoSpaceDN w:val="0"/>
        <w:adjustRightInd w:val="0"/>
        <w:snapToGrid w:val="0"/>
        <w:spacing w:line="500" w:lineRule="exact"/>
        <w:ind w:firstLine="480" w:firstLineChars="200"/>
        <w:jc w:val="left"/>
        <w:textAlignment w:val="baseline"/>
        <w:rPr>
          <w:rFonts w:hint="eastAsia" w:ascii="宋体" w:hAnsi="宋体" w:eastAsia="宋体" w:cs="宋体"/>
          <w:snapToGrid w:val="0"/>
          <w:color w:val="000000"/>
          <w:kern w:val="0"/>
          <w:sz w:val="24"/>
        </w:rPr>
      </w:pPr>
      <w:r>
        <w:rPr>
          <w:rFonts w:hint="eastAsia" w:ascii="宋体" w:hAnsi="宋体" w:eastAsia="宋体" w:cs="宋体"/>
          <w:snapToGrid w:val="0"/>
          <w:color w:val="000000"/>
          <w:kern w:val="0"/>
          <w:sz w:val="24"/>
        </w:rPr>
        <w:t>19</w:t>
      </w:r>
      <w:r>
        <w:rPr>
          <w:rFonts w:ascii="宋体" w:hAnsi="宋体" w:eastAsia="宋体" w:cs="宋体"/>
          <w:snapToGrid w:val="0"/>
          <w:color w:val="000000"/>
          <w:kern w:val="0"/>
          <w:sz w:val="24"/>
        </w:rPr>
        <w:t>、合同期内项目如因方案调整，甲方有权终</w:t>
      </w:r>
      <w:r>
        <w:rPr>
          <w:rFonts w:ascii="宋体" w:hAnsi="宋体" w:eastAsia="宋体" w:cs="宋体"/>
          <w:snapToGrid w:val="0"/>
          <w:color w:val="000000"/>
          <w:spacing w:val="-1"/>
          <w:kern w:val="0"/>
          <w:sz w:val="24"/>
        </w:rPr>
        <w:t>止合同，乙方必须无条件服从；</w:t>
      </w:r>
    </w:p>
    <w:p w14:paraId="510CD534">
      <w:pPr>
        <w:kinsoku w:val="0"/>
        <w:autoSpaceDE w:val="0"/>
        <w:autoSpaceDN w:val="0"/>
        <w:adjustRightInd w:val="0"/>
        <w:snapToGrid w:val="0"/>
        <w:spacing w:line="500" w:lineRule="exact"/>
        <w:ind w:firstLine="476" w:firstLineChars="200"/>
        <w:jc w:val="left"/>
        <w:textAlignment w:val="baseline"/>
        <w:rPr>
          <w:rFonts w:hint="eastAsia" w:ascii="宋体" w:hAnsi="宋体" w:eastAsia="宋体" w:cs="宋体"/>
          <w:snapToGrid w:val="0"/>
          <w:color w:val="000000"/>
          <w:kern w:val="0"/>
          <w:sz w:val="24"/>
        </w:rPr>
      </w:pPr>
      <w:r>
        <w:rPr>
          <w:rFonts w:hint="eastAsia" w:ascii="宋体" w:hAnsi="宋体" w:eastAsia="宋体" w:cs="宋体"/>
          <w:snapToGrid w:val="0"/>
          <w:color w:val="000000"/>
          <w:spacing w:val="-1"/>
          <w:kern w:val="0"/>
          <w:sz w:val="24"/>
        </w:rPr>
        <w:t>20</w:t>
      </w:r>
      <w:r>
        <w:rPr>
          <w:rFonts w:ascii="宋体" w:hAnsi="宋体" w:eastAsia="宋体" w:cs="宋体"/>
          <w:snapToGrid w:val="0"/>
          <w:color w:val="000000"/>
          <w:spacing w:val="-1"/>
          <w:kern w:val="0"/>
          <w:sz w:val="24"/>
        </w:rPr>
        <w:t>、乙方应自行协调解决服务期间产生的矛盾，并承担相关费用。</w:t>
      </w:r>
    </w:p>
    <w:p w14:paraId="4EE33109">
      <w:pPr>
        <w:kinsoku w:val="0"/>
        <w:autoSpaceDE w:val="0"/>
        <w:autoSpaceDN w:val="0"/>
        <w:adjustRightInd w:val="0"/>
        <w:snapToGrid w:val="0"/>
        <w:spacing w:line="500" w:lineRule="exact"/>
        <w:ind w:firstLine="484" w:firstLineChars="200"/>
        <w:textAlignment w:val="baseline"/>
        <w:rPr>
          <w:rFonts w:ascii="宋体" w:hAnsi="宋体" w:eastAsia="宋体" w:cs="宋体"/>
          <w:snapToGrid w:val="0"/>
          <w:spacing w:val="-1"/>
          <w:kern w:val="0"/>
          <w:sz w:val="24"/>
        </w:rPr>
      </w:pPr>
      <w:r>
        <w:rPr>
          <w:rFonts w:hint="eastAsia" w:ascii="宋体" w:hAnsi="宋体" w:eastAsia="宋体" w:cs="宋体"/>
          <w:snapToGrid w:val="0"/>
          <w:color w:val="000000"/>
          <w:spacing w:val="1"/>
          <w:kern w:val="0"/>
          <w:sz w:val="24"/>
        </w:rPr>
        <w:t>21</w:t>
      </w:r>
      <w:r>
        <w:rPr>
          <w:rFonts w:ascii="宋体" w:hAnsi="宋体" w:eastAsia="宋体" w:cs="宋体"/>
          <w:snapToGrid w:val="0"/>
          <w:color w:val="000000"/>
          <w:spacing w:val="1"/>
          <w:kern w:val="0"/>
          <w:sz w:val="24"/>
        </w:rPr>
        <w:t>、项目质量必须达合格工程标准，实际施工过程中，如果达不到合格标准，乙方</w:t>
      </w:r>
      <w:r>
        <w:rPr>
          <w:rFonts w:ascii="宋体" w:hAnsi="宋体" w:eastAsia="宋体" w:cs="宋体"/>
          <w:snapToGrid w:val="0"/>
          <w:color w:val="000000"/>
          <w:spacing w:val="-2"/>
          <w:kern w:val="0"/>
          <w:sz w:val="24"/>
        </w:rPr>
        <w:t>必须无偿整改达到承诺质量目标，甲方发现一次对乙方按合同价的1.0%进行扣罚合同款。</w:t>
      </w:r>
      <w:r>
        <w:rPr>
          <w:rFonts w:ascii="宋体" w:hAnsi="宋体" w:eastAsia="宋体" w:cs="宋体"/>
          <w:snapToGrid w:val="0"/>
          <w:color w:val="000000"/>
          <w:kern w:val="0"/>
          <w:sz w:val="24"/>
        </w:rPr>
        <w:t>由此造成的工期延误将不予顺延，给发包人造成实</w:t>
      </w:r>
      <w:r>
        <w:rPr>
          <w:rFonts w:ascii="宋体" w:hAnsi="宋体" w:eastAsia="宋体" w:cs="宋体"/>
          <w:snapToGrid w:val="0"/>
          <w:color w:val="000000"/>
          <w:spacing w:val="-1"/>
          <w:kern w:val="0"/>
          <w:sz w:val="24"/>
        </w:rPr>
        <w:t>际损失的还将承担经济赔偿责任</w:t>
      </w:r>
      <w:r>
        <w:rPr>
          <w:rFonts w:ascii="宋体" w:hAnsi="宋体" w:eastAsia="宋体" w:cs="宋体"/>
          <w:snapToGrid w:val="0"/>
          <w:spacing w:val="-1"/>
          <w:kern w:val="0"/>
          <w:sz w:val="24"/>
        </w:rPr>
        <w:t>。</w:t>
      </w:r>
    </w:p>
    <w:p w14:paraId="287CFF6F">
      <w:pPr>
        <w:kinsoku w:val="0"/>
        <w:autoSpaceDE w:val="0"/>
        <w:autoSpaceDN w:val="0"/>
        <w:adjustRightInd w:val="0"/>
        <w:snapToGrid w:val="0"/>
        <w:spacing w:line="500" w:lineRule="exact"/>
        <w:ind w:firstLine="476" w:firstLineChars="200"/>
        <w:textAlignment w:val="baseline"/>
        <w:rPr>
          <w:rFonts w:hint="eastAsia" w:ascii="宋体" w:hAnsi="宋体" w:eastAsia="宋体" w:cs="宋体"/>
          <w:snapToGrid w:val="0"/>
          <w:color w:val="auto"/>
          <w:spacing w:val="-1"/>
          <w:kern w:val="0"/>
          <w:sz w:val="24"/>
        </w:rPr>
      </w:pPr>
      <w:r>
        <w:rPr>
          <w:rFonts w:hint="eastAsia" w:ascii="宋体" w:hAnsi="宋体" w:eastAsia="宋体" w:cs="宋体"/>
          <w:snapToGrid w:val="0"/>
          <w:color w:val="auto"/>
          <w:spacing w:val="-1"/>
          <w:kern w:val="0"/>
          <w:sz w:val="24"/>
        </w:rPr>
        <w:t>本项目质量目标：省优及以上，本项目服务质量经评审（评定）取得省优，按质论价费给付标准：最终审定价1%；取得国优，按质论价费给付标准：最终审定价2%，按质论价费甲方在取得最终质量评定（评审）标准时一次性给付，不包含在合同价款中。</w:t>
      </w:r>
    </w:p>
    <w:p w14:paraId="0D20BD80">
      <w:pPr>
        <w:kinsoku w:val="0"/>
        <w:autoSpaceDE w:val="0"/>
        <w:autoSpaceDN w:val="0"/>
        <w:adjustRightInd w:val="0"/>
        <w:snapToGrid w:val="0"/>
        <w:spacing w:line="500" w:lineRule="exact"/>
        <w:ind w:firstLine="436" w:firstLineChars="200"/>
        <w:textAlignment w:val="baseline"/>
        <w:rPr>
          <w:rFonts w:hint="eastAsia" w:ascii="宋体" w:hAnsi="宋体" w:eastAsia="宋体" w:cs="宋体"/>
          <w:snapToGrid w:val="0"/>
          <w:kern w:val="0"/>
          <w:sz w:val="24"/>
        </w:rPr>
      </w:pPr>
      <w:r>
        <w:rPr>
          <w:rFonts w:ascii="宋体" w:hAnsi="宋体" w:eastAsia="宋体" w:cs="宋体"/>
          <w:snapToGrid w:val="0"/>
          <w:spacing w:val="-11"/>
          <w:kern w:val="0"/>
          <w:sz w:val="24"/>
        </w:rPr>
        <w:t>甲方义务</w:t>
      </w:r>
    </w:p>
    <w:p w14:paraId="50CC5891">
      <w:pPr>
        <w:kinsoku w:val="0"/>
        <w:autoSpaceDE w:val="0"/>
        <w:autoSpaceDN w:val="0"/>
        <w:adjustRightInd w:val="0"/>
        <w:snapToGrid w:val="0"/>
        <w:spacing w:line="500" w:lineRule="exact"/>
        <w:ind w:firstLine="468" w:firstLineChars="200"/>
        <w:jc w:val="left"/>
        <w:textAlignment w:val="baseline"/>
        <w:rPr>
          <w:rFonts w:hint="eastAsia" w:ascii="宋体" w:hAnsi="宋体" w:eastAsia="宋体" w:cs="宋体"/>
          <w:snapToGrid w:val="0"/>
          <w:kern w:val="0"/>
          <w:sz w:val="24"/>
        </w:rPr>
      </w:pPr>
      <w:r>
        <w:rPr>
          <w:rFonts w:hint="eastAsia" w:ascii="宋体" w:hAnsi="宋体" w:eastAsia="宋体" w:cs="宋体"/>
          <w:snapToGrid w:val="0"/>
          <w:spacing w:val="-3"/>
          <w:kern w:val="0"/>
          <w:sz w:val="24"/>
        </w:rPr>
        <w:t>22、</w:t>
      </w:r>
      <w:r>
        <w:rPr>
          <w:rFonts w:ascii="宋体" w:hAnsi="宋体" w:eastAsia="宋体" w:cs="宋体"/>
          <w:snapToGrid w:val="0"/>
          <w:spacing w:val="-3"/>
          <w:kern w:val="0"/>
          <w:sz w:val="24"/>
        </w:rPr>
        <w:t>甲方如</w:t>
      </w:r>
      <w:r>
        <w:rPr>
          <w:rFonts w:hint="eastAsia" w:ascii="宋体" w:hAnsi="宋体" w:eastAsia="宋体" w:cs="宋体"/>
          <w:snapToGrid w:val="0"/>
          <w:spacing w:val="-3"/>
          <w:kern w:val="0"/>
          <w:sz w:val="24"/>
        </w:rPr>
        <w:t>要</w:t>
      </w:r>
      <w:r>
        <w:rPr>
          <w:rFonts w:ascii="宋体" w:hAnsi="宋体" w:eastAsia="宋体" w:cs="宋体"/>
          <w:snapToGrid w:val="0"/>
          <w:spacing w:val="-3"/>
          <w:kern w:val="0"/>
          <w:sz w:val="24"/>
        </w:rPr>
        <w:t>求乙方提供招响应文件以外的其他服务(即非质量问题)的，费用另行商定，并由甲方承担。</w:t>
      </w:r>
    </w:p>
    <w:p w14:paraId="7B2363DE">
      <w:pPr>
        <w:kinsoku w:val="0"/>
        <w:autoSpaceDE w:val="0"/>
        <w:autoSpaceDN w:val="0"/>
        <w:adjustRightInd w:val="0"/>
        <w:snapToGrid w:val="0"/>
        <w:spacing w:line="500" w:lineRule="exact"/>
        <w:ind w:firstLine="462" w:firstLineChars="200"/>
        <w:jc w:val="left"/>
        <w:textAlignment w:val="baseline"/>
        <w:rPr>
          <w:rFonts w:hint="eastAsia" w:ascii="宋体" w:hAnsi="宋体" w:eastAsia="宋体" w:cs="宋体"/>
          <w:b/>
          <w:bCs/>
          <w:snapToGrid w:val="0"/>
          <w:kern w:val="0"/>
          <w:sz w:val="24"/>
        </w:rPr>
      </w:pPr>
      <w:r>
        <w:rPr>
          <w:rFonts w:ascii="宋体" w:hAnsi="宋体" w:eastAsia="宋体" w:cs="宋体"/>
          <w:b/>
          <w:bCs/>
          <w:snapToGrid w:val="0"/>
          <w:spacing w:val="-5"/>
          <w:kern w:val="0"/>
          <w:sz w:val="24"/>
        </w:rPr>
        <w:t>九、安全责任</w:t>
      </w:r>
    </w:p>
    <w:p w14:paraId="1F5B74D8">
      <w:pPr>
        <w:kinsoku w:val="0"/>
        <w:autoSpaceDE w:val="0"/>
        <w:autoSpaceDN w:val="0"/>
        <w:adjustRightInd w:val="0"/>
        <w:snapToGrid w:val="0"/>
        <w:spacing w:line="500" w:lineRule="exact"/>
        <w:ind w:firstLine="476" w:firstLineChars="200"/>
        <w:jc w:val="left"/>
        <w:textAlignment w:val="baseline"/>
        <w:rPr>
          <w:rFonts w:hint="eastAsia" w:ascii="宋体" w:hAnsi="宋体" w:eastAsia="宋体" w:cs="宋体"/>
          <w:snapToGrid w:val="0"/>
          <w:color w:val="000000"/>
          <w:kern w:val="0"/>
          <w:sz w:val="24"/>
        </w:rPr>
      </w:pPr>
      <w:r>
        <w:rPr>
          <w:rFonts w:ascii="宋体" w:hAnsi="宋体" w:eastAsia="宋体" w:cs="宋体"/>
          <w:snapToGrid w:val="0"/>
          <w:spacing w:val="-1"/>
          <w:kern w:val="0"/>
          <w:sz w:val="24"/>
        </w:rPr>
        <w:t>乙方必须确保此项目</w:t>
      </w:r>
      <w:r>
        <w:rPr>
          <w:rFonts w:ascii="宋体" w:hAnsi="宋体" w:eastAsia="宋体" w:cs="宋体"/>
          <w:snapToGrid w:val="0"/>
          <w:color w:val="000000"/>
          <w:spacing w:val="-1"/>
          <w:kern w:val="0"/>
          <w:sz w:val="24"/>
        </w:rPr>
        <w:t>安全实施，若发生不安全问题自行负责处理并承担一切责任。</w:t>
      </w:r>
    </w:p>
    <w:p w14:paraId="4DF67F49">
      <w:pPr>
        <w:kinsoku w:val="0"/>
        <w:autoSpaceDE w:val="0"/>
        <w:autoSpaceDN w:val="0"/>
        <w:adjustRightInd w:val="0"/>
        <w:snapToGrid w:val="0"/>
        <w:spacing w:line="500" w:lineRule="exact"/>
        <w:ind w:firstLine="466" w:firstLineChars="200"/>
        <w:jc w:val="left"/>
        <w:textAlignment w:val="baseline"/>
        <w:rPr>
          <w:rFonts w:hint="eastAsia" w:ascii="宋体" w:hAnsi="宋体" w:eastAsia="宋体" w:cs="宋体"/>
          <w:snapToGrid w:val="0"/>
          <w:color w:val="000000"/>
          <w:kern w:val="0"/>
          <w:sz w:val="24"/>
        </w:rPr>
      </w:pPr>
      <w:r>
        <w:rPr>
          <w:rFonts w:ascii="宋体" w:hAnsi="宋体" w:eastAsia="宋体" w:cs="宋体"/>
          <w:b/>
          <w:bCs/>
          <w:snapToGrid w:val="0"/>
          <w:color w:val="000000"/>
          <w:spacing w:val="-4"/>
          <w:kern w:val="0"/>
          <w:sz w:val="24"/>
        </w:rPr>
        <w:t>十、不可抗力</w:t>
      </w:r>
    </w:p>
    <w:p w14:paraId="6EA1C063">
      <w:pPr>
        <w:kinsoku w:val="0"/>
        <w:autoSpaceDE w:val="0"/>
        <w:autoSpaceDN w:val="0"/>
        <w:adjustRightInd w:val="0"/>
        <w:snapToGrid w:val="0"/>
        <w:spacing w:line="500" w:lineRule="exact"/>
        <w:ind w:firstLine="496" w:firstLineChars="200"/>
        <w:jc w:val="left"/>
        <w:textAlignment w:val="baseline"/>
        <w:rPr>
          <w:rFonts w:hint="eastAsia" w:ascii="宋体" w:hAnsi="宋体" w:eastAsia="宋体" w:cs="宋体"/>
          <w:snapToGrid w:val="0"/>
          <w:color w:val="000000"/>
          <w:kern w:val="0"/>
          <w:sz w:val="24"/>
        </w:rPr>
      </w:pPr>
      <w:r>
        <w:rPr>
          <w:rFonts w:ascii="宋体" w:hAnsi="宋体" w:eastAsia="宋体" w:cs="宋体"/>
          <w:snapToGrid w:val="0"/>
          <w:color w:val="000000"/>
          <w:spacing w:val="4"/>
          <w:kern w:val="0"/>
          <w:sz w:val="24"/>
        </w:rPr>
        <w:t>1、甲、乙双方的任何一方由于不可抗力的原因不能履行合同时，应及时向对方通</w:t>
      </w:r>
      <w:r>
        <w:rPr>
          <w:rFonts w:ascii="宋体" w:hAnsi="宋体" w:eastAsia="宋体" w:cs="宋体"/>
          <w:snapToGrid w:val="0"/>
          <w:color w:val="000000"/>
          <w:spacing w:val="1"/>
          <w:kern w:val="0"/>
          <w:sz w:val="24"/>
        </w:rPr>
        <w:t>报不能履行或不能完全履行的理由，以减轻可能给对方造成的损失，在取得有关机构证明以后，允许延期履行、部分履行或者不履行合同，并根据情况可部分或全部免予承担</w:t>
      </w:r>
      <w:r>
        <w:rPr>
          <w:rFonts w:ascii="宋体" w:hAnsi="宋体" w:eastAsia="宋体" w:cs="宋体"/>
          <w:snapToGrid w:val="0"/>
          <w:color w:val="000000"/>
          <w:spacing w:val="-2"/>
          <w:kern w:val="0"/>
          <w:sz w:val="24"/>
        </w:rPr>
        <w:t>违约责任。</w:t>
      </w:r>
    </w:p>
    <w:p w14:paraId="495CDCD2">
      <w:pPr>
        <w:kinsoku w:val="0"/>
        <w:autoSpaceDE w:val="0"/>
        <w:autoSpaceDN w:val="0"/>
        <w:adjustRightInd w:val="0"/>
        <w:snapToGrid w:val="0"/>
        <w:spacing w:line="500" w:lineRule="exact"/>
        <w:ind w:firstLine="464" w:firstLineChars="200"/>
        <w:jc w:val="left"/>
        <w:textAlignment w:val="baseline"/>
        <w:rPr>
          <w:rFonts w:hint="eastAsia" w:ascii="宋体" w:hAnsi="宋体" w:eastAsia="宋体" w:cs="宋体"/>
          <w:snapToGrid w:val="0"/>
          <w:color w:val="000000"/>
          <w:kern w:val="0"/>
          <w:sz w:val="24"/>
        </w:rPr>
      </w:pPr>
      <w:r>
        <w:rPr>
          <w:rFonts w:ascii="宋体" w:hAnsi="宋体" w:eastAsia="宋体" w:cs="宋体"/>
          <w:snapToGrid w:val="0"/>
          <w:color w:val="000000"/>
          <w:spacing w:val="-4"/>
          <w:kern w:val="0"/>
          <w:sz w:val="24"/>
        </w:rPr>
        <w:t>2、不可抗力事件持续超过15日，任一方均有权解除本合同。</w:t>
      </w:r>
    </w:p>
    <w:p w14:paraId="06C7AD57">
      <w:pPr>
        <w:kinsoku w:val="0"/>
        <w:autoSpaceDE w:val="0"/>
        <w:autoSpaceDN w:val="0"/>
        <w:adjustRightInd w:val="0"/>
        <w:snapToGrid w:val="0"/>
        <w:spacing w:line="500" w:lineRule="exact"/>
        <w:ind w:firstLine="470" w:firstLineChars="200"/>
        <w:jc w:val="left"/>
        <w:textAlignment w:val="baseline"/>
        <w:rPr>
          <w:rFonts w:hint="eastAsia" w:ascii="宋体" w:hAnsi="宋体" w:eastAsia="宋体" w:cs="宋体"/>
          <w:snapToGrid w:val="0"/>
          <w:color w:val="000000"/>
          <w:kern w:val="0"/>
          <w:sz w:val="24"/>
        </w:rPr>
      </w:pPr>
      <w:r>
        <w:rPr>
          <w:rFonts w:ascii="宋体" w:hAnsi="宋体" w:eastAsia="宋体" w:cs="宋体"/>
          <w:b/>
          <w:bCs/>
          <w:snapToGrid w:val="0"/>
          <w:color w:val="000000"/>
          <w:spacing w:val="-3"/>
          <w:kern w:val="0"/>
          <w:sz w:val="24"/>
        </w:rPr>
        <w:t>十一、合同争议解决方式</w:t>
      </w:r>
    </w:p>
    <w:p w14:paraId="7E62333F">
      <w:pPr>
        <w:kinsoku w:val="0"/>
        <w:autoSpaceDE w:val="0"/>
        <w:autoSpaceDN w:val="0"/>
        <w:adjustRightInd w:val="0"/>
        <w:snapToGrid w:val="0"/>
        <w:spacing w:line="500" w:lineRule="exact"/>
        <w:ind w:firstLine="484" w:firstLineChars="200"/>
        <w:textAlignment w:val="baseline"/>
        <w:rPr>
          <w:rFonts w:hint="eastAsia" w:ascii="宋体" w:hAnsi="宋体" w:eastAsia="宋体" w:cs="宋体"/>
          <w:snapToGrid w:val="0"/>
          <w:color w:val="000000"/>
          <w:kern w:val="0"/>
          <w:sz w:val="24"/>
        </w:rPr>
      </w:pPr>
      <w:r>
        <w:rPr>
          <w:rFonts w:ascii="宋体" w:hAnsi="宋体" w:eastAsia="宋体" w:cs="宋体"/>
          <w:snapToGrid w:val="0"/>
          <w:color w:val="000000"/>
          <w:spacing w:val="1"/>
          <w:kern w:val="0"/>
          <w:sz w:val="24"/>
        </w:rPr>
        <w:t>本合同的订立、解释、履行及争议解决适用于中华人民共和国法律。双方因履行本合同产生纠纷，应协商解决。协商不成，双方同意将争议提交甲方所在地有管辖权的人</w:t>
      </w:r>
      <w:r>
        <w:rPr>
          <w:rFonts w:ascii="宋体" w:hAnsi="宋体" w:eastAsia="宋体" w:cs="宋体"/>
          <w:snapToGrid w:val="0"/>
          <w:color w:val="000000"/>
          <w:spacing w:val="-2"/>
          <w:kern w:val="0"/>
          <w:sz w:val="24"/>
        </w:rPr>
        <w:t>民法院解决。</w:t>
      </w:r>
    </w:p>
    <w:p w14:paraId="3260369B">
      <w:pPr>
        <w:kinsoku w:val="0"/>
        <w:autoSpaceDE w:val="0"/>
        <w:autoSpaceDN w:val="0"/>
        <w:adjustRightInd w:val="0"/>
        <w:snapToGrid w:val="0"/>
        <w:spacing w:line="500" w:lineRule="exact"/>
        <w:ind w:firstLine="466" w:firstLineChars="200"/>
        <w:jc w:val="left"/>
        <w:textAlignment w:val="baseline"/>
        <w:rPr>
          <w:rFonts w:hint="eastAsia" w:ascii="宋体" w:hAnsi="宋体" w:eastAsia="宋体" w:cs="宋体"/>
          <w:snapToGrid w:val="0"/>
          <w:color w:val="000000"/>
          <w:kern w:val="0"/>
          <w:sz w:val="24"/>
        </w:rPr>
      </w:pPr>
      <w:r>
        <w:rPr>
          <w:rFonts w:ascii="宋体" w:hAnsi="宋体" w:eastAsia="宋体" w:cs="宋体"/>
          <w:b/>
          <w:bCs/>
          <w:snapToGrid w:val="0"/>
          <w:color w:val="000000"/>
          <w:spacing w:val="-4"/>
          <w:kern w:val="0"/>
          <w:sz w:val="24"/>
        </w:rPr>
        <w:t>十二、其他</w:t>
      </w:r>
    </w:p>
    <w:p w14:paraId="61129CCE">
      <w:pPr>
        <w:kinsoku w:val="0"/>
        <w:autoSpaceDE w:val="0"/>
        <w:autoSpaceDN w:val="0"/>
        <w:adjustRightInd w:val="0"/>
        <w:snapToGrid w:val="0"/>
        <w:spacing w:line="500" w:lineRule="exact"/>
        <w:ind w:firstLine="492" w:firstLineChars="200"/>
        <w:jc w:val="left"/>
        <w:textAlignment w:val="baseline"/>
        <w:rPr>
          <w:rFonts w:hint="eastAsia" w:ascii="宋体" w:hAnsi="宋体" w:eastAsia="宋体" w:cs="宋体"/>
          <w:snapToGrid w:val="0"/>
          <w:color w:val="000000"/>
          <w:kern w:val="0"/>
          <w:sz w:val="24"/>
        </w:rPr>
      </w:pPr>
      <w:r>
        <w:rPr>
          <w:rFonts w:ascii="宋体" w:hAnsi="宋体" w:eastAsia="宋体" w:cs="宋体"/>
          <w:snapToGrid w:val="0"/>
          <w:color w:val="000000"/>
          <w:spacing w:val="3"/>
          <w:kern w:val="0"/>
          <w:sz w:val="24"/>
        </w:rPr>
        <w:t>1、合同执行期内，甲、乙双方均不得随意变更或解</w:t>
      </w:r>
      <w:r>
        <w:rPr>
          <w:rFonts w:ascii="宋体" w:hAnsi="宋体" w:eastAsia="宋体" w:cs="宋体"/>
          <w:snapToGrid w:val="0"/>
          <w:color w:val="000000"/>
          <w:spacing w:val="2"/>
          <w:kern w:val="0"/>
          <w:sz w:val="24"/>
        </w:rPr>
        <w:t>除合同。合同如有未尽事宜，</w:t>
      </w:r>
      <w:r>
        <w:rPr>
          <w:rFonts w:ascii="宋体" w:hAnsi="宋体" w:eastAsia="宋体" w:cs="宋体"/>
          <w:snapToGrid w:val="0"/>
          <w:color w:val="000000"/>
          <w:spacing w:val="-1"/>
          <w:kern w:val="0"/>
          <w:sz w:val="24"/>
        </w:rPr>
        <w:t>须经双方共同协商，做出补充规定，补充规定与合同具有同等效力。</w:t>
      </w:r>
    </w:p>
    <w:p w14:paraId="0CD08349">
      <w:pPr>
        <w:kinsoku w:val="0"/>
        <w:autoSpaceDE w:val="0"/>
        <w:autoSpaceDN w:val="0"/>
        <w:adjustRightInd w:val="0"/>
        <w:snapToGrid w:val="0"/>
        <w:spacing w:line="500" w:lineRule="exact"/>
        <w:ind w:firstLine="464" w:firstLineChars="200"/>
        <w:jc w:val="left"/>
        <w:textAlignment w:val="baseline"/>
        <w:rPr>
          <w:rFonts w:hint="eastAsia" w:ascii="宋体" w:hAnsi="宋体" w:eastAsia="宋体" w:cs="宋体"/>
          <w:snapToGrid w:val="0"/>
          <w:color w:val="000000"/>
          <w:kern w:val="0"/>
          <w:sz w:val="24"/>
        </w:rPr>
      </w:pPr>
      <w:r>
        <w:rPr>
          <w:rFonts w:ascii="宋体" w:hAnsi="宋体" w:eastAsia="宋体" w:cs="宋体"/>
          <w:snapToGrid w:val="0"/>
          <w:color w:val="000000"/>
          <w:spacing w:val="-4"/>
          <w:kern w:val="0"/>
          <w:sz w:val="24"/>
        </w:rPr>
        <w:t>2、本合同有效期：</w:t>
      </w:r>
      <w:r>
        <w:rPr>
          <w:rFonts w:hint="eastAsia" w:ascii="宋体" w:hAnsi="宋体" w:eastAsia="宋体" w:cs="宋体"/>
          <w:snapToGrid w:val="0"/>
          <w:color w:val="000000"/>
          <w:spacing w:val="-4"/>
          <w:kern w:val="0"/>
          <w:sz w:val="24"/>
          <w:u w:val="single"/>
        </w:rPr>
        <w:t xml:space="preserve">   </w:t>
      </w:r>
      <w:r>
        <w:rPr>
          <w:rFonts w:ascii="宋体" w:hAnsi="宋体" w:eastAsia="宋体" w:cs="宋体"/>
          <w:snapToGrid w:val="0"/>
          <w:color w:val="000000"/>
          <w:spacing w:val="-4"/>
          <w:kern w:val="0"/>
          <w:sz w:val="24"/>
          <w:u w:val="single"/>
        </w:rPr>
        <w:t>年</w:t>
      </w:r>
      <w:r>
        <w:rPr>
          <w:rFonts w:hint="eastAsia" w:ascii="宋体" w:hAnsi="宋体" w:eastAsia="宋体" w:cs="宋体"/>
          <w:snapToGrid w:val="0"/>
          <w:color w:val="000000"/>
          <w:spacing w:val="-4"/>
          <w:kern w:val="0"/>
          <w:sz w:val="24"/>
          <w:u w:val="single"/>
        </w:rPr>
        <w:t xml:space="preserve">  </w:t>
      </w:r>
      <w:r>
        <w:rPr>
          <w:rFonts w:ascii="宋体" w:hAnsi="宋体" w:eastAsia="宋体" w:cs="宋体"/>
          <w:snapToGrid w:val="0"/>
          <w:color w:val="000000"/>
          <w:spacing w:val="-4"/>
          <w:kern w:val="0"/>
          <w:sz w:val="24"/>
          <w:u w:val="single"/>
        </w:rPr>
        <w:t>月</w:t>
      </w:r>
      <w:r>
        <w:rPr>
          <w:rFonts w:hint="eastAsia" w:ascii="宋体" w:hAnsi="宋体" w:eastAsia="宋体" w:cs="宋体"/>
          <w:snapToGrid w:val="0"/>
          <w:color w:val="000000"/>
          <w:spacing w:val="-4"/>
          <w:kern w:val="0"/>
          <w:sz w:val="24"/>
          <w:u w:val="single"/>
        </w:rPr>
        <w:t xml:space="preserve">  </w:t>
      </w:r>
      <w:r>
        <w:rPr>
          <w:rFonts w:ascii="宋体" w:hAnsi="宋体" w:eastAsia="宋体" w:cs="宋体"/>
          <w:snapToGrid w:val="0"/>
          <w:color w:val="000000"/>
          <w:spacing w:val="-4"/>
          <w:kern w:val="0"/>
          <w:sz w:val="24"/>
          <w:u w:val="single"/>
        </w:rPr>
        <w:t>日至</w:t>
      </w:r>
      <w:r>
        <w:rPr>
          <w:rFonts w:hint="eastAsia" w:ascii="宋体" w:hAnsi="宋体" w:eastAsia="宋体" w:cs="宋体"/>
          <w:snapToGrid w:val="0"/>
          <w:color w:val="000000"/>
          <w:spacing w:val="-4"/>
          <w:kern w:val="0"/>
          <w:sz w:val="24"/>
          <w:u w:val="single"/>
        </w:rPr>
        <w:t xml:space="preserve">   </w:t>
      </w:r>
      <w:r>
        <w:rPr>
          <w:rFonts w:ascii="宋体" w:hAnsi="宋体" w:eastAsia="宋体" w:cs="宋体"/>
          <w:snapToGrid w:val="0"/>
          <w:color w:val="000000"/>
          <w:spacing w:val="-5"/>
          <w:kern w:val="0"/>
          <w:sz w:val="24"/>
          <w:u w:val="single"/>
        </w:rPr>
        <w:t>年</w:t>
      </w:r>
      <w:r>
        <w:rPr>
          <w:rFonts w:hint="eastAsia" w:ascii="宋体" w:hAnsi="宋体" w:eastAsia="宋体" w:cs="宋体"/>
          <w:snapToGrid w:val="0"/>
          <w:color w:val="000000"/>
          <w:spacing w:val="-5"/>
          <w:kern w:val="0"/>
          <w:sz w:val="24"/>
          <w:u w:val="single"/>
        </w:rPr>
        <w:t xml:space="preserve">  </w:t>
      </w:r>
      <w:r>
        <w:rPr>
          <w:rFonts w:ascii="宋体" w:hAnsi="宋体" w:eastAsia="宋体" w:cs="宋体"/>
          <w:snapToGrid w:val="0"/>
          <w:color w:val="000000"/>
          <w:spacing w:val="-5"/>
          <w:kern w:val="0"/>
          <w:sz w:val="24"/>
          <w:u w:val="single"/>
        </w:rPr>
        <w:t>月</w:t>
      </w:r>
      <w:r>
        <w:rPr>
          <w:rFonts w:hint="eastAsia" w:ascii="宋体" w:hAnsi="宋体" w:eastAsia="宋体" w:cs="宋体"/>
          <w:snapToGrid w:val="0"/>
          <w:color w:val="000000"/>
          <w:spacing w:val="-5"/>
          <w:kern w:val="0"/>
          <w:sz w:val="24"/>
          <w:u w:val="single"/>
        </w:rPr>
        <w:t xml:space="preserve">  </w:t>
      </w:r>
      <w:r>
        <w:rPr>
          <w:rFonts w:ascii="宋体" w:hAnsi="宋体" w:eastAsia="宋体" w:cs="宋体"/>
          <w:snapToGrid w:val="0"/>
          <w:color w:val="000000"/>
          <w:spacing w:val="-5"/>
          <w:kern w:val="0"/>
          <w:sz w:val="24"/>
          <w:u w:val="single"/>
        </w:rPr>
        <w:t>日（以下单日为准）</w:t>
      </w:r>
      <w:r>
        <w:rPr>
          <w:rFonts w:ascii="宋体" w:hAnsi="宋体" w:eastAsia="宋体" w:cs="宋体"/>
          <w:snapToGrid w:val="0"/>
          <w:color w:val="000000"/>
          <w:spacing w:val="-5"/>
          <w:kern w:val="0"/>
          <w:sz w:val="24"/>
        </w:rPr>
        <w:t>。</w:t>
      </w:r>
    </w:p>
    <w:p w14:paraId="77294398">
      <w:pPr>
        <w:kinsoku w:val="0"/>
        <w:autoSpaceDE w:val="0"/>
        <w:autoSpaceDN w:val="0"/>
        <w:adjustRightInd w:val="0"/>
        <w:snapToGrid w:val="0"/>
        <w:spacing w:line="500" w:lineRule="exact"/>
        <w:ind w:firstLine="500" w:firstLineChars="200"/>
        <w:jc w:val="left"/>
        <w:textAlignment w:val="baseline"/>
        <w:rPr>
          <w:rFonts w:hint="eastAsia" w:ascii="宋体" w:hAnsi="宋体" w:eastAsia="宋体" w:cs="宋体"/>
          <w:snapToGrid w:val="0"/>
          <w:color w:val="000000"/>
          <w:kern w:val="0"/>
          <w:sz w:val="24"/>
        </w:rPr>
      </w:pPr>
      <w:r>
        <w:rPr>
          <w:rFonts w:ascii="宋体" w:hAnsi="宋体" w:eastAsia="宋体" w:cs="宋体"/>
          <w:snapToGrid w:val="0"/>
          <w:color w:val="000000"/>
          <w:spacing w:val="5"/>
          <w:kern w:val="0"/>
          <w:sz w:val="24"/>
        </w:rPr>
        <w:t>3、任何一方无权在没有另一方事先书面同意的情况</w:t>
      </w:r>
      <w:r>
        <w:rPr>
          <w:rFonts w:ascii="宋体" w:hAnsi="宋体" w:eastAsia="宋体" w:cs="宋体"/>
          <w:snapToGrid w:val="0"/>
          <w:color w:val="000000"/>
          <w:spacing w:val="4"/>
          <w:kern w:val="0"/>
          <w:sz w:val="24"/>
        </w:rPr>
        <w:t>下，向第三方给予、授予和转</w:t>
      </w:r>
      <w:r>
        <w:rPr>
          <w:rFonts w:ascii="宋体" w:hAnsi="宋体" w:eastAsia="宋体" w:cs="宋体"/>
          <w:snapToGrid w:val="0"/>
          <w:color w:val="000000"/>
          <w:spacing w:val="-1"/>
          <w:kern w:val="0"/>
          <w:sz w:val="24"/>
        </w:rPr>
        <w:t>让本合同所规定的任何权利和义务。</w:t>
      </w:r>
    </w:p>
    <w:p w14:paraId="6A9834D5">
      <w:pPr>
        <w:kinsoku w:val="0"/>
        <w:autoSpaceDE w:val="0"/>
        <w:autoSpaceDN w:val="0"/>
        <w:adjustRightInd w:val="0"/>
        <w:snapToGrid w:val="0"/>
        <w:spacing w:line="500" w:lineRule="exact"/>
        <w:ind w:firstLine="476" w:firstLineChars="200"/>
        <w:jc w:val="left"/>
        <w:textAlignment w:val="baseline"/>
        <w:rPr>
          <w:rFonts w:hint="eastAsia" w:ascii="宋体" w:hAnsi="宋体" w:eastAsia="宋体" w:cs="宋体"/>
          <w:snapToGrid w:val="0"/>
          <w:color w:val="000000"/>
          <w:kern w:val="0"/>
          <w:sz w:val="24"/>
        </w:rPr>
      </w:pPr>
      <w:r>
        <w:rPr>
          <w:rFonts w:ascii="宋体" w:hAnsi="宋体" w:eastAsia="宋体" w:cs="宋体"/>
          <w:snapToGrid w:val="0"/>
          <w:color w:val="000000"/>
          <w:spacing w:val="-1"/>
          <w:kern w:val="0"/>
          <w:sz w:val="24"/>
        </w:rPr>
        <w:t>4、本合同附件包括：招标文件、中标通知书、投标文件。</w:t>
      </w:r>
    </w:p>
    <w:p w14:paraId="74F914E5">
      <w:pPr>
        <w:kinsoku w:val="0"/>
        <w:autoSpaceDE w:val="0"/>
        <w:autoSpaceDN w:val="0"/>
        <w:adjustRightInd w:val="0"/>
        <w:snapToGrid w:val="0"/>
        <w:spacing w:line="500" w:lineRule="exact"/>
        <w:ind w:firstLine="400" w:firstLineChars="200"/>
        <w:jc w:val="left"/>
        <w:textAlignment w:val="baseline"/>
        <w:rPr>
          <w:rFonts w:hint="eastAsia" w:ascii="宋体" w:hAnsi="宋体" w:eastAsia="宋体" w:cs="宋体"/>
          <w:snapToGrid w:val="0"/>
          <w:color w:val="000000"/>
          <w:spacing w:val="4"/>
          <w:kern w:val="0"/>
          <w:sz w:val="24"/>
        </w:rPr>
      </w:pPr>
      <w:r>
        <w:rPr>
          <w:rFonts w:ascii="宋体" w:hAnsi="宋体" w:eastAsia="宋体" w:cs="宋体"/>
          <w:snapToGrid w:val="0"/>
          <w:color w:val="000000"/>
          <w:spacing w:val="-20"/>
          <w:kern w:val="0"/>
          <w:sz w:val="24"/>
        </w:rPr>
        <w:t>5、本合同自甲乙双方代表签字盖章之日起生效，</w:t>
      </w:r>
      <w:r>
        <w:rPr>
          <w:rFonts w:ascii="宋体" w:hAnsi="宋体" w:eastAsia="宋体" w:cs="宋体"/>
          <w:snapToGrid w:val="0"/>
          <w:color w:val="000000"/>
          <w:spacing w:val="4"/>
          <w:kern w:val="0"/>
          <w:sz w:val="24"/>
        </w:rPr>
        <w:t>一式陆份、甲方执叁份乙方执叁份。</w:t>
      </w:r>
    </w:p>
    <w:p w14:paraId="15979F88">
      <w:pPr>
        <w:kinsoku w:val="0"/>
        <w:autoSpaceDE w:val="0"/>
        <w:autoSpaceDN w:val="0"/>
        <w:adjustRightInd w:val="0"/>
        <w:snapToGrid w:val="0"/>
        <w:spacing w:line="500" w:lineRule="exact"/>
        <w:ind w:firstLine="496" w:firstLineChars="200"/>
        <w:jc w:val="left"/>
        <w:textAlignment w:val="baseline"/>
        <w:rPr>
          <w:rFonts w:hint="eastAsia" w:ascii="宋体" w:hAnsi="宋体" w:eastAsia="宋体" w:cs="宋体"/>
          <w:snapToGrid w:val="0"/>
          <w:color w:val="000000"/>
          <w:kern w:val="0"/>
          <w:sz w:val="24"/>
        </w:rPr>
      </w:pPr>
      <w:r>
        <w:rPr>
          <w:rFonts w:ascii="宋体" w:hAnsi="宋体" w:eastAsia="宋体" w:cs="宋体"/>
          <w:snapToGrid w:val="0"/>
          <w:color w:val="000000"/>
          <w:spacing w:val="4"/>
          <w:kern w:val="0"/>
          <w:sz w:val="24"/>
        </w:rPr>
        <w:t>6、该合同在签订之日起2个工作日内在江苏省政府采购网、盐城市</w:t>
      </w:r>
      <w:r>
        <w:rPr>
          <w:rFonts w:ascii="宋体" w:hAnsi="宋体" w:eastAsia="宋体" w:cs="宋体"/>
          <w:snapToGrid w:val="0"/>
          <w:color w:val="000000"/>
          <w:spacing w:val="3"/>
          <w:kern w:val="0"/>
          <w:sz w:val="24"/>
        </w:rPr>
        <w:t>政府采购网上</w:t>
      </w:r>
      <w:r>
        <w:rPr>
          <w:rFonts w:ascii="宋体" w:hAnsi="宋体" w:eastAsia="宋体" w:cs="宋体"/>
          <w:snapToGrid w:val="0"/>
          <w:color w:val="000000"/>
          <w:spacing w:val="-4"/>
          <w:kern w:val="0"/>
          <w:sz w:val="24"/>
        </w:rPr>
        <w:t>予以公示。</w:t>
      </w:r>
    </w:p>
    <w:p w14:paraId="79249D54">
      <w:pPr>
        <w:kinsoku w:val="0"/>
        <w:autoSpaceDE w:val="0"/>
        <w:autoSpaceDN w:val="0"/>
        <w:adjustRightInd w:val="0"/>
        <w:snapToGrid w:val="0"/>
        <w:spacing w:before="47" w:line="221" w:lineRule="auto"/>
        <w:ind w:left="236" w:firstLine="396"/>
        <w:jc w:val="left"/>
        <w:textAlignment w:val="baseline"/>
        <w:rPr>
          <w:rFonts w:hint="eastAsia" w:ascii="宋体" w:hAnsi="宋体" w:eastAsia="宋体" w:cs="宋体"/>
          <w:snapToGrid w:val="0"/>
          <w:color w:val="000000"/>
          <w:spacing w:val="-21"/>
          <w:kern w:val="0"/>
          <w:sz w:val="24"/>
          <w:lang w:eastAsia="en-US"/>
        </w:rPr>
      </w:pPr>
    </w:p>
    <w:p w14:paraId="634FBC26">
      <w:pPr>
        <w:kinsoku w:val="0"/>
        <w:autoSpaceDE w:val="0"/>
        <w:autoSpaceDN w:val="0"/>
        <w:adjustRightInd w:val="0"/>
        <w:snapToGrid w:val="0"/>
        <w:spacing w:before="47" w:line="221" w:lineRule="auto"/>
        <w:ind w:left="236" w:firstLine="396"/>
        <w:jc w:val="left"/>
        <w:textAlignment w:val="baseline"/>
        <w:rPr>
          <w:rFonts w:hint="eastAsia" w:ascii="宋体" w:hAnsi="宋体" w:eastAsia="宋体" w:cs="宋体"/>
          <w:snapToGrid w:val="0"/>
          <w:color w:val="000000"/>
          <w:spacing w:val="-21"/>
          <w:kern w:val="0"/>
          <w:sz w:val="24"/>
          <w:lang w:eastAsia="en-US"/>
        </w:rPr>
      </w:pPr>
    </w:p>
    <w:p w14:paraId="729B06F5">
      <w:pPr>
        <w:kinsoku w:val="0"/>
        <w:autoSpaceDE w:val="0"/>
        <w:autoSpaceDN w:val="0"/>
        <w:adjustRightInd w:val="0"/>
        <w:snapToGrid w:val="0"/>
        <w:spacing w:before="47" w:line="221" w:lineRule="auto"/>
        <w:ind w:left="236" w:firstLine="396"/>
        <w:jc w:val="left"/>
        <w:textAlignment w:val="baseline"/>
        <w:rPr>
          <w:rFonts w:hint="eastAsia" w:ascii="宋体" w:hAnsi="宋体" w:eastAsia="宋体" w:cs="宋体"/>
          <w:snapToGrid w:val="0"/>
          <w:color w:val="000000"/>
          <w:spacing w:val="-21"/>
          <w:kern w:val="0"/>
          <w:sz w:val="24"/>
          <w:lang w:eastAsia="en-US"/>
        </w:rPr>
      </w:pPr>
    </w:p>
    <w:p w14:paraId="5919D18D">
      <w:pPr>
        <w:kinsoku w:val="0"/>
        <w:autoSpaceDE w:val="0"/>
        <w:autoSpaceDN w:val="0"/>
        <w:adjustRightInd w:val="0"/>
        <w:snapToGrid w:val="0"/>
        <w:spacing w:line="600" w:lineRule="exact"/>
        <w:ind w:left="0" w:leftChars="0" w:firstLine="420" w:firstLineChars="175"/>
        <w:jc w:val="left"/>
        <w:textAlignment w:val="baseline"/>
        <w:rPr>
          <w:rFonts w:hint="eastAsia" w:ascii="宋体" w:hAnsi="宋体" w:eastAsia="宋体" w:cs="宋体"/>
          <w:snapToGrid w:val="0"/>
          <w:color w:val="000000"/>
          <w:spacing w:val="0"/>
          <w:kern w:val="0"/>
          <w:sz w:val="24"/>
          <w:lang w:eastAsia="en-US"/>
        </w:rPr>
      </w:pPr>
      <w:r>
        <w:rPr>
          <w:rFonts w:ascii="宋体" w:hAnsi="宋体" w:eastAsia="宋体" w:cs="宋体"/>
          <w:snapToGrid w:val="0"/>
          <w:color w:val="000000"/>
          <w:spacing w:val="0"/>
          <w:kern w:val="0"/>
          <w:sz w:val="24"/>
          <w:lang w:eastAsia="en-US"/>
        </w:rPr>
        <w:t>甲方：</w:t>
      </w:r>
      <w:r>
        <w:rPr>
          <w:rFonts w:hint="eastAsia" w:ascii="宋体" w:hAnsi="宋体" w:eastAsia="宋体" w:cs="宋体"/>
          <w:snapToGrid w:val="0"/>
          <w:color w:val="000000"/>
          <w:spacing w:val="0"/>
          <w:kern w:val="0"/>
          <w:sz w:val="24"/>
        </w:rPr>
        <w:t xml:space="preserve">                              </w:t>
      </w:r>
      <w:r>
        <w:rPr>
          <w:rFonts w:ascii="宋体" w:hAnsi="宋体" w:eastAsia="宋体" w:cs="宋体"/>
          <w:snapToGrid w:val="0"/>
          <w:color w:val="000000"/>
          <w:spacing w:val="0"/>
          <w:kern w:val="0"/>
          <w:sz w:val="24"/>
          <w:lang w:eastAsia="en-US"/>
        </w:rPr>
        <w:t>乙方：</w:t>
      </w:r>
    </w:p>
    <w:p w14:paraId="1A3D967C">
      <w:pPr>
        <w:kinsoku w:val="0"/>
        <w:autoSpaceDE w:val="0"/>
        <w:autoSpaceDN w:val="0"/>
        <w:adjustRightInd w:val="0"/>
        <w:snapToGrid w:val="0"/>
        <w:spacing w:line="600" w:lineRule="exact"/>
        <w:ind w:left="0" w:leftChars="0" w:firstLine="420" w:firstLineChars="175"/>
        <w:jc w:val="left"/>
        <w:textAlignment w:val="baseline"/>
        <w:rPr>
          <w:rFonts w:hint="eastAsia" w:ascii="宋体" w:hAnsi="宋体" w:eastAsia="宋体" w:cs="宋体"/>
          <w:snapToGrid w:val="0"/>
          <w:color w:val="000000"/>
          <w:spacing w:val="0"/>
          <w:kern w:val="0"/>
          <w:sz w:val="24"/>
          <w:lang w:eastAsia="en-US"/>
        </w:rPr>
      </w:pPr>
      <w:r>
        <w:rPr>
          <w:rFonts w:ascii="宋体" w:hAnsi="宋体" w:eastAsia="宋体" w:cs="宋体"/>
          <w:snapToGrid w:val="0"/>
          <w:color w:val="000000"/>
          <w:spacing w:val="0"/>
          <w:kern w:val="0"/>
          <w:sz w:val="24"/>
          <w:lang w:eastAsia="en-US"/>
        </w:rPr>
        <w:t>地址：</w:t>
      </w:r>
      <w:r>
        <w:rPr>
          <w:rFonts w:hint="eastAsia" w:ascii="宋体" w:hAnsi="宋体" w:eastAsia="宋体" w:cs="宋体"/>
          <w:snapToGrid w:val="0"/>
          <w:color w:val="000000"/>
          <w:spacing w:val="0"/>
          <w:kern w:val="0"/>
          <w:sz w:val="24"/>
        </w:rPr>
        <w:t xml:space="preserve">                              </w:t>
      </w:r>
      <w:r>
        <w:rPr>
          <w:rFonts w:ascii="宋体" w:hAnsi="宋体" w:eastAsia="宋体" w:cs="宋体"/>
          <w:snapToGrid w:val="0"/>
          <w:color w:val="000000"/>
          <w:spacing w:val="0"/>
          <w:kern w:val="0"/>
          <w:sz w:val="24"/>
          <w:lang w:eastAsia="en-US"/>
        </w:rPr>
        <w:t>地址：</w:t>
      </w:r>
    </w:p>
    <w:p w14:paraId="2DE9CE3A">
      <w:pPr>
        <w:kinsoku w:val="0"/>
        <w:autoSpaceDE w:val="0"/>
        <w:autoSpaceDN w:val="0"/>
        <w:adjustRightInd w:val="0"/>
        <w:snapToGrid w:val="0"/>
        <w:spacing w:line="600" w:lineRule="exact"/>
        <w:ind w:left="0" w:leftChars="0" w:firstLine="420" w:firstLineChars="175"/>
        <w:jc w:val="left"/>
        <w:textAlignment w:val="baseline"/>
        <w:rPr>
          <w:rFonts w:hint="eastAsia" w:ascii="宋体" w:hAnsi="宋体" w:eastAsia="宋体" w:cs="宋体"/>
          <w:snapToGrid w:val="0"/>
          <w:color w:val="000000"/>
          <w:spacing w:val="0"/>
          <w:kern w:val="0"/>
          <w:sz w:val="24"/>
        </w:rPr>
      </w:pPr>
      <w:r>
        <w:rPr>
          <w:rFonts w:ascii="宋体" w:hAnsi="宋体" w:eastAsia="宋体" w:cs="宋体"/>
          <w:snapToGrid w:val="0"/>
          <w:color w:val="000000"/>
          <w:spacing w:val="0"/>
          <w:kern w:val="0"/>
          <w:sz w:val="24"/>
        </w:rPr>
        <w:t>法定代表人或授权代理人：</w:t>
      </w:r>
      <w:r>
        <w:rPr>
          <w:rFonts w:hint="eastAsia" w:ascii="宋体" w:hAnsi="宋体" w:eastAsia="宋体" w:cs="宋体"/>
          <w:snapToGrid w:val="0"/>
          <w:color w:val="000000"/>
          <w:spacing w:val="0"/>
          <w:kern w:val="0"/>
          <w:sz w:val="24"/>
        </w:rPr>
        <w:t xml:space="preserve">            </w:t>
      </w:r>
      <w:r>
        <w:rPr>
          <w:rFonts w:ascii="宋体" w:hAnsi="宋体" w:eastAsia="宋体" w:cs="宋体"/>
          <w:snapToGrid w:val="0"/>
          <w:color w:val="000000"/>
          <w:spacing w:val="0"/>
          <w:kern w:val="0"/>
          <w:sz w:val="24"/>
        </w:rPr>
        <w:t>法定代表人或授权代理人：</w:t>
      </w:r>
    </w:p>
    <w:p w14:paraId="79795156">
      <w:pPr>
        <w:kinsoku w:val="0"/>
        <w:autoSpaceDE w:val="0"/>
        <w:autoSpaceDN w:val="0"/>
        <w:adjustRightInd w:val="0"/>
        <w:snapToGrid w:val="0"/>
        <w:spacing w:line="600" w:lineRule="exact"/>
        <w:ind w:left="0" w:leftChars="0" w:firstLine="420" w:firstLineChars="175"/>
        <w:jc w:val="left"/>
        <w:textAlignment w:val="baseline"/>
        <w:rPr>
          <w:rFonts w:hint="eastAsia" w:ascii="宋体" w:hAnsi="宋体" w:eastAsia="宋体" w:cs="宋体"/>
          <w:snapToGrid w:val="0"/>
          <w:color w:val="000000"/>
          <w:spacing w:val="0"/>
          <w:kern w:val="0"/>
          <w:sz w:val="24"/>
        </w:rPr>
      </w:pPr>
      <w:r>
        <w:rPr>
          <w:rFonts w:ascii="宋体" w:hAnsi="宋体" w:eastAsia="宋体" w:cs="宋体"/>
          <w:snapToGrid w:val="0"/>
          <w:color w:val="000000"/>
          <w:spacing w:val="0"/>
          <w:kern w:val="0"/>
          <w:sz w:val="24"/>
        </w:rPr>
        <w:t>联系电话：</w:t>
      </w:r>
      <w:r>
        <w:rPr>
          <w:rFonts w:hint="eastAsia" w:ascii="宋体" w:hAnsi="宋体" w:eastAsia="宋体" w:cs="宋体"/>
          <w:snapToGrid w:val="0"/>
          <w:color w:val="000000"/>
          <w:spacing w:val="0"/>
          <w:kern w:val="0"/>
          <w:sz w:val="24"/>
        </w:rPr>
        <w:t xml:space="preserve">                          </w:t>
      </w:r>
      <w:r>
        <w:rPr>
          <w:rFonts w:ascii="宋体" w:hAnsi="宋体" w:eastAsia="宋体" w:cs="宋体"/>
          <w:snapToGrid w:val="0"/>
          <w:color w:val="000000"/>
          <w:spacing w:val="0"/>
          <w:kern w:val="0"/>
          <w:sz w:val="24"/>
        </w:rPr>
        <w:t>联系电话：</w:t>
      </w:r>
    </w:p>
    <w:p w14:paraId="5DDF141C">
      <w:pPr>
        <w:kinsoku w:val="0"/>
        <w:autoSpaceDE w:val="0"/>
        <w:autoSpaceDN w:val="0"/>
        <w:adjustRightInd w:val="0"/>
        <w:snapToGrid w:val="0"/>
        <w:spacing w:line="600" w:lineRule="exact"/>
        <w:ind w:left="0" w:leftChars="0" w:firstLine="420" w:firstLineChars="175"/>
        <w:jc w:val="left"/>
        <w:textAlignment w:val="baseline"/>
        <w:rPr>
          <w:rFonts w:ascii="Arial" w:hAnsi="Arial" w:eastAsia="Arial" w:cs="Arial"/>
          <w:snapToGrid w:val="0"/>
          <w:color w:val="000000"/>
          <w:spacing w:val="0"/>
          <w:kern w:val="0"/>
          <w:szCs w:val="21"/>
          <w:lang w:eastAsia="en-US"/>
        </w:rPr>
      </w:pPr>
      <w:r>
        <w:rPr>
          <w:rFonts w:hint="eastAsia" w:ascii="宋体" w:hAnsi="宋体" w:eastAsia="宋体" w:cs="宋体"/>
          <w:snapToGrid w:val="0"/>
          <w:color w:val="000000"/>
          <w:spacing w:val="0"/>
          <w:kern w:val="0"/>
          <w:sz w:val="24"/>
        </w:rPr>
        <w:t>日期：2026</w:t>
      </w:r>
      <w:r>
        <w:rPr>
          <w:rFonts w:ascii="宋体" w:hAnsi="宋体" w:eastAsia="宋体" w:cs="宋体"/>
          <w:snapToGrid w:val="0"/>
          <w:color w:val="000000"/>
          <w:spacing w:val="0"/>
          <w:kern w:val="0"/>
          <w:sz w:val="24"/>
        </w:rPr>
        <w:t>年</w:t>
      </w:r>
      <w:r>
        <w:rPr>
          <w:rFonts w:hint="eastAsia" w:ascii="宋体" w:hAnsi="宋体" w:eastAsia="宋体" w:cs="宋体"/>
          <w:snapToGrid w:val="0"/>
          <w:color w:val="000000"/>
          <w:spacing w:val="0"/>
          <w:kern w:val="0"/>
          <w:sz w:val="24"/>
        </w:rPr>
        <w:t xml:space="preserve">   </w:t>
      </w:r>
      <w:r>
        <w:rPr>
          <w:rFonts w:ascii="宋体" w:hAnsi="宋体" w:eastAsia="宋体" w:cs="宋体"/>
          <w:snapToGrid w:val="0"/>
          <w:color w:val="000000"/>
          <w:spacing w:val="0"/>
          <w:kern w:val="0"/>
          <w:sz w:val="24"/>
        </w:rPr>
        <w:t>月</w:t>
      </w:r>
      <w:r>
        <w:rPr>
          <w:rFonts w:hint="eastAsia" w:ascii="宋体" w:hAnsi="宋体" w:eastAsia="宋体" w:cs="宋体"/>
          <w:snapToGrid w:val="0"/>
          <w:color w:val="000000"/>
          <w:spacing w:val="0"/>
          <w:kern w:val="0"/>
          <w:sz w:val="24"/>
        </w:rPr>
        <w:t xml:space="preserve">   </w:t>
      </w:r>
      <w:r>
        <w:rPr>
          <w:rFonts w:ascii="宋体" w:hAnsi="宋体" w:eastAsia="宋体" w:cs="宋体"/>
          <w:snapToGrid w:val="0"/>
          <w:color w:val="000000"/>
          <w:spacing w:val="0"/>
          <w:kern w:val="0"/>
          <w:sz w:val="24"/>
        </w:rPr>
        <w:t>日</w:t>
      </w:r>
      <w:r>
        <w:rPr>
          <w:rFonts w:hint="eastAsia" w:ascii="宋体" w:hAnsi="宋体" w:eastAsia="宋体" w:cs="宋体"/>
          <w:snapToGrid w:val="0"/>
          <w:color w:val="000000"/>
          <w:spacing w:val="0"/>
          <w:kern w:val="0"/>
          <w:sz w:val="24"/>
        </w:rPr>
        <w:t xml:space="preserve">              日期：2026</w:t>
      </w:r>
      <w:r>
        <w:rPr>
          <w:rFonts w:ascii="宋体" w:hAnsi="宋体" w:eastAsia="宋体" w:cs="宋体"/>
          <w:snapToGrid w:val="0"/>
          <w:color w:val="000000"/>
          <w:spacing w:val="0"/>
          <w:kern w:val="0"/>
          <w:sz w:val="24"/>
        </w:rPr>
        <w:t>年</w:t>
      </w:r>
      <w:r>
        <w:rPr>
          <w:rFonts w:hint="eastAsia" w:ascii="宋体" w:hAnsi="宋体" w:eastAsia="宋体" w:cs="宋体"/>
          <w:snapToGrid w:val="0"/>
          <w:color w:val="000000"/>
          <w:spacing w:val="0"/>
          <w:kern w:val="0"/>
          <w:sz w:val="24"/>
        </w:rPr>
        <w:t xml:space="preserve">   </w:t>
      </w:r>
      <w:r>
        <w:rPr>
          <w:rFonts w:ascii="宋体" w:hAnsi="宋体" w:eastAsia="宋体" w:cs="宋体"/>
          <w:snapToGrid w:val="0"/>
          <w:color w:val="000000"/>
          <w:spacing w:val="0"/>
          <w:kern w:val="0"/>
          <w:sz w:val="24"/>
        </w:rPr>
        <w:t>月</w:t>
      </w:r>
      <w:r>
        <w:rPr>
          <w:rFonts w:hint="eastAsia" w:ascii="宋体" w:hAnsi="宋体" w:eastAsia="宋体" w:cs="宋体"/>
          <w:snapToGrid w:val="0"/>
          <w:color w:val="000000"/>
          <w:spacing w:val="0"/>
          <w:kern w:val="0"/>
          <w:sz w:val="24"/>
        </w:rPr>
        <w:t xml:space="preserve">   </w:t>
      </w:r>
      <w:r>
        <w:rPr>
          <w:rFonts w:ascii="宋体" w:hAnsi="宋体" w:eastAsia="宋体" w:cs="宋体"/>
          <w:snapToGrid w:val="0"/>
          <w:color w:val="000000"/>
          <w:spacing w:val="0"/>
          <w:kern w:val="0"/>
          <w:sz w:val="24"/>
        </w:rPr>
        <w:t>日</w:t>
      </w:r>
    </w:p>
    <w:p w14:paraId="4150DB79">
      <w:pPr>
        <w:ind w:firstLine="638"/>
        <w:rPr>
          <w:rFonts w:hint="eastAsia" w:ascii="宋体" w:hAnsi="宋体" w:eastAsia="宋体" w:cs="Times New Roman"/>
          <w:b/>
          <w:kern w:val="0"/>
          <w:sz w:val="32"/>
          <w:szCs w:val="32"/>
        </w:rPr>
      </w:pPr>
      <w:bookmarkStart w:id="182" w:name="MOFFICE_OUTDOC_NTDOC__TITLE"/>
      <w:r>
        <w:rPr>
          <w:rFonts w:hint="eastAsia" w:ascii="宋体" w:hAnsi="宋体" w:eastAsia="宋体" w:cs="Times New Roman"/>
          <w:b/>
          <w:kern w:val="0"/>
          <w:sz w:val="32"/>
          <w:szCs w:val="32"/>
        </w:rPr>
        <w:br w:type="page"/>
      </w:r>
    </w:p>
    <w:p w14:paraId="0C38CB9B">
      <w:pPr>
        <w:spacing w:line="440" w:lineRule="exact"/>
        <w:ind w:firstLine="638"/>
        <w:jc w:val="center"/>
        <w:rPr>
          <w:rFonts w:hint="eastAsia" w:ascii="宋体" w:hAnsi="宋体" w:eastAsia="宋体" w:cs="Times New Roman"/>
          <w:b/>
          <w:kern w:val="0"/>
          <w:sz w:val="32"/>
          <w:szCs w:val="32"/>
        </w:rPr>
      </w:pPr>
      <w:r>
        <w:rPr>
          <w:rFonts w:hint="eastAsia" w:ascii="宋体" w:hAnsi="宋体" w:eastAsia="宋体" w:cs="Times New Roman"/>
          <w:b/>
          <w:kern w:val="0"/>
          <w:sz w:val="32"/>
          <w:szCs w:val="32"/>
        </w:rPr>
        <w:t>安全合同</w:t>
      </w:r>
    </w:p>
    <w:p w14:paraId="714B6501">
      <w:pPr>
        <w:widowControl/>
        <w:spacing w:line="480" w:lineRule="exact"/>
        <w:ind w:firstLine="476"/>
        <w:jc w:val="left"/>
        <w:rPr>
          <w:rFonts w:hint="eastAsia" w:ascii="宋体" w:hAnsi="宋体" w:eastAsia="宋体" w:cs="宋体"/>
          <w:kern w:val="0"/>
          <w:sz w:val="24"/>
        </w:rPr>
      </w:pPr>
      <w:r>
        <w:rPr>
          <w:rFonts w:hint="eastAsia" w:ascii="宋体" w:hAnsi="宋体" w:eastAsia="宋体" w:cs="宋体"/>
          <w:kern w:val="0"/>
          <w:sz w:val="24"/>
        </w:rPr>
        <w:t>为在合同的实施过程中创造安全、高效的作业环境，切实搞好本项目的安全管理工作，本项目</w:t>
      </w:r>
      <w:r>
        <w:rPr>
          <w:rFonts w:hint="eastAsia" w:ascii="宋体" w:hAnsi="宋体" w:eastAsia="宋体" w:cs="宋体"/>
          <w:kern w:val="0"/>
          <w:sz w:val="24"/>
          <w:u w:val="single"/>
        </w:rPr>
        <w:t xml:space="preserve">         </w:t>
      </w:r>
      <w:r>
        <w:rPr>
          <w:rFonts w:hint="eastAsia" w:ascii="宋体" w:hAnsi="宋体" w:eastAsia="宋体" w:cs="宋体"/>
          <w:kern w:val="0"/>
          <w:sz w:val="24"/>
        </w:rPr>
        <w:t>（以下简称“甲方”）与</w:t>
      </w:r>
      <w:r>
        <w:rPr>
          <w:rFonts w:hint="eastAsia" w:ascii="宋体" w:hAnsi="宋体" w:eastAsia="宋体" w:cs="宋体"/>
          <w:kern w:val="0"/>
          <w:sz w:val="24"/>
          <w:u w:val="single"/>
        </w:rPr>
        <w:t xml:space="preserve">          </w:t>
      </w:r>
      <w:r>
        <w:rPr>
          <w:rFonts w:hint="eastAsia" w:ascii="宋体" w:hAnsi="宋体" w:eastAsia="宋体" w:cs="宋体"/>
          <w:kern w:val="0"/>
          <w:sz w:val="24"/>
        </w:rPr>
        <w:t>（以下简称“乙方”）特此签订安全合同：</w:t>
      </w:r>
    </w:p>
    <w:p w14:paraId="2D76AD51">
      <w:pPr>
        <w:widowControl/>
        <w:spacing w:line="480" w:lineRule="exact"/>
        <w:ind w:firstLine="478"/>
        <w:jc w:val="left"/>
        <w:rPr>
          <w:rFonts w:hint="eastAsia" w:ascii="宋体" w:hAnsi="宋体" w:eastAsia="宋体" w:cs="宋体"/>
          <w:kern w:val="0"/>
          <w:sz w:val="24"/>
        </w:rPr>
      </w:pPr>
      <w:r>
        <w:rPr>
          <w:rFonts w:hint="eastAsia" w:ascii="宋体" w:hAnsi="宋体" w:eastAsia="宋体" w:cs="宋体"/>
          <w:b/>
          <w:bCs/>
          <w:kern w:val="0"/>
          <w:sz w:val="24"/>
        </w:rPr>
        <w:t>一、甲方职责</w:t>
      </w:r>
    </w:p>
    <w:p w14:paraId="24726E87">
      <w:pPr>
        <w:widowControl/>
        <w:spacing w:line="480" w:lineRule="exact"/>
        <w:ind w:firstLine="476"/>
        <w:jc w:val="left"/>
        <w:rPr>
          <w:rFonts w:hint="eastAsia" w:ascii="宋体" w:hAnsi="宋体" w:eastAsia="宋体" w:cs="宋体"/>
          <w:kern w:val="0"/>
          <w:sz w:val="24"/>
        </w:rPr>
      </w:pPr>
      <w:r>
        <w:rPr>
          <w:rFonts w:hint="eastAsia" w:ascii="宋体" w:hAnsi="宋体" w:eastAsia="宋体" w:cs="宋体"/>
          <w:kern w:val="0"/>
          <w:sz w:val="24"/>
        </w:rPr>
        <w:t>1、严格遵守国家有关安全生产的法律法规，认真执行服务合同中的有关安全要求。</w:t>
      </w:r>
    </w:p>
    <w:p w14:paraId="3A0DA3A7">
      <w:pPr>
        <w:widowControl/>
        <w:spacing w:line="480" w:lineRule="exact"/>
        <w:ind w:firstLine="476"/>
        <w:jc w:val="left"/>
        <w:rPr>
          <w:rFonts w:hint="eastAsia" w:ascii="宋体" w:hAnsi="宋体" w:eastAsia="宋体" w:cs="宋体"/>
          <w:kern w:val="0"/>
          <w:sz w:val="24"/>
        </w:rPr>
      </w:pPr>
      <w:r>
        <w:rPr>
          <w:rFonts w:hint="eastAsia" w:ascii="宋体" w:hAnsi="宋体" w:eastAsia="宋体" w:cs="宋体"/>
          <w:kern w:val="0"/>
          <w:sz w:val="24"/>
        </w:rPr>
        <w:t>2、不得对乙方提出不符合安全生产法律、法规和强制性标准规定的要求。</w:t>
      </w:r>
    </w:p>
    <w:p w14:paraId="764A9F8A">
      <w:pPr>
        <w:widowControl/>
        <w:spacing w:line="480" w:lineRule="exact"/>
        <w:ind w:firstLine="476"/>
        <w:jc w:val="left"/>
        <w:rPr>
          <w:rFonts w:hint="eastAsia" w:ascii="宋体" w:hAnsi="宋体" w:eastAsia="宋体" w:cs="宋体"/>
          <w:kern w:val="0"/>
          <w:sz w:val="24"/>
        </w:rPr>
      </w:pPr>
      <w:r>
        <w:rPr>
          <w:rFonts w:hint="eastAsia" w:ascii="宋体" w:hAnsi="宋体" w:eastAsia="宋体" w:cs="宋体"/>
          <w:kern w:val="0"/>
          <w:sz w:val="24"/>
        </w:rPr>
        <w:t>3、不得明示或暗示乙方购买、租赁、使用不符合安全作业要求的安全防护用具、机械设备、检测仪器及配件。</w:t>
      </w:r>
    </w:p>
    <w:p w14:paraId="07AC9267">
      <w:pPr>
        <w:widowControl/>
        <w:spacing w:line="480" w:lineRule="exact"/>
        <w:ind w:firstLine="478"/>
        <w:jc w:val="left"/>
        <w:rPr>
          <w:rFonts w:hint="default" w:ascii="宋体" w:hAnsi="宋体" w:eastAsia="宋体" w:cs="宋体"/>
          <w:b w:val="0"/>
          <w:bCs w:val="0"/>
          <w:kern w:val="0"/>
          <w:sz w:val="24"/>
          <w:lang w:val="en-US" w:eastAsia="zh-CN"/>
        </w:rPr>
      </w:pPr>
      <w:r>
        <w:rPr>
          <w:rFonts w:hint="eastAsia" w:ascii="宋体" w:hAnsi="宋体" w:eastAsia="宋体" w:cs="宋体"/>
          <w:b w:val="0"/>
          <w:bCs w:val="0"/>
          <w:kern w:val="0"/>
          <w:sz w:val="24"/>
          <w:lang w:val="en-US" w:eastAsia="zh-CN"/>
        </w:rPr>
        <w:t>4、有权对乙方的现场作业安全进行监督检查，对发现的安全隐患要求乙方限期整改。</w:t>
      </w:r>
    </w:p>
    <w:p w14:paraId="7492BBB2">
      <w:pPr>
        <w:widowControl/>
        <w:spacing w:line="480" w:lineRule="exact"/>
        <w:ind w:firstLine="478"/>
        <w:jc w:val="left"/>
        <w:rPr>
          <w:rFonts w:hint="eastAsia" w:ascii="宋体" w:hAnsi="宋体" w:eastAsia="宋体" w:cs="宋体"/>
          <w:kern w:val="0"/>
          <w:sz w:val="24"/>
        </w:rPr>
      </w:pPr>
      <w:r>
        <w:rPr>
          <w:rFonts w:hint="eastAsia" w:ascii="宋体" w:hAnsi="宋体" w:eastAsia="宋体" w:cs="宋体"/>
          <w:b/>
          <w:bCs/>
          <w:kern w:val="0"/>
          <w:sz w:val="24"/>
        </w:rPr>
        <w:t>二、乙方职责</w:t>
      </w:r>
    </w:p>
    <w:p w14:paraId="7939FBBC">
      <w:pPr>
        <w:widowControl/>
        <w:spacing w:line="480" w:lineRule="exact"/>
        <w:ind w:firstLine="476"/>
        <w:jc w:val="left"/>
        <w:rPr>
          <w:rFonts w:hint="eastAsia" w:ascii="宋体" w:hAnsi="宋体" w:eastAsia="宋体" w:cs="宋体"/>
          <w:kern w:val="0"/>
          <w:sz w:val="24"/>
        </w:rPr>
      </w:pPr>
      <w:r>
        <w:rPr>
          <w:rFonts w:hint="eastAsia" w:ascii="宋体" w:hAnsi="宋体" w:eastAsia="宋体" w:cs="宋体"/>
          <w:kern w:val="0"/>
          <w:sz w:val="24"/>
        </w:rPr>
        <w:t>1</w:t>
      </w:r>
      <w:r>
        <w:rPr>
          <w:rFonts w:hint="eastAsia" w:ascii="宋体" w:hAnsi="宋体" w:eastAsia="宋体" w:cs="宋体"/>
          <w:kern w:val="0"/>
          <w:sz w:val="24"/>
          <w:lang w:eastAsia="zh-CN"/>
        </w:rPr>
        <w:t>、</w:t>
      </w:r>
      <w:r>
        <w:rPr>
          <w:rFonts w:hint="eastAsia" w:ascii="宋体" w:hAnsi="宋体" w:eastAsia="宋体" w:cs="宋体"/>
          <w:kern w:val="0"/>
          <w:sz w:val="24"/>
        </w:rPr>
        <w:t>乙方应遵守国家有关安全生产的法律法规，严格按安全标准组织现场作业，采取一切必要的安全措施，消除事故隐患，确保作业安全，并对作业现场发生的一切安全问题负全部法律责任。</w:t>
      </w:r>
    </w:p>
    <w:p w14:paraId="6F8FA19E">
      <w:pPr>
        <w:widowControl/>
        <w:spacing w:line="480" w:lineRule="exact"/>
        <w:ind w:firstLine="476"/>
        <w:jc w:val="left"/>
        <w:rPr>
          <w:rFonts w:hint="eastAsia" w:ascii="宋体" w:hAnsi="宋体" w:eastAsia="宋体" w:cs="宋体"/>
          <w:kern w:val="0"/>
          <w:sz w:val="24"/>
        </w:rPr>
      </w:pPr>
      <w:r>
        <w:rPr>
          <w:rFonts w:hint="eastAsia" w:ascii="宋体" w:hAnsi="宋体" w:eastAsia="宋体" w:cs="宋体"/>
          <w:kern w:val="0"/>
          <w:sz w:val="24"/>
        </w:rPr>
        <w:t>2</w:t>
      </w:r>
      <w:r>
        <w:rPr>
          <w:rFonts w:hint="eastAsia" w:ascii="宋体" w:hAnsi="宋体" w:eastAsia="宋体" w:cs="宋体"/>
          <w:kern w:val="0"/>
          <w:sz w:val="24"/>
          <w:lang w:eastAsia="zh-CN"/>
        </w:rPr>
        <w:t>、</w:t>
      </w:r>
      <w:r>
        <w:rPr>
          <w:rFonts w:hint="eastAsia" w:ascii="宋体" w:hAnsi="宋体" w:eastAsia="宋体" w:cs="宋体"/>
          <w:kern w:val="0"/>
          <w:sz w:val="24"/>
        </w:rPr>
        <w:t>坚持“安全第一、预防为主”和“管生产必须管安全”的原则，加强安全生产宣传教育，增强全员安全生产意识，建立健全各项安全生产的管理机构和安全生产管理制度，配备专职及兼职安全管理人员，有组织有计划地开展安全生产活动。项目负责人、技术负责人、现场管理人员和具体操作人员，必须熟悉和遵守本条款的各项规定，做到作业与安全工作同时计划、布置、检查、总结和评比。</w:t>
      </w:r>
    </w:p>
    <w:p w14:paraId="1527AE83">
      <w:pPr>
        <w:widowControl/>
        <w:spacing w:line="480" w:lineRule="exact"/>
        <w:ind w:firstLine="476"/>
        <w:jc w:val="left"/>
        <w:rPr>
          <w:rFonts w:hint="eastAsia" w:ascii="宋体" w:hAnsi="宋体" w:eastAsia="宋体" w:cs="宋体"/>
          <w:kern w:val="0"/>
          <w:sz w:val="24"/>
        </w:rPr>
      </w:pPr>
      <w:r>
        <w:rPr>
          <w:rFonts w:hint="eastAsia" w:ascii="宋体" w:hAnsi="宋体" w:eastAsia="宋体" w:cs="宋体"/>
          <w:kern w:val="0"/>
          <w:sz w:val="24"/>
        </w:rPr>
        <w:t>3</w:t>
      </w:r>
      <w:r>
        <w:rPr>
          <w:rFonts w:hint="eastAsia" w:ascii="宋体" w:hAnsi="宋体" w:eastAsia="宋体" w:cs="宋体"/>
          <w:kern w:val="0"/>
          <w:sz w:val="24"/>
          <w:lang w:eastAsia="zh-CN"/>
        </w:rPr>
        <w:t>、</w:t>
      </w:r>
      <w:r>
        <w:rPr>
          <w:rFonts w:hint="eastAsia" w:ascii="宋体" w:hAnsi="宋体" w:eastAsia="宋体" w:cs="宋体"/>
          <w:kern w:val="0"/>
          <w:sz w:val="24"/>
        </w:rPr>
        <w:t>建立健全安全生产责任制。从派驻本项目的项目负责人到作业人员（包括临时雇请人员）的安全生产管理系统必须做到纵向到底，一环不漏；各职能部门、人员的安全生产责任制做到横向到边，人人有责。项目负责人是安全生产的第一责任人。</w:t>
      </w:r>
    </w:p>
    <w:p w14:paraId="31AF4D56">
      <w:pPr>
        <w:widowControl/>
        <w:spacing w:line="480" w:lineRule="exact"/>
        <w:ind w:firstLine="476"/>
        <w:jc w:val="left"/>
        <w:rPr>
          <w:rFonts w:hint="eastAsia" w:ascii="宋体" w:hAnsi="宋体" w:eastAsia="宋体" w:cs="宋体"/>
          <w:kern w:val="0"/>
          <w:sz w:val="24"/>
        </w:rPr>
      </w:pPr>
      <w:r>
        <w:rPr>
          <w:rFonts w:hint="eastAsia" w:ascii="宋体" w:hAnsi="宋体" w:eastAsia="宋体" w:cs="宋体"/>
          <w:kern w:val="0"/>
          <w:sz w:val="24"/>
        </w:rPr>
        <w:t>4</w:t>
      </w:r>
      <w:r>
        <w:rPr>
          <w:rFonts w:hint="eastAsia" w:ascii="宋体" w:hAnsi="宋体" w:eastAsia="宋体" w:cs="宋体"/>
          <w:kern w:val="0"/>
          <w:sz w:val="24"/>
          <w:lang w:eastAsia="zh-CN"/>
        </w:rPr>
        <w:t>、</w:t>
      </w:r>
      <w:r>
        <w:rPr>
          <w:rFonts w:hint="eastAsia" w:ascii="宋体" w:hAnsi="宋体" w:eastAsia="宋体" w:cs="宋体"/>
          <w:kern w:val="0"/>
          <w:sz w:val="24"/>
        </w:rPr>
        <w:t>乙方在任何时候都应采取各种合理的预防措施，防止其员工发生任何违法、违禁、暴力或妨碍治安的行为。</w:t>
      </w:r>
    </w:p>
    <w:p w14:paraId="593CF61D">
      <w:pPr>
        <w:widowControl/>
        <w:spacing w:line="480" w:lineRule="exact"/>
        <w:ind w:firstLine="476"/>
        <w:jc w:val="left"/>
        <w:rPr>
          <w:rFonts w:hint="eastAsia" w:ascii="宋体" w:hAnsi="宋体" w:eastAsia="宋体" w:cs="宋体"/>
          <w:kern w:val="0"/>
          <w:sz w:val="24"/>
          <w:lang w:eastAsia="zh-CN"/>
        </w:rPr>
      </w:pPr>
      <w:r>
        <w:rPr>
          <w:rFonts w:hint="eastAsia" w:ascii="宋体" w:hAnsi="宋体" w:eastAsia="宋体" w:cs="宋体"/>
          <w:kern w:val="0"/>
          <w:sz w:val="24"/>
        </w:rPr>
        <w:t>5</w:t>
      </w:r>
      <w:r>
        <w:rPr>
          <w:rFonts w:hint="eastAsia" w:ascii="宋体" w:hAnsi="宋体" w:eastAsia="宋体" w:cs="宋体"/>
          <w:kern w:val="0"/>
          <w:sz w:val="24"/>
          <w:lang w:eastAsia="zh-CN"/>
        </w:rPr>
        <w:t>、</w:t>
      </w:r>
      <w:r>
        <w:rPr>
          <w:rFonts w:hint="eastAsia" w:ascii="宋体" w:hAnsi="宋体" w:eastAsia="宋体" w:cs="宋体"/>
          <w:kern w:val="0"/>
          <w:sz w:val="24"/>
        </w:rPr>
        <w:t>资质与人员资格要求</w:t>
      </w:r>
      <w:r>
        <w:rPr>
          <w:rFonts w:hint="eastAsia" w:ascii="宋体" w:hAnsi="宋体" w:eastAsia="宋体" w:cs="宋体"/>
          <w:kern w:val="0"/>
          <w:sz w:val="24"/>
          <w:lang w:eastAsia="zh-CN"/>
        </w:rPr>
        <w:t>：</w:t>
      </w:r>
    </w:p>
    <w:p w14:paraId="7F57B53E">
      <w:pPr>
        <w:widowControl/>
        <w:spacing w:line="480" w:lineRule="exact"/>
        <w:ind w:firstLine="476"/>
        <w:jc w:val="left"/>
        <w:rPr>
          <w:rFonts w:hint="eastAsia" w:ascii="宋体" w:hAnsi="宋体" w:eastAsia="宋体" w:cs="宋体"/>
          <w:kern w:val="0"/>
          <w:sz w:val="24"/>
          <w:lang w:eastAsia="zh-CN"/>
        </w:rPr>
      </w:pPr>
      <w:r>
        <w:rPr>
          <w:rFonts w:hint="eastAsia" w:ascii="宋体" w:hAnsi="宋体" w:eastAsia="宋体" w:cs="宋体"/>
          <w:kern w:val="0"/>
          <w:sz w:val="24"/>
          <w:lang w:eastAsia="zh-CN"/>
        </w:rPr>
        <w:t>（</w:t>
      </w:r>
      <w:r>
        <w:rPr>
          <w:rFonts w:hint="eastAsia" w:ascii="宋体" w:hAnsi="宋体" w:eastAsia="宋体" w:cs="宋体"/>
          <w:kern w:val="0"/>
          <w:sz w:val="24"/>
          <w:lang w:val="en-US" w:eastAsia="zh-CN"/>
        </w:rPr>
        <w:t>1</w:t>
      </w:r>
      <w:r>
        <w:rPr>
          <w:rFonts w:hint="eastAsia" w:ascii="宋体" w:hAnsi="宋体" w:eastAsia="宋体" w:cs="宋体"/>
          <w:kern w:val="0"/>
          <w:sz w:val="24"/>
          <w:lang w:eastAsia="zh-CN"/>
        </w:rPr>
        <w:t>）投入本项目的检测人员须持有由相关行业协会颁发的《城镇排水管道检测与评估技术岗位培训合格证书》或同等效力的有效培训合格证明，作为从事排水管道检测的专业技术资格凭证。</w:t>
      </w:r>
    </w:p>
    <w:p w14:paraId="439EBE75">
      <w:pPr>
        <w:widowControl/>
        <w:spacing w:line="480" w:lineRule="exact"/>
        <w:ind w:firstLine="476"/>
        <w:jc w:val="left"/>
        <w:rPr>
          <w:rFonts w:hint="eastAsia" w:ascii="宋体" w:hAnsi="宋体" w:eastAsia="宋体" w:cs="宋体"/>
          <w:kern w:val="0"/>
          <w:sz w:val="24"/>
          <w:lang w:eastAsia="zh-CN"/>
        </w:rPr>
      </w:pPr>
      <w:r>
        <w:rPr>
          <w:rFonts w:hint="eastAsia" w:ascii="宋体" w:hAnsi="宋体" w:eastAsia="宋体" w:cs="宋体"/>
          <w:kern w:val="0"/>
          <w:sz w:val="24"/>
          <w:lang w:eastAsia="zh-CN"/>
        </w:rPr>
        <w:t>（2）有限空间作业人员须经专项安全技术培训，掌握人工急救技能及防护用具、照明、通信设备的使用方法；监护人须经培训合格。</w:t>
      </w:r>
    </w:p>
    <w:p w14:paraId="3456C0AD">
      <w:pPr>
        <w:widowControl/>
        <w:spacing w:line="480" w:lineRule="exact"/>
        <w:ind w:firstLine="476"/>
        <w:jc w:val="left"/>
        <w:rPr>
          <w:rFonts w:hint="eastAsia" w:ascii="宋体" w:hAnsi="宋体" w:eastAsia="宋体" w:cs="宋体"/>
          <w:kern w:val="0"/>
          <w:sz w:val="24"/>
          <w:lang w:eastAsia="zh-CN"/>
        </w:rPr>
      </w:pPr>
      <w:r>
        <w:rPr>
          <w:rFonts w:hint="eastAsia" w:ascii="宋体" w:hAnsi="宋体" w:eastAsia="宋体" w:cs="宋体"/>
          <w:kern w:val="0"/>
          <w:sz w:val="24"/>
          <w:lang w:eastAsia="zh-CN"/>
        </w:rPr>
        <w:t>（3）特种作业人员（涉及电气、焊接、起重、登高架设等）须持有有效的特种作业操作资格证书。</w:t>
      </w:r>
    </w:p>
    <w:p w14:paraId="59CA5B85">
      <w:pPr>
        <w:widowControl/>
        <w:spacing w:line="480" w:lineRule="exact"/>
        <w:ind w:firstLine="476"/>
        <w:jc w:val="left"/>
        <w:rPr>
          <w:rFonts w:hint="eastAsia" w:ascii="宋体" w:hAnsi="宋体" w:eastAsia="宋体" w:cs="宋体"/>
          <w:kern w:val="0"/>
          <w:sz w:val="24"/>
          <w:lang w:eastAsia="zh-CN"/>
        </w:rPr>
      </w:pPr>
      <w:r>
        <w:rPr>
          <w:rFonts w:hint="eastAsia" w:ascii="宋体" w:hAnsi="宋体" w:eastAsia="宋体" w:cs="宋体"/>
          <w:kern w:val="0"/>
          <w:sz w:val="24"/>
          <w:lang w:eastAsia="zh-CN"/>
        </w:rPr>
        <w:t>（4）乙方须在进场作业前将上述人员相关证书的复印件报甲方备案，并对证书的真实性、有效性负责。</w:t>
      </w:r>
    </w:p>
    <w:p w14:paraId="3BA63D33">
      <w:pPr>
        <w:widowControl/>
        <w:spacing w:line="480" w:lineRule="exact"/>
        <w:ind w:firstLine="476"/>
        <w:jc w:val="left"/>
        <w:rPr>
          <w:rFonts w:hint="eastAsia" w:ascii="宋体" w:hAnsi="宋体" w:eastAsia="宋体" w:cs="宋体"/>
          <w:kern w:val="0"/>
          <w:sz w:val="24"/>
          <w:lang w:eastAsia="zh-CN"/>
        </w:rPr>
      </w:pPr>
      <w:r>
        <w:rPr>
          <w:rFonts w:hint="eastAsia" w:ascii="宋体" w:hAnsi="宋体" w:eastAsia="宋体" w:cs="宋体"/>
          <w:kern w:val="0"/>
          <w:sz w:val="24"/>
          <w:lang w:eastAsia="zh-CN"/>
        </w:rPr>
        <w:t>（5）乙方须确保具有有效的《安全生产许可证》。</w:t>
      </w:r>
    </w:p>
    <w:p w14:paraId="03A0FDD8">
      <w:pPr>
        <w:widowControl/>
        <w:spacing w:line="480" w:lineRule="exact"/>
        <w:ind w:firstLine="476"/>
        <w:jc w:val="left"/>
        <w:rPr>
          <w:rFonts w:hint="eastAsia" w:ascii="宋体" w:hAnsi="宋体" w:eastAsia="宋体" w:cs="宋体"/>
          <w:kern w:val="0"/>
          <w:sz w:val="24"/>
        </w:rPr>
      </w:pPr>
      <w:r>
        <w:rPr>
          <w:rFonts w:hint="eastAsia" w:ascii="宋体" w:hAnsi="宋体" w:eastAsia="宋体" w:cs="宋体"/>
          <w:kern w:val="0"/>
          <w:sz w:val="24"/>
        </w:rPr>
        <w:t>6</w:t>
      </w:r>
      <w:r>
        <w:rPr>
          <w:rFonts w:hint="eastAsia" w:ascii="宋体" w:hAnsi="宋体" w:eastAsia="宋体" w:cs="宋体"/>
          <w:kern w:val="0"/>
          <w:sz w:val="24"/>
          <w:lang w:eastAsia="zh-CN"/>
        </w:rPr>
        <w:t>、</w:t>
      </w:r>
      <w:r>
        <w:rPr>
          <w:rFonts w:hint="eastAsia" w:ascii="宋体" w:hAnsi="宋体" w:eastAsia="宋体" w:cs="宋体"/>
          <w:kern w:val="0"/>
          <w:sz w:val="24"/>
        </w:rPr>
        <w:t>对于易燃、易爆材料除应专门妥善保管之外，还应配备有足够的消防设施。所有作业人员都应熟悉消防设备的性能和使用方法。</w:t>
      </w:r>
    </w:p>
    <w:p w14:paraId="45FAC4E7">
      <w:pPr>
        <w:widowControl/>
        <w:spacing w:line="480" w:lineRule="exact"/>
        <w:ind w:firstLine="476"/>
        <w:jc w:val="left"/>
        <w:rPr>
          <w:rFonts w:hint="eastAsia" w:ascii="宋体" w:hAnsi="宋体" w:eastAsia="宋体" w:cs="宋体"/>
          <w:kern w:val="0"/>
          <w:sz w:val="24"/>
        </w:rPr>
      </w:pPr>
      <w:r>
        <w:rPr>
          <w:rFonts w:hint="eastAsia" w:ascii="宋体" w:hAnsi="宋体" w:eastAsia="宋体" w:cs="宋体"/>
          <w:kern w:val="0"/>
          <w:sz w:val="24"/>
        </w:rPr>
        <w:t>7</w:t>
      </w:r>
      <w:r>
        <w:rPr>
          <w:rFonts w:hint="eastAsia" w:ascii="宋体" w:hAnsi="宋体" w:eastAsia="宋体" w:cs="宋体"/>
          <w:kern w:val="0"/>
          <w:sz w:val="24"/>
          <w:lang w:eastAsia="zh-CN"/>
        </w:rPr>
        <w:t>、</w:t>
      </w:r>
      <w:r>
        <w:rPr>
          <w:rFonts w:hint="eastAsia" w:ascii="宋体" w:hAnsi="宋体" w:eastAsia="宋体" w:cs="宋体"/>
          <w:kern w:val="0"/>
          <w:sz w:val="24"/>
        </w:rPr>
        <w:t>操作人员上岗，必须按规定穿戴防护用品。项目负责人和安全检查员应随时检查劳动防护用品的穿戴情况，不按规定穿戴防护用品的人员不得上岗。有限空间作业人员必须配备隔离式防毒面具、安全绳、防爆照明灯具、气体检测仪、通风设备等防护装备。进入管内检查时，必须拴有带距离刻度的安全绳，地面人员应及时记录缺陷的位置。</w:t>
      </w:r>
    </w:p>
    <w:p w14:paraId="3CA27239">
      <w:pPr>
        <w:widowControl/>
        <w:spacing w:line="480" w:lineRule="exact"/>
        <w:ind w:firstLine="476"/>
        <w:jc w:val="left"/>
        <w:rPr>
          <w:rFonts w:hint="eastAsia" w:ascii="宋体" w:hAnsi="宋体" w:eastAsia="宋体" w:cs="宋体"/>
          <w:kern w:val="0"/>
          <w:sz w:val="24"/>
        </w:rPr>
      </w:pPr>
      <w:r>
        <w:rPr>
          <w:rFonts w:hint="eastAsia" w:ascii="宋体" w:hAnsi="宋体" w:eastAsia="宋体" w:cs="宋体"/>
          <w:kern w:val="0"/>
          <w:sz w:val="24"/>
        </w:rPr>
        <w:t>8</w:t>
      </w:r>
      <w:r>
        <w:rPr>
          <w:rFonts w:hint="eastAsia" w:ascii="宋体" w:hAnsi="宋体" w:eastAsia="宋体" w:cs="宋体"/>
          <w:kern w:val="0"/>
          <w:sz w:val="24"/>
          <w:lang w:eastAsia="zh-CN"/>
        </w:rPr>
        <w:t>、</w:t>
      </w:r>
      <w:r>
        <w:rPr>
          <w:rFonts w:hint="eastAsia" w:ascii="宋体" w:hAnsi="宋体" w:eastAsia="宋体" w:cs="宋体"/>
          <w:kern w:val="0"/>
          <w:sz w:val="24"/>
        </w:rPr>
        <w:t>所用检测仪器、机具设备均应定期检查、校准，并有安全员或设备管理人员的签字记录，保证其经常处于完好状态；不合格的机具、设备和劳动保护用品严禁使用。现场使用的检测设备，其安全性能应符合现行国家标准《爆炸性气体环境用电气设备》GB 3836的有关规定。</w:t>
      </w:r>
    </w:p>
    <w:p w14:paraId="3F80B30A">
      <w:pPr>
        <w:widowControl/>
        <w:spacing w:line="480" w:lineRule="exact"/>
        <w:ind w:firstLine="476"/>
        <w:jc w:val="left"/>
        <w:rPr>
          <w:rFonts w:hint="eastAsia" w:ascii="宋体" w:hAnsi="宋体" w:eastAsia="宋体" w:cs="宋体"/>
          <w:kern w:val="0"/>
          <w:sz w:val="24"/>
        </w:rPr>
      </w:pPr>
      <w:r>
        <w:rPr>
          <w:rFonts w:hint="eastAsia" w:ascii="宋体" w:hAnsi="宋体" w:eastAsia="宋体" w:cs="宋体"/>
          <w:kern w:val="0"/>
          <w:sz w:val="24"/>
        </w:rPr>
        <w:t>9</w:t>
      </w:r>
      <w:r>
        <w:rPr>
          <w:rFonts w:hint="eastAsia" w:ascii="宋体" w:hAnsi="宋体" w:eastAsia="宋体" w:cs="宋体"/>
          <w:kern w:val="0"/>
          <w:sz w:val="24"/>
          <w:lang w:eastAsia="zh-CN"/>
        </w:rPr>
        <w:t>、</w:t>
      </w:r>
      <w:r>
        <w:rPr>
          <w:rFonts w:hint="eastAsia" w:ascii="宋体" w:hAnsi="宋体" w:eastAsia="宋体" w:cs="宋体"/>
          <w:kern w:val="0"/>
          <w:sz w:val="24"/>
        </w:rPr>
        <w:t>作业中采用新技术、新工艺、新设备、新材料时，必须制定相应的安全技术措施，作业现场必须具有相关的安全标志牌和警示标识。</w:t>
      </w:r>
    </w:p>
    <w:p w14:paraId="67D90848">
      <w:pPr>
        <w:keepNext w:val="0"/>
        <w:keepLines w:val="0"/>
        <w:pageBreakBefore w:val="0"/>
        <w:widowControl w:val="0"/>
        <w:kinsoku/>
        <w:wordWrap/>
        <w:overflowPunct/>
        <w:topLinePunct w:val="0"/>
        <w:autoSpaceDE/>
        <w:autoSpaceDN/>
        <w:bidi w:val="0"/>
        <w:adjustRightInd/>
        <w:snapToGrid/>
        <w:spacing w:line="480" w:lineRule="exact"/>
        <w:ind w:firstLine="476"/>
        <w:jc w:val="left"/>
        <w:textAlignment w:val="auto"/>
        <w:rPr>
          <w:rFonts w:hint="eastAsia" w:ascii="宋体" w:hAnsi="宋体" w:eastAsia="宋体" w:cs="宋体"/>
          <w:kern w:val="0"/>
          <w:sz w:val="24"/>
        </w:rPr>
      </w:pPr>
      <w:r>
        <w:rPr>
          <w:rFonts w:hint="eastAsia" w:ascii="宋体" w:hAnsi="宋体" w:eastAsia="宋体" w:cs="宋体"/>
          <w:kern w:val="0"/>
          <w:sz w:val="24"/>
        </w:rPr>
        <w:t>10</w:t>
      </w:r>
      <w:r>
        <w:rPr>
          <w:rFonts w:hint="eastAsia" w:ascii="宋体" w:hAnsi="宋体" w:eastAsia="宋体" w:cs="宋体"/>
          <w:kern w:val="0"/>
          <w:sz w:val="24"/>
          <w:lang w:eastAsia="zh-CN"/>
        </w:rPr>
        <w:t>、</w:t>
      </w:r>
      <w:r>
        <w:rPr>
          <w:rFonts w:hint="eastAsia" w:ascii="宋体" w:hAnsi="宋体" w:eastAsia="宋体" w:cs="宋体"/>
          <w:kern w:val="0"/>
          <w:sz w:val="24"/>
        </w:rPr>
        <w:t>作业现场必须建立安全技术资料档案，并确定专人管理，安全技术资料应当真实、完整齐全，包括但不限于：安全教育培训记录、安全技术交底记录、安全检查记录、隐患整改记录、应急演练记录、有限空间作业审批记录、气体检测记录等。</w:t>
      </w:r>
    </w:p>
    <w:p w14:paraId="41142015">
      <w:pPr>
        <w:keepNext w:val="0"/>
        <w:keepLines w:val="0"/>
        <w:pageBreakBefore w:val="0"/>
        <w:widowControl w:val="0"/>
        <w:kinsoku/>
        <w:wordWrap/>
        <w:overflowPunct/>
        <w:topLinePunct w:val="0"/>
        <w:autoSpaceDE/>
        <w:autoSpaceDN/>
        <w:bidi w:val="0"/>
        <w:adjustRightInd/>
        <w:snapToGrid/>
        <w:spacing w:line="480" w:lineRule="exact"/>
        <w:ind w:firstLine="476"/>
        <w:jc w:val="left"/>
        <w:textAlignment w:val="auto"/>
        <w:rPr>
          <w:rFonts w:hint="eastAsia" w:ascii="宋体" w:hAnsi="宋体" w:eastAsia="宋体" w:cs="宋体"/>
          <w:kern w:val="0"/>
          <w:sz w:val="24"/>
        </w:rPr>
      </w:pPr>
      <w:r>
        <w:rPr>
          <w:rFonts w:hint="eastAsia" w:ascii="宋体" w:hAnsi="宋体" w:eastAsia="宋体" w:cs="宋体"/>
          <w:kern w:val="0"/>
          <w:sz w:val="24"/>
        </w:rPr>
        <w:t>11</w:t>
      </w:r>
      <w:r>
        <w:rPr>
          <w:rFonts w:hint="eastAsia" w:ascii="宋体" w:hAnsi="宋体" w:eastAsia="宋体" w:cs="宋体"/>
          <w:kern w:val="0"/>
          <w:sz w:val="24"/>
          <w:lang w:eastAsia="zh-CN"/>
        </w:rPr>
        <w:t>、</w:t>
      </w:r>
      <w:r>
        <w:rPr>
          <w:rFonts w:hint="eastAsia" w:ascii="宋体" w:hAnsi="宋体" w:eastAsia="宋体" w:cs="宋体"/>
          <w:kern w:val="0"/>
          <w:sz w:val="24"/>
        </w:rPr>
        <w:t>乙方应当接受甲方、监理单位及政府安全监督机构对其安全生产的监督检查。对于检查单位下达的整改意见通知，乙方要立即予以整改，由此发生的费用由乙方自负。对于因此而造成工期延误的，乙方还应按合同约定向甲方支付违约金。</w:t>
      </w:r>
    </w:p>
    <w:p w14:paraId="4C45BDC1">
      <w:pPr>
        <w:widowControl/>
        <w:spacing w:line="480" w:lineRule="exact"/>
        <w:ind w:firstLine="476"/>
        <w:jc w:val="left"/>
        <w:rPr>
          <w:rFonts w:hint="eastAsia" w:ascii="宋体" w:hAnsi="宋体" w:eastAsia="宋体" w:cs="宋体"/>
          <w:kern w:val="0"/>
          <w:sz w:val="24"/>
        </w:rPr>
      </w:pPr>
      <w:r>
        <w:rPr>
          <w:rFonts w:hint="eastAsia" w:ascii="宋体" w:hAnsi="宋体" w:eastAsia="宋体" w:cs="宋体"/>
          <w:kern w:val="0"/>
          <w:sz w:val="24"/>
        </w:rPr>
        <w:t>12</w:t>
      </w:r>
      <w:r>
        <w:rPr>
          <w:rFonts w:hint="eastAsia" w:ascii="宋体" w:hAnsi="宋体" w:eastAsia="宋体" w:cs="宋体"/>
          <w:kern w:val="0"/>
          <w:sz w:val="24"/>
          <w:lang w:eastAsia="zh-CN"/>
        </w:rPr>
        <w:t>、</w:t>
      </w:r>
      <w:r>
        <w:rPr>
          <w:rFonts w:hint="eastAsia" w:ascii="宋体" w:hAnsi="宋体" w:eastAsia="宋体" w:cs="宋体"/>
          <w:kern w:val="0"/>
          <w:sz w:val="24"/>
        </w:rPr>
        <w:t>乙方必须按照本项目特点，组织制定本项目实施中的</w:t>
      </w:r>
      <w:r>
        <w:rPr>
          <w:rFonts w:hint="eastAsia" w:ascii="宋体" w:hAnsi="宋体" w:eastAsia="宋体" w:cs="宋体"/>
          <w:kern w:val="0"/>
          <w:sz w:val="24"/>
          <w:lang w:eastAsia="zh-CN"/>
        </w:rPr>
        <w:t>“</w:t>
      </w:r>
      <w:r>
        <w:rPr>
          <w:rFonts w:hint="eastAsia" w:ascii="宋体" w:hAnsi="宋体" w:eastAsia="宋体" w:cs="宋体"/>
          <w:kern w:val="0"/>
          <w:sz w:val="24"/>
        </w:rPr>
        <w:t>生产安全专项方案</w:t>
      </w:r>
      <w:r>
        <w:rPr>
          <w:rFonts w:hint="eastAsia" w:ascii="宋体" w:hAnsi="宋体" w:eastAsia="宋体" w:cs="宋体"/>
          <w:kern w:val="0"/>
          <w:sz w:val="24"/>
          <w:lang w:eastAsia="zh-CN"/>
        </w:rPr>
        <w:t>”</w:t>
      </w:r>
      <w:r>
        <w:rPr>
          <w:rFonts w:hint="eastAsia" w:ascii="宋体" w:hAnsi="宋体" w:eastAsia="宋体" w:cs="宋体"/>
          <w:kern w:val="0"/>
          <w:sz w:val="24"/>
        </w:rPr>
        <w:t>和</w:t>
      </w:r>
      <w:r>
        <w:rPr>
          <w:rFonts w:hint="eastAsia" w:ascii="宋体" w:hAnsi="宋体" w:eastAsia="宋体" w:cs="宋体"/>
          <w:kern w:val="0"/>
          <w:sz w:val="24"/>
          <w:lang w:eastAsia="zh-CN"/>
        </w:rPr>
        <w:t>“</w:t>
      </w:r>
      <w:r>
        <w:rPr>
          <w:rFonts w:hint="eastAsia" w:ascii="宋体" w:hAnsi="宋体" w:eastAsia="宋体" w:cs="宋体"/>
          <w:kern w:val="0"/>
          <w:sz w:val="24"/>
        </w:rPr>
        <w:t>事故应急救援预案</w:t>
      </w:r>
      <w:r>
        <w:rPr>
          <w:rFonts w:hint="eastAsia" w:ascii="宋体" w:hAnsi="宋体" w:eastAsia="宋体" w:cs="宋体"/>
          <w:kern w:val="0"/>
          <w:sz w:val="24"/>
          <w:lang w:eastAsia="zh-CN"/>
        </w:rPr>
        <w:t>”</w:t>
      </w:r>
      <w:r>
        <w:rPr>
          <w:rFonts w:hint="eastAsia" w:ascii="宋体" w:hAnsi="宋体" w:eastAsia="宋体" w:cs="宋体"/>
          <w:kern w:val="0"/>
          <w:sz w:val="24"/>
        </w:rPr>
        <w:t>，特别是针对有限空间作业、中毒窒息、触电、高处坠落、交通事故等风险的专项预案，并定期组织应急演练。如果发生安全事故，应按照《生产安全事故报告和调查处理条例》等有关规定，及时上报有关部门，并坚持“四不放过”的原则，严肃处理相关责任人。</w:t>
      </w:r>
    </w:p>
    <w:p w14:paraId="5F8A8EB8">
      <w:pPr>
        <w:widowControl/>
        <w:spacing w:line="480" w:lineRule="exact"/>
        <w:ind w:firstLine="476"/>
        <w:jc w:val="left"/>
        <w:rPr>
          <w:rFonts w:hint="eastAsia" w:ascii="宋体" w:hAnsi="宋体" w:eastAsia="宋体" w:cs="宋体"/>
          <w:kern w:val="0"/>
          <w:sz w:val="24"/>
        </w:rPr>
      </w:pPr>
      <w:r>
        <w:rPr>
          <w:rFonts w:hint="eastAsia" w:ascii="宋体" w:hAnsi="宋体" w:eastAsia="宋体" w:cs="宋体"/>
          <w:kern w:val="0"/>
          <w:sz w:val="24"/>
        </w:rPr>
        <w:t>13</w:t>
      </w:r>
      <w:r>
        <w:rPr>
          <w:rFonts w:hint="eastAsia" w:ascii="宋体" w:hAnsi="宋体" w:eastAsia="宋体" w:cs="宋体"/>
          <w:kern w:val="0"/>
          <w:sz w:val="24"/>
          <w:lang w:eastAsia="zh-CN"/>
        </w:rPr>
        <w:t>、</w:t>
      </w:r>
      <w:r>
        <w:rPr>
          <w:rFonts w:hint="eastAsia" w:ascii="宋体" w:hAnsi="宋体" w:eastAsia="宋体" w:cs="宋体"/>
          <w:kern w:val="0"/>
          <w:sz w:val="24"/>
        </w:rPr>
        <w:t>乙方应按有关规定在作业现场及周边环境设置必要的道路作业安全标志、警示标志、禁行标志等交通安全设施。必要时实施封闭作业或临时交通疏导，同时加强雨、雪等恶劣天气及夜间的值班巡查，确保车辆和行人安全。</w:t>
      </w:r>
    </w:p>
    <w:p w14:paraId="608DE45E">
      <w:pPr>
        <w:widowControl/>
        <w:spacing w:line="480" w:lineRule="exact"/>
        <w:ind w:firstLine="476"/>
        <w:jc w:val="left"/>
        <w:rPr>
          <w:rFonts w:hint="eastAsia" w:ascii="宋体" w:hAnsi="宋体" w:eastAsia="宋体" w:cs="宋体"/>
          <w:kern w:val="0"/>
          <w:sz w:val="24"/>
        </w:rPr>
      </w:pPr>
      <w:r>
        <w:rPr>
          <w:rFonts w:hint="eastAsia" w:ascii="宋体" w:hAnsi="宋体" w:eastAsia="宋体" w:cs="宋体"/>
          <w:kern w:val="0"/>
          <w:sz w:val="24"/>
        </w:rPr>
        <w:t>14</w:t>
      </w:r>
      <w:r>
        <w:rPr>
          <w:rFonts w:hint="eastAsia" w:ascii="宋体" w:hAnsi="宋体" w:eastAsia="宋体" w:cs="宋体"/>
          <w:kern w:val="0"/>
          <w:sz w:val="24"/>
          <w:lang w:eastAsia="zh-CN"/>
        </w:rPr>
        <w:t>、</w:t>
      </w:r>
      <w:r>
        <w:rPr>
          <w:rFonts w:hint="eastAsia" w:ascii="宋体" w:hAnsi="宋体" w:eastAsia="宋体" w:cs="宋体"/>
          <w:kern w:val="0"/>
          <w:sz w:val="24"/>
        </w:rPr>
        <w:t>有限空间作业专项要求：</w:t>
      </w:r>
    </w:p>
    <w:p w14:paraId="49ED89D3">
      <w:pPr>
        <w:widowControl/>
        <w:spacing w:line="480" w:lineRule="exact"/>
        <w:ind w:firstLine="476"/>
        <w:jc w:val="left"/>
        <w:rPr>
          <w:rFonts w:hint="eastAsia" w:ascii="宋体" w:hAnsi="宋体" w:eastAsia="宋体" w:cs="宋体"/>
          <w:kern w:val="0"/>
          <w:sz w:val="24"/>
        </w:rPr>
      </w:pPr>
      <w:r>
        <w:rPr>
          <w:rFonts w:hint="eastAsia" w:ascii="宋体" w:hAnsi="宋体" w:eastAsia="宋体" w:cs="宋体"/>
          <w:kern w:val="0"/>
          <w:sz w:val="24"/>
        </w:rPr>
        <w:t>（1）严格执行“先通风、再检测、后作业”的原则，未经通风和检测合格，任何人不得进入有限空间作业。</w:t>
      </w:r>
    </w:p>
    <w:p w14:paraId="5484464D">
      <w:pPr>
        <w:widowControl/>
        <w:spacing w:line="480" w:lineRule="exact"/>
        <w:ind w:firstLine="476"/>
        <w:jc w:val="left"/>
        <w:rPr>
          <w:rFonts w:hint="eastAsia" w:ascii="宋体" w:hAnsi="宋体" w:eastAsia="宋体" w:cs="宋体"/>
          <w:kern w:val="0"/>
          <w:sz w:val="24"/>
        </w:rPr>
      </w:pPr>
      <w:r>
        <w:rPr>
          <w:rFonts w:hint="eastAsia" w:ascii="宋体" w:hAnsi="宋体" w:eastAsia="宋体" w:cs="宋体"/>
          <w:kern w:val="0"/>
          <w:sz w:val="24"/>
        </w:rPr>
        <w:t>（2）作业前必须履行内部审批手续，执行有限空间作业许可制度。</w:t>
      </w:r>
    </w:p>
    <w:p w14:paraId="129F5BD9">
      <w:pPr>
        <w:widowControl/>
        <w:spacing w:line="480" w:lineRule="exact"/>
        <w:ind w:firstLine="476"/>
        <w:jc w:val="left"/>
        <w:rPr>
          <w:rFonts w:hint="eastAsia" w:ascii="宋体" w:hAnsi="宋体" w:eastAsia="宋体" w:cs="宋体"/>
          <w:kern w:val="0"/>
          <w:sz w:val="24"/>
        </w:rPr>
      </w:pPr>
      <w:r>
        <w:rPr>
          <w:rFonts w:hint="eastAsia" w:ascii="宋体" w:hAnsi="宋体" w:eastAsia="宋体" w:cs="宋体"/>
          <w:kern w:val="0"/>
          <w:sz w:val="24"/>
        </w:rPr>
        <w:t>（3）作业现场必须配备专职监护人员，监护人不得进入有限空间，不得擅离职守。</w:t>
      </w:r>
    </w:p>
    <w:p w14:paraId="44BF7963">
      <w:pPr>
        <w:widowControl/>
        <w:spacing w:line="480" w:lineRule="exact"/>
        <w:ind w:firstLine="476"/>
        <w:jc w:val="left"/>
        <w:rPr>
          <w:rFonts w:hint="eastAsia" w:ascii="宋体" w:hAnsi="宋体" w:eastAsia="宋体" w:cs="宋体"/>
          <w:kern w:val="0"/>
          <w:sz w:val="24"/>
        </w:rPr>
      </w:pPr>
      <w:r>
        <w:rPr>
          <w:rFonts w:hint="eastAsia" w:ascii="宋体" w:hAnsi="宋体" w:eastAsia="宋体" w:cs="宋体"/>
          <w:kern w:val="0"/>
          <w:sz w:val="24"/>
        </w:rPr>
        <w:t>（4）作业过程中必须进行连续气体检测，检测指标包括氧含量、硫化氢、一氧化碳、可燃气体等。</w:t>
      </w:r>
    </w:p>
    <w:p w14:paraId="1382D7E9">
      <w:pPr>
        <w:widowControl/>
        <w:spacing w:line="480" w:lineRule="exact"/>
        <w:ind w:firstLine="476"/>
        <w:jc w:val="left"/>
        <w:rPr>
          <w:rFonts w:hint="eastAsia" w:ascii="宋体" w:hAnsi="宋体" w:eastAsia="宋体" w:cs="宋体"/>
          <w:kern w:val="0"/>
          <w:sz w:val="24"/>
        </w:rPr>
      </w:pPr>
      <w:r>
        <w:rPr>
          <w:rFonts w:hint="eastAsia" w:ascii="宋体" w:hAnsi="宋体" w:eastAsia="宋体" w:cs="宋体"/>
          <w:kern w:val="0"/>
          <w:sz w:val="24"/>
        </w:rPr>
        <w:t>（5）必须配备应急救援装备（如三脚架、卷扬机、氧气瓶等），并制定专项应急预案。</w:t>
      </w:r>
    </w:p>
    <w:p w14:paraId="279C2E57">
      <w:pPr>
        <w:widowControl/>
        <w:spacing w:line="480" w:lineRule="exact"/>
        <w:ind w:firstLine="476"/>
        <w:jc w:val="left"/>
        <w:rPr>
          <w:rFonts w:hint="eastAsia" w:ascii="宋体" w:hAnsi="宋体" w:eastAsia="宋体" w:cs="宋体"/>
          <w:kern w:val="0"/>
          <w:sz w:val="24"/>
        </w:rPr>
      </w:pPr>
      <w:r>
        <w:rPr>
          <w:rFonts w:hint="eastAsia" w:ascii="宋体" w:hAnsi="宋体" w:eastAsia="宋体" w:cs="宋体"/>
          <w:kern w:val="0"/>
          <w:sz w:val="24"/>
        </w:rPr>
        <w:t>（6）遇气体检测不合格、通风设备故障、作业人员身体不适等情形，必须立即中止作业并撤离人员。</w:t>
      </w:r>
    </w:p>
    <w:p w14:paraId="5747B78E">
      <w:pPr>
        <w:widowControl/>
        <w:spacing w:line="480" w:lineRule="exact"/>
        <w:ind w:firstLine="478"/>
        <w:jc w:val="left"/>
        <w:rPr>
          <w:rFonts w:hint="eastAsia" w:ascii="宋体" w:hAnsi="宋体" w:eastAsia="宋体" w:cs="宋体"/>
          <w:b/>
          <w:bCs/>
          <w:kern w:val="0"/>
          <w:sz w:val="24"/>
        </w:rPr>
      </w:pPr>
      <w:r>
        <w:rPr>
          <w:rFonts w:hint="eastAsia" w:ascii="宋体" w:hAnsi="宋体" w:eastAsia="宋体" w:cs="宋体"/>
          <w:b/>
          <w:bCs/>
          <w:kern w:val="0"/>
          <w:sz w:val="24"/>
        </w:rPr>
        <w:t>三、规程强制性安全条款专章</w:t>
      </w:r>
    </w:p>
    <w:p w14:paraId="0CFC6B8D">
      <w:pPr>
        <w:spacing w:line="480" w:lineRule="exact"/>
        <w:ind w:firstLine="476"/>
        <w:jc w:val="left"/>
        <w:rPr>
          <w:rFonts w:hint="eastAsia" w:ascii="宋体" w:hAnsi="宋体" w:eastAsia="宋体" w:cs="宋体"/>
          <w:kern w:val="0"/>
          <w:sz w:val="24"/>
        </w:rPr>
      </w:pPr>
      <w:r>
        <w:rPr>
          <w:rFonts w:hint="eastAsia" w:ascii="宋体" w:hAnsi="宋体" w:eastAsia="宋体" w:cs="宋体"/>
          <w:kern w:val="0"/>
          <w:sz w:val="24"/>
        </w:rPr>
        <w:t>根据《城镇排水管道检测与评估技术规程》（CJJ 181-2012）第3.0.19、7.1.7、7.2.4、7.2.6条，以下为强制性条款，乙方须严格执行：</w:t>
      </w:r>
    </w:p>
    <w:p w14:paraId="22299D0E">
      <w:pPr>
        <w:spacing w:line="480" w:lineRule="exact"/>
        <w:ind w:firstLine="476"/>
        <w:jc w:val="left"/>
        <w:rPr>
          <w:rFonts w:hint="eastAsia" w:ascii="宋体" w:hAnsi="宋体" w:eastAsia="宋体" w:cs="宋体"/>
          <w:kern w:val="0"/>
          <w:sz w:val="24"/>
        </w:rPr>
      </w:pPr>
      <w:r>
        <w:rPr>
          <w:rFonts w:hint="eastAsia" w:ascii="宋体" w:hAnsi="宋体" w:eastAsia="宋体" w:cs="宋体"/>
          <w:kern w:val="0"/>
          <w:sz w:val="24"/>
        </w:rPr>
        <w:t>第一条（对应3.0.19） 排水管道检测时的现场作业，除本合同已约定的内容外，还应符合现行行业标准《城镇排水管道维护安全技术规程》CJJ 6的有关规定。现场检测人员的数量不得少于2人。</w:t>
      </w:r>
    </w:p>
    <w:p w14:paraId="32FC2BC9">
      <w:pPr>
        <w:spacing w:line="480" w:lineRule="exact"/>
        <w:ind w:firstLine="476"/>
        <w:jc w:val="left"/>
        <w:rPr>
          <w:rFonts w:hint="eastAsia" w:ascii="宋体" w:hAnsi="宋体" w:eastAsia="宋体" w:cs="宋体"/>
          <w:kern w:val="0"/>
          <w:sz w:val="24"/>
        </w:rPr>
      </w:pPr>
      <w:r>
        <w:rPr>
          <w:rFonts w:hint="eastAsia" w:ascii="宋体" w:hAnsi="宋体" w:eastAsia="宋体" w:cs="宋体"/>
          <w:kern w:val="0"/>
          <w:sz w:val="24"/>
        </w:rPr>
        <w:t>第二条（对应7.1.7） 检查人员进入管内检查时，必须拴有带距离刻度的安全绳，地面人员应及时记录缺陷的位置。</w:t>
      </w:r>
    </w:p>
    <w:p w14:paraId="1BE76280">
      <w:pPr>
        <w:spacing w:line="480" w:lineRule="exact"/>
        <w:ind w:firstLine="476"/>
        <w:jc w:val="left"/>
        <w:rPr>
          <w:rFonts w:hint="eastAsia" w:ascii="宋体" w:hAnsi="宋体" w:eastAsia="宋体" w:cs="宋体"/>
          <w:kern w:val="0"/>
          <w:sz w:val="24"/>
        </w:rPr>
      </w:pPr>
      <w:r>
        <w:rPr>
          <w:rFonts w:hint="eastAsia" w:ascii="宋体" w:hAnsi="宋体" w:eastAsia="宋体" w:cs="宋体"/>
          <w:kern w:val="0"/>
          <w:sz w:val="24"/>
        </w:rPr>
        <w:t>第三条（对应7.2.4） 检查人员自进入检查井开始，在管道内连续工作时间不得超过1小时。当进入管道的人员遇到难以穿越的障碍时，不得强行通过，应立即停止检测。</w:t>
      </w:r>
    </w:p>
    <w:p w14:paraId="67DC3C71">
      <w:pPr>
        <w:spacing w:line="480" w:lineRule="exact"/>
        <w:ind w:firstLine="476"/>
        <w:jc w:val="left"/>
        <w:rPr>
          <w:rFonts w:hint="eastAsia" w:ascii="宋体" w:hAnsi="宋体" w:eastAsia="宋体" w:cs="宋体"/>
          <w:kern w:val="0"/>
          <w:sz w:val="24"/>
        </w:rPr>
      </w:pPr>
      <w:r>
        <w:rPr>
          <w:rFonts w:hint="eastAsia" w:ascii="宋体" w:hAnsi="宋体" w:eastAsia="宋体" w:cs="宋体"/>
          <w:kern w:val="0"/>
          <w:sz w:val="24"/>
        </w:rPr>
        <w:t>第四条（对应7.2.6） 当待检管道邻近基坑或水体时，乙方应在进场作业前对管道进行安全性鉴定。安全性鉴定通过后，检查人员方可进入管道。未经鉴定或鉴定不合格的，不得开展作业。</w:t>
      </w:r>
    </w:p>
    <w:p w14:paraId="2987620F">
      <w:pPr>
        <w:spacing w:line="480" w:lineRule="exact"/>
        <w:ind w:firstLine="476"/>
        <w:jc w:val="left"/>
        <w:rPr>
          <w:rFonts w:hint="eastAsia" w:ascii="宋体" w:hAnsi="宋体" w:eastAsia="宋体" w:cs="宋体"/>
          <w:kern w:val="0"/>
          <w:sz w:val="24"/>
        </w:rPr>
      </w:pPr>
      <w:r>
        <w:rPr>
          <w:rFonts w:hint="eastAsia" w:ascii="宋体" w:hAnsi="宋体" w:eastAsia="宋体" w:cs="宋体"/>
          <w:kern w:val="0"/>
          <w:sz w:val="24"/>
        </w:rPr>
        <w:t>第五条 乙方未严格遵守上述强制性条款的，甲方有权责令立即停工整改，并按合同总价的0.5%每次扣除违约金；拒不整改或整改不到位的，甲方有权单方解除合同，要求乙方承担由此给甲方造成的一切损失。</w:t>
      </w:r>
    </w:p>
    <w:p w14:paraId="4A073663">
      <w:pPr>
        <w:widowControl/>
        <w:spacing w:line="480" w:lineRule="exact"/>
        <w:ind w:firstLine="478"/>
        <w:jc w:val="left"/>
        <w:rPr>
          <w:rFonts w:hint="eastAsia" w:ascii="宋体" w:hAnsi="宋体" w:eastAsia="宋体" w:cs="宋体"/>
          <w:b/>
          <w:bCs/>
          <w:kern w:val="0"/>
          <w:sz w:val="24"/>
        </w:rPr>
      </w:pPr>
      <w:r>
        <w:rPr>
          <w:rFonts w:hint="eastAsia" w:ascii="宋体" w:hAnsi="宋体" w:eastAsia="宋体" w:cs="宋体"/>
          <w:b/>
          <w:bCs/>
          <w:kern w:val="0"/>
          <w:sz w:val="24"/>
        </w:rPr>
        <w:t>四、现场作业人员最低数量保障</w:t>
      </w:r>
    </w:p>
    <w:p w14:paraId="32D814EC">
      <w:pPr>
        <w:spacing w:line="480" w:lineRule="exact"/>
        <w:ind w:firstLine="476"/>
        <w:jc w:val="left"/>
        <w:rPr>
          <w:rFonts w:hint="eastAsia" w:ascii="宋体" w:hAnsi="宋体" w:eastAsia="宋体" w:cs="宋体"/>
          <w:kern w:val="0"/>
          <w:sz w:val="24"/>
        </w:rPr>
      </w:pPr>
      <w:r>
        <w:rPr>
          <w:rFonts w:hint="eastAsia" w:ascii="宋体" w:hAnsi="宋体" w:eastAsia="宋体" w:cs="宋体"/>
          <w:kern w:val="0"/>
          <w:sz w:val="24"/>
        </w:rPr>
        <w:t>根据CJJ 181-2012第3.0.19条，现场检测人员的数量不得少于2人。乙方须确保在所有检测作业现场，实际到场且具备相应资格的检测人员不少于2人，不得以管理人员代替。监护人单独配置，不计入上述2人范围。</w:t>
      </w:r>
    </w:p>
    <w:p w14:paraId="14F62C42">
      <w:pPr>
        <w:widowControl/>
        <w:spacing w:line="480" w:lineRule="exact"/>
        <w:ind w:firstLine="478"/>
        <w:jc w:val="left"/>
        <w:rPr>
          <w:rFonts w:hint="eastAsia" w:ascii="宋体" w:hAnsi="宋体" w:eastAsia="宋体" w:cs="宋体"/>
          <w:b/>
          <w:bCs/>
          <w:kern w:val="0"/>
          <w:sz w:val="24"/>
        </w:rPr>
      </w:pPr>
      <w:r>
        <w:rPr>
          <w:rFonts w:hint="eastAsia" w:ascii="宋体" w:hAnsi="宋体" w:eastAsia="宋体" w:cs="宋体"/>
          <w:b/>
          <w:bCs/>
          <w:kern w:val="0"/>
          <w:sz w:val="24"/>
        </w:rPr>
        <w:t>五、检测设备的安全保障</w:t>
      </w:r>
    </w:p>
    <w:p w14:paraId="3F2B67E7">
      <w:pPr>
        <w:spacing w:line="480" w:lineRule="exact"/>
        <w:ind w:firstLine="476"/>
        <w:jc w:val="left"/>
        <w:rPr>
          <w:rFonts w:hint="eastAsia" w:ascii="宋体" w:hAnsi="宋体" w:eastAsia="宋体" w:cs="宋体"/>
          <w:kern w:val="0"/>
          <w:sz w:val="24"/>
        </w:rPr>
      </w:pPr>
      <w:r>
        <w:rPr>
          <w:rFonts w:hint="eastAsia" w:ascii="宋体" w:hAnsi="宋体" w:eastAsia="宋体" w:cs="宋体"/>
          <w:kern w:val="0"/>
          <w:sz w:val="24"/>
        </w:rPr>
        <w:t>根据CJJ 181-2012第4.2.2条规定的检测设备主要技术指标，乙方须确保投入本项目的检测设备满足以下要求：</w:t>
      </w:r>
    </w:p>
    <w:p w14:paraId="6F1B0A3C">
      <w:pPr>
        <w:spacing w:line="480" w:lineRule="exact"/>
        <w:ind w:firstLine="476"/>
        <w:jc w:val="left"/>
        <w:rPr>
          <w:rFonts w:hint="eastAsia" w:ascii="宋体" w:hAnsi="宋体" w:eastAsia="宋体" w:cs="宋体"/>
          <w:kern w:val="0"/>
          <w:sz w:val="24"/>
        </w:rPr>
      </w:pPr>
      <w:r>
        <w:rPr>
          <w:rFonts w:hint="eastAsia" w:ascii="宋体" w:hAnsi="宋体" w:eastAsia="宋体" w:cs="宋体"/>
          <w:kern w:val="0"/>
          <w:sz w:val="24"/>
        </w:rPr>
        <w:t>1</w:t>
      </w:r>
      <w:r>
        <w:rPr>
          <w:rFonts w:hint="eastAsia" w:ascii="宋体" w:hAnsi="宋体" w:eastAsia="宋体" w:cs="宋体"/>
          <w:kern w:val="0"/>
          <w:sz w:val="24"/>
          <w:lang w:eastAsia="zh-CN"/>
        </w:rPr>
        <w:t>、</w:t>
      </w:r>
      <w:r>
        <w:rPr>
          <w:rFonts w:hint="eastAsia" w:ascii="宋体" w:hAnsi="宋体" w:eastAsia="宋体" w:cs="宋体"/>
          <w:kern w:val="0"/>
          <w:sz w:val="24"/>
        </w:rPr>
        <w:t>CCTV检测机器人：图像传感器≥1/4" CCD，彩色，分辨率≥640×480，具备爬坡能力、防侧翻功能，灯光强度可调节。</w:t>
      </w:r>
    </w:p>
    <w:p w14:paraId="3C17F22F">
      <w:pPr>
        <w:spacing w:line="480" w:lineRule="exact"/>
        <w:ind w:firstLine="476"/>
        <w:jc w:val="left"/>
        <w:rPr>
          <w:rFonts w:hint="eastAsia" w:ascii="宋体" w:hAnsi="宋体" w:eastAsia="宋体" w:cs="宋体"/>
          <w:kern w:val="0"/>
          <w:sz w:val="24"/>
          <w:lang w:eastAsia="zh-CN"/>
        </w:rPr>
      </w:pPr>
      <w:r>
        <w:rPr>
          <w:rFonts w:hint="eastAsia" w:ascii="宋体" w:hAnsi="宋体" w:eastAsia="宋体" w:cs="宋体"/>
          <w:kern w:val="0"/>
          <w:sz w:val="24"/>
        </w:rPr>
        <w:t>2</w:t>
      </w:r>
      <w:r>
        <w:rPr>
          <w:rFonts w:hint="eastAsia" w:ascii="宋体" w:hAnsi="宋体" w:eastAsia="宋体" w:cs="宋体"/>
          <w:kern w:val="0"/>
          <w:sz w:val="24"/>
          <w:lang w:eastAsia="zh-CN"/>
        </w:rPr>
        <w:t>、</w:t>
      </w:r>
      <w:r>
        <w:rPr>
          <w:rFonts w:hint="eastAsia" w:ascii="宋体" w:hAnsi="宋体" w:eastAsia="宋体" w:cs="宋体"/>
          <w:kern w:val="0"/>
          <w:sz w:val="24"/>
        </w:rPr>
        <w:t>管道潜望镜（QV）：图像传感器≥1/4" CCD，彩色，分辨率≥640×480，光学变焦≥10倍，具备存储功能。</w:t>
      </w:r>
    </w:p>
    <w:p w14:paraId="6FC0F7A4">
      <w:pPr>
        <w:spacing w:line="480" w:lineRule="exact"/>
        <w:ind w:firstLine="476"/>
        <w:jc w:val="left"/>
        <w:rPr>
          <w:rFonts w:hint="eastAsia" w:ascii="宋体" w:hAnsi="宋体" w:eastAsia="宋体" w:cs="宋体"/>
          <w:kern w:val="0"/>
          <w:sz w:val="24"/>
        </w:rPr>
      </w:pPr>
      <w:r>
        <w:rPr>
          <w:rFonts w:hint="eastAsia" w:ascii="宋体" w:hAnsi="宋体" w:eastAsia="宋体" w:cs="宋体"/>
          <w:kern w:val="0"/>
          <w:sz w:val="24"/>
        </w:rPr>
        <w:t>3</w:t>
      </w:r>
      <w:r>
        <w:rPr>
          <w:rFonts w:hint="eastAsia" w:ascii="宋体" w:hAnsi="宋体" w:eastAsia="宋体" w:cs="宋体"/>
          <w:kern w:val="0"/>
          <w:sz w:val="24"/>
          <w:lang w:eastAsia="zh-CN"/>
        </w:rPr>
        <w:t>、</w:t>
      </w:r>
      <w:r>
        <w:rPr>
          <w:rFonts w:hint="eastAsia" w:ascii="宋体" w:hAnsi="宋体" w:eastAsia="宋体" w:cs="宋体"/>
          <w:kern w:val="0"/>
          <w:sz w:val="24"/>
        </w:rPr>
        <w:t>气体检测仪：能连续检测氧含量、硫化氢、一氧化碳、可燃气体等多项指标，并具备数据记录和报警功能。</w:t>
      </w:r>
    </w:p>
    <w:p w14:paraId="2690589C">
      <w:pPr>
        <w:spacing w:line="480" w:lineRule="exact"/>
        <w:ind w:firstLine="476"/>
        <w:jc w:val="left"/>
        <w:rPr>
          <w:rFonts w:hint="eastAsia" w:ascii="宋体" w:hAnsi="宋体" w:eastAsia="宋体" w:cs="宋体"/>
          <w:kern w:val="0"/>
          <w:sz w:val="24"/>
        </w:rPr>
      </w:pPr>
      <w:r>
        <w:rPr>
          <w:rFonts w:hint="eastAsia" w:ascii="宋体" w:hAnsi="宋体" w:eastAsia="宋体" w:cs="宋体"/>
          <w:kern w:val="0"/>
          <w:sz w:val="24"/>
        </w:rPr>
        <w:t>4</w:t>
      </w:r>
      <w:r>
        <w:rPr>
          <w:rFonts w:hint="eastAsia" w:ascii="宋体" w:hAnsi="宋体" w:eastAsia="宋体" w:cs="宋体"/>
          <w:kern w:val="0"/>
          <w:sz w:val="24"/>
          <w:lang w:eastAsia="zh-CN"/>
        </w:rPr>
        <w:t>、</w:t>
      </w:r>
      <w:r>
        <w:rPr>
          <w:rFonts w:hint="eastAsia" w:ascii="宋体" w:hAnsi="宋体" w:eastAsia="宋体" w:cs="宋体"/>
          <w:kern w:val="0"/>
          <w:sz w:val="24"/>
        </w:rPr>
        <w:t>所有检测设备应结构坚固、密封良好，能在0℃～+50℃的气温条件下和潮湿环境中正常工作。</w:t>
      </w:r>
    </w:p>
    <w:p w14:paraId="3AD6A710">
      <w:pPr>
        <w:spacing w:line="480" w:lineRule="exact"/>
        <w:ind w:firstLine="476"/>
        <w:jc w:val="left"/>
        <w:rPr>
          <w:rFonts w:hint="eastAsia" w:ascii="宋体" w:hAnsi="宋体" w:eastAsia="宋体" w:cs="宋体"/>
          <w:kern w:val="0"/>
          <w:sz w:val="24"/>
        </w:rPr>
      </w:pPr>
      <w:r>
        <w:rPr>
          <w:rFonts w:hint="eastAsia" w:ascii="宋体" w:hAnsi="宋体" w:eastAsia="宋体" w:cs="宋体"/>
          <w:kern w:val="0"/>
          <w:sz w:val="24"/>
        </w:rPr>
        <w:t>5</w:t>
      </w:r>
      <w:r>
        <w:rPr>
          <w:rFonts w:hint="eastAsia" w:ascii="宋体" w:hAnsi="宋体" w:eastAsia="宋体" w:cs="宋体"/>
          <w:kern w:val="0"/>
          <w:sz w:val="24"/>
          <w:lang w:eastAsia="zh-CN"/>
        </w:rPr>
        <w:t>、</w:t>
      </w:r>
      <w:r>
        <w:rPr>
          <w:rFonts w:hint="eastAsia" w:ascii="宋体" w:hAnsi="宋体" w:eastAsia="宋体" w:cs="宋体"/>
          <w:kern w:val="0"/>
          <w:sz w:val="24"/>
        </w:rPr>
        <w:t>设备应具有产品合格证、检定机构的有效检定（校准）证书。新购置、经过大修或长期停用后重新启用的设备，投入检测前应进行检定和校准。设备安全性能应符合GB 3836的有关规定。</w:t>
      </w:r>
    </w:p>
    <w:p w14:paraId="279D6138">
      <w:pPr>
        <w:widowControl/>
        <w:spacing w:line="480" w:lineRule="exact"/>
        <w:ind w:firstLine="478"/>
        <w:jc w:val="left"/>
        <w:rPr>
          <w:rFonts w:hint="eastAsia" w:ascii="宋体" w:hAnsi="宋体" w:eastAsia="宋体" w:cs="宋体"/>
          <w:b/>
          <w:bCs/>
          <w:kern w:val="0"/>
          <w:sz w:val="24"/>
        </w:rPr>
      </w:pPr>
      <w:r>
        <w:rPr>
          <w:rFonts w:hint="eastAsia" w:ascii="宋体" w:hAnsi="宋体" w:eastAsia="宋体" w:cs="宋体"/>
          <w:b/>
          <w:bCs/>
          <w:kern w:val="0"/>
          <w:sz w:val="24"/>
        </w:rPr>
        <w:t>六、涉及基坑或水体的特殊安全要求</w:t>
      </w:r>
    </w:p>
    <w:p w14:paraId="59B608DC">
      <w:pPr>
        <w:spacing w:line="480" w:lineRule="exact"/>
        <w:ind w:firstLine="476"/>
        <w:jc w:val="left"/>
        <w:rPr>
          <w:rFonts w:hint="eastAsia" w:ascii="宋体" w:hAnsi="宋体" w:eastAsia="宋体" w:cs="宋体"/>
          <w:kern w:val="0"/>
          <w:sz w:val="24"/>
        </w:rPr>
      </w:pPr>
      <w:r>
        <w:rPr>
          <w:rFonts w:hint="eastAsia" w:ascii="宋体" w:hAnsi="宋体" w:eastAsia="宋体" w:cs="宋体"/>
          <w:kern w:val="0"/>
          <w:sz w:val="24"/>
        </w:rPr>
        <w:t>根据CJJ 181-2012第7.2.6条，当待检管道邻近基坑或水体（包括但不限于河道、湖泊、池塘、水渠等）时，乙方须遵守以下程序：</w:t>
      </w:r>
    </w:p>
    <w:p w14:paraId="2A7D86AB">
      <w:pPr>
        <w:spacing w:line="480" w:lineRule="exact"/>
        <w:ind w:firstLine="476"/>
        <w:jc w:val="left"/>
        <w:rPr>
          <w:rFonts w:hint="eastAsia" w:ascii="宋体" w:hAnsi="宋体" w:eastAsia="宋体" w:cs="宋体"/>
          <w:kern w:val="0"/>
          <w:sz w:val="24"/>
        </w:rPr>
      </w:pPr>
      <w:r>
        <w:rPr>
          <w:rFonts w:hint="eastAsia" w:ascii="宋体" w:hAnsi="宋体" w:eastAsia="宋体" w:cs="宋体"/>
          <w:kern w:val="0"/>
          <w:sz w:val="24"/>
        </w:rPr>
        <w:t>1</w:t>
      </w:r>
      <w:r>
        <w:rPr>
          <w:rFonts w:hint="eastAsia" w:ascii="宋体" w:hAnsi="宋体" w:eastAsia="宋体" w:cs="宋体"/>
          <w:kern w:val="0"/>
          <w:sz w:val="24"/>
          <w:lang w:eastAsia="zh-CN"/>
        </w:rPr>
        <w:t>、</w:t>
      </w:r>
      <w:r>
        <w:rPr>
          <w:rFonts w:hint="eastAsia" w:ascii="宋体" w:hAnsi="宋体" w:eastAsia="宋体" w:cs="宋体"/>
          <w:kern w:val="0"/>
          <w:sz w:val="24"/>
        </w:rPr>
        <w:t>安全性鉴定：在进场作业前，须对管道结构安全、地基稳定性、周边环境安全性等进行鉴定，并出具鉴定意见。</w:t>
      </w:r>
    </w:p>
    <w:p w14:paraId="31C87A2E">
      <w:pPr>
        <w:spacing w:line="480" w:lineRule="exact"/>
        <w:ind w:firstLine="476"/>
        <w:jc w:val="left"/>
        <w:rPr>
          <w:rFonts w:hint="eastAsia" w:ascii="宋体" w:hAnsi="宋体" w:eastAsia="宋体" w:cs="宋体"/>
          <w:kern w:val="0"/>
          <w:sz w:val="24"/>
        </w:rPr>
      </w:pPr>
      <w:r>
        <w:rPr>
          <w:rFonts w:hint="eastAsia" w:ascii="宋体" w:hAnsi="宋体" w:eastAsia="宋体" w:cs="宋体"/>
          <w:kern w:val="0"/>
          <w:sz w:val="24"/>
        </w:rPr>
        <w:t>2</w:t>
      </w:r>
      <w:r>
        <w:rPr>
          <w:rFonts w:hint="eastAsia" w:ascii="宋体" w:hAnsi="宋体" w:eastAsia="宋体" w:cs="宋体"/>
          <w:kern w:val="0"/>
          <w:sz w:val="24"/>
          <w:lang w:eastAsia="zh-CN"/>
        </w:rPr>
        <w:t>、</w:t>
      </w:r>
      <w:r>
        <w:rPr>
          <w:rFonts w:hint="eastAsia" w:ascii="宋体" w:hAnsi="宋体" w:eastAsia="宋体" w:cs="宋体"/>
          <w:kern w:val="0"/>
          <w:sz w:val="24"/>
        </w:rPr>
        <w:t>作业许可：安全性鉴定通过的，方可办理下井作业审批手续。</w:t>
      </w:r>
    </w:p>
    <w:p w14:paraId="296DAC34">
      <w:pPr>
        <w:spacing w:line="480" w:lineRule="exact"/>
        <w:ind w:firstLine="476"/>
        <w:jc w:val="left"/>
        <w:rPr>
          <w:rFonts w:hint="eastAsia" w:ascii="宋体" w:hAnsi="宋体" w:eastAsia="宋体" w:cs="宋体"/>
          <w:kern w:val="0"/>
          <w:sz w:val="24"/>
        </w:rPr>
      </w:pPr>
      <w:r>
        <w:rPr>
          <w:rFonts w:hint="eastAsia" w:ascii="宋体" w:hAnsi="宋体" w:eastAsia="宋体" w:cs="宋体"/>
          <w:kern w:val="0"/>
          <w:sz w:val="24"/>
        </w:rPr>
        <w:t>3</w:t>
      </w:r>
      <w:r>
        <w:rPr>
          <w:rFonts w:hint="eastAsia" w:ascii="宋体" w:hAnsi="宋体" w:eastAsia="宋体" w:cs="宋体"/>
          <w:kern w:val="0"/>
          <w:sz w:val="24"/>
          <w:lang w:eastAsia="zh-CN"/>
        </w:rPr>
        <w:t>、</w:t>
      </w:r>
      <w:r>
        <w:rPr>
          <w:rFonts w:hint="eastAsia" w:ascii="宋体" w:hAnsi="宋体" w:eastAsia="宋体" w:cs="宋体"/>
          <w:kern w:val="0"/>
          <w:sz w:val="24"/>
        </w:rPr>
        <w:t>鉴定不合格的处置：安全性鉴定不合格的，不得开展作业；乙方应立即报告甲方，由双方共同研究作业方案或调整检测范围。</w:t>
      </w:r>
    </w:p>
    <w:p w14:paraId="3B0198D8">
      <w:pPr>
        <w:spacing w:line="480" w:lineRule="exact"/>
        <w:ind w:firstLine="476"/>
        <w:jc w:val="left"/>
        <w:rPr>
          <w:rFonts w:hint="eastAsia" w:ascii="宋体" w:hAnsi="宋体" w:eastAsia="宋体" w:cs="宋体"/>
          <w:kern w:val="0"/>
          <w:sz w:val="24"/>
        </w:rPr>
      </w:pPr>
      <w:r>
        <w:rPr>
          <w:rFonts w:hint="eastAsia" w:ascii="宋体" w:hAnsi="宋体" w:eastAsia="宋体" w:cs="宋体"/>
          <w:kern w:val="0"/>
          <w:sz w:val="24"/>
        </w:rPr>
        <w:t>4</w:t>
      </w:r>
      <w:r>
        <w:rPr>
          <w:rFonts w:hint="eastAsia" w:ascii="宋体" w:hAnsi="宋体" w:eastAsia="宋体" w:cs="宋体"/>
          <w:kern w:val="0"/>
          <w:sz w:val="24"/>
          <w:lang w:eastAsia="zh-CN"/>
        </w:rPr>
        <w:t>、</w:t>
      </w:r>
      <w:r>
        <w:rPr>
          <w:rFonts w:hint="eastAsia" w:ascii="宋体" w:hAnsi="宋体" w:eastAsia="宋体" w:cs="宋体"/>
          <w:kern w:val="0"/>
          <w:sz w:val="24"/>
        </w:rPr>
        <w:t>过程监测：作业过程中应持续监测管道及周边环境变化，发现异常应立即中止作业、撤离人员。</w:t>
      </w:r>
    </w:p>
    <w:p w14:paraId="55658151">
      <w:pPr>
        <w:widowControl/>
        <w:spacing w:line="480" w:lineRule="exact"/>
        <w:ind w:firstLine="478"/>
        <w:jc w:val="left"/>
        <w:rPr>
          <w:rFonts w:hint="eastAsia" w:ascii="宋体" w:hAnsi="宋体" w:eastAsia="宋体" w:cs="宋体"/>
          <w:b/>
          <w:bCs/>
          <w:kern w:val="0"/>
          <w:sz w:val="24"/>
        </w:rPr>
      </w:pPr>
      <w:r>
        <w:rPr>
          <w:rFonts w:hint="eastAsia" w:ascii="宋体" w:hAnsi="宋体" w:eastAsia="宋体" w:cs="宋体"/>
          <w:b/>
          <w:bCs/>
          <w:kern w:val="0"/>
          <w:sz w:val="24"/>
        </w:rPr>
        <w:t>七、作业时间限制</w:t>
      </w:r>
    </w:p>
    <w:p w14:paraId="314AFCF8">
      <w:pPr>
        <w:spacing w:line="480" w:lineRule="exact"/>
        <w:ind w:firstLine="476"/>
        <w:jc w:val="left"/>
        <w:rPr>
          <w:rFonts w:hint="eastAsia" w:ascii="宋体" w:hAnsi="宋体" w:eastAsia="宋体" w:cs="宋体"/>
          <w:kern w:val="0"/>
          <w:sz w:val="24"/>
        </w:rPr>
      </w:pPr>
      <w:r>
        <w:rPr>
          <w:rFonts w:hint="eastAsia" w:ascii="宋体" w:hAnsi="宋体" w:eastAsia="宋体" w:cs="宋体"/>
          <w:kern w:val="0"/>
          <w:sz w:val="24"/>
        </w:rPr>
        <w:t>根据CJJ 181-2012第7.2.4条，乙方须建立下井作业时间管理制度：</w:t>
      </w:r>
    </w:p>
    <w:p w14:paraId="72510BA4">
      <w:pPr>
        <w:spacing w:line="480" w:lineRule="exact"/>
        <w:ind w:firstLine="476"/>
        <w:jc w:val="left"/>
        <w:rPr>
          <w:rFonts w:hint="eastAsia" w:ascii="宋体" w:hAnsi="宋体" w:eastAsia="宋体" w:cs="宋体"/>
          <w:kern w:val="0"/>
          <w:sz w:val="24"/>
        </w:rPr>
      </w:pPr>
      <w:r>
        <w:rPr>
          <w:rFonts w:hint="eastAsia" w:ascii="宋体" w:hAnsi="宋体" w:eastAsia="宋体" w:cs="宋体"/>
          <w:kern w:val="0"/>
          <w:sz w:val="24"/>
        </w:rPr>
        <w:t>1</w:t>
      </w:r>
      <w:r>
        <w:rPr>
          <w:rFonts w:hint="eastAsia" w:ascii="宋体" w:hAnsi="宋体" w:eastAsia="宋体" w:cs="宋体"/>
          <w:kern w:val="0"/>
          <w:sz w:val="24"/>
          <w:lang w:eastAsia="zh-CN"/>
        </w:rPr>
        <w:t>、</w:t>
      </w:r>
      <w:r>
        <w:rPr>
          <w:rFonts w:hint="eastAsia" w:ascii="宋体" w:hAnsi="宋体" w:eastAsia="宋体" w:cs="宋体"/>
          <w:kern w:val="0"/>
          <w:sz w:val="24"/>
        </w:rPr>
        <w:t>检查人员自进入检查井开始，在管道内连续工作时间不得超过1小时。</w:t>
      </w:r>
    </w:p>
    <w:p w14:paraId="5BD07B98">
      <w:pPr>
        <w:spacing w:line="480" w:lineRule="exact"/>
        <w:ind w:firstLine="476"/>
        <w:jc w:val="left"/>
        <w:rPr>
          <w:rFonts w:hint="eastAsia" w:ascii="宋体" w:hAnsi="宋体" w:eastAsia="宋体" w:cs="宋体"/>
          <w:kern w:val="0"/>
          <w:sz w:val="24"/>
        </w:rPr>
      </w:pPr>
      <w:r>
        <w:rPr>
          <w:rFonts w:hint="eastAsia" w:ascii="宋体" w:hAnsi="宋体" w:eastAsia="宋体" w:cs="宋体"/>
          <w:kern w:val="0"/>
          <w:sz w:val="24"/>
        </w:rPr>
        <w:t>2</w:t>
      </w:r>
      <w:r>
        <w:rPr>
          <w:rFonts w:hint="eastAsia" w:ascii="宋体" w:hAnsi="宋体" w:eastAsia="宋体" w:cs="宋体"/>
          <w:kern w:val="0"/>
          <w:sz w:val="24"/>
          <w:lang w:eastAsia="zh-CN"/>
        </w:rPr>
        <w:t>、</w:t>
      </w:r>
      <w:r>
        <w:rPr>
          <w:rFonts w:hint="eastAsia" w:ascii="宋体" w:hAnsi="宋体" w:eastAsia="宋体" w:cs="宋体"/>
          <w:kern w:val="0"/>
          <w:sz w:val="24"/>
        </w:rPr>
        <w:t>作业人员须轮换下井，确保连续作业时长控制在规定范围内。</w:t>
      </w:r>
    </w:p>
    <w:p w14:paraId="256C02A9">
      <w:pPr>
        <w:spacing w:line="480" w:lineRule="exact"/>
        <w:ind w:firstLine="476"/>
        <w:jc w:val="left"/>
        <w:rPr>
          <w:rFonts w:hint="eastAsia" w:ascii="宋体" w:hAnsi="宋体" w:eastAsia="宋体" w:cs="宋体"/>
          <w:kern w:val="0"/>
          <w:sz w:val="24"/>
        </w:rPr>
      </w:pPr>
      <w:r>
        <w:rPr>
          <w:rFonts w:hint="eastAsia" w:ascii="宋体" w:hAnsi="宋体" w:eastAsia="宋体" w:cs="宋体"/>
          <w:kern w:val="0"/>
          <w:sz w:val="24"/>
        </w:rPr>
        <w:t>3</w:t>
      </w:r>
      <w:r>
        <w:rPr>
          <w:rFonts w:hint="eastAsia" w:ascii="宋体" w:hAnsi="宋体" w:eastAsia="宋体" w:cs="宋体"/>
          <w:kern w:val="0"/>
          <w:sz w:val="24"/>
          <w:lang w:eastAsia="zh-CN"/>
        </w:rPr>
        <w:t>、</w:t>
      </w:r>
      <w:r>
        <w:rPr>
          <w:rFonts w:hint="eastAsia" w:ascii="宋体" w:hAnsi="宋体" w:eastAsia="宋体" w:cs="宋体"/>
          <w:kern w:val="0"/>
          <w:sz w:val="24"/>
        </w:rPr>
        <w:t>遇管道内难以穿越的障碍时，作业人员不得强行通过，应立即停止检测并向项目负责人报告。</w:t>
      </w:r>
    </w:p>
    <w:p w14:paraId="6B126AB8">
      <w:pPr>
        <w:spacing w:line="480" w:lineRule="exact"/>
        <w:ind w:firstLine="476"/>
        <w:jc w:val="left"/>
        <w:rPr>
          <w:rFonts w:hint="eastAsia" w:ascii="宋体" w:hAnsi="宋体" w:eastAsia="宋体" w:cs="宋体"/>
          <w:kern w:val="0"/>
          <w:sz w:val="24"/>
        </w:rPr>
      </w:pPr>
      <w:r>
        <w:rPr>
          <w:rFonts w:hint="eastAsia" w:ascii="宋体" w:hAnsi="宋体" w:eastAsia="宋体" w:cs="宋体"/>
          <w:kern w:val="0"/>
          <w:sz w:val="24"/>
        </w:rPr>
        <w:t>4</w:t>
      </w:r>
      <w:r>
        <w:rPr>
          <w:rFonts w:hint="eastAsia" w:ascii="宋体" w:hAnsi="宋体" w:eastAsia="宋体" w:cs="宋体"/>
          <w:kern w:val="0"/>
          <w:sz w:val="24"/>
          <w:lang w:eastAsia="zh-CN"/>
        </w:rPr>
        <w:t>、</w:t>
      </w:r>
      <w:r>
        <w:rPr>
          <w:rFonts w:hint="eastAsia" w:ascii="宋体" w:hAnsi="宋体" w:eastAsia="宋体" w:cs="宋体"/>
          <w:kern w:val="0"/>
          <w:sz w:val="24"/>
        </w:rPr>
        <w:t>违反上述规定的，甲方有权责令立即整改。</w:t>
      </w:r>
    </w:p>
    <w:p w14:paraId="4EE5273D">
      <w:pPr>
        <w:widowControl/>
        <w:spacing w:line="480" w:lineRule="exact"/>
        <w:ind w:firstLine="478"/>
        <w:jc w:val="left"/>
        <w:rPr>
          <w:rFonts w:hint="eastAsia" w:ascii="宋体" w:hAnsi="宋体" w:eastAsia="宋体" w:cs="宋体"/>
          <w:b/>
          <w:bCs/>
          <w:kern w:val="0"/>
          <w:sz w:val="24"/>
        </w:rPr>
      </w:pPr>
      <w:r>
        <w:rPr>
          <w:rFonts w:hint="eastAsia" w:ascii="宋体" w:hAnsi="宋体" w:eastAsia="宋体" w:cs="宋体"/>
          <w:b/>
          <w:bCs/>
          <w:kern w:val="0"/>
          <w:sz w:val="24"/>
        </w:rPr>
        <w:t>八、安全教育与培训</w:t>
      </w:r>
    </w:p>
    <w:p w14:paraId="34EDC317">
      <w:pPr>
        <w:spacing w:line="480" w:lineRule="exact"/>
        <w:ind w:firstLine="476"/>
        <w:jc w:val="left"/>
        <w:rPr>
          <w:rFonts w:hint="eastAsia" w:ascii="宋体" w:hAnsi="宋体" w:eastAsia="宋体" w:cs="宋体"/>
          <w:kern w:val="0"/>
          <w:sz w:val="24"/>
        </w:rPr>
      </w:pPr>
      <w:r>
        <w:rPr>
          <w:rFonts w:hint="eastAsia" w:ascii="宋体" w:hAnsi="宋体" w:eastAsia="宋体" w:cs="宋体"/>
          <w:kern w:val="0"/>
          <w:sz w:val="24"/>
        </w:rPr>
        <w:t>乙方必须在开工前组织全体作业人员进行有限空间作业安全教育和应急演练，演练及培训记录报甲方备案。培训及演练内容须覆盖有限空间定义及风险辨识、下井作业审批及许可程序、气体检测与通风规范流程、劳动防护装备正确穿戴及使用、应急救援装备配置及操作规程、应急预案响应程序及救援方法、典型事故案例剖析等方面，并经考核合格后方可上岗作业。</w:t>
      </w:r>
    </w:p>
    <w:p w14:paraId="31B98255">
      <w:pPr>
        <w:widowControl/>
        <w:spacing w:line="480" w:lineRule="exact"/>
        <w:ind w:firstLine="478"/>
        <w:jc w:val="left"/>
        <w:rPr>
          <w:rFonts w:hint="eastAsia" w:ascii="宋体" w:hAnsi="宋体" w:eastAsia="宋体" w:cs="宋体"/>
          <w:b/>
          <w:bCs/>
          <w:kern w:val="0"/>
          <w:sz w:val="24"/>
        </w:rPr>
      </w:pPr>
      <w:r>
        <w:rPr>
          <w:rFonts w:hint="eastAsia" w:ascii="宋体" w:hAnsi="宋体" w:eastAsia="宋体" w:cs="宋体"/>
          <w:b/>
          <w:bCs/>
          <w:kern w:val="0"/>
          <w:sz w:val="24"/>
        </w:rPr>
        <w:t>九、违约责任</w:t>
      </w:r>
    </w:p>
    <w:p w14:paraId="137D731D">
      <w:pPr>
        <w:spacing w:line="480" w:lineRule="exact"/>
        <w:ind w:firstLine="476"/>
        <w:jc w:val="left"/>
        <w:rPr>
          <w:rFonts w:hint="eastAsia" w:ascii="宋体" w:hAnsi="宋体" w:eastAsia="宋体" w:cs="宋体"/>
          <w:kern w:val="0"/>
          <w:sz w:val="24"/>
        </w:rPr>
      </w:pPr>
      <w:r>
        <w:rPr>
          <w:rFonts w:hint="eastAsia" w:ascii="宋体" w:hAnsi="宋体" w:eastAsia="宋体" w:cs="宋体"/>
          <w:kern w:val="0"/>
          <w:sz w:val="24"/>
        </w:rPr>
        <w:t>1</w:t>
      </w:r>
      <w:r>
        <w:rPr>
          <w:rFonts w:hint="eastAsia" w:ascii="宋体" w:hAnsi="宋体" w:eastAsia="宋体" w:cs="宋体"/>
          <w:kern w:val="0"/>
          <w:sz w:val="24"/>
          <w:lang w:eastAsia="zh-CN"/>
        </w:rPr>
        <w:t>、</w:t>
      </w:r>
      <w:r>
        <w:rPr>
          <w:rFonts w:hint="eastAsia" w:ascii="宋体" w:hAnsi="宋体" w:eastAsia="宋体" w:cs="宋体"/>
          <w:kern w:val="0"/>
          <w:sz w:val="24"/>
        </w:rPr>
        <w:t>乙方应对发生在本项目服务期间（自进场至项目验收交付）的交通安全、作业安全事故（包括人员伤亡、财产损失）负全部法律责任，并承担由此而发生的一切经济损失。</w:t>
      </w:r>
    </w:p>
    <w:p w14:paraId="6DF53605">
      <w:pPr>
        <w:spacing w:line="480" w:lineRule="exact"/>
        <w:ind w:firstLine="476"/>
        <w:jc w:val="left"/>
        <w:rPr>
          <w:rFonts w:hint="eastAsia" w:ascii="宋体" w:hAnsi="宋体" w:eastAsia="宋体" w:cs="宋体"/>
          <w:kern w:val="0"/>
          <w:sz w:val="24"/>
        </w:rPr>
      </w:pPr>
      <w:r>
        <w:rPr>
          <w:rFonts w:hint="eastAsia" w:ascii="宋体" w:hAnsi="宋体" w:eastAsia="宋体" w:cs="宋体"/>
          <w:kern w:val="0"/>
          <w:sz w:val="24"/>
        </w:rPr>
        <w:t>2</w:t>
      </w:r>
      <w:r>
        <w:rPr>
          <w:rFonts w:hint="eastAsia" w:ascii="宋体" w:hAnsi="宋体" w:eastAsia="宋体" w:cs="宋体"/>
          <w:kern w:val="0"/>
          <w:sz w:val="24"/>
          <w:lang w:eastAsia="zh-CN"/>
        </w:rPr>
        <w:t>、</w:t>
      </w:r>
      <w:r>
        <w:rPr>
          <w:rFonts w:hint="eastAsia" w:ascii="宋体" w:hAnsi="宋体" w:eastAsia="宋体" w:cs="宋体"/>
          <w:kern w:val="0"/>
          <w:sz w:val="24"/>
        </w:rPr>
        <w:t>如乙方发生安全事故不及时妥善处理，引起纠纷、诉讼或行政处罚，甲方有权扣留其履约保证金和未付合同款用于支付事故处理费用、赔偿费用及甲方因此遭受的损失。</w:t>
      </w:r>
    </w:p>
    <w:p w14:paraId="625AE52C">
      <w:pPr>
        <w:spacing w:line="480" w:lineRule="exact"/>
        <w:ind w:firstLine="476"/>
        <w:jc w:val="left"/>
        <w:rPr>
          <w:rFonts w:hint="eastAsia" w:ascii="宋体" w:hAnsi="宋体" w:eastAsia="宋体" w:cs="宋体"/>
          <w:kern w:val="0"/>
          <w:sz w:val="24"/>
        </w:rPr>
      </w:pPr>
      <w:r>
        <w:rPr>
          <w:rFonts w:hint="eastAsia" w:ascii="宋体" w:hAnsi="宋体" w:eastAsia="宋体" w:cs="宋体"/>
          <w:kern w:val="0"/>
          <w:sz w:val="24"/>
        </w:rPr>
        <w:t>3</w:t>
      </w:r>
      <w:r>
        <w:rPr>
          <w:rFonts w:hint="eastAsia" w:ascii="宋体" w:hAnsi="宋体" w:eastAsia="宋体" w:cs="宋体"/>
          <w:kern w:val="0"/>
          <w:sz w:val="24"/>
          <w:lang w:eastAsia="zh-CN"/>
        </w:rPr>
        <w:t>、</w:t>
      </w:r>
      <w:r>
        <w:rPr>
          <w:rFonts w:hint="eastAsia" w:ascii="宋体" w:hAnsi="宋体" w:eastAsia="宋体" w:cs="宋体"/>
          <w:kern w:val="0"/>
          <w:sz w:val="24"/>
        </w:rPr>
        <w:t>乙方违反本合同约定的安全管理制度或操作规程，甲方有权要求乙方限期整改；逾期未整改或整改不到位的，甲方有权按合同总价的0.5%每次扣除违约金，且甲方有权单方解除合同，并要求乙方承担由此给甲方造成的一切损失。</w:t>
      </w:r>
    </w:p>
    <w:p w14:paraId="19EB060A">
      <w:pPr>
        <w:spacing w:line="480" w:lineRule="exact"/>
        <w:ind w:firstLine="476"/>
        <w:jc w:val="left"/>
        <w:rPr>
          <w:rFonts w:hint="eastAsia" w:ascii="宋体" w:hAnsi="宋体" w:eastAsia="宋体" w:cs="宋体"/>
          <w:kern w:val="0"/>
          <w:sz w:val="24"/>
        </w:rPr>
      </w:pPr>
      <w:r>
        <w:rPr>
          <w:rFonts w:hint="eastAsia" w:ascii="宋体" w:hAnsi="宋体" w:eastAsia="宋体" w:cs="宋体"/>
          <w:kern w:val="0"/>
          <w:sz w:val="24"/>
        </w:rPr>
        <w:t>4</w:t>
      </w:r>
      <w:r>
        <w:rPr>
          <w:rFonts w:hint="eastAsia" w:ascii="宋体" w:hAnsi="宋体" w:eastAsia="宋体" w:cs="宋体"/>
          <w:kern w:val="0"/>
          <w:sz w:val="24"/>
          <w:lang w:eastAsia="zh-CN"/>
        </w:rPr>
        <w:t>、</w:t>
      </w:r>
      <w:r>
        <w:rPr>
          <w:rFonts w:hint="eastAsia" w:ascii="宋体" w:hAnsi="宋体" w:eastAsia="宋体" w:cs="宋体"/>
          <w:kern w:val="0"/>
          <w:sz w:val="24"/>
        </w:rPr>
        <w:t>乙方提供虚假安全资质证书、人员资格证书或隐瞒重大安全风险的，甲方有权立即解除合同，没收履约保证金，并向有关行政主管部门举报。</w:t>
      </w:r>
    </w:p>
    <w:p w14:paraId="7B218433">
      <w:pPr>
        <w:spacing w:line="480" w:lineRule="exact"/>
        <w:ind w:firstLine="476"/>
        <w:jc w:val="left"/>
        <w:rPr>
          <w:rFonts w:hint="eastAsia" w:ascii="宋体" w:hAnsi="宋体" w:eastAsia="宋体" w:cs="宋体"/>
          <w:kern w:val="0"/>
          <w:sz w:val="24"/>
        </w:rPr>
      </w:pPr>
      <w:r>
        <w:rPr>
          <w:rFonts w:hint="eastAsia" w:ascii="宋体" w:hAnsi="宋体" w:eastAsia="宋体" w:cs="宋体"/>
          <w:kern w:val="0"/>
          <w:sz w:val="24"/>
        </w:rPr>
        <w:t>5</w:t>
      </w:r>
      <w:r>
        <w:rPr>
          <w:rFonts w:hint="eastAsia" w:ascii="宋体" w:hAnsi="宋体" w:eastAsia="宋体" w:cs="宋体"/>
          <w:kern w:val="0"/>
          <w:sz w:val="24"/>
          <w:lang w:eastAsia="zh-CN"/>
        </w:rPr>
        <w:t>、</w:t>
      </w:r>
      <w:r>
        <w:rPr>
          <w:rFonts w:hint="eastAsia" w:ascii="宋体" w:hAnsi="宋体" w:eastAsia="宋体" w:cs="宋体"/>
          <w:kern w:val="0"/>
          <w:sz w:val="24"/>
        </w:rPr>
        <w:t>乙方未严格遵守本合同第三条所列规程强制性条款的，甲方有权依第三条第五款执行。</w:t>
      </w:r>
    </w:p>
    <w:p w14:paraId="03E5A1E1">
      <w:pPr>
        <w:widowControl/>
        <w:spacing w:line="480" w:lineRule="exact"/>
        <w:ind w:firstLine="478"/>
        <w:jc w:val="left"/>
        <w:rPr>
          <w:rFonts w:hint="eastAsia" w:ascii="宋体" w:hAnsi="宋体" w:eastAsia="宋体" w:cs="宋体"/>
          <w:b/>
          <w:bCs/>
          <w:kern w:val="0"/>
          <w:sz w:val="24"/>
        </w:rPr>
      </w:pPr>
      <w:r>
        <w:rPr>
          <w:rFonts w:hint="eastAsia" w:ascii="宋体" w:hAnsi="宋体" w:eastAsia="宋体" w:cs="宋体"/>
          <w:b/>
          <w:bCs/>
          <w:kern w:val="0"/>
          <w:sz w:val="24"/>
        </w:rPr>
        <w:t>十、其他</w:t>
      </w:r>
    </w:p>
    <w:p w14:paraId="0D4C3F3B">
      <w:pPr>
        <w:spacing w:line="480" w:lineRule="exact"/>
        <w:ind w:firstLine="476"/>
        <w:jc w:val="left"/>
        <w:rPr>
          <w:rFonts w:hint="eastAsia" w:ascii="宋体" w:hAnsi="宋体" w:eastAsia="宋体" w:cs="宋体"/>
          <w:kern w:val="0"/>
          <w:sz w:val="24"/>
        </w:rPr>
      </w:pPr>
      <w:r>
        <w:rPr>
          <w:rFonts w:hint="eastAsia" w:ascii="宋体" w:hAnsi="宋体" w:eastAsia="宋体" w:cs="宋体"/>
          <w:kern w:val="0"/>
          <w:sz w:val="24"/>
        </w:rPr>
        <w:t>1</w:t>
      </w:r>
      <w:r>
        <w:rPr>
          <w:rFonts w:hint="eastAsia" w:ascii="宋体" w:hAnsi="宋体" w:eastAsia="宋体" w:cs="宋体"/>
          <w:kern w:val="0"/>
          <w:sz w:val="24"/>
          <w:lang w:eastAsia="zh-CN"/>
        </w:rPr>
        <w:t>、</w:t>
      </w:r>
      <w:r>
        <w:rPr>
          <w:rFonts w:hint="eastAsia" w:ascii="宋体" w:hAnsi="宋体" w:eastAsia="宋体" w:cs="宋体"/>
          <w:kern w:val="0"/>
          <w:sz w:val="24"/>
        </w:rPr>
        <w:t>本合同作为项目服务合同的附件，与服务合同具有同等法律效力。</w:t>
      </w:r>
    </w:p>
    <w:p w14:paraId="10EAD6C0">
      <w:pPr>
        <w:spacing w:line="480" w:lineRule="exact"/>
        <w:ind w:firstLine="476"/>
        <w:jc w:val="left"/>
        <w:rPr>
          <w:rFonts w:hint="eastAsia" w:ascii="宋体" w:hAnsi="宋体" w:eastAsia="宋体" w:cs="宋体"/>
          <w:kern w:val="0"/>
          <w:sz w:val="24"/>
        </w:rPr>
      </w:pPr>
      <w:r>
        <w:rPr>
          <w:rFonts w:hint="eastAsia" w:ascii="宋体" w:hAnsi="宋体" w:eastAsia="宋体" w:cs="宋体"/>
          <w:kern w:val="0"/>
          <w:sz w:val="24"/>
        </w:rPr>
        <w:t>2</w:t>
      </w:r>
      <w:r>
        <w:rPr>
          <w:rFonts w:hint="eastAsia" w:ascii="宋体" w:hAnsi="宋体" w:eastAsia="宋体" w:cs="宋体"/>
          <w:kern w:val="0"/>
          <w:sz w:val="24"/>
          <w:lang w:eastAsia="zh-CN"/>
        </w:rPr>
        <w:t>、</w:t>
      </w:r>
      <w:r>
        <w:rPr>
          <w:rFonts w:hint="eastAsia" w:ascii="宋体" w:hAnsi="宋体" w:eastAsia="宋体" w:cs="宋体"/>
          <w:kern w:val="0"/>
          <w:sz w:val="24"/>
        </w:rPr>
        <w:t>本合同未尽事宜，执行国家及地方现行有关安全生产的法律法规和标准规范，包括但不限于《城镇排水管道检测与评估技术规程》CJJ181-2012、《城镇排水管道维护安全技术规程》CJJ6等。</w:t>
      </w:r>
    </w:p>
    <w:p w14:paraId="4CEDE37F">
      <w:pPr>
        <w:spacing w:line="480" w:lineRule="exact"/>
        <w:ind w:firstLine="476"/>
        <w:jc w:val="left"/>
        <w:rPr>
          <w:rFonts w:hint="eastAsia" w:ascii="宋体" w:hAnsi="宋体" w:eastAsia="宋体" w:cs="宋体"/>
          <w:kern w:val="0"/>
          <w:sz w:val="24"/>
        </w:rPr>
      </w:pPr>
      <w:r>
        <w:rPr>
          <w:rFonts w:hint="eastAsia" w:ascii="宋体" w:hAnsi="宋体" w:eastAsia="宋体" w:cs="宋体"/>
          <w:kern w:val="0"/>
          <w:sz w:val="24"/>
        </w:rPr>
        <w:t>3</w:t>
      </w:r>
      <w:r>
        <w:rPr>
          <w:rFonts w:hint="eastAsia" w:ascii="宋体" w:hAnsi="宋体" w:eastAsia="宋体" w:cs="宋体"/>
          <w:kern w:val="0"/>
          <w:sz w:val="24"/>
          <w:lang w:eastAsia="zh-CN"/>
        </w:rPr>
        <w:t>、</w:t>
      </w:r>
      <w:r>
        <w:rPr>
          <w:rFonts w:hint="eastAsia" w:ascii="宋体" w:hAnsi="宋体" w:eastAsia="宋体" w:cs="宋体"/>
          <w:kern w:val="0"/>
          <w:sz w:val="24"/>
        </w:rPr>
        <w:t>本合同一式陆份、甲方执叁份，乙方执叁份。由双方法定代表人或其授权的代理人签署与加盖公章后生效，</w:t>
      </w:r>
      <w:r>
        <w:rPr>
          <w:rFonts w:hint="eastAsia" w:ascii="宋体" w:hAnsi="宋体" w:eastAsia="宋体" w:cs="宋体"/>
          <w:bCs/>
          <w:kern w:val="0"/>
          <w:sz w:val="24"/>
        </w:rPr>
        <w:t>甲、乙双方所签定的安全合同的时效与服务合同时效等同</w:t>
      </w:r>
      <w:r>
        <w:rPr>
          <w:rFonts w:hint="eastAsia" w:ascii="宋体" w:hAnsi="宋体" w:eastAsia="宋体" w:cs="宋体"/>
          <w:kern w:val="0"/>
          <w:sz w:val="24"/>
        </w:rPr>
        <w:t>。</w:t>
      </w:r>
    </w:p>
    <w:p w14:paraId="768F0CF7">
      <w:pPr>
        <w:spacing w:line="500" w:lineRule="exact"/>
        <w:ind w:firstLine="476"/>
        <w:rPr>
          <w:rFonts w:hint="eastAsia" w:ascii="宋体" w:hAnsi="宋体" w:eastAsia="宋体" w:cs="宋体"/>
          <w:kern w:val="0"/>
          <w:szCs w:val="21"/>
        </w:rPr>
      </w:pPr>
    </w:p>
    <w:p w14:paraId="58CB462C">
      <w:pPr>
        <w:spacing w:line="500" w:lineRule="exact"/>
        <w:ind w:firstLine="476"/>
        <w:rPr>
          <w:rFonts w:hint="eastAsia" w:ascii="宋体" w:hAnsi="宋体" w:eastAsia="宋体" w:cs="宋体"/>
          <w:kern w:val="0"/>
          <w:szCs w:val="21"/>
        </w:rPr>
      </w:pPr>
    </w:p>
    <w:p w14:paraId="1C2112B9">
      <w:pPr>
        <w:spacing w:line="480" w:lineRule="exact"/>
        <w:ind w:firstLine="480" w:firstLineChars="200"/>
        <w:jc w:val="left"/>
        <w:rPr>
          <w:rFonts w:hint="eastAsia" w:ascii="宋体" w:hAnsi="宋体" w:eastAsia="宋体" w:cs="宋体"/>
          <w:kern w:val="0"/>
          <w:sz w:val="24"/>
        </w:rPr>
      </w:pPr>
      <w:r>
        <w:rPr>
          <w:rFonts w:ascii="宋体" w:hAnsi="宋体" w:eastAsia="宋体" w:cs="宋体"/>
          <w:kern w:val="0"/>
          <w:sz w:val="24"/>
        </w:rPr>
        <w:t>甲方(盖章)：     </w:t>
      </w:r>
      <w:r>
        <w:rPr>
          <w:rFonts w:hint="eastAsia" w:ascii="宋体" w:hAnsi="宋体" w:eastAsia="宋体" w:cs="宋体"/>
          <w:kern w:val="0"/>
          <w:sz w:val="24"/>
        </w:rPr>
        <w:t xml:space="preserve">          </w:t>
      </w:r>
      <w:r>
        <w:rPr>
          <w:rFonts w:ascii="宋体" w:hAnsi="宋体" w:eastAsia="宋体" w:cs="宋体"/>
          <w:kern w:val="0"/>
          <w:sz w:val="24"/>
        </w:rPr>
        <w:t>乙方(盖章)：</w:t>
      </w:r>
    </w:p>
    <w:p w14:paraId="3E003F74">
      <w:pPr>
        <w:spacing w:line="480" w:lineRule="exact"/>
        <w:ind w:firstLine="476"/>
        <w:jc w:val="left"/>
        <w:rPr>
          <w:rFonts w:hint="eastAsia" w:ascii="宋体" w:hAnsi="宋体" w:eastAsia="宋体" w:cs="宋体"/>
          <w:kern w:val="0"/>
          <w:sz w:val="24"/>
        </w:rPr>
      </w:pPr>
      <w:r>
        <w:rPr>
          <w:rFonts w:ascii="宋体" w:hAnsi="宋体" w:eastAsia="宋体" w:cs="宋体"/>
          <w:kern w:val="0"/>
          <w:sz w:val="24"/>
        </w:rPr>
        <w:t>法定代表人或授     </w:t>
      </w:r>
      <w:r>
        <w:rPr>
          <w:rFonts w:hint="eastAsia" w:ascii="宋体" w:hAnsi="宋体" w:eastAsia="宋体" w:cs="宋体"/>
          <w:kern w:val="0"/>
          <w:sz w:val="24"/>
        </w:rPr>
        <w:t xml:space="preserve">        </w:t>
      </w:r>
      <w:r>
        <w:rPr>
          <w:rFonts w:ascii="宋体" w:hAnsi="宋体" w:eastAsia="宋体" w:cs="宋体"/>
          <w:kern w:val="0"/>
          <w:sz w:val="24"/>
        </w:rPr>
        <w:t>法定代表人或授</w:t>
      </w:r>
    </w:p>
    <w:p w14:paraId="3EFAB94F">
      <w:pPr>
        <w:spacing w:line="480" w:lineRule="exact"/>
        <w:ind w:firstLine="476"/>
        <w:jc w:val="left"/>
        <w:rPr>
          <w:rFonts w:hint="eastAsia" w:ascii="宋体" w:hAnsi="宋体" w:eastAsia="宋体" w:cs="宋体"/>
          <w:kern w:val="0"/>
          <w:sz w:val="24"/>
        </w:rPr>
      </w:pPr>
      <w:r>
        <w:rPr>
          <w:rFonts w:ascii="宋体" w:hAnsi="宋体" w:eastAsia="宋体" w:cs="宋体"/>
          <w:kern w:val="0"/>
          <w:sz w:val="24"/>
        </w:rPr>
        <w:t>权委托人(签字)：</w:t>
      </w:r>
      <w:r>
        <w:rPr>
          <w:rFonts w:hint="eastAsia" w:ascii="宋体" w:hAnsi="宋体" w:eastAsia="宋体" w:cs="宋体"/>
          <w:kern w:val="0"/>
          <w:sz w:val="24"/>
        </w:rPr>
        <w:t xml:space="preserve">                </w:t>
      </w:r>
      <w:r>
        <w:rPr>
          <w:rFonts w:ascii="宋体" w:hAnsi="宋体" w:eastAsia="宋体" w:cs="宋体"/>
          <w:kern w:val="0"/>
          <w:sz w:val="24"/>
        </w:rPr>
        <w:t>权委托人(签字)：</w:t>
      </w:r>
    </w:p>
    <w:p w14:paraId="299CD820">
      <w:pPr>
        <w:spacing w:line="480" w:lineRule="exact"/>
        <w:ind w:firstLine="480" w:firstLineChars="200"/>
        <w:rPr>
          <w:rFonts w:hint="eastAsia" w:ascii="宋体" w:hAnsi="宋体" w:eastAsia="宋体" w:cs="宋体"/>
          <w:kern w:val="0"/>
          <w:sz w:val="24"/>
        </w:rPr>
      </w:pPr>
      <w:r>
        <w:rPr>
          <w:rFonts w:hint="eastAsia" w:ascii="宋体" w:hAnsi="宋体" w:eastAsia="宋体" w:cs="宋体"/>
          <w:kern w:val="0"/>
          <w:sz w:val="24"/>
        </w:rPr>
        <w:t xml:space="preserve">日期：  </w:t>
      </w:r>
      <w:r>
        <w:rPr>
          <w:rFonts w:ascii="宋体" w:hAnsi="宋体" w:eastAsia="宋体" w:cs="宋体"/>
          <w:kern w:val="0"/>
          <w:sz w:val="24"/>
        </w:rPr>
        <w:t>年</w:t>
      </w:r>
      <w:r>
        <w:rPr>
          <w:rFonts w:hint="eastAsia" w:ascii="宋体" w:hAnsi="宋体" w:eastAsia="宋体" w:cs="宋体"/>
          <w:kern w:val="0"/>
          <w:sz w:val="24"/>
        </w:rPr>
        <w:t xml:space="preserve">  </w:t>
      </w:r>
      <w:r>
        <w:rPr>
          <w:rFonts w:ascii="宋体" w:hAnsi="宋体" w:eastAsia="宋体" w:cs="宋体"/>
          <w:kern w:val="0"/>
          <w:sz w:val="24"/>
        </w:rPr>
        <w:t>月</w:t>
      </w:r>
      <w:r>
        <w:rPr>
          <w:rFonts w:hint="eastAsia" w:ascii="宋体" w:hAnsi="宋体" w:eastAsia="宋体" w:cs="宋体"/>
          <w:kern w:val="0"/>
          <w:sz w:val="24"/>
        </w:rPr>
        <w:t xml:space="preserve">  </w:t>
      </w:r>
      <w:r>
        <w:rPr>
          <w:rFonts w:ascii="宋体" w:hAnsi="宋体" w:eastAsia="宋体" w:cs="宋体"/>
          <w:kern w:val="0"/>
          <w:sz w:val="24"/>
        </w:rPr>
        <w:t>日　　　　　　　</w:t>
      </w:r>
      <w:r>
        <w:rPr>
          <w:rFonts w:hint="eastAsia" w:ascii="宋体" w:hAnsi="宋体" w:eastAsia="宋体" w:cs="宋体"/>
          <w:kern w:val="0"/>
          <w:sz w:val="24"/>
        </w:rPr>
        <w:t xml:space="preserve">日期：  </w:t>
      </w:r>
      <w:r>
        <w:rPr>
          <w:rFonts w:ascii="宋体" w:hAnsi="宋体" w:eastAsia="宋体" w:cs="宋体"/>
          <w:kern w:val="0"/>
          <w:sz w:val="24"/>
        </w:rPr>
        <w:t>年</w:t>
      </w:r>
      <w:r>
        <w:rPr>
          <w:rFonts w:hint="eastAsia" w:ascii="宋体" w:hAnsi="宋体" w:eastAsia="宋体" w:cs="宋体"/>
          <w:kern w:val="0"/>
          <w:sz w:val="24"/>
        </w:rPr>
        <w:t xml:space="preserve">  </w:t>
      </w:r>
      <w:r>
        <w:rPr>
          <w:rFonts w:ascii="宋体" w:hAnsi="宋体" w:eastAsia="宋体" w:cs="宋体"/>
          <w:kern w:val="0"/>
          <w:sz w:val="24"/>
        </w:rPr>
        <w:t>月</w:t>
      </w:r>
      <w:r>
        <w:rPr>
          <w:rFonts w:hint="eastAsia" w:ascii="宋体" w:hAnsi="宋体" w:eastAsia="宋体" w:cs="宋体"/>
          <w:kern w:val="0"/>
          <w:sz w:val="24"/>
        </w:rPr>
        <w:t xml:space="preserve">  </w:t>
      </w:r>
      <w:r>
        <w:rPr>
          <w:rFonts w:ascii="宋体" w:hAnsi="宋体" w:eastAsia="宋体" w:cs="宋体"/>
          <w:kern w:val="0"/>
          <w:sz w:val="24"/>
        </w:rPr>
        <w:t>日</w:t>
      </w:r>
    </w:p>
    <w:p w14:paraId="7676D503">
      <w:pPr>
        <w:ind w:firstLine="638"/>
        <w:rPr>
          <w:rFonts w:hint="eastAsia" w:ascii="宋体" w:hAnsi="宋体" w:eastAsia="宋体" w:cs="Times New Roman"/>
          <w:b/>
          <w:kern w:val="0"/>
          <w:sz w:val="32"/>
          <w:szCs w:val="32"/>
        </w:rPr>
      </w:pPr>
      <w:r>
        <w:rPr>
          <w:rFonts w:hint="eastAsia" w:ascii="宋体" w:hAnsi="宋体" w:eastAsia="宋体" w:cs="Times New Roman"/>
          <w:b/>
          <w:kern w:val="0"/>
          <w:sz w:val="32"/>
          <w:szCs w:val="32"/>
        </w:rPr>
        <w:br w:type="page"/>
      </w:r>
    </w:p>
    <w:p w14:paraId="59BA8218">
      <w:pPr>
        <w:spacing w:line="480" w:lineRule="exact"/>
        <w:ind w:firstLine="643" w:firstLineChars="200"/>
        <w:jc w:val="center"/>
        <w:rPr>
          <w:rFonts w:hint="eastAsia" w:ascii="宋体" w:hAnsi="宋体" w:eastAsia="宋体" w:cs="宋体"/>
          <w:b/>
          <w:kern w:val="0"/>
          <w:sz w:val="30"/>
          <w:szCs w:val="30"/>
        </w:rPr>
      </w:pPr>
      <w:r>
        <w:rPr>
          <w:rFonts w:hint="eastAsia" w:ascii="宋体" w:hAnsi="宋体" w:eastAsia="宋体" w:cs="Times New Roman"/>
          <w:b/>
          <w:kern w:val="0"/>
          <w:sz w:val="32"/>
          <w:szCs w:val="32"/>
        </w:rPr>
        <w:t>廉政合同</w:t>
      </w:r>
    </w:p>
    <w:p w14:paraId="5EFECFE8">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rPr>
      </w:pPr>
      <w:r>
        <w:rPr>
          <w:rFonts w:hint="eastAsia" w:ascii="宋体" w:hAnsi="宋体" w:eastAsia="宋体" w:cs="宋体"/>
          <w:kern w:val="0"/>
          <w:sz w:val="24"/>
        </w:rPr>
        <w:t>甲方：</w:t>
      </w:r>
      <w:r>
        <w:rPr>
          <w:rFonts w:hint="eastAsia" w:ascii="宋体" w:hAnsi="宋体" w:eastAsia="宋体" w:cs="宋体"/>
          <w:kern w:val="0"/>
          <w:sz w:val="24"/>
        </w:rPr>
        <w:tab/>
      </w:r>
    </w:p>
    <w:p w14:paraId="5BED0C68">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rPr>
      </w:pPr>
      <w:r>
        <w:rPr>
          <w:rFonts w:hint="eastAsia" w:ascii="宋体" w:hAnsi="宋体" w:eastAsia="宋体" w:cs="宋体"/>
          <w:kern w:val="0"/>
          <w:sz w:val="24"/>
        </w:rPr>
        <w:t>乙方：</w:t>
      </w:r>
    </w:p>
    <w:p w14:paraId="6771D162">
      <w:pPr>
        <w:keepNext w:val="0"/>
        <w:keepLines w:val="0"/>
        <w:pageBreakBefore w:val="0"/>
        <w:widowControl w:val="0"/>
        <w:kinsoku/>
        <w:wordWrap/>
        <w:overflowPunct/>
        <w:topLinePunct w:val="0"/>
        <w:autoSpaceDE/>
        <w:autoSpaceDN/>
        <w:bidi w:val="0"/>
        <w:adjustRightInd/>
        <w:snapToGrid/>
        <w:spacing w:line="400" w:lineRule="exact"/>
        <w:ind w:firstLine="476"/>
        <w:jc w:val="left"/>
        <w:textAlignment w:val="auto"/>
        <w:rPr>
          <w:rFonts w:hint="eastAsia" w:ascii="宋体" w:hAnsi="宋体" w:eastAsia="宋体" w:cs="宋体"/>
          <w:kern w:val="0"/>
          <w:sz w:val="24"/>
        </w:rPr>
      </w:pPr>
      <w:r>
        <w:rPr>
          <w:rFonts w:hint="eastAsia" w:ascii="宋体" w:hAnsi="宋体" w:eastAsia="宋体" w:cs="宋体"/>
          <w:kern w:val="0"/>
          <w:sz w:val="24"/>
        </w:rPr>
        <w:t>为强化抓源治本工作力度，从制度机制上进一步规范建设行为，杜绝不廉洁行为，特订立本合同，双方遵照执行。</w:t>
      </w:r>
    </w:p>
    <w:p w14:paraId="48E0BEE1">
      <w:pPr>
        <w:keepNext w:val="0"/>
        <w:keepLines w:val="0"/>
        <w:pageBreakBefore w:val="0"/>
        <w:widowControl w:val="0"/>
        <w:kinsoku/>
        <w:wordWrap/>
        <w:overflowPunct/>
        <w:topLinePunct w:val="0"/>
        <w:autoSpaceDE/>
        <w:autoSpaceDN/>
        <w:bidi w:val="0"/>
        <w:adjustRightInd/>
        <w:snapToGrid/>
        <w:spacing w:line="400" w:lineRule="exact"/>
        <w:ind w:firstLine="476"/>
        <w:jc w:val="left"/>
        <w:textAlignment w:val="auto"/>
        <w:rPr>
          <w:rFonts w:hint="eastAsia" w:ascii="宋体" w:hAnsi="宋体" w:eastAsia="宋体" w:cs="宋体"/>
          <w:kern w:val="0"/>
          <w:sz w:val="24"/>
        </w:rPr>
      </w:pPr>
      <w:r>
        <w:rPr>
          <w:rFonts w:hint="eastAsia" w:ascii="宋体" w:hAnsi="宋体" w:eastAsia="宋体" w:cs="宋体"/>
          <w:kern w:val="0"/>
          <w:sz w:val="24"/>
        </w:rPr>
        <w:t>1、甲、乙双方必须严格遵守国家法律、法规、政策及各项廉政规定，恪守职业道德规范。</w:t>
      </w:r>
    </w:p>
    <w:p w14:paraId="3D7CEE42">
      <w:pPr>
        <w:keepNext w:val="0"/>
        <w:keepLines w:val="0"/>
        <w:pageBreakBefore w:val="0"/>
        <w:widowControl w:val="0"/>
        <w:kinsoku/>
        <w:wordWrap/>
        <w:overflowPunct/>
        <w:topLinePunct w:val="0"/>
        <w:autoSpaceDE/>
        <w:autoSpaceDN/>
        <w:bidi w:val="0"/>
        <w:adjustRightInd/>
        <w:snapToGrid/>
        <w:spacing w:line="400" w:lineRule="exact"/>
        <w:ind w:firstLine="476"/>
        <w:jc w:val="left"/>
        <w:textAlignment w:val="auto"/>
        <w:rPr>
          <w:rFonts w:hint="eastAsia" w:ascii="宋体" w:hAnsi="宋体" w:eastAsia="宋体" w:cs="宋体"/>
          <w:kern w:val="0"/>
          <w:sz w:val="24"/>
        </w:rPr>
      </w:pPr>
      <w:r>
        <w:rPr>
          <w:rFonts w:hint="eastAsia" w:ascii="宋体" w:hAnsi="宋体" w:eastAsia="宋体" w:cs="宋体"/>
          <w:kern w:val="0"/>
          <w:sz w:val="24"/>
        </w:rPr>
        <w:t>2、甲、乙双方在具体工程建设行为中，必须严格遵守招投标法规定的原则、方式、程序，保证公平、公正、公开。</w:t>
      </w:r>
    </w:p>
    <w:p w14:paraId="69ABFDBA">
      <w:pPr>
        <w:keepNext w:val="0"/>
        <w:keepLines w:val="0"/>
        <w:pageBreakBefore w:val="0"/>
        <w:widowControl w:val="0"/>
        <w:kinsoku/>
        <w:wordWrap/>
        <w:overflowPunct/>
        <w:topLinePunct w:val="0"/>
        <w:autoSpaceDE/>
        <w:autoSpaceDN/>
        <w:bidi w:val="0"/>
        <w:adjustRightInd/>
        <w:snapToGrid/>
        <w:spacing w:line="400" w:lineRule="exact"/>
        <w:ind w:firstLine="476"/>
        <w:jc w:val="left"/>
        <w:textAlignment w:val="auto"/>
        <w:rPr>
          <w:rFonts w:hint="eastAsia" w:ascii="宋体" w:hAnsi="宋体" w:eastAsia="宋体" w:cs="宋体"/>
          <w:kern w:val="0"/>
          <w:sz w:val="24"/>
        </w:rPr>
      </w:pPr>
      <w:r>
        <w:rPr>
          <w:rFonts w:hint="eastAsia" w:ascii="宋体" w:hAnsi="宋体" w:eastAsia="宋体" w:cs="宋体"/>
          <w:kern w:val="0"/>
          <w:sz w:val="24"/>
        </w:rPr>
        <w:t>3、甲、乙双方不得相互串通，损害国家利益、社会公共利益及其他当事人的合法权益。</w:t>
      </w:r>
    </w:p>
    <w:p w14:paraId="1B02C525">
      <w:pPr>
        <w:keepNext w:val="0"/>
        <w:keepLines w:val="0"/>
        <w:pageBreakBefore w:val="0"/>
        <w:widowControl w:val="0"/>
        <w:kinsoku/>
        <w:wordWrap/>
        <w:overflowPunct/>
        <w:topLinePunct w:val="0"/>
        <w:autoSpaceDE/>
        <w:autoSpaceDN/>
        <w:bidi w:val="0"/>
        <w:adjustRightInd/>
        <w:snapToGrid/>
        <w:spacing w:line="400" w:lineRule="exact"/>
        <w:ind w:firstLine="476"/>
        <w:jc w:val="left"/>
        <w:textAlignment w:val="auto"/>
        <w:rPr>
          <w:rFonts w:hint="eastAsia" w:ascii="宋体" w:hAnsi="宋体" w:eastAsia="宋体" w:cs="宋体"/>
          <w:kern w:val="0"/>
          <w:sz w:val="24"/>
        </w:rPr>
      </w:pPr>
      <w:r>
        <w:rPr>
          <w:rFonts w:hint="eastAsia" w:ascii="宋体" w:hAnsi="宋体" w:eastAsia="宋体" w:cs="宋体"/>
          <w:kern w:val="0"/>
          <w:sz w:val="24"/>
        </w:rPr>
        <w:t>4、甲方工作人员及其配偶、子女不得以任何形式或名义索要、接受乙方的现金、有价证券、支付凭证和其他馈赠礼品；乙方不得以任何形式或名义向甲方工作人员及其配偶、子女、评标人员赠送现金、有价证券、支付凭证和礼品或采取其他不正当手段谋取利益。</w:t>
      </w:r>
    </w:p>
    <w:p w14:paraId="37DDA2B9">
      <w:pPr>
        <w:keepNext w:val="0"/>
        <w:keepLines w:val="0"/>
        <w:pageBreakBefore w:val="0"/>
        <w:widowControl w:val="0"/>
        <w:kinsoku/>
        <w:wordWrap/>
        <w:overflowPunct/>
        <w:topLinePunct w:val="0"/>
        <w:autoSpaceDE/>
        <w:autoSpaceDN/>
        <w:bidi w:val="0"/>
        <w:adjustRightInd/>
        <w:snapToGrid/>
        <w:spacing w:line="400" w:lineRule="exact"/>
        <w:ind w:firstLine="476"/>
        <w:jc w:val="left"/>
        <w:textAlignment w:val="auto"/>
        <w:rPr>
          <w:rFonts w:hint="eastAsia" w:ascii="宋体" w:hAnsi="宋体" w:eastAsia="宋体" w:cs="宋体"/>
          <w:kern w:val="0"/>
          <w:sz w:val="24"/>
        </w:rPr>
      </w:pPr>
      <w:r>
        <w:rPr>
          <w:rFonts w:hint="eastAsia" w:ascii="宋体" w:hAnsi="宋体" w:eastAsia="宋体" w:cs="宋体"/>
          <w:kern w:val="0"/>
          <w:sz w:val="24"/>
        </w:rPr>
        <w:t>5、甲方工作人员及其配偶、子女不得以任何形式或者名义接受乙方的宴请、请钓、旅游、健身和其他娱乐活动；乙方不得以任何形式或名义邀请甲方工作人员及其配偶、子女请吃、请钓、旅游、健身和其他娱乐活动。</w:t>
      </w:r>
    </w:p>
    <w:p w14:paraId="3B0F4520">
      <w:pPr>
        <w:keepNext w:val="0"/>
        <w:keepLines w:val="0"/>
        <w:pageBreakBefore w:val="0"/>
        <w:widowControl w:val="0"/>
        <w:kinsoku/>
        <w:wordWrap/>
        <w:overflowPunct/>
        <w:topLinePunct w:val="0"/>
        <w:autoSpaceDE/>
        <w:autoSpaceDN/>
        <w:bidi w:val="0"/>
        <w:adjustRightInd/>
        <w:snapToGrid/>
        <w:spacing w:line="400" w:lineRule="exact"/>
        <w:ind w:firstLine="476"/>
        <w:jc w:val="left"/>
        <w:textAlignment w:val="auto"/>
        <w:rPr>
          <w:rFonts w:hint="eastAsia" w:ascii="宋体" w:hAnsi="宋体" w:eastAsia="宋体" w:cs="宋体"/>
          <w:kern w:val="0"/>
          <w:sz w:val="24"/>
        </w:rPr>
      </w:pPr>
      <w:r>
        <w:rPr>
          <w:rFonts w:hint="eastAsia" w:ascii="宋体" w:hAnsi="宋体" w:eastAsia="宋体" w:cs="宋体"/>
          <w:kern w:val="0"/>
          <w:sz w:val="24"/>
        </w:rPr>
        <w:t>6、甲方工作人员及其配偶、子女不得以打“业务牌”等形式变相接受乙方的钱物；乙方不得以打“业务牌”的形式向甲方工作人员及其配偶、子女变相送钱物。</w:t>
      </w:r>
    </w:p>
    <w:p w14:paraId="66E60FB2">
      <w:pPr>
        <w:keepNext w:val="0"/>
        <w:keepLines w:val="0"/>
        <w:pageBreakBefore w:val="0"/>
        <w:widowControl w:val="0"/>
        <w:kinsoku/>
        <w:wordWrap/>
        <w:overflowPunct/>
        <w:topLinePunct w:val="0"/>
        <w:autoSpaceDE/>
        <w:autoSpaceDN/>
        <w:bidi w:val="0"/>
        <w:adjustRightInd/>
        <w:snapToGrid/>
        <w:spacing w:line="400" w:lineRule="exact"/>
        <w:ind w:firstLine="476"/>
        <w:jc w:val="left"/>
        <w:textAlignment w:val="auto"/>
        <w:rPr>
          <w:rFonts w:hint="eastAsia" w:ascii="宋体" w:hAnsi="宋体" w:eastAsia="宋体" w:cs="宋体"/>
          <w:kern w:val="0"/>
          <w:sz w:val="24"/>
        </w:rPr>
      </w:pPr>
      <w:r>
        <w:rPr>
          <w:rFonts w:hint="eastAsia" w:ascii="宋体" w:hAnsi="宋体" w:eastAsia="宋体" w:cs="宋体"/>
          <w:kern w:val="0"/>
          <w:sz w:val="24"/>
        </w:rPr>
        <w:t>7、甲方工作人员及其配偶、子女不得在乙方报销应由个人支付的费用或领取报酬；乙方不得为甲方工作人员及其配偶、子女报销应由个人支付的费用或发放报酬。</w:t>
      </w:r>
    </w:p>
    <w:p w14:paraId="7CC08773">
      <w:pPr>
        <w:keepNext w:val="0"/>
        <w:keepLines w:val="0"/>
        <w:pageBreakBefore w:val="0"/>
        <w:widowControl w:val="0"/>
        <w:kinsoku/>
        <w:wordWrap/>
        <w:overflowPunct/>
        <w:topLinePunct w:val="0"/>
        <w:autoSpaceDE/>
        <w:autoSpaceDN/>
        <w:bidi w:val="0"/>
        <w:adjustRightInd/>
        <w:snapToGrid/>
        <w:spacing w:line="400" w:lineRule="exact"/>
        <w:ind w:firstLine="476"/>
        <w:jc w:val="left"/>
        <w:textAlignment w:val="auto"/>
        <w:rPr>
          <w:rFonts w:hint="eastAsia" w:ascii="宋体" w:hAnsi="宋体" w:eastAsia="宋体" w:cs="宋体"/>
          <w:kern w:val="0"/>
          <w:sz w:val="24"/>
        </w:rPr>
      </w:pPr>
      <w:r>
        <w:rPr>
          <w:rFonts w:hint="eastAsia" w:ascii="宋体" w:hAnsi="宋体" w:eastAsia="宋体" w:cs="宋体"/>
          <w:kern w:val="0"/>
          <w:sz w:val="24"/>
        </w:rPr>
        <w:t>违约责任：</w:t>
      </w:r>
    </w:p>
    <w:p w14:paraId="510C8053">
      <w:pPr>
        <w:keepNext w:val="0"/>
        <w:keepLines w:val="0"/>
        <w:pageBreakBefore w:val="0"/>
        <w:widowControl w:val="0"/>
        <w:kinsoku/>
        <w:wordWrap/>
        <w:overflowPunct/>
        <w:topLinePunct w:val="0"/>
        <w:autoSpaceDE/>
        <w:autoSpaceDN/>
        <w:bidi w:val="0"/>
        <w:adjustRightInd/>
        <w:snapToGrid/>
        <w:spacing w:line="400" w:lineRule="exact"/>
        <w:ind w:firstLine="476"/>
        <w:jc w:val="left"/>
        <w:textAlignment w:val="auto"/>
        <w:rPr>
          <w:rFonts w:hint="eastAsia" w:ascii="宋体" w:hAnsi="宋体" w:eastAsia="宋体" w:cs="宋体"/>
          <w:kern w:val="0"/>
          <w:sz w:val="24"/>
        </w:rPr>
      </w:pPr>
      <w:r>
        <w:rPr>
          <w:rFonts w:hint="eastAsia" w:ascii="宋体" w:hAnsi="宋体" w:eastAsia="宋体" w:cs="宋体"/>
          <w:kern w:val="0"/>
          <w:sz w:val="24"/>
        </w:rPr>
        <w:t>1、甲方发生违约行为，一经查实将视情节轻重对直接责任人进行严肃处理并追究主管人员的责任。</w:t>
      </w:r>
    </w:p>
    <w:p w14:paraId="30928888">
      <w:pPr>
        <w:keepNext w:val="0"/>
        <w:keepLines w:val="0"/>
        <w:pageBreakBefore w:val="0"/>
        <w:widowControl w:val="0"/>
        <w:kinsoku/>
        <w:wordWrap/>
        <w:overflowPunct/>
        <w:topLinePunct w:val="0"/>
        <w:autoSpaceDE/>
        <w:autoSpaceDN/>
        <w:bidi w:val="0"/>
        <w:adjustRightInd/>
        <w:snapToGrid/>
        <w:spacing w:line="400" w:lineRule="exact"/>
        <w:ind w:firstLine="476"/>
        <w:jc w:val="left"/>
        <w:textAlignment w:val="auto"/>
        <w:rPr>
          <w:rFonts w:ascii="Calibri" w:hAnsi="Calibri" w:eastAsia="宋体" w:cs="Times New Roman"/>
          <w:kern w:val="0"/>
          <w:sz w:val="24"/>
        </w:rPr>
      </w:pPr>
      <w:r>
        <w:rPr>
          <w:rFonts w:hint="eastAsia" w:ascii="宋体" w:hAnsi="宋体" w:eastAsia="宋体" w:cs="宋体"/>
          <w:kern w:val="0"/>
          <w:sz w:val="24"/>
        </w:rPr>
        <w:t>2、乙方发生违约行为，甲方有权解除合同，并将其列入“黑名单”在一定范围内公布，三年内不得参加辖区内的服务。</w:t>
      </w:r>
    </w:p>
    <w:p w14:paraId="199CF402">
      <w:pPr>
        <w:keepNext w:val="0"/>
        <w:keepLines w:val="0"/>
        <w:pageBreakBefore w:val="0"/>
        <w:widowControl w:val="0"/>
        <w:kinsoku/>
        <w:wordWrap/>
        <w:overflowPunct/>
        <w:topLinePunct w:val="0"/>
        <w:autoSpaceDE/>
        <w:autoSpaceDN/>
        <w:bidi w:val="0"/>
        <w:adjustRightInd/>
        <w:snapToGrid/>
        <w:spacing w:line="400" w:lineRule="exact"/>
        <w:ind w:firstLine="476"/>
        <w:jc w:val="left"/>
        <w:textAlignment w:val="auto"/>
        <w:rPr>
          <w:rFonts w:hint="eastAsia" w:ascii="宋体" w:hAnsi="宋体" w:eastAsia="宋体" w:cs="宋体"/>
          <w:kern w:val="0"/>
          <w:sz w:val="24"/>
          <w:lang w:val="en-US" w:eastAsia="zh-CN"/>
        </w:rPr>
      </w:pPr>
      <w:r>
        <w:rPr>
          <w:rFonts w:hint="eastAsia" w:ascii="宋体" w:hAnsi="宋体" w:eastAsia="宋体" w:cs="宋体"/>
          <w:kern w:val="0"/>
          <w:sz w:val="24"/>
          <w:lang w:val="en-US" w:eastAsia="zh-CN"/>
        </w:rPr>
        <w:t>3、乙方发生违约行为给甲方造成损失的，还应依法承担赔偿责任。</w:t>
      </w:r>
    </w:p>
    <w:p w14:paraId="4BEEA86B">
      <w:pPr>
        <w:keepNext w:val="0"/>
        <w:keepLines w:val="0"/>
        <w:pageBreakBefore w:val="0"/>
        <w:widowControl w:val="0"/>
        <w:kinsoku/>
        <w:wordWrap/>
        <w:overflowPunct/>
        <w:topLinePunct w:val="0"/>
        <w:autoSpaceDE/>
        <w:autoSpaceDN/>
        <w:bidi w:val="0"/>
        <w:adjustRightInd/>
        <w:snapToGrid/>
        <w:spacing w:line="400" w:lineRule="exact"/>
        <w:ind w:firstLine="476"/>
        <w:jc w:val="left"/>
        <w:textAlignment w:val="auto"/>
        <w:rPr>
          <w:rFonts w:hint="eastAsia" w:ascii="宋体" w:hAnsi="宋体" w:eastAsia="宋体" w:cs="宋体"/>
          <w:kern w:val="0"/>
          <w:sz w:val="24"/>
          <w:lang w:val="en-US" w:eastAsia="zh-CN"/>
        </w:rPr>
      </w:pPr>
      <w:r>
        <w:rPr>
          <w:rFonts w:hint="eastAsia" w:ascii="宋体" w:hAnsi="宋体" w:eastAsia="宋体" w:cs="宋体"/>
          <w:kern w:val="0"/>
          <w:sz w:val="24"/>
          <w:lang w:val="en-US" w:eastAsia="zh-CN"/>
        </w:rPr>
        <w:t>4、甲、乙双方所签订的廉政合同的时效与项目服务合同时效等同。</w:t>
      </w:r>
    </w:p>
    <w:p w14:paraId="0F3201CF">
      <w:pPr>
        <w:spacing w:line="520" w:lineRule="exact"/>
        <w:ind w:firstLine="476"/>
        <w:jc w:val="left"/>
        <w:rPr>
          <w:rFonts w:hint="eastAsia" w:ascii="宋体" w:hAnsi="宋体" w:eastAsia="宋体" w:cs="宋体"/>
          <w:kern w:val="0"/>
          <w:sz w:val="24"/>
        </w:rPr>
      </w:pPr>
    </w:p>
    <w:p w14:paraId="01D28407">
      <w:pPr>
        <w:spacing w:line="520" w:lineRule="exact"/>
        <w:ind w:firstLine="476"/>
        <w:jc w:val="left"/>
        <w:rPr>
          <w:rFonts w:hint="eastAsia" w:ascii="宋体" w:hAnsi="宋体" w:eastAsia="宋体" w:cs="宋体"/>
          <w:kern w:val="0"/>
          <w:sz w:val="24"/>
        </w:rPr>
      </w:pPr>
      <w:r>
        <w:rPr>
          <w:rFonts w:ascii="宋体" w:hAnsi="宋体" w:eastAsia="宋体" w:cs="宋体"/>
          <w:kern w:val="0"/>
          <w:sz w:val="24"/>
        </w:rPr>
        <w:t>甲方(盖章)：     </w:t>
      </w:r>
      <w:r>
        <w:rPr>
          <w:rFonts w:hint="eastAsia" w:ascii="宋体" w:hAnsi="宋体" w:eastAsia="宋体" w:cs="宋体"/>
          <w:kern w:val="0"/>
          <w:sz w:val="24"/>
        </w:rPr>
        <w:t xml:space="preserve">        </w:t>
      </w:r>
      <w:r>
        <w:rPr>
          <w:rFonts w:ascii="宋体" w:hAnsi="宋体" w:eastAsia="宋体" w:cs="宋体"/>
          <w:kern w:val="0"/>
          <w:sz w:val="24"/>
        </w:rPr>
        <w:t>乙方(盖章)：</w:t>
      </w:r>
    </w:p>
    <w:p w14:paraId="3B9AD23B">
      <w:pPr>
        <w:spacing w:line="520" w:lineRule="exact"/>
        <w:ind w:firstLine="476"/>
        <w:jc w:val="left"/>
        <w:rPr>
          <w:rFonts w:hint="eastAsia" w:ascii="宋体" w:hAnsi="宋体" w:eastAsia="宋体" w:cs="宋体"/>
          <w:kern w:val="0"/>
          <w:sz w:val="24"/>
        </w:rPr>
      </w:pPr>
      <w:r>
        <w:rPr>
          <w:rFonts w:ascii="宋体" w:hAnsi="宋体" w:eastAsia="宋体" w:cs="宋体"/>
          <w:kern w:val="0"/>
          <w:sz w:val="24"/>
        </w:rPr>
        <w:t>法定代表人或授     </w:t>
      </w:r>
      <w:r>
        <w:rPr>
          <w:rFonts w:hint="eastAsia" w:ascii="宋体" w:hAnsi="宋体" w:eastAsia="宋体" w:cs="宋体"/>
          <w:kern w:val="0"/>
          <w:sz w:val="24"/>
        </w:rPr>
        <w:t xml:space="preserve">      </w:t>
      </w:r>
      <w:r>
        <w:rPr>
          <w:rFonts w:ascii="宋体" w:hAnsi="宋体" w:eastAsia="宋体" w:cs="宋体"/>
          <w:kern w:val="0"/>
          <w:sz w:val="24"/>
        </w:rPr>
        <w:t>法定代表人或授</w:t>
      </w:r>
    </w:p>
    <w:p w14:paraId="5C5B4F39">
      <w:pPr>
        <w:spacing w:line="520" w:lineRule="exact"/>
        <w:ind w:firstLine="476"/>
        <w:jc w:val="left"/>
        <w:rPr>
          <w:rFonts w:hint="eastAsia" w:ascii="宋体" w:hAnsi="宋体" w:eastAsia="宋体" w:cs="宋体"/>
          <w:kern w:val="0"/>
          <w:sz w:val="24"/>
        </w:rPr>
      </w:pPr>
      <w:r>
        <w:rPr>
          <w:rFonts w:ascii="宋体" w:hAnsi="宋体" w:eastAsia="宋体" w:cs="宋体"/>
          <w:kern w:val="0"/>
          <w:sz w:val="24"/>
        </w:rPr>
        <w:t>权委托人(签字)：</w:t>
      </w:r>
      <w:r>
        <w:rPr>
          <w:rFonts w:hint="eastAsia" w:ascii="宋体" w:hAnsi="宋体" w:eastAsia="宋体" w:cs="宋体"/>
          <w:kern w:val="0"/>
          <w:sz w:val="24"/>
        </w:rPr>
        <w:t xml:space="preserve">              </w:t>
      </w:r>
      <w:r>
        <w:rPr>
          <w:rFonts w:ascii="宋体" w:hAnsi="宋体" w:eastAsia="宋体" w:cs="宋体"/>
          <w:kern w:val="0"/>
          <w:sz w:val="24"/>
        </w:rPr>
        <w:t>权委托人(签字)：</w:t>
      </w:r>
    </w:p>
    <w:p w14:paraId="073E845B">
      <w:pPr>
        <w:spacing w:line="520" w:lineRule="exact"/>
        <w:ind w:firstLine="476"/>
        <w:jc w:val="left"/>
        <w:rPr>
          <w:rFonts w:ascii="Times New Roman" w:hAnsi="Times New Roman" w:eastAsia="方正小标宋_GBK" w:cs="Times New Roman"/>
          <w:color w:val="000000"/>
          <w:kern w:val="0"/>
          <w:sz w:val="44"/>
          <w:szCs w:val="44"/>
          <w:lang w:eastAsia="en-US"/>
        </w:rPr>
      </w:pPr>
      <w:r>
        <w:rPr>
          <w:rFonts w:hint="eastAsia" w:ascii="宋体" w:hAnsi="宋体" w:eastAsia="宋体" w:cs="宋体"/>
          <w:kern w:val="0"/>
          <w:sz w:val="24"/>
        </w:rPr>
        <w:t xml:space="preserve">日期：  </w:t>
      </w:r>
      <w:r>
        <w:rPr>
          <w:rFonts w:ascii="宋体" w:hAnsi="宋体" w:eastAsia="宋体" w:cs="宋体"/>
          <w:kern w:val="0"/>
          <w:sz w:val="24"/>
        </w:rPr>
        <w:t>年</w:t>
      </w:r>
      <w:r>
        <w:rPr>
          <w:rFonts w:hint="eastAsia" w:ascii="宋体" w:hAnsi="宋体" w:eastAsia="宋体" w:cs="宋体"/>
          <w:kern w:val="0"/>
          <w:sz w:val="24"/>
        </w:rPr>
        <w:t xml:space="preserve">  </w:t>
      </w:r>
      <w:r>
        <w:rPr>
          <w:rFonts w:ascii="宋体" w:hAnsi="宋体" w:eastAsia="宋体" w:cs="宋体"/>
          <w:kern w:val="0"/>
          <w:sz w:val="24"/>
        </w:rPr>
        <w:t>月</w:t>
      </w:r>
      <w:r>
        <w:rPr>
          <w:rFonts w:hint="eastAsia" w:ascii="宋体" w:hAnsi="宋体" w:eastAsia="宋体" w:cs="宋体"/>
          <w:kern w:val="0"/>
          <w:sz w:val="24"/>
        </w:rPr>
        <w:t xml:space="preserve">  </w:t>
      </w:r>
      <w:r>
        <w:rPr>
          <w:rFonts w:ascii="宋体" w:hAnsi="宋体" w:eastAsia="宋体" w:cs="宋体"/>
          <w:kern w:val="0"/>
          <w:sz w:val="24"/>
        </w:rPr>
        <w:t>日　　　　　　</w:t>
      </w:r>
      <w:r>
        <w:rPr>
          <w:rFonts w:hint="eastAsia" w:ascii="宋体" w:hAnsi="宋体" w:eastAsia="宋体" w:cs="宋体"/>
          <w:kern w:val="0"/>
          <w:sz w:val="24"/>
        </w:rPr>
        <w:t xml:space="preserve">日期：  </w:t>
      </w:r>
      <w:r>
        <w:rPr>
          <w:rFonts w:ascii="宋体" w:hAnsi="宋体" w:eastAsia="宋体" w:cs="宋体"/>
          <w:kern w:val="0"/>
          <w:sz w:val="24"/>
        </w:rPr>
        <w:t>年</w:t>
      </w:r>
      <w:r>
        <w:rPr>
          <w:rFonts w:hint="eastAsia" w:ascii="宋体" w:hAnsi="宋体" w:eastAsia="宋体" w:cs="宋体"/>
          <w:kern w:val="0"/>
          <w:sz w:val="24"/>
        </w:rPr>
        <w:t xml:space="preserve">  </w:t>
      </w:r>
      <w:r>
        <w:rPr>
          <w:rFonts w:ascii="宋体" w:hAnsi="宋体" w:eastAsia="宋体" w:cs="宋体"/>
          <w:kern w:val="0"/>
          <w:sz w:val="24"/>
        </w:rPr>
        <w:t>月</w:t>
      </w:r>
      <w:r>
        <w:rPr>
          <w:rFonts w:hint="eastAsia" w:ascii="宋体" w:hAnsi="宋体" w:eastAsia="宋体" w:cs="宋体"/>
          <w:kern w:val="0"/>
          <w:sz w:val="24"/>
        </w:rPr>
        <w:t xml:space="preserve">  </w:t>
      </w:r>
      <w:r>
        <w:rPr>
          <w:rFonts w:ascii="宋体" w:hAnsi="宋体" w:eastAsia="宋体" w:cs="宋体"/>
          <w:kern w:val="0"/>
          <w:sz w:val="24"/>
        </w:rPr>
        <w:t>日</w:t>
      </w:r>
      <w:r>
        <w:rPr>
          <w:rFonts w:ascii="Times New Roman" w:hAnsi="Times New Roman" w:eastAsia="方正小标宋_GBK" w:cs="Times New Roman"/>
          <w:color w:val="000000"/>
          <w:kern w:val="0"/>
          <w:sz w:val="44"/>
          <w:szCs w:val="44"/>
          <w:lang w:eastAsia="en-US"/>
        </w:rPr>
        <w:br w:type="page"/>
      </w:r>
    </w:p>
    <w:p w14:paraId="4EF04C86">
      <w:pPr>
        <w:widowControl/>
        <w:jc w:val="center"/>
        <w:rPr>
          <w:rFonts w:hint="eastAsia" w:ascii="宋体" w:hAnsi="宋体" w:eastAsia="宋体" w:cs="宋体"/>
          <w:color w:val="000000"/>
          <w:kern w:val="0"/>
          <w:sz w:val="44"/>
          <w:szCs w:val="44"/>
          <w:lang w:eastAsia="en-US"/>
        </w:rPr>
      </w:pPr>
      <w:r>
        <w:rPr>
          <w:rFonts w:hint="eastAsia" w:ascii="宋体" w:hAnsi="宋体" w:eastAsia="宋体" w:cs="宋体"/>
          <w:color w:val="000000"/>
          <w:kern w:val="0"/>
          <w:sz w:val="44"/>
          <w:szCs w:val="44"/>
          <w:lang w:eastAsia="en-US"/>
        </w:rPr>
        <w:t>政府采购合同履约验收书（参考格式）</w:t>
      </w:r>
    </w:p>
    <w:p w14:paraId="0FE443FB">
      <w:pPr>
        <w:widowControl/>
        <w:spacing w:line="560" w:lineRule="exact"/>
        <w:ind w:firstLine="476"/>
        <w:jc w:val="left"/>
        <w:rPr>
          <w:rFonts w:ascii="Times New Roman" w:hAnsi="Times New Roman" w:eastAsia="宋体" w:cs="Times New Roman"/>
          <w:color w:val="505050"/>
          <w:kern w:val="0"/>
          <w:szCs w:val="32"/>
          <w:lang w:eastAsia="en-US"/>
        </w:rPr>
      </w:pPr>
      <w:r>
        <w:rPr>
          <w:rFonts w:ascii="Times New Roman" w:hAnsi="Times New Roman" w:eastAsia="宋体" w:cs="Times New Roman"/>
          <w:color w:val="000000"/>
          <w:kern w:val="0"/>
          <w:szCs w:val="32"/>
          <w:lang w:eastAsia="en-US"/>
        </w:rPr>
        <w:t>根据政府采购合同（编号：）的约定，我单位组织对</w:t>
      </w:r>
      <w:r>
        <w:rPr>
          <w:rFonts w:ascii="Times New Roman" w:hAnsi="Times New Roman" w:eastAsia="宋体" w:cs="Times New Roman"/>
          <w:color w:val="000000"/>
          <w:kern w:val="0"/>
          <w:szCs w:val="32"/>
          <w:u w:val="single"/>
          <w:lang w:eastAsia="en-US"/>
        </w:rPr>
        <w:t>（项目名称）</w:t>
      </w:r>
      <w:r>
        <w:rPr>
          <w:rFonts w:ascii="Times New Roman" w:hAnsi="Times New Roman" w:eastAsia="宋体" w:cs="Times New Roman"/>
          <w:color w:val="000000"/>
          <w:kern w:val="0"/>
          <w:szCs w:val="32"/>
          <w:lang w:eastAsia="en-US"/>
        </w:rPr>
        <w:t>项目中标（成交）供应商</w:t>
      </w:r>
      <w:r>
        <w:rPr>
          <w:rFonts w:ascii="Times New Roman" w:hAnsi="Times New Roman" w:eastAsia="宋体" w:cs="Times New Roman"/>
          <w:color w:val="000000"/>
          <w:kern w:val="0"/>
          <w:szCs w:val="32"/>
          <w:u w:val="single"/>
          <w:lang w:eastAsia="en-US"/>
        </w:rPr>
        <w:t>（公司名称）</w:t>
      </w:r>
      <w:r>
        <w:rPr>
          <w:rFonts w:ascii="Times New Roman" w:hAnsi="Times New Roman" w:eastAsia="宋体" w:cs="Times New Roman"/>
          <w:color w:val="000000"/>
          <w:kern w:val="0"/>
          <w:szCs w:val="32"/>
          <w:lang w:eastAsia="en-US"/>
        </w:rPr>
        <w:t>提供的货物（工程、服务）进行了履约验收，验收情况如下：</w:t>
      </w:r>
      <w:bookmarkEnd w:id="182"/>
    </w:p>
    <w:tbl>
      <w:tblPr>
        <w:tblStyle w:val="11"/>
        <w:tblW w:w="8383" w:type="dxa"/>
        <w:jc w:val="center"/>
        <w:tblLayout w:type="fixed"/>
        <w:tblCellMar>
          <w:top w:w="0" w:type="dxa"/>
          <w:left w:w="108" w:type="dxa"/>
          <w:bottom w:w="0" w:type="dxa"/>
          <w:right w:w="108" w:type="dxa"/>
        </w:tblCellMar>
      </w:tblPr>
      <w:tblGrid>
        <w:gridCol w:w="1755"/>
        <w:gridCol w:w="2760"/>
        <w:gridCol w:w="1750"/>
        <w:gridCol w:w="2118"/>
      </w:tblGrid>
      <w:tr w14:paraId="3F07D43A">
        <w:tblPrEx>
          <w:tblCellMar>
            <w:top w:w="0" w:type="dxa"/>
            <w:left w:w="108" w:type="dxa"/>
            <w:bottom w:w="0" w:type="dxa"/>
            <w:right w:w="108" w:type="dxa"/>
          </w:tblCellMar>
        </w:tblPrEx>
        <w:trPr>
          <w:trHeight w:val="855" w:hRule="atLeast"/>
          <w:jc w:val="center"/>
        </w:trPr>
        <w:tc>
          <w:tcPr>
            <w:tcW w:w="1755" w:type="dxa"/>
            <w:tcBorders>
              <w:top w:val="single" w:color="auto" w:sz="8" w:space="0"/>
              <w:left w:val="single" w:color="auto" w:sz="8" w:space="0"/>
              <w:bottom w:val="single" w:color="auto" w:sz="4" w:space="0"/>
              <w:right w:val="single" w:color="auto" w:sz="4" w:space="0"/>
            </w:tcBorders>
            <w:vAlign w:val="center"/>
          </w:tcPr>
          <w:p w14:paraId="69163BA9">
            <w:pPr>
              <w:keepNext w:val="0"/>
              <w:keepLines w:val="0"/>
              <w:widowControl/>
              <w:suppressLineNumbers w:val="0"/>
              <w:spacing w:before="0" w:beforeAutospacing="0" w:after="160" w:afterAutospacing="0" w:line="360" w:lineRule="exact"/>
              <w:ind w:left="0" w:right="0"/>
              <w:jc w:val="center"/>
              <w:rPr>
                <w:rFonts w:hint="default" w:ascii="Times New Roman" w:hAnsi="Times New Roman" w:eastAsia="宋体" w:cs="Times New Roman"/>
                <w:color w:val="000000"/>
                <w:kern w:val="0"/>
                <w:szCs w:val="32"/>
                <w:lang w:eastAsia="en-US"/>
              </w:rPr>
            </w:pPr>
            <w:r>
              <w:rPr>
                <w:rFonts w:hint="eastAsia" w:ascii="Times New Roman" w:hAnsi="Times New Roman" w:eastAsia="宋体" w:cs="Times New Roman"/>
                <w:color w:val="000000"/>
                <w:kern w:val="0"/>
                <w:szCs w:val="32"/>
                <w:lang w:eastAsia="en-US"/>
              </w:rPr>
              <w:t>项目名称</w:t>
            </w:r>
          </w:p>
        </w:tc>
        <w:tc>
          <w:tcPr>
            <w:tcW w:w="2760" w:type="dxa"/>
            <w:tcBorders>
              <w:top w:val="single" w:color="auto" w:sz="8" w:space="0"/>
              <w:left w:val="nil"/>
              <w:bottom w:val="single" w:color="auto" w:sz="4" w:space="0"/>
              <w:right w:val="single" w:color="auto" w:sz="4" w:space="0"/>
            </w:tcBorders>
            <w:vAlign w:val="center"/>
          </w:tcPr>
          <w:p w14:paraId="2A2A95B9">
            <w:pPr>
              <w:keepNext w:val="0"/>
              <w:keepLines w:val="0"/>
              <w:widowControl/>
              <w:suppressLineNumbers w:val="0"/>
              <w:spacing w:before="0" w:beforeAutospacing="0" w:after="160" w:afterAutospacing="0" w:line="360" w:lineRule="exact"/>
              <w:ind w:left="0" w:right="0"/>
              <w:jc w:val="center"/>
              <w:rPr>
                <w:rFonts w:hint="default" w:ascii="Times New Roman" w:hAnsi="Times New Roman" w:eastAsia="宋体" w:cs="Times New Roman"/>
                <w:color w:val="000000"/>
                <w:kern w:val="0"/>
                <w:szCs w:val="32"/>
                <w:lang w:eastAsia="en-US"/>
              </w:rPr>
            </w:pPr>
          </w:p>
        </w:tc>
        <w:tc>
          <w:tcPr>
            <w:tcW w:w="1750" w:type="dxa"/>
            <w:tcBorders>
              <w:top w:val="single" w:color="auto" w:sz="8" w:space="0"/>
              <w:left w:val="nil"/>
              <w:bottom w:val="single" w:color="auto" w:sz="4" w:space="0"/>
              <w:right w:val="single" w:color="auto" w:sz="4" w:space="0"/>
            </w:tcBorders>
            <w:vAlign w:val="center"/>
          </w:tcPr>
          <w:p w14:paraId="082AE2CF">
            <w:pPr>
              <w:keepNext w:val="0"/>
              <w:keepLines w:val="0"/>
              <w:widowControl/>
              <w:suppressLineNumbers w:val="0"/>
              <w:spacing w:before="0" w:beforeAutospacing="0" w:after="160" w:afterAutospacing="0" w:line="360" w:lineRule="exact"/>
              <w:ind w:left="0" w:right="0"/>
              <w:jc w:val="center"/>
              <w:rPr>
                <w:rFonts w:hint="default" w:ascii="Times New Roman" w:hAnsi="Times New Roman" w:eastAsia="宋体" w:cs="Times New Roman"/>
                <w:color w:val="000000"/>
                <w:kern w:val="0"/>
                <w:szCs w:val="32"/>
                <w:lang w:eastAsia="en-US"/>
              </w:rPr>
            </w:pPr>
            <w:r>
              <w:rPr>
                <w:rFonts w:hint="eastAsia" w:ascii="Times New Roman" w:hAnsi="Times New Roman" w:eastAsia="宋体" w:cs="Times New Roman"/>
                <w:color w:val="000000"/>
                <w:kern w:val="0"/>
                <w:szCs w:val="32"/>
                <w:lang w:eastAsia="en-US"/>
              </w:rPr>
              <w:t>项目地点</w:t>
            </w:r>
          </w:p>
        </w:tc>
        <w:tc>
          <w:tcPr>
            <w:tcW w:w="2118" w:type="dxa"/>
            <w:tcBorders>
              <w:top w:val="single" w:color="auto" w:sz="8" w:space="0"/>
              <w:left w:val="nil"/>
              <w:bottom w:val="single" w:color="auto" w:sz="4" w:space="0"/>
              <w:right w:val="single" w:color="auto" w:sz="8" w:space="0"/>
            </w:tcBorders>
            <w:vAlign w:val="center"/>
          </w:tcPr>
          <w:p w14:paraId="1DDC7FFF">
            <w:pPr>
              <w:keepNext w:val="0"/>
              <w:keepLines w:val="0"/>
              <w:widowControl/>
              <w:suppressLineNumbers w:val="0"/>
              <w:spacing w:before="0" w:beforeAutospacing="0" w:after="160" w:afterAutospacing="0" w:line="360" w:lineRule="exact"/>
              <w:ind w:left="0" w:right="0"/>
              <w:jc w:val="center"/>
              <w:rPr>
                <w:rFonts w:hint="default" w:ascii="Times New Roman" w:hAnsi="Times New Roman" w:eastAsia="宋体" w:cs="Times New Roman"/>
                <w:color w:val="000000"/>
                <w:kern w:val="0"/>
                <w:szCs w:val="32"/>
                <w:lang w:eastAsia="en-US"/>
              </w:rPr>
            </w:pPr>
          </w:p>
        </w:tc>
      </w:tr>
      <w:tr w14:paraId="75C8AF66">
        <w:tblPrEx>
          <w:tblCellMar>
            <w:top w:w="0" w:type="dxa"/>
            <w:left w:w="108" w:type="dxa"/>
            <w:bottom w:w="0" w:type="dxa"/>
            <w:right w:w="108" w:type="dxa"/>
          </w:tblCellMar>
        </w:tblPrEx>
        <w:trPr>
          <w:trHeight w:val="855" w:hRule="atLeast"/>
          <w:jc w:val="center"/>
        </w:trPr>
        <w:tc>
          <w:tcPr>
            <w:tcW w:w="1755" w:type="dxa"/>
            <w:tcBorders>
              <w:top w:val="nil"/>
              <w:left w:val="single" w:color="auto" w:sz="8" w:space="0"/>
              <w:bottom w:val="single" w:color="auto" w:sz="4" w:space="0"/>
              <w:right w:val="single" w:color="auto" w:sz="4" w:space="0"/>
            </w:tcBorders>
            <w:vAlign w:val="center"/>
          </w:tcPr>
          <w:p w14:paraId="5D3C9CAF">
            <w:pPr>
              <w:keepNext w:val="0"/>
              <w:keepLines w:val="0"/>
              <w:widowControl/>
              <w:suppressLineNumbers w:val="0"/>
              <w:spacing w:before="0" w:beforeAutospacing="0" w:after="160" w:afterAutospacing="0" w:line="360" w:lineRule="exact"/>
              <w:ind w:left="0" w:right="0"/>
              <w:jc w:val="center"/>
              <w:rPr>
                <w:rFonts w:hint="default" w:ascii="Times New Roman" w:hAnsi="Times New Roman" w:eastAsia="宋体" w:cs="Times New Roman"/>
                <w:color w:val="000000"/>
                <w:kern w:val="0"/>
                <w:szCs w:val="32"/>
                <w:lang w:eastAsia="en-US"/>
              </w:rPr>
            </w:pPr>
            <w:r>
              <w:rPr>
                <w:rFonts w:hint="eastAsia" w:ascii="Times New Roman" w:hAnsi="Times New Roman" w:eastAsia="宋体" w:cs="Times New Roman"/>
                <w:color w:val="000000"/>
                <w:kern w:val="0"/>
                <w:szCs w:val="32"/>
                <w:lang w:eastAsia="en-US"/>
              </w:rPr>
              <w:t>预算金额</w:t>
            </w:r>
          </w:p>
        </w:tc>
        <w:tc>
          <w:tcPr>
            <w:tcW w:w="2760" w:type="dxa"/>
            <w:tcBorders>
              <w:top w:val="single" w:color="auto" w:sz="4" w:space="0"/>
              <w:left w:val="nil"/>
              <w:bottom w:val="single" w:color="auto" w:sz="4" w:space="0"/>
              <w:right w:val="single" w:color="auto" w:sz="4" w:space="0"/>
            </w:tcBorders>
            <w:vAlign w:val="center"/>
          </w:tcPr>
          <w:p w14:paraId="7E1E63FB">
            <w:pPr>
              <w:keepNext w:val="0"/>
              <w:keepLines w:val="0"/>
              <w:widowControl/>
              <w:suppressLineNumbers w:val="0"/>
              <w:spacing w:before="0" w:beforeAutospacing="0" w:after="160" w:afterAutospacing="0" w:line="360" w:lineRule="exact"/>
              <w:ind w:left="0" w:right="0"/>
              <w:jc w:val="center"/>
              <w:rPr>
                <w:rFonts w:hint="default" w:ascii="Times New Roman" w:hAnsi="Times New Roman" w:eastAsia="宋体" w:cs="Times New Roman"/>
                <w:color w:val="000000"/>
                <w:kern w:val="0"/>
                <w:szCs w:val="32"/>
                <w:lang w:eastAsia="en-US"/>
              </w:rPr>
            </w:pPr>
          </w:p>
        </w:tc>
        <w:tc>
          <w:tcPr>
            <w:tcW w:w="1750" w:type="dxa"/>
            <w:tcBorders>
              <w:top w:val="nil"/>
              <w:left w:val="nil"/>
              <w:bottom w:val="nil"/>
              <w:right w:val="nil"/>
            </w:tcBorders>
            <w:vAlign w:val="center"/>
          </w:tcPr>
          <w:p w14:paraId="35ED6BA6">
            <w:pPr>
              <w:keepNext w:val="0"/>
              <w:keepLines w:val="0"/>
              <w:widowControl/>
              <w:suppressLineNumbers w:val="0"/>
              <w:spacing w:before="0" w:beforeAutospacing="0" w:after="160" w:afterAutospacing="0" w:line="360" w:lineRule="exact"/>
              <w:ind w:left="0" w:right="0"/>
              <w:jc w:val="center"/>
              <w:rPr>
                <w:rFonts w:hint="default" w:ascii="Times New Roman" w:hAnsi="Times New Roman" w:eastAsia="宋体" w:cs="Times New Roman"/>
                <w:color w:val="000000"/>
                <w:kern w:val="0"/>
                <w:szCs w:val="32"/>
                <w:lang w:eastAsia="en-US"/>
              </w:rPr>
            </w:pPr>
            <w:r>
              <w:rPr>
                <w:rFonts w:hint="eastAsia" w:ascii="Times New Roman" w:hAnsi="Times New Roman" w:eastAsia="宋体" w:cs="Times New Roman"/>
                <w:color w:val="000000"/>
                <w:kern w:val="0"/>
                <w:szCs w:val="32"/>
                <w:lang w:eastAsia="en-US"/>
              </w:rPr>
              <w:t>承接单位</w:t>
            </w:r>
          </w:p>
        </w:tc>
        <w:tc>
          <w:tcPr>
            <w:tcW w:w="2118" w:type="dxa"/>
            <w:tcBorders>
              <w:top w:val="nil"/>
              <w:left w:val="single" w:color="auto" w:sz="4" w:space="0"/>
              <w:bottom w:val="single" w:color="auto" w:sz="4" w:space="0"/>
              <w:right w:val="single" w:color="auto" w:sz="8" w:space="0"/>
            </w:tcBorders>
            <w:vAlign w:val="center"/>
          </w:tcPr>
          <w:p w14:paraId="77D720B9">
            <w:pPr>
              <w:keepNext w:val="0"/>
              <w:keepLines w:val="0"/>
              <w:widowControl/>
              <w:suppressLineNumbers w:val="0"/>
              <w:spacing w:before="0" w:beforeAutospacing="0" w:after="160" w:afterAutospacing="0" w:line="360" w:lineRule="exact"/>
              <w:ind w:left="0" w:right="0"/>
              <w:jc w:val="left"/>
              <w:rPr>
                <w:rFonts w:hint="default" w:ascii="Times New Roman" w:hAnsi="Times New Roman" w:eastAsia="宋体" w:cs="Times New Roman"/>
                <w:color w:val="000000"/>
                <w:kern w:val="0"/>
                <w:szCs w:val="32"/>
                <w:lang w:eastAsia="en-US"/>
              </w:rPr>
            </w:pPr>
          </w:p>
        </w:tc>
      </w:tr>
      <w:tr w14:paraId="52AD1101">
        <w:tblPrEx>
          <w:tblCellMar>
            <w:top w:w="0" w:type="dxa"/>
            <w:left w:w="108" w:type="dxa"/>
            <w:bottom w:w="0" w:type="dxa"/>
            <w:right w:w="108" w:type="dxa"/>
          </w:tblCellMar>
        </w:tblPrEx>
        <w:trPr>
          <w:trHeight w:val="855" w:hRule="atLeast"/>
          <w:jc w:val="center"/>
        </w:trPr>
        <w:tc>
          <w:tcPr>
            <w:tcW w:w="1755" w:type="dxa"/>
            <w:tcBorders>
              <w:top w:val="nil"/>
              <w:left w:val="single" w:color="auto" w:sz="8" w:space="0"/>
              <w:bottom w:val="single" w:color="auto" w:sz="4" w:space="0"/>
              <w:right w:val="single" w:color="auto" w:sz="4" w:space="0"/>
            </w:tcBorders>
            <w:vAlign w:val="center"/>
          </w:tcPr>
          <w:p w14:paraId="509548E9">
            <w:pPr>
              <w:keepNext w:val="0"/>
              <w:keepLines w:val="0"/>
              <w:widowControl/>
              <w:suppressLineNumbers w:val="0"/>
              <w:spacing w:before="0" w:beforeAutospacing="0" w:after="160" w:afterAutospacing="0" w:line="360" w:lineRule="exact"/>
              <w:ind w:left="0" w:right="0"/>
              <w:jc w:val="center"/>
              <w:rPr>
                <w:rFonts w:hint="default" w:ascii="Times New Roman" w:hAnsi="Times New Roman" w:eastAsia="宋体" w:cs="Times New Roman"/>
                <w:color w:val="000000"/>
                <w:kern w:val="0"/>
                <w:szCs w:val="32"/>
                <w:lang w:eastAsia="en-US"/>
              </w:rPr>
            </w:pPr>
            <w:r>
              <w:rPr>
                <w:rFonts w:hint="eastAsia" w:ascii="Times New Roman" w:hAnsi="Times New Roman" w:eastAsia="宋体" w:cs="Times New Roman"/>
                <w:color w:val="000000"/>
                <w:kern w:val="0"/>
                <w:szCs w:val="32"/>
                <w:lang w:eastAsia="en-US"/>
              </w:rPr>
              <w:t>合同时间</w:t>
            </w:r>
          </w:p>
        </w:tc>
        <w:tc>
          <w:tcPr>
            <w:tcW w:w="2760" w:type="dxa"/>
            <w:tcBorders>
              <w:top w:val="single" w:color="auto" w:sz="4" w:space="0"/>
              <w:left w:val="nil"/>
              <w:bottom w:val="single" w:color="auto" w:sz="4" w:space="0"/>
              <w:right w:val="single" w:color="auto" w:sz="4" w:space="0"/>
            </w:tcBorders>
            <w:vAlign w:val="center"/>
          </w:tcPr>
          <w:p w14:paraId="3FF41864">
            <w:pPr>
              <w:keepNext w:val="0"/>
              <w:keepLines w:val="0"/>
              <w:widowControl/>
              <w:suppressLineNumbers w:val="0"/>
              <w:spacing w:before="0" w:beforeAutospacing="0" w:after="160" w:afterAutospacing="0" w:line="360" w:lineRule="exact"/>
              <w:ind w:left="0" w:right="0"/>
              <w:jc w:val="center"/>
              <w:rPr>
                <w:rFonts w:hint="default" w:ascii="Times New Roman" w:hAnsi="Times New Roman" w:eastAsia="宋体" w:cs="Times New Roman"/>
                <w:color w:val="000000"/>
                <w:kern w:val="0"/>
                <w:szCs w:val="32"/>
                <w:lang w:eastAsia="en-US"/>
              </w:rPr>
            </w:pPr>
          </w:p>
        </w:tc>
        <w:tc>
          <w:tcPr>
            <w:tcW w:w="1750" w:type="dxa"/>
            <w:tcBorders>
              <w:top w:val="single" w:color="auto" w:sz="4" w:space="0"/>
              <w:left w:val="nil"/>
              <w:bottom w:val="single" w:color="auto" w:sz="4" w:space="0"/>
              <w:right w:val="single" w:color="auto" w:sz="4" w:space="0"/>
            </w:tcBorders>
            <w:vAlign w:val="center"/>
          </w:tcPr>
          <w:p w14:paraId="308A5CEC">
            <w:pPr>
              <w:keepNext w:val="0"/>
              <w:keepLines w:val="0"/>
              <w:widowControl/>
              <w:suppressLineNumbers w:val="0"/>
              <w:spacing w:before="0" w:beforeAutospacing="0" w:after="160" w:afterAutospacing="0" w:line="360" w:lineRule="exact"/>
              <w:ind w:left="0" w:right="0"/>
              <w:jc w:val="center"/>
              <w:rPr>
                <w:rFonts w:hint="default" w:ascii="Times New Roman" w:hAnsi="Times New Roman" w:eastAsia="宋体" w:cs="Times New Roman"/>
                <w:color w:val="000000"/>
                <w:kern w:val="0"/>
                <w:szCs w:val="32"/>
                <w:lang w:eastAsia="en-US"/>
              </w:rPr>
            </w:pPr>
            <w:r>
              <w:rPr>
                <w:rFonts w:hint="eastAsia" w:ascii="Times New Roman" w:hAnsi="Times New Roman" w:eastAsia="宋体" w:cs="Times New Roman"/>
                <w:color w:val="000000"/>
                <w:kern w:val="0"/>
                <w:szCs w:val="32"/>
                <w:lang w:eastAsia="en-US"/>
              </w:rPr>
              <w:t>项目开始时间</w:t>
            </w:r>
          </w:p>
        </w:tc>
        <w:tc>
          <w:tcPr>
            <w:tcW w:w="2118" w:type="dxa"/>
            <w:tcBorders>
              <w:top w:val="nil"/>
              <w:left w:val="nil"/>
              <w:bottom w:val="single" w:color="auto" w:sz="4" w:space="0"/>
              <w:right w:val="single" w:color="auto" w:sz="8" w:space="0"/>
            </w:tcBorders>
            <w:vAlign w:val="center"/>
          </w:tcPr>
          <w:p w14:paraId="3CB55A00">
            <w:pPr>
              <w:keepNext w:val="0"/>
              <w:keepLines w:val="0"/>
              <w:widowControl/>
              <w:suppressLineNumbers w:val="0"/>
              <w:spacing w:before="0" w:beforeAutospacing="0" w:after="160" w:afterAutospacing="0" w:line="360" w:lineRule="exact"/>
              <w:ind w:left="0" w:right="0"/>
              <w:jc w:val="center"/>
              <w:rPr>
                <w:rFonts w:hint="default" w:ascii="Times New Roman" w:hAnsi="Times New Roman" w:eastAsia="宋体" w:cs="Times New Roman"/>
                <w:color w:val="000000"/>
                <w:kern w:val="0"/>
                <w:szCs w:val="32"/>
                <w:lang w:eastAsia="en-US"/>
              </w:rPr>
            </w:pPr>
          </w:p>
        </w:tc>
      </w:tr>
      <w:tr w14:paraId="52D48A1F">
        <w:tblPrEx>
          <w:tblCellMar>
            <w:top w:w="0" w:type="dxa"/>
            <w:left w:w="108" w:type="dxa"/>
            <w:bottom w:w="0" w:type="dxa"/>
            <w:right w:w="108" w:type="dxa"/>
          </w:tblCellMar>
        </w:tblPrEx>
        <w:trPr>
          <w:trHeight w:val="855" w:hRule="atLeast"/>
          <w:jc w:val="center"/>
        </w:trPr>
        <w:tc>
          <w:tcPr>
            <w:tcW w:w="1755" w:type="dxa"/>
            <w:tcBorders>
              <w:top w:val="nil"/>
              <w:left w:val="single" w:color="auto" w:sz="8" w:space="0"/>
              <w:bottom w:val="single" w:color="auto" w:sz="4" w:space="0"/>
              <w:right w:val="single" w:color="auto" w:sz="4" w:space="0"/>
            </w:tcBorders>
            <w:vAlign w:val="center"/>
          </w:tcPr>
          <w:p w14:paraId="3DCBD48E">
            <w:pPr>
              <w:keepNext w:val="0"/>
              <w:keepLines w:val="0"/>
              <w:widowControl/>
              <w:suppressLineNumbers w:val="0"/>
              <w:spacing w:before="0" w:beforeAutospacing="0" w:after="160" w:afterAutospacing="0" w:line="360" w:lineRule="exact"/>
              <w:ind w:left="0" w:right="0"/>
              <w:jc w:val="center"/>
              <w:rPr>
                <w:rFonts w:hint="default" w:ascii="Times New Roman" w:hAnsi="Times New Roman" w:eastAsia="宋体" w:cs="Times New Roman"/>
                <w:color w:val="000000"/>
                <w:kern w:val="0"/>
                <w:szCs w:val="32"/>
                <w:lang w:eastAsia="en-US"/>
              </w:rPr>
            </w:pPr>
            <w:r>
              <w:rPr>
                <w:rFonts w:hint="eastAsia" w:ascii="Times New Roman" w:hAnsi="Times New Roman" w:eastAsia="宋体" w:cs="Times New Roman"/>
                <w:color w:val="000000"/>
                <w:kern w:val="0"/>
                <w:szCs w:val="32"/>
                <w:lang w:eastAsia="en-US"/>
              </w:rPr>
              <w:t>项目结束时间</w:t>
            </w:r>
          </w:p>
        </w:tc>
        <w:tc>
          <w:tcPr>
            <w:tcW w:w="2760" w:type="dxa"/>
            <w:tcBorders>
              <w:top w:val="single" w:color="auto" w:sz="4" w:space="0"/>
              <w:left w:val="nil"/>
              <w:bottom w:val="single" w:color="auto" w:sz="4" w:space="0"/>
              <w:right w:val="single" w:color="auto" w:sz="4" w:space="0"/>
            </w:tcBorders>
            <w:vAlign w:val="center"/>
          </w:tcPr>
          <w:p w14:paraId="6CB9106A">
            <w:pPr>
              <w:keepNext w:val="0"/>
              <w:keepLines w:val="0"/>
              <w:widowControl/>
              <w:suppressLineNumbers w:val="0"/>
              <w:spacing w:before="0" w:beforeAutospacing="0" w:after="160" w:afterAutospacing="0" w:line="360" w:lineRule="exact"/>
              <w:ind w:left="0" w:right="0"/>
              <w:jc w:val="center"/>
              <w:rPr>
                <w:rFonts w:hint="default" w:ascii="Times New Roman" w:hAnsi="Times New Roman" w:eastAsia="宋体" w:cs="Times New Roman"/>
                <w:color w:val="000000"/>
                <w:kern w:val="0"/>
                <w:szCs w:val="32"/>
                <w:lang w:eastAsia="en-US"/>
              </w:rPr>
            </w:pPr>
          </w:p>
        </w:tc>
        <w:tc>
          <w:tcPr>
            <w:tcW w:w="1750" w:type="dxa"/>
            <w:tcBorders>
              <w:top w:val="nil"/>
              <w:left w:val="nil"/>
              <w:bottom w:val="single" w:color="auto" w:sz="4" w:space="0"/>
              <w:right w:val="single" w:color="auto" w:sz="4" w:space="0"/>
            </w:tcBorders>
            <w:vAlign w:val="center"/>
          </w:tcPr>
          <w:p w14:paraId="688EEDB4">
            <w:pPr>
              <w:keepNext w:val="0"/>
              <w:keepLines w:val="0"/>
              <w:widowControl/>
              <w:suppressLineNumbers w:val="0"/>
              <w:spacing w:before="0" w:beforeAutospacing="0" w:after="160" w:afterAutospacing="0" w:line="360" w:lineRule="exact"/>
              <w:ind w:left="0" w:right="0"/>
              <w:jc w:val="center"/>
              <w:rPr>
                <w:rFonts w:hint="default" w:ascii="Times New Roman" w:hAnsi="Times New Roman" w:eastAsia="宋体" w:cs="Times New Roman"/>
                <w:color w:val="000000"/>
                <w:kern w:val="0"/>
                <w:szCs w:val="32"/>
                <w:lang w:eastAsia="en-US"/>
              </w:rPr>
            </w:pPr>
            <w:r>
              <w:rPr>
                <w:rFonts w:hint="eastAsia" w:ascii="Times New Roman" w:hAnsi="Times New Roman" w:eastAsia="宋体" w:cs="Times New Roman"/>
                <w:color w:val="000000"/>
                <w:kern w:val="0"/>
                <w:szCs w:val="32"/>
                <w:lang w:eastAsia="en-US"/>
              </w:rPr>
              <w:t>项目联系人</w:t>
            </w:r>
          </w:p>
        </w:tc>
        <w:tc>
          <w:tcPr>
            <w:tcW w:w="2118" w:type="dxa"/>
            <w:tcBorders>
              <w:top w:val="nil"/>
              <w:left w:val="nil"/>
              <w:bottom w:val="single" w:color="auto" w:sz="4" w:space="0"/>
              <w:right w:val="single" w:color="auto" w:sz="8" w:space="0"/>
            </w:tcBorders>
            <w:vAlign w:val="center"/>
          </w:tcPr>
          <w:p w14:paraId="615CBCA8">
            <w:pPr>
              <w:keepNext w:val="0"/>
              <w:keepLines w:val="0"/>
              <w:widowControl/>
              <w:suppressLineNumbers w:val="0"/>
              <w:spacing w:before="0" w:beforeAutospacing="0" w:after="160" w:afterAutospacing="0" w:line="360" w:lineRule="exact"/>
              <w:ind w:left="0" w:right="0"/>
              <w:jc w:val="center"/>
              <w:rPr>
                <w:rFonts w:hint="default" w:ascii="Times New Roman" w:hAnsi="Times New Roman" w:eastAsia="宋体" w:cs="Times New Roman"/>
                <w:color w:val="000000"/>
                <w:kern w:val="0"/>
                <w:szCs w:val="32"/>
                <w:lang w:eastAsia="en-US"/>
              </w:rPr>
            </w:pPr>
          </w:p>
        </w:tc>
      </w:tr>
      <w:tr w14:paraId="531C8D17">
        <w:tblPrEx>
          <w:tblCellMar>
            <w:top w:w="0" w:type="dxa"/>
            <w:left w:w="108" w:type="dxa"/>
            <w:bottom w:w="0" w:type="dxa"/>
            <w:right w:w="108" w:type="dxa"/>
          </w:tblCellMar>
        </w:tblPrEx>
        <w:trPr>
          <w:trHeight w:val="2286" w:hRule="atLeast"/>
          <w:jc w:val="center"/>
        </w:trPr>
        <w:tc>
          <w:tcPr>
            <w:tcW w:w="8383" w:type="dxa"/>
            <w:gridSpan w:val="4"/>
            <w:tcBorders>
              <w:top w:val="single" w:color="auto" w:sz="4" w:space="0"/>
              <w:left w:val="single" w:color="auto" w:sz="8" w:space="0"/>
              <w:bottom w:val="single" w:color="auto" w:sz="4" w:space="0"/>
              <w:right w:val="single" w:color="000000" w:sz="8" w:space="0"/>
            </w:tcBorders>
          </w:tcPr>
          <w:p w14:paraId="64D920C7">
            <w:pPr>
              <w:keepNext w:val="0"/>
              <w:keepLines w:val="0"/>
              <w:widowControl/>
              <w:suppressLineNumbers w:val="0"/>
              <w:spacing w:before="0" w:beforeAutospacing="0" w:after="160" w:afterAutospacing="0" w:line="276" w:lineRule="auto"/>
              <w:ind w:left="0" w:right="0" w:firstLine="478"/>
              <w:jc w:val="center"/>
              <w:rPr>
                <w:rFonts w:hint="default" w:ascii="Times New Roman" w:hAnsi="Times New Roman" w:eastAsia="宋体" w:cs="Times New Roman"/>
                <w:b/>
                <w:bCs/>
                <w:color w:val="000000"/>
                <w:kern w:val="0"/>
                <w:szCs w:val="32"/>
                <w:lang w:eastAsia="en-US"/>
              </w:rPr>
            </w:pPr>
            <w:r>
              <w:rPr>
                <w:rFonts w:hint="eastAsia" w:ascii="Times New Roman" w:hAnsi="Times New Roman" w:eastAsia="宋体" w:cs="Times New Roman"/>
                <w:b/>
                <w:bCs/>
                <w:color w:val="000000"/>
                <w:kern w:val="0"/>
                <w:szCs w:val="32"/>
                <w:lang w:eastAsia="en-US"/>
              </w:rPr>
              <w:t>验收情况和验收意见</w:t>
            </w:r>
          </w:p>
          <w:p w14:paraId="5AD67CF5">
            <w:pPr>
              <w:keepNext w:val="0"/>
              <w:keepLines w:val="0"/>
              <w:widowControl/>
              <w:suppressLineNumbers w:val="0"/>
              <w:spacing w:before="0" w:beforeAutospacing="0" w:after="160" w:afterAutospacing="0" w:line="276" w:lineRule="auto"/>
              <w:ind w:left="0" w:right="0"/>
              <w:jc w:val="left"/>
              <w:rPr>
                <w:rFonts w:hint="default" w:ascii="Times New Roman" w:hAnsi="Times New Roman" w:eastAsia="宋体" w:cs="Times New Roman"/>
                <w:color w:val="000000"/>
                <w:kern w:val="0"/>
                <w:szCs w:val="32"/>
                <w:lang w:eastAsia="en-US"/>
              </w:rPr>
            </w:pPr>
            <w:r>
              <w:rPr>
                <w:rFonts w:hint="eastAsia" w:ascii="Times New Roman" w:hAnsi="Times New Roman" w:eastAsia="宋体" w:cs="Times New Roman"/>
                <w:color w:val="000000"/>
                <w:kern w:val="0"/>
                <w:szCs w:val="32"/>
                <w:lang w:eastAsia="en-US"/>
              </w:rPr>
              <w:t>（可另附）</w:t>
            </w:r>
          </w:p>
          <w:p w14:paraId="44920D65">
            <w:pPr>
              <w:keepNext w:val="0"/>
              <w:keepLines w:val="0"/>
              <w:widowControl/>
              <w:suppressLineNumbers w:val="0"/>
              <w:spacing w:before="0" w:beforeAutospacing="0" w:after="160" w:afterAutospacing="0" w:line="276" w:lineRule="auto"/>
              <w:ind w:left="0" w:right="0"/>
              <w:jc w:val="left"/>
              <w:rPr>
                <w:rFonts w:hint="default" w:ascii="Times New Roman" w:hAnsi="Times New Roman" w:eastAsia="宋体" w:cs="Times New Roman"/>
                <w:color w:val="000000"/>
                <w:kern w:val="0"/>
                <w:szCs w:val="32"/>
                <w:lang w:eastAsia="en-US"/>
              </w:rPr>
            </w:pPr>
          </w:p>
          <w:p w14:paraId="105051E8">
            <w:pPr>
              <w:keepNext w:val="0"/>
              <w:keepLines w:val="0"/>
              <w:widowControl/>
              <w:suppressLineNumbers w:val="0"/>
              <w:spacing w:before="0" w:beforeAutospacing="0" w:after="160" w:afterAutospacing="0" w:line="276" w:lineRule="auto"/>
              <w:ind w:left="0" w:right="0"/>
              <w:jc w:val="left"/>
              <w:rPr>
                <w:rFonts w:hint="default" w:ascii="Times New Roman" w:hAnsi="Times New Roman" w:eastAsia="宋体" w:cs="Times New Roman"/>
                <w:color w:val="000000"/>
                <w:kern w:val="0"/>
                <w:szCs w:val="32"/>
                <w:lang w:eastAsia="en-US"/>
              </w:rPr>
            </w:pPr>
          </w:p>
          <w:p w14:paraId="5E03F5A3">
            <w:pPr>
              <w:keepNext w:val="0"/>
              <w:keepLines w:val="0"/>
              <w:widowControl/>
              <w:suppressLineNumbers w:val="0"/>
              <w:spacing w:before="0" w:beforeAutospacing="0" w:after="160" w:afterAutospacing="0" w:line="276" w:lineRule="auto"/>
              <w:ind w:left="0" w:right="0"/>
              <w:jc w:val="left"/>
              <w:rPr>
                <w:rFonts w:hint="default" w:ascii="Times New Roman" w:hAnsi="Times New Roman" w:eastAsia="宋体" w:cs="Times New Roman"/>
                <w:color w:val="000000"/>
                <w:kern w:val="0"/>
                <w:szCs w:val="32"/>
                <w:lang w:eastAsia="en-US"/>
              </w:rPr>
            </w:pPr>
          </w:p>
        </w:tc>
      </w:tr>
      <w:tr w14:paraId="0C9287C4">
        <w:tblPrEx>
          <w:tblCellMar>
            <w:top w:w="0" w:type="dxa"/>
            <w:left w:w="108" w:type="dxa"/>
            <w:bottom w:w="0" w:type="dxa"/>
            <w:right w:w="108" w:type="dxa"/>
          </w:tblCellMar>
        </w:tblPrEx>
        <w:trPr>
          <w:trHeight w:val="567" w:hRule="atLeast"/>
          <w:jc w:val="center"/>
        </w:trPr>
        <w:tc>
          <w:tcPr>
            <w:tcW w:w="8383" w:type="dxa"/>
            <w:gridSpan w:val="4"/>
            <w:tcBorders>
              <w:top w:val="single" w:color="auto" w:sz="4" w:space="0"/>
              <w:left w:val="single" w:color="auto" w:sz="8" w:space="0"/>
              <w:bottom w:val="single" w:color="auto" w:sz="4" w:space="0"/>
              <w:right w:val="single" w:color="000000" w:sz="8" w:space="0"/>
            </w:tcBorders>
          </w:tcPr>
          <w:p w14:paraId="6F3105F8">
            <w:pPr>
              <w:keepNext w:val="0"/>
              <w:keepLines w:val="0"/>
              <w:widowControl/>
              <w:suppressLineNumbers w:val="0"/>
              <w:spacing w:before="0" w:beforeAutospacing="0" w:after="160" w:afterAutospacing="0" w:line="276" w:lineRule="auto"/>
              <w:ind w:left="0" w:right="0"/>
              <w:jc w:val="left"/>
              <w:rPr>
                <w:rFonts w:hint="default" w:ascii="Times New Roman" w:hAnsi="Times New Roman" w:eastAsia="宋体" w:cs="Times New Roman"/>
                <w:color w:val="000000"/>
                <w:kern w:val="0"/>
                <w:szCs w:val="32"/>
                <w:lang w:eastAsia="en-US"/>
              </w:rPr>
            </w:pPr>
            <w:r>
              <w:rPr>
                <w:rFonts w:hint="eastAsia" w:ascii="Times New Roman" w:hAnsi="Times New Roman" w:eastAsia="宋体" w:cs="Times New Roman"/>
                <w:color w:val="000000"/>
                <w:kern w:val="0"/>
                <w:szCs w:val="32"/>
                <w:lang w:eastAsia="en-US"/>
              </w:rPr>
              <w:t>验收小组（签字）：</w:t>
            </w:r>
          </w:p>
          <w:p w14:paraId="1EFED3FB">
            <w:pPr>
              <w:keepNext w:val="0"/>
              <w:keepLines w:val="0"/>
              <w:widowControl/>
              <w:suppressLineNumbers w:val="0"/>
              <w:spacing w:before="0" w:beforeAutospacing="0" w:after="160" w:afterAutospacing="0" w:line="276" w:lineRule="auto"/>
              <w:ind w:left="0" w:right="0"/>
              <w:jc w:val="left"/>
              <w:rPr>
                <w:rFonts w:hint="default" w:ascii="Times New Roman" w:hAnsi="Times New Roman" w:eastAsia="宋体" w:cs="Times New Roman"/>
                <w:color w:val="000000"/>
                <w:kern w:val="0"/>
                <w:szCs w:val="32"/>
                <w:lang w:eastAsia="en-US"/>
              </w:rPr>
            </w:pPr>
          </w:p>
          <w:p w14:paraId="4309AF0A">
            <w:pPr>
              <w:keepNext w:val="0"/>
              <w:keepLines w:val="0"/>
              <w:widowControl/>
              <w:suppressLineNumbers w:val="0"/>
              <w:spacing w:before="0" w:beforeAutospacing="0" w:after="160" w:afterAutospacing="0" w:line="276" w:lineRule="auto"/>
              <w:ind w:left="0" w:right="0"/>
              <w:jc w:val="left"/>
              <w:rPr>
                <w:rFonts w:hint="default" w:ascii="Times New Roman" w:hAnsi="Times New Roman" w:eastAsia="宋体" w:cs="Times New Roman"/>
                <w:color w:val="000000"/>
                <w:kern w:val="0"/>
                <w:szCs w:val="32"/>
                <w:lang w:eastAsia="en-US"/>
              </w:rPr>
            </w:pPr>
          </w:p>
          <w:p w14:paraId="1430522A">
            <w:pPr>
              <w:keepNext w:val="0"/>
              <w:keepLines w:val="0"/>
              <w:widowControl/>
              <w:suppressLineNumbers w:val="0"/>
              <w:spacing w:before="0" w:beforeAutospacing="0" w:after="160" w:afterAutospacing="0" w:line="276" w:lineRule="auto"/>
              <w:ind w:left="0" w:right="0"/>
              <w:jc w:val="left"/>
              <w:rPr>
                <w:rFonts w:hint="default" w:ascii="Times New Roman" w:hAnsi="Times New Roman" w:eastAsia="宋体" w:cs="Times New Roman"/>
                <w:color w:val="000000"/>
                <w:kern w:val="0"/>
                <w:szCs w:val="32"/>
              </w:rPr>
            </w:pPr>
            <w:r>
              <w:rPr>
                <w:rFonts w:hint="eastAsia" w:ascii="Times New Roman" w:hAnsi="Times New Roman" w:eastAsia="宋体" w:cs="Times New Roman"/>
                <w:color w:val="000000"/>
                <w:kern w:val="0"/>
                <w:szCs w:val="32"/>
                <w:lang w:eastAsia="en-US"/>
              </w:rPr>
              <w:t>　　</w:t>
            </w:r>
          </w:p>
          <w:p w14:paraId="0BDB586C">
            <w:pPr>
              <w:keepNext w:val="0"/>
              <w:keepLines w:val="0"/>
              <w:widowControl/>
              <w:suppressLineNumbers w:val="0"/>
              <w:spacing w:before="0" w:beforeAutospacing="0" w:after="160" w:afterAutospacing="0" w:line="276" w:lineRule="auto"/>
              <w:ind w:left="0" w:right="0"/>
              <w:jc w:val="left"/>
              <w:rPr>
                <w:rFonts w:hint="default" w:ascii="Times New Roman" w:hAnsi="Times New Roman" w:eastAsia="宋体" w:cs="Times New Roman"/>
                <w:color w:val="000000"/>
                <w:kern w:val="0"/>
                <w:szCs w:val="32"/>
                <w:lang w:eastAsia="en-US"/>
              </w:rPr>
            </w:pPr>
            <w:r>
              <w:rPr>
                <w:rFonts w:hint="eastAsia" w:ascii="Times New Roman" w:hAnsi="Times New Roman" w:eastAsia="宋体" w:cs="Times New Roman"/>
                <w:color w:val="000000"/>
                <w:kern w:val="0"/>
                <w:szCs w:val="32"/>
                <w:lang w:eastAsia="en-US"/>
              </w:rPr>
              <w:t>　　　　　年</w:t>
            </w:r>
            <w:r>
              <w:rPr>
                <w:rFonts w:hint="eastAsia" w:ascii="Times New Roman" w:hAnsi="Times New Roman" w:eastAsia="宋体" w:cs="Times New Roman"/>
                <w:color w:val="000000"/>
                <w:kern w:val="0"/>
                <w:szCs w:val="32"/>
              </w:rPr>
              <w:t xml:space="preserve">  </w:t>
            </w:r>
            <w:r>
              <w:rPr>
                <w:rFonts w:hint="eastAsia" w:ascii="Times New Roman" w:hAnsi="Times New Roman" w:eastAsia="宋体" w:cs="Times New Roman"/>
                <w:color w:val="000000"/>
                <w:kern w:val="0"/>
                <w:szCs w:val="32"/>
                <w:lang w:eastAsia="en-US"/>
              </w:rPr>
              <w:t>月</w:t>
            </w:r>
            <w:r>
              <w:rPr>
                <w:rFonts w:hint="eastAsia" w:ascii="Times New Roman" w:hAnsi="Times New Roman" w:eastAsia="宋体" w:cs="Times New Roman"/>
                <w:color w:val="000000"/>
                <w:kern w:val="0"/>
                <w:szCs w:val="32"/>
              </w:rPr>
              <w:t xml:space="preserve">  </w:t>
            </w:r>
            <w:r>
              <w:rPr>
                <w:rFonts w:hint="eastAsia" w:ascii="Times New Roman" w:hAnsi="Times New Roman" w:eastAsia="宋体" w:cs="Times New Roman"/>
                <w:color w:val="000000"/>
                <w:kern w:val="0"/>
                <w:szCs w:val="32"/>
                <w:lang w:eastAsia="en-US"/>
              </w:rPr>
              <w:t>日</w:t>
            </w:r>
          </w:p>
        </w:tc>
      </w:tr>
      <w:tr w14:paraId="3A040DDD">
        <w:tblPrEx>
          <w:tblCellMar>
            <w:top w:w="0" w:type="dxa"/>
            <w:left w:w="108" w:type="dxa"/>
            <w:bottom w:w="0" w:type="dxa"/>
            <w:right w:w="108" w:type="dxa"/>
          </w:tblCellMar>
        </w:tblPrEx>
        <w:trPr>
          <w:trHeight w:val="567" w:hRule="atLeast"/>
          <w:jc w:val="center"/>
        </w:trPr>
        <w:tc>
          <w:tcPr>
            <w:tcW w:w="8383" w:type="dxa"/>
            <w:gridSpan w:val="4"/>
            <w:tcBorders>
              <w:top w:val="single" w:color="auto" w:sz="4" w:space="0"/>
              <w:left w:val="single" w:color="auto" w:sz="8" w:space="0"/>
              <w:bottom w:val="single" w:color="auto" w:sz="4" w:space="0"/>
              <w:right w:val="single" w:color="000000" w:sz="8" w:space="0"/>
            </w:tcBorders>
          </w:tcPr>
          <w:p w14:paraId="0D2D342F">
            <w:pPr>
              <w:keepNext w:val="0"/>
              <w:keepLines w:val="0"/>
              <w:widowControl/>
              <w:suppressLineNumbers w:val="0"/>
              <w:spacing w:before="0" w:beforeAutospacing="0" w:after="160" w:afterAutospacing="0" w:line="276" w:lineRule="auto"/>
              <w:ind w:left="0" w:right="0"/>
              <w:jc w:val="left"/>
              <w:rPr>
                <w:rFonts w:hint="default" w:ascii="Times New Roman" w:hAnsi="Times New Roman" w:eastAsia="宋体" w:cs="Times New Roman"/>
                <w:color w:val="000000"/>
                <w:kern w:val="0"/>
                <w:szCs w:val="32"/>
                <w:lang w:eastAsia="en-US"/>
              </w:rPr>
            </w:pPr>
            <w:r>
              <w:rPr>
                <w:rFonts w:hint="eastAsia" w:ascii="Times New Roman" w:hAnsi="Times New Roman" w:eastAsia="宋体" w:cs="Times New Roman"/>
                <w:color w:val="000000"/>
                <w:kern w:val="0"/>
                <w:szCs w:val="32"/>
                <w:lang w:eastAsia="en-US"/>
              </w:rPr>
              <w:t>供应商确认意见（签章）：</w:t>
            </w:r>
          </w:p>
          <w:p w14:paraId="6BF6C731">
            <w:pPr>
              <w:keepNext w:val="0"/>
              <w:keepLines w:val="0"/>
              <w:widowControl/>
              <w:suppressLineNumbers w:val="0"/>
              <w:spacing w:before="0" w:beforeAutospacing="0" w:after="160" w:afterAutospacing="0" w:line="276" w:lineRule="auto"/>
              <w:ind w:left="0" w:right="0"/>
              <w:jc w:val="left"/>
              <w:rPr>
                <w:rFonts w:hint="default" w:ascii="Times New Roman" w:hAnsi="Times New Roman" w:eastAsia="宋体" w:cs="Times New Roman"/>
                <w:color w:val="000000"/>
                <w:kern w:val="0"/>
                <w:szCs w:val="32"/>
                <w:lang w:eastAsia="en-US"/>
              </w:rPr>
            </w:pPr>
          </w:p>
          <w:p w14:paraId="4D290F53">
            <w:pPr>
              <w:keepNext w:val="0"/>
              <w:keepLines w:val="0"/>
              <w:widowControl/>
              <w:suppressLineNumbers w:val="0"/>
              <w:spacing w:before="0" w:beforeAutospacing="0" w:after="160" w:afterAutospacing="0" w:line="276" w:lineRule="auto"/>
              <w:ind w:left="0" w:right="0"/>
              <w:jc w:val="left"/>
              <w:rPr>
                <w:rFonts w:hint="default" w:ascii="Times New Roman" w:hAnsi="Times New Roman" w:eastAsia="宋体" w:cs="Times New Roman"/>
                <w:color w:val="000000"/>
                <w:kern w:val="0"/>
                <w:szCs w:val="32"/>
                <w:lang w:eastAsia="en-US"/>
              </w:rPr>
            </w:pPr>
            <w:r>
              <w:rPr>
                <w:rFonts w:hint="eastAsia" w:ascii="Times New Roman" w:hAnsi="Times New Roman" w:eastAsia="宋体" w:cs="Times New Roman"/>
                <w:color w:val="000000"/>
                <w:kern w:val="0"/>
                <w:szCs w:val="32"/>
                <w:lang w:eastAsia="en-US"/>
              </w:rPr>
              <w:t>　　　　　年</w:t>
            </w:r>
            <w:r>
              <w:rPr>
                <w:rFonts w:hint="eastAsia" w:ascii="Times New Roman" w:hAnsi="Times New Roman" w:eastAsia="宋体" w:cs="Times New Roman"/>
                <w:color w:val="000000"/>
                <w:kern w:val="0"/>
                <w:szCs w:val="32"/>
              </w:rPr>
              <w:t xml:space="preserve">  </w:t>
            </w:r>
            <w:r>
              <w:rPr>
                <w:rFonts w:hint="eastAsia" w:ascii="Times New Roman" w:hAnsi="Times New Roman" w:eastAsia="宋体" w:cs="Times New Roman"/>
                <w:color w:val="000000"/>
                <w:kern w:val="0"/>
                <w:szCs w:val="32"/>
                <w:lang w:eastAsia="en-US"/>
              </w:rPr>
              <w:t>月</w:t>
            </w:r>
            <w:r>
              <w:rPr>
                <w:rFonts w:hint="eastAsia" w:ascii="Times New Roman" w:hAnsi="Times New Roman" w:eastAsia="宋体" w:cs="Times New Roman"/>
                <w:color w:val="000000"/>
                <w:kern w:val="0"/>
                <w:szCs w:val="32"/>
              </w:rPr>
              <w:t xml:space="preserve">  </w:t>
            </w:r>
            <w:r>
              <w:rPr>
                <w:rFonts w:hint="eastAsia" w:ascii="Times New Roman" w:hAnsi="Times New Roman" w:eastAsia="宋体" w:cs="Times New Roman"/>
                <w:color w:val="000000"/>
                <w:kern w:val="0"/>
                <w:szCs w:val="32"/>
                <w:lang w:eastAsia="en-US"/>
              </w:rPr>
              <w:t>日</w:t>
            </w:r>
          </w:p>
        </w:tc>
      </w:tr>
      <w:tr w14:paraId="5F97FDB5">
        <w:tblPrEx>
          <w:tblCellMar>
            <w:top w:w="0" w:type="dxa"/>
            <w:left w:w="108" w:type="dxa"/>
            <w:bottom w:w="0" w:type="dxa"/>
            <w:right w:w="108" w:type="dxa"/>
          </w:tblCellMar>
        </w:tblPrEx>
        <w:trPr>
          <w:trHeight w:val="1543" w:hRule="atLeast"/>
          <w:jc w:val="center"/>
        </w:trPr>
        <w:tc>
          <w:tcPr>
            <w:tcW w:w="8383" w:type="dxa"/>
            <w:gridSpan w:val="4"/>
            <w:tcBorders>
              <w:top w:val="single" w:color="auto" w:sz="4" w:space="0"/>
              <w:left w:val="single" w:color="auto" w:sz="8" w:space="0"/>
              <w:bottom w:val="single" w:color="auto" w:sz="4" w:space="0"/>
              <w:right w:val="single" w:color="000000" w:sz="8" w:space="0"/>
            </w:tcBorders>
          </w:tcPr>
          <w:p w14:paraId="58D6A810">
            <w:pPr>
              <w:keepNext w:val="0"/>
              <w:keepLines w:val="0"/>
              <w:widowControl/>
              <w:suppressLineNumbers w:val="0"/>
              <w:spacing w:before="0" w:beforeAutospacing="0" w:after="160" w:afterAutospacing="0" w:line="276" w:lineRule="auto"/>
              <w:ind w:left="0" w:right="0"/>
              <w:jc w:val="left"/>
              <w:rPr>
                <w:rFonts w:hint="default" w:ascii="Times New Roman" w:hAnsi="Times New Roman" w:eastAsia="宋体" w:cs="Times New Roman"/>
                <w:color w:val="000000"/>
                <w:kern w:val="0"/>
                <w:szCs w:val="32"/>
                <w:lang w:eastAsia="en-US"/>
              </w:rPr>
            </w:pPr>
            <w:r>
              <w:rPr>
                <w:rFonts w:hint="eastAsia" w:ascii="Times New Roman" w:hAnsi="Times New Roman" w:eastAsia="宋体" w:cs="Times New Roman"/>
                <w:color w:val="000000"/>
                <w:kern w:val="0"/>
                <w:szCs w:val="32"/>
                <w:lang w:eastAsia="en-US"/>
              </w:rPr>
              <w:t>采购人确认意见（签章）：</w:t>
            </w:r>
          </w:p>
          <w:p w14:paraId="01C83530">
            <w:pPr>
              <w:keepNext w:val="0"/>
              <w:keepLines w:val="0"/>
              <w:widowControl/>
              <w:suppressLineNumbers w:val="0"/>
              <w:spacing w:before="0" w:beforeAutospacing="0" w:after="160" w:afterAutospacing="0" w:line="276" w:lineRule="auto"/>
              <w:ind w:left="0" w:right="0"/>
              <w:jc w:val="left"/>
              <w:rPr>
                <w:rFonts w:hint="eastAsia" w:ascii="Times New Roman" w:hAnsi="Times New Roman" w:eastAsia="宋体" w:cs="Times New Roman"/>
                <w:color w:val="000000"/>
                <w:kern w:val="0"/>
                <w:szCs w:val="32"/>
                <w:lang w:eastAsia="en-US"/>
              </w:rPr>
            </w:pPr>
          </w:p>
          <w:p w14:paraId="205D38E9">
            <w:pPr>
              <w:keepNext w:val="0"/>
              <w:keepLines w:val="0"/>
              <w:widowControl/>
              <w:suppressLineNumbers w:val="0"/>
              <w:spacing w:before="0" w:beforeAutospacing="0" w:after="160" w:afterAutospacing="0" w:line="276" w:lineRule="auto"/>
              <w:ind w:left="0" w:right="0"/>
              <w:jc w:val="left"/>
              <w:rPr>
                <w:rFonts w:hint="default" w:ascii="Times New Roman" w:hAnsi="Times New Roman" w:eastAsia="宋体" w:cs="Times New Roman"/>
                <w:color w:val="000000"/>
                <w:kern w:val="0"/>
                <w:szCs w:val="32"/>
              </w:rPr>
            </w:pPr>
            <w:r>
              <w:rPr>
                <w:rFonts w:hint="eastAsia" w:ascii="Times New Roman" w:hAnsi="Times New Roman" w:eastAsia="宋体" w:cs="Times New Roman"/>
                <w:color w:val="000000"/>
                <w:kern w:val="0"/>
                <w:szCs w:val="32"/>
                <w:lang w:eastAsia="en-US"/>
              </w:rPr>
              <w:t>　　</w:t>
            </w:r>
          </w:p>
          <w:p w14:paraId="377CFC27">
            <w:pPr>
              <w:keepNext w:val="0"/>
              <w:keepLines w:val="0"/>
              <w:widowControl/>
              <w:suppressLineNumbers w:val="0"/>
              <w:spacing w:before="0" w:beforeAutospacing="0" w:after="160" w:afterAutospacing="0" w:line="276" w:lineRule="auto"/>
              <w:ind w:left="0" w:right="0"/>
              <w:jc w:val="left"/>
              <w:rPr>
                <w:rFonts w:hint="default" w:ascii="Times New Roman" w:hAnsi="Times New Roman" w:eastAsia="宋体" w:cs="Times New Roman"/>
                <w:color w:val="000000"/>
                <w:kern w:val="0"/>
                <w:szCs w:val="32"/>
                <w:lang w:eastAsia="en-US"/>
              </w:rPr>
            </w:pPr>
            <w:r>
              <w:rPr>
                <w:rFonts w:hint="eastAsia" w:ascii="Times New Roman" w:hAnsi="Times New Roman" w:eastAsia="宋体" w:cs="Times New Roman"/>
                <w:color w:val="000000"/>
                <w:kern w:val="0"/>
                <w:szCs w:val="32"/>
                <w:lang w:eastAsia="en-US"/>
              </w:rPr>
              <w:t>　　　　　年</w:t>
            </w:r>
            <w:r>
              <w:rPr>
                <w:rFonts w:hint="eastAsia" w:ascii="Times New Roman" w:hAnsi="Times New Roman" w:eastAsia="宋体" w:cs="Times New Roman"/>
                <w:color w:val="000000"/>
                <w:kern w:val="0"/>
                <w:szCs w:val="32"/>
              </w:rPr>
              <w:t xml:space="preserve">  </w:t>
            </w:r>
            <w:r>
              <w:rPr>
                <w:rFonts w:hint="eastAsia" w:ascii="Times New Roman" w:hAnsi="Times New Roman" w:eastAsia="宋体" w:cs="Times New Roman"/>
                <w:color w:val="000000"/>
                <w:kern w:val="0"/>
                <w:szCs w:val="32"/>
                <w:lang w:eastAsia="en-US"/>
              </w:rPr>
              <w:t>月</w:t>
            </w:r>
            <w:r>
              <w:rPr>
                <w:rFonts w:hint="eastAsia" w:ascii="Times New Roman" w:hAnsi="Times New Roman" w:eastAsia="宋体" w:cs="Times New Roman"/>
                <w:color w:val="000000"/>
                <w:kern w:val="0"/>
                <w:szCs w:val="32"/>
              </w:rPr>
              <w:t xml:space="preserve">  </w:t>
            </w:r>
            <w:r>
              <w:rPr>
                <w:rFonts w:hint="eastAsia" w:ascii="Times New Roman" w:hAnsi="Times New Roman" w:eastAsia="宋体" w:cs="Times New Roman"/>
                <w:color w:val="000000"/>
                <w:kern w:val="0"/>
                <w:szCs w:val="32"/>
                <w:lang w:eastAsia="en-US"/>
              </w:rPr>
              <w:t>日</w:t>
            </w:r>
          </w:p>
        </w:tc>
      </w:tr>
    </w:tbl>
    <w:p w14:paraId="37A8FA87">
      <w:pPr>
        <w:ind w:firstLine="879"/>
        <w:rPr>
          <w:rFonts w:hint="eastAsia" w:ascii="宋体" w:hAnsi="宋体" w:eastAsia="宋体" w:cs="宋体"/>
          <w:b/>
          <w:bCs/>
          <w:color w:val="000000"/>
          <w:kern w:val="0"/>
          <w:sz w:val="44"/>
          <w:szCs w:val="44"/>
        </w:rPr>
      </w:pPr>
      <w:r>
        <w:rPr>
          <w:rFonts w:hint="eastAsia" w:ascii="宋体" w:hAnsi="宋体" w:eastAsia="宋体" w:cs="宋体"/>
          <w:b/>
          <w:bCs/>
          <w:color w:val="000000"/>
          <w:kern w:val="0"/>
          <w:sz w:val="44"/>
          <w:szCs w:val="44"/>
        </w:rPr>
        <w:br w:type="page"/>
      </w:r>
    </w:p>
    <w:p w14:paraId="0C740F7D">
      <w:pPr>
        <w:pStyle w:val="10"/>
        <w:spacing w:before="120" w:beforeAutospacing="0" w:after="120" w:afterAutospacing="0" w:line="500" w:lineRule="exact"/>
        <w:ind w:firstLine="799"/>
        <w:jc w:val="center"/>
        <w:outlineLvl w:val="0"/>
        <w:rPr>
          <w:rFonts w:hint="eastAsia" w:ascii="宋体" w:hAnsi="宋体" w:eastAsia="宋体" w:cs="宋体"/>
          <w:sz w:val="22"/>
          <w:szCs w:val="22"/>
        </w:rPr>
      </w:pPr>
      <w:r>
        <w:rPr>
          <w:rFonts w:hint="eastAsia" w:ascii="宋体" w:hAnsi="宋体" w:eastAsia="宋体" w:cs="宋体"/>
          <w:b/>
          <w:bCs/>
          <w:color w:val="000000"/>
          <w:sz w:val="40"/>
          <w:szCs w:val="40"/>
        </w:rPr>
        <w:t>第</w:t>
      </w:r>
      <w:bookmarkEnd w:id="174"/>
      <w:r>
        <w:rPr>
          <w:rFonts w:hint="eastAsia" w:ascii="宋体" w:hAnsi="宋体" w:eastAsia="宋体" w:cs="宋体"/>
          <w:b/>
          <w:bCs/>
          <w:color w:val="000000"/>
          <w:sz w:val="40"/>
          <w:szCs w:val="40"/>
        </w:rPr>
        <w:t>四章  采购需求</w:t>
      </w:r>
      <w:bookmarkEnd w:id="175"/>
      <w:bookmarkEnd w:id="176"/>
      <w:bookmarkEnd w:id="177"/>
      <w:bookmarkEnd w:id="178"/>
      <w:bookmarkEnd w:id="179"/>
      <w:bookmarkEnd w:id="181"/>
    </w:p>
    <w:p w14:paraId="3993192A">
      <w:pPr>
        <w:kinsoku w:val="0"/>
        <w:overflowPunct w:val="0"/>
        <w:spacing w:line="440" w:lineRule="exact"/>
        <w:ind w:firstLine="367" w:firstLineChars="181"/>
        <w:jc w:val="left"/>
        <w:rPr>
          <w:rFonts w:hint="eastAsia" w:asciiTheme="minorEastAsia" w:hAnsiTheme="minorEastAsia" w:cstheme="minorEastAsia"/>
          <w:color w:val="000000"/>
          <w:kern w:val="0"/>
          <w:szCs w:val="21"/>
        </w:rPr>
      </w:pPr>
      <w:r>
        <w:rPr>
          <w:rFonts w:hint="eastAsia" w:asciiTheme="minorEastAsia" w:hAnsiTheme="minorEastAsia" w:cstheme="minorEastAsia"/>
          <w:b/>
          <w:bCs/>
          <w:color w:val="000000"/>
          <w:spacing w:val="-4"/>
          <w:kern w:val="0"/>
          <w:szCs w:val="21"/>
        </w:rPr>
        <w:t>一、项目基本情况</w:t>
      </w:r>
    </w:p>
    <w:p w14:paraId="225F34CB">
      <w:pPr>
        <w:kinsoku w:val="0"/>
        <w:overflowPunct w:val="0"/>
        <w:spacing w:line="440" w:lineRule="exact"/>
        <w:ind w:firstLine="380" w:firstLineChars="181"/>
        <w:jc w:val="left"/>
        <w:rPr>
          <w:rFonts w:hint="eastAsia" w:asciiTheme="minorEastAsia" w:hAnsiTheme="minorEastAsia" w:cstheme="minorEastAsia"/>
          <w:color w:val="000000"/>
          <w:kern w:val="0"/>
          <w:szCs w:val="21"/>
        </w:rPr>
      </w:pPr>
      <w:r>
        <w:rPr>
          <w:rFonts w:hint="eastAsia" w:asciiTheme="minorEastAsia" w:hAnsiTheme="minorEastAsia" w:cstheme="minorEastAsia"/>
          <w:color w:val="000000"/>
          <w:kern w:val="0"/>
          <w:szCs w:val="21"/>
        </w:rPr>
        <w:t>项目名称：大丰区城镇生活污水治理提质增效项目-城区、镇级管网检测项目</w:t>
      </w:r>
    </w:p>
    <w:p w14:paraId="145BA030">
      <w:pPr>
        <w:kinsoku w:val="0"/>
        <w:overflowPunct w:val="0"/>
        <w:spacing w:line="440" w:lineRule="exact"/>
        <w:ind w:firstLine="369" w:firstLineChars="181"/>
        <w:jc w:val="left"/>
        <w:rPr>
          <w:rFonts w:hint="eastAsia" w:asciiTheme="minorEastAsia" w:hAnsiTheme="minorEastAsia" w:cstheme="minorEastAsia"/>
          <w:color w:val="000000"/>
          <w:kern w:val="0"/>
          <w:szCs w:val="21"/>
        </w:rPr>
      </w:pPr>
      <w:r>
        <w:rPr>
          <w:rFonts w:hint="eastAsia" w:asciiTheme="minorEastAsia" w:hAnsiTheme="minorEastAsia" w:cstheme="minorEastAsia"/>
          <w:color w:val="000000"/>
          <w:spacing w:val="-3"/>
          <w:kern w:val="0"/>
          <w:szCs w:val="21"/>
        </w:rPr>
        <w:t>预算金额：1200万元</w:t>
      </w:r>
    </w:p>
    <w:p w14:paraId="5F70AFB6">
      <w:pPr>
        <w:kinsoku w:val="0"/>
        <w:overflowPunct w:val="0"/>
        <w:spacing w:line="440" w:lineRule="exact"/>
        <w:ind w:firstLine="362" w:firstLineChars="181"/>
        <w:jc w:val="left"/>
        <w:rPr>
          <w:rFonts w:hint="eastAsia" w:asciiTheme="minorEastAsia" w:hAnsiTheme="minorEastAsia" w:cstheme="minorEastAsia"/>
          <w:color w:val="000000"/>
          <w:kern w:val="0"/>
          <w:szCs w:val="21"/>
        </w:rPr>
      </w:pPr>
      <w:r>
        <w:rPr>
          <w:rFonts w:hint="eastAsia" w:asciiTheme="minorEastAsia" w:hAnsiTheme="minorEastAsia" w:cstheme="minorEastAsia"/>
          <w:color w:val="000000"/>
          <w:spacing w:val="-5"/>
          <w:kern w:val="0"/>
          <w:szCs w:val="21"/>
        </w:rPr>
        <w:t>最高限价</w:t>
      </w:r>
      <w:r>
        <w:rPr>
          <w:rFonts w:hint="eastAsia" w:asciiTheme="minorEastAsia" w:hAnsiTheme="minorEastAsia" w:cstheme="minorEastAsia"/>
          <w:color w:val="000000"/>
          <w:spacing w:val="18"/>
          <w:kern w:val="0"/>
          <w:szCs w:val="21"/>
        </w:rPr>
        <w:t>：</w:t>
      </w:r>
      <w:r>
        <w:rPr>
          <w:rFonts w:hint="eastAsia" w:asciiTheme="minorEastAsia" w:hAnsiTheme="minorEastAsia" w:cstheme="minorEastAsia"/>
          <w:color w:val="000000"/>
          <w:spacing w:val="-5"/>
          <w:kern w:val="0"/>
          <w:szCs w:val="21"/>
        </w:rPr>
        <w:t>1200万元</w:t>
      </w:r>
    </w:p>
    <w:p w14:paraId="076F6937">
      <w:pPr>
        <w:kinsoku w:val="0"/>
        <w:overflowPunct w:val="0"/>
        <w:spacing w:line="440" w:lineRule="exact"/>
        <w:ind w:firstLine="390" w:firstLineChars="181"/>
        <w:jc w:val="left"/>
        <w:rPr>
          <w:rFonts w:hint="eastAsia" w:asciiTheme="minorEastAsia" w:hAnsiTheme="minorEastAsia" w:cstheme="minorEastAsia"/>
          <w:color w:val="000000"/>
          <w:kern w:val="0"/>
          <w:szCs w:val="21"/>
        </w:rPr>
      </w:pPr>
      <w:r>
        <w:rPr>
          <w:rFonts w:hint="eastAsia" w:asciiTheme="minorEastAsia" w:hAnsiTheme="minorEastAsia" w:cstheme="minorEastAsia"/>
          <w:color w:val="000000"/>
          <w:spacing w:val="3"/>
          <w:kern w:val="0"/>
          <w:szCs w:val="21"/>
        </w:rPr>
        <w:t>采购需求：大丰区城镇生活污水治理提质增效项目-城区、镇级管网检测项目包括但不限于</w:t>
      </w:r>
      <w:r>
        <w:rPr>
          <w:rFonts w:hint="eastAsia" w:asciiTheme="minorEastAsia" w:hAnsiTheme="minorEastAsia" w:cstheme="minorEastAsia"/>
          <w:color w:val="000000"/>
          <w:spacing w:val="2"/>
          <w:kern w:val="0"/>
          <w:szCs w:val="21"/>
        </w:rPr>
        <w:t>：对城区内的小区及周边管网进行CCTV和QV清淤、检测、疏通、测绘等；对镇级板块生活污水管网、提升泵站开展功能性和结构性检测、测绘等。</w:t>
      </w:r>
      <w:r>
        <w:rPr>
          <w:rFonts w:hint="eastAsia" w:asciiTheme="minorEastAsia" w:hAnsiTheme="minorEastAsia" w:cstheme="minorEastAsia"/>
          <w:color w:val="000000"/>
          <w:spacing w:val="3"/>
          <w:kern w:val="0"/>
          <w:szCs w:val="21"/>
        </w:rPr>
        <w:t>对管径DN300以上污水管道实施CCTV检测，对管径DN300（含DN300）以下的管道实施QV镜检测，检测前污水管道降水、疏通和清淤等应满足规范要求。提交测绘和检测成果，数据按要求协助采购人将检测成果数据接入已有的"管网信息化管理平台"系统（城市生命线平台），同时根据外业数据进行分析，出具混接、错接、管道破损等病害方面分析报告（包含不限于）。</w:t>
      </w:r>
    </w:p>
    <w:p w14:paraId="7F7152D9">
      <w:pPr>
        <w:kinsoku w:val="0"/>
        <w:overflowPunct w:val="0"/>
        <w:spacing w:line="440" w:lineRule="exact"/>
        <w:ind w:firstLine="390" w:firstLineChars="181"/>
        <w:jc w:val="left"/>
        <w:rPr>
          <w:rFonts w:hint="eastAsia" w:asciiTheme="minorEastAsia" w:hAnsiTheme="minorEastAsia" w:cstheme="minorEastAsia"/>
          <w:spacing w:val="3"/>
          <w:kern w:val="0"/>
          <w:szCs w:val="21"/>
        </w:rPr>
      </w:pPr>
      <w:r>
        <w:rPr>
          <w:rFonts w:hint="eastAsia" w:asciiTheme="minorEastAsia" w:hAnsiTheme="minorEastAsia" w:cstheme="minorEastAsia"/>
          <w:spacing w:val="3"/>
          <w:kern w:val="0"/>
          <w:szCs w:val="21"/>
        </w:rPr>
        <w:t>排水管网包含雨水管道（包括暗涵、明渠）、合流管道（包括暗涵、明渠）及检查井、截流井、雨水口等全部附属设施。</w:t>
      </w:r>
    </w:p>
    <w:p w14:paraId="4B3D0F77">
      <w:pPr>
        <w:kinsoku w:val="0"/>
        <w:overflowPunct w:val="0"/>
        <w:spacing w:line="440" w:lineRule="exact"/>
        <w:ind w:firstLine="390" w:firstLineChars="181"/>
        <w:jc w:val="left"/>
        <w:rPr>
          <w:rFonts w:hint="eastAsia" w:asciiTheme="minorEastAsia" w:hAnsiTheme="minorEastAsia" w:cstheme="minorEastAsia"/>
          <w:spacing w:val="3"/>
          <w:kern w:val="0"/>
          <w:szCs w:val="21"/>
        </w:rPr>
      </w:pPr>
      <w:r>
        <w:rPr>
          <w:rFonts w:hint="eastAsia" w:asciiTheme="minorEastAsia" w:hAnsiTheme="minorEastAsia" w:cstheme="minorEastAsia"/>
          <w:spacing w:val="3"/>
          <w:kern w:val="0"/>
          <w:szCs w:val="21"/>
        </w:rPr>
        <w:t>排水管网检测、评估范围包含截流管道、合流管道，工作内容中包含清淤、疏通工作，以及完成上述工作所需要进行的施工措施。</w:t>
      </w:r>
    </w:p>
    <w:p w14:paraId="65DB8AAA">
      <w:pPr>
        <w:kinsoku w:val="0"/>
        <w:overflowPunct w:val="0"/>
        <w:spacing w:line="440" w:lineRule="exact"/>
        <w:ind w:firstLine="390" w:firstLineChars="181"/>
        <w:jc w:val="left"/>
        <w:rPr>
          <w:rFonts w:hint="eastAsia" w:asciiTheme="minorEastAsia" w:hAnsiTheme="minorEastAsia" w:cstheme="minorEastAsia"/>
          <w:spacing w:val="3"/>
          <w:kern w:val="0"/>
          <w:szCs w:val="21"/>
        </w:rPr>
      </w:pPr>
      <w:r>
        <w:rPr>
          <w:rFonts w:hint="eastAsia" w:asciiTheme="minorEastAsia" w:hAnsiTheme="minorEastAsia" w:cstheme="minorEastAsia"/>
          <w:spacing w:val="3"/>
          <w:kern w:val="0"/>
          <w:szCs w:val="21"/>
        </w:rPr>
        <w:t>以查错混接和管网缺陷为目的的管线调查，包含所有排水管网，对于通过管线普查无法发现的错混接点、缺陷点，雨水管道需通过管道封堵、降水进一步排查，以及完成上述工作所需要进行的施工措施。</w:t>
      </w:r>
    </w:p>
    <w:p w14:paraId="72D33CBF">
      <w:pPr>
        <w:kinsoku w:val="0"/>
        <w:overflowPunct w:val="0"/>
        <w:spacing w:line="440" w:lineRule="exact"/>
        <w:ind w:firstLine="390" w:firstLineChars="181"/>
        <w:jc w:val="left"/>
        <w:rPr>
          <w:rFonts w:hint="eastAsia" w:asciiTheme="minorEastAsia" w:hAnsiTheme="minorEastAsia" w:cstheme="minorEastAsia"/>
          <w:spacing w:val="3"/>
          <w:kern w:val="0"/>
          <w:szCs w:val="21"/>
        </w:rPr>
      </w:pPr>
      <w:r>
        <w:rPr>
          <w:rFonts w:hint="eastAsia" w:asciiTheme="minorEastAsia" w:hAnsiTheme="minorEastAsia" w:cstheme="minorEastAsia"/>
          <w:spacing w:val="3"/>
          <w:kern w:val="0"/>
          <w:szCs w:val="21"/>
        </w:rPr>
        <w:t>管网检测内容包括排水管道视频检测，提供管网结构性和功能性等检测报告，本次清淤检测范围内走向分布图及其他相关资料等。</w:t>
      </w:r>
    </w:p>
    <w:p w14:paraId="486DBE0B">
      <w:pPr>
        <w:kinsoku w:val="0"/>
        <w:overflowPunct w:val="0"/>
        <w:spacing w:line="440" w:lineRule="exact"/>
        <w:ind w:firstLine="390" w:firstLineChars="181"/>
        <w:jc w:val="left"/>
        <w:rPr>
          <w:rFonts w:hint="eastAsia" w:asciiTheme="minorEastAsia" w:hAnsiTheme="minorEastAsia" w:cstheme="minorEastAsia"/>
          <w:color w:val="000000"/>
          <w:kern w:val="0"/>
          <w:szCs w:val="21"/>
        </w:rPr>
      </w:pPr>
      <w:r>
        <w:rPr>
          <w:rFonts w:hint="eastAsia" w:asciiTheme="minorEastAsia" w:hAnsiTheme="minorEastAsia" w:cstheme="minorEastAsia"/>
          <w:spacing w:val="3"/>
          <w:kern w:val="0"/>
          <w:szCs w:val="21"/>
        </w:rPr>
        <w:t>合同履行期限：100日历天</w:t>
      </w:r>
    </w:p>
    <w:p w14:paraId="2A479490">
      <w:pPr>
        <w:kinsoku w:val="0"/>
        <w:overflowPunct w:val="0"/>
        <w:spacing w:line="440" w:lineRule="exact"/>
        <w:ind w:firstLine="371" w:firstLineChars="181"/>
        <w:jc w:val="left"/>
        <w:rPr>
          <w:rFonts w:hint="eastAsia" w:asciiTheme="minorEastAsia" w:hAnsiTheme="minorEastAsia" w:cstheme="minorEastAsia"/>
          <w:color w:val="000000"/>
          <w:kern w:val="0"/>
          <w:szCs w:val="21"/>
        </w:rPr>
      </w:pPr>
      <w:r>
        <w:rPr>
          <w:rFonts w:hint="eastAsia" w:asciiTheme="minorEastAsia" w:hAnsiTheme="minorEastAsia" w:cstheme="minorEastAsia"/>
          <w:b/>
          <w:bCs/>
          <w:color w:val="000000"/>
          <w:spacing w:val="-3"/>
          <w:kern w:val="0"/>
          <w:szCs w:val="21"/>
        </w:rPr>
        <w:t>二、技术要求及相关说明</w:t>
      </w:r>
    </w:p>
    <w:p w14:paraId="679B95E8">
      <w:pPr>
        <w:kinsoku w:val="0"/>
        <w:overflowPunct w:val="0"/>
        <w:spacing w:line="440" w:lineRule="exact"/>
        <w:ind w:firstLine="362" w:firstLineChars="181"/>
        <w:contextualSpacing/>
        <w:jc w:val="left"/>
        <w:rPr>
          <w:rFonts w:hint="eastAsia" w:asciiTheme="minorEastAsia" w:hAnsiTheme="minorEastAsia" w:cstheme="minorEastAsia"/>
          <w:color w:val="000000"/>
          <w:kern w:val="0"/>
          <w:szCs w:val="21"/>
        </w:rPr>
      </w:pPr>
      <w:r>
        <w:rPr>
          <w:rFonts w:hint="eastAsia" w:asciiTheme="minorEastAsia" w:hAnsiTheme="minorEastAsia" w:cstheme="minorEastAsia"/>
          <w:color w:val="000000"/>
          <w:spacing w:val="-5"/>
          <w:kern w:val="0"/>
          <w:szCs w:val="21"/>
        </w:rPr>
        <w:t>1、技术要求</w:t>
      </w:r>
    </w:p>
    <w:p w14:paraId="20CC4186">
      <w:pPr>
        <w:kinsoku w:val="0"/>
        <w:overflowPunct w:val="0"/>
        <w:spacing w:line="440" w:lineRule="exact"/>
        <w:ind w:firstLine="372" w:firstLineChars="181"/>
        <w:contextualSpacing/>
        <w:jc w:val="left"/>
        <w:rPr>
          <w:rFonts w:hint="eastAsia" w:asciiTheme="minorEastAsia" w:hAnsiTheme="minorEastAsia" w:cstheme="minorEastAsia"/>
          <w:color w:val="000000"/>
          <w:kern w:val="0"/>
          <w:szCs w:val="21"/>
        </w:rPr>
      </w:pPr>
      <w:r>
        <w:rPr>
          <w:rFonts w:hint="eastAsia" w:asciiTheme="minorEastAsia" w:hAnsiTheme="minorEastAsia" w:cstheme="minorEastAsia"/>
          <w:color w:val="000000"/>
          <w:spacing w:val="-2"/>
          <w:kern w:val="0"/>
          <w:szCs w:val="21"/>
        </w:rPr>
        <w:t>（一）本项目采用的技术规范</w:t>
      </w:r>
    </w:p>
    <w:p w14:paraId="246F5131">
      <w:pPr>
        <w:kinsoku w:val="0"/>
        <w:overflowPunct w:val="0"/>
        <w:spacing w:line="440" w:lineRule="exact"/>
        <w:ind w:firstLine="376" w:firstLineChars="181"/>
        <w:contextualSpacing/>
        <w:jc w:val="left"/>
        <w:rPr>
          <w:rFonts w:hint="eastAsia" w:asciiTheme="minorEastAsia" w:hAnsiTheme="minorEastAsia" w:cstheme="minorEastAsia"/>
          <w:color w:val="000000"/>
          <w:kern w:val="0"/>
          <w:szCs w:val="21"/>
        </w:rPr>
      </w:pPr>
      <w:r>
        <w:rPr>
          <w:rFonts w:hint="eastAsia" w:asciiTheme="minorEastAsia" w:hAnsiTheme="minorEastAsia" w:cstheme="minorEastAsia"/>
          <w:color w:val="000000"/>
          <w:spacing w:val="-1"/>
          <w:kern w:val="0"/>
          <w:szCs w:val="21"/>
        </w:rPr>
        <w:t>本项目实施的材料、设备及技术方法，必须达到国</w:t>
      </w:r>
      <w:r>
        <w:rPr>
          <w:rFonts w:hint="eastAsia" w:asciiTheme="minorEastAsia" w:hAnsiTheme="minorEastAsia" w:cstheme="minorEastAsia"/>
          <w:color w:val="000000"/>
          <w:spacing w:val="-2"/>
          <w:kern w:val="0"/>
          <w:szCs w:val="21"/>
        </w:rPr>
        <w:t>家、省、市及行业现行有关规定、标准、规范要求。</w:t>
      </w:r>
    </w:p>
    <w:p w14:paraId="29872BC6">
      <w:pPr>
        <w:kinsoku w:val="0"/>
        <w:overflowPunct w:val="0"/>
        <w:spacing w:line="440" w:lineRule="exact"/>
        <w:ind w:firstLine="369" w:firstLineChars="181"/>
        <w:jc w:val="left"/>
        <w:rPr>
          <w:rFonts w:hint="eastAsia" w:asciiTheme="minorEastAsia" w:hAnsiTheme="minorEastAsia" w:cstheme="minorEastAsia"/>
          <w:color w:val="000000"/>
          <w:kern w:val="0"/>
          <w:szCs w:val="21"/>
        </w:rPr>
      </w:pPr>
      <w:r>
        <w:rPr>
          <w:rFonts w:hint="eastAsia" w:asciiTheme="minorEastAsia" w:hAnsiTheme="minorEastAsia" w:cstheme="minorEastAsia"/>
          <w:color w:val="000000"/>
          <w:spacing w:val="-3"/>
          <w:kern w:val="0"/>
          <w:szCs w:val="21"/>
        </w:rPr>
        <w:t>（二）工艺的特殊要求</w:t>
      </w:r>
    </w:p>
    <w:p w14:paraId="2B751B4F">
      <w:pPr>
        <w:kinsoku w:val="0"/>
        <w:overflowPunct w:val="0"/>
        <w:spacing w:line="440" w:lineRule="exact"/>
        <w:ind w:firstLine="372" w:firstLineChars="181"/>
        <w:jc w:val="left"/>
        <w:rPr>
          <w:rFonts w:hint="eastAsia" w:asciiTheme="minorEastAsia" w:hAnsiTheme="minorEastAsia" w:cstheme="minorEastAsia"/>
          <w:color w:val="000000"/>
          <w:kern w:val="0"/>
          <w:szCs w:val="21"/>
        </w:rPr>
      </w:pPr>
      <w:r>
        <w:rPr>
          <w:rFonts w:hint="eastAsia" w:asciiTheme="minorEastAsia" w:hAnsiTheme="minorEastAsia" w:cstheme="minorEastAsia"/>
          <w:color w:val="000000"/>
          <w:spacing w:val="-2"/>
          <w:kern w:val="0"/>
          <w:szCs w:val="21"/>
        </w:rPr>
        <w:t>1、污水管网检测</w:t>
      </w:r>
    </w:p>
    <w:p w14:paraId="19FB713A">
      <w:pPr>
        <w:kinsoku w:val="0"/>
        <w:overflowPunct w:val="0"/>
        <w:spacing w:line="440" w:lineRule="exact"/>
        <w:ind w:firstLine="390" w:firstLineChars="181"/>
        <w:jc w:val="left"/>
        <w:rPr>
          <w:rFonts w:hint="eastAsia" w:asciiTheme="minorEastAsia" w:hAnsiTheme="minorEastAsia" w:cstheme="minorEastAsia"/>
          <w:color w:val="000000"/>
          <w:kern w:val="0"/>
          <w:szCs w:val="21"/>
        </w:rPr>
      </w:pPr>
      <w:r>
        <w:rPr>
          <w:rFonts w:hint="eastAsia" w:asciiTheme="minorEastAsia" w:hAnsiTheme="minorEastAsia" w:cstheme="minorEastAsia"/>
          <w:color w:val="000000"/>
          <w:spacing w:val="3"/>
          <w:kern w:val="0"/>
          <w:szCs w:val="21"/>
        </w:rPr>
        <w:t>管道采用</w:t>
      </w:r>
      <w:r>
        <w:rPr>
          <w:rFonts w:hint="eastAsia" w:asciiTheme="minorEastAsia" w:hAnsiTheme="minorEastAsia" w:cstheme="minorEastAsia"/>
          <w:color w:val="000000"/>
          <w:kern w:val="0"/>
          <w:szCs w:val="21"/>
        </w:rPr>
        <w:t>CCTV</w:t>
      </w:r>
      <w:r>
        <w:rPr>
          <w:rFonts w:hint="eastAsia" w:asciiTheme="minorEastAsia" w:hAnsiTheme="minorEastAsia" w:cstheme="minorEastAsia"/>
          <w:color w:val="000000"/>
          <w:spacing w:val="3"/>
          <w:kern w:val="0"/>
          <w:szCs w:val="21"/>
        </w:rPr>
        <w:t>和</w:t>
      </w:r>
      <w:r>
        <w:rPr>
          <w:rFonts w:hint="eastAsia" w:asciiTheme="minorEastAsia" w:hAnsiTheme="minorEastAsia" w:cstheme="minorEastAsia"/>
          <w:color w:val="000000"/>
          <w:kern w:val="0"/>
          <w:szCs w:val="21"/>
        </w:rPr>
        <w:t>QV</w:t>
      </w:r>
      <w:r>
        <w:rPr>
          <w:rFonts w:hint="eastAsia" w:asciiTheme="minorEastAsia" w:hAnsiTheme="minorEastAsia" w:cstheme="minorEastAsia"/>
          <w:color w:val="000000"/>
          <w:spacing w:val="3"/>
          <w:kern w:val="0"/>
          <w:szCs w:val="21"/>
        </w:rPr>
        <w:t>检测，如因客观原因，无法采用</w:t>
      </w:r>
      <w:r>
        <w:rPr>
          <w:rFonts w:hint="eastAsia" w:asciiTheme="minorEastAsia" w:hAnsiTheme="minorEastAsia" w:cstheme="minorEastAsia"/>
          <w:color w:val="000000"/>
          <w:kern w:val="0"/>
          <w:szCs w:val="21"/>
        </w:rPr>
        <w:t>CCTV</w:t>
      </w:r>
      <w:r>
        <w:rPr>
          <w:rFonts w:hint="eastAsia" w:asciiTheme="minorEastAsia" w:hAnsiTheme="minorEastAsia" w:cstheme="minorEastAsia"/>
          <w:color w:val="000000"/>
          <w:spacing w:val="3"/>
          <w:kern w:val="0"/>
          <w:szCs w:val="21"/>
        </w:rPr>
        <w:t>和</w:t>
      </w:r>
      <w:r>
        <w:rPr>
          <w:rFonts w:hint="eastAsia" w:asciiTheme="minorEastAsia" w:hAnsiTheme="minorEastAsia" w:cstheme="minorEastAsia"/>
          <w:color w:val="000000"/>
          <w:kern w:val="0"/>
          <w:szCs w:val="21"/>
        </w:rPr>
        <w:t>QV</w:t>
      </w:r>
      <w:r>
        <w:rPr>
          <w:rFonts w:hint="eastAsia" w:asciiTheme="minorEastAsia" w:hAnsiTheme="minorEastAsia" w:cstheme="minorEastAsia"/>
          <w:color w:val="000000"/>
          <w:spacing w:val="3"/>
          <w:kern w:val="0"/>
          <w:szCs w:val="21"/>
        </w:rPr>
        <w:t>检测的管道，经采</w:t>
      </w:r>
      <w:r>
        <w:rPr>
          <w:rFonts w:hint="eastAsia" w:asciiTheme="minorEastAsia" w:hAnsiTheme="minorEastAsia" w:cstheme="minorEastAsia"/>
          <w:color w:val="000000"/>
          <w:spacing w:val="6"/>
          <w:kern w:val="0"/>
          <w:szCs w:val="21"/>
        </w:rPr>
        <w:t>购人与监理单位同意后，可以采用声呐或其他采购人可接受的方式进行检测</w:t>
      </w:r>
      <w:r>
        <w:rPr>
          <w:rFonts w:hint="eastAsia" w:asciiTheme="minorEastAsia" w:hAnsiTheme="minorEastAsia" w:cstheme="minorEastAsia"/>
          <w:color w:val="000000"/>
          <w:spacing w:val="-1"/>
          <w:kern w:val="0"/>
          <w:szCs w:val="21"/>
        </w:rPr>
        <w:t>。</w:t>
      </w:r>
    </w:p>
    <w:p w14:paraId="05902141">
      <w:pPr>
        <w:kinsoku w:val="0"/>
        <w:overflowPunct w:val="0"/>
        <w:spacing w:line="440" w:lineRule="exact"/>
        <w:ind w:firstLine="387" w:firstLineChars="181"/>
        <w:jc w:val="left"/>
        <w:rPr>
          <w:rFonts w:hint="eastAsia" w:asciiTheme="minorEastAsia" w:hAnsiTheme="minorEastAsia" w:cstheme="minorEastAsia"/>
          <w:color w:val="000000"/>
          <w:kern w:val="0"/>
          <w:szCs w:val="21"/>
        </w:rPr>
      </w:pPr>
      <w:r>
        <w:rPr>
          <w:rFonts w:hint="eastAsia" w:asciiTheme="minorEastAsia" w:hAnsiTheme="minorEastAsia" w:cstheme="minorEastAsia"/>
          <w:color w:val="000000"/>
          <w:spacing w:val="2"/>
          <w:kern w:val="0"/>
          <w:szCs w:val="21"/>
        </w:rPr>
        <w:t xml:space="preserve">1.1  </w:t>
      </w:r>
      <w:r>
        <w:rPr>
          <w:rFonts w:hint="eastAsia" w:asciiTheme="minorEastAsia" w:hAnsiTheme="minorEastAsia" w:cstheme="minorEastAsia"/>
          <w:color w:val="000000"/>
          <w:kern w:val="0"/>
          <w:szCs w:val="21"/>
        </w:rPr>
        <w:t>CCTV</w:t>
      </w:r>
      <w:r>
        <w:rPr>
          <w:rFonts w:hint="eastAsia" w:asciiTheme="minorEastAsia" w:hAnsiTheme="minorEastAsia" w:cstheme="minorEastAsia"/>
          <w:color w:val="000000"/>
          <w:spacing w:val="2"/>
          <w:kern w:val="0"/>
          <w:szCs w:val="21"/>
        </w:rPr>
        <w:t>检测：检测范围为指定范围内</w:t>
      </w:r>
      <w:r>
        <w:rPr>
          <w:rFonts w:hint="eastAsia" w:asciiTheme="minorEastAsia" w:hAnsiTheme="minorEastAsia" w:cstheme="minorEastAsia"/>
          <w:color w:val="000000"/>
          <w:spacing w:val="3"/>
          <w:kern w:val="0"/>
          <w:szCs w:val="21"/>
        </w:rPr>
        <w:t>管径DN300以上</w:t>
      </w:r>
      <w:r>
        <w:rPr>
          <w:rFonts w:hint="eastAsia" w:asciiTheme="minorEastAsia" w:hAnsiTheme="minorEastAsia" w:cstheme="minorEastAsia"/>
          <w:color w:val="000000"/>
          <w:spacing w:val="2"/>
          <w:kern w:val="0"/>
          <w:szCs w:val="21"/>
        </w:rPr>
        <w:t>污水管道；检测内容包括临时封</w:t>
      </w:r>
      <w:r>
        <w:rPr>
          <w:rFonts w:hint="eastAsia" w:asciiTheme="minorEastAsia" w:hAnsiTheme="minorEastAsia" w:cstheme="minorEastAsia"/>
          <w:color w:val="000000"/>
          <w:kern w:val="0"/>
          <w:szCs w:val="21"/>
        </w:rPr>
        <w:t>堵、渡水、潜水、降排水、CCTV检测、出具检</w:t>
      </w:r>
      <w:r>
        <w:rPr>
          <w:rFonts w:hint="eastAsia" w:asciiTheme="minorEastAsia" w:hAnsiTheme="minorEastAsia" w:cstheme="minorEastAsia"/>
          <w:color w:val="000000"/>
          <w:spacing w:val="-1"/>
          <w:kern w:val="0"/>
          <w:szCs w:val="21"/>
        </w:rPr>
        <w:t>测报告（含影像资料）等；</w:t>
      </w:r>
    </w:p>
    <w:p w14:paraId="6BE1BD5C">
      <w:pPr>
        <w:kinsoku w:val="0"/>
        <w:overflowPunct w:val="0"/>
        <w:spacing w:line="440" w:lineRule="exact"/>
        <w:ind w:firstLine="387" w:firstLineChars="181"/>
        <w:jc w:val="left"/>
        <w:rPr>
          <w:rFonts w:hint="eastAsia" w:asciiTheme="minorEastAsia" w:hAnsiTheme="minorEastAsia" w:cstheme="minorEastAsia"/>
          <w:color w:val="000000"/>
          <w:kern w:val="0"/>
          <w:szCs w:val="21"/>
        </w:rPr>
      </w:pPr>
      <w:r>
        <w:rPr>
          <w:rFonts w:hint="eastAsia" w:asciiTheme="minorEastAsia" w:hAnsiTheme="minorEastAsia" w:cstheme="minorEastAsia"/>
          <w:color w:val="000000"/>
          <w:spacing w:val="2"/>
          <w:kern w:val="0"/>
          <w:szCs w:val="21"/>
        </w:rPr>
        <w:t xml:space="preserve">1.2  </w:t>
      </w:r>
      <w:r>
        <w:rPr>
          <w:rFonts w:hint="eastAsia" w:asciiTheme="minorEastAsia" w:hAnsiTheme="minorEastAsia" w:cstheme="minorEastAsia"/>
          <w:color w:val="000000"/>
          <w:kern w:val="0"/>
          <w:szCs w:val="21"/>
        </w:rPr>
        <w:t>QV</w:t>
      </w:r>
      <w:r>
        <w:rPr>
          <w:rFonts w:hint="eastAsia" w:asciiTheme="minorEastAsia" w:hAnsiTheme="minorEastAsia" w:cstheme="minorEastAsia"/>
          <w:color w:val="000000"/>
          <w:spacing w:val="2"/>
          <w:kern w:val="0"/>
          <w:szCs w:val="21"/>
        </w:rPr>
        <w:t>检测：检测范围为指定范围内管</w:t>
      </w:r>
      <w:r>
        <w:rPr>
          <w:rFonts w:hint="eastAsia" w:asciiTheme="minorEastAsia" w:hAnsiTheme="minorEastAsia" w:cstheme="minorEastAsia"/>
          <w:color w:val="000000"/>
          <w:spacing w:val="3"/>
          <w:kern w:val="0"/>
          <w:szCs w:val="21"/>
        </w:rPr>
        <w:t>径DN300（含DN300）以下的</w:t>
      </w:r>
      <w:r>
        <w:rPr>
          <w:rFonts w:hint="eastAsia" w:asciiTheme="minorEastAsia" w:hAnsiTheme="minorEastAsia" w:cstheme="minorEastAsia"/>
          <w:color w:val="000000"/>
          <w:spacing w:val="2"/>
          <w:kern w:val="0"/>
          <w:szCs w:val="21"/>
        </w:rPr>
        <w:t>污水管道；检测内容包括潜望镜检测、出</w:t>
      </w:r>
      <w:r>
        <w:rPr>
          <w:rFonts w:hint="eastAsia" w:asciiTheme="minorEastAsia" w:hAnsiTheme="minorEastAsia" w:cstheme="minorEastAsia"/>
          <w:color w:val="000000"/>
          <w:spacing w:val="-2"/>
          <w:kern w:val="0"/>
          <w:szCs w:val="21"/>
        </w:rPr>
        <w:t>具检测报告（含影像资料）等，按照采购人要求出具CAD图纸；</w:t>
      </w:r>
    </w:p>
    <w:p w14:paraId="2CC82282">
      <w:pPr>
        <w:kinsoku w:val="0"/>
        <w:overflowPunct w:val="0"/>
        <w:spacing w:line="440" w:lineRule="exact"/>
        <w:ind w:firstLine="372" w:firstLineChars="181"/>
        <w:jc w:val="left"/>
        <w:rPr>
          <w:rFonts w:hint="eastAsia" w:asciiTheme="minorEastAsia" w:hAnsiTheme="minorEastAsia" w:cstheme="minorEastAsia"/>
          <w:color w:val="000000"/>
          <w:kern w:val="0"/>
          <w:szCs w:val="21"/>
        </w:rPr>
      </w:pPr>
      <w:r>
        <w:rPr>
          <w:rFonts w:hint="eastAsia" w:asciiTheme="minorEastAsia" w:hAnsiTheme="minorEastAsia" w:cstheme="minorEastAsia"/>
          <w:color w:val="000000"/>
          <w:spacing w:val="-2"/>
          <w:kern w:val="0"/>
          <w:szCs w:val="21"/>
        </w:rPr>
        <w:t>1.3  CCTV、QV及暗管（暗沟）检测要求：</w:t>
      </w:r>
    </w:p>
    <w:p w14:paraId="33A599B1">
      <w:pPr>
        <w:kinsoku w:val="0"/>
        <w:overflowPunct w:val="0"/>
        <w:spacing w:line="440" w:lineRule="exact"/>
        <w:ind w:firstLine="380" w:firstLineChars="181"/>
        <w:jc w:val="left"/>
        <w:rPr>
          <w:rFonts w:hint="eastAsia" w:asciiTheme="minorEastAsia" w:hAnsiTheme="minorEastAsia" w:cstheme="minorEastAsia"/>
          <w:color w:val="000000"/>
          <w:kern w:val="0"/>
          <w:szCs w:val="21"/>
        </w:rPr>
      </w:pPr>
      <w:r>
        <w:rPr>
          <w:rFonts w:hint="eastAsia" w:asciiTheme="minorEastAsia" w:hAnsiTheme="minorEastAsia" w:cstheme="minorEastAsia"/>
          <w:color w:val="000000"/>
          <w:kern w:val="0"/>
          <w:szCs w:val="21"/>
        </w:rPr>
        <w:t>1.3.1外观质量检测（含管道内部视频资料</w:t>
      </w:r>
      <w:r>
        <w:rPr>
          <w:rFonts w:hint="eastAsia" w:asciiTheme="minorEastAsia" w:hAnsiTheme="minorEastAsia" w:cstheme="minorEastAsia"/>
          <w:color w:val="000000"/>
          <w:spacing w:val="6"/>
          <w:kern w:val="0"/>
          <w:szCs w:val="21"/>
        </w:rPr>
        <w:t>）：</w:t>
      </w:r>
      <w:r>
        <w:rPr>
          <w:rFonts w:hint="eastAsia" w:asciiTheme="minorEastAsia" w:hAnsiTheme="minorEastAsia" w:cstheme="minorEastAsia"/>
          <w:color w:val="000000"/>
          <w:kern w:val="0"/>
          <w:szCs w:val="21"/>
        </w:rPr>
        <w:t>对</w:t>
      </w:r>
      <w:r>
        <w:rPr>
          <w:rFonts w:hint="eastAsia" w:asciiTheme="minorEastAsia" w:hAnsiTheme="minorEastAsia" w:cstheme="minorEastAsia"/>
          <w:color w:val="000000"/>
          <w:spacing w:val="6"/>
          <w:kern w:val="0"/>
          <w:szCs w:val="21"/>
        </w:rPr>
        <w:t>管道管壁、接口等部位进行外观检查，对各部位的</w:t>
      </w:r>
      <w:r>
        <w:rPr>
          <w:rFonts w:hint="eastAsia" w:asciiTheme="minorEastAsia" w:hAnsiTheme="minorEastAsia" w:cstheme="minorEastAsia"/>
          <w:color w:val="000000"/>
          <w:spacing w:val="5"/>
          <w:kern w:val="0"/>
          <w:szCs w:val="21"/>
        </w:rPr>
        <w:t>外观质量</w:t>
      </w:r>
      <w:r>
        <w:rPr>
          <w:rFonts w:hint="eastAsia" w:asciiTheme="minorEastAsia" w:hAnsiTheme="minorEastAsia" w:cstheme="minorEastAsia"/>
          <w:color w:val="000000"/>
          <w:spacing w:val="6"/>
          <w:kern w:val="0"/>
          <w:szCs w:val="21"/>
        </w:rPr>
        <w:t>进行评价；按提供图纸在井室内标注所查管段井号，内部视频资料必须清晰、</w:t>
      </w:r>
      <w:r>
        <w:rPr>
          <w:rFonts w:hint="eastAsia" w:asciiTheme="minorEastAsia" w:hAnsiTheme="minorEastAsia" w:cstheme="minorEastAsia"/>
          <w:color w:val="000000"/>
          <w:spacing w:val="5"/>
          <w:kern w:val="0"/>
          <w:szCs w:val="21"/>
        </w:rPr>
        <w:t>连续、完</w:t>
      </w:r>
      <w:r>
        <w:rPr>
          <w:rFonts w:hint="eastAsia" w:asciiTheme="minorEastAsia" w:hAnsiTheme="minorEastAsia" w:cstheme="minorEastAsia"/>
          <w:color w:val="000000"/>
          <w:spacing w:val="6"/>
          <w:kern w:val="0"/>
          <w:szCs w:val="21"/>
        </w:rPr>
        <w:t>整，能准确反映管道内部情况，检测报告图片必须清晰、多角度的反映病害情</w:t>
      </w:r>
      <w:r>
        <w:rPr>
          <w:rFonts w:hint="eastAsia" w:asciiTheme="minorEastAsia" w:hAnsiTheme="minorEastAsia" w:cstheme="minorEastAsia"/>
          <w:color w:val="000000"/>
          <w:spacing w:val="5"/>
          <w:kern w:val="0"/>
          <w:szCs w:val="21"/>
        </w:rPr>
        <w:t>况，并把</w:t>
      </w:r>
      <w:r>
        <w:rPr>
          <w:rFonts w:hint="eastAsia" w:asciiTheme="minorEastAsia" w:hAnsiTheme="minorEastAsia" w:cstheme="minorEastAsia"/>
          <w:color w:val="000000"/>
          <w:kern w:val="0"/>
          <w:szCs w:val="21"/>
        </w:rPr>
        <w:t>标注的井号拍摄在视频内；按要求填写检查井调查表，并将其作为</w:t>
      </w:r>
      <w:r>
        <w:rPr>
          <w:rFonts w:hint="eastAsia" w:asciiTheme="minorEastAsia" w:hAnsiTheme="minorEastAsia" w:cstheme="minorEastAsia"/>
          <w:color w:val="000000"/>
          <w:spacing w:val="-1"/>
          <w:kern w:val="0"/>
          <w:szCs w:val="21"/>
        </w:rPr>
        <w:t>成果资料之一上交。</w:t>
      </w:r>
    </w:p>
    <w:p w14:paraId="3CA7AAB1">
      <w:pPr>
        <w:kinsoku w:val="0"/>
        <w:overflowPunct w:val="0"/>
        <w:spacing w:line="440" w:lineRule="exact"/>
        <w:ind w:firstLine="376" w:firstLineChars="181"/>
        <w:jc w:val="left"/>
        <w:rPr>
          <w:rFonts w:hint="eastAsia" w:asciiTheme="minorEastAsia" w:hAnsiTheme="minorEastAsia" w:cstheme="minorEastAsia"/>
          <w:color w:val="000000"/>
          <w:kern w:val="0"/>
          <w:szCs w:val="21"/>
        </w:rPr>
      </w:pPr>
      <w:r>
        <w:rPr>
          <w:rFonts w:hint="eastAsia" w:asciiTheme="minorEastAsia" w:hAnsiTheme="minorEastAsia" w:cstheme="minorEastAsia"/>
          <w:color w:val="000000"/>
          <w:spacing w:val="-1"/>
          <w:kern w:val="0"/>
          <w:szCs w:val="21"/>
        </w:rPr>
        <w:t>1.3.2破裂检测：对管道内有裂缝</w:t>
      </w:r>
      <w:r>
        <w:rPr>
          <w:rFonts w:hint="eastAsia" w:asciiTheme="minorEastAsia" w:hAnsiTheme="minorEastAsia" w:cstheme="minorEastAsia"/>
          <w:color w:val="000000"/>
          <w:spacing w:val="-2"/>
          <w:kern w:val="0"/>
          <w:szCs w:val="21"/>
        </w:rPr>
        <w:t>的部位，</w:t>
      </w:r>
      <w:r>
        <w:rPr>
          <w:rFonts w:hint="eastAsia" w:asciiTheme="minorEastAsia" w:hAnsiTheme="minorEastAsia" w:cstheme="minorEastAsia"/>
          <w:color w:val="000000"/>
          <w:spacing w:val="-1"/>
          <w:kern w:val="0"/>
          <w:szCs w:val="21"/>
        </w:rPr>
        <w:t>检测裂缝的宽度、深度、长度及其分布情况；</w:t>
      </w:r>
    </w:p>
    <w:p w14:paraId="0914FDFC">
      <w:pPr>
        <w:kinsoku w:val="0"/>
        <w:overflowPunct w:val="0"/>
        <w:spacing w:line="440" w:lineRule="exact"/>
        <w:ind w:firstLine="380" w:firstLineChars="181"/>
        <w:jc w:val="left"/>
        <w:rPr>
          <w:rFonts w:hint="eastAsia" w:asciiTheme="minorEastAsia" w:hAnsiTheme="minorEastAsia" w:cstheme="minorEastAsia"/>
          <w:color w:val="000000"/>
          <w:kern w:val="0"/>
          <w:szCs w:val="21"/>
        </w:rPr>
      </w:pPr>
      <w:r>
        <w:rPr>
          <w:rFonts w:hint="eastAsia" w:asciiTheme="minorEastAsia" w:hAnsiTheme="minorEastAsia" w:cstheme="minorEastAsia"/>
          <w:color w:val="000000"/>
          <w:kern w:val="0"/>
          <w:szCs w:val="21"/>
        </w:rPr>
        <w:t>1.3.3变形检测：对</w:t>
      </w:r>
      <w:r>
        <w:rPr>
          <w:rFonts w:hint="eastAsia" w:asciiTheme="minorEastAsia" w:hAnsiTheme="minorEastAsia" w:cstheme="minorEastAsia"/>
          <w:color w:val="000000"/>
          <w:spacing w:val="-1"/>
          <w:kern w:val="0"/>
          <w:szCs w:val="21"/>
        </w:rPr>
        <w:t>管道内</w:t>
      </w:r>
      <w:r>
        <w:rPr>
          <w:rFonts w:hint="eastAsia" w:asciiTheme="minorEastAsia" w:hAnsiTheme="minorEastAsia" w:cstheme="minorEastAsia"/>
          <w:color w:val="000000"/>
          <w:kern w:val="0"/>
          <w:szCs w:val="21"/>
        </w:rPr>
        <w:t>各部位受外力挤</w:t>
      </w:r>
      <w:r>
        <w:rPr>
          <w:rFonts w:hint="eastAsia" w:asciiTheme="minorEastAsia" w:hAnsiTheme="minorEastAsia" w:cstheme="minorEastAsia"/>
          <w:color w:val="000000"/>
          <w:spacing w:val="-1"/>
          <w:kern w:val="0"/>
          <w:szCs w:val="21"/>
        </w:rPr>
        <w:t>压造成的形状变异进行评价；</w:t>
      </w:r>
    </w:p>
    <w:p w14:paraId="761FBE92">
      <w:pPr>
        <w:kinsoku w:val="0"/>
        <w:overflowPunct w:val="0"/>
        <w:spacing w:line="440" w:lineRule="exact"/>
        <w:ind w:firstLine="376" w:firstLineChars="181"/>
        <w:jc w:val="left"/>
        <w:rPr>
          <w:rFonts w:hint="eastAsia" w:asciiTheme="minorEastAsia" w:hAnsiTheme="minorEastAsia" w:cstheme="minorEastAsia"/>
          <w:color w:val="000000"/>
          <w:kern w:val="0"/>
          <w:szCs w:val="21"/>
        </w:rPr>
      </w:pPr>
      <w:r>
        <w:rPr>
          <w:rFonts w:hint="eastAsia" w:asciiTheme="minorEastAsia" w:hAnsiTheme="minorEastAsia" w:cstheme="minorEastAsia"/>
          <w:color w:val="000000"/>
          <w:spacing w:val="-1"/>
          <w:kern w:val="0"/>
          <w:szCs w:val="21"/>
        </w:rPr>
        <w:t>1.3.4砼腐蚀性检测：对管壁腐蚀情况进行测定，对砼结构的侵蚀程度进行评价；</w:t>
      </w:r>
    </w:p>
    <w:p w14:paraId="0FD4BFC9">
      <w:pPr>
        <w:kinsoku w:val="0"/>
        <w:overflowPunct w:val="0"/>
        <w:spacing w:line="440" w:lineRule="exact"/>
        <w:ind w:firstLine="376" w:firstLineChars="181"/>
        <w:jc w:val="left"/>
        <w:rPr>
          <w:rFonts w:hint="eastAsia" w:asciiTheme="minorEastAsia" w:hAnsiTheme="minorEastAsia" w:cstheme="minorEastAsia"/>
          <w:color w:val="000000"/>
          <w:kern w:val="0"/>
          <w:szCs w:val="21"/>
        </w:rPr>
      </w:pPr>
      <w:r>
        <w:rPr>
          <w:rFonts w:hint="eastAsia" w:asciiTheme="minorEastAsia" w:hAnsiTheme="minorEastAsia" w:cstheme="minorEastAsia"/>
          <w:color w:val="000000"/>
          <w:spacing w:val="-1"/>
          <w:kern w:val="0"/>
          <w:szCs w:val="21"/>
        </w:rPr>
        <w:t>1.3.5错口检测：对管道接口的错位进行检测，错口影响排水的程度进行评价；</w:t>
      </w:r>
    </w:p>
    <w:p w14:paraId="1A6C8556">
      <w:pPr>
        <w:kinsoku w:val="0"/>
        <w:overflowPunct w:val="0"/>
        <w:spacing w:line="440" w:lineRule="exact"/>
        <w:ind w:firstLine="380" w:firstLineChars="181"/>
        <w:jc w:val="left"/>
        <w:rPr>
          <w:rFonts w:hint="eastAsia" w:asciiTheme="minorEastAsia" w:hAnsiTheme="minorEastAsia" w:cstheme="minorEastAsia"/>
          <w:color w:val="000000"/>
          <w:kern w:val="0"/>
          <w:szCs w:val="21"/>
        </w:rPr>
      </w:pPr>
      <w:r>
        <w:rPr>
          <w:rFonts w:hint="eastAsia" w:asciiTheme="minorEastAsia" w:hAnsiTheme="minorEastAsia" w:cstheme="minorEastAsia"/>
          <w:color w:val="000000"/>
          <w:kern w:val="0"/>
          <w:szCs w:val="21"/>
        </w:rPr>
        <w:t>1.3.6起伏检测：对管道接口位置偏移，管道竖向位置变化进行测定，并对位置变化</w:t>
      </w:r>
      <w:r>
        <w:rPr>
          <w:rFonts w:hint="eastAsia" w:asciiTheme="minorEastAsia" w:hAnsiTheme="minorEastAsia" w:cstheme="minorEastAsia"/>
          <w:color w:val="000000"/>
          <w:spacing w:val="-1"/>
          <w:kern w:val="0"/>
          <w:szCs w:val="21"/>
        </w:rPr>
        <w:t>造成的影响进行评价；</w:t>
      </w:r>
    </w:p>
    <w:p w14:paraId="5469273F">
      <w:pPr>
        <w:kinsoku w:val="0"/>
        <w:overflowPunct w:val="0"/>
        <w:spacing w:line="440" w:lineRule="exact"/>
        <w:ind w:firstLine="380" w:firstLineChars="181"/>
        <w:jc w:val="left"/>
        <w:rPr>
          <w:rFonts w:hint="eastAsia" w:asciiTheme="minorEastAsia" w:hAnsiTheme="minorEastAsia" w:cstheme="minorEastAsia"/>
          <w:color w:val="000000"/>
          <w:kern w:val="0"/>
          <w:szCs w:val="21"/>
        </w:rPr>
      </w:pPr>
      <w:r>
        <w:rPr>
          <w:rFonts w:hint="eastAsia" w:asciiTheme="minorEastAsia" w:hAnsiTheme="minorEastAsia" w:cstheme="minorEastAsia"/>
          <w:color w:val="000000"/>
          <w:kern w:val="0"/>
          <w:szCs w:val="21"/>
        </w:rPr>
        <w:t>1.3.7脱节评价：对两根管道的端部未充分接合或接口脱离进行测定，并对脱节造成</w:t>
      </w:r>
      <w:r>
        <w:rPr>
          <w:rFonts w:hint="eastAsia" w:asciiTheme="minorEastAsia" w:hAnsiTheme="minorEastAsia" w:cstheme="minorEastAsia"/>
          <w:color w:val="000000"/>
          <w:spacing w:val="-4"/>
          <w:kern w:val="0"/>
          <w:szCs w:val="21"/>
        </w:rPr>
        <w:t>的影响进行评价；</w:t>
      </w:r>
    </w:p>
    <w:p w14:paraId="2D95EA16">
      <w:pPr>
        <w:kinsoku w:val="0"/>
        <w:overflowPunct w:val="0"/>
        <w:spacing w:line="440" w:lineRule="exact"/>
        <w:ind w:firstLine="380" w:firstLineChars="181"/>
        <w:jc w:val="left"/>
        <w:rPr>
          <w:rFonts w:hint="eastAsia" w:asciiTheme="minorEastAsia" w:hAnsiTheme="minorEastAsia" w:cstheme="minorEastAsia"/>
          <w:color w:val="000000"/>
          <w:kern w:val="0"/>
          <w:szCs w:val="21"/>
        </w:rPr>
      </w:pPr>
      <w:r>
        <w:rPr>
          <w:rFonts w:hint="eastAsia" w:asciiTheme="minorEastAsia" w:hAnsiTheme="minorEastAsia" w:cstheme="minorEastAsia"/>
          <w:color w:val="000000"/>
          <w:kern w:val="0"/>
          <w:szCs w:val="21"/>
        </w:rPr>
        <w:t>1.3.8接口材料脱落检测：对管道接口位置橡胶圈、沥青或混凝土脱落进行检测，并</w:t>
      </w:r>
      <w:r>
        <w:rPr>
          <w:rFonts w:hint="eastAsia" w:asciiTheme="minorEastAsia" w:hAnsiTheme="minorEastAsia" w:cstheme="minorEastAsia"/>
          <w:color w:val="000000"/>
          <w:spacing w:val="-1"/>
          <w:kern w:val="0"/>
          <w:szCs w:val="21"/>
        </w:rPr>
        <w:t>对接口可能造成的空洞、漏水等现象进行评价；</w:t>
      </w:r>
    </w:p>
    <w:p w14:paraId="6F20A2CC">
      <w:pPr>
        <w:kinsoku w:val="0"/>
        <w:overflowPunct w:val="0"/>
        <w:spacing w:line="440" w:lineRule="exact"/>
        <w:ind w:firstLine="380" w:firstLineChars="181"/>
        <w:jc w:val="left"/>
        <w:rPr>
          <w:rFonts w:hint="eastAsia" w:asciiTheme="minorEastAsia" w:hAnsiTheme="minorEastAsia" w:cstheme="minorEastAsia"/>
          <w:color w:val="000000"/>
          <w:kern w:val="0"/>
          <w:szCs w:val="21"/>
        </w:rPr>
      </w:pPr>
      <w:r>
        <w:rPr>
          <w:rFonts w:hint="eastAsia" w:asciiTheme="minorEastAsia" w:hAnsiTheme="minorEastAsia" w:cstheme="minorEastAsia"/>
          <w:color w:val="000000"/>
          <w:kern w:val="0"/>
          <w:szCs w:val="21"/>
        </w:rPr>
        <w:t>1.3.9雨污混接检测：对雨污混接管道进行检测；支管暗接检测：对支管未通过检查</w:t>
      </w:r>
      <w:r>
        <w:rPr>
          <w:rFonts w:hint="eastAsia" w:asciiTheme="minorEastAsia" w:hAnsiTheme="minorEastAsia" w:cstheme="minorEastAsia"/>
          <w:color w:val="000000"/>
          <w:spacing w:val="-1"/>
          <w:kern w:val="0"/>
          <w:szCs w:val="21"/>
        </w:rPr>
        <w:t>井直接侧向接入管道进行检测；</w:t>
      </w:r>
    </w:p>
    <w:p w14:paraId="54ADFA5F">
      <w:pPr>
        <w:kinsoku w:val="0"/>
        <w:overflowPunct w:val="0"/>
        <w:spacing w:line="440" w:lineRule="exact"/>
        <w:ind w:firstLine="387" w:firstLineChars="181"/>
        <w:jc w:val="left"/>
        <w:rPr>
          <w:rFonts w:hint="eastAsia" w:asciiTheme="minorEastAsia" w:hAnsiTheme="minorEastAsia" w:cstheme="minorEastAsia"/>
          <w:color w:val="000000"/>
          <w:kern w:val="0"/>
          <w:szCs w:val="21"/>
        </w:rPr>
      </w:pPr>
      <w:r>
        <w:rPr>
          <w:rFonts w:hint="eastAsia" w:asciiTheme="minorEastAsia" w:hAnsiTheme="minorEastAsia" w:cstheme="minorEastAsia"/>
          <w:color w:val="000000"/>
          <w:spacing w:val="2"/>
          <w:kern w:val="0"/>
          <w:szCs w:val="21"/>
        </w:rPr>
        <w:t>1.3.10异物穿入检测：对非排水系统附属设施的物体穿透管</w:t>
      </w:r>
      <w:r>
        <w:rPr>
          <w:rFonts w:hint="eastAsia" w:asciiTheme="minorEastAsia" w:hAnsiTheme="minorEastAsia" w:cstheme="minorEastAsia"/>
          <w:color w:val="000000"/>
          <w:spacing w:val="1"/>
          <w:kern w:val="0"/>
          <w:szCs w:val="21"/>
        </w:rPr>
        <w:t>壁进入管道进行检测，</w:t>
      </w:r>
      <w:r>
        <w:rPr>
          <w:rFonts w:hint="eastAsia" w:asciiTheme="minorEastAsia" w:hAnsiTheme="minorEastAsia" w:cstheme="minorEastAsia"/>
          <w:color w:val="000000"/>
          <w:spacing w:val="-2"/>
          <w:kern w:val="0"/>
          <w:szCs w:val="21"/>
        </w:rPr>
        <w:t>并对可能造成的影响进行评价；</w:t>
      </w:r>
    </w:p>
    <w:p w14:paraId="7586C909">
      <w:pPr>
        <w:kinsoku w:val="0"/>
        <w:overflowPunct w:val="0"/>
        <w:spacing w:line="440" w:lineRule="exact"/>
        <w:ind w:firstLine="383" w:firstLineChars="181"/>
        <w:jc w:val="left"/>
        <w:rPr>
          <w:rFonts w:hint="eastAsia" w:asciiTheme="minorEastAsia" w:hAnsiTheme="minorEastAsia" w:cstheme="minorEastAsia"/>
          <w:color w:val="000000"/>
          <w:kern w:val="0"/>
          <w:szCs w:val="21"/>
        </w:rPr>
      </w:pPr>
      <w:r>
        <w:rPr>
          <w:rFonts w:hint="eastAsia" w:asciiTheme="minorEastAsia" w:hAnsiTheme="minorEastAsia" w:cstheme="minorEastAsia"/>
          <w:color w:val="000000"/>
          <w:spacing w:val="1"/>
          <w:kern w:val="0"/>
          <w:szCs w:val="21"/>
        </w:rPr>
        <w:t>1.3.11渗漏检测：对管道外水流入管道情况进行检测；</w:t>
      </w:r>
    </w:p>
    <w:p w14:paraId="111B26F1">
      <w:pPr>
        <w:kinsoku w:val="0"/>
        <w:overflowPunct w:val="0"/>
        <w:spacing w:line="440" w:lineRule="exact"/>
        <w:ind w:firstLine="390" w:firstLineChars="181"/>
        <w:jc w:val="left"/>
        <w:rPr>
          <w:rFonts w:hint="eastAsia" w:asciiTheme="minorEastAsia" w:hAnsiTheme="minorEastAsia" w:cstheme="minorEastAsia"/>
          <w:color w:val="000000"/>
          <w:spacing w:val="-1"/>
          <w:kern w:val="0"/>
          <w:szCs w:val="21"/>
        </w:rPr>
      </w:pPr>
      <w:r>
        <w:rPr>
          <w:rFonts w:hint="eastAsia" w:asciiTheme="minorEastAsia" w:hAnsiTheme="minorEastAsia" w:cstheme="minorEastAsia"/>
          <w:color w:val="000000"/>
          <w:spacing w:val="3"/>
          <w:kern w:val="0"/>
          <w:szCs w:val="21"/>
        </w:rPr>
        <w:t>1.3.12功能性缺陷检测：对管道内沉积、结垢、障碍物、残墙、坝根，树</w:t>
      </w:r>
      <w:r>
        <w:rPr>
          <w:rFonts w:hint="eastAsia" w:asciiTheme="minorEastAsia" w:hAnsiTheme="minorEastAsia" w:cstheme="minorEastAsia"/>
          <w:color w:val="000000"/>
          <w:spacing w:val="-1"/>
          <w:kern w:val="0"/>
          <w:szCs w:val="21"/>
        </w:rPr>
        <w:t>根，浮渣等情况进行检测。</w:t>
      </w:r>
    </w:p>
    <w:p w14:paraId="3727B21F">
      <w:pPr>
        <w:kinsoku w:val="0"/>
        <w:overflowPunct w:val="0"/>
        <w:spacing w:line="440" w:lineRule="exact"/>
        <w:ind w:firstLine="380" w:firstLineChars="181"/>
        <w:jc w:val="left"/>
        <w:rPr>
          <w:rFonts w:hint="eastAsia" w:asciiTheme="minorEastAsia" w:hAnsiTheme="minorEastAsia" w:cstheme="minorEastAsia"/>
          <w:color w:val="000000"/>
          <w:kern w:val="0"/>
          <w:szCs w:val="21"/>
        </w:rPr>
      </w:pPr>
      <w:r>
        <w:rPr>
          <w:rFonts w:hint="eastAsia" w:asciiTheme="minorEastAsia" w:hAnsiTheme="minorEastAsia" w:cstheme="minorEastAsia"/>
          <w:color w:val="000000"/>
          <w:kern w:val="0"/>
          <w:szCs w:val="21"/>
        </w:rPr>
        <w:t>（三）检测依据</w:t>
      </w:r>
      <w:r>
        <w:rPr>
          <w:rFonts w:hint="eastAsia" w:asciiTheme="minorEastAsia" w:hAnsiTheme="minorEastAsia" w:cstheme="minorEastAsia"/>
          <w:color w:val="000000"/>
          <w:spacing w:val="-11"/>
          <w:kern w:val="0"/>
          <w:szCs w:val="21"/>
        </w:rPr>
        <w:t>：（</w:t>
      </w:r>
      <w:r>
        <w:rPr>
          <w:rFonts w:hint="eastAsia" w:asciiTheme="minorEastAsia" w:hAnsiTheme="minorEastAsia" w:cstheme="minorEastAsia"/>
          <w:color w:val="000000"/>
          <w:kern w:val="0"/>
          <w:szCs w:val="21"/>
        </w:rPr>
        <w:t>以下相关政策如有最新标准，按照最新标准执行）</w:t>
      </w:r>
    </w:p>
    <w:p w14:paraId="0A42ED50">
      <w:pPr>
        <w:kinsoku w:val="0"/>
        <w:overflowPunct w:val="0"/>
        <w:spacing w:line="440" w:lineRule="exact"/>
        <w:ind w:firstLine="372" w:firstLineChars="181"/>
        <w:jc w:val="left"/>
        <w:rPr>
          <w:rFonts w:hint="eastAsia" w:asciiTheme="minorEastAsia" w:hAnsiTheme="minorEastAsia" w:cstheme="minorEastAsia"/>
          <w:color w:val="000000"/>
          <w:kern w:val="0"/>
          <w:szCs w:val="21"/>
        </w:rPr>
      </w:pPr>
      <w:r>
        <w:rPr>
          <w:rFonts w:hint="eastAsia" w:asciiTheme="minorEastAsia" w:hAnsiTheme="minorEastAsia" w:cstheme="minorEastAsia"/>
          <w:color w:val="000000"/>
          <w:spacing w:val="-2"/>
          <w:kern w:val="0"/>
          <w:szCs w:val="21"/>
        </w:rPr>
        <w:t>1、《城镇排水与污水处理条例》2013年9月18日国务</w:t>
      </w:r>
      <w:r>
        <w:rPr>
          <w:rFonts w:hint="eastAsia" w:asciiTheme="minorEastAsia" w:hAnsiTheme="minorEastAsia" w:cstheme="minorEastAsia"/>
          <w:color w:val="000000"/>
          <w:spacing w:val="-3"/>
          <w:kern w:val="0"/>
          <w:szCs w:val="21"/>
        </w:rPr>
        <w:t>院第24次常务会议通过，</w:t>
      </w:r>
      <w:r>
        <w:rPr>
          <w:rFonts w:hint="eastAsia" w:asciiTheme="minorEastAsia" w:hAnsiTheme="minorEastAsia" w:cstheme="minorEastAsia"/>
          <w:color w:val="000000"/>
          <w:spacing w:val="-14"/>
          <w:kern w:val="0"/>
          <w:szCs w:val="21"/>
        </w:rPr>
        <w:t>自2014年1月1日起施行。</w:t>
      </w:r>
    </w:p>
    <w:p w14:paraId="6002041C">
      <w:pPr>
        <w:kinsoku w:val="0"/>
        <w:overflowPunct w:val="0"/>
        <w:spacing w:line="440" w:lineRule="exact"/>
        <w:ind w:firstLine="376" w:firstLineChars="181"/>
        <w:jc w:val="left"/>
        <w:rPr>
          <w:rFonts w:hint="eastAsia" w:asciiTheme="minorEastAsia" w:hAnsiTheme="minorEastAsia" w:cstheme="minorEastAsia"/>
          <w:color w:val="000000"/>
          <w:kern w:val="0"/>
          <w:szCs w:val="21"/>
        </w:rPr>
      </w:pPr>
      <w:r>
        <w:rPr>
          <w:rFonts w:hint="eastAsia" w:asciiTheme="minorEastAsia" w:hAnsiTheme="minorEastAsia" w:cstheme="minorEastAsia"/>
          <w:color w:val="000000"/>
          <w:spacing w:val="-1"/>
          <w:kern w:val="0"/>
          <w:szCs w:val="21"/>
        </w:rPr>
        <w:t>2、《室外排水设计标准》GB50014</w:t>
      </w:r>
    </w:p>
    <w:p w14:paraId="03D4C335">
      <w:pPr>
        <w:kinsoku w:val="0"/>
        <w:overflowPunct w:val="0"/>
        <w:spacing w:line="440" w:lineRule="exact"/>
        <w:ind w:firstLine="376" w:firstLineChars="181"/>
        <w:jc w:val="left"/>
        <w:rPr>
          <w:rFonts w:hint="eastAsia" w:asciiTheme="minorEastAsia" w:hAnsiTheme="minorEastAsia" w:cstheme="minorEastAsia"/>
          <w:color w:val="000000"/>
          <w:kern w:val="0"/>
          <w:szCs w:val="21"/>
        </w:rPr>
      </w:pPr>
      <w:r>
        <w:rPr>
          <w:rFonts w:hint="eastAsia" w:asciiTheme="minorEastAsia" w:hAnsiTheme="minorEastAsia" w:cstheme="minorEastAsia"/>
          <w:color w:val="000000"/>
          <w:spacing w:val="-1"/>
          <w:kern w:val="0"/>
          <w:szCs w:val="21"/>
        </w:rPr>
        <w:t>3、《城镇给水排水技术规范》GB50788</w:t>
      </w:r>
    </w:p>
    <w:p w14:paraId="3191576E">
      <w:pPr>
        <w:kinsoku w:val="0"/>
        <w:overflowPunct w:val="0"/>
        <w:spacing w:line="440" w:lineRule="exact"/>
        <w:ind w:firstLine="376" w:firstLineChars="181"/>
        <w:jc w:val="left"/>
        <w:rPr>
          <w:rFonts w:hint="eastAsia" w:asciiTheme="minorEastAsia" w:hAnsiTheme="minorEastAsia" w:cstheme="minorEastAsia"/>
          <w:color w:val="000000"/>
          <w:kern w:val="0"/>
          <w:szCs w:val="21"/>
        </w:rPr>
      </w:pPr>
      <w:r>
        <w:rPr>
          <w:rFonts w:hint="eastAsia" w:asciiTheme="minorEastAsia" w:hAnsiTheme="minorEastAsia" w:cstheme="minorEastAsia"/>
          <w:color w:val="000000"/>
          <w:spacing w:val="-1"/>
          <w:kern w:val="0"/>
          <w:szCs w:val="21"/>
        </w:rPr>
        <w:t>4、《给水排水管道工程施工及验收规范》GB50268</w:t>
      </w:r>
    </w:p>
    <w:p w14:paraId="494F5769">
      <w:pPr>
        <w:kinsoku w:val="0"/>
        <w:overflowPunct w:val="0"/>
        <w:spacing w:line="440" w:lineRule="exact"/>
        <w:ind w:firstLine="376" w:firstLineChars="181"/>
        <w:jc w:val="left"/>
        <w:rPr>
          <w:rFonts w:hint="eastAsia" w:asciiTheme="minorEastAsia" w:hAnsiTheme="minorEastAsia" w:cstheme="minorEastAsia"/>
          <w:color w:val="000000"/>
          <w:kern w:val="0"/>
          <w:szCs w:val="21"/>
        </w:rPr>
      </w:pPr>
      <w:r>
        <w:rPr>
          <w:rFonts w:hint="eastAsia" w:asciiTheme="minorEastAsia" w:hAnsiTheme="minorEastAsia" w:cstheme="minorEastAsia"/>
          <w:color w:val="000000"/>
          <w:spacing w:val="-1"/>
          <w:kern w:val="0"/>
          <w:szCs w:val="21"/>
        </w:rPr>
        <w:t>5、《城镇排水管道检测与评估技术规程》CJJ181-2012</w:t>
      </w:r>
    </w:p>
    <w:p w14:paraId="251CE25E">
      <w:pPr>
        <w:kinsoku w:val="0"/>
        <w:overflowPunct w:val="0"/>
        <w:spacing w:line="440" w:lineRule="exact"/>
        <w:ind w:firstLine="376" w:firstLineChars="181"/>
        <w:jc w:val="left"/>
        <w:rPr>
          <w:rFonts w:hint="eastAsia" w:asciiTheme="minorEastAsia" w:hAnsiTheme="minorEastAsia" w:cstheme="minorEastAsia"/>
          <w:color w:val="000000"/>
          <w:kern w:val="0"/>
          <w:szCs w:val="21"/>
        </w:rPr>
      </w:pPr>
      <w:r>
        <w:rPr>
          <w:rFonts w:hint="eastAsia" w:asciiTheme="minorEastAsia" w:hAnsiTheme="minorEastAsia" w:cstheme="minorEastAsia"/>
          <w:color w:val="000000"/>
          <w:spacing w:val="-1"/>
          <w:kern w:val="0"/>
          <w:szCs w:val="21"/>
        </w:rPr>
        <w:t>6、《排水管道维护安全技术规程》CJJ6-2009</w:t>
      </w:r>
    </w:p>
    <w:p w14:paraId="3B98A0ED">
      <w:pPr>
        <w:kinsoku w:val="0"/>
        <w:overflowPunct w:val="0"/>
        <w:spacing w:line="440" w:lineRule="exact"/>
        <w:ind w:firstLine="376" w:firstLineChars="181"/>
        <w:jc w:val="left"/>
        <w:rPr>
          <w:rFonts w:hint="eastAsia" w:asciiTheme="minorEastAsia" w:hAnsiTheme="minorEastAsia" w:cstheme="minorEastAsia"/>
          <w:color w:val="000000"/>
          <w:kern w:val="0"/>
          <w:szCs w:val="21"/>
        </w:rPr>
      </w:pPr>
      <w:r>
        <w:rPr>
          <w:rFonts w:hint="eastAsia" w:asciiTheme="minorEastAsia" w:hAnsiTheme="minorEastAsia" w:cstheme="minorEastAsia"/>
          <w:color w:val="000000"/>
          <w:spacing w:val="-1"/>
          <w:kern w:val="0"/>
          <w:szCs w:val="21"/>
        </w:rPr>
        <w:t>7、《城市地下管线探测技术规程》CJJ61-2017</w:t>
      </w:r>
    </w:p>
    <w:p w14:paraId="2FC36689">
      <w:pPr>
        <w:kinsoku w:val="0"/>
        <w:overflowPunct w:val="0"/>
        <w:spacing w:line="440" w:lineRule="exact"/>
        <w:ind w:firstLine="380" w:firstLineChars="181"/>
        <w:jc w:val="left"/>
        <w:rPr>
          <w:rFonts w:hint="eastAsia" w:asciiTheme="minorEastAsia" w:hAnsiTheme="minorEastAsia" w:cstheme="minorEastAsia"/>
          <w:color w:val="000000"/>
          <w:kern w:val="0"/>
          <w:szCs w:val="21"/>
        </w:rPr>
      </w:pPr>
      <w:r>
        <w:rPr>
          <w:rFonts w:hint="eastAsia" w:asciiTheme="minorEastAsia" w:hAnsiTheme="minorEastAsia" w:cstheme="minorEastAsia"/>
          <w:color w:val="000000"/>
          <w:kern w:val="0"/>
          <w:szCs w:val="21"/>
        </w:rPr>
        <w:t>8、《江苏省城镇排水管网排查评估技术导则》（苏建城</w:t>
      </w:r>
      <w:r>
        <w:rPr>
          <w:rFonts w:hint="eastAsia" w:asciiTheme="minorEastAsia" w:hAnsiTheme="minorEastAsia" w:cstheme="minorEastAsia"/>
          <w:color w:val="000000"/>
          <w:spacing w:val="-1"/>
          <w:kern w:val="0"/>
          <w:szCs w:val="21"/>
        </w:rPr>
        <w:t>〔2020〕138号）</w:t>
      </w:r>
    </w:p>
    <w:p w14:paraId="10CAF646">
      <w:pPr>
        <w:kinsoku w:val="0"/>
        <w:overflowPunct w:val="0"/>
        <w:spacing w:line="440" w:lineRule="exact"/>
        <w:ind w:firstLine="376" w:firstLineChars="181"/>
        <w:jc w:val="left"/>
        <w:rPr>
          <w:rFonts w:hint="eastAsia" w:asciiTheme="minorEastAsia" w:hAnsiTheme="minorEastAsia" w:cstheme="minorEastAsia"/>
          <w:color w:val="000000"/>
          <w:kern w:val="0"/>
          <w:szCs w:val="21"/>
        </w:rPr>
      </w:pPr>
      <w:r>
        <w:rPr>
          <w:rFonts w:hint="eastAsia" w:asciiTheme="minorEastAsia" w:hAnsiTheme="minorEastAsia" w:cstheme="minorEastAsia"/>
          <w:color w:val="000000"/>
          <w:spacing w:val="-1"/>
          <w:kern w:val="0"/>
          <w:szCs w:val="21"/>
        </w:rPr>
        <w:t>9、《江苏省城镇污水处理提质增效行动-管网排查技术导则》</w:t>
      </w:r>
    </w:p>
    <w:p w14:paraId="28064435">
      <w:pPr>
        <w:kinsoku w:val="0"/>
        <w:overflowPunct w:val="0"/>
        <w:spacing w:line="440" w:lineRule="exact"/>
        <w:ind w:firstLine="372" w:firstLineChars="181"/>
        <w:jc w:val="left"/>
        <w:rPr>
          <w:rFonts w:hint="eastAsia" w:asciiTheme="minorEastAsia" w:hAnsiTheme="minorEastAsia" w:cstheme="minorEastAsia"/>
          <w:color w:val="000000"/>
          <w:kern w:val="0"/>
          <w:szCs w:val="21"/>
        </w:rPr>
      </w:pPr>
      <w:r>
        <w:rPr>
          <w:rFonts w:hint="eastAsia" w:asciiTheme="minorEastAsia" w:hAnsiTheme="minorEastAsia" w:cstheme="minorEastAsia"/>
          <w:color w:val="000000"/>
          <w:spacing w:val="-2"/>
          <w:kern w:val="0"/>
          <w:szCs w:val="21"/>
        </w:rPr>
        <w:t>10、CJJ6城镇排水管道维护安全技术规范</w:t>
      </w:r>
    </w:p>
    <w:p w14:paraId="5662CC01">
      <w:pPr>
        <w:kinsoku w:val="0"/>
        <w:overflowPunct w:val="0"/>
        <w:spacing w:line="440" w:lineRule="exact"/>
        <w:ind w:firstLine="387" w:firstLineChars="181"/>
        <w:jc w:val="left"/>
        <w:rPr>
          <w:rFonts w:hint="eastAsia" w:asciiTheme="minorEastAsia" w:hAnsiTheme="minorEastAsia" w:cstheme="minorEastAsia"/>
          <w:color w:val="000000"/>
          <w:kern w:val="0"/>
          <w:szCs w:val="21"/>
        </w:rPr>
      </w:pPr>
      <w:r>
        <w:rPr>
          <w:rFonts w:hint="eastAsia" w:asciiTheme="minorEastAsia" w:hAnsiTheme="minorEastAsia" w:cstheme="minorEastAsia"/>
          <w:color w:val="000000"/>
          <w:spacing w:val="2"/>
          <w:kern w:val="0"/>
          <w:szCs w:val="21"/>
        </w:rPr>
        <w:t>11、</w:t>
      </w:r>
      <w:r>
        <w:rPr>
          <w:rFonts w:hint="eastAsia" w:asciiTheme="minorEastAsia" w:hAnsiTheme="minorEastAsia" w:cstheme="minorEastAsia"/>
          <w:color w:val="000000"/>
          <w:kern w:val="0"/>
          <w:szCs w:val="21"/>
        </w:rPr>
        <w:t>CJJ</w:t>
      </w:r>
      <w:r>
        <w:rPr>
          <w:rFonts w:hint="eastAsia" w:asciiTheme="minorEastAsia" w:hAnsiTheme="minorEastAsia" w:cstheme="minorEastAsia"/>
          <w:color w:val="000000"/>
          <w:spacing w:val="2"/>
          <w:kern w:val="0"/>
          <w:szCs w:val="21"/>
        </w:rPr>
        <w:t>68城镇排水管渠与泵站运行、维护及安全技术规程、</w:t>
      </w:r>
      <w:r>
        <w:rPr>
          <w:rFonts w:hint="eastAsia" w:asciiTheme="minorEastAsia" w:hAnsiTheme="minorEastAsia" w:cstheme="minorEastAsia"/>
          <w:color w:val="000000"/>
          <w:kern w:val="0"/>
          <w:szCs w:val="21"/>
        </w:rPr>
        <w:t>CJJ</w:t>
      </w:r>
      <w:r>
        <w:rPr>
          <w:rFonts w:hint="eastAsia" w:asciiTheme="minorEastAsia" w:hAnsiTheme="minorEastAsia" w:cstheme="minorEastAsia"/>
          <w:color w:val="000000"/>
          <w:spacing w:val="2"/>
          <w:kern w:val="0"/>
          <w:szCs w:val="21"/>
        </w:rPr>
        <w:t>/T210城镇排水管</w:t>
      </w:r>
      <w:r>
        <w:rPr>
          <w:rFonts w:hint="eastAsia" w:asciiTheme="minorEastAsia" w:hAnsiTheme="minorEastAsia" w:cstheme="minorEastAsia"/>
          <w:color w:val="000000"/>
          <w:spacing w:val="-1"/>
          <w:kern w:val="0"/>
          <w:szCs w:val="21"/>
        </w:rPr>
        <w:t>道非开挖修复更新工程技术规程要求</w:t>
      </w:r>
    </w:p>
    <w:p w14:paraId="22EC7F1D">
      <w:pPr>
        <w:kinsoku w:val="0"/>
        <w:overflowPunct w:val="0"/>
        <w:spacing w:line="440" w:lineRule="exact"/>
        <w:ind w:firstLine="376" w:firstLineChars="181"/>
        <w:jc w:val="left"/>
        <w:rPr>
          <w:rFonts w:hint="eastAsia" w:asciiTheme="minorEastAsia" w:hAnsiTheme="minorEastAsia" w:cstheme="minorEastAsia"/>
          <w:color w:val="000000"/>
          <w:kern w:val="0"/>
          <w:szCs w:val="21"/>
        </w:rPr>
      </w:pPr>
      <w:r>
        <w:rPr>
          <w:rFonts w:hint="eastAsia" w:asciiTheme="minorEastAsia" w:hAnsiTheme="minorEastAsia" w:cstheme="minorEastAsia"/>
          <w:color w:val="000000"/>
          <w:spacing w:val="-1"/>
          <w:kern w:val="0"/>
          <w:szCs w:val="21"/>
        </w:rPr>
        <w:t>12、其它有关现行国家、地方、行业设计规范、标准及强制性条文。</w:t>
      </w:r>
    </w:p>
    <w:p w14:paraId="7EC2B397">
      <w:pPr>
        <w:kinsoku w:val="0"/>
        <w:overflowPunct w:val="0"/>
        <w:spacing w:line="440" w:lineRule="exact"/>
        <w:ind w:firstLine="369" w:firstLineChars="181"/>
        <w:jc w:val="left"/>
        <w:rPr>
          <w:rFonts w:hint="eastAsia" w:asciiTheme="minorEastAsia" w:hAnsiTheme="minorEastAsia" w:cstheme="minorEastAsia"/>
          <w:color w:val="000000"/>
          <w:kern w:val="0"/>
          <w:szCs w:val="21"/>
        </w:rPr>
      </w:pPr>
      <w:r>
        <w:rPr>
          <w:rFonts w:hint="eastAsia" w:asciiTheme="minorEastAsia" w:hAnsiTheme="minorEastAsia" w:cstheme="minorEastAsia"/>
          <w:color w:val="000000"/>
          <w:spacing w:val="-3"/>
          <w:kern w:val="0"/>
          <w:szCs w:val="21"/>
        </w:rPr>
        <w:t>（四）注意事项</w:t>
      </w:r>
    </w:p>
    <w:p w14:paraId="27323B2D">
      <w:pPr>
        <w:kinsoku w:val="0"/>
        <w:overflowPunct w:val="0"/>
        <w:spacing w:line="440" w:lineRule="exact"/>
        <w:ind w:firstLine="369" w:firstLineChars="181"/>
        <w:jc w:val="left"/>
        <w:rPr>
          <w:rFonts w:hint="eastAsia" w:asciiTheme="minorEastAsia" w:hAnsiTheme="minorEastAsia" w:cstheme="minorEastAsia"/>
          <w:color w:val="000000"/>
          <w:kern w:val="0"/>
          <w:szCs w:val="21"/>
        </w:rPr>
      </w:pPr>
      <w:r>
        <w:rPr>
          <w:rFonts w:hint="eastAsia" w:asciiTheme="minorEastAsia" w:hAnsiTheme="minorEastAsia" w:cstheme="minorEastAsia"/>
          <w:color w:val="000000"/>
          <w:spacing w:val="-3"/>
          <w:kern w:val="0"/>
          <w:szCs w:val="21"/>
        </w:rPr>
        <w:t>1、防缺氧及有害气体：</w:t>
      </w:r>
    </w:p>
    <w:p w14:paraId="70EB2B2B">
      <w:pPr>
        <w:kinsoku w:val="0"/>
        <w:overflowPunct w:val="0"/>
        <w:spacing w:line="440" w:lineRule="exact"/>
        <w:ind w:firstLine="369" w:firstLineChars="181"/>
        <w:jc w:val="left"/>
        <w:rPr>
          <w:rFonts w:hint="eastAsia" w:asciiTheme="minorEastAsia" w:hAnsiTheme="minorEastAsia" w:cstheme="minorEastAsia"/>
          <w:color w:val="000000"/>
          <w:spacing w:val="-1"/>
          <w:kern w:val="0"/>
          <w:szCs w:val="21"/>
        </w:rPr>
      </w:pPr>
      <w:r>
        <w:rPr>
          <w:rFonts w:hint="eastAsia" w:asciiTheme="minorEastAsia" w:hAnsiTheme="minorEastAsia" w:cstheme="minorEastAsia"/>
          <w:color w:val="000000"/>
          <w:spacing w:val="-3"/>
          <w:kern w:val="0"/>
          <w:szCs w:val="21"/>
        </w:rPr>
        <w:t>1.1为防止有害气体中毒，对井内气体抽样检测。凡一次检测有害气体超过允许值时，</w:t>
      </w:r>
      <w:r>
        <w:rPr>
          <w:rFonts w:hint="eastAsia" w:asciiTheme="minorEastAsia" w:hAnsiTheme="minorEastAsia" w:cstheme="minorEastAsia"/>
          <w:color w:val="000000"/>
          <w:kern w:val="0"/>
          <w:szCs w:val="21"/>
        </w:rPr>
        <w:t>应立即停止作业，立即进行除毒措施。除毒处理确认合</w:t>
      </w:r>
      <w:r>
        <w:rPr>
          <w:rFonts w:hint="eastAsia" w:asciiTheme="minorEastAsia" w:hAnsiTheme="minorEastAsia" w:cstheme="minorEastAsia"/>
          <w:color w:val="000000"/>
          <w:spacing w:val="-1"/>
          <w:kern w:val="0"/>
          <w:szCs w:val="21"/>
        </w:rPr>
        <w:t>格后，方可再下井施工。</w:t>
      </w:r>
    </w:p>
    <w:p w14:paraId="1EF6EF93">
      <w:pPr>
        <w:kinsoku w:val="0"/>
        <w:overflowPunct w:val="0"/>
        <w:spacing w:line="440" w:lineRule="exact"/>
        <w:ind w:firstLine="380" w:firstLineChars="181"/>
        <w:jc w:val="left"/>
        <w:rPr>
          <w:rFonts w:hint="eastAsia" w:asciiTheme="minorEastAsia" w:hAnsiTheme="minorEastAsia" w:cstheme="minorEastAsia"/>
          <w:color w:val="000000"/>
          <w:kern w:val="0"/>
          <w:szCs w:val="21"/>
        </w:rPr>
      </w:pPr>
      <w:r>
        <w:rPr>
          <w:rFonts w:hint="eastAsia" w:asciiTheme="minorEastAsia" w:hAnsiTheme="minorEastAsia" w:cstheme="minorEastAsia"/>
          <w:color w:val="000000"/>
          <w:kern w:val="0"/>
          <w:szCs w:val="21"/>
        </w:rPr>
        <w:t>1.2井孔下挖5.0m后,下井作业前应先检测井下是</w:t>
      </w:r>
      <w:r>
        <w:rPr>
          <w:rFonts w:hint="eastAsia" w:asciiTheme="minorEastAsia" w:hAnsiTheme="minorEastAsia" w:cstheme="minorEastAsia"/>
          <w:color w:val="000000"/>
          <w:spacing w:val="-1"/>
          <w:kern w:val="0"/>
          <w:szCs w:val="21"/>
        </w:rPr>
        <w:t>否存在有害气体，采用检测仪器或</w:t>
      </w:r>
      <w:r>
        <w:rPr>
          <w:rFonts w:hint="eastAsia" w:asciiTheme="minorEastAsia" w:hAnsiTheme="minorEastAsia" w:cstheme="minorEastAsia"/>
          <w:color w:val="000000"/>
          <w:spacing w:val="1"/>
          <w:kern w:val="0"/>
          <w:szCs w:val="21"/>
        </w:rPr>
        <w:t>可用小动物(如小白兔)放入井孔内10分钟进行试验,无异常现象后,施工人员方允许下井</w:t>
      </w:r>
      <w:r>
        <w:rPr>
          <w:rFonts w:hint="eastAsia" w:asciiTheme="minorEastAsia" w:hAnsiTheme="minorEastAsia" w:cstheme="minorEastAsia"/>
          <w:color w:val="000000"/>
          <w:spacing w:val="-4"/>
          <w:kern w:val="0"/>
          <w:szCs w:val="21"/>
        </w:rPr>
        <w:t>作业。</w:t>
      </w:r>
    </w:p>
    <w:p w14:paraId="66053CB7">
      <w:pPr>
        <w:kinsoku w:val="0"/>
        <w:overflowPunct w:val="0"/>
        <w:spacing w:line="440" w:lineRule="exact"/>
        <w:ind w:firstLine="380" w:firstLineChars="181"/>
        <w:jc w:val="left"/>
        <w:rPr>
          <w:rFonts w:hint="eastAsia" w:asciiTheme="minorEastAsia" w:hAnsiTheme="minorEastAsia" w:cstheme="minorEastAsia"/>
          <w:color w:val="000000"/>
          <w:kern w:val="0"/>
          <w:szCs w:val="21"/>
        </w:rPr>
      </w:pPr>
      <w:r>
        <w:rPr>
          <w:rFonts w:hint="eastAsia" w:asciiTheme="minorEastAsia" w:hAnsiTheme="minorEastAsia" w:cstheme="minorEastAsia"/>
          <w:color w:val="000000"/>
          <w:kern w:val="0"/>
          <w:szCs w:val="21"/>
        </w:rPr>
        <w:t>1.3上班前先用鼓风机向井底送风，必要时适当输送氧气，然后再下井作业，项目服务现场</w:t>
      </w:r>
      <w:r>
        <w:rPr>
          <w:rFonts w:hint="eastAsia" w:asciiTheme="minorEastAsia" w:hAnsiTheme="minorEastAsia" w:cstheme="minorEastAsia"/>
          <w:color w:val="000000"/>
          <w:spacing w:val="-1"/>
          <w:kern w:val="0"/>
          <w:szCs w:val="21"/>
        </w:rPr>
        <w:t>应按规定配备气体检测仪和防毒面具。</w:t>
      </w:r>
    </w:p>
    <w:p w14:paraId="532CCE8A">
      <w:pPr>
        <w:kinsoku w:val="0"/>
        <w:overflowPunct w:val="0"/>
        <w:spacing w:line="440" w:lineRule="exact"/>
        <w:ind w:firstLine="380" w:firstLineChars="181"/>
        <w:jc w:val="left"/>
        <w:rPr>
          <w:rFonts w:hint="eastAsia" w:asciiTheme="minorEastAsia" w:hAnsiTheme="minorEastAsia" w:cstheme="minorEastAsia"/>
          <w:color w:val="000000"/>
          <w:kern w:val="0"/>
          <w:szCs w:val="21"/>
        </w:rPr>
      </w:pPr>
      <w:r>
        <w:rPr>
          <w:rFonts w:hint="eastAsia" w:asciiTheme="minorEastAsia" w:hAnsiTheme="minorEastAsia" w:cstheme="minorEastAsia"/>
          <w:color w:val="000000"/>
          <w:kern w:val="0"/>
          <w:szCs w:val="21"/>
        </w:rPr>
        <w:t>1.4井孔内作业人员必须采用安全带，安全带必须系在井孔上边，如遇紧急情况，由</w:t>
      </w:r>
      <w:r>
        <w:rPr>
          <w:rFonts w:hint="eastAsia" w:asciiTheme="minorEastAsia" w:hAnsiTheme="minorEastAsia" w:cstheme="minorEastAsia"/>
          <w:color w:val="000000"/>
          <w:spacing w:val="6"/>
          <w:kern w:val="0"/>
          <w:szCs w:val="21"/>
        </w:rPr>
        <w:t>卷扬机把井孔内人员尽快吊出井外，避免因一个中毒，救护人员盲目</w:t>
      </w:r>
      <w:r>
        <w:rPr>
          <w:rFonts w:hint="eastAsia" w:asciiTheme="minorEastAsia" w:hAnsiTheme="minorEastAsia" w:cstheme="minorEastAsia"/>
          <w:color w:val="000000"/>
          <w:spacing w:val="5"/>
          <w:kern w:val="0"/>
          <w:szCs w:val="21"/>
        </w:rPr>
        <w:t>下井而造成更大危</w:t>
      </w:r>
      <w:r>
        <w:rPr>
          <w:rFonts w:hint="eastAsia" w:asciiTheme="minorEastAsia" w:hAnsiTheme="minorEastAsia" w:cstheme="minorEastAsia"/>
          <w:color w:val="000000"/>
          <w:spacing w:val="-6"/>
          <w:kern w:val="0"/>
          <w:szCs w:val="21"/>
        </w:rPr>
        <w:t>险。</w:t>
      </w:r>
    </w:p>
    <w:p w14:paraId="22BF6D62">
      <w:pPr>
        <w:kinsoku w:val="0"/>
        <w:overflowPunct w:val="0"/>
        <w:spacing w:line="440" w:lineRule="exact"/>
        <w:ind w:firstLine="372" w:firstLineChars="181"/>
        <w:jc w:val="left"/>
        <w:rPr>
          <w:rFonts w:hint="eastAsia" w:asciiTheme="minorEastAsia" w:hAnsiTheme="minorEastAsia" w:cstheme="minorEastAsia"/>
          <w:color w:val="000000"/>
          <w:kern w:val="0"/>
          <w:szCs w:val="21"/>
        </w:rPr>
      </w:pPr>
      <w:r>
        <w:rPr>
          <w:rFonts w:hint="eastAsia" w:asciiTheme="minorEastAsia" w:hAnsiTheme="minorEastAsia" w:cstheme="minorEastAsia"/>
          <w:color w:val="000000"/>
          <w:spacing w:val="-2"/>
          <w:kern w:val="0"/>
          <w:szCs w:val="21"/>
        </w:rPr>
        <w:t>1.5由于呼吸新空气和劳动强度需要，每一至二小时井下作业人员轮换一次。</w:t>
      </w:r>
    </w:p>
    <w:p w14:paraId="46207462">
      <w:pPr>
        <w:kinsoku w:val="0"/>
        <w:overflowPunct w:val="0"/>
        <w:spacing w:line="440" w:lineRule="exact"/>
        <w:ind w:firstLine="372" w:firstLineChars="181"/>
        <w:jc w:val="left"/>
        <w:rPr>
          <w:rFonts w:hint="eastAsia" w:asciiTheme="minorEastAsia" w:hAnsiTheme="minorEastAsia" w:cstheme="minorEastAsia"/>
          <w:color w:val="000000"/>
          <w:kern w:val="0"/>
          <w:szCs w:val="21"/>
        </w:rPr>
      </w:pPr>
      <w:r>
        <w:rPr>
          <w:rFonts w:hint="eastAsia" w:asciiTheme="minorEastAsia" w:hAnsiTheme="minorEastAsia" w:cstheme="minorEastAsia"/>
          <w:color w:val="000000"/>
          <w:spacing w:val="-2"/>
          <w:kern w:val="0"/>
          <w:szCs w:val="21"/>
        </w:rPr>
        <w:t>1.6工作人员下井时，用绳结软梯或爬梯锚梯。</w:t>
      </w:r>
    </w:p>
    <w:p w14:paraId="54BBF0E1">
      <w:pPr>
        <w:kinsoku w:val="0"/>
        <w:overflowPunct w:val="0"/>
        <w:spacing w:line="440" w:lineRule="exact"/>
        <w:ind w:firstLine="372" w:firstLineChars="181"/>
        <w:jc w:val="left"/>
        <w:rPr>
          <w:rFonts w:hint="eastAsia" w:asciiTheme="minorEastAsia" w:hAnsiTheme="minorEastAsia" w:cstheme="minorEastAsia"/>
          <w:color w:val="000000"/>
          <w:kern w:val="0"/>
          <w:szCs w:val="21"/>
        </w:rPr>
      </w:pPr>
      <w:r>
        <w:rPr>
          <w:rFonts w:hint="eastAsia" w:asciiTheme="minorEastAsia" w:hAnsiTheme="minorEastAsia" w:cstheme="minorEastAsia"/>
          <w:color w:val="000000"/>
          <w:spacing w:val="-2"/>
          <w:kern w:val="0"/>
          <w:szCs w:val="21"/>
        </w:rPr>
        <w:t>2、防物体打击坠落事故：</w:t>
      </w:r>
    </w:p>
    <w:p w14:paraId="3E9E95DA">
      <w:pPr>
        <w:kinsoku w:val="0"/>
        <w:overflowPunct w:val="0"/>
        <w:spacing w:line="440" w:lineRule="exact"/>
        <w:ind w:firstLine="372" w:firstLineChars="181"/>
        <w:jc w:val="left"/>
        <w:rPr>
          <w:rFonts w:hint="eastAsia" w:asciiTheme="minorEastAsia" w:hAnsiTheme="minorEastAsia" w:cstheme="minorEastAsia"/>
          <w:color w:val="000000"/>
          <w:kern w:val="0"/>
          <w:szCs w:val="21"/>
        </w:rPr>
      </w:pPr>
      <w:r>
        <w:rPr>
          <w:rFonts w:hint="eastAsia" w:asciiTheme="minorEastAsia" w:hAnsiTheme="minorEastAsia" w:cstheme="minorEastAsia"/>
          <w:color w:val="000000"/>
          <w:spacing w:val="-2"/>
          <w:kern w:val="0"/>
          <w:szCs w:val="21"/>
        </w:rPr>
        <w:t>2.1井内递运物品，用吊桶，不准直接往井内投掷任何物件，为防止物体滚落</w:t>
      </w:r>
      <w:r>
        <w:rPr>
          <w:rFonts w:hint="eastAsia" w:asciiTheme="minorEastAsia" w:hAnsiTheme="minorEastAsia" w:cstheme="minorEastAsia"/>
          <w:color w:val="000000"/>
          <w:spacing w:val="-3"/>
          <w:kern w:val="0"/>
          <w:szCs w:val="21"/>
        </w:rPr>
        <w:t>到井内，</w:t>
      </w:r>
      <w:r>
        <w:rPr>
          <w:rFonts w:hint="eastAsia" w:asciiTheme="minorEastAsia" w:hAnsiTheme="minorEastAsia" w:cstheme="minorEastAsia"/>
          <w:color w:val="000000"/>
          <w:spacing w:val="1"/>
          <w:kern w:val="0"/>
          <w:szCs w:val="21"/>
        </w:rPr>
        <w:t>砼护壁应高出自然地面250</w:t>
      </w:r>
      <w:r>
        <w:rPr>
          <w:rFonts w:hint="eastAsia" w:asciiTheme="minorEastAsia" w:hAnsiTheme="minorEastAsia" w:cstheme="minorEastAsia"/>
          <w:color w:val="000000"/>
          <w:kern w:val="0"/>
          <w:szCs w:val="21"/>
        </w:rPr>
        <w:t>mm</w:t>
      </w:r>
      <w:r>
        <w:rPr>
          <w:rFonts w:hint="eastAsia" w:asciiTheme="minorEastAsia" w:hAnsiTheme="minorEastAsia" w:cstheme="minorEastAsia"/>
          <w:color w:val="000000"/>
          <w:spacing w:val="1"/>
          <w:kern w:val="0"/>
          <w:szCs w:val="21"/>
        </w:rPr>
        <w:t>。在井周边安装1200</w:t>
      </w:r>
      <w:r>
        <w:rPr>
          <w:rFonts w:hint="eastAsia" w:asciiTheme="minorEastAsia" w:hAnsiTheme="minorEastAsia" w:cstheme="minorEastAsia"/>
          <w:color w:val="000000"/>
          <w:kern w:val="0"/>
          <w:szCs w:val="21"/>
        </w:rPr>
        <w:t>mm</w:t>
      </w:r>
      <w:r>
        <w:rPr>
          <w:rFonts w:hint="eastAsia" w:asciiTheme="minorEastAsia" w:hAnsiTheme="minorEastAsia" w:cstheme="minorEastAsia"/>
          <w:color w:val="000000"/>
          <w:spacing w:val="1"/>
          <w:kern w:val="0"/>
          <w:szCs w:val="21"/>
        </w:rPr>
        <w:t>高的用</w:t>
      </w:r>
      <w:r>
        <w:rPr>
          <w:rFonts w:hint="eastAsia" w:asciiTheme="minorEastAsia" w:hAnsiTheme="minorEastAsia" w:cstheme="minorEastAsia"/>
          <w:color w:val="000000"/>
          <w:spacing w:val="1"/>
          <w:kern w:val="0"/>
          <w:szCs w:val="21"/>
          <w:lang w:eastAsia="en-US"/>
        </w:rPr>
        <w:t>φ</w:t>
      </w:r>
      <w:r>
        <w:rPr>
          <w:rFonts w:hint="eastAsia" w:asciiTheme="minorEastAsia" w:hAnsiTheme="minorEastAsia" w:cstheme="minorEastAsia"/>
          <w:color w:val="000000"/>
          <w:kern w:val="0"/>
          <w:szCs w:val="21"/>
        </w:rPr>
        <w:t>48mm钢管制作的安全防护</w:t>
      </w:r>
      <w:r>
        <w:rPr>
          <w:rFonts w:hint="eastAsia" w:asciiTheme="minorEastAsia" w:hAnsiTheme="minorEastAsia" w:cstheme="minorEastAsia"/>
          <w:color w:val="000000"/>
          <w:spacing w:val="-5"/>
          <w:kern w:val="0"/>
          <w:szCs w:val="21"/>
        </w:rPr>
        <w:t>栏。</w:t>
      </w:r>
    </w:p>
    <w:p w14:paraId="3AA670D2">
      <w:pPr>
        <w:kinsoku w:val="0"/>
        <w:overflowPunct w:val="0"/>
        <w:spacing w:line="440" w:lineRule="exact"/>
        <w:ind w:firstLine="394" w:firstLineChars="181"/>
        <w:jc w:val="left"/>
        <w:rPr>
          <w:rFonts w:hint="eastAsia" w:asciiTheme="minorEastAsia" w:hAnsiTheme="minorEastAsia" w:cstheme="minorEastAsia"/>
          <w:color w:val="000000"/>
          <w:kern w:val="0"/>
          <w:szCs w:val="21"/>
        </w:rPr>
      </w:pPr>
      <w:r>
        <w:rPr>
          <w:rFonts w:hint="eastAsia" w:asciiTheme="minorEastAsia" w:hAnsiTheme="minorEastAsia" w:cstheme="minorEastAsia"/>
          <w:color w:val="000000"/>
          <w:spacing w:val="4"/>
          <w:kern w:val="0"/>
          <w:szCs w:val="21"/>
        </w:rPr>
        <w:t>2.2井内作业人员需好戴安全帽，吊渣桶必须使用安全钩,吊渣桶</w:t>
      </w:r>
      <w:r>
        <w:rPr>
          <w:rFonts w:hint="eastAsia" w:asciiTheme="minorEastAsia" w:hAnsiTheme="minorEastAsia" w:cstheme="minorEastAsia"/>
          <w:color w:val="000000"/>
          <w:spacing w:val="3"/>
          <w:kern w:val="0"/>
          <w:szCs w:val="21"/>
        </w:rPr>
        <w:t>装八分,不得装满,</w:t>
      </w:r>
      <w:r>
        <w:rPr>
          <w:rFonts w:hint="eastAsia" w:asciiTheme="minorEastAsia" w:hAnsiTheme="minorEastAsia" w:cstheme="minorEastAsia"/>
          <w:color w:val="000000"/>
          <w:spacing w:val="-2"/>
          <w:kern w:val="0"/>
          <w:szCs w:val="21"/>
        </w:rPr>
        <w:t>吊渣与下放砼时井井内的人应避于防护(网)之下。</w:t>
      </w:r>
    </w:p>
    <w:p w14:paraId="42B4FD01">
      <w:pPr>
        <w:kinsoku w:val="0"/>
        <w:overflowPunct w:val="0"/>
        <w:spacing w:line="440" w:lineRule="exact"/>
        <w:ind w:firstLine="376" w:firstLineChars="181"/>
        <w:jc w:val="left"/>
        <w:rPr>
          <w:rFonts w:hint="eastAsia" w:asciiTheme="minorEastAsia" w:hAnsiTheme="minorEastAsia" w:cstheme="minorEastAsia"/>
          <w:color w:val="000000"/>
          <w:kern w:val="0"/>
          <w:szCs w:val="21"/>
        </w:rPr>
      </w:pPr>
      <w:r>
        <w:rPr>
          <w:rFonts w:hint="eastAsia" w:asciiTheme="minorEastAsia" w:hAnsiTheme="minorEastAsia" w:cstheme="minorEastAsia"/>
          <w:color w:val="000000"/>
          <w:spacing w:val="-1"/>
          <w:kern w:val="0"/>
          <w:szCs w:val="21"/>
        </w:rPr>
        <w:t>2.3操作人员下井时用铁爬梯，软梯。不准用辘轳，也不准踩护壁台上下。</w:t>
      </w:r>
    </w:p>
    <w:p w14:paraId="5546CC0E">
      <w:pPr>
        <w:kinsoku w:val="0"/>
        <w:overflowPunct w:val="0"/>
        <w:spacing w:line="440" w:lineRule="exact"/>
        <w:ind w:firstLine="383" w:firstLineChars="181"/>
        <w:jc w:val="left"/>
        <w:rPr>
          <w:rFonts w:hint="eastAsia" w:asciiTheme="minorEastAsia" w:hAnsiTheme="minorEastAsia" w:cstheme="minorEastAsia"/>
          <w:color w:val="000000"/>
          <w:kern w:val="0"/>
          <w:szCs w:val="21"/>
        </w:rPr>
      </w:pPr>
      <w:r>
        <w:rPr>
          <w:rFonts w:hint="eastAsia" w:asciiTheme="minorEastAsia" w:hAnsiTheme="minorEastAsia" w:cstheme="minorEastAsia"/>
          <w:color w:val="000000"/>
          <w:spacing w:val="1"/>
          <w:kern w:val="0"/>
          <w:szCs w:val="21"/>
        </w:rPr>
        <w:t>2.4下班停止作业后，应将围栏门锁上，防止小</w:t>
      </w:r>
      <w:r>
        <w:rPr>
          <w:rFonts w:hint="eastAsia" w:asciiTheme="minorEastAsia" w:hAnsiTheme="minorEastAsia" w:cstheme="minorEastAsia"/>
          <w:color w:val="000000"/>
          <w:kern w:val="0"/>
          <w:szCs w:val="21"/>
        </w:rPr>
        <w:t>孩玩耍时掉进井内，上班操作前检查</w:t>
      </w:r>
      <w:r>
        <w:rPr>
          <w:rFonts w:hint="eastAsia" w:asciiTheme="minorEastAsia" w:hAnsiTheme="minorEastAsia" w:cstheme="minorEastAsia"/>
          <w:color w:val="000000"/>
          <w:spacing w:val="-1"/>
          <w:kern w:val="0"/>
          <w:szCs w:val="21"/>
        </w:rPr>
        <w:t>钢丝绳质量、电源、电器是否完好，防止突发事故发生。</w:t>
      </w:r>
    </w:p>
    <w:p w14:paraId="079D5F61">
      <w:pPr>
        <w:kinsoku w:val="0"/>
        <w:overflowPunct w:val="0"/>
        <w:spacing w:line="440" w:lineRule="exact"/>
        <w:ind w:firstLine="376" w:firstLineChars="181"/>
        <w:jc w:val="left"/>
        <w:rPr>
          <w:rFonts w:hint="eastAsia" w:asciiTheme="minorEastAsia" w:hAnsiTheme="minorEastAsia" w:cstheme="minorEastAsia"/>
          <w:color w:val="000000"/>
          <w:kern w:val="0"/>
          <w:szCs w:val="21"/>
        </w:rPr>
      </w:pPr>
      <w:r>
        <w:rPr>
          <w:rFonts w:hint="eastAsia" w:asciiTheme="minorEastAsia" w:hAnsiTheme="minorEastAsia" w:cstheme="minorEastAsia"/>
          <w:color w:val="000000"/>
          <w:spacing w:val="-1"/>
          <w:kern w:val="0"/>
          <w:szCs w:val="21"/>
        </w:rPr>
        <w:t>2.5孔深挖至超过操作人高度时，必须在井口安装防护网。</w:t>
      </w:r>
    </w:p>
    <w:p w14:paraId="53B0AA55">
      <w:pPr>
        <w:kinsoku w:val="0"/>
        <w:overflowPunct w:val="0"/>
        <w:spacing w:line="440" w:lineRule="exact"/>
        <w:ind w:firstLine="376" w:firstLineChars="181"/>
        <w:jc w:val="left"/>
        <w:rPr>
          <w:rFonts w:hint="eastAsia" w:asciiTheme="minorEastAsia" w:hAnsiTheme="minorEastAsia" w:cstheme="minorEastAsia"/>
          <w:color w:val="000000"/>
          <w:kern w:val="0"/>
          <w:szCs w:val="21"/>
        </w:rPr>
      </w:pPr>
      <w:r>
        <w:rPr>
          <w:rFonts w:hint="eastAsia" w:asciiTheme="minorEastAsia" w:hAnsiTheme="minorEastAsia" w:cstheme="minorEastAsia"/>
          <w:color w:val="000000"/>
          <w:spacing w:val="-1"/>
          <w:kern w:val="0"/>
          <w:szCs w:val="21"/>
        </w:rPr>
        <w:t>2.6严禁酒后作业，严禁在项目服务现场嬉戏打</w:t>
      </w:r>
      <w:r>
        <w:rPr>
          <w:rFonts w:hint="eastAsia" w:asciiTheme="minorEastAsia" w:hAnsiTheme="minorEastAsia" w:cstheme="minorEastAsia"/>
          <w:color w:val="000000"/>
          <w:spacing w:val="-2"/>
          <w:kern w:val="0"/>
          <w:szCs w:val="21"/>
        </w:rPr>
        <w:t>闹。</w:t>
      </w:r>
    </w:p>
    <w:p w14:paraId="6592BEB4">
      <w:pPr>
        <w:kinsoku w:val="0"/>
        <w:overflowPunct w:val="0"/>
        <w:spacing w:line="440" w:lineRule="exact"/>
        <w:ind w:firstLine="371" w:firstLineChars="181"/>
        <w:jc w:val="left"/>
        <w:rPr>
          <w:rFonts w:hint="eastAsia" w:asciiTheme="minorEastAsia" w:hAnsiTheme="minorEastAsia" w:cstheme="minorEastAsia"/>
          <w:color w:val="000000"/>
          <w:kern w:val="0"/>
          <w:szCs w:val="21"/>
        </w:rPr>
      </w:pPr>
      <w:r>
        <w:rPr>
          <w:rFonts w:hint="eastAsia" w:asciiTheme="minorEastAsia" w:hAnsiTheme="minorEastAsia" w:cstheme="minorEastAsia"/>
          <w:b/>
          <w:bCs/>
          <w:color w:val="000000"/>
          <w:spacing w:val="-3"/>
          <w:kern w:val="0"/>
          <w:szCs w:val="21"/>
        </w:rPr>
        <w:t>三、工作内容及事项、成果报告</w:t>
      </w:r>
    </w:p>
    <w:p w14:paraId="30AC0237">
      <w:pPr>
        <w:kinsoku w:val="0"/>
        <w:overflowPunct w:val="0"/>
        <w:spacing w:line="440" w:lineRule="exact"/>
        <w:ind w:firstLine="369" w:firstLineChars="181"/>
        <w:jc w:val="left"/>
        <w:rPr>
          <w:rFonts w:hint="eastAsia" w:asciiTheme="minorEastAsia" w:hAnsiTheme="minorEastAsia" w:cstheme="minorEastAsia"/>
          <w:color w:val="000000"/>
          <w:kern w:val="0"/>
          <w:szCs w:val="21"/>
        </w:rPr>
      </w:pPr>
      <w:r>
        <w:rPr>
          <w:rFonts w:hint="eastAsia" w:asciiTheme="minorEastAsia" w:hAnsiTheme="minorEastAsia" w:cstheme="minorEastAsia"/>
          <w:color w:val="000000"/>
          <w:spacing w:val="-3"/>
          <w:kern w:val="0"/>
          <w:szCs w:val="21"/>
        </w:rPr>
        <w:t>（一）工作内容</w:t>
      </w:r>
    </w:p>
    <w:p w14:paraId="20F5F7D2">
      <w:pPr>
        <w:kinsoku w:val="0"/>
        <w:overflowPunct w:val="0"/>
        <w:spacing w:line="440" w:lineRule="exact"/>
        <w:ind w:firstLine="387" w:firstLineChars="181"/>
        <w:jc w:val="left"/>
        <w:rPr>
          <w:rFonts w:hint="eastAsia" w:asciiTheme="minorEastAsia" w:hAnsiTheme="minorEastAsia" w:cstheme="minorEastAsia"/>
          <w:color w:val="000000"/>
          <w:kern w:val="0"/>
          <w:szCs w:val="21"/>
        </w:rPr>
      </w:pPr>
      <w:r>
        <w:rPr>
          <w:rFonts w:hint="eastAsia" w:asciiTheme="minorEastAsia" w:hAnsiTheme="minorEastAsia" w:cstheme="minorEastAsia"/>
          <w:color w:val="000000"/>
          <w:spacing w:val="2"/>
          <w:kern w:val="0"/>
          <w:szCs w:val="21"/>
        </w:rPr>
        <w:t>1、管道降水、清淤：</w:t>
      </w:r>
      <w:r>
        <w:rPr>
          <w:rFonts w:hint="eastAsia" w:asciiTheme="minorEastAsia" w:hAnsiTheme="minorEastAsia" w:cstheme="minorEastAsia"/>
          <w:color w:val="000000"/>
          <w:spacing w:val="-2"/>
          <w:kern w:val="0"/>
          <w:szCs w:val="21"/>
        </w:rPr>
        <w:t>实施检测前，应按规范要求对管道进行降水清淤保证检测质量。</w:t>
      </w:r>
    </w:p>
    <w:p w14:paraId="087D580C">
      <w:pPr>
        <w:kinsoku w:val="0"/>
        <w:overflowPunct w:val="0"/>
        <w:spacing w:line="440" w:lineRule="exact"/>
        <w:ind w:firstLine="372" w:firstLineChars="181"/>
        <w:jc w:val="left"/>
        <w:rPr>
          <w:rFonts w:hint="eastAsia" w:asciiTheme="minorEastAsia" w:hAnsiTheme="minorEastAsia" w:cstheme="minorEastAsia"/>
          <w:color w:val="000000"/>
          <w:kern w:val="0"/>
          <w:szCs w:val="21"/>
        </w:rPr>
      </w:pPr>
      <w:r>
        <w:rPr>
          <w:rFonts w:hint="eastAsia" w:asciiTheme="minorEastAsia" w:hAnsiTheme="minorEastAsia" w:cstheme="minorEastAsia"/>
          <w:color w:val="000000"/>
          <w:spacing w:val="-2"/>
          <w:kern w:val="0"/>
          <w:szCs w:val="21"/>
        </w:rPr>
        <w:t>2、CCTV检测：</w:t>
      </w:r>
    </w:p>
    <w:p w14:paraId="74CBDE82">
      <w:pPr>
        <w:kinsoku w:val="0"/>
        <w:overflowPunct w:val="0"/>
        <w:spacing w:line="440" w:lineRule="exact"/>
        <w:ind w:firstLine="401" w:firstLineChars="181"/>
        <w:jc w:val="left"/>
        <w:rPr>
          <w:rFonts w:hint="eastAsia" w:asciiTheme="minorEastAsia" w:hAnsiTheme="minorEastAsia" w:cstheme="minorEastAsia"/>
          <w:color w:val="000000"/>
          <w:kern w:val="0"/>
          <w:szCs w:val="21"/>
        </w:rPr>
      </w:pPr>
      <w:r>
        <w:rPr>
          <w:rFonts w:hint="eastAsia" w:asciiTheme="minorEastAsia" w:hAnsiTheme="minorEastAsia" w:cstheme="minorEastAsia"/>
          <w:color w:val="000000"/>
          <w:spacing w:val="6"/>
          <w:kern w:val="0"/>
          <w:szCs w:val="21"/>
        </w:rPr>
        <w:t>2.1功能状况检测包括管道内障碍物、树根、洼水、残</w:t>
      </w:r>
      <w:r>
        <w:rPr>
          <w:rFonts w:hint="eastAsia" w:asciiTheme="minorEastAsia" w:hAnsiTheme="minorEastAsia" w:cstheme="minorEastAsia"/>
          <w:color w:val="000000"/>
          <w:spacing w:val="5"/>
          <w:kern w:val="0"/>
          <w:szCs w:val="21"/>
        </w:rPr>
        <w:t>墙、坝头、浮渣和雨</w:t>
      </w:r>
      <w:r>
        <w:rPr>
          <w:rFonts w:hint="eastAsia" w:asciiTheme="minorEastAsia" w:hAnsiTheme="minorEastAsia" w:cstheme="minorEastAsia"/>
          <w:color w:val="000000"/>
          <w:spacing w:val="-1"/>
          <w:kern w:val="0"/>
          <w:szCs w:val="21"/>
        </w:rPr>
        <w:t>污水混接等；</w:t>
      </w:r>
    </w:p>
    <w:p w14:paraId="39EDB8C0">
      <w:pPr>
        <w:kinsoku w:val="0"/>
        <w:overflowPunct w:val="0"/>
        <w:spacing w:line="440" w:lineRule="exact"/>
        <w:ind w:firstLine="383" w:firstLineChars="181"/>
        <w:jc w:val="left"/>
        <w:rPr>
          <w:rFonts w:hint="eastAsia" w:asciiTheme="minorEastAsia" w:hAnsiTheme="minorEastAsia" w:cstheme="minorEastAsia"/>
          <w:color w:val="000000"/>
          <w:kern w:val="0"/>
          <w:szCs w:val="21"/>
        </w:rPr>
      </w:pPr>
      <w:r>
        <w:rPr>
          <w:rFonts w:hint="eastAsia" w:asciiTheme="minorEastAsia" w:hAnsiTheme="minorEastAsia" w:cstheme="minorEastAsia"/>
          <w:color w:val="000000"/>
          <w:spacing w:val="1"/>
          <w:kern w:val="0"/>
          <w:szCs w:val="21"/>
        </w:rPr>
        <w:t>2.2结构状况检测包括管道脱节、变形、支管暗接、</w:t>
      </w:r>
      <w:r>
        <w:rPr>
          <w:rFonts w:hint="eastAsia" w:asciiTheme="minorEastAsia" w:hAnsiTheme="minorEastAsia" w:cstheme="minorEastAsia"/>
          <w:color w:val="000000"/>
          <w:kern w:val="0"/>
          <w:szCs w:val="21"/>
        </w:rPr>
        <w:t>错位、渗漏、腐蚀、胶圈脱落、</w:t>
      </w:r>
      <w:r>
        <w:rPr>
          <w:rFonts w:hint="eastAsia" w:asciiTheme="minorEastAsia" w:hAnsiTheme="minorEastAsia" w:cstheme="minorEastAsia"/>
          <w:color w:val="000000"/>
          <w:spacing w:val="6"/>
          <w:kern w:val="0"/>
          <w:szCs w:val="21"/>
        </w:rPr>
        <w:t>破裂与空洞、异物侵入、倒坡、塌陷、异管穿入等。检测完成需提供详细的</w:t>
      </w:r>
      <w:r>
        <w:rPr>
          <w:rFonts w:hint="eastAsia" w:asciiTheme="minorEastAsia" w:hAnsiTheme="minorEastAsia" w:cstheme="minorEastAsia"/>
          <w:color w:val="000000"/>
          <w:spacing w:val="5"/>
          <w:kern w:val="0"/>
          <w:szCs w:val="21"/>
        </w:rPr>
        <w:t>检测报告和</w:t>
      </w:r>
      <w:r>
        <w:rPr>
          <w:rFonts w:hint="eastAsia" w:asciiTheme="minorEastAsia" w:hAnsiTheme="minorEastAsia" w:cstheme="minorEastAsia"/>
          <w:color w:val="000000"/>
          <w:spacing w:val="3"/>
          <w:kern w:val="0"/>
          <w:szCs w:val="21"/>
        </w:rPr>
        <w:t>影像资料（管径大于等于300</w:t>
      </w:r>
      <w:r>
        <w:rPr>
          <w:rFonts w:hint="eastAsia" w:asciiTheme="minorEastAsia" w:hAnsiTheme="minorEastAsia" w:cstheme="minorEastAsia"/>
          <w:color w:val="000000"/>
          <w:kern w:val="0"/>
          <w:szCs w:val="21"/>
        </w:rPr>
        <w:t>mm</w:t>
      </w:r>
      <w:r>
        <w:rPr>
          <w:rFonts w:hint="eastAsia" w:asciiTheme="minorEastAsia" w:hAnsiTheme="minorEastAsia" w:cstheme="minorEastAsia"/>
          <w:color w:val="000000"/>
          <w:spacing w:val="3"/>
          <w:kern w:val="0"/>
          <w:szCs w:val="21"/>
        </w:rPr>
        <w:t>的管道提供</w:t>
      </w:r>
      <w:r>
        <w:rPr>
          <w:rFonts w:hint="eastAsia" w:asciiTheme="minorEastAsia" w:hAnsiTheme="minorEastAsia" w:cstheme="minorEastAsia"/>
          <w:color w:val="000000"/>
          <w:kern w:val="0"/>
          <w:szCs w:val="21"/>
        </w:rPr>
        <w:t>CCTV</w:t>
      </w:r>
      <w:r>
        <w:rPr>
          <w:rFonts w:hint="eastAsia" w:asciiTheme="minorEastAsia" w:hAnsiTheme="minorEastAsia" w:cstheme="minorEastAsia"/>
          <w:color w:val="000000"/>
          <w:spacing w:val="3"/>
          <w:kern w:val="0"/>
          <w:szCs w:val="21"/>
        </w:rPr>
        <w:t>影像资料，管径小于300</w:t>
      </w:r>
      <w:r>
        <w:rPr>
          <w:rFonts w:hint="eastAsia" w:asciiTheme="minorEastAsia" w:hAnsiTheme="minorEastAsia" w:cstheme="minorEastAsia"/>
          <w:color w:val="000000"/>
          <w:kern w:val="0"/>
          <w:szCs w:val="21"/>
        </w:rPr>
        <w:t>mm</w:t>
      </w:r>
      <w:r>
        <w:rPr>
          <w:rFonts w:hint="eastAsia" w:asciiTheme="minorEastAsia" w:hAnsiTheme="minorEastAsia" w:cstheme="minorEastAsia"/>
          <w:color w:val="000000"/>
          <w:spacing w:val="3"/>
          <w:kern w:val="0"/>
          <w:szCs w:val="21"/>
        </w:rPr>
        <w:t>的管道可</w:t>
      </w:r>
      <w:r>
        <w:rPr>
          <w:rFonts w:hint="eastAsia" w:asciiTheme="minorEastAsia" w:hAnsiTheme="minorEastAsia" w:cstheme="minorEastAsia"/>
          <w:color w:val="000000"/>
          <w:spacing w:val="-1"/>
          <w:kern w:val="0"/>
          <w:szCs w:val="21"/>
        </w:rPr>
        <w:t>提供QV影像资料）。</w:t>
      </w:r>
    </w:p>
    <w:p w14:paraId="07DD2D28">
      <w:pPr>
        <w:kinsoku w:val="0"/>
        <w:overflowPunct w:val="0"/>
        <w:spacing w:line="440" w:lineRule="exact"/>
        <w:ind w:firstLine="376" w:firstLineChars="181"/>
        <w:jc w:val="left"/>
        <w:rPr>
          <w:rFonts w:hint="eastAsia" w:asciiTheme="minorEastAsia" w:hAnsiTheme="minorEastAsia" w:cstheme="minorEastAsia"/>
          <w:color w:val="000000"/>
          <w:kern w:val="0"/>
          <w:szCs w:val="21"/>
        </w:rPr>
      </w:pPr>
      <w:r>
        <w:rPr>
          <w:rFonts w:hint="eastAsia" w:asciiTheme="minorEastAsia" w:hAnsiTheme="minorEastAsia" w:cstheme="minorEastAsia"/>
          <w:color w:val="000000"/>
          <w:spacing w:val="-1"/>
          <w:kern w:val="0"/>
          <w:szCs w:val="21"/>
        </w:rPr>
        <w:t>3、管网图绘制：按采购人要求，绘制管网平面</w:t>
      </w:r>
      <w:r>
        <w:rPr>
          <w:rFonts w:hint="eastAsia" w:asciiTheme="minorEastAsia" w:hAnsiTheme="minorEastAsia" w:cstheme="minorEastAsia"/>
          <w:color w:val="000000"/>
          <w:spacing w:val="-2"/>
          <w:kern w:val="0"/>
          <w:szCs w:val="21"/>
        </w:rPr>
        <w:t>图（包含检查井平面位置、管道材质、管径、埋深、走向等信息）</w:t>
      </w:r>
    </w:p>
    <w:p w14:paraId="62671660">
      <w:pPr>
        <w:kinsoku w:val="0"/>
        <w:overflowPunct w:val="0"/>
        <w:spacing w:line="440" w:lineRule="exact"/>
        <w:ind w:firstLine="376" w:firstLineChars="181"/>
        <w:jc w:val="left"/>
        <w:rPr>
          <w:rFonts w:hint="eastAsia" w:asciiTheme="minorEastAsia" w:hAnsiTheme="minorEastAsia" w:cstheme="minorEastAsia"/>
          <w:color w:val="000000"/>
          <w:kern w:val="0"/>
          <w:szCs w:val="21"/>
        </w:rPr>
      </w:pPr>
      <w:r>
        <w:rPr>
          <w:rFonts w:hint="eastAsia" w:asciiTheme="minorEastAsia" w:hAnsiTheme="minorEastAsia" w:cstheme="minorEastAsia"/>
          <w:color w:val="000000"/>
          <w:spacing w:val="-1"/>
          <w:kern w:val="0"/>
          <w:szCs w:val="21"/>
        </w:rPr>
        <w:t>4、作业及相关事项要求：</w:t>
      </w:r>
    </w:p>
    <w:p w14:paraId="5DB149AD">
      <w:pPr>
        <w:kinsoku w:val="0"/>
        <w:overflowPunct w:val="0"/>
        <w:spacing w:line="440" w:lineRule="exact"/>
        <w:ind w:firstLine="372" w:firstLineChars="181"/>
        <w:jc w:val="left"/>
        <w:rPr>
          <w:rFonts w:hint="eastAsia" w:asciiTheme="minorEastAsia" w:hAnsiTheme="minorEastAsia" w:cstheme="minorEastAsia"/>
          <w:color w:val="000000"/>
          <w:kern w:val="0"/>
          <w:szCs w:val="21"/>
        </w:rPr>
      </w:pPr>
      <w:r>
        <w:rPr>
          <w:rFonts w:hint="eastAsia" w:asciiTheme="minorEastAsia" w:hAnsiTheme="minorEastAsia" w:cstheme="minorEastAsia"/>
          <w:color w:val="000000"/>
          <w:spacing w:val="-2"/>
          <w:kern w:val="0"/>
          <w:szCs w:val="21"/>
        </w:rPr>
        <w:t>4.1成交供应商应配备满足该项目需求的仪器设备设施（自购或租赁，包含但不</w:t>
      </w:r>
      <w:r>
        <w:rPr>
          <w:rFonts w:hint="eastAsia" w:asciiTheme="minorEastAsia" w:hAnsiTheme="minorEastAsia" w:cstheme="minorEastAsia"/>
          <w:color w:val="000000"/>
          <w:spacing w:val="-3"/>
          <w:kern w:val="0"/>
          <w:szCs w:val="21"/>
        </w:rPr>
        <w:t>限于：</w:t>
      </w:r>
      <w:r>
        <w:rPr>
          <w:rFonts w:hint="eastAsia" w:asciiTheme="minorEastAsia" w:hAnsiTheme="minorEastAsia" w:cstheme="minorEastAsia"/>
          <w:kern w:val="0"/>
          <w:szCs w:val="21"/>
        </w:rPr>
        <w:t>GPS接收机、全站仪、测距仪、吸污车辆、QV潜望镜及</w:t>
      </w:r>
      <w:r>
        <w:rPr>
          <w:rFonts w:hint="eastAsia" w:asciiTheme="minorEastAsia" w:hAnsiTheme="minorEastAsia" w:cstheme="minorEastAsia"/>
          <w:color w:val="000000"/>
          <w:kern w:val="0"/>
          <w:szCs w:val="21"/>
        </w:rPr>
        <w:t>CCTV管</w:t>
      </w:r>
      <w:r>
        <w:rPr>
          <w:rFonts w:hint="eastAsia" w:asciiTheme="minorEastAsia" w:hAnsiTheme="minorEastAsia" w:cstheme="minorEastAsia"/>
          <w:color w:val="000000"/>
          <w:spacing w:val="5"/>
          <w:kern w:val="0"/>
          <w:szCs w:val="21"/>
        </w:rPr>
        <w:t>道检测机器人、有限空间安全作业监控系统（能实时监测气体浓度）等</w:t>
      </w:r>
      <w:r>
        <w:rPr>
          <w:rFonts w:hint="eastAsia" w:asciiTheme="minorEastAsia" w:hAnsiTheme="minorEastAsia" w:cstheme="minorEastAsia"/>
          <w:color w:val="000000"/>
          <w:spacing w:val="21"/>
          <w:kern w:val="0"/>
          <w:szCs w:val="21"/>
        </w:rPr>
        <w:t>），</w:t>
      </w:r>
      <w:r>
        <w:rPr>
          <w:rFonts w:hint="eastAsia" w:asciiTheme="minorEastAsia" w:hAnsiTheme="minorEastAsia" w:cstheme="minorEastAsia"/>
          <w:color w:val="000000"/>
          <w:spacing w:val="-2"/>
          <w:kern w:val="0"/>
          <w:szCs w:val="21"/>
        </w:rPr>
        <w:t>费用包含在投标报价中。</w:t>
      </w:r>
    </w:p>
    <w:p w14:paraId="5D3BA067">
      <w:pPr>
        <w:kinsoku w:val="0"/>
        <w:overflowPunct w:val="0"/>
        <w:spacing w:line="440" w:lineRule="exact"/>
        <w:ind w:firstLine="383" w:firstLineChars="181"/>
        <w:jc w:val="left"/>
        <w:rPr>
          <w:rFonts w:hint="eastAsia" w:asciiTheme="minorEastAsia" w:hAnsiTheme="minorEastAsia" w:cstheme="minorEastAsia"/>
          <w:color w:val="000000"/>
          <w:kern w:val="0"/>
          <w:szCs w:val="21"/>
        </w:rPr>
      </w:pPr>
      <w:r>
        <w:rPr>
          <w:rFonts w:hint="eastAsia" w:asciiTheme="minorEastAsia" w:hAnsiTheme="minorEastAsia" w:cstheme="minorEastAsia"/>
          <w:color w:val="000000"/>
          <w:spacing w:val="1"/>
          <w:kern w:val="0"/>
          <w:szCs w:val="21"/>
        </w:rPr>
        <w:t>4.2成交供应商应遵守疏通排查规范要求，做到安全文明施工。与本</w:t>
      </w:r>
      <w:r>
        <w:rPr>
          <w:rFonts w:hint="eastAsia" w:asciiTheme="minorEastAsia" w:hAnsiTheme="minorEastAsia" w:cstheme="minorEastAsia"/>
          <w:color w:val="000000"/>
          <w:kern w:val="0"/>
          <w:szCs w:val="21"/>
        </w:rPr>
        <w:t>项目关联的所有</w:t>
      </w:r>
      <w:r>
        <w:rPr>
          <w:rFonts w:hint="eastAsia" w:asciiTheme="minorEastAsia" w:hAnsiTheme="minorEastAsia" w:cstheme="minorEastAsia"/>
          <w:color w:val="000000"/>
          <w:spacing w:val="6"/>
          <w:kern w:val="0"/>
          <w:szCs w:val="21"/>
        </w:rPr>
        <w:t>安全事务及责任全面由供应商承担，与采购人无任何关联责任。作业过程</w:t>
      </w:r>
      <w:r>
        <w:rPr>
          <w:rFonts w:hint="eastAsia" w:asciiTheme="minorEastAsia" w:hAnsiTheme="minorEastAsia" w:cstheme="minorEastAsia"/>
          <w:color w:val="000000"/>
          <w:spacing w:val="5"/>
          <w:kern w:val="0"/>
          <w:szCs w:val="21"/>
        </w:rPr>
        <w:t>中应布置好安</w:t>
      </w:r>
      <w:r>
        <w:rPr>
          <w:rFonts w:hint="eastAsia" w:asciiTheme="minorEastAsia" w:hAnsiTheme="minorEastAsia" w:cstheme="minorEastAsia"/>
          <w:color w:val="000000"/>
          <w:kern w:val="0"/>
          <w:szCs w:val="21"/>
        </w:rPr>
        <w:t>全交通标识牌，并及时清理垃圾，保证作业场</w:t>
      </w:r>
      <w:r>
        <w:rPr>
          <w:rFonts w:hint="eastAsia" w:asciiTheme="minorEastAsia" w:hAnsiTheme="minorEastAsia" w:cstheme="minorEastAsia"/>
          <w:color w:val="000000"/>
          <w:spacing w:val="-1"/>
          <w:kern w:val="0"/>
          <w:szCs w:val="21"/>
        </w:rPr>
        <w:t>地清洁不影响市民出行。</w:t>
      </w:r>
    </w:p>
    <w:p w14:paraId="1D312658">
      <w:pPr>
        <w:kinsoku w:val="0"/>
        <w:overflowPunct w:val="0"/>
        <w:spacing w:line="440" w:lineRule="exact"/>
        <w:ind w:firstLine="383" w:firstLineChars="181"/>
        <w:jc w:val="left"/>
        <w:rPr>
          <w:rFonts w:hint="eastAsia" w:asciiTheme="minorEastAsia" w:hAnsiTheme="minorEastAsia" w:cstheme="minorEastAsia"/>
          <w:color w:val="000000"/>
          <w:kern w:val="0"/>
          <w:szCs w:val="21"/>
        </w:rPr>
      </w:pPr>
      <w:r>
        <w:rPr>
          <w:rFonts w:hint="eastAsia" w:asciiTheme="minorEastAsia" w:hAnsiTheme="minorEastAsia" w:cstheme="minorEastAsia"/>
          <w:color w:val="000000"/>
          <w:spacing w:val="1"/>
          <w:kern w:val="0"/>
          <w:szCs w:val="21"/>
        </w:rPr>
        <w:t>4.3成交供应商从业人员对车辆设备、管线等造成损坏的，中标人应</w:t>
      </w:r>
      <w:r>
        <w:rPr>
          <w:rFonts w:hint="eastAsia" w:asciiTheme="minorEastAsia" w:hAnsiTheme="minorEastAsia" w:cstheme="minorEastAsia"/>
          <w:color w:val="000000"/>
          <w:kern w:val="0"/>
          <w:szCs w:val="21"/>
        </w:rPr>
        <w:t>负责修复及承担</w:t>
      </w:r>
      <w:r>
        <w:rPr>
          <w:rFonts w:hint="eastAsia" w:asciiTheme="minorEastAsia" w:hAnsiTheme="minorEastAsia" w:cstheme="minorEastAsia"/>
          <w:color w:val="000000"/>
          <w:spacing w:val="-2"/>
          <w:kern w:val="0"/>
          <w:szCs w:val="21"/>
        </w:rPr>
        <w:t>一切责任和费用。</w:t>
      </w:r>
    </w:p>
    <w:p w14:paraId="24936C6B">
      <w:pPr>
        <w:kinsoku w:val="0"/>
        <w:overflowPunct w:val="0"/>
        <w:spacing w:line="440" w:lineRule="exact"/>
        <w:ind w:firstLine="376" w:firstLineChars="181"/>
        <w:jc w:val="left"/>
        <w:rPr>
          <w:rFonts w:hint="eastAsia" w:asciiTheme="minorEastAsia" w:hAnsiTheme="minorEastAsia" w:cstheme="minorEastAsia"/>
          <w:color w:val="000000"/>
          <w:kern w:val="0"/>
          <w:szCs w:val="21"/>
        </w:rPr>
      </w:pPr>
      <w:r>
        <w:rPr>
          <w:rFonts w:hint="eastAsia" w:asciiTheme="minorEastAsia" w:hAnsiTheme="minorEastAsia" w:cstheme="minorEastAsia"/>
          <w:color w:val="000000"/>
          <w:spacing w:val="-1"/>
          <w:kern w:val="0"/>
          <w:szCs w:val="21"/>
        </w:rPr>
        <w:t>4.4成交供应商承担作业期间自身人员及第三方人员的安全责任，发生安全事故的，成交供应商承担全部责任和费用。</w:t>
      </w:r>
    </w:p>
    <w:p w14:paraId="392DDB07">
      <w:pPr>
        <w:kinsoku w:val="0"/>
        <w:overflowPunct w:val="0"/>
        <w:spacing w:line="440" w:lineRule="exact"/>
        <w:ind w:firstLine="369" w:firstLineChars="181"/>
        <w:jc w:val="left"/>
        <w:rPr>
          <w:rFonts w:hint="eastAsia" w:asciiTheme="minorEastAsia" w:hAnsiTheme="minorEastAsia" w:cstheme="minorEastAsia"/>
          <w:color w:val="000000"/>
          <w:spacing w:val="-3"/>
          <w:kern w:val="0"/>
          <w:szCs w:val="21"/>
        </w:rPr>
      </w:pPr>
      <w:r>
        <w:rPr>
          <w:rFonts w:hint="eastAsia" w:asciiTheme="minorEastAsia" w:hAnsiTheme="minorEastAsia" w:cstheme="minorEastAsia"/>
          <w:color w:val="000000"/>
          <w:spacing w:val="-3"/>
          <w:kern w:val="0"/>
          <w:szCs w:val="21"/>
        </w:rPr>
        <w:t>（二）人员配备</w:t>
      </w:r>
    </w:p>
    <w:p w14:paraId="6D6C1EDE">
      <w:pPr>
        <w:kinsoku w:val="0"/>
        <w:overflowPunct w:val="0"/>
        <w:spacing w:line="440" w:lineRule="exact"/>
        <w:ind w:firstLine="383" w:firstLineChars="181"/>
        <w:jc w:val="left"/>
        <w:rPr>
          <w:rFonts w:hint="eastAsia" w:ascii="宋体" w:hAnsi="宋体" w:eastAsia="宋体" w:cs="宋体"/>
          <w:color w:val="000000"/>
          <w:spacing w:val="1"/>
          <w:kern w:val="0"/>
          <w:szCs w:val="21"/>
        </w:rPr>
      </w:pPr>
      <w:r>
        <w:rPr>
          <w:rFonts w:hint="eastAsia" w:ascii="宋体" w:hAnsi="宋体" w:eastAsia="宋体" w:cs="宋体"/>
          <w:color w:val="000000"/>
          <w:spacing w:val="1"/>
          <w:kern w:val="0"/>
          <w:szCs w:val="21"/>
        </w:rPr>
        <w:t>人员配备要求见下表，现场专业组暂按3组考虑，中标供应商在实际服务时须按照采购人、本项目实际服务时间要求进行配备，投标阶段初步要求主要人员如下：</w:t>
      </w:r>
    </w:p>
    <w:tbl>
      <w:tblPr>
        <w:tblStyle w:val="11"/>
        <w:tblW w:w="8818" w:type="dxa"/>
        <w:tblInd w:w="10" w:type="dxa"/>
        <w:tblLayout w:type="fixed"/>
        <w:tblCellMar>
          <w:top w:w="15" w:type="dxa"/>
          <w:left w:w="108" w:type="dxa"/>
          <w:bottom w:w="0" w:type="dxa"/>
          <w:right w:w="108" w:type="dxa"/>
        </w:tblCellMar>
      </w:tblPr>
      <w:tblGrid>
        <w:gridCol w:w="1303"/>
        <w:gridCol w:w="2460"/>
        <w:gridCol w:w="840"/>
        <w:gridCol w:w="3495"/>
        <w:gridCol w:w="720"/>
      </w:tblGrid>
      <w:tr w14:paraId="024817C5">
        <w:tblPrEx>
          <w:tblCellMar>
            <w:top w:w="15" w:type="dxa"/>
            <w:left w:w="108" w:type="dxa"/>
            <w:bottom w:w="0" w:type="dxa"/>
            <w:right w:w="108" w:type="dxa"/>
          </w:tblCellMar>
        </w:tblPrEx>
        <w:trPr>
          <w:trHeight w:val="0" w:hRule="atLeast"/>
        </w:trPr>
        <w:tc>
          <w:tcPr>
            <w:tcW w:w="3763" w:type="dxa"/>
            <w:gridSpan w:val="2"/>
            <w:tcBorders>
              <w:top w:val="single" w:color="auto" w:sz="4" w:space="0"/>
              <w:left w:val="single" w:color="auto" w:sz="4" w:space="0"/>
              <w:bottom w:val="single" w:color="auto" w:sz="4" w:space="0"/>
              <w:right w:val="single" w:color="auto" w:sz="4" w:space="0"/>
            </w:tcBorders>
            <w:noWrap/>
            <w:vAlign w:val="bottom"/>
          </w:tcPr>
          <w:p w14:paraId="2192E51E">
            <w:pPr>
              <w:keepNext w:val="0"/>
              <w:keepLines w:val="0"/>
              <w:suppressLineNumbers w:val="0"/>
              <w:snapToGrid w:val="0"/>
              <w:spacing w:before="0" w:beforeAutospacing="0" w:after="160" w:afterAutospacing="0" w:line="240" w:lineRule="auto"/>
              <w:ind w:left="0" w:leftChars="0" w:right="0" w:rightChars="0" w:firstLine="0" w:firstLineChars="0"/>
              <w:jc w:val="center"/>
              <w:rPr>
                <w:rFonts w:hint="eastAsia" w:ascii="宋体" w:hAnsi="宋体" w:eastAsia="宋体" w:cs="宋体"/>
                <w:b/>
                <w:color w:val="000000"/>
                <w:kern w:val="0"/>
                <w:szCs w:val="21"/>
              </w:rPr>
            </w:pPr>
            <w:r>
              <w:rPr>
                <w:rFonts w:hint="eastAsia" w:ascii="宋体" w:hAnsi="宋体" w:eastAsia="宋体" w:cs="宋体"/>
                <w:b/>
                <w:color w:val="000000"/>
                <w:kern w:val="0"/>
                <w:szCs w:val="21"/>
              </w:rPr>
              <w:t>岗位</w:t>
            </w:r>
          </w:p>
        </w:tc>
        <w:tc>
          <w:tcPr>
            <w:tcW w:w="840" w:type="dxa"/>
            <w:tcBorders>
              <w:top w:val="single" w:color="auto" w:sz="4" w:space="0"/>
              <w:left w:val="single" w:color="auto" w:sz="4" w:space="0"/>
              <w:bottom w:val="single" w:color="auto" w:sz="4" w:space="0"/>
              <w:right w:val="single" w:color="auto" w:sz="4" w:space="0"/>
            </w:tcBorders>
            <w:noWrap/>
            <w:vAlign w:val="bottom"/>
          </w:tcPr>
          <w:p w14:paraId="5F398D11">
            <w:pPr>
              <w:keepNext w:val="0"/>
              <w:keepLines w:val="0"/>
              <w:suppressLineNumbers w:val="0"/>
              <w:snapToGrid w:val="0"/>
              <w:spacing w:before="0" w:beforeAutospacing="0" w:after="160" w:afterAutospacing="0" w:line="240" w:lineRule="auto"/>
              <w:ind w:left="0" w:leftChars="0" w:right="0" w:rightChars="0" w:firstLine="0" w:firstLineChars="0"/>
              <w:jc w:val="center"/>
              <w:rPr>
                <w:rFonts w:hint="eastAsia" w:ascii="宋体" w:hAnsi="宋体" w:eastAsia="宋体" w:cs="宋体"/>
                <w:b/>
                <w:color w:val="000000"/>
                <w:kern w:val="0"/>
                <w:szCs w:val="21"/>
              </w:rPr>
            </w:pPr>
            <w:r>
              <w:rPr>
                <w:rFonts w:hint="eastAsia" w:ascii="宋体" w:hAnsi="宋体" w:eastAsia="宋体" w:cs="宋体"/>
                <w:b/>
                <w:color w:val="000000"/>
                <w:kern w:val="0"/>
                <w:szCs w:val="21"/>
              </w:rPr>
              <w:t>人数</w:t>
            </w:r>
          </w:p>
        </w:tc>
        <w:tc>
          <w:tcPr>
            <w:tcW w:w="3495" w:type="dxa"/>
            <w:tcBorders>
              <w:top w:val="single" w:color="auto" w:sz="4" w:space="0"/>
              <w:left w:val="single" w:color="auto" w:sz="4" w:space="0"/>
              <w:bottom w:val="single" w:color="auto" w:sz="4" w:space="0"/>
              <w:right w:val="single" w:color="auto" w:sz="4" w:space="0"/>
            </w:tcBorders>
            <w:noWrap/>
            <w:vAlign w:val="bottom"/>
          </w:tcPr>
          <w:p w14:paraId="414280F9">
            <w:pPr>
              <w:keepNext w:val="0"/>
              <w:keepLines w:val="0"/>
              <w:suppressLineNumbers w:val="0"/>
              <w:snapToGrid w:val="0"/>
              <w:spacing w:before="0" w:beforeAutospacing="0" w:after="160" w:afterAutospacing="0" w:line="240" w:lineRule="auto"/>
              <w:ind w:left="0" w:leftChars="0" w:right="0" w:rightChars="0" w:firstLine="0" w:firstLineChars="0"/>
              <w:jc w:val="center"/>
              <w:rPr>
                <w:rFonts w:hint="eastAsia" w:ascii="宋体" w:hAnsi="宋体" w:eastAsia="宋体" w:cs="宋体"/>
                <w:b/>
                <w:color w:val="000000"/>
                <w:kern w:val="0"/>
                <w:szCs w:val="21"/>
              </w:rPr>
            </w:pPr>
            <w:r>
              <w:rPr>
                <w:rFonts w:hint="eastAsia" w:ascii="宋体" w:hAnsi="宋体" w:eastAsia="宋体" w:cs="宋体"/>
                <w:b/>
                <w:color w:val="000000"/>
                <w:kern w:val="0"/>
                <w:szCs w:val="21"/>
              </w:rPr>
              <w:t>工作内容</w:t>
            </w:r>
          </w:p>
        </w:tc>
        <w:tc>
          <w:tcPr>
            <w:tcW w:w="720" w:type="dxa"/>
            <w:tcBorders>
              <w:top w:val="single" w:color="auto" w:sz="4" w:space="0"/>
              <w:left w:val="single" w:color="auto" w:sz="4" w:space="0"/>
              <w:bottom w:val="single" w:color="auto" w:sz="4" w:space="0"/>
              <w:right w:val="single" w:color="auto" w:sz="4" w:space="0"/>
            </w:tcBorders>
            <w:noWrap/>
            <w:vAlign w:val="bottom"/>
          </w:tcPr>
          <w:p w14:paraId="7B27DEA3">
            <w:pPr>
              <w:keepNext w:val="0"/>
              <w:keepLines w:val="0"/>
              <w:suppressLineNumbers w:val="0"/>
              <w:snapToGrid w:val="0"/>
              <w:spacing w:before="0" w:beforeAutospacing="0" w:after="160" w:afterAutospacing="0" w:line="240" w:lineRule="auto"/>
              <w:ind w:left="0" w:leftChars="0" w:right="0" w:rightChars="0" w:firstLine="0" w:firstLineChars="0"/>
              <w:jc w:val="center"/>
              <w:rPr>
                <w:rFonts w:hint="eastAsia" w:ascii="宋体" w:hAnsi="宋体" w:eastAsia="宋体" w:cs="宋体"/>
                <w:b/>
                <w:color w:val="000000"/>
                <w:kern w:val="0"/>
                <w:szCs w:val="21"/>
              </w:rPr>
            </w:pPr>
            <w:r>
              <w:rPr>
                <w:rFonts w:hint="eastAsia" w:ascii="宋体" w:hAnsi="宋体" w:eastAsia="宋体" w:cs="宋体"/>
                <w:b/>
                <w:color w:val="000000"/>
                <w:kern w:val="0"/>
                <w:szCs w:val="21"/>
              </w:rPr>
              <w:t>备注</w:t>
            </w:r>
          </w:p>
        </w:tc>
      </w:tr>
      <w:tr w14:paraId="2AF61F4F">
        <w:tblPrEx>
          <w:tblCellMar>
            <w:top w:w="15" w:type="dxa"/>
            <w:left w:w="108" w:type="dxa"/>
            <w:bottom w:w="0" w:type="dxa"/>
            <w:right w:w="108" w:type="dxa"/>
          </w:tblCellMar>
        </w:tblPrEx>
        <w:trPr>
          <w:trHeight w:val="0" w:hRule="atLeast"/>
        </w:trPr>
        <w:tc>
          <w:tcPr>
            <w:tcW w:w="3763" w:type="dxa"/>
            <w:gridSpan w:val="2"/>
            <w:tcBorders>
              <w:top w:val="single" w:color="auto" w:sz="4" w:space="0"/>
              <w:left w:val="single" w:color="auto" w:sz="4" w:space="0"/>
              <w:bottom w:val="single" w:color="auto" w:sz="4" w:space="0"/>
              <w:right w:val="single" w:color="auto" w:sz="4" w:space="0"/>
            </w:tcBorders>
            <w:noWrap/>
            <w:vAlign w:val="center"/>
          </w:tcPr>
          <w:p w14:paraId="79D890D2">
            <w:pPr>
              <w:keepNext w:val="0"/>
              <w:keepLines w:val="0"/>
              <w:suppressLineNumbers w:val="0"/>
              <w:snapToGrid w:val="0"/>
              <w:spacing w:before="0" w:beforeAutospacing="0" w:after="160" w:afterAutospacing="0" w:line="240" w:lineRule="auto"/>
              <w:ind w:left="0" w:leftChars="0" w:right="0" w:rightChars="0" w:firstLine="0" w:firstLineChars="0"/>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项目负责人</w:t>
            </w:r>
          </w:p>
        </w:tc>
        <w:tc>
          <w:tcPr>
            <w:tcW w:w="840" w:type="dxa"/>
            <w:tcBorders>
              <w:top w:val="single" w:color="auto" w:sz="4" w:space="0"/>
              <w:left w:val="single" w:color="auto" w:sz="4" w:space="0"/>
              <w:bottom w:val="single" w:color="auto" w:sz="4" w:space="0"/>
              <w:right w:val="single" w:color="auto" w:sz="4" w:space="0"/>
            </w:tcBorders>
            <w:noWrap/>
            <w:vAlign w:val="center"/>
          </w:tcPr>
          <w:p w14:paraId="54C727F3">
            <w:pPr>
              <w:keepNext w:val="0"/>
              <w:keepLines w:val="0"/>
              <w:suppressLineNumbers w:val="0"/>
              <w:snapToGrid w:val="0"/>
              <w:spacing w:before="0" w:beforeAutospacing="0" w:after="160" w:afterAutospacing="0" w:line="240" w:lineRule="auto"/>
              <w:ind w:left="0" w:leftChars="0" w:right="0" w:rightChars="0" w:firstLine="0" w:firstLineChars="0"/>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1人</w:t>
            </w:r>
          </w:p>
        </w:tc>
        <w:tc>
          <w:tcPr>
            <w:tcW w:w="3495" w:type="dxa"/>
            <w:tcBorders>
              <w:top w:val="single" w:color="auto" w:sz="4" w:space="0"/>
              <w:left w:val="single" w:color="auto" w:sz="4" w:space="0"/>
              <w:bottom w:val="single" w:color="auto" w:sz="4" w:space="0"/>
              <w:right w:val="single" w:color="auto" w:sz="4" w:space="0"/>
            </w:tcBorders>
            <w:vAlign w:val="center"/>
          </w:tcPr>
          <w:p w14:paraId="0FF01677">
            <w:pPr>
              <w:keepNext w:val="0"/>
              <w:keepLines w:val="0"/>
              <w:suppressLineNumbers w:val="0"/>
              <w:snapToGrid w:val="0"/>
              <w:spacing w:before="0" w:beforeAutospacing="0" w:after="160" w:afterAutospacing="0" w:line="240" w:lineRule="auto"/>
              <w:ind w:left="0" w:leftChars="0" w:right="0" w:rightChars="0" w:firstLine="0" w:firstLineChars="0"/>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根据本项目的质量、安全、进度目标，全面负责本项目的组织和推进。</w:t>
            </w:r>
          </w:p>
        </w:tc>
        <w:tc>
          <w:tcPr>
            <w:tcW w:w="720" w:type="dxa"/>
            <w:tcBorders>
              <w:top w:val="single" w:color="auto" w:sz="4" w:space="0"/>
              <w:left w:val="single" w:color="auto" w:sz="4" w:space="0"/>
              <w:bottom w:val="single" w:color="auto" w:sz="4" w:space="0"/>
              <w:right w:val="single" w:color="auto" w:sz="4" w:space="0"/>
            </w:tcBorders>
            <w:noWrap/>
            <w:vAlign w:val="center"/>
          </w:tcPr>
          <w:p w14:paraId="4159FCDA">
            <w:pPr>
              <w:keepNext w:val="0"/>
              <w:keepLines w:val="0"/>
              <w:suppressLineNumbers w:val="0"/>
              <w:snapToGrid w:val="0"/>
              <w:spacing w:before="0" w:beforeAutospacing="0" w:after="160" w:afterAutospacing="0" w:line="240" w:lineRule="auto"/>
              <w:ind w:left="0" w:leftChars="0" w:right="0" w:rightChars="0" w:firstLine="0" w:firstLineChars="0"/>
              <w:jc w:val="left"/>
              <w:rPr>
                <w:rFonts w:hint="eastAsia" w:ascii="宋体" w:hAnsi="宋体" w:eastAsia="宋体" w:cs="宋体"/>
                <w:color w:val="000000"/>
                <w:kern w:val="0"/>
                <w:szCs w:val="21"/>
              </w:rPr>
            </w:pPr>
          </w:p>
        </w:tc>
      </w:tr>
      <w:tr w14:paraId="3D4F754A">
        <w:tblPrEx>
          <w:tblCellMar>
            <w:top w:w="15" w:type="dxa"/>
            <w:left w:w="108" w:type="dxa"/>
            <w:bottom w:w="0" w:type="dxa"/>
            <w:right w:w="108" w:type="dxa"/>
          </w:tblCellMar>
        </w:tblPrEx>
        <w:trPr>
          <w:trHeight w:val="0" w:hRule="atLeast"/>
        </w:trPr>
        <w:tc>
          <w:tcPr>
            <w:tcW w:w="3763" w:type="dxa"/>
            <w:gridSpan w:val="2"/>
            <w:tcBorders>
              <w:top w:val="single" w:color="auto" w:sz="4" w:space="0"/>
              <w:left w:val="single" w:color="auto" w:sz="4" w:space="0"/>
              <w:bottom w:val="single" w:color="auto" w:sz="4" w:space="0"/>
              <w:right w:val="single" w:color="auto" w:sz="4" w:space="0"/>
            </w:tcBorders>
            <w:noWrap/>
            <w:vAlign w:val="center"/>
          </w:tcPr>
          <w:p w14:paraId="2BB801CC">
            <w:pPr>
              <w:keepNext w:val="0"/>
              <w:keepLines w:val="0"/>
              <w:suppressLineNumbers w:val="0"/>
              <w:snapToGrid w:val="0"/>
              <w:spacing w:before="0" w:beforeAutospacing="0" w:after="160" w:afterAutospacing="0" w:line="240" w:lineRule="auto"/>
              <w:ind w:left="0" w:leftChars="0" w:right="0" w:rightChars="0" w:firstLine="0" w:firstLineChars="0"/>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技术负责人</w:t>
            </w:r>
          </w:p>
        </w:tc>
        <w:tc>
          <w:tcPr>
            <w:tcW w:w="840" w:type="dxa"/>
            <w:tcBorders>
              <w:top w:val="single" w:color="auto" w:sz="4" w:space="0"/>
              <w:left w:val="single" w:color="auto" w:sz="4" w:space="0"/>
              <w:bottom w:val="single" w:color="auto" w:sz="4" w:space="0"/>
              <w:right w:val="single" w:color="auto" w:sz="4" w:space="0"/>
            </w:tcBorders>
            <w:noWrap/>
            <w:vAlign w:val="center"/>
          </w:tcPr>
          <w:p w14:paraId="33C4AF01">
            <w:pPr>
              <w:keepNext w:val="0"/>
              <w:keepLines w:val="0"/>
              <w:suppressLineNumbers w:val="0"/>
              <w:snapToGrid w:val="0"/>
              <w:spacing w:before="0" w:beforeAutospacing="0" w:after="160" w:afterAutospacing="0" w:line="240" w:lineRule="auto"/>
              <w:ind w:left="0" w:leftChars="0" w:right="0" w:rightChars="0" w:firstLine="0" w:firstLineChars="0"/>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1人</w:t>
            </w:r>
          </w:p>
        </w:tc>
        <w:tc>
          <w:tcPr>
            <w:tcW w:w="3495" w:type="dxa"/>
            <w:tcBorders>
              <w:top w:val="single" w:color="auto" w:sz="4" w:space="0"/>
              <w:left w:val="single" w:color="auto" w:sz="4" w:space="0"/>
              <w:bottom w:val="single" w:color="auto" w:sz="4" w:space="0"/>
              <w:right w:val="single" w:color="auto" w:sz="4" w:space="0"/>
            </w:tcBorders>
            <w:vAlign w:val="center"/>
          </w:tcPr>
          <w:p w14:paraId="770B84E2">
            <w:pPr>
              <w:keepNext w:val="0"/>
              <w:keepLines w:val="0"/>
              <w:suppressLineNumbers w:val="0"/>
              <w:snapToGrid w:val="0"/>
              <w:spacing w:before="0" w:beforeAutospacing="0" w:after="160" w:afterAutospacing="0" w:line="240" w:lineRule="auto"/>
              <w:ind w:left="0" w:leftChars="0" w:right="0" w:rightChars="0" w:firstLine="0" w:firstLineChars="0"/>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对本项目排查及检测作业大纲、成果进行审核审定。</w:t>
            </w:r>
          </w:p>
        </w:tc>
        <w:tc>
          <w:tcPr>
            <w:tcW w:w="720" w:type="dxa"/>
            <w:tcBorders>
              <w:top w:val="single" w:color="auto" w:sz="4" w:space="0"/>
              <w:left w:val="single" w:color="auto" w:sz="4" w:space="0"/>
              <w:bottom w:val="single" w:color="auto" w:sz="4" w:space="0"/>
              <w:right w:val="single" w:color="auto" w:sz="4" w:space="0"/>
            </w:tcBorders>
            <w:noWrap/>
            <w:vAlign w:val="center"/>
          </w:tcPr>
          <w:p w14:paraId="3E1E0A2B">
            <w:pPr>
              <w:keepNext w:val="0"/>
              <w:keepLines w:val="0"/>
              <w:suppressLineNumbers w:val="0"/>
              <w:snapToGrid w:val="0"/>
              <w:spacing w:before="0" w:beforeAutospacing="0" w:after="160" w:afterAutospacing="0" w:line="240" w:lineRule="auto"/>
              <w:ind w:left="0" w:leftChars="0" w:right="0" w:rightChars="0" w:firstLine="0" w:firstLineChars="0"/>
              <w:jc w:val="left"/>
              <w:rPr>
                <w:rFonts w:hint="eastAsia" w:ascii="宋体" w:hAnsi="宋体" w:eastAsia="宋体" w:cs="宋体"/>
                <w:color w:val="000000"/>
                <w:kern w:val="0"/>
                <w:szCs w:val="21"/>
              </w:rPr>
            </w:pPr>
          </w:p>
        </w:tc>
      </w:tr>
      <w:tr w14:paraId="51161BE0">
        <w:tblPrEx>
          <w:tblCellMar>
            <w:top w:w="15" w:type="dxa"/>
            <w:left w:w="108" w:type="dxa"/>
            <w:bottom w:w="0" w:type="dxa"/>
            <w:right w:w="108" w:type="dxa"/>
          </w:tblCellMar>
        </w:tblPrEx>
        <w:trPr>
          <w:trHeight w:val="0" w:hRule="atLeast"/>
        </w:trPr>
        <w:tc>
          <w:tcPr>
            <w:tcW w:w="1303"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27FF9877">
            <w:pPr>
              <w:keepNext w:val="0"/>
              <w:keepLines w:val="0"/>
              <w:suppressLineNumbers w:val="0"/>
              <w:snapToGrid w:val="0"/>
              <w:spacing w:before="0" w:beforeAutospacing="0" w:after="160" w:afterAutospacing="0" w:line="240" w:lineRule="auto"/>
              <w:ind w:left="0" w:leftChars="0" w:right="0" w:rightChars="0" w:firstLine="0" w:firstLineChars="0"/>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项目组成员</w:t>
            </w:r>
          </w:p>
        </w:tc>
        <w:tc>
          <w:tcPr>
            <w:tcW w:w="24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27AE7FC">
            <w:pPr>
              <w:keepNext w:val="0"/>
              <w:keepLines w:val="0"/>
              <w:suppressLineNumbers w:val="0"/>
              <w:snapToGrid w:val="0"/>
              <w:spacing w:before="0" w:beforeAutospacing="0" w:after="160" w:afterAutospacing="0" w:line="240" w:lineRule="auto"/>
              <w:ind w:left="0" w:leftChars="0" w:right="0" w:rightChars="0" w:firstLine="0" w:firstLineChars="0"/>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测绘专业现场负责人</w:t>
            </w:r>
          </w:p>
        </w:tc>
        <w:tc>
          <w:tcPr>
            <w:tcW w:w="8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3FE582C">
            <w:pPr>
              <w:keepNext w:val="0"/>
              <w:keepLines w:val="0"/>
              <w:suppressLineNumbers w:val="0"/>
              <w:snapToGrid w:val="0"/>
              <w:spacing w:before="0" w:beforeAutospacing="0" w:after="160" w:afterAutospacing="0" w:line="240" w:lineRule="auto"/>
              <w:ind w:left="0" w:leftChars="0" w:right="0" w:rightChars="0" w:firstLine="0" w:firstLineChars="0"/>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3人</w:t>
            </w:r>
          </w:p>
        </w:tc>
        <w:tc>
          <w:tcPr>
            <w:tcW w:w="3495" w:type="dxa"/>
            <w:tcBorders>
              <w:top w:val="single" w:color="auto" w:sz="4" w:space="0"/>
              <w:left w:val="single" w:color="auto" w:sz="4" w:space="0"/>
              <w:bottom w:val="single" w:color="auto" w:sz="4" w:space="0"/>
              <w:right w:val="single" w:color="auto" w:sz="4" w:space="0"/>
            </w:tcBorders>
            <w:shd w:val="clear" w:color="auto" w:fill="auto"/>
            <w:vAlign w:val="center"/>
          </w:tcPr>
          <w:p w14:paraId="3AE752FA">
            <w:pPr>
              <w:keepNext w:val="0"/>
              <w:keepLines w:val="0"/>
              <w:suppressLineNumbers w:val="0"/>
              <w:snapToGrid w:val="0"/>
              <w:spacing w:before="0" w:beforeAutospacing="0" w:after="160" w:afterAutospacing="0" w:line="240" w:lineRule="auto"/>
              <w:ind w:left="0" w:leftChars="0" w:right="0" w:rightChars="0" w:firstLine="0" w:firstLineChars="0"/>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负责本项目各专业现场进行跟踪，对数据进行分析并编写。</w:t>
            </w:r>
          </w:p>
        </w:tc>
        <w:tc>
          <w:tcPr>
            <w:tcW w:w="720" w:type="dxa"/>
            <w:tcBorders>
              <w:top w:val="single" w:color="auto" w:sz="4" w:space="0"/>
              <w:left w:val="single" w:color="auto" w:sz="4" w:space="0"/>
              <w:bottom w:val="single" w:color="auto" w:sz="4" w:space="0"/>
              <w:right w:val="single" w:color="auto" w:sz="4" w:space="0"/>
            </w:tcBorders>
            <w:noWrap/>
            <w:vAlign w:val="center"/>
          </w:tcPr>
          <w:p w14:paraId="665461DF">
            <w:pPr>
              <w:keepNext w:val="0"/>
              <w:keepLines w:val="0"/>
              <w:suppressLineNumbers w:val="0"/>
              <w:snapToGrid w:val="0"/>
              <w:spacing w:before="0" w:beforeAutospacing="0" w:after="160" w:afterAutospacing="0" w:line="240" w:lineRule="auto"/>
              <w:ind w:left="0" w:leftChars="0" w:right="0" w:rightChars="0" w:firstLine="0" w:firstLineChars="0"/>
              <w:jc w:val="left"/>
              <w:rPr>
                <w:rFonts w:hint="eastAsia" w:ascii="宋体" w:hAnsi="宋体" w:eastAsia="宋体" w:cs="宋体"/>
                <w:color w:val="000000"/>
                <w:kern w:val="0"/>
                <w:szCs w:val="21"/>
              </w:rPr>
            </w:pPr>
          </w:p>
        </w:tc>
      </w:tr>
      <w:tr w14:paraId="3FEEA926">
        <w:tblPrEx>
          <w:tblCellMar>
            <w:top w:w="15" w:type="dxa"/>
            <w:left w:w="108" w:type="dxa"/>
            <w:bottom w:w="0" w:type="dxa"/>
            <w:right w:w="108" w:type="dxa"/>
          </w:tblCellMar>
        </w:tblPrEx>
        <w:trPr>
          <w:trHeight w:val="0" w:hRule="atLeast"/>
        </w:trPr>
        <w:tc>
          <w:tcPr>
            <w:tcW w:w="1303"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671FA7C3">
            <w:pPr>
              <w:keepNext w:val="0"/>
              <w:keepLines w:val="0"/>
              <w:suppressLineNumbers w:val="0"/>
              <w:snapToGrid w:val="0"/>
              <w:spacing w:before="0" w:beforeAutospacing="0" w:after="160" w:afterAutospacing="0" w:line="240" w:lineRule="auto"/>
              <w:ind w:left="0" w:leftChars="0" w:right="0" w:rightChars="0" w:firstLine="0" w:firstLineChars="0"/>
              <w:jc w:val="center"/>
              <w:rPr>
                <w:rFonts w:hint="eastAsia" w:ascii="宋体" w:hAnsi="宋体" w:eastAsia="宋体" w:cs="宋体"/>
                <w:color w:val="000000"/>
                <w:kern w:val="0"/>
                <w:szCs w:val="21"/>
              </w:rPr>
            </w:pPr>
          </w:p>
        </w:tc>
        <w:tc>
          <w:tcPr>
            <w:tcW w:w="24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87B830B">
            <w:pPr>
              <w:keepNext w:val="0"/>
              <w:keepLines w:val="0"/>
              <w:suppressLineNumbers w:val="0"/>
              <w:snapToGrid w:val="0"/>
              <w:spacing w:before="0" w:beforeAutospacing="0" w:after="160" w:afterAutospacing="0" w:line="240" w:lineRule="auto"/>
              <w:ind w:left="0" w:leftChars="0" w:right="0" w:rightChars="0" w:firstLine="0" w:firstLineChars="0"/>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管道检测与分析评估现场负责人</w:t>
            </w:r>
          </w:p>
        </w:tc>
        <w:tc>
          <w:tcPr>
            <w:tcW w:w="8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04F8C64">
            <w:pPr>
              <w:keepNext w:val="0"/>
              <w:keepLines w:val="0"/>
              <w:suppressLineNumbers w:val="0"/>
              <w:snapToGrid w:val="0"/>
              <w:spacing w:before="0" w:beforeAutospacing="0" w:after="160" w:afterAutospacing="0" w:line="240" w:lineRule="auto"/>
              <w:ind w:left="0" w:leftChars="0" w:right="0" w:rightChars="0" w:firstLine="0" w:firstLineChars="0"/>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3人</w:t>
            </w:r>
          </w:p>
        </w:tc>
        <w:tc>
          <w:tcPr>
            <w:tcW w:w="3495" w:type="dxa"/>
            <w:tcBorders>
              <w:top w:val="single" w:color="auto" w:sz="4" w:space="0"/>
              <w:left w:val="single" w:color="auto" w:sz="4" w:space="0"/>
              <w:bottom w:val="single" w:color="auto" w:sz="4" w:space="0"/>
              <w:right w:val="single" w:color="auto" w:sz="4" w:space="0"/>
            </w:tcBorders>
            <w:shd w:val="clear" w:color="auto" w:fill="auto"/>
            <w:vAlign w:val="center"/>
          </w:tcPr>
          <w:p w14:paraId="34FA621A">
            <w:pPr>
              <w:keepNext w:val="0"/>
              <w:keepLines w:val="0"/>
              <w:suppressLineNumbers w:val="0"/>
              <w:snapToGrid w:val="0"/>
              <w:spacing w:before="0" w:beforeAutospacing="0" w:after="160" w:afterAutospacing="0" w:line="240" w:lineRule="auto"/>
              <w:ind w:left="0" w:leftChars="0" w:right="0" w:rightChars="0" w:firstLine="0" w:firstLineChars="0"/>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据外业数据进行分析，出具混接、错接、管道破损等病害方面</w:t>
            </w:r>
          </w:p>
        </w:tc>
        <w:tc>
          <w:tcPr>
            <w:tcW w:w="720" w:type="dxa"/>
            <w:tcBorders>
              <w:top w:val="single" w:color="auto" w:sz="4" w:space="0"/>
              <w:left w:val="single" w:color="auto" w:sz="4" w:space="0"/>
              <w:bottom w:val="single" w:color="auto" w:sz="4" w:space="0"/>
              <w:right w:val="single" w:color="auto" w:sz="4" w:space="0"/>
            </w:tcBorders>
            <w:noWrap/>
            <w:vAlign w:val="center"/>
          </w:tcPr>
          <w:p w14:paraId="26F221BC">
            <w:pPr>
              <w:keepNext w:val="0"/>
              <w:keepLines w:val="0"/>
              <w:suppressLineNumbers w:val="0"/>
              <w:snapToGrid w:val="0"/>
              <w:spacing w:before="0" w:beforeAutospacing="0" w:after="160" w:afterAutospacing="0" w:line="240" w:lineRule="auto"/>
              <w:ind w:left="0" w:leftChars="0" w:right="0" w:rightChars="0" w:firstLine="0" w:firstLineChars="0"/>
              <w:jc w:val="left"/>
              <w:rPr>
                <w:rFonts w:hint="eastAsia" w:ascii="宋体" w:hAnsi="宋体" w:eastAsia="宋体" w:cs="宋体"/>
                <w:color w:val="000000"/>
                <w:kern w:val="0"/>
                <w:szCs w:val="21"/>
              </w:rPr>
            </w:pPr>
          </w:p>
        </w:tc>
      </w:tr>
      <w:tr w14:paraId="4A601E1E">
        <w:tblPrEx>
          <w:tblCellMar>
            <w:top w:w="15" w:type="dxa"/>
            <w:left w:w="108" w:type="dxa"/>
            <w:bottom w:w="0" w:type="dxa"/>
            <w:right w:w="108" w:type="dxa"/>
          </w:tblCellMar>
        </w:tblPrEx>
        <w:trPr>
          <w:trHeight w:val="0" w:hRule="atLeast"/>
        </w:trPr>
        <w:tc>
          <w:tcPr>
            <w:tcW w:w="1303"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45119048">
            <w:pPr>
              <w:keepNext w:val="0"/>
              <w:keepLines w:val="0"/>
              <w:suppressLineNumbers w:val="0"/>
              <w:snapToGrid w:val="0"/>
              <w:spacing w:before="0" w:beforeAutospacing="0" w:after="160" w:afterAutospacing="0" w:line="240" w:lineRule="auto"/>
              <w:ind w:left="0" w:leftChars="0" w:right="0" w:rightChars="0" w:firstLine="0" w:firstLineChars="0"/>
              <w:jc w:val="center"/>
              <w:rPr>
                <w:rFonts w:hint="eastAsia" w:ascii="宋体" w:hAnsi="宋体" w:eastAsia="宋体" w:cs="宋体"/>
                <w:color w:val="000000"/>
                <w:kern w:val="0"/>
                <w:szCs w:val="21"/>
              </w:rPr>
            </w:pPr>
          </w:p>
        </w:tc>
        <w:tc>
          <w:tcPr>
            <w:tcW w:w="24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5BF2746">
            <w:pPr>
              <w:keepNext w:val="0"/>
              <w:keepLines w:val="0"/>
              <w:suppressLineNumbers w:val="0"/>
              <w:snapToGrid w:val="0"/>
              <w:spacing w:before="0" w:beforeAutospacing="0" w:after="160" w:afterAutospacing="0" w:line="240" w:lineRule="auto"/>
              <w:ind w:left="0" w:leftChars="0" w:right="0" w:rightChars="0" w:firstLine="0" w:firstLineChars="0"/>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有限空间现场作业人员</w:t>
            </w:r>
          </w:p>
        </w:tc>
        <w:tc>
          <w:tcPr>
            <w:tcW w:w="8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F274A09">
            <w:pPr>
              <w:keepNext w:val="0"/>
              <w:keepLines w:val="0"/>
              <w:suppressLineNumbers w:val="0"/>
              <w:snapToGrid w:val="0"/>
              <w:spacing w:before="0" w:beforeAutospacing="0" w:after="160" w:afterAutospacing="0" w:line="240" w:lineRule="auto"/>
              <w:ind w:left="0" w:leftChars="0" w:right="0" w:rightChars="0" w:firstLine="0" w:firstLineChars="0"/>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3人</w:t>
            </w:r>
          </w:p>
        </w:tc>
        <w:tc>
          <w:tcPr>
            <w:tcW w:w="3495" w:type="dxa"/>
            <w:tcBorders>
              <w:top w:val="single" w:color="auto" w:sz="4" w:space="0"/>
              <w:left w:val="single" w:color="auto" w:sz="4" w:space="0"/>
              <w:bottom w:val="single" w:color="auto" w:sz="4" w:space="0"/>
              <w:right w:val="single" w:color="auto" w:sz="4" w:space="0"/>
            </w:tcBorders>
            <w:shd w:val="clear" w:color="auto" w:fill="auto"/>
            <w:vAlign w:val="center"/>
          </w:tcPr>
          <w:p w14:paraId="0EEA247F">
            <w:pPr>
              <w:keepNext w:val="0"/>
              <w:keepLines w:val="0"/>
              <w:suppressLineNumbers w:val="0"/>
              <w:snapToGrid w:val="0"/>
              <w:spacing w:before="0" w:beforeAutospacing="0" w:after="160" w:afterAutospacing="0" w:line="240" w:lineRule="auto"/>
              <w:ind w:left="0" w:leftChars="0" w:right="0" w:rightChars="0" w:firstLine="0" w:firstLineChars="0"/>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专职监护人员，负责监督有限空间作业安全措施的落实</w:t>
            </w:r>
          </w:p>
        </w:tc>
        <w:tc>
          <w:tcPr>
            <w:tcW w:w="720" w:type="dxa"/>
            <w:tcBorders>
              <w:top w:val="single" w:color="auto" w:sz="4" w:space="0"/>
              <w:left w:val="single" w:color="auto" w:sz="4" w:space="0"/>
              <w:bottom w:val="single" w:color="auto" w:sz="4" w:space="0"/>
              <w:right w:val="single" w:color="auto" w:sz="4" w:space="0"/>
            </w:tcBorders>
            <w:noWrap/>
            <w:vAlign w:val="center"/>
          </w:tcPr>
          <w:p w14:paraId="5993FF97">
            <w:pPr>
              <w:keepNext w:val="0"/>
              <w:keepLines w:val="0"/>
              <w:suppressLineNumbers w:val="0"/>
              <w:snapToGrid w:val="0"/>
              <w:spacing w:before="0" w:beforeAutospacing="0" w:after="160" w:afterAutospacing="0" w:line="240" w:lineRule="auto"/>
              <w:ind w:left="0" w:leftChars="0" w:right="0" w:rightChars="0" w:firstLine="0" w:firstLineChars="0"/>
              <w:jc w:val="left"/>
              <w:rPr>
                <w:rFonts w:hint="eastAsia" w:ascii="宋体" w:hAnsi="宋体" w:eastAsia="宋体" w:cs="宋体"/>
                <w:color w:val="000000"/>
                <w:kern w:val="0"/>
                <w:szCs w:val="21"/>
              </w:rPr>
            </w:pPr>
          </w:p>
        </w:tc>
      </w:tr>
      <w:tr w14:paraId="5E2C4381">
        <w:tblPrEx>
          <w:tblCellMar>
            <w:top w:w="15" w:type="dxa"/>
            <w:left w:w="108" w:type="dxa"/>
            <w:bottom w:w="0" w:type="dxa"/>
            <w:right w:w="108" w:type="dxa"/>
          </w:tblCellMar>
        </w:tblPrEx>
        <w:trPr>
          <w:trHeight w:val="0" w:hRule="atLeast"/>
        </w:trPr>
        <w:tc>
          <w:tcPr>
            <w:tcW w:w="1303"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0E2292B9">
            <w:pPr>
              <w:keepNext w:val="0"/>
              <w:keepLines w:val="0"/>
              <w:suppressLineNumbers w:val="0"/>
              <w:snapToGrid w:val="0"/>
              <w:spacing w:before="0" w:beforeAutospacing="0" w:after="160" w:afterAutospacing="0" w:line="240" w:lineRule="auto"/>
              <w:ind w:left="0" w:leftChars="0" w:right="0" w:rightChars="0" w:firstLine="0" w:firstLineChars="0"/>
              <w:jc w:val="center"/>
              <w:rPr>
                <w:rFonts w:hint="eastAsia" w:ascii="宋体" w:hAnsi="宋体" w:eastAsia="宋体" w:cs="宋体"/>
                <w:color w:val="000000"/>
                <w:kern w:val="0"/>
                <w:szCs w:val="21"/>
              </w:rPr>
            </w:pPr>
          </w:p>
        </w:tc>
        <w:tc>
          <w:tcPr>
            <w:tcW w:w="24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FD6037E">
            <w:pPr>
              <w:keepNext w:val="0"/>
              <w:keepLines w:val="0"/>
              <w:suppressLineNumbers w:val="0"/>
              <w:snapToGrid w:val="0"/>
              <w:spacing w:before="0" w:beforeAutospacing="0" w:after="160" w:afterAutospacing="0" w:line="240" w:lineRule="auto"/>
              <w:ind w:left="0" w:leftChars="0" w:right="0" w:rightChars="0" w:firstLine="0" w:firstLineChars="0"/>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现场专职安全员</w:t>
            </w:r>
          </w:p>
        </w:tc>
        <w:tc>
          <w:tcPr>
            <w:tcW w:w="8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5AB4382">
            <w:pPr>
              <w:keepNext w:val="0"/>
              <w:keepLines w:val="0"/>
              <w:suppressLineNumbers w:val="0"/>
              <w:snapToGrid w:val="0"/>
              <w:spacing w:before="0" w:beforeAutospacing="0" w:after="160" w:afterAutospacing="0" w:line="240" w:lineRule="auto"/>
              <w:ind w:left="0" w:leftChars="0" w:right="0" w:rightChars="0" w:firstLine="0" w:firstLineChars="0"/>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3人</w:t>
            </w:r>
          </w:p>
        </w:tc>
        <w:tc>
          <w:tcPr>
            <w:tcW w:w="3495" w:type="dxa"/>
            <w:tcBorders>
              <w:top w:val="single" w:color="auto" w:sz="4" w:space="0"/>
              <w:left w:val="single" w:color="auto" w:sz="4" w:space="0"/>
              <w:bottom w:val="single" w:color="auto" w:sz="4" w:space="0"/>
              <w:right w:val="single" w:color="auto" w:sz="4" w:space="0"/>
            </w:tcBorders>
            <w:shd w:val="clear" w:color="auto" w:fill="auto"/>
            <w:vAlign w:val="center"/>
          </w:tcPr>
          <w:p w14:paraId="6476DC57">
            <w:pPr>
              <w:keepNext w:val="0"/>
              <w:keepLines w:val="0"/>
              <w:suppressLineNumbers w:val="0"/>
              <w:snapToGrid w:val="0"/>
              <w:spacing w:before="0" w:beforeAutospacing="0" w:after="160" w:afterAutospacing="0" w:line="240" w:lineRule="auto"/>
              <w:ind w:left="0" w:leftChars="0" w:right="0" w:rightChars="0" w:firstLine="0" w:firstLineChars="0"/>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负责各作业班组安全管理工作</w:t>
            </w:r>
          </w:p>
        </w:tc>
        <w:tc>
          <w:tcPr>
            <w:tcW w:w="720" w:type="dxa"/>
            <w:tcBorders>
              <w:top w:val="single" w:color="auto" w:sz="4" w:space="0"/>
              <w:left w:val="single" w:color="auto" w:sz="4" w:space="0"/>
              <w:bottom w:val="single" w:color="auto" w:sz="4" w:space="0"/>
              <w:right w:val="single" w:color="auto" w:sz="4" w:space="0"/>
            </w:tcBorders>
            <w:noWrap/>
            <w:vAlign w:val="center"/>
          </w:tcPr>
          <w:p w14:paraId="416DE83F">
            <w:pPr>
              <w:keepNext w:val="0"/>
              <w:keepLines w:val="0"/>
              <w:suppressLineNumbers w:val="0"/>
              <w:snapToGrid w:val="0"/>
              <w:spacing w:before="0" w:beforeAutospacing="0" w:after="160" w:afterAutospacing="0" w:line="240" w:lineRule="auto"/>
              <w:ind w:left="0" w:leftChars="0" w:right="0" w:rightChars="0" w:firstLine="0" w:firstLineChars="0"/>
              <w:jc w:val="left"/>
              <w:rPr>
                <w:rFonts w:hint="eastAsia" w:ascii="宋体" w:hAnsi="宋体" w:eastAsia="宋体" w:cs="宋体"/>
                <w:color w:val="000000"/>
                <w:kern w:val="0"/>
                <w:szCs w:val="21"/>
              </w:rPr>
            </w:pPr>
          </w:p>
        </w:tc>
      </w:tr>
      <w:tr w14:paraId="54C91A7A">
        <w:tblPrEx>
          <w:tblCellMar>
            <w:top w:w="15" w:type="dxa"/>
            <w:left w:w="108" w:type="dxa"/>
            <w:bottom w:w="0" w:type="dxa"/>
            <w:right w:w="108" w:type="dxa"/>
          </w:tblCellMar>
        </w:tblPrEx>
        <w:trPr>
          <w:trHeight w:val="0" w:hRule="atLeast"/>
        </w:trPr>
        <w:tc>
          <w:tcPr>
            <w:tcW w:w="130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00E6B4A">
            <w:pPr>
              <w:keepNext w:val="0"/>
              <w:keepLines w:val="0"/>
              <w:suppressLineNumbers w:val="0"/>
              <w:snapToGrid w:val="0"/>
              <w:spacing w:before="0" w:beforeAutospacing="0" w:after="160" w:afterAutospacing="0" w:line="240" w:lineRule="auto"/>
              <w:ind w:left="0" w:leftChars="0" w:right="0" w:rightChars="0" w:firstLine="0" w:firstLineChars="0"/>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其他人员</w:t>
            </w:r>
          </w:p>
        </w:tc>
        <w:tc>
          <w:tcPr>
            <w:tcW w:w="24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4A6A7EF">
            <w:pPr>
              <w:keepNext w:val="0"/>
              <w:keepLines w:val="0"/>
              <w:suppressLineNumbers w:val="0"/>
              <w:snapToGrid w:val="0"/>
              <w:spacing w:before="0" w:beforeAutospacing="0" w:after="160" w:afterAutospacing="0" w:line="240" w:lineRule="auto"/>
              <w:ind w:left="0" w:leftChars="0" w:right="0" w:rightChars="0" w:firstLine="0" w:firstLineChars="0"/>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管网信息化管理平台数据接入负责人</w:t>
            </w:r>
          </w:p>
        </w:tc>
        <w:tc>
          <w:tcPr>
            <w:tcW w:w="8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5B5F760">
            <w:pPr>
              <w:keepNext w:val="0"/>
              <w:keepLines w:val="0"/>
              <w:suppressLineNumbers w:val="0"/>
              <w:snapToGrid w:val="0"/>
              <w:spacing w:before="0" w:beforeAutospacing="0" w:after="160" w:afterAutospacing="0" w:line="240" w:lineRule="auto"/>
              <w:ind w:left="0" w:leftChars="0" w:right="0" w:rightChars="0" w:firstLine="0" w:firstLineChars="0"/>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2人</w:t>
            </w:r>
          </w:p>
        </w:tc>
        <w:tc>
          <w:tcPr>
            <w:tcW w:w="3495" w:type="dxa"/>
            <w:tcBorders>
              <w:top w:val="single" w:color="auto" w:sz="4" w:space="0"/>
              <w:left w:val="single" w:color="auto" w:sz="4" w:space="0"/>
              <w:bottom w:val="single" w:color="auto" w:sz="4" w:space="0"/>
              <w:right w:val="single" w:color="auto" w:sz="4" w:space="0"/>
            </w:tcBorders>
            <w:shd w:val="clear" w:color="auto" w:fill="auto"/>
            <w:vAlign w:val="center"/>
          </w:tcPr>
          <w:p w14:paraId="14E8AB5A">
            <w:pPr>
              <w:keepNext w:val="0"/>
              <w:keepLines w:val="0"/>
              <w:suppressLineNumbers w:val="0"/>
              <w:snapToGrid w:val="0"/>
              <w:spacing w:before="0" w:beforeAutospacing="0" w:after="160" w:afterAutospacing="0" w:line="240" w:lineRule="auto"/>
              <w:ind w:left="0" w:leftChars="0" w:right="0" w:rightChars="0" w:firstLine="0" w:firstLineChars="0"/>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按要求协助采购人完成"管网信息化管理平台"系统（城市生命线平台）接入。</w:t>
            </w:r>
          </w:p>
        </w:tc>
        <w:tc>
          <w:tcPr>
            <w:tcW w:w="720" w:type="dxa"/>
            <w:tcBorders>
              <w:top w:val="single" w:color="auto" w:sz="4" w:space="0"/>
              <w:left w:val="single" w:color="auto" w:sz="4" w:space="0"/>
              <w:bottom w:val="single" w:color="auto" w:sz="4" w:space="0"/>
              <w:right w:val="single" w:color="auto" w:sz="4" w:space="0"/>
            </w:tcBorders>
            <w:noWrap/>
            <w:vAlign w:val="center"/>
          </w:tcPr>
          <w:p w14:paraId="26A3DEE7">
            <w:pPr>
              <w:keepNext w:val="0"/>
              <w:keepLines w:val="0"/>
              <w:suppressLineNumbers w:val="0"/>
              <w:snapToGrid w:val="0"/>
              <w:spacing w:before="0" w:beforeAutospacing="0" w:after="160" w:afterAutospacing="0" w:line="240" w:lineRule="auto"/>
              <w:ind w:left="0" w:leftChars="0" w:right="0" w:rightChars="0" w:firstLine="0" w:firstLineChars="0"/>
              <w:jc w:val="left"/>
              <w:rPr>
                <w:rFonts w:hint="eastAsia" w:ascii="宋体" w:hAnsi="宋体" w:eastAsia="宋体" w:cs="宋体"/>
                <w:color w:val="000000"/>
                <w:kern w:val="0"/>
                <w:szCs w:val="21"/>
              </w:rPr>
            </w:pPr>
          </w:p>
        </w:tc>
      </w:tr>
    </w:tbl>
    <w:p w14:paraId="7D1781BD">
      <w:pPr>
        <w:kinsoku w:val="0"/>
        <w:overflowPunct w:val="0"/>
        <w:spacing w:line="440" w:lineRule="exact"/>
        <w:ind w:firstLine="385" w:firstLineChars="181"/>
        <w:jc w:val="left"/>
        <w:rPr>
          <w:rFonts w:hint="eastAsia" w:ascii="宋体" w:hAnsi="宋体" w:eastAsia="宋体" w:cs="宋体"/>
          <w:b/>
          <w:bCs/>
          <w:color w:val="000000"/>
          <w:spacing w:val="1"/>
          <w:kern w:val="0"/>
          <w:szCs w:val="21"/>
        </w:rPr>
      </w:pPr>
      <w:r>
        <w:rPr>
          <w:rFonts w:hint="eastAsia" w:ascii="宋体" w:hAnsi="宋体" w:eastAsia="宋体" w:cs="宋体"/>
          <w:b/>
          <w:bCs/>
          <w:color w:val="000000"/>
          <w:spacing w:val="1"/>
          <w:kern w:val="0"/>
          <w:szCs w:val="21"/>
        </w:rPr>
        <w:t>注1.提供有效期内的证书证明材料，提供供应商开标前至少1个月为其缴纳的社保证明。</w:t>
      </w:r>
    </w:p>
    <w:p w14:paraId="62014D5E">
      <w:pPr>
        <w:kinsoku w:val="0"/>
        <w:overflowPunct w:val="0"/>
        <w:spacing w:line="440" w:lineRule="exact"/>
        <w:ind w:firstLine="385" w:firstLineChars="181"/>
        <w:jc w:val="left"/>
        <w:rPr>
          <w:rFonts w:hint="eastAsia" w:ascii="宋体" w:hAnsi="宋体" w:eastAsia="宋体" w:cs="宋体"/>
          <w:b/>
          <w:bCs/>
          <w:color w:val="000000"/>
          <w:spacing w:val="-3"/>
          <w:kern w:val="0"/>
          <w:szCs w:val="21"/>
        </w:rPr>
      </w:pPr>
      <w:r>
        <w:rPr>
          <w:rFonts w:hint="eastAsia" w:ascii="宋体" w:hAnsi="宋体" w:eastAsia="宋体" w:cs="宋体"/>
          <w:b/>
          <w:bCs/>
          <w:color w:val="000000"/>
          <w:spacing w:val="1"/>
          <w:kern w:val="0"/>
          <w:szCs w:val="21"/>
        </w:rPr>
        <w:t>2.</w:t>
      </w:r>
      <w:r>
        <w:rPr>
          <w:rFonts w:hint="eastAsia" w:ascii="宋体" w:hAnsi="宋体" w:eastAsia="宋体" w:cs="宋体"/>
          <w:b/>
          <w:bCs/>
          <w:color w:val="000000"/>
          <w:spacing w:val="-3"/>
          <w:kern w:val="0"/>
          <w:szCs w:val="21"/>
        </w:rPr>
        <w:t>上述人员、设备仅用于投标时要求投标人提供的最低要求，中标后，投标人须按照采购人对项目的进度要求、有关操作规程、标准技术规范等足够配备班组及相应人员、设备开展服务工作。</w:t>
      </w:r>
    </w:p>
    <w:p w14:paraId="5C8E2A11">
      <w:pPr>
        <w:kinsoku w:val="0"/>
        <w:overflowPunct w:val="0"/>
        <w:spacing w:line="440" w:lineRule="exact"/>
        <w:ind w:firstLine="369" w:firstLineChars="181"/>
        <w:jc w:val="left"/>
        <w:rPr>
          <w:rFonts w:hint="eastAsia" w:asciiTheme="minorEastAsia" w:hAnsiTheme="minorEastAsia" w:cstheme="minorEastAsia"/>
          <w:color w:val="000000"/>
          <w:kern w:val="0"/>
          <w:szCs w:val="21"/>
        </w:rPr>
      </w:pPr>
      <w:r>
        <w:rPr>
          <w:rFonts w:hint="eastAsia" w:asciiTheme="minorEastAsia" w:hAnsiTheme="minorEastAsia" w:cstheme="minorEastAsia"/>
          <w:color w:val="000000"/>
          <w:spacing w:val="-3"/>
          <w:kern w:val="0"/>
          <w:szCs w:val="21"/>
        </w:rPr>
        <w:t>（三）检测成果报告</w:t>
      </w:r>
    </w:p>
    <w:p w14:paraId="70C8C784">
      <w:pPr>
        <w:kinsoku w:val="0"/>
        <w:overflowPunct w:val="0"/>
        <w:spacing w:line="440" w:lineRule="exact"/>
        <w:ind w:firstLine="438" w:firstLineChars="181"/>
        <w:jc w:val="left"/>
        <w:rPr>
          <w:rFonts w:hint="eastAsia" w:asciiTheme="minorEastAsia" w:hAnsiTheme="minorEastAsia" w:cstheme="minorEastAsia"/>
          <w:color w:val="000000"/>
          <w:kern w:val="0"/>
          <w:szCs w:val="21"/>
        </w:rPr>
      </w:pPr>
      <w:r>
        <w:rPr>
          <w:rFonts w:hint="eastAsia" w:asciiTheme="minorEastAsia" w:hAnsiTheme="minorEastAsia" w:cstheme="minorEastAsia"/>
          <w:color w:val="000000"/>
          <w:spacing w:val="16"/>
          <w:kern w:val="0"/>
          <w:szCs w:val="21"/>
        </w:rPr>
        <w:t>1、成果绘制：提供满足要求的管网测量图和管道</w:t>
      </w:r>
      <w:r>
        <w:rPr>
          <w:rFonts w:hint="eastAsia" w:asciiTheme="minorEastAsia" w:hAnsiTheme="minorEastAsia" w:cstheme="minorEastAsia"/>
          <w:color w:val="000000"/>
          <w:kern w:val="0"/>
          <w:szCs w:val="21"/>
        </w:rPr>
        <w:t>CCTV</w:t>
      </w:r>
      <w:r>
        <w:rPr>
          <w:rFonts w:hint="eastAsia" w:asciiTheme="minorEastAsia" w:hAnsiTheme="minorEastAsia" w:cstheme="minorEastAsia"/>
          <w:color w:val="000000"/>
          <w:spacing w:val="3"/>
          <w:kern w:val="0"/>
          <w:szCs w:val="21"/>
        </w:rPr>
        <w:t>检测评估报告</w:t>
      </w:r>
      <w:r>
        <w:rPr>
          <w:rFonts w:hint="eastAsia" w:asciiTheme="minorEastAsia" w:hAnsiTheme="minorEastAsia" w:cstheme="minorEastAsia"/>
          <w:color w:val="000000"/>
          <w:spacing w:val="-1"/>
          <w:kern w:val="0"/>
          <w:szCs w:val="21"/>
        </w:rPr>
        <w:t>。须含：</w:t>
      </w:r>
    </w:p>
    <w:p w14:paraId="7D295266">
      <w:pPr>
        <w:kinsoku w:val="0"/>
        <w:overflowPunct w:val="0"/>
        <w:spacing w:line="440" w:lineRule="exact"/>
        <w:ind w:firstLine="398" w:firstLineChars="181"/>
        <w:jc w:val="left"/>
        <w:rPr>
          <w:rFonts w:hint="eastAsia" w:asciiTheme="minorEastAsia" w:hAnsiTheme="minorEastAsia" w:cstheme="minorEastAsia"/>
          <w:color w:val="000000"/>
          <w:kern w:val="0"/>
          <w:szCs w:val="21"/>
        </w:rPr>
      </w:pPr>
      <w:r>
        <w:rPr>
          <w:rFonts w:hint="eastAsia" w:asciiTheme="minorEastAsia" w:hAnsiTheme="minorEastAsia" w:cstheme="minorEastAsia"/>
          <w:color w:val="000000"/>
          <w:spacing w:val="5"/>
          <w:kern w:val="0"/>
          <w:szCs w:val="21"/>
        </w:rPr>
        <w:t>1.1查清理清污水管道现状，调查过程中，按照检查井编号，记录检查</w:t>
      </w:r>
      <w:r>
        <w:rPr>
          <w:rFonts w:hint="eastAsia" w:asciiTheme="minorEastAsia" w:hAnsiTheme="minorEastAsia" w:cstheme="minorEastAsia"/>
          <w:color w:val="000000"/>
          <w:spacing w:val="6"/>
          <w:kern w:val="0"/>
          <w:szCs w:val="21"/>
        </w:rPr>
        <w:t>井坐标、形式、尺寸、存在问题情况，及污水管道的材质、管径、管内底</w:t>
      </w:r>
      <w:r>
        <w:rPr>
          <w:rFonts w:hint="eastAsia" w:asciiTheme="minorEastAsia" w:hAnsiTheme="minorEastAsia" w:cstheme="minorEastAsia"/>
          <w:color w:val="000000"/>
          <w:spacing w:val="5"/>
          <w:kern w:val="0"/>
          <w:szCs w:val="21"/>
        </w:rPr>
        <w:t>标高、存在问</w:t>
      </w:r>
      <w:r>
        <w:rPr>
          <w:rFonts w:hint="eastAsia" w:asciiTheme="minorEastAsia" w:hAnsiTheme="minorEastAsia" w:cstheme="minorEastAsia"/>
          <w:color w:val="000000"/>
          <w:spacing w:val="6"/>
          <w:kern w:val="0"/>
          <w:szCs w:val="21"/>
        </w:rPr>
        <w:t>题情况，最终形成检查井基本信息表、检查井调查表及污水管道基本信息</w:t>
      </w:r>
      <w:r>
        <w:rPr>
          <w:rFonts w:hint="eastAsia" w:asciiTheme="minorEastAsia" w:hAnsiTheme="minorEastAsia" w:cstheme="minorEastAsia"/>
          <w:color w:val="000000"/>
          <w:spacing w:val="5"/>
          <w:kern w:val="0"/>
          <w:szCs w:val="21"/>
        </w:rPr>
        <w:t>表、污水管道</w:t>
      </w:r>
      <w:r>
        <w:rPr>
          <w:rFonts w:hint="eastAsia" w:asciiTheme="minorEastAsia" w:hAnsiTheme="minorEastAsia" w:cstheme="minorEastAsia"/>
          <w:color w:val="000000"/>
          <w:spacing w:val="-3"/>
          <w:kern w:val="0"/>
          <w:szCs w:val="21"/>
        </w:rPr>
        <w:t>调查表。</w:t>
      </w:r>
    </w:p>
    <w:p w14:paraId="16FB044C">
      <w:pPr>
        <w:kinsoku w:val="0"/>
        <w:overflowPunct w:val="0"/>
        <w:spacing w:line="440" w:lineRule="exact"/>
        <w:ind w:firstLine="394" w:firstLineChars="181"/>
        <w:jc w:val="left"/>
        <w:rPr>
          <w:rFonts w:hint="eastAsia" w:asciiTheme="minorEastAsia" w:hAnsiTheme="minorEastAsia" w:cstheme="minorEastAsia"/>
          <w:color w:val="000000"/>
          <w:kern w:val="0"/>
          <w:szCs w:val="21"/>
        </w:rPr>
      </w:pPr>
      <w:r>
        <w:rPr>
          <w:rFonts w:hint="eastAsia" w:asciiTheme="minorEastAsia" w:hAnsiTheme="minorEastAsia" w:cstheme="minorEastAsia"/>
          <w:color w:val="000000"/>
          <w:spacing w:val="4"/>
          <w:kern w:val="0"/>
          <w:szCs w:val="21"/>
        </w:rPr>
        <w:t>1.2根据检查井基本信息表及污水管道基本信息表，检测</w:t>
      </w:r>
      <w:r>
        <w:rPr>
          <w:rFonts w:hint="eastAsia" w:asciiTheme="minorEastAsia" w:hAnsiTheme="minorEastAsia" w:cstheme="minorEastAsia"/>
          <w:color w:val="000000"/>
          <w:spacing w:val="3"/>
          <w:kern w:val="0"/>
          <w:szCs w:val="21"/>
        </w:rPr>
        <w:t>管道存在问题，</w:t>
      </w:r>
      <w:r>
        <w:rPr>
          <w:rFonts w:hint="eastAsia" w:asciiTheme="minorEastAsia" w:hAnsiTheme="minorEastAsia" w:cstheme="minorEastAsia"/>
          <w:color w:val="000000"/>
          <w:spacing w:val="-1"/>
          <w:kern w:val="0"/>
          <w:szCs w:val="21"/>
        </w:rPr>
        <w:t>形成污水管道设施情况汇总小结。</w:t>
      </w:r>
    </w:p>
    <w:p w14:paraId="5FB713F9">
      <w:pPr>
        <w:kinsoku w:val="0"/>
        <w:overflowPunct w:val="0"/>
        <w:spacing w:line="440" w:lineRule="exact"/>
        <w:ind w:firstLine="394" w:firstLineChars="181"/>
        <w:jc w:val="left"/>
        <w:rPr>
          <w:rFonts w:hint="eastAsia" w:asciiTheme="minorEastAsia" w:hAnsiTheme="minorEastAsia" w:cstheme="minorEastAsia"/>
          <w:color w:val="000000"/>
          <w:kern w:val="0"/>
          <w:szCs w:val="21"/>
        </w:rPr>
      </w:pPr>
      <w:r>
        <w:rPr>
          <w:rFonts w:hint="eastAsia" w:asciiTheme="minorEastAsia" w:hAnsiTheme="minorEastAsia" w:cstheme="minorEastAsia"/>
          <w:color w:val="000000"/>
          <w:spacing w:val="4"/>
          <w:kern w:val="0"/>
          <w:szCs w:val="21"/>
        </w:rPr>
        <w:t>1.3查清理清污水管道及附属设施现状，绘制管道系统图，图上需</w:t>
      </w:r>
      <w:r>
        <w:rPr>
          <w:rFonts w:hint="eastAsia" w:asciiTheme="minorEastAsia" w:hAnsiTheme="minorEastAsia" w:cstheme="minorEastAsia"/>
          <w:color w:val="000000"/>
          <w:spacing w:val="3"/>
          <w:kern w:val="0"/>
          <w:szCs w:val="21"/>
        </w:rPr>
        <w:t>有地形、管线，</w:t>
      </w:r>
      <w:r>
        <w:rPr>
          <w:rFonts w:hint="eastAsia" w:asciiTheme="minorEastAsia" w:hAnsiTheme="minorEastAsia" w:cstheme="minorEastAsia"/>
          <w:color w:val="000000"/>
          <w:spacing w:val="-1"/>
          <w:kern w:val="0"/>
          <w:szCs w:val="21"/>
        </w:rPr>
        <w:t>需标注检查井坐标，管道材质、管径、管内底标高，管道附属设施位置需在图上标明。</w:t>
      </w:r>
    </w:p>
    <w:p w14:paraId="45B38428">
      <w:pPr>
        <w:kinsoku w:val="0"/>
        <w:overflowPunct w:val="0"/>
        <w:spacing w:line="440" w:lineRule="exact"/>
        <w:ind w:firstLine="376" w:firstLineChars="181"/>
        <w:jc w:val="left"/>
        <w:rPr>
          <w:rFonts w:hint="eastAsia" w:asciiTheme="minorEastAsia" w:hAnsiTheme="minorEastAsia" w:cstheme="minorEastAsia"/>
          <w:color w:val="000000"/>
          <w:kern w:val="0"/>
          <w:szCs w:val="21"/>
        </w:rPr>
      </w:pPr>
      <w:r>
        <w:rPr>
          <w:rFonts w:hint="eastAsia" w:asciiTheme="minorEastAsia" w:hAnsiTheme="minorEastAsia" w:cstheme="minorEastAsia"/>
          <w:color w:val="000000"/>
          <w:spacing w:val="-1"/>
          <w:kern w:val="0"/>
          <w:szCs w:val="21"/>
        </w:rPr>
        <w:t>1.4影像资料，所有检测录像、图像均要提供U盘和光盘。</w:t>
      </w:r>
    </w:p>
    <w:p w14:paraId="065A146E">
      <w:pPr>
        <w:kinsoku w:val="0"/>
        <w:overflowPunct w:val="0"/>
        <w:spacing w:line="440" w:lineRule="exact"/>
        <w:ind w:firstLine="401" w:firstLineChars="181"/>
        <w:jc w:val="left"/>
        <w:rPr>
          <w:rFonts w:hint="eastAsia" w:asciiTheme="minorEastAsia" w:hAnsiTheme="minorEastAsia" w:cstheme="minorEastAsia"/>
          <w:color w:val="000000"/>
          <w:kern w:val="0"/>
          <w:szCs w:val="21"/>
        </w:rPr>
      </w:pPr>
      <w:r>
        <w:rPr>
          <w:rFonts w:hint="eastAsia" w:asciiTheme="minorEastAsia" w:hAnsiTheme="minorEastAsia" w:cstheme="minorEastAsia"/>
          <w:color w:val="000000"/>
          <w:spacing w:val="6"/>
          <w:kern w:val="0"/>
          <w:szCs w:val="21"/>
        </w:rPr>
        <w:t>详细成果要求按《城镇排水管道检测与评估技术规程》</w:t>
      </w:r>
      <w:r>
        <w:rPr>
          <w:rFonts w:hint="eastAsia" w:asciiTheme="minorEastAsia" w:hAnsiTheme="minorEastAsia" w:cstheme="minorEastAsia"/>
          <w:color w:val="000000"/>
          <w:spacing w:val="5"/>
          <w:kern w:val="0"/>
          <w:szCs w:val="21"/>
        </w:rPr>
        <w:t>（</w:t>
      </w:r>
      <w:r>
        <w:rPr>
          <w:rFonts w:hint="eastAsia" w:asciiTheme="minorEastAsia" w:hAnsiTheme="minorEastAsia" w:cstheme="minorEastAsia"/>
          <w:color w:val="000000"/>
          <w:kern w:val="0"/>
          <w:szCs w:val="21"/>
        </w:rPr>
        <w:t>CJJ</w:t>
      </w:r>
      <w:r>
        <w:rPr>
          <w:rFonts w:hint="eastAsia" w:asciiTheme="minorEastAsia" w:hAnsiTheme="minorEastAsia" w:cstheme="minorEastAsia"/>
          <w:color w:val="000000"/>
          <w:spacing w:val="5"/>
          <w:kern w:val="0"/>
          <w:szCs w:val="21"/>
        </w:rPr>
        <w:t>-181-2012）执行。出</w:t>
      </w:r>
      <w:r>
        <w:rPr>
          <w:rFonts w:hint="eastAsia" w:asciiTheme="minorEastAsia" w:hAnsiTheme="minorEastAsia" w:cstheme="minorEastAsia"/>
          <w:color w:val="000000"/>
          <w:spacing w:val="-3"/>
          <w:kern w:val="0"/>
          <w:szCs w:val="21"/>
        </w:rPr>
        <w:t>具检测报告（含影像资料</w:t>
      </w:r>
      <w:r>
        <w:rPr>
          <w:rFonts w:hint="eastAsia" w:asciiTheme="minorEastAsia" w:hAnsiTheme="minorEastAsia" w:cstheme="minorEastAsia"/>
          <w:color w:val="000000"/>
          <w:spacing w:val="11"/>
          <w:kern w:val="0"/>
          <w:szCs w:val="21"/>
        </w:rPr>
        <w:t>），</w:t>
      </w:r>
      <w:r>
        <w:rPr>
          <w:rFonts w:hint="eastAsia" w:asciiTheme="minorEastAsia" w:hAnsiTheme="minorEastAsia" w:cstheme="minorEastAsia"/>
          <w:color w:val="000000"/>
          <w:spacing w:val="-3"/>
          <w:kern w:val="0"/>
          <w:szCs w:val="21"/>
        </w:rPr>
        <w:t>按照采购人要求出具CAD图纸。</w:t>
      </w:r>
    </w:p>
    <w:p w14:paraId="6B266B48">
      <w:pPr>
        <w:kinsoku w:val="0"/>
        <w:overflowPunct w:val="0"/>
        <w:spacing w:line="440" w:lineRule="exact"/>
        <w:ind w:firstLine="372" w:firstLineChars="181"/>
        <w:jc w:val="left"/>
        <w:rPr>
          <w:rFonts w:hint="eastAsia" w:asciiTheme="minorEastAsia" w:hAnsiTheme="minorEastAsia" w:cstheme="minorEastAsia"/>
          <w:color w:val="000000"/>
          <w:kern w:val="0"/>
          <w:szCs w:val="21"/>
        </w:rPr>
      </w:pPr>
      <w:r>
        <w:rPr>
          <w:rFonts w:hint="eastAsia" w:asciiTheme="minorEastAsia" w:hAnsiTheme="minorEastAsia" w:cstheme="minorEastAsia"/>
          <w:color w:val="000000"/>
          <w:spacing w:val="-2"/>
          <w:kern w:val="0"/>
          <w:szCs w:val="21"/>
        </w:rPr>
        <w:t>2、相关检测报告及建议</w:t>
      </w:r>
    </w:p>
    <w:p w14:paraId="538523CC">
      <w:pPr>
        <w:kinsoku w:val="0"/>
        <w:overflowPunct w:val="0"/>
        <w:spacing w:line="440" w:lineRule="exact"/>
        <w:ind w:firstLine="383" w:firstLineChars="181"/>
        <w:jc w:val="left"/>
        <w:rPr>
          <w:rFonts w:hint="eastAsia" w:asciiTheme="minorEastAsia" w:hAnsiTheme="minorEastAsia" w:cstheme="minorEastAsia"/>
          <w:color w:val="000000"/>
          <w:spacing w:val="-1"/>
          <w:kern w:val="0"/>
          <w:szCs w:val="21"/>
        </w:rPr>
      </w:pPr>
      <w:r>
        <w:rPr>
          <w:rFonts w:hint="eastAsia" w:asciiTheme="minorEastAsia" w:hAnsiTheme="minorEastAsia" w:cstheme="minorEastAsia"/>
          <w:color w:val="000000"/>
          <w:spacing w:val="1"/>
          <w:kern w:val="0"/>
          <w:szCs w:val="21"/>
        </w:rPr>
        <w:t>2.1通过检测要对雨水管道是否有私接支管、是否有污水、河水混</w:t>
      </w:r>
      <w:r>
        <w:rPr>
          <w:rFonts w:hint="eastAsia" w:asciiTheme="minorEastAsia" w:hAnsiTheme="minorEastAsia" w:cstheme="minorEastAsia"/>
          <w:color w:val="000000"/>
          <w:kern w:val="0"/>
          <w:szCs w:val="21"/>
        </w:rPr>
        <w:t>入做明确说明，提供检测报告及整改建议；对雨污水混接调查应溯源</w:t>
      </w:r>
      <w:r>
        <w:rPr>
          <w:rFonts w:hint="eastAsia" w:asciiTheme="minorEastAsia" w:hAnsiTheme="minorEastAsia" w:cstheme="minorEastAsia"/>
          <w:color w:val="000000"/>
          <w:spacing w:val="-1"/>
          <w:kern w:val="0"/>
          <w:szCs w:val="21"/>
        </w:rPr>
        <w:t>至小区外接检查井位置。</w:t>
      </w:r>
    </w:p>
    <w:p w14:paraId="191D36B7">
      <w:pPr>
        <w:kinsoku w:val="0"/>
        <w:overflowPunct w:val="0"/>
        <w:spacing w:line="440" w:lineRule="exact"/>
        <w:ind w:firstLine="383" w:firstLineChars="181"/>
        <w:jc w:val="left"/>
        <w:rPr>
          <w:rFonts w:hint="eastAsia" w:asciiTheme="minorEastAsia" w:hAnsiTheme="minorEastAsia" w:cstheme="minorEastAsia"/>
          <w:color w:val="000000"/>
          <w:kern w:val="0"/>
          <w:szCs w:val="21"/>
        </w:rPr>
      </w:pPr>
      <w:r>
        <w:rPr>
          <w:rFonts w:hint="eastAsia" w:asciiTheme="minorEastAsia" w:hAnsiTheme="minorEastAsia" w:cstheme="minorEastAsia"/>
          <w:color w:val="000000"/>
          <w:spacing w:val="1"/>
          <w:kern w:val="0"/>
          <w:szCs w:val="21"/>
        </w:rPr>
        <w:t>2.2编制雨污水管网清疏检测评估报告，总结分析现状管网存</w:t>
      </w:r>
      <w:r>
        <w:rPr>
          <w:rFonts w:hint="eastAsia" w:asciiTheme="minorEastAsia" w:hAnsiTheme="minorEastAsia" w:cstheme="minorEastAsia"/>
          <w:color w:val="000000"/>
          <w:kern w:val="0"/>
          <w:szCs w:val="21"/>
        </w:rPr>
        <w:t>在的问题，并提出整改</w:t>
      </w:r>
      <w:r>
        <w:rPr>
          <w:rFonts w:hint="eastAsia" w:asciiTheme="minorEastAsia" w:hAnsiTheme="minorEastAsia" w:cstheme="minorEastAsia"/>
          <w:color w:val="000000"/>
          <w:spacing w:val="-1"/>
          <w:kern w:val="0"/>
          <w:szCs w:val="21"/>
        </w:rPr>
        <w:t>意见和项目菜单。最终形成本项目整体检测评估报告。</w:t>
      </w:r>
    </w:p>
    <w:p w14:paraId="35C786CE">
      <w:pPr>
        <w:numPr>
          <w:ilvl w:val="0"/>
          <w:numId w:val="2"/>
        </w:numPr>
        <w:kinsoku w:val="0"/>
        <w:overflowPunct w:val="0"/>
        <w:spacing w:line="440" w:lineRule="exact"/>
        <w:ind w:firstLine="369" w:firstLineChars="181"/>
        <w:jc w:val="left"/>
        <w:rPr>
          <w:rFonts w:hint="eastAsia" w:asciiTheme="minorEastAsia" w:hAnsiTheme="minorEastAsia" w:cstheme="minorEastAsia"/>
          <w:color w:val="000000"/>
          <w:spacing w:val="-3"/>
          <w:kern w:val="0"/>
          <w:szCs w:val="21"/>
        </w:rPr>
      </w:pPr>
      <w:r>
        <w:rPr>
          <w:rFonts w:hint="eastAsia" w:asciiTheme="minorEastAsia" w:hAnsiTheme="minorEastAsia" w:cstheme="minorEastAsia"/>
          <w:color w:val="000000"/>
          <w:spacing w:val="-3"/>
          <w:kern w:val="0"/>
          <w:szCs w:val="21"/>
        </w:rPr>
        <w:t>项目清单明细表（准确工程量清单需建设方提供）</w:t>
      </w:r>
    </w:p>
    <w:p w14:paraId="043E4B44">
      <w:pPr>
        <w:ind w:firstLine="474"/>
        <w:rPr>
          <w:rFonts w:hint="eastAsia" w:ascii="宋体" w:hAnsi="宋体" w:eastAsia="宋体" w:cs="宋体"/>
          <w:b/>
          <w:bCs/>
          <w:color w:val="000000"/>
          <w:spacing w:val="-2"/>
          <w:kern w:val="0"/>
          <w:szCs w:val="21"/>
        </w:rPr>
      </w:pPr>
      <w:r>
        <w:rPr>
          <w:rFonts w:hint="eastAsia" w:ascii="宋体" w:hAnsi="宋体" w:eastAsia="宋体" w:cs="宋体"/>
          <w:b/>
          <w:bCs/>
          <w:color w:val="000000"/>
          <w:spacing w:val="-2"/>
          <w:kern w:val="0"/>
          <w:szCs w:val="21"/>
        </w:rPr>
        <w:br w:type="page"/>
      </w:r>
    </w:p>
    <w:p w14:paraId="6137A3F1">
      <w:pPr>
        <w:kinsoku w:val="0"/>
        <w:overflowPunct w:val="0"/>
        <w:spacing w:line="440" w:lineRule="exact"/>
        <w:ind w:firstLine="474"/>
        <w:jc w:val="center"/>
        <w:rPr>
          <w:rFonts w:hint="eastAsia" w:asciiTheme="minorEastAsia" w:hAnsiTheme="minorEastAsia" w:cstheme="minorEastAsia"/>
          <w:color w:val="000000"/>
          <w:spacing w:val="-3"/>
          <w:kern w:val="0"/>
          <w:sz w:val="24"/>
        </w:rPr>
      </w:pPr>
      <w:r>
        <w:rPr>
          <w:rFonts w:hint="eastAsia" w:ascii="宋体" w:hAnsi="宋体" w:eastAsia="宋体" w:cs="宋体"/>
          <w:b/>
          <w:bCs/>
          <w:color w:val="000000"/>
          <w:spacing w:val="-2"/>
          <w:kern w:val="0"/>
          <w:sz w:val="24"/>
        </w:rPr>
        <w:t>工程量</w:t>
      </w:r>
      <w:r>
        <w:rPr>
          <w:rFonts w:ascii="宋体" w:hAnsi="宋体" w:eastAsia="宋体" w:cs="宋体"/>
          <w:b/>
          <w:bCs/>
          <w:color w:val="000000"/>
          <w:spacing w:val="-2"/>
          <w:kern w:val="0"/>
          <w:sz w:val="24"/>
        </w:rPr>
        <w:t>清单明细表</w:t>
      </w:r>
    </w:p>
    <w:tbl>
      <w:tblPr>
        <w:tblStyle w:val="12"/>
        <w:tblW w:w="0" w:type="auto"/>
        <w:tblInd w:w="1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3"/>
        <w:gridCol w:w="2462"/>
        <w:gridCol w:w="3950"/>
        <w:gridCol w:w="700"/>
        <w:gridCol w:w="963"/>
      </w:tblGrid>
      <w:tr w14:paraId="365F0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3" w:type="dxa"/>
            <w:vAlign w:val="center"/>
          </w:tcPr>
          <w:p w14:paraId="2B2373F6">
            <w:pPr>
              <w:kinsoku w:val="0"/>
              <w:overflowPunct w:val="0"/>
              <w:snapToGrid w:val="0"/>
              <w:ind w:left="0" w:leftChars="0" w:firstLine="0" w:firstLineChars="0"/>
              <w:jc w:val="center"/>
              <w:rPr>
                <w:rFonts w:hint="eastAsia" w:asciiTheme="minorEastAsia" w:hAnsiTheme="minorEastAsia" w:cstheme="minorEastAsia"/>
                <w:color w:val="000000"/>
                <w:spacing w:val="-3"/>
                <w:kern w:val="0"/>
                <w:szCs w:val="21"/>
              </w:rPr>
            </w:pPr>
            <w:r>
              <w:rPr>
                <w:rFonts w:hint="eastAsia" w:ascii="宋体" w:hAnsi="宋体" w:eastAsia="宋体" w:cs="宋体"/>
                <w:b/>
                <w:color w:val="000000"/>
                <w:spacing w:val="6"/>
                <w:szCs w:val="21"/>
                <w:lang w:eastAsia="en-US"/>
              </w:rPr>
              <w:t>序号</w:t>
            </w:r>
          </w:p>
        </w:tc>
        <w:tc>
          <w:tcPr>
            <w:tcW w:w="2462" w:type="dxa"/>
            <w:vAlign w:val="center"/>
          </w:tcPr>
          <w:p w14:paraId="07169B3B">
            <w:pPr>
              <w:kinsoku w:val="0"/>
              <w:overflowPunct w:val="0"/>
              <w:snapToGrid w:val="0"/>
              <w:ind w:left="0" w:leftChars="0" w:firstLine="0" w:firstLineChars="0"/>
              <w:jc w:val="center"/>
              <w:rPr>
                <w:rFonts w:hint="eastAsia" w:asciiTheme="minorEastAsia" w:hAnsiTheme="minorEastAsia" w:cstheme="minorEastAsia"/>
                <w:color w:val="000000"/>
                <w:spacing w:val="-3"/>
                <w:kern w:val="0"/>
                <w:szCs w:val="21"/>
              </w:rPr>
            </w:pPr>
            <w:r>
              <w:rPr>
                <w:rFonts w:hint="eastAsia" w:ascii="宋体" w:hAnsi="宋体" w:eastAsia="宋体" w:cs="宋体"/>
                <w:b/>
                <w:color w:val="000000"/>
                <w:spacing w:val="6"/>
                <w:szCs w:val="21"/>
              </w:rPr>
              <w:t>服务</w:t>
            </w:r>
            <w:r>
              <w:rPr>
                <w:rFonts w:hint="eastAsia" w:ascii="宋体" w:hAnsi="宋体" w:eastAsia="宋体" w:cs="宋体"/>
                <w:b/>
                <w:color w:val="000000"/>
                <w:spacing w:val="6"/>
                <w:szCs w:val="21"/>
                <w:lang w:eastAsia="en-US"/>
              </w:rPr>
              <w:t>名称</w:t>
            </w:r>
          </w:p>
        </w:tc>
        <w:tc>
          <w:tcPr>
            <w:tcW w:w="3950" w:type="dxa"/>
            <w:vAlign w:val="center"/>
          </w:tcPr>
          <w:p w14:paraId="4D847625">
            <w:pPr>
              <w:kinsoku w:val="0"/>
              <w:overflowPunct w:val="0"/>
              <w:snapToGrid w:val="0"/>
              <w:ind w:left="0" w:leftChars="0" w:firstLine="0" w:firstLineChars="0"/>
              <w:jc w:val="center"/>
              <w:rPr>
                <w:rFonts w:hint="eastAsia" w:asciiTheme="minorEastAsia" w:hAnsiTheme="minorEastAsia" w:cstheme="minorEastAsia"/>
                <w:color w:val="000000"/>
                <w:spacing w:val="-3"/>
                <w:kern w:val="0"/>
                <w:szCs w:val="21"/>
              </w:rPr>
            </w:pPr>
            <w:r>
              <w:rPr>
                <w:rFonts w:hint="eastAsia" w:ascii="宋体" w:hAnsi="宋体" w:eastAsia="宋体" w:cs="宋体"/>
                <w:b/>
                <w:color w:val="000000"/>
                <w:spacing w:val="6"/>
                <w:szCs w:val="21"/>
                <w:lang w:eastAsia="en-US"/>
              </w:rPr>
              <w:t>特征描述</w:t>
            </w:r>
          </w:p>
        </w:tc>
        <w:tc>
          <w:tcPr>
            <w:tcW w:w="700" w:type="dxa"/>
            <w:vAlign w:val="center"/>
          </w:tcPr>
          <w:p w14:paraId="27141D73">
            <w:pPr>
              <w:kinsoku w:val="0"/>
              <w:overflowPunct w:val="0"/>
              <w:snapToGrid w:val="0"/>
              <w:ind w:left="0" w:leftChars="0" w:firstLine="0" w:firstLineChars="0"/>
              <w:jc w:val="center"/>
              <w:rPr>
                <w:rFonts w:hint="eastAsia" w:asciiTheme="minorEastAsia" w:hAnsiTheme="minorEastAsia" w:cstheme="minorEastAsia"/>
                <w:color w:val="000000"/>
                <w:spacing w:val="-3"/>
                <w:kern w:val="0"/>
                <w:szCs w:val="21"/>
              </w:rPr>
            </w:pPr>
            <w:r>
              <w:rPr>
                <w:rFonts w:hint="eastAsia" w:ascii="宋体" w:hAnsi="宋体" w:eastAsia="宋体" w:cs="宋体"/>
                <w:b/>
                <w:color w:val="000000"/>
                <w:spacing w:val="6"/>
                <w:szCs w:val="21"/>
                <w:lang w:eastAsia="en-US"/>
              </w:rPr>
              <w:t>单位</w:t>
            </w:r>
          </w:p>
        </w:tc>
        <w:tc>
          <w:tcPr>
            <w:tcW w:w="963" w:type="dxa"/>
            <w:vAlign w:val="center"/>
          </w:tcPr>
          <w:p w14:paraId="4943B29C">
            <w:pPr>
              <w:kinsoku w:val="0"/>
              <w:overflowPunct w:val="0"/>
              <w:snapToGrid w:val="0"/>
              <w:ind w:left="0" w:leftChars="0" w:firstLine="0" w:firstLineChars="0"/>
              <w:jc w:val="center"/>
              <w:rPr>
                <w:rFonts w:hint="eastAsia" w:asciiTheme="minorEastAsia" w:hAnsiTheme="minorEastAsia" w:cstheme="minorEastAsia"/>
                <w:color w:val="000000"/>
                <w:spacing w:val="-3"/>
                <w:kern w:val="0"/>
                <w:szCs w:val="21"/>
              </w:rPr>
            </w:pPr>
            <w:r>
              <w:rPr>
                <w:rFonts w:hint="eastAsia" w:ascii="宋体" w:hAnsi="宋体" w:eastAsia="宋体" w:cs="宋体"/>
                <w:b/>
                <w:color w:val="000000"/>
                <w:spacing w:val="6"/>
                <w:szCs w:val="21"/>
              </w:rPr>
              <w:t>预估</w:t>
            </w:r>
            <w:r>
              <w:rPr>
                <w:rFonts w:hint="eastAsia" w:ascii="宋体" w:hAnsi="宋体" w:eastAsia="宋体" w:cs="宋体"/>
                <w:b/>
                <w:color w:val="000000"/>
                <w:spacing w:val="6"/>
                <w:szCs w:val="21"/>
                <w:lang w:eastAsia="en-US"/>
              </w:rPr>
              <w:t>工程量</w:t>
            </w:r>
          </w:p>
        </w:tc>
      </w:tr>
      <w:tr w14:paraId="4E715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0" w:hRule="atLeast"/>
        </w:trPr>
        <w:tc>
          <w:tcPr>
            <w:tcW w:w="663" w:type="dxa"/>
            <w:vAlign w:val="center"/>
          </w:tcPr>
          <w:p w14:paraId="5C1BFFBF">
            <w:pPr>
              <w:kinsoku w:val="0"/>
              <w:overflowPunct w:val="0"/>
              <w:spacing w:line="440" w:lineRule="exact"/>
              <w:ind w:left="0" w:leftChars="0" w:firstLine="0" w:firstLineChars="0"/>
              <w:jc w:val="center"/>
              <w:rPr>
                <w:rFonts w:hint="eastAsia" w:asciiTheme="minorEastAsia" w:hAnsiTheme="minorEastAsia" w:cstheme="minorEastAsia"/>
                <w:color w:val="000000"/>
                <w:spacing w:val="-3"/>
                <w:kern w:val="0"/>
                <w:szCs w:val="21"/>
              </w:rPr>
            </w:pPr>
            <w:r>
              <w:rPr>
                <w:rFonts w:hint="eastAsia" w:asciiTheme="minorEastAsia" w:hAnsiTheme="minorEastAsia" w:cstheme="minorEastAsia"/>
                <w:color w:val="000000"/>
                <w:spacing w:val="-3"/>
                <w:kern w:val="0"/>
                <w:szCs w:val="21"/>
              </w:rPr>
              <w:t>1</w:t>
            </w:r>
          </w:p>
        </w:tc>
        <w:tc>
          <w:tcPr>
            <w:tcW w:w="2462" w:type="dxa"/>
            <w:shd w:val="clear" w:color="auto" w:fill="auto"/>
            <w:vAlign w:val="center"/>
          </w:tcPr>
          <w:p w14:paraId="5598DBDC">
            <w:pPr>
              <w:snapToGrid w:val="0"/>
              <w:spacing w:before="65"/>
              <w:ind w:left="0" w:leftChars="0" w:firstLine="0" w:firstLineChars="0"/>
              <w:jc w:val="center"/>
              <w:rPr>
                <w:rFonts w:hint="eastAsia" w:ascii="宋体" w:hAnsi="宋体" w:eastAsia="宋体" w:cs="宋体"/>
                <w:color w:val="000000"/>
                <w:spacing w:val="6"/>
                <w:szCs w:val="21"/>
                <w:lang w:eastAsia="en-US"/>
              </w:rPr>
            </w:pPr>
            <w:r>
              <w:rPr>
                <w:rFonts w:hint="eastAsia" w:ascii="宋体" w:hAnsi="宋体" w:eastAsia="宋体" w:cs="宋体"/>
                <w:color w:val="000000"/>
                <w:spacing w:val="6"/>
                <w:szCs w:val="21"/>
              </w:rPr>
              <w:t>主</w:t>
            </w:r>
            <w:r>
              <w:rPr>
                <w:rFonts w:hint="eastAsia" w:ascii="宋体" w:hAnsi="宋体" w:eastAsia="宋体" w:cs="宋体"/>
                <w:color w:val="000000"/>
                <w:spacing w:val="6"/>
                <w:szCs w:val="21"/>
                <w:lang w:eastAsia="en-US"/>
              </w:rPr>
              <w:t>管</w:t>
            </w:r>
            <w:r>
              <w:rPr>
                <w:rFonts w:hint="eastAsia" w:ascii="宋体" w:hAnsi="宋体" w:eastAsia="宋体" w:cs="宋体"/>
                <w:color w:val="000000"/>
                <w:spacing w:val="6"/>
                <w:szCs w:val="21"/>
              </w:rPr>
              <w:t>管</w:t>
            </w:r>
            <w:r>
              <w:rPr>
                <w:rFonts w:hint="eastAsia" w:ascii="宋体" w:hAnsi="宋体" w:eastAsia="宋体" w:cs="宋体"/>
                <w:color w:val="000000"/>
                <w:spacing w:val="6"/>
                <w:szCs w:val="21"/>
                <w:lang w:eastAsia="en-US"/>
              </w:rPr>
              <w:t>网测绘</w:t>
            </w:r>
          </w:p>
        </w:tc>
        <w:tc>
          <w:tcPr>
            <w:tcW w:w="3950" w:type="dxa"/>
            <w:vMerge w:val="restart"/>
            <w:vAlign w:val="center"/>
          </w:tcPr>
          <w:p w14:paraId="3B5E53E8">
            <w:pPr>
              <w:kinsoku w:val="0"/>
              <w:overflowPunct w:val="0"/>
              <w:spacing w:line="440" w:lineRule="exact"/>
              <w:ind w:left="0" w:leftChars="0" w:firstLine="0" w:firstLineChars="0"/>
              <w:jc w:val="left"/>
              <w:rPr>
                <w:rFonts w:hint="eastAsia" w:asciiTheme="minorEastAsia" w:hAnsiTheme="minorEastAsia" w:cstheme="minorEastAsia"/>
                <w:color w:val="000000"/>
                <w:spacing w:val="-3"/>
                <w:kern w:val="0"/>
                <w:szCs w:val="21"/>
              </w:rPr>
            </w:pPr>
            <w:r>
              <w:rPr>
                <w:rFonts w:hint="eastAsia" w:ascii="宋体" w:hAnsi="宋体" w:eastAsia="宋体" w:cs="宋体"/>
                <w:color w:val="000000"/>
                <w:spacing w:val="6"/>
                <w:szCs w:val="21"/>
              </w:rPr>
              <w:t>1、对大丰区城镇雨污水管道及附属设施实施进行全面清掏、清洗、疏通、清淤和检测等（DN300及以上管道采用CCTV检测，DN300（含DN300）以下管道则采用QV检测，以及人工排查等方式），在确保设施正常运行情况下，查清现状雨、污水管道内部状况，同时对设施情况清淤、疏通等进行梳理汇总，对管网和设施平面图进行绘制）出具疏通清淤后管道检测等书面检测报告及电子资料，所调查的基础数据测绘成“一张图”并形成评估报告评估成果等书面及电子资料。2、弃运：清出废弃物外运，需合理、合法处置，运距自行考虑。</w:t>
            </w:r>
          </w:p>
        </w:tc>
        <w:tc>
          <w:tcPr>
            <w:tcW w:w="700" w:type="dxa"/>
            <w:vAlign w:val="center"/>
          </w:tcPr>
          <w:p w14:paraId="1BECED88">
            <w:pPr>
              <w:snapToGrid w:val="0"/>
              <w:spacing w:before="65"/>
              <w:ind w:left="0" w:leftChars="0" w:firstLine="0" w:firstLineChars="0"/>
              <w:jc w:val="center"/>
              <w:rPr>
                <w:rFonts w:hint="eastAsia" w:asciiTheme="minorEastAsia" w:hAnsiTheme="minorEastAsia" w:cstheme="minorEastAsia"/>
                <w:color w:val="000000"/>
                <w:spacing w:val="-3"/>
                <w:kern w:val="0"/>
                <w:szCs w:val="21"/>
              </w:rPr>
            </w:pPr>
            <w:r>
              <w:rPr>
                <w:rFonts w:hint="eastAsia" w:ascii="宋体" w:hAnsi="宋体" w:eastAsia="宋体" w:cs="宋体"/>
                <w:color w:val="000000"/>
                <w:spacing w:val="6"/>
                <w:szCs w:val="21"/>
                <w:lang w:eastAsia="en-US"/>
              </w:rPr>
              <w:t>m</w:t>
            </w:r>
          </w:p>
        </w:tc>
        <w:tc>
          <w:tcPr>
            <w:tcW w:w="963" w:type="dxa"/>
            <w:vAlign w:val="center"/>
          </w:tcPr>
          <w:p w14:paraId="019DC27B">
            <w:pPr>
              <w:snapToGrid w:val="0"/>
              <w:spacing w:before="65"/>
              <w:ind w:left="0" w:leftChars="0" w:firstLine="0" w:firstLineChars="0"/>
              <w:jc w:val="center"/>
              <w:rPr>
                <w:rFonts w:hint="eastAsia" w:asciiTheme="minorEastAsia" w:hAnsiTheme="minorEastAsia" w:cstheme="minorEastAsia"/>
                <w:color w:val="000000"/>
                <w:spacing w:val="-3"/>
                <w:kern w:val="0"/>
                <w:szCs w:val="21"/>
              </w:rPr>
            </w:pPr>
            <w:r>
              <w:rPr>
                <w:rFonts w:hint="eastAsia" w:ascii="宋体" w:hAnsi="宋体" w:eastAsia="宋体" w:cs="宋体"/>
                <w:color w:val="000000"/>
                <w:spacing w:val="6"/>
                <w:szCs w:val="21"/>
                <w:lang w:val="en-US" w:eastAsia="zh-CN"/>
              </w:rPr>
              <w:t>75</w:t>
            </w:r>
            <w:r>
              <w:rPr>
                <w:rFonts w:hint="eastAsia" w:ascii="宋体" w:hAnsi="宋体" w:eastAsia="宋体" w:cs="宋体"/>
                <w:color w:val="000000"/>
                <w:spacing w:val="6"/>
                <w:szCs w:val="21"/>
                <w:lang w:eastAsia="en-US"/>
              </w:rPr>
              <w:t>0000</w:t>
            </w:r>
          </w:p>
        </w:tc>
      </w:tr>
      <w:tr w14:paraId="7E9F3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6" w:hRule="atLeast"/>
        </w:trPr>
        <w:tc>
          <w:tcPr>
            <w:tcW w:w="663" w:type="dxa"/>
            <w:vAlign w:val="center"/>
          </w:tcPr>
          <w:p w14:paraId="5B93964B">
            <w:pPr>
              <w:kinsoku w:val="0"/>
              <w:overflowPunct w:val="0"/>
              <w:spacing w:line="440" w:lineRule="exact"/>
              <w:ind w:left="0" w:leftChars="0" w:firstLine="0" w:firstLineChars="0"/>
              <w:jc w:val="center"/>
              <w:rPr>
                <w:rFonts w:hint="eastAsia" w:asciiTheme="minorEastAsia" w:hAnsiTheme="minorEastAsia" w:cstheme="minorEastAsia"/>
                <w:color w:val="000000"/>
                <w:spacing w:val="-3"/>
                <w:kern w:val="0"/>
                <w:szCs w:val="21"/>
              </w:rPr>
            </w:pPr>
            <w:r>
              <w:rPr>
                <w:rFonts w:hint="eastAsia" w:asciiTheme="minorEastAsia" w:hAnsiTheme="minorEastAsia" w:cstheme="minorEastAsia"/>
                <w:color w:val="000000"/>
                <w:spacing w:val="-3"/>
                <w:kern w:val="0"/>
                <w:szCs w:val="21"/>
              </w:rPr>
              <w:t>2</w:t>
            </w:r>
          </w:p>
        </w:tc>
        <w:tc>
          <w:tcPr>
            <w:tcW w:w="2462" w:type="dxa"/>
            <w:shd w:val="clear" w:color="auto" w:fill="auto"/>
            <w:vAlign w:val="center"/>
          </w:tcPr>
          <w:p w14:paraId="2B6C46D8">
            <w:pPr>
              <w:snapToGrid w:val="0"/>
              <w:spacing w:before="65"/>
              <w:ind w:left="0" w:leftChars="0" w:firstLine="0" w:firstLineChars="0"/>
              <w:jc w:val="center"/>
              <w:rPr>
                <w:rFonts w:hint="eastAsia" w:ascii="宋体" w:hAnsi="宋体" w:eastAsia="宋体" w:cs="宋体"/>
                <w:color w:val="000000"/>
                <w:spacing w:val="6"/>
                <w:szCs w:val="21"/>
              </w:rPr>
            </w:pPr>
            <w:r>
              <w:rPr>
                <w:rFonts w:hint="eastAsia" w:ascii="宋体" w:hAnsi="宋体" w:eastAsia="宋体" w:cs="宋体"/>
                <w:color w:val="000000"/>
                <w:spacing w:val="6"/>
                <w:szCs w:val="21"/>
              </w:rPr>
              <w:t>管径DN300（含DN300）以下（QV检测）</w:t>
            </w:r>
          </w:p>
        </w:tc>
        <w:tc>
          <w:tcPr>
            <w:tcW w:w="3950" w:type="dxa"/>
            <w:vMerge w:val="continue"/>
            <w:vAlign w:val="center"/>
          </w:tcPr>
          <w:p w14:paraId="16D00197">
            <w:pPr>
              <w:kinsoku w:val="0"/>
              <w:overflowPunct w:val="0"/>
              <w:spacing w:line="440" w:lineRule="exact"/>
              <w:ind w:left="0" w:leftChars="0" w:firstLine="0" w:firstLineChars="0"/>
              <w:jc w:val="center"/>
              <w:rPr>
                <w:rFonts w:hint="eastAsia" w:asciiTheme="minorEastAsia" w:hAnsiTheme="minorEastAsia" w:cstheme="minorEastAsia"/>
                <w:color w:val="000000"/>
                <w:spacing w:val="-3"/>
                <w:kern w:val="0"/>
                <w:szCs w:val="21"/>
              </w:rPr>
            </w:pPr>
          </w:p>
        </w:tc>
        <w:tc>
          <w:tcPr>
            <w:tcW w:w="700" w:type="dxa"/>
            <w:vAlign w:val="center"/>
          </w:tcPr>
          <w:p w14:paraId="4E9DAC3D">
            <w:pPr>
              <w:snapToGrid w:val="0"/>
              <w:spacing w:before="65"/>
              <w:ind w:left="0" w:leftChars="0" w:firstLine="0" w:firstLineChars="0"/>
              <w:jc w:val="center"/>
              <w:rPr>
                <w:rFonts w:hint="eastAsia" w:asciiTheme="minorEastAsia" w:hAnsiTheme="minorEastAsia" w:cstheme="minorEastAsia"/>
                <w:color w:val="000000"/>
                <w:spacing w:val="-3"/>
                <w:kern w:val="0"/>
                <w:szCs w:val="21"/>
              </w:rPr>
            </w:pPr>
            <w:r>
              <w:rPr>
                <w:rFonts w:hint="eastAsia" w:ascii="宋体" w:hAnsi="宋体" w:eastAsia="宋体" w:cs="宋体"/>
                <w:color w:val="000000"/>
                <w:spacing w:val="6"/>
                <w:szCs w:val="21"/>
                <w:lang w:eastAsia="en-US"/>
              </w:rPr>
              <w:t>m</w:t>
            </w:r>
          </w:p>
        </w:tc>
        <w:tc>
          <w:tcPr>
            <w:tcW w:w="963" w:type="dxa"/>
            <w:vAlign w:val="center"/>
          </w:tcPr>
          <w:p w14:paraId="0A868D88">
            <w:pPr>
              <w:snapToGrid w:val="0"/>
              <w:spacing w:before="65"/>
              <w:ind w:left="0" w:leftChars="0" w:firstLine="0" w:firstLineChars="0"/>
              <w:jc w:val="center"/>
              <w:rPr>
                <w:rFonts w:hint="eastAsia" w:asciiTheme="minorEastAsia" w:hAnsiTheme="minorEastAsia" w:cstheme="minorEastAsia"/>
                <w:color w:val="000000"/>
                <w:spacing w:val="-3"/>
                <w:kern w:val="0"/>
                <w:szCs w:val="21"/>
              </w:rPr>
            </w:pPr>
            <w:r>
              <w:rPr>
                <w:rFonts w:hint="eastAsia" w:ascii="宋体" w:hAnsi="宋体" w:eastAsia="宋体" w:cs="宋体"/>
                <w:color w:val="000000"/>
                <w:spacing w:val="6"/>
                <w:szCs w:val="21"/>
                <w:lang w:val="en-US" w:eastAsia="zh-CN"/>
              </w:rPr>
              <w:t>40</w:t>
            </w:r>
            <w:r>
              <w:rPr>
                <w:rFonts w:hint="eastAsia" w:ascii="宋体" w:hAnsi="宋体" w:eastAsia="宋体" w:cs="宋体"/>
                <w:color w:val="000000"/>
                <w:spacing w:val="6"/>
                <w:szCs w:val="21"/>
                <w:lang w:eastAsia="en-US"/>
              </w:rPr>
              <w:t>0000</w:t>
            </w:r>
          </w:p>
        </w:tc>
      </w:tr>
      <w:tr w14:paraId="00C06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3" w:type="dxa"/>
            <w:vAlign w:val="center"/>
          </w:tcPr>
          <w:p w14:paraId="7E20B60B">
            <w:pPr>
              <w:kinsoku w:val="0"/>
              <w:overflowPunct w:val="0"/>
              <w:spacing w:line="440" w:lineRule="exact"/>
              <w:ind w:left="0" w:leftChars="0" w:firstLine="0" w:firstLineChars="0"/>
              <w:jc w:val="center"/>
              <w:rPr>
                <w:rFonts w:hint="eastAsia" w:asciiTheme="minorEastAsia" w:hAnsiTheme="minorEastAsia" w:cstheme="minorEastAsia"/>
                <w:color w:val="000000"/>
                <w:spacing w:val="-3"/>
                <w:kern w:val="0"/>
                <w:szCs w:val="21"/>
              </w:rPr>
            </w:pPr>
            <w:r>
              <w:rPr>
                <w:rFonts w:hint="eastAsia" w:asciiTheme="minorEastAsia" w:hAnsiTheme="minorEastAsia" w:cstheme="minorEastAsia"/>
                <w:color w:val="000000"/>
                <w:spacing w:val="-3"/>
                <w:kern w:val="0"/>
                <w:szCs w:val="21"/>
              </w:rPr>
              <w:t>3</w:t>
            </w:r>
          </w:p>
        </w:tc>
        <w:tc>
          <w:tcPr>
            <w:tcW w:w="2462" w:type="dxa"/>
            <w:shd w:val="clear" w:color="auto" w:fill="auto"/>
            <w:vAlign w:val="center"/>
          </w:tcPr>
          <w:p w14:paraId="5C36DEBE">
            <w:pPr>
              <w:snapToGrid w:val="0"/>
              <w:spacing w:before="65"/>
              <w:ind w:left="0" w:leftChars="0" w:firstLine="0" w:firstLineChars="0"/>
              <w:jc w:val="center"/>
              <w:rPr>
                <w:rFonts w:hint="eastAsia" w:ascii="宋体" w:hAnsi="宋体" w:eastAsia="宋体" w:cs="宋体"/>
                <w:color w:val="000000"/>
                <w:spacing w:val="6"/>
                <w:szCs w:val="21"/>
                <w:lang w:eastAsia="en-US"/>
              </w:rPr>
            </w:pPr>
            <w:r>
              <w:rPr>
                <w:rFonts w:hint="eastAsia" w:ascii="宋体" w:hAnsi="宋体" w:eastAsia="宋体" w:cs="宋体"/>
                <w:color w:val="000000"/>
                <w:spacing w:val="6"/>
                <w:szCs w:val="21"/>
              </w:rPr>
              <w:t>管径</w:t>
            </w:r>
            <w:r>
              <w:rPr>
                <w:rFonts w:hint="eastAsia" w:ascii="宋体" w:hAnsi="宋体" w:eastAsia="宋体" w:cs="宋体"/>
                <w:color w:val="000000"/>
                <w:spacing w:val="6"/>
                <w:szCs w:val="21"/>
                <w:lang w:eastAsia="en-US"/>
              </w:rPr>
              <w:t>DN300</w:t>
            </w:r>
            <w:r>
              <w:rPr>
                <w:rFonts w:hint="eastAsia" w:ascii="宋体" w:hAnsi="宋体" w:eastAsia="宋体" w:cs="宋体"/>
                <w:color w:val="000000"/>
                <w:spacing w:val="6"/>
                <w:szCs w:val="21"/>
              </w:rPr>
              <w:t>以上</w:t>
            </w:r>
            <w:r>
              <w:rPr>
                <w:rFonts w:hint="eastAsia" w:ascii="宋体" w:hAnsi="宋体" w:eastAsia="宋体" w:cs="宋体"/>
                <w:color w:val="000000"/>
                <w:spacing w:val="6"/>
                <w:szCs w:val="21"/>
                <w:lang w:eastAsia="en-US"/>
              </w:rPr>
              <w:t>(CCTV检测)</w:t>
            </w:r>
          </w:p>
        </w:tc>
        <w:tc>
          <w:tcPr>
            <w:tcW w:w="3950" w:type="dxa"/>
            <w:vMerge w:val="continue"/>
            <w:vAlign w:val="center"/>
          </w:tcPr>
          <w:p w14:paraId="3166209B">
            <w:pPr>
              <w:kinsoku w:val="0"/>
              <w:overflowPunct w:val="0"/>
              <w:spacing w:line="440" w:lineRule="exact"/>
              <w:ind w:left="0" w:leftChars="0" w:firstLine="0" w:firstLineChars="0"/>
              <w:jc w:val="center"/>
              <w:rPr>
                <w:rFonts w:hint="eastAsia" w:asciiTheme="minorEastAsia" w:hAnsiTheme="minorEastAsia" w:cstheme="minorEastAsia"/>
                <w:color w:val="000000"/>
                <w:spacing w:val="-3"/>
                <w:kern w:val="0"/>
                <w:szCs w:val="21"/>
              </w:rPr>
            </w:pPr>
          </w:p>
        </w:tc>
        <w:tc>
          <w:tcPr>
            <w:tcW w:w="700" w:type="dxa"/>
            <w:vAlign w:val="center"/>
          </w:tcPr>
          <w:p w14:paraId="349A64B5">
            <w:pPr>
              <w:snapToGrid w:val="0"/>
              <w:spacing w:before="65"/>
              <w:ind w:left="0" w:leftChars="0" w:firstLine="0" w:firstLineChars="0"/>
              <w:jc w:val="center"/>
              <w:rPr>
                <w:rFonts w:hint="eastAsia" w:asciiTheme="minorEastAsia" w:hAnsiTheme="minorEastAsia" w:cstheme="minorEastAsia"/>
                <w:color w:val="000000"/>
                <w:spacing w:val="-3"/>
                <w:kern w:val="0"/>
                <w:szCs w:val="21"/>
              </w:rPr>
            </w:pPr>
            <w:r>
              <w:rPr>
                <w:rFonts w:hint="eastAsia" w:ascii="宋体" w:hAnsi="宋体" w:eastAsia="宋体" w:cs="宋体"/>
                <w:color w:val="000000"/>
                <w:spacing w:val="6"/>
                <w:szCs w:val="21"/>
                <w:lang w:eastAsia="en-US"/>
              </w:rPr>
              <w:t>m</w:t>
            </w:r>
          </w:p>
        </w:tc>
        <w:tc>
          <w:tcPr>
            <w:tcW w:w="963" w:type="dxa"/>
            <w:vAlign w:val="center"/>
          </w:tcPr>
          <w:p w14:paraId="4B6A3AF5">
            <w:pPr>
              <w:snapToGrid w:val="0"/>
              <w:spacing w:before="65"/>
              <w:ind w:left="0" w:leftChars="0" w:firstLine="0" w:firstLineChars="0"/>
              <w:jc w:val="center"/>
              <w:rPr>
                <w:rFonts w:hint="eastAsia" w:asciiTheme="minorEastAsia" w:hAnsiTheme="minorEastAsia" w:cstheme="minorEastAsia"/>
                <w:color w:val="000000"/>
                <w:spacing w:val="-3"/>
                <w:kern w:val="0"/>
                <w:szCs w:val="21"/>
              </w:rPr>
            </w:pPr>
            <w:r>
              <w:rPr>
                <w:rFonts w:hint="eastAsia" w:ascii="宋体" w:hAnsi="宋体" w:eastAsia="宋体" w:cs="宋体"/>
                <w:color w:val="000000"/>
                <w:spacing w:val="6"/>
                <w:szCs w:val="21"/>
                <w:lang w:val="en-US" w:eastAsia="zh-CN"/>
              </w:rPr>
              <w:t>3500</w:t>
            </w:r>
            <w:r>
              <w:rPr>
                <w:rFonts w:hint="eastAsia" w:ascii="宋体" w:hAnsi="宋体" w:eastAsia="宋体" w:cs="宋体"/>
                <w:color w:val="000000"/>
                <w:spacing w:val="6"/>
                <w:szCs w:val="21"/>
                <w:lang w:eastAsia="en-US"/>
              </w:rPr>
              <w:t>00</w:t>
            </w:r>
          </w:p>
        </w:tc>
      </w:tr>
    </w:tbl>
    <w:p w14:paraId="4A8AC51A">
      <w:pPr>
        <w:kinsoku w:val="0"/>
        <w:overflowPunct w:val="0"/>
        <w:spacing w:line="440" w:lineRule="exact"/>
        <w:ind w:firstLine="364" w:firstLineChars="185"/>
        <w:jc w:val="left"/>
        <w:rPr>
          <w:rFonts w:hint="default" w:ascii="宋体" w:hAnsi="宋体" w:eastAsia="宋体" w:cs="宋体"/>
          <w:b/>
          <w:bCs/>
          <w:color w:val="000000"/>
          <w:spacing w:val="-7"/>
          <w:kern w:val="0"/>
          <w:szCs w:val="21"/>
          <w:lang w:val="en-US" w:eastAsia="zh-CN"/>
        </w:rPr>
      </w:pPr>
      <w:r>
        <w:rPr>
          <w:rFonts w:hint="eastAsia" w:ascii="宋体" w:hAnsi="宋体" w:eastAsia="宋体" w:cs="宋体"/>
          <w:b/>
          <w:bCs/>
          <w:color w:val="000000"/>
          <w:spacing w:val="-7"/>
          <w:kern w:val="0"/>
          <w:szCs w:val="21"/>
        </w:rPr>
        <w:t>采购人友情提醒：</w:t>
      </w:r>
      <w:r>
        <w:rPr>
          <w:rFonts w:hint="eastAsia" w:ascii="宋体" w:hAnsi="宋体" w:eastAsia="宋体" w:cs="宋体"/>
          <w:b/>
          <w:bCs/>
          <w:color w:val="000000"/>
          <w:spacing w:val="-7"/>
          <w:kern w:val="0"/>
          <w:szCs w:val="21"/>
          <w:lang w:eastAsia="zh-CN"/>
        </w:rPr>
        <w:t>（</w:t>
      </w:r>
      <w:r>
        <w:rPr>
          <w:rFonts w:hint="eastAsia" w:ascii="宋体" w:hAnsi="宋体" w:eastAsia="宋体" w:cs="宋体"/>
          <w:b/>
          <w:bCs/>
          <w:color w:val="000000"/>
          <w:spacing w:val="-7"/>
          <w:kern w:val="0"/>
          <w:szCs w:val="21"/>
          <w:lang w:val="en-US" w:eastAsia="zh-CN"/>
        </w:rPr>
        <w:t>1</w:t>
      </w:r>
      <w:r>
        <w:rPr>
          <w:rFonts w:hint="eastAsia" w:ascii="宋体" w:hAnsi="宋体" w:eastAsia="宋体" w:cs="宋体"/>
          <w:b/>
          <w:bCs/>
          <w:color w:val="000000"/>
          <w:spacing w:val="-7"/>
          <w:kern w:val="0"/>
          <w:szCs w:val="21"/>
          <w:lang w:eastAsia="zh-CN"/>
        </w:rPr>
        <w:t>）</w:t>
      </w:r>
      <w:r>
        <w:rPr>
          <w:rFonts w:hint="eastAsia" w:ascii="宋体" w:hAnsi="宋体" w:eastAsia="宋体" w:cs="宋体"/>
          <w:b/>
          <w:bCs/>
          <w:color w:val="000000"/>
          <w:spacing w:val="-7"/>
          <w:kern w:val="0"/>
          <w:szCs w:val="21"/>
        </w:rPr>
        <w:t>按照特征描述要求清淤费用包含在综合单价中，投标人应自行踏勘现场并测算报价，结算时不因清淤量变化而调整合同结算单价</w:t>
      </w:r>
      <w:r>
        <w:rPr>
          <w:rFonts w:hint="eastAsia" w:ascii="宋体" w:hAnsi="宋体" w:eastAsia="宋体" w:cs="宋体"/>
          <w:b/>
          <w:bCs/>
          <w:color w:val="000000"/>
          <w:spacing w:val="-7"/>
          <w:kern w:val="0"/>
          <w:szCs w:val="21"/>
          <w:lang w:val="en-US" w:eastAsia="zh-CN"/>
        </w:rPr>
        <w:t>；</w:t>
      </w:r>
      <w:r>
        <w:rPr>
          <w:rFonts w:hint="eastAsia" w:ascii="宋体" w:hAnsi="宋体" w:eastAsia="宋体" w:cs="宋体"/>
          <w:b/>
          <w:bCs/>
          <w:color w:val="000000"/>
          <w:spacing w:val="-7"/>
          <w:kern w:val="0"/>
          <w:szCs w:val="21"/>
          <w:lang w:eastAsia="zh-CN"/>
        </w:rPr>
        <w:t>（</w:t>
      </w:r>
      <w:r>
        <w:rPr>
          <w:rFonts w:hint="eastAsia" w:ascii="宋体" w:hAnsi="宋体" w:eastAsia="宋体" w:cs="宋体"/>
          <w:b/>
          <w:bCs/>
          <w:color w:val="000000"/>
          <w:spacing w:val="-7"/>
          <w:kern w:val="0"/>
          <w:szCs w:val="21"/>
          <w:lang w:val="en-US" w:eastAsia="zh-CN"/>
        </w:rPr>
        <w:t>2</w:t>
      </w:r>
      <w:r>
        <w:rPr>
          <w:rFonts w:hint="eastAsia" w:ascii="宋体" w:hAnsi="宋体" w:eastAsia="宋体" w:cs="宋体"/>
          <w:b/>
          <w:bCs/>
          <w:color w:val="000000"/>
          <w:spacing w:val="-7"/>
          <w:kern w:val="0"/>
          <w:szCs w:val="21"/>
          <w:lang w:eastAsia="zh-CN"/>
        </w:rPr>
        <w:t>）</w:t>
      </w:r>
      <w:r>
        <w:rPr>
          <w:rFonts w:hint="eastAsia" w:ascii="宋体" w:hAnsi="宋体" w:eastAsia="宋体" w:cs="宋体"/>
          <w:b/>
          <w:bCs/>
          <w:color w:val="000000"/>
          <w:spacing w:val="-7"/>
          <w:kern w:val="0"/>
          <w:szCs w:val="21"/>
          <w:lang w:val="en-US" w:eastAsia="zh-CN"/>
        </w:rPr>
        <w:t>上述采购清单包含压力管道长度约不超过45KM。</w:t>
      </w:r>
    </w:p>
    <w:p w14:paraId="1C1A3C53">
      <w:pPr>
        <w:kinsoku w:val="0"/>
        <w:overflowPunct w:val="0"/>
        <w:spacing w:line="440" w:lineRule="exact"/>
        <w:ind w:firstLine="364" w:firstLineChars="185"/>
        <w:jc w:val="left"/>
        <w:rPr>
          <w:rFonts w:hint="eastAsia" w:ascii="宋体" w:hAnsi="宋体" w:eastAsia="宋体" w:cs="宋体"/>
          <w:color w:val="000000"/>
          <w:kern w:val="0"/>
          <w:szCs w:val="21"/>
        </w:rPr>
      </w:pPr>
      <w:r>
        <w:rPr>
          <w:rFonts w:ascii="宋体" w:hAnsi="宋体" w:eastAsia="宋体" w:cs="宋体"/>
          <w:b/>
          <w:bCs/>
          <w:color w:val="000000"/>
          <w:spacing w:val="-7"/>
          <w:kern w:val="0"/>
          <w:szCs w:val="21"/>
        </w:rPr>
        <w:t>四、质量与验收</w:t>
      </w:r>
    </w:p>
    <w:p w14:paraId="676A7E9E">
      <w:pPr>
        <w:kinsoku w:val="0"/>
        <w:overflowPunct w:val="0"/>
        <w:spacing w:line="440" w:lineRule="exact"/>
        <w:ind w:firstLine="399" w:firstLineChars="185"/>
        <w:jc w:val="left"/>
        <w:rPr>
          <w:rFonts w:hint="eastAsia" w:ascii="宋体" w:hAnsi="宋体" w:eastAsia="宋体" w:cs="宋体"/>
          <w:color w:val="000000"/>
          <w:spacing w:val="3"/>
          <w:kern w:val="0"/>
          <w:szCs w:val="21"/>
        </w:rPr>
      </w:pPr>
      <w:r>
        <w:rPr>
          <w:rFonts w:ascii="宋体" w:hAnsi="宋体" w:eastAsia="宋体" w:cs="宋体"/>
          <w:color w:val="000000"/>
          <w:spacing w:val="3"/>
          <w:kern w:val="0"/>
          <w:szCs w:val="21"/>
        </w:rPr>
        <w:t>1、质量要求：合格。符合国家、省、市及行业现行政策及标准与规范要求。</w:t>
      </w:r>
    </w:p>
    <w:p w14:paraId="0A08BCC1">
      <w:pPr>
        <w:kinsoku w:val="0"/>
        <w:overflowPunct w:val="0"/>
        <w:spacing w:line="440" w:lineRule="exact"/>
        <w:ind w:firstLine="399" w:firstLineChars="185"/>
        <w:jc w:val="left"/>
        <w:rPr>
          <w:rFonts w:hint="eastAsia" w:ascii="宋体" w:hAnsi="宋体" w:eastAsia="宋体" w:cs="宋体"/>
          <w:color w:val="000000"/>
          <w:spacing w:val="3"/>
          <w:kern w:val="0"/>
          <w:szCs w:val="21"/>
        </w:rPr>
      </w:pPr>
      <w:r>
        <w:rPr>
          <w:rFonts w:ascii="宋体" w:hAnsi="宋体" w:eastAsia="宋体" w:cs="宋体"/>
          <w:color w:val="000000"/>
          <w:spacing w:val="3"/>
          <w:kern w:val="0"/>
          <w:szCs w:val="21"/>
        </w:rPr>
        <w:t>2、验收：全面完成本项目服务后，供应商提出申请，采购人按程序组织验收。</w:t>
      </w:r>
    </w:p>
    <w:p w14:paraId="1433069F">
      <w:pPr>
        <w:kinsoku w:val="0"/>
        <w:overflowPunct w:val="0"/>
        <w:spacing w:line="440" w:lineRule="exact"/>
        <w:ind w:firstLine="399" w:firstLineChars="185"/>
        <w:jc w:val="left"/>
        <w:rPr>
          <w:rFonts w:hint="eastAsia" w:ascii="宋体" w:hAnsi="宋体" w:eastAsia="宋体" w:cs="宋体"/>
          <w:color w:val="000000"/>
          <w:spacing w:val="3"/>
          <w:kern w:val="0"/>
          <w:szCs w:val="21"/>
        </w:rPr>
      </w:pPr>
      <w:r>
        <w:rPr>
          <w:rFonts w:ascii="宋体" w:hAnsi="宋体" w:eastAsia="宋体" w:cs="宋体"/>
          <w:color w:val="000000"/>
          <w:spacing w:val="3"/>
          <w:kern w:val="0"/>
          <w:szCs w:val="21"/>
        </w:rPr>
        <w:t>2.1满足质量要求；项目履约期满评价合格。</w:t>
      </w:r>
    </w:p>
    <w:p w14:paraId="0010C885">
      <w:pPr>
        <w:kinsoku w:val="0"/>
        <w:overflowPunct w:val="0"/>
        <w:spacing w:line="440" w:lineRule="exact"/>
        <w:ind w:firstLine="399" w:firstLineChars="185"/>
        <w:jc w:val="left"/>
        <w:rPr>
          <w:rFonts w:hint="eastAsia" w:ascii="宋体" w:hAnsi="宋体" w:eastAsia="宋体" w:cs="宋体"/>
          <w:color w:val="000000"/>
          <w:spacing w:val="3"/>
          <w:kern w:val="0"/>
          <w:szCs w:val="21"/>
        </w:rPr>
      </w:pPr>
      <w:r>
        <w:rPr>
          <w:rFonts w:ascii="宋体" w:hAnsi="宋体" w:eastAsia="宋体" w:cs="宋体"/>
          <w:color w:val="000000"/>
          <w:spacing w:val="3"/>
          <w:kern w:val="0"/>
          <w:szCs w:val="21"/>
        </w:rPr>
        <w:t>2.2验收方案</w:t>
      </w:r>
    </w:p>
    <w:p w14:paraId="7E5DDE31">
      <w:pPr>
        <w:kinsoku w:val="0"/>
        <w:overflowPunct w:val="0"/>
        <w:spacing w:line="440" w:lineRule="exact"/>
        <w:ind w:firstLine="399" w:firstLineChars="185"/>
        <w:jc w:val="left"/>
        <w:rPr>
          <w:rFonts w:hint="eastAsia" w:ascii="宋体" w:hAnsi="宋体" w:eastAsia="宋体" w:cs="宋体"/>
          <w:color w:val="000000"/>
          <w:spacing w:val="3"/>
          <w:kern w:val="0"/>
          <w:szCs w:val="21"/>
        </w:rPr>
      </w:pPr>
      <w:r>
        <w:rPr>
          <w:rFonts w:ascii="宋体" w:hAnsi="宋体" w:eastAsia="宋体" w:cs="宋体"/>
          <w:color w:val="000000"/>
          <w:spacing w:val="3"/>
          <w:kern w:val="0"/>
          <w:szCs w:val="21"/>
        </w:rPr>
        <w:t>验收主体：盐城市大丰区住房和城乡建设局。</w:t>
      </w:r>
    </w:p>
    <w:p w14:paraId="1EFFEC24">
      <w:pPr>
        <w:kinsoku w:val="0"/>
        <w:overflowPunct w:val="0"/>
        <w:spacing w:line="440" w:lineRule="exact"/>
        <w:ind w:firstLine="399" w:firstLineChars="185"/>
        <w:jc w:val="left"/>
        <w:rPr>
          <w:rFonts w:hint="eastAsia" w:ascii="宋体" w:hAnsi="宋体" w:eastAsia="宋体" w:cs="宋体"/>
          <w:color w:val="000000"/>
          <w:spacing w:val="3"/>
          <w:kern w:val="0"/>
          <w:szCs w:val="21"/>
        </w:rPr>
      </w:pPr>
      <w:r>
        <w:rPr>
          <w:rFonts w:ascii="宋体" w:hAnsi="宋体" w:eastAsia="宋体" w:cs="宋体"/>
          <w:color w:val="000000"/>
          <w:spacing w:val="3"/>
          <w:kern w:val="0"/>
          <w:szCs w:val="21"/>
        </w:rPr>
        <w:t>验收时间：项目合同履约期结束，提供全套成果（含本项目整体检测评估报告）后，3个工作日内，采购人组织开展本项目的履约验收，出具履约验收报告；</w:t>
      </w:r>
    </w:p>
    <w:p w14:paraId="5E62C1D3">
      <w:pPr>
        <w:kinsoku w:val="0"/>
        <w:overflowPunct w:val="0"/>
        <w:spacing w:line="440" w:lineRule="exact"/>
        <w:ind w:firstLine="399" w:firstLineChars="185"/>
        <w:jc w:val="left"/>
        <w:rPr>
          <w:rFonts w:hint="eastAsia" w:ascii="宋体" w:hAnsi="宋体" w:eastAsia="宋体" w:cs="宋体"/>
          <w:color w:val="000000"/>
          <w:spacing w:val="3"/>
          <w:kern w:val="0"/>
          <w:szCs w:val="21"/>
        </w:rPr>
      </w:pPr>
      <w:r>
        <w:rPr>
          <w:rFonts w:ascii="宋体" w:hAnsi="宋体" w:eastAsia="宋体" w:cs="宋体"/>
          <w:color w:val="000000"/>
          <w:spacing w:val="3"/>
          <w:kern w:val="0"/>
          <w:szCs w:val="21"/>
        </w:rPr>
        <w:t>验收标准：应符合国家、省、市及行业现行有关政策及标准与规范要求。符合本项目招标文件需求及要求、投标文件及其承诺。</w:t>
      </w:r>
    </w:p>
    <w:p w14:paraId="2AE91FD2">
      <w:pPr>
        <w:kinsoku w:val="0"/>
        <w:overflowPunct w:val="0"/>
        <w:spacing w:line="440" w:lineRule="exact"/>
        <w:ind w:firstLine="375" w:firstLineChars="185"/>
        <w:jc w:val="left"/>
        <w:rPr>
          <w:rFonts w:hint="eastAsia" w:ascii="宋体" w:hAnsi="宋体" w:eastAsia="宋体" w:cs="宋体"/>
          <w:color w:val="000000"/>
          <w:kern w:val="0"/>
          <w:szCs w:val="21"/>
        </w:rPr>
      </w:pPr>
      <w:r>
        <w:rPr>
          <w:rFonts w:ascii="宋体" w:hAnsi="宋体" w:eastAsia="宋体" w:cs="宋体"/>
          <w:b/>
          <w:bCs/>
          <w:color w:val="000000"/>
          <w:spacing w:val="-4"/>
          <w:kern w:val="0"/>
          <w:szCs w:val="21"/>
        </w:rPr>
        <w:t>五、其他要求</w:t>
      </w:r>
    </w:p>
    <w:p w14:paraId="3103FDED">
      <w:pPr>
        <w:kinsoku w:val="0"/>
        <w:overflowPunct w:val="0"/>
        <w:spacing w:line="440" w:lineRule="exact"/>
        <w:ind w:firstLine="395" w:firstLineChars="185"/>
        <w:jc w:val="left"/>
        <w:rPr>
          <w:rFonts w:hint="eastAsia" w:ascii="宋体" w:hAnsi="宋体" w:eastAsia="宋体" w:cs="宋体"/>
          <w:color w:val="000000"/>
          <w:kern w:val="0"/>
          <w:szCs w:val="21"/>
        </w:rPr>
      </w:pPr>
      <w:r>
        <w:rPr>
          <w:rFonts w:ascii="宋体" w:hAnsi="宋体" w:eastAsia="宋体" w:cs="宋体"/>
          <w:color w:val="000000"/>
          <w:spacing w:val="2"/>
          <w:kern w:val="0"/>
          <w:szCs w:val="21"/>
        </w:rPr>
        <w:t>3、供应商应充分考虑临时封堵、抽水排水、</w:t>
      </w:r>
      <w:r>
        <w:rPr>
          <w:rFonts w:ascii="宋体" w:hAnsi="宋体" w:eastAsia="宋体" w:cs="宋体"/>
          <w:color w:val="000000"/>
          <w:spacing w:val="1"/>
          <w:kern w:val="0"/>
          <w:szCs w:val="21"/>
        </w:rPr>
        <w:t>调水、下井安全防护、现场安全措施、</w:t>
      </w:r>
      <w:r>
        <w:rPr>
          <w:rFonts w:ascii="宋体" w:hAnsi="宋体" w:eastAsia="宋体" w:cs="宋体"/>
          <w:color w:val="000000"/>
          <w:spacing w:val="-3"/>
          <w:kern w:val="0"/>
          <w:szCs w:val="21"/>
        </w:rPr>
        <w:t>临时水电等措施费用，并根据项目服务现场实际情况，自行考虑接入位置，此项费用不单列，</w:t>
      </w:r>
      <w:r>
        <w:rPr>
          <w:rFonts w:ascii="宋体" w:hAnsi="宋体" w:eastAsia="宋体" w:cs="宋体"/>
          <w:color w:val="000000"/>
          <w:spacing w:val="-1"/>
          <w:kern w:val="0"/>
          <w:szCs w:val="21"/>
        </w:rPr>
        <w:t>含在报价中；结算时不作调整。</w:t>
      </w:r>
    </w:p>
    <w:p w14:paraId="3210AC24">
      <w:pPr>
        <w:kinsoku w:val="0"/>
        <w:overflowPunct w:val="0"/>
        <w:spacing w:line="440" w:lineRule="exact"/>
        <w:ind w:firstLine="384" w:firstLineChars="185"/>
        <w:jc w:val="left"/>
        <w:rPr>
          <w:rFonts w:hint="eastAsia" w:ascii="宋体" w:hAnsi="宋体" w:eastAsia="宋体" w:cs="宋体"/>
          <w:color w:val="000000"/>
          <w:kern w:val="0"/>
          <w:szCs w:val="21"/>
        </w:rPr>
      </w:pPr>
      <w:r>
        <w:rPr>
          <w:rFonts w:ascii="宋体" w:hAnsi="宋体" w:eastAsia="宋体" w:cs="宋体"/>
          <w:color w:val="000000"/>
          <w:spacing w:val="-1"/>
          <w:kern w:val="0"/>
          <w:szCs w:val="21"/>
        </w:rPr>
        <w:t>4、清单数量结算时按实际发生量结算；</w:t>
      </w:r>
    </w:p>
    <w:p w14:paraId="000CCCCF">
      <w:pPr>
        <w:kinsoku w:val="0"/>
        <w:overflowPunct w:val="0"/>
        <w:spacing w:line="440" w:lineRule="exact"/>
        <w:ind w:firstLine="381" w:firstLineChars="185"/>
        <w:jc w:val="left"/>
        <w:rPr>
          <w:rFonts w:hint="eastAsia" w:ascii="宋体" w:hAnsi="宋体" w:eastAsia="宋体" w:cs="宋体"/>
          <w:color w:val="000000"/>
          <w:kern w:val="0"/>
          <w:szCs w:val="21"/>
        </w:rPr>
      </w:pPr>
      <w:r>
        <w:rPr>
          <w:rFonts w:ascii="宋体" w:hAnsi="宋体" w:eastAsia="宋体" w:cs="宋体"/>
          <w:color w:val="000000"/>
          <w:spacing w:val="-2"/>
          <w:kern w:val="0"/>
          <w:szCs w:val="21"/>
        </w:rPr>
        <w:t>5、供应商应充分考虑实施现场围护、疏导交通、夜间警示等费用，此项费用不单列，含在投标单价中；自行考虑设备进场次数，所涉及的相关费用结算时不予调整。</w:t>
      </w:r>
    </w:p>
    <w:p w14:paraId="2098F72B">
      <w:pPr>
        <w:kinsoku w:val="0"/>
        <w:overflowPunct w:val="0"/>
        <w:spacing w:line="440" w:lineRule="exact"/>
        <w:ind w:firstLine="384" w:firstLineChars="185"/>
        <w:jc w:val="left"/>
        <w:rPr>
          <w:rFonts w:hint="eastAsia" w:ascii="宋体" w:hAnsi="宋体" w:eastAsia="宋体" w:cs="宋体"/>
          <w:color w:val="000000"/>
          <w:kern w:val="0"/>
          <w:szCs w:val="21"/>
        </w:rPr>
      </w:pPr>
      <w:r>
        <w:rPr>
          <w:rFonts w:ascii="宋体" w:hAnsi="宋体" w:eastAsia="宋体" w:cs="宋体"/>
          <w:color w:val="000000"/>
          <w:spacing w:val="-1"/>
          <w:kern w:val="0"/>
          <w:szCs w:val="21"/>
        </w:rPr>
        <w:t>6、现场实施要求：须满足地方政府住建、城管、环</w:t>
      </w:r>
      <w:r>
        <w:rPr>
          <w:rFonts w:ascii="宋体" w:hAnsi="宋体" w:eastAsia="宋体" w:cs="宋体"/>
          <w:color w:val="000000"/>
          <w:spacing w:val="-2"/>
          <w:kern w:val="0"/>
          <w:szCs w:val="21"/>
        </w:rPr>
        <w:t>保、安监等部门监管要求及创卫、</w:t>
      </w:r>
      <w:r>
        <w:rPr>
          <w:rFonts w:ascii="宋体" w:hAnsi="宋体" w:eastAsia="宋体" w:cs="宋体"/>
          <w:color w:val="000000"/>
          <w:spacing w:val="7"/>
          <w:kern w:val="0"/>
          <w:szCs w:val="21"/>
        </w:rPr>
        <w:t>创文明，扬尘管控、大气治理等治理要求，供应商自</w:t>
      </w:r>
      <w:r>
        <w:rPr>
          <w:rFonts w:ascii="宋体" w:hAnsi="宋体" w:eastAsia="宋体" w:cs="宋体"/>
          <w:color w:val="000000"/>
          <w:spacing w:val="6"/>
          <w:kern w:val="0"/>
          <w:szCs w:val="21"/>
        </w:rPr>
        <w:t>行考虑在报价内，风险自行承担，</w:t>
      </w:r>
      <w:r>
        <w:rPr>
          <w:rFonts w:ascii="宋体" w:hAnsi="宋体" w:eastAsia="宋体" w:cs="宋体"/>
          <w:color w:val="000000"/>
          <w:spacing w:val="-2"/>
          <w:kern w:val="0"/>
          <w:szCs w:val="21"/>
        </w:rPr>
        <w:t>不再另计。</w:t>
      </w:r>
    </w:p>
    <w:p w14:paraId="13B0024A">
      <w:pPr>
        <w:kinsoku w:val="0"/>
        <w:overflowPunct w:val="0"/>
        <w:spacing w:line="440" w:lineRule="exact"/>
        <w:ind w:firstLine="384" w:firstLineChars="185"/>
        <w:jc w:val="left"/>
        <w:rPr>
          <w:rFonts w:hint="eastAsia" w:ascii="宋体" w:hAnsi="宋体" w:eastAsia="宋体" w:cs="宋体"/>
          <w:color w:val="000000"/>
          <w:kern w:val="0"/>
          <w:szCs w:val="21"/>
        </w:rPr>
      </w:pPr>
      <w:r>
        <w:rPr>
          <w:rFonts w:ascii="宋体" w:hAnsi="宋体" w:eastAsia="宋体" w:cs="宋体"/>
          <w:color w:val="000000"/>
          <w:spacing w:val="-1"/>
          <w:kern w:val="0"/>
          <w:szCs w:val="21"/>
        </w:rPr>
        <w:t>6.1所有涉及到本项目垃圾清运、城管及保洁事项，供应商自行踏勘现场，自行考虑自行报价风险自行承担。不再另行增加费用。</w:t>
      </w:r>
    </w:p>
    <w:p w14:paraId="3C44601A">
      <w:pPr>
        <w:kinsoku w:val="0"/>
        <w:overflowPunct w:val="0"/>
        <w:spacing w:line="440" w:lineRule="exact"/>
        <w:ind w:firstLine="392" w:firstLineChars="185"/>
        <w:jc w:val="left"/>
        <w:rPr>
          <w:rFonts w:hint="eastAsia" w:ascii="宋体" w:hAnsi="宋体" w:eastAsia="宋体" w:cs="宋体"/>
          <w:color w:val="000000"/>
          <w:kern w:val="0"/>
          <w:szCs w:val="21"/>
        </w:rPr>
      </w:pPr>
      <w:r>
        <w:rPr>
          <w:rFonts w:ascii="宋体" w:hAnsi="宋体" w:eastAsia="宋体" w:cs="宋体"/>
          <w:color w:val="000000"/>
          <w:spacing w:val="1"/>
          <w:kern w:val="0"/>
          <w:szCs w:val="21"/>
        </w:rPr>
        <w:t>6.2成品保护要求：项目实施时，注意加强现场建筑、绿化、设</w:t>
      </w:r>
      <w:r>
        <w:rPr>
          <w:rFonts w:ascii="宋体" w:hAnsi="宋体" w:eastAsia="宋体" w:cs="宋体"/>
          <w:color w:val="000000"/>
          <w:kern w:val="0"/>
          <w:szCs w:val="21"/>
        </w:rPr>
        <w:t>施等的保护，如因实</w:t>
      </w:r>
      <w:r>
        <w:rPr>
          <w:rFonts w:ascii="宋体" w:hAnsi="宋体" w:eastAsia="宋体" w:cs="宋体"/>
          <w:color w:val="000000"/>
          <w:spacing w:val="2"/>
          <w:kern w:val="0"/>
          <w:szCs w:val="21"/>
        </w:rPr>
        <w:t>际需要，供应商须及时在项目完成时按原样恢复。否则，供应商自愿缴</w:t>
      </w:r>
      <w:r>
        <w:rPr>
          <w:rFonts w:ascii="宋体" w:hAnsi="宋体" w:eastAsia="宋体" w:cs="宋体"/>
          <w:color w:val="000000"/>
          <w:spacing w:val="1"/>
          <w:kern w:val="0"/>
          <w:szCs w:val="21"/>
        </w:rPr>
        <w:t>纳每处5000元的</w:t>
      </w:r>
      <w:r>
        <w:rPr>
          <w:rFonts w:ascii="宋体" w:hAnsi="宋体" w:eastAsia="宋体" w:cs="宋体"/>
          <w:color w:val="000000"/>
          <w:kern w:val="0"/>
          <w:szCs w:val="21"/>
        </w:rPr>
        <w:t>违约金，且采购人有权直接从合同价款中扣除</w:t>
      </w:r>
      <w:r>
        <w:rPr>
          <w:rFonts w:ascii="宋体" w:hAnsi="宋体" w:eastAsia="宋体" w:cs="宋体"/>
          <w:color w:val="000000"/>
          <w:spacing w:val="-1"/>
          <w:kern w:val="0"/>
          <w:szCs w:val="21"/>
        </w:rPr>
        <w:t>，用于维修、修复费用。</w:t>
      </w:r>
    </w:p>
    <w:p w14:paraId="02CAF5D3">
      <w:pPr>
        <w:kinsoku w:val="0"/>
        <w:overflowPunct w:val="0"/>
        <w:spacing w:line="440" w:lineRule="exact"/>
        <w:ind w:firstLine="392" w:firstLineChars="185"/>
        <w:jc w:val="left"/>
        <w:rPr>
          <w:rFonts w:hint="eastAsia" w:ascii="宋体" w:hAnsi="宋体" w:eastAsia="宋体" w:cs="宋体"/>
          <w:color w:val="000000"/>
          <w:kern w:val="0"/>
          <w:szCs w:val="21"/>
        </w:rPr>
      </w:pPr>
      <w:r>
        <w:rPr>
          <w:rFonts w:ascii="宋体" w:hAnsi="宋体" w:eastAsia="宋体" w:cs="宋体"/>
          <w:color w:val="000000"/>
          <w:spacing w:val="1"/>
          <w:kern w:val="0"/>
          <w:szCs w:val="21"/>
        </w:rPr>
        <w:t>6.3供应商全面承担项目实施关联区域的保洁、垃圾清理和现场整</w:t>
      </w:r>
      <w:r>
        <w:rPr>
          <w:rFonts w:ascii="宋体" w:hAnsi="宋体" w:eastAsia="宋体" w:cs="宋体"/>
          <w:color w:val="000000"/>
          <w:kern w:val="0"/>
          <w:szCs w:val="21"/>
        </w:rPr>
        <w:t>理工作；以上费用</w:t>
      </w:r>
      <w:r>
        <w:rPr>
          <w:rFonts w:ascii="宋体" w:hAnsi="宋体" w:eastAsia="宋体" w:cs="宋体"/>
          <w:color w:val="000000"/>
          <w:spacing w:val="-1"/>
          <w:kern w:val="0"/>
          <w:szCs w:val="21"/>
        </w:rPr>
        <w:t>均计入磋商报价，结算时不予增加。</w:t>
      </w:r>
    </w:p>
    <w:p w14:paraId="6ED2E56A">
      <w:pPr>
        <w:kinsoku w:val="0"/>
        <w:overflowPunct w:val="0"/>
        <w:spacing w:line="440" w:lineRule="exact"/>
        <w:ind w:firstLine="392" w:firstLineChars="185"/>
        <w:jc w:val="left"/>
        <w:rPr>
          <w:rFonts w:hint="eastAsia" w:ascii="宋体" w:hAnsi="宋体" w:eastAsia="宋体" w:cs="宋体"/>
          <w:color w:val="000000"/>
          <w:kern w:val="0"/>
          <w:szCs w:val="21"/>
        </w:rPr>
      </w:pPr>
      <w:r>
        <w:rPr>
          <w:rFonts w:ascii="宋体" w:hAnsi="宋体" w:eastAsia="宋体" w:cs="宋体"/>
          <w:color w:val="000000"/>
          <w:spacing w:val="1"/>
          <w:kern w:val="0"/>
          <w:szCs w:val="21"/>
        </w:rPr>
        <w:t>6.4供应商负责检测准备、临时封堵、调排水、监测作业等全过程</w:t>
      </w:r>
      <w:r>
        <w:rPr>
          <w:rFonts w:ascii="宋体" w:hAnsi="宋体" w:eastAsia="宋体" w:cs="宋体"/>
          <w:color w:val="000000"/>
          <w:kern w:val="0"/>
          <w:szCs w:val="21"/>
        </w:rPr>
        <w:t>检测过程的安全生</w:t>
      </w:r>
      <w:r>
        <w:rPr>
          <w:rFonts w:ascii="宋体" w:hAnsi="宋体" w:eastAsia="宋体" w:cs="宋体"/>
          <w:color w:val="000000"/>
          <w:spacing w:val="6"/>
          <w:kern w:val="0"/>
          <w:szCs w:val="21"/>
        </w:rPr>
        <w:t>产、质量保证等。供应商应积极对采购人巡查时发现的安全隐患及整改事</w:t>
      </w:r>
      <w:r>
        <w:rPr>
          <w:rFonts w:ascii="宋体" w:hAnsi="宋体" w:eastAsia="宋体" w:cs="宋体"/>
          <w:color w:val="000000"/>
          <w:spacing w:val="5"/>
          <w:kern w:val="0"/>
          <w:szCs w:val="21"/>
        </w:rPr>
        <w:t>项限期完成整</w:t>
      </w:r>
      <w:r>
        <w:rPr>
          <w:rFonts w:ascii="宋体" w:hAnsi="宋体" w:eastAsia="宋体" w:cs="宋体"/>
          <w:color w:val="000000"/>
          <w:kern w:val="0"/>
          <w:szCs w:val="21"/>
        </w:rPr>
        <w:t>改，对整改未达标的，采购人有权暂停施工作业</w:t>
      </w:r>
      <w:r>
        <w:rPr>
          <w:rFonts w:ascii="宋体" w:hAnsi="宋体" w:eastAsia="宋体" w:cs="宋体"/>
          <w:color w:val="000000"/>
          <w:spacing w:val="-1"/>
          <w:kern w:val="0"/>
          <w:szCs w:val="21"/>
        </w:rPr>
        <w:t>，直至整改完成。供应商负责作业区段、</w:t>
      </w:r>
      <w:r>
        <w:rPr>
          <w:rFonts w:ascii="宋体" w:hAnsi="宋体" w:eastAsia="宋体" w:cs="宋体"/>
          <w:color w:val="000000"/>
          <w:spacing w:val="6"/>
          <w:kern w:val="0"/>
          <w:szCs w:val="21"/>
        </w:rPr>
        <w:t>路段交通导行（包括警示牌、警示灯、反光锥等警示设施维护、人员及车</w:t>
      </w:r>
      <w:r>
        <w:rPr>
          <w:rFonts w:ascii="宋体" w:hAnsi="宋体" w:eastAsia="宋体" w:cs="宋体"/>
          <w:color w:val="000000"/>
          <w:spacing w:val="5"/>
          <w:kern w:val="0"/>
          <w:szCs w:val="21"/>
        </w:rPr>
        <w:t>辆疏导等现场维护责任</w:t>
      </w:r>
      <w:r>
        <w:rPr>
          <w:rFonts w:ascii="宋体" w:hAnsi="宋体" w:eastAsia="宋体" w:cs="宋体"/>
          <w:color w:val="000000"/>
          <w:spacing w:val="21"/>
          <w:kern w:val="0"/>
          <w:szCs w:val="21"/>
        </w:rPr>
        <w:t>），</w:t>
      </w:r>
      <w:r>
        <w:rPr>
          <w:rFonts w:ascii="宋体" w:hAnsi="宋体" w:eastAsia="宋体" w:cs="宋体"/>
          <w:color w:val="000000"/>
          <w:spacing w:val="5"/>
          <w:kern w:val="0"/>
          <w:szCs w:val="21"/>
        </w:rPr>
        <w:t>保证通行正常秩序。供应商应充分考虑交通组织所发生的费用，含在报价</w:t>
      </w:r>
      <w:r>
        <w:rPr>
          <w:rFonts w:ascii="宋体" w:hAnsi="宋体" w:eastAsia="宋体" w:cs="宋体"/>
          <w:color w:val="000000"/>
          <w:spacing w:val="-1"/>
          <w:kern w:val="0"/>
          <w:szCs w:val="21"/>
        </w:rPr>
        <w:t>中，结算付款时不予调整。</w:t>
      </w:r>
    </w:p>
    <w:p w14:paraId="3A0778AC">
      <w:pPr>
        <w:kinsoku w:val="0"/>
        <w:overflowPunct w:val="0"/>
        <w:spacing w:line="440" w:lineRule="exact"/>
        <w:ind w:firstLine="410" w:firstLineChars="185"/>
        <w:jc w:val="left"/>
        <w:rPr>
          <w:rFonts w:hint="eastAsia" w:ascii="宋体" w:hAnsi="宋体" w:eastAsia="宋体" w:cs="宋体"/>
          <w:color w:val="000000"/>
          <w:spacing w:val="-1"/>
          <w:kern w:val="0"/>
          <w:szCs w:val="21"/>
        </w:rPr>
      </w:pPr>
      <w:r>
        <w:rPr>
          <w:rFonts w:ascii="宋体" w:hAnsi="宋体" w:eastAsia="宋体" w:cs="宋体"/>
          <w:color w:val="000000"/>
          <w:spacing w:val="6"/>
          <w:kern w:val="0"/>
          <w:szCs w:val="21"/>
        </w:rPr>
        <w:t>6.5管道内的淤积量不能够满足</w:t>
      </w:r>
      <w:r>
        <w:rPr>
          <w:rFonts w:ascii="宋体" w:hAnsi="宋体" w:eastAsia="宋体" w:cs="宋体"/>
          <w:color w:val="000000"/>
          <w:kern w:val="0"/>
          <w:szCs w:val="21"/>
        </w:rPr>
        <w:t>CCTV</w:t>
      </w:r>
      <w:r>
        <w:rPr>
          <w:rFonts w:ascii="宋体" w:hAnsi="宋体" w:eastAsia="宋体" w:cs="宋体"/>
          <w:color w:val="000000"/>
          <w:spacing w:val="6"/>
          <w:kern w:val="0"/>
          <w:szCs w:val="21"/>
        </w:rPr>
        <w:t>检测标准的（含水位偏高、混凝土、建</w:t>
      </w:r>
      <w:r>
        <w:rPr>
          <w:rFonts w:ascii="宋体" w:hAnsi="宋体" w:eastAsia="宋体" w:cs="宋体"/>
          <w:color w:val="000000"/>
          <w:spacing w:val="5"/>
          <w:kern w:val="0"/>
          <w:szCs w:val="21"/>
        </w:rPr>
        <w:t>筑垃</w:t>
      </w:r>
      <w:r>
        <w:rPr>
          <w:rFonts w:ascii="宋体" w:hAnsi="宋体" w:eastAsia="宋体" w:cs="宋体"/>
          <w:color w:val="000000"/>
          <w:spacing w:val="-1"/>
          <w:kern w:val="0"/>
          <w:szCs w:val="21"/>
        </w:rPr>
        <w:t>圾、堵头等）由供应商负责清理干净，直至具备检测条件。</w:t>
      </w:r>
    </w:p>
    <w:p w14:paraId="1B6D58B5">
      <w:pPr>
        <w:kinsoku w:val="0"/>
        <w:overflowPunct w:val="0"/>
        <w:spacing w:line="440" w:lineRule="exact"/>
        <w:ind w:firstLine="379" w:firstLineChars="185"/>
        <w:jc w:val="left"/>
        <w:rPr>
          <w:rFonts w:hint="eastAsia" w:ascii="宋体" w:hAnsi="宋体" w:eastAsia="宋体" w:cs="宋体"/>
          <w:color w:val="000000"/>
          <w:kern w:val="0"/>
          <w:szCs w:val="21"/>
        </w:rPr>
      </w:pPr>
      <w:r>
        <w:rPr>
          <w:rFonts w:ascii="宋体" w:hAnsi="宋体" w:eastAsia="宋体" w:cs="宋体"/>
          <w:b/>
          <w:bCs/>
          <w:color w:val="000000"/>
          <w:spacing w:val="-3"/>
          <w:kern w:val="0"/>
          <w:szCs w:val="21"/>
        </w:rPr>
        <w:t>六、服务保障和承诺要求</w:t>
      </w:r>
    </w:p>
    <w:p w14:paraId="07C56930">
      <w:pPr>
        <w:kinsoku w:val="0"/>
        <w:overflowPunct w:val="0"/>
        <w:spacing w:line="440" w:lineRule="exact"/>
        <w:ind w:firstLine="399" w:firstLineChars="185"/>
        <w:jc w:val="left"/>
        <w:rPr>
          <w:rFonts w:hint="eastAsia" w:ascii="宋体" w:hAnsi="宋体" w:eastAsia="宋体" w:cs="宋体"/>
          <w:color w:val="000000"/>
          <w:spacing w:val="3"/>
          <w:kern w:val="0"/>
          <w:szCs w:val="21"/>
        </w:rPr>
      </w:pPr>
      <w:r>
        <w:rPr>
          <w:rFonts w:ascii="宋体" w:hAnsi="宋体" w:eastAsia="宋体" w:cs="宋体"/>
          <w:color w:val="000000"/>
          <w:spacing w:val="3"/>
          <w:kern w:val="0"/>
          <w:szCs w:val="21"/>
        </w:rPr>
        <w:t>1、必须严格按照本次招标技术参数要求进行合理报价，如后期出现验收不合格情形视同虚假承诺谋取中标成交，将被列入不良行为记录名单；</w:t>
      </w:r>
    </w:p>
    <w:p w14:paraId="7914A8E8">
      <w:pPr>
        <w:kinsoku w:val="0"/>
        <w:overflowPunct w:val="0"/>
        <w:spacing w:line="440" w:lineRule="exact"/>
        <w:ind w:firstLine="399" w:firstLineChars="185"/>
        <w:jc w:val="left"/>
        <w:rPr>
          <w:rFonts w:hint="eastAsia" w:ascii="宋体" w:hAnsi="宋体" w:eastAsia="宋体" w:cs="宋体"/>
          <w:color w:val="000000"/>
          <w:spacing w:val="3"/>
          <w:kern w:val="0"/>
          <w:szCs w:val="21"/>
        </w:rPr>
      </w:pPr>
      <w:r>
        <w:rPr>
          <w:rFonts w:ascii="宋体" w:hAnsi="宋体" w:eastAsia="宋体" w:cs="宋体"/>
          <w:color w:val="000000"/>
          <w:spacing w:val="3"/>
          <w:kern w:val="0"/>
          <w:szCs w:val="21"/>
        </w:rPr>
        <w:t>2、工作人员的人身安全一概由中标供应商负责，与招标人无关。因中标供应商人员在工作中造成了第三方的人或财产损害的，也一概由中标供应商自行承担；</w:t>
      </w:r>
    </w:p>
    <w:p w14:paraId="537FB942">
      <w:pPr>
        <w:kinsoku w:val="0"/>
        <w:overflowPunct w:val="0"/>
        <w:spacing w:line="440" w:lineRule="exact"/>
        <w:ind w:firstLine="399" w:firstLineChars="185"/>
        <w:jc w:val="left"/>
        <w:rPr>
          <w:rFonts w:hint="eastAsia" w:ascii="宋体" w:hAnsi="宋体" w:eastAsia="宋体" w:cs="宋体"/>
          <w:color w:val="000000"/>
          <w:spacing w:val="3"/>
          <w:kern w:val="0"/>
          <w:szCs w:val="21"/>
        </w:rPr>
      </w:pPr>
      <w:r>
        <w:rPr>
          <w:rFonts w:ascii="宋体" w:hAnsi="宋体" w:eastAsia="宋体" w:cs="宋体"/>
          <w:color w:val="000000"/>
          <w:spacing w:val="3"/>
          <w:kern w:val="0"/>
          <w:szCs w:val="21"/>
        </w:rPr>
        <w:t>3、中标供应商自行承担运输、安装过程中的安全责任。</w:t>
      </w:r>
      <w:r>
        <w:rPr>
          <w:rFonts w:hint="eastAsia" w:ascii="宋体" w:hAnsi="宋体" w:eastAsia="宋体" w:cs="宋体"/>
          <w:color w:val="000000"/>
          <w:spacing w:val="3"/>
          <w:kern w:val="0"/>
          <w:szCs w:val="21"/>
        </w:rPr>
        <w:t> </w:t>
      </w:r>
    </w:p>
    <w:p w14:paraId="75C117C2">
      <w:pPr>
        <w:kinsoku w:val="0"/>
        <w:overflowPunct w:val="0"/>
        <w:spacing w:line="440" w:lineRule="exact"/>
        <w:ind w:firstLine="401" w:firstLineChars="185"/>
        <w:jc w:val="left"/>
        <w:rPr>
          <w:rFonts w:hint="default" w:ascii="宋体" w:hAnsi="宋体" w:eastAsia="宋体" w:cs="宋体"/>
          <w:b/>
          <w:bCs/>
          <w:color w:val="000000"/>
          <w:spacing w:val="3"/>
          <w:kern w:val="0"/>
          <w:szCs w:val="21"/>
          <w:lang w:val="en-US" w:eastAsia="zh-CN"/>
        </w:rPr>
      </w:pPr>
      <w:r>
        <w:rPr>
          <w:rFonts w:hint="eastAsia" w:ascii="宋体" w:hAnsi="宋体" w:eastAsia="宋体" w:cs="宋体"/>
          <w:b/>
          <w:bCs/>
          <w:color w:val="000000"/>
          <w:spacing w:val="3"/>
          <w:kern w:val="0"/>
          <w:szCs w:val="21"/>
          <w:lang w:val="en-US" w:eastAsia="zh-CN"/>
        </w:rPr>
        <w:t>4、本项目技术服务方案（含安全生产与环境保护、压力管道专项检测方案）须经审批，采购人组织的审批并不免除中标人的任何责任或者调整合同价款。</w:t>
      </w:r>
    </w:p>
    <w:p w14:paraId="1A28A191">
      <w:pPr>
        <w:pStyle w:val="10"/>
        <w:keepNext/>
        <w:spacing w:beforeAutospacing="0" w:afterAutospacing="0"/>
        <w:jc w:val="center"/>
        <w:rPr>
          <w:rFonts w:hint="eastAsia" w:ascii="宋体" w:hAnsi="宋体" w:eastAsia="宋体" w:cs="宋体"/>
        </w:rPr>
      </w:pPr>
      <w:r>
        <w:rPr>
          <w:rFonts w:hint="eastAsia" w:ascii="宋体" w:hAnsi="宋体" w:eastAsia="宋体" w:cs="宋体"/>
        </w:rPr>
        <w:t> </w:t>
      </w:r>
      <w:bookmarkStart w:id="183" w:name="_Toc120614281"/>
    </w:p>
    <w:p w14:paraId="7B450F5E">
      <w:pPr>
        <w:pStyle w:val="10"/>
        <w:spacing w:beforeAutospacing="0" w:afterAutospacing="0"/>
        <w:jc w:val="both"/>
        <w:rPr>
          <w:rFonts w:hint="eastAsia" w:ascii="宋体" w:hAnsi="宋体" w:eastAsia="宋体" w:cs="宋体"/>
        </w:rPr>
      </w:pPr>
      <w:r>
        <w:rPr>
          <w:rFonts w:hint="eastAsia" w:ascii="宋体" w:hAnsi="宋体" w:eastAsia="宋体" w:cs="宋体"/>
        </w:rPr>
        <w:t> </w:t>
      </w:r>
    </w:p>
    <w:p w14:paraId="518D88A8">
      <w:pPr>
        <w:pStyle w:val="10"/>
        <w:spacing w:beforeAutospacing="0" w:afterAutospacing="0"/>
        <w:jc w:val="both"/>
        <w:rPr>
          <w:rFonts w:hint="eastAsia" w:ascii="宋体" w:hAnsi="宋体" w:eastAsia="宋体" w:cs="宋体"/>
        </w:rPr>
      </w:pPr>
    </w:p>
    <w:p w14:paraId="7BC1A286">
      <w:pPr>
        <w:ind w:firstLine="879"/>
        <w:rPr>
          <w:rFonts w:hint="eastAsia" w:ascii="宋体" w:hAnsi="宋体" w:eastAsia="宋体" w:cs="宋体"/>
          <w:b/>
          <w:bCs/>
          <w:color w:val="000000"/>
          <w:kern w:val="0"/>
          <w:sz w:val="44"/>
          <w:szCs w:val="44"/>
        </w:rPr>
      </w:pPr>
      <w:bookmarkStart w:id="184" w:name="_Toc21850"/>
      <w:r>
        <w:rPr>
          <w:rFonts w:hint="eastAsia" w:ascii="宋体" w:hAnsi="宋体" w:eastAsia="宋体" w:cs="宋体"/>
          <w:b/>
          <w:bCs/>
          <w:color w:val="000000"/>
          <w:kern w:val="0"/>
          <w:sz w:val="44"/>
          <w:szCs w:val="44"/>
        </w:rPr>
        <w:br w:type="page"/>
      </w:r>
    </w:p>
    <w:p w14:paraId="386213C2">
      <w:pPr>
        <w:pStyle w:val="10"/>
        <w:spacing w:before="120" w:beforeAutospacing="0" w:after="120" w:afterAutospacing="0" w:line="500" w:lineRule="exact"/>
        <w:ind w:firstLine="799"/>
        <w:jc w:val="center"/>
        <w:outlineLvl w:val="0"/>
        <w:rPr>
          <w:rFonts w:hint="eastAsia" w:ascii="宋体" w:hAnsi="宋体" w:eastAsia="宋体" w:cs="宋体"/>
          <w:b/>
          <w:bCs/>
          <w:color w:val="000000"/>
          <w:sz w:val="40"/>
          <w:szCs w:val="40"/>
        </w:rPr>
      </w:pPr>
      <w:r>
        <w:rPr>
          <w:rFonts w:hint="eastAsia" w:ascii="宋体" w:hAnsi="宋体" w:eastAsia="宋体" w:cs="宋体"/>
          <w:b/>
          <w:bCs/>
          <w:color w:val="000000"/>
          <w:sz w:val="40"/>
          <w:szCs w:val="40"/>
        </w:rPr>
        <w:t>第五章  评标方法与评标标准</w:t>
      </w:r>
      <w:bookmarkEnd w:id="184"/>
    </w:p>
    <w:p w14:paraId="34B01CCD">
      <w:pPr>
        <w:pStyle w:val="10"/>
        <w:spacing w:beforeAutospacing="0" w:afterAutospacing="0"/>
        <w:jc w:val="both"/>
        <w:rPr>
          <w:rFonts w:hint="eastAsia" w:ascii="宋体" w:hAnsi="宋体" w:eastAsia="宋体" w:cs="宋体"/>
        </w:rPr>
      </w:pPr>
      <w:r>
        <w:rPr>
          <w:rFonts w:hint="eastAsia" w:ascii="宋体" w:hAnsi="宋体" w:eastAsia="宋体" w:cs="宋体"/>
        </w:rPr>
        <w:t> </w:t>
      </w:r>
    </w:p>
    <w:p w14:paraId="7B7D2078">
      <w:pPr>
        <w:kinsoku w:val="0"/>
        <w:overflowPunct w:val="0"/>
        <w:snapToGrid w:val="0"/>
        <w:spacing w:line="470" w:lineRule="exact"/>
        <w:ind w:firstLine="369" w:firstLineChars="175"/>
        <w:jc w:val="left"/>
        <w:rPr>
          <w:rFonts w:hint="eastAsia" w:ascii="宋体" w:hAnsi="宋体" w:eastAsia="宋体" w:cs="宋体"/>
          <w:b/>
          <w:bCs/>
          <w:szCs w:val="21"/>
        </w:rPr>
      </w:pPr>
      <w:r>
        <w:rPr>
          <w:rFonts w:hint="eastAsia" w:ascii="宋体" w:hAnsi="宋体" w:eastAsia="宋体" w:cs="宋体"/>
          <w:b/>
          <w:bCs/>
          <w:szCs w:val="21"/>
        </w:rPr>
        <w:t>一、定标原则</w:t>
      </w:r>
    </w:p>
    <w:p w14:paraId="55961BB3">
      <w:pPr>
        <w:pStyle w:val="10"/>
        <w:kinsoku w:val="0"/>
        <w:overflowPunct w:val="0"/>
        <w:spacing w:beforeAutospacing="0" w:afterAutospacing="0" w:line="470" w:lineRule="exact"/>
        <w:ind w:firstLine="367" w:firstLineChars="175"/>
        <w:rPr>
          <w:rFonts w:hint="eastAsia" w:ascii="宋体" w:hAnsi="宋体" w:eastAsia="宋体" w:cs="宋体"/>
          <w:sz w:val="21"/>
          <w:szCs w:val="21"/>
        </w:rPr>
      </w:pPr>
      <w:r>
        <w:rPr>
          <w:rFonts w:hint="eastAsia" w:ascii="宋体" w:hAnsi="宋体" w:eastAsia="宋体" w:cs="宋体"/>
          <w:bCs/>
          <w:sz w:val="21"/>
          <w:szCs w:val="21"/>
        </w:rPr>
        <w:t>本项目采用</w:t>
      </w:r>
      <w:r>
        <w:rPr>
          <w:rFonts w:hint="eastAsia" w:ascii="宋体" w:hAnsi="宋体" w:eastAsia="宋体" w:cs="宋体"/>
          <w:bCs/>
          <w:sz w:val="21"/>
          <w:szCs w:val="21"/>
          <w:u w:val="single"/>
        </w:rPr>
        <w:t>综合评分法</w:t>
      </w:r>
      <w:r>
        <w:rPr>
          <w:rFonts w:hint="eastAsia" w:ascii="宋体" w:hAnsi="宋体" w:eastAsia="宋体" w:cs="宋体"/>
          <w:bCs/>
          <w:sz w:val="21"/>
          <w:szCs w:val="21"/>
        </w:rPr>
        <w:t>，</w:t>
      </w:r>
      <w:r>
        <w:rPr>
          <w:rFonts w:hint="eastAsia" w:ascii="宋体" w:hAnsi="宋体" w:eastAsia="宋体" w:cs="宋体"/>
          <w:sz w:val="21"/>
          <w:szCs w:val="21"/>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p>
    <w:p w14:paraId="61E22C40">
      <w:pPr>
        <w:pStyle w:val="10"/>
        <w:kinsoku w:val="0"/>
        <w:overflowPunct w:val="0"/>
        <w:spacing w:beforeAutospacing="0" w:afterAutospacing="0" w:line="470" w:lineRule="exact"/>
        <w:ind w:firstLine="369" w:firstLineChars="175"/>
        <w:rPr>
          <w:rFonts w:hint="eastAsia" w:ascii="宋体" w:hAnsi="宋体" w:eastAsia="宋体" w:cs="宋体"/>
          <w:sz w:val="21"/>
          <w:szCs w:val="21"/>
        </w:rPr>
      </w:pPr>
      <w:r>
        <w:rPr>
          <w:rFonts w:hint="eastAsia" w:ascii="宋体" w:hAnsi="宋体" w:eastAsia="宋体" w:cs="宋体"/>
          <w:b/>
          <w:sz w:val="21"/>
          <w:szCs w:val="21"/>
        </w:rPr>
        <w:t>政府采购政策功能落实</w:t>
      </w:r>
    </w:p>
    <w:p w14:paraId="6AE76A80">
      <w:pPr>
        <w:pStyle w:val="10"/>
        <w:kinsoku w:val="0"/>
        <w:overflowPunct w:val="0"/>
        <w:spacing w:beforeAutospacing="0" w:afterAutospacing="0" w:line="470" w:lineRule="exact"/>
        <w:ind w:firstLine="367" w:firstLineChars="175"/>
        <w:rPr>
          <w:rFonts w:hint="eastAsia" w:ascii="宋体" w:hAnsi="宋体" w:eastAsia="宋体" w:cs="宋体"/>
          <w:sz w:val="21"/>
          <w:szCs w:val="21"/>
        </w:rPr>
      </w:pPr>
      <w:r>
        <w:rPr>
          <w:rFonts w:hint="eastAsia" w:ascii="宋体" w:hAnsi="宋体" w:eastAsia="宋体" w:cs="宋体"/>
          <w:sz w:val="21"/>
          <w:szCs w:val="21"/>
        </w:rPr>
        <w:t>1、小微型企业价格扣除</w:t>
      </w:r>
    </w:p>
    <w:p w14:paraId="0528BF5C">
      <w:pPr>
        <w:pStyle w:val="20"/>
        <w:kinsoku w:val="0"/>
        <w:overflowPunct w:val="0"/>
        <w:spacing w:before="0" w:after="0" w:line="470" w:lineRule="exact"/>
        <w:ind w:firstLine="367" w:firstLineChars="175"/>
        <w:rPr>
          <w:rFonts w:hint="eastAsia" w:ascii="宋体" w:hAnsi="宋体" w:eastAsia="宋体" w:cs="宋体"/>
          <w:sz w:val="21"/>
          <w:szCs w:val="21"/>
        </w:rPr>
      </w:pPr>
      <w:r>
        <w:rPr>
          <w:rFonts w:hint="eastAsia" w:ascii="宋体" w:hAnsi="宋体" w:eastAsia="宋体" w:cs="宋体"/>
          <w:sz w:val="21"/>
          <w:szCs w:val="21"/>
        </w:rPr>
        <w:t>（1）本项目若不专门面向中小企业采购，对符合规定的小型和微型企业报价给予20%的扣除价格，用扣除后的价格参与评审；若专门面向中小企业采购，不再对小型和微型企业报价给予价格扣除。</w:t>
      </w:r>
    </w:p>
    <w:p w14:paraId="5388CD90">
      <w:pPr>
        <w:pStyle w:val="10"/>
        <w:kinsoku w:val="0"/>
        <w:overflowPunct w:val="0"/>
        <w:spacing w:beforeAutospacing="0" w:afterAutospacing="0" w:line="470" w:lineRule="exact"/>
        <w:ind w:firstLine="367" w:firstLineChars="175"/>
        <w:rPr>
          <w:rFonts w:hint="eastAsia" w:ascii="宋体" w:hAnsi="宋体" w:eastAsia="宋体" w:cs="宋体"/>
          <w:sz w:val="21"/>
          <w:szCs w:val="21"/>
        </w:rPr>
      </w:pPr>
      <w:r>
        <w:rPr>
          <w:rFonts w:hint="eastAsia" w:ascii="宋体" w:hAnsi="宋体" w:eastAsia="宋体" w:cs="宋体"/>
          <w:sz w:val="21"/>
          <w:szCs w:val="21"/>
        </w:rPr>
        <w:t>（2）供应商需按照采购文件的要求提供相应的《中小企业声明函》。</w:t>
      </w:r>
    </w:p>
    <w:p w14:paraId="5A5AE9DD">
      <w:pPr>
        <w:pStyle w:val="10"/>
        <w:kinsoku w:val="0"/>
        <w:overflowPunct w:val="0"/>
        <w:spacing w:beforeAutospacing="0" w:afterAutospacing="0" w:line="470" w:lineRule="exact"/>
        <w:ind w:firstLine="367" w:firstLineChars="175"/>
        <w:rPr>
          <w:rFonts w:hint="eastAsia" w:ascii="宋体" w:hAnsi="宋体" w:eastAsia="宋体" w:cs="宋体"/>
          <w:sz w:val="21"/>
          <w:szCs w:val="21"/>
        </w:rPr>
      </w:pPr>
      <w:r>
        <w:rPr>
          <w:rFonts w:hint="eastAsia" w:ascii="宋体" w:hAnsi="宋体" w:eastAsia="宋体" w:cs="宋体"/>
          <w:sz w:val="21"/>
          <w:szCs w:val="21"/>
        </w:rPr>
        <w:t>（3）企业标准请参照《关于印发中小企业划型标准规定的通知》（工信部联企业〔2011〕300号）文件规定自行填写。</w:t>
      </w:r>
    </w:p>
    <w:p w14:paraId="115855EF">
      <w:pPr>
        <w:pStyle w:val="10"/>
        <w:kinsoku w:val="0"/>
        <w:overflowPunct w:val="0"/>
        <w:spacing w:beforeAutospacing="0" w:afterAutospacing="0" w:line="470" w:lineRule="exact"/>
        <w:ind w:firstLine="367" w:firstLineChars="175"/>
        <w:rPr>
          <w:rFonts w:hint="eastAsia" w:ascii="宋体" w:hAnsi="宋体" w:eastAsia="宋体" w:cs="宋体"/>
          <w:sz w:val="21"/>
          <w:szCs w:val="21"/>
        </w:rPr>
      </w:pPr>
      <w:r>
        <w:rPr>
          <w:rFonts w:hint="eastAsia" w:ascii="宋体" w:hAnsi="宋体" w:eastAsia="宋体" w:cs="宋体"/>
          <w:sz w:val="21"/>
          <w:szCs w:val="21"/>
        </w:rPr>
        <w:t>2、残疾人福利单位价格扣除</w:t>
      </w:r>
    </w:p>
    <w:p w14:paraId="70178166">
      <w:pPr>
        <w:pStyle w:val="10"/>
        <w:kinsoku w:val="0"/>
        <w:overflowPunct w:val="0"/>
        <w:spacing w:beforeAutospacing="0" w:afterAutospacing="0" w:line="470" w:lineRule="exact"/>
        <w:ind w:firstLine="367" w:firstLineChars="175"/>
        <w:rPr>
          <w:rFonts w:hint="eastAsia" w:ascii="宋体" w:hAnsi="宋体" w:eastAsia="宋体" w:cs="宋体"/>
          <w:sz w:val="21"/>
          <w:szCs w:val="21"/>
        </w:rPr>
      </w:pPr>
      <w:r>
        <w:rPr>
          <w:rFonts w:hint="eastAsia" w:ascii="宋体" w:hAnsi="宋体" w:eastAsia="宋体" w:cs="宋体"/>
          <w:sz w:val="21"/>
          <w:szCs w:val="21"/>
        </w:rPr>
        <w:t>（1）本项目对残疾人福利性单位视同小型、微型企业，给予20%的价格扣除。</w:t>
      </w:r>
    </w:p>
    <w:p w14:paraId="11742DF6">
      <w:pPr>
        <w:pStyle w:val="10"/>
        <w:kinsoku w:val="0"/>
        <w:overflowPunct w:val="0"/>
        <w:spacing w:beforeAutospacing="0" w:afterAutospacing="0" w:line="470" w:lineRule="exact"/>
        <w:ind w:firstLine="367" w:firstLineChars="175"/>
        <w:rPr>
          <w:rFonts w:hint="eastAsia" w:ascii="宋体" w:hAnsi="宋体" w:eastAsia="宋体" w:cs="宋体"/>
          <w:sz w:val="21"/>
          <w:szCs w:val="21"/>
        </w:rPr>
      </w:pPr>
      <w:r>
        <w:rPr>
          <w:rFonts w:hint="eastAsia" w:ascii="宋体" w:hAnsi="宋体" w:eastAsia="宋体" w:cs="宋体"/>
          <w:sz w:val="21"/>
          <w:szCs w:val="21"/>
        </w:rPr>
        <w:t>（2）残疾人福利单位需按照采购文件的要求提供《残疾人福利性单位声明函》。</w:t>
      </w:r>
    </w:p>
    <w:p w14:paraId="33CA8EE5">
      <w:pPr>
        <w:pStyle w:val="10"/>
        <w:kinsoku w:val="0"/>
        <w:overflowPunct w:val="0"/>
        <w:spacing w:beforeAutospacing="0" w:afterAutospacing="0" w:line="470" w:lineRule="exact"/>
        <w:ind w:firstLine="367" w:firstLineChars="175"/>
        <w:rPr>
          <w:rFonts w:hint="eastAsia" w:ascii="宋体" w:hAnsi="宋体" w:eastAsia="宋体" w:cs="宋体"/>
          <w:sz w:val="21"/>
          <w:szCs w:val="21"/>
        </w:rPr>
      </w:pPr>
      <w:r>
        <w:rPr>
          <w:rFonts w:hint="eastAsia" w:ascii="宋体" w:hAnsi="宋体" w:eastAsia="宋体" w:cs="宋体"/>
          <w:sz w:val="21"/>
          <w:szCs w:val="21"/>
        </w:rPr>
        <w:t>（3）残疾人福利单位标准请参照《关于促进残疾人就业政府采购政策的通知》（财库〔2017〕141号）。</w:t>
      </w:r>
    </w:p>
    <w:p w14:paraId="29FCB464">
      <w:pPr>
        <w:pStyle w:val="10"/>
        <w:kinsoku w:val="0"/>
        <w:overflowPunct w:val="0"/>
        <w:spacing w:beforeAutospacing="0" w:afterAutospacing="0" w:line="470" w:lineRule="exact"/>
        <w:ind w:firstLine="367" w:firstLineChars="175"/>
        <w:rPr>
          <w:rFonts w:hint="eastAsia" w:ascii="宋体" w:hAnsi="宋体" w:eastAsia="宋体" w:cs="宋体"/>
          <w:sz w:val="21"/>
          <w:szCs w:val="21"/>
        </w:rPr>
      </w:pPr>
      <w:r>
        <w:rPr>
          <w:rFonts w:hint="eastAsia" w:ascii="宋体" w:hAnsi="宋体" w:eastAsia="宋体" w:cs="宋体"/>
          <w:sz w:val="21"/>
          <w:szCs w:val="21"/>
        </w:rPr>
        <w:t>3、监狱和戒毒企业价格扣除</w:t>
      </w:r>
    </w:p>
    <w:p w14:paraId="313EF905">
      <w:pPr>
        <w:pStyle w:val="10"/>
        <w:kinsoku w:val="0"/>
        <w:overflowPunct w:val="0"/>
        <w:spacing w:beforeAutospacing="0" w:afterAutospacing="0" w:line="470" w:lineRule="exact"/>
        <w:ind w:firstLine="367" w:firstLineChars="175"/>
        <w:rPr>
          <w:rFonts w:hint="eastAsia" w:ascii="宋体" w:hAnsi="宋体" w:eastAsia="宋体" w:cs="宋体"/>
          <w:sz w:val="21"/>
          <w:szCs w:val="21"/>
        </w:rPr>
      </w:pPr>
      <w:r>
        <w:rPr>
          <w:rFonts w:hint="eastAsia" w:ascii="宋体" w:hAnsi="宋体" w:eastAsia="宋体" w:cs="宋体"/>
          <w:sz w:val="21"/>
          <w:szCs w:val="21"/>
        </w:rPr>
        <w:t>（1）本项目对监狱和戒毒企业（简称监狱企业）视同小型、微型企业，给予20%的价格扣除。</w:t>
      </w:r>
    </w:p>
    <w:p w14:paraId="703979D0">
      <w:pPr>
        <w:pStyle w:val="10"/>
        <w:kinsoku w:val="0"/>
        <w:overflowPunct w:val="0"/>
        <w:spacing w:beforeAutospacing="0" w:afterAutospacing="0" w:line="470" w:lineRule="exact"/>
        <w:ind w:firstLine="367" w:firstLineChars="175"/>
        <w:rPr>
          <w:rFonts w:hint="eastAsia" w:ascii="宋体" w:hAnsi="宋体" w:eastAsia="宋体" w:cs="宋体"/>
          <w:sz w:val="21"/>
          <w:szCs w:val="21"/>
        </w:rPr>
      </w:pPr>
      <w:r>
        <w:rPr>
          <w:rFonts w:hint="eastAsia" w:ascii="宋体" w:hAnsi="宋体" w:eastAsia="宋体" w:cs="宋体"/>
          <w:sz w:val="21"/>
          <w:szCs w:val="21"/>
        </w:rPr>
        <w:t>（2）监狱企业参加政府采购活动时，需提供由省级以上监狱管理局、戒毒管理局(含新疆生产建设兵团)出具的属于监狱企业的证明文件。供应商如不提供上述证明文件，价格将不做相应扣除。</w:t>
      </w:r>
    </w:p>
    <w:p w14:paraId="462FF3AB">
      <w:pPr>
        <w:pStyle w:val="10"/>
        <w:kinsoku w:val="0"/>
        <w:overflowPunct w:val="0"/>
        <w:spacing w:beforeAutospacing="0" w:afterAutospacing="0" w:line="470" w:lineRule="exact"/>
        <w:ind w:firstLine="367" w:firstLineChars="175"/>
        <w:rPr>
          <w:rFonts w:hint="eastAsia" w:ascii="宋体" w:hAnsi="宋体" w:eastAsia="宋体" w:cs="宋体"/>
          <w:sz w:val="21"/>
          <w:szCs w:val="21"/>
        </w:rPr>
      </w:pPr>
      <w:r>
        <w:rPr>
          <w:rFonts w:hint="eastAsia" w:ascii="宋体" w:hAnsi="宋体" w:eastAsia="宋体" w:cs="宋体"/>
          <w:sz w:val="21"/>
          <w:szCs w:val="21"/>
        </w:rPr>
        <w:t>（3）监狱企业标准请参照《关于政府采购支持监狱企业发展有关问题的通知》（财库〔2014〕68号）。</w:t>
      </w:r>
    </w:p>
    <w:p w14:paraId="32C94F31">
      <w:pPr>
        <w:pStyle w:val="10"/>
        <w:kinsoku w:val="0"/>
        <w:overflowPunct w:val="0"/>
        <w:spacing w:beforeAutospacing="0" w:afterAutospacing="0" w:line="470" w:lineRule="exact"/>
        <w:ind w:firstLine="367" w:firstLineChars="175"/>
        <w:rPr>
          <w:rFonts w:hint="eastAsia" w:ascii="宋体" w:hAnsi="宋体" w:eastAsia="宋体" w:cs="宋体"/>
          <w:sz w:val="21"/>
          <w:szCs w:val="21"/>
        </w:rPr>
      </w:pPr>
      <w:r>
        <w:rPr>
          <w:rFonts w:hint="eastAsia" w:ascii="宋体" w:hAnsi="宋体" w:eastAsia="宋体" w:cs="宋体"/>
          <w:sz w:val="21"/>
          <w:szCs w:val="21"/>
        </w:rPr>
        <w:t>4、残疾人福利单位、监狱企业属于小型、微型企业的，不重复享受政策。</w:t>
      </w:r>
    </w:p>
    <w:p w14:paraId="6EA635F8">
      <w:pPr>
        <w:pStyle w:val="10"/>
        <w:kinsoku w:val="0"/>
        <w:overflowPunct w:val="0"/>
        <w:spacing w:beforeAutospacing="0" w:afterAutospacing="0" w:line="470" w:lineRule="exact"/>
        <w:ind w:firstLine="367" w:firstLineChars="175"/>
        <w:rPr>
          <w:rFonts w:hint="eastAsia" w:ascii="宋体" w:hAnsi="宋体" w:eastAsia="宋体" w:cs="宋体"/>
          <w:sz w:val="21"/>
          <w:szCs w:val="21"/>
        </w:rPr>
      </w:pPr>
      <w:r>
        <w:rPr>
          <w:rFonts w:hint="eastAsia" w:ascii="宋体" w:hAnsi="宋体" w:eastAsia="宋体" w:cs="宋体"/>
          <w:sz w:val="21"/>
          <w:szCs w:val="21"/>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p>
    <w:p w14:paraId="68786C7E">
      <w:pPr>
        <w:pStyle w:val="10"/>
        <w:kinsoku w:val="0"/>
        <w:overflowPunct w:val="0"/>
        <w:spacing w:beforeAutospacing="0" w:afterAutospacing="0" w:line="470" w:lineRule="exact"/>
        <w:ind w:firstLine="367" w:firstLineChars="175"/>
        <w:rPr>
          <w:rFonts w:hint="eastAsia" w:ascii="宋体" w:hAnsi="宋体" w:eastAsia="宋体" w:cs="宋体"/>
          <w:sz w:val="21"/>
          <w:szCs w:val="21"/>
        </w:rPr>
      </w:pPr>
      <w:r>
        <w:rPr>
          <w:rFonts w:hint="eastAsia" w:ascii="宋体" w:hAnsi="宋体" w:eastAsia="宋体" w:cs="宋体"/>
          <w:sz w:val="21"/>
          <w:szCs w:val="21"/>
        </w:rPr>
        <w:t>6、联合体各方均为小型、微型企业（残疾人福利单位、监狱企业）的，联合体享受20%的价格扣除。</w:t>
      </w:r>
    </w:p>
    <w:p w14:paraId="2899564B">
      <w:pPr>
        <w:kinsoku w:val="0"/>
        <w:overflowPunct w:val="0"/>
        <w:spacing w:line="470" w:lineRule="exact"/>
        <w:ind w:firstLine="367" w:firstLineChars="175"/>
        <w:jc w:val="left"/>
        <w:rPr>
          <w:rFonts w:hint="eastAsia" w:ascii="宋体" w:hAnsi="宋体" w:eastAsia="宋体" w:cs="宋体"/>
          <w:kern w:val="0"/>
          <w:szCs w:val="21"/>
        </w:rPr>
      </w:pPr>
      <w:r>
        <w:rPr>
          <w:rFonts w:hint="eastAsia" w:ascii="宋体" w:hAnsi="宋体" w:eastAsia="宋体" w:cs="宋体"/>
          <w:szCs w:val="21"/>
        </w:rPr>
        <w:t>7、</w:t>
      </w:r>
      <w:r>
        <w:rPr>
          <w:rFonts w:hint="eastAsia" w:ascii="宋体" w:hAnsi="宋体" w:eastAsia="宋体" w:cs="宋体"/>
          <w:kern w:val="0"/>
          <w:szCs w:val="21"/>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kern w:val="0"/>
          <w:szCs w:val="21"/>
        </w:rPr>
        <w:t>如属政府强制采购产品未提供认证证书的或认证证书提供不全的将视为未实质性响应采购要求</w:t>
      </w:r>
      <w:r>
        <w:rPr>
          <w:rFonts w:hint="eastAsia" w:ascii="宋体" w:hAnsi="宋体" w:eastAsia="宋体" w:cs="宋体"/>
          <w:kern w:val="0"/>
          <w:szCs w:val="21"/>
        </w:rPr>
        <w:t>。其他条件相同情况下，应当优先采购节能产品、环境标志产品。</w:t>
      </w:r>
    </w:p>
    <w:p w14:paraId="2585D9BF">
      <w:pPr>
        <w:pStyle w:val="10"/>
        <w:kinsoku w:val="0"/>
        <w:overflowPunct w:val="0"/>
        <w:spacing w:beforeAutospacing="0" w:afterAutospacing="0" w:line="470" w:lineRule="exact"/>
        <w:ind w:firstLine="369" w:firstLineChars="175"/>
        <w:rPr>
          <w:rFonts w:hint="eastAsia" w:ascii="宋体" w:hAnsi="宋体" w:eastAsia="宋体" w:cs="宋体"/>
          <w:sz w:val="21"/>
          <w:szCs w:val="21"/>
        </w:rPr>
      </w:pPr>
      <w:r>
        <w:rPr>
          <w:rFonts w:hint="eastAsia" w:ascii="宋体" w:hAnsi="宋体" w:eastAsia="宋体" w:cs="宋体"/>
          <w:b/>
          <w:sz w:val="21"/>
          <w:szCs w:val="21"/>
        </w:rPr>
        <w:t>二、评标方法与评标标准</w:t>
      </w:r>
    </w:p>
    <w:p w14:paraId="7A777352">
      <w:pPr>
        <w:spacing w:line="360" w:lineRule="auto"/>
        <w:ind w:firstLine="476"/>
        <w:jc w:val="left"/>
        <w:rPr>
          <w:rFonts w:hint="eastAsia" w:ascii="宋体" w:hAnsi="宋体" w:eastAsia="宋体" w:cs="宋体"/>
          <w:kern w:val="0"/>
          <w:szCs w:val="21"/>
        </w:rPr>
      </w:pPr>
      <w:r>
        <w:rPr>
          <w:rFonts w:hint="eastAsia" w:ascii="宋体" w:hAnsi="宋体" w:eastAsia="宋体" w:cs="宋体"/>
          <w:kern w:val="0"/>
          <w:szCs w:val="21"/>
        </w:rPr>
        <w:t>（一）初步评审</w:t>
      </w:r>
    </w:p>
    <w:p w14:paraId="22A4F0FB">
      <w:pPr>
        <w:spacing w:line="360" w:lineRule="auto"/>
        <w:ind w:firstLine="476"/>
        <w:jc w:val="left"/>
        <w:rPr>
          <w:rFonts w:hint="eastAsia" w:ascii="宋体" w:hAnsi="宋体" w:eastAsia="宋体" w:cs="宋体"/>
          <w:kern w:val="0"/>
          <w:szCs w:val="21"/>
        </w:rPr>
      </w:pPr>
      <w:r>
        <w:rPr>
          <w:rFonts w:hint="eastAsia" w:ascii="宋体" w:hAnsi="宋体" w:eastAsia="宋体" w:cs="宋体"/>
          <w:kern w:val="0"/>
          <w:szCs w:val="21"/>
        </w:rPr>
        <w:t>1、资格审查</w:t>
      </w:r>
    </w:p>
    <w:p w14:paraId="5D580101">
      <w:pPr>
        <w:spacing w:line="360" w:lineRule="auto"/>
        <w:ind w:firstLine="476"/>
        <w:jc w:val="left"/>
        <w:rPr>
          <w:rFonts w:hint="eastAsia" w:ascii="宋体" w:hAnsi="宋体" w:eastAsia="宋体" w:cs="宋体"/>
          <w:kern w:val="0"/>
          <w:szCs w:val="21"/>
        </w:rPr>
      </w:pPr>
      <w:r>
        <w:rPr>
          <w:rFonts w:hint="eastAsia" w:ascii="宋体" w:hAnsi="宋体" w:eastAsia="宋体" w:cs="宋体"/>
          <w:kern w:val="0"/>
          <w:szCs w:val="21"/>
        </w:rPr>
        <w:t>1.1法人或者其他组织的营业执照等证明文件，自然人的身份证明；</w:t>
      </w:r>
    </w:p>
    <w:p w14:paraId="285A1647">
      <w:pPr>
        <w:spacing w:line="360" w:lineRule="auto"/>
        <w:ind w:firstLine="476"/>
        <w:jc w:val="left"/>
        <w:rPr>
          <w:rFonts w:hint="eastAsia" w:ascii="宋体" w:hAnsi="宋体" w:eastAsia="宋体" w:cs="宋体"/>
          <w:kern w:val="0"/>
          <w:szCs w:val="21"/>
        </w:rPr>
      </w:pPr>
      <w:r>
        <w:rPr>
          <w:rFonts w:hint="eastAsia" w:ascii="宋体" w:hAnsi="宋体" w:eastAsia="宋体" w:cs="宋体"/>
          <w:kern w:val="0"/>
          <w:szCs w:val="21"/>
        </w:rPr>
        <w:t>1.2上一年度的财务状况报告（至少提供资产负债表、利润表、现金流量表，投标人成立不满一年无需提供）；</w:t>
      </w:r>
    </w:p>
    <w:p w14:paraId="715E6135">
      <w:pPr>
        <w:spacing w:line="360" w:lineRule="auto"/>
        <w:ind w:firstLine="476"/>
        <w:jc w:val="left"/>
        <w:rPr>
          <w:rFonts w:hint="eastAsia" w:ascii="宋体" w:hAnsi="宋体" w:eastAsia="宋体" w:cs="宋体"/>
          <w:kern w:val="0"/>
          <w:szCs w:val="21"/>
        </w:rPr>
      </w:pPr>
      <w:r>
        <w:rPr>
          <w:rFonts w:hint="eastAsia" w:ascii="宋体" w:hAnsi="宋体" w:eastAsia="宋体" w:cs="宋体"/>
          <w:kern w:val="0"/>
          <w:szCs w:val="21"/>
        </w:rPr>
        <w:t>1.3具备履行合同所必需的设备和专业技术能力的书面声明；</w:t>
      </w:r>
    </w:p>
    <w:p w14:paraId="7187AB38">
      <w:pPr>
        <w:spacing w:line="360" w:lineRule="auto"/>
        <w:ind w:firstLine="476"/>
        <w:jc w:val="left"/>
        <w:rPr>
          <w:rFonts w:hint="eastAsia" w:ascii="宋体" w:hAnsi="宋体" w:eastAsia="宋体" w:cs="宋体"/>
          <w:kern w:val="0"/>
          <w:szCs w:val="21"/>
        </w:rPr>
      </w:pPr>
      <w:r>
        <w:rPr>
          <w:rFonts w:hint="eastAsia" w:ascii="宋体" w:hAnsi="宋体" w:eastAsia="宋体" w:cs="宋体"/>
          <w:kern w:val="0"/>
          <w:szCs w:val="21"/>
        </w:rPr>
        <w:t>1.4依法缴纳税收和社会保障资金的相关材料（提供提交响应文件截止时间前一年内至少一个月依法缴纳税收及缴纳社会保障资金的证明材料。供应商依法享受缓缴、免缴税收、社会保障资金的提供证明材料）；</w:t>
      </w:r>
    </w:p>
    <w:p w14:paraId="5C1DA3CC">
      <w:pPr>
        <w:spacing w:line="360" w:lineRule="auto"/>
        <w:ind w:firstLine="476"/>
        <w:jc w:val="left"/>
        <w:rPr>
          <w:rFonts w:hint="eastAsia" w:ascii="宋体" w:hAnsi="宋体" w:eastAsia="宋体" w:cs="宋体"/>
          <w:kern w:val="0"/>
          <w:szCs w:val="21"/>
        </w:rPr>
      </w:pPr>
      <w:r>
        <w:rPr>
          <w:rFonts w:hint="eastAsia" w:ascii="宋体" w:hAnsi="宋体" w:eastAsia="宋体" w:cs="宋体"/>
          <w:kern w:val="0"/>
          <w:szCs w:val="21"/>
        </w:rPr>
        <w:t>1.5参加政府采购活动前3年内在经营活动中没有重大违法记录的书面声明。</w:t>
      </w:r>
    </w:p>
    <w:p w14:paraId="6F0A096D">
      <w:pPr>
        <w:spacing w:line="360" w:lineRule="auto"/>
        <w:ind w:firstLine="476"/>
        <w:jc w:val="left"/>
        <w:rPr>
          <w:rFonts w:hint="eastAsia" w:ascii="宋体" w:hAnsi="宋体" w:eastAsia="宋体" w:cs="宋体"/>
          <w:kern w:val="0"/>
          <w:szCs w:val="21"/>
        </w:rPr>
      </w:pPr>
      <w:r>
        <w:rPr>
          <w:rFonts w:hint="eastAsia" w:ascii="宋体" w:hAnsi="宋体" w:eastAsia="宋体" w:cs="宋体"/>
          <w:kern w:val="0"/>
          <w:szCs w:val="21"/>
        </w:rPr>
        <w:t>注：a、因上述扫描件不清晰无法辨认、或提供的关键信息不全、更新不及时导致被招标人或评标委员会评委认定为无效投标的，其不利的后果由投标人自行承担。</w:t>
      </w:r>
    </w:p>
    <w:p w14:paraId="0194FA41">
      <w:pPr>
        <w:spacing w:line="360" w:lineRule="auto"/>
        <w:ind w:firstLine="476"/>
        <w:jc w:val="left"/>
        <w:rPr>
          <w:rFonts w:hint="eastAsia" w:ascii="宋体" w:hAnsi="宋体" w:eastAsia="宋体" w:cs="宋体"/>
          <w:kern w:val="0"/>
          <w:szCs w:val="21"/>
        </w:rPr>
      </w:pPr>
      <w:r>
        <w:rPr>
          <w:rFonts w:hint="eastAsia" w:ascii="宋体" w:hAnsi="宋体" w:eastAsia="宋体" w:cs="宋体"/>
          <w:kern w:val="0"/>
          <w:szCs w:val="21"/>
        </w:rPr>
        <w:t>b、若中标候选人上述有关证书有效性被质疑的，被质疑人出具发证机关证明或通过二维码或证书查询系统能够证明有效即可。</w:t>
      </w:r>
    </w:p>
    <w:p w14:paraId="2047BA8C">
      <w:pPr>
        <w:spacing w:line="360" w:lineRule="auto"/>
        <w:ind w:firstLine="476"/>
        <w:jc w:val="left"/>
        <w:rPr>
          <w:rFonts w:hint="eastAsia" w:ascii="宋体" w:hAnsi="宋体" w:eastAsia="宋体" w:cs="宋体"/>
          <w:kern w:val="0"/>
          <w:szCs w:val="21"/>
        </w:rPr>
      </w:pPr>
      <w:r>
        <w:rPr>
          <w:rFonts w:hint="eastAsia" w:ascii="宋体" w:hAnsi="宋体" w:eastAsia="宋体" w:cs="宋体"/>
          <w:kern w:val="0"/>
          <w:szCs w:val="21"/>
        </w:rPr>
        <w:t>c、招标人或评标委员会的审查或评审仅针对投标文件提交截止时间前投标人提交的投标文件（包含以链接形式提供的附件资料）进行审查或评审，投标人后续撤回、修改、补充、更新、作废诚信库信息，不影响按照投标文件提交截止时间前投标人提交的投标文件形成的审查或评审结果。投标人若需要更正投标资料信息，应在投标文件提交截止时间前撤回投标文件，重新勾选投标资料后上传。投标文件提交后，投标人不得对投标资料信息进行改动。</w:t>
      </w:r>
    </w:p>
    <w:p w14:paraId="3B546AFD">
      <w:pPr>
        <w:spacing w:line="360" w:lineRule="auto"/>
        <w:ind w:firstLine="476"/>
        <w:jc w:val="left"/>
        <w:rPr>
          <w:rFonts w:hint="eastAsia" w:ascii="宋体" w:hAnsi="宋体" w:eastAsia="宋体" w:cs="宋体"/>
          <w:kern w:val="0"/>
          <w:szCs w:val="21"/>
        </w:rPr>
      </w:pPr>
      <w:r>
        <w:rPr>
          <w:rFonts w:hint="eastAsia" w:ascii="宋体" w:hAnsi="宋体" w:eastAsia="宋体" w:cs="宋体"/>
          <w:kern w:val="0"/>
          <w:szCs w:val="21"/>
        </w:rPr>
        <w:t>2、符合性评审：</w:t>
      </w:r>
    </w:p>
    <w:p w14:paraId="40569CC1">
      <w:pPr>
        <w:spacing w:line="360" w:lineRule="auto"/>
        <w:ind w:firstLine="476"/>
        <w:jc w:val="left"/>
        <w:rPr>
          <w:rFonts w:hint="eastAsia" w:ascii="宋体" w:hAnsi="宋体" w:eastAsia="宋体" w:cs="宋体"/>
          <w:kern w:val="0"/>
          <w:szCs w:val="21"/>
        </w:rPr>
      </w:pPr>
      <w:r>
        <w:rPr>
          <w:rFonts w:hint="eastAsia" w:ascii="宋体" w:hAnsi="宋体" w:eastAsia="宋体" w:cs="宋体"/>
          <w:kern w:val="0"/>
          <w:szCs w:val="21"/>
        </w:rPr>
        <w:t>投标人的投标文件符合招标文件、招标答疑的要求，主要包括：采购需求、服务期、供货期、质保期、质量、投标报价、政府强制采购产品的认证证书、签章等符合招标文件的实质性要求等。未实质响应招标文件要求的一律作为无效标书，不得作为中标候选人。</w:t>
      </w:r>
    </w:p>
    <w:p w14:paraId="317766FD">
      <w:pPr>
        <w:spacing w:line="360" w:lineRule="auto"/>
        <w:ind w:firstLine="476"/>
        <w:jc w:val="left"/>
        <w:rPr>
          <w:rFonts w:hint="eastAsia" w:ascii="宋体" w:hAnsi="宋体" w:eastAsia="宋体" w:cs="宋体"/>
          <w:kern w:val="0"/>
          <w:szCs w:val="21"/>
        </w:rPr>
      </w:pPr>
      <w:r>
        <w:rPr>
          <w:rFonts w:hint="eastAsia" w:ascii="宋体" w:hAnsi="宋体" w:eastAsia="宋体" w:cs="宋体"/>
          <w:kern w:val="0"/>
          <w:szCs w:val="21"/>
        </w:rPr>
        <w:t>（二）详细评审</w:t>
      </w:r>
    </w:p>
    <w:p w14:paraId="1984EFC6">
      <w:pPr>
        <w:keepNext/>
        <w:keepLines/>
        <w:spacing w:line="360" w:lineRule="auto"/>
        <w:ind w:firstLine="478"/>
        <w:jc w:val="left"/>
        <w:rPr>
          <w:rFonts w:hint="eastAsia" w:ascii="宋体" w:hAnsi="宋体" w:eastAsia="宋体" w:cs="宋体"/>
          <w:b/>
          <w:sz w:val="24"/>
        </w:rPr>
      </w:pPr>
      <w:bookmarkStart w:id="185" w:name="_Toc32592"/>
      <w:bookmarkStart w:id="186" w:name="_Toc498782289"/>
      <w:bookmarkStart w:id="187" w:name="_Toc397928604"/>
      <w:r>
        <w:rPr>
          <w:rFonts w:hint="eastAsia" w:ascii="宋体" w:hAnsi="宋体" w:eastAsia="宋体" w:cs="宋体"/>
          <w:b/>
          <w:szCs w:val="21"/>
        </w:rPr>
        <w:t>2.1详细评审分值构成与评分标准</w:t>
      </w:r>
      <w:bookmarkEnd w:id="185"/>
      <w:bookmarkEnd w:id="186"/>
      <w:bookmarkEnd w:id="187"/>
    </w:p>
    <w:tbl>
      <w:tblPr>
        <w:tblStyle w:val="12"/>
        <w:tblW w:w="8724" w:type="dxa"/>
        <w:tblInd w:w="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4"/>
        <w:gridCol w:w="760"/>
        <w:gridCol w:w="777"/>
        <w:gridCol w:w="894"/>
        <w:gridCol w:w="5449"/>
      </w:tblGrid>
      <w:tr w14:paraId="4DAE0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44" w:type="dxa"/>
            <w:tcMar>
              <w:top w:w="0" w:type="dxa"/>
              <w:left w:w="0" w:type="dxa"/>
              <w:bottom w:w="0" w:type="dxa"/>
              <w:right w:w="0" w:type="dxa"/>
            </w:tcMar>
            <w:vAlign w:val="center"/>
          </w:tcPr>
          <w:p w14:paraId="7C9D355C">
            <w:pPr>
              <w:widowControl/>
              <w:pBdr>
                <w:top w:val="none" w:color="000000" w:sz="0" w:space="0"/>
                <w:left w:val="none" w:color="000000" w:sz="0" w:space="0"/>
                <w:bottom w:val="none" w:color="000000" w:sz="0" w:space="0"/>
                <w:right w:val="none" w:color="000000" w:sz="0" w:space="0"/>
              </w:pBdr>
              <w:snapToGrid w:val="0"/>
              <w:ind w:left="0" w:leftChars="0" w:right="0" w:rightChars="0" w:firstLine="0" w:firstLineChars="0"/>
              <w:jc w:val="center"/>
              <w:rPr>
                <w:rFonts w:hint="eastAsia" w:ascii="宋体" w:hAnsi="宋体" w:eastAsia="宋体" w:cs="宋体"/>
                <w:b/>
                <w:bCs/>
                <w:kern w:val="0"/>
                <w:szCs w:val="21"/>
              </w:rPr>
            </w:pPr>
            <w:r>
              <w:rPr>
                <w:rFonts w:hint="eastAsia" w:ascii="宋体" w:hAnsi="宋体" w:eastAsia="宋体" w:cs="宋体"/>
                <w:b/>
                <w:bCs/>
                <w:kern w:val="0"/>
                <w:szCs w:val="21"/>
              </w:rPr>
              <w:t>序号</w:t>
            </w:r>
          </w:p>
        </w:tc>
        <w:tc>
          <w:tcPr>
            <w:tcW w:w="1537" w:type="dxa"/>
            <w:gridSpan w:val="2"/>
            <w:tcMar>
              <w:top w:w="0" w:type="dxa"/>
              <w:left w:w="0" w:type="dxa"/>
              <w:bottom w:w="0" w:type="dxa"/>
              <w:right w:w="0" w:type="dxa"/>
            </w:tcMar>
            <w:vAlign w:val="center"/>
          </w:tcPr>
          <w:p w14:paraId="27D1B6D6">
            <w:pPr>
              <w:widowControl/>
              <w:pBdr>
                <w:top w:val="none" w:color="000000" w:sz="0" w:space="0"/>
                <w:left w:val="none" w:color="000000" w:sz="0" w:space="0"/>
                <w:bottom w:val="none" w:color="000000" w:sz="0" w:space="0"/>
                <w:right w:val="none" w:color="000000" w:sz="0" w:space="0"/>
              </w:pBdr>
              <w:snapToGrid w:val="0"/>
              <w:ind w:left="0" w:leftChars="0" w:right="0" w:rightChars="0" w:firstLine="0" w:firstLineChars="0"/>
              <w:jc w:val="center"/>
              <w:rPr>
                <w:rFonts w:hint="eastAsia" w:ascii="宋体" w:hAnsi="宋体" w:eastAsia="宋体" w:cs="宋体"/>
                <w:b/>
                <w:bCs/>
                <w:kern w:val="0"/>
                <w:szCs w:val="21"/>
              </w:rPr>
            </w:pPr>
            <w:r>
              <w:rPr>
                <w:rFonts w:hint="eastAsia" w:ascii="宋体" w:hAnsi="宋体" w:eastAsia="宋体" w:cs="宋体"/>
                <w:b/>
                <w:bCs/>
                <w:kern w:val="0"/>
                <w:szCs w:val="21"/>
              </w:rPr>
              <w:t>评审因素</w:t>
            </w:r>
          </w:p>
        </w:tc>
        <w:tc>
          <w:tcPr>
            <w:tcW w:w="894" w:type="dxa"/>
            <w:tcMar>
              <w:top w:w="0" w:type="dxa"/>
              <w:left w:w="0" w:type="dxa"/>
              <w:bottom w:w="0" w:type="dxa"/>
              <w:right w:w="0" w:type="dxa"/>
            </w:tcMar>
            <w:vAlign w:val="center"/>
          </w:tcPr>
          <w:p w14:paraId="7BAE6F18">
            <w:pPr>
              <w:widowControl/>
              <w:pBdr>
                <w:top w:val="none" w:color="000000" w:sz="0" w:space="0"/>
                <w:left w:val="none" w:color="000000" w:sz="0" w:space="0"/>
                <w:bottom w:val="none" w:color="000000" w:sz="0" w:space="0"/>
                <w:right w:val="none" w:color="000000" w:sz="0" w:space="0"/>
              </w:pBdr>
              <w:snapToGrid w:val="0"/>
              <w:ind w:left="0" w:leftChars="0" w:right="0" w:rightChars="0" w:firstLine="0" w:firstLineChars="0"/>
              <w:jc w:val="center"/>
              <w:rPr>
                <w:rFonts w:hint="eastAsia" w:ascii="宋体" w:hAnsi="宋体" w:eastAsia="宋体" w:cs="宋体"/>
                <w:b/>
                <w:bCs/>
                <w:kern w:val="0"/>
                <w:szCs w:val="21"/>
              </w:rPr>
            </w:pPr>
            <w:r>
              <w:rPr>
                <w:rFonts w:hint="eastAsia" w:ascii="宋体" w:hAnsi="宋体" w:eastAsia="宋体" w:cs="宋体"/>
                <w:b/>
                <w:bCs/>
                <w:kern w:val="0"/>
                <w:szCs w:val="21"/>
              </w:rPr>
              <w:t>分值</w:t>
            </w:r>
          </w:p>
        </w:tc>
        <w:tc>
          <w:tcPr>
            <w:tcW w:w="5449" w:type="dxa"/>
            <w:tcMar>
              <w:top w:w="0" w:type="dxa"/>
              <w:left w:w="0" w:type="dxa"/>
              <w:bottom w:w="0" w:type="dxa"/>
              <w:right w:w="0" w:type="dxa"/>
            </w:tcMar>
            <w:vAlign w:val="center"/>
          </w:tcPr>
          <w:p w14:paraId="1A2641E9">
            <w:pPr>
              <w:widowControl/>
              <w:pBdr>
                <w:top w:val="none" w:color="000000" w:sz="0" w:space="0"/>
                <w:left w:val="none" w:color="000000" w:sz="0" w:space="0"/>
                <w:bottom w:val="none" w:color="000000" w:sz="0" w:space="0"/>
                <w:right w:val="none" w:color="000000" w:sz="0" w:space="0"/>
              </w:pBdr>
              <w:snapToGrid w:val="0"/>
              <w:ind w:left="0" w:leftChars="0" w:right="0" w:rightChars="0" w:firstLine="0" w:firstLineChars="0"/>
              <w:jc w:val="center"/>
              <w:rPr>
                <w:rFonts w:hint="eastAsia" w:ascii="宋体" w:hAnsi="宋体" w:eastAsia="宋体" w:cs="宋体"/>
                <w:b/>
                <w:bCs/>
                <w:kern w:val="0"/>
                <w:szCs w:val="21"/>
              </w:rPr>
            </w:pPr>
            <w:r>
              <w:rPr>
                <w:rFonts w:hint="eastAsia" w:ascii="宋体" w:hAnsi="宋体" w:eastAsia="宋体" w:cs="宋体"/>
                <w:b/>
                <w:bCs/>
                <w:kern w:val="0"/>
                <w:szCs w:val="21"/>
              </w:rPr>
              <w:t>评审标准</w:t>
            </w:r>
          </w:p>
        </w:tc>
      </w:tr>
      <w:tr w14:paraId="5D584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44" w:type="dxa"/>
            <w:tcMar>
              <w:top w:w="0" w:type="dxa"/>
              <w:left w:w="0" w:type="dxa"/>
              <w:bottom w:w="0" w:type="dxa"/>
              <w:right w:w="0" w:type="dxa"/>
            </w:tcMar>
            <w:vAlign w:val="center"/>
          </w:tcPr>
          <w:p w14:paraId="66B22B5C">
            <w:pPr>
              <w:widowControl/>
              <w:pBdr>
                <w:top w:val="none" w:color="000000" w:sz="0" w:space="0"/>
                <w:left w:val="none" w:color="000000" w:sz="0" w:space="0"/>
                <w:bottom w:val="none" w:color="000000" w:sz="0" w:space="0"/>
                <w:right w:val="none" w:color="000000" w:sz="0" w:space="0"/>
              </w:pBdr>
              <w:snapToGrid w:val="0"/>
              <w:ind w:left="0" w:leftChars="0" w:right="0" w:rightChars="0" w:firstLine="0" w:firstLineChars="0"/>
              <w:jc w:val="center"/>
              <w:rPr>
                <w:rFonts w:hint="eastAsia" w:ascii="宋体" w:hAnsi="宋体" w:eastAsia="宋体" w:cs="宋体"/>
                <w:kern w:val="0"/>
                <w:szCs w:val="21"/>
              </w:rPr>
            </w:pPr>
            <w:r>
              <w:rPr>
                <w:rFonts w:hint="eastAsia" w:ascii="宋体" w:hAnsi="宋体" w:eastAsia="宋体" w:cs="宋体"/>
                <w:kern w:val="0"/>
                <w:szCs w:val="21"/>
              </w:rPr>
              <w:t>1</w:t>
            </w:r>
          </w:p>
        </w:tc>
        <w:tc>
          <w:tcPr>
            <w:tcW w:w="1537" w:type="dxa"/>
            <w:gridSpan w:val="2"/>
            <w:tcMar>
              <w:top w:w="0" w:type="dxa"/>
              <w:left w:w="0" w:type="dxa"/>
              <w:bottom w:w="0" w:type="dxa"/>
              <w:right w:w="0" w:type="dxa"/>
            </w:tcMar>
            <w:vAlign w:val="center"/>
          </w:tcPr>
          <w:p w14:paraId="4190F6DF">
            <w:pPr>
              <w:widowControl/>
              <w:pBdr>
                <w:top w:val="none" w:color="000000" w:sz="0" w:space="0"/>
                <w:left w:val="none" w:color="000000" w:sz="0" w:space="0"/>
                <w:bottom w:val="none" w:color="000000" w:sz="0" w:space="0"/>
                <w:right w:val="none" w:color="000000" w:sz="0" w:space="0"/>
              </w:pBdr>
              <w:snapToGrid w:val="0"/>
              <w:ind w:left="0" w:leftChars="0" w:right="0" w:rightChars="0" w:firstLine="0" w:firstLineChars="0"/>
              <w:jc w:val="center"/>
              <w:rPr>
                <w:rFonts w:hint="eastAsia" w:ascii="宋体" w:hAnsi="宋体" w:eastAsia="宋体" w:cs="宋体"/>
                <w:kern w:val="0"/>
                <w:szCs w:val="21"/>
              </w:rPr>
            </w:pPr>
            <w:r>
              <w:rPr>
                <w:rFonts w:hint="eastAsia" w:ascii="宋体" w:hAnsi="宋体" w:eastAsia="宋体" w:cs="宋体"/>
                <w:kern w:val="0"/>
                <w:szCs w:val="21"/>
              </w:rPr>
              <w:t>投标报价</w:t>
            </w:r>
          </w:p>
        </w:tc>
        <w:tc>
          <w:tcPr>
            <w:tcW w:w="894" w:type="dxa"/>
            <w:tcMar>
              <w:top w:w="0" w:type="dxa"/>
              <w:left w:w="0" w:type="dxa"/>
              <w:bottom w:w="0" w:type="dxa"/>
              <w:right w:w="0" w:type="dxa"/>
            </w:tcMar>
            <w:vAlign w:val="center"/>
          </w:tcPr>
          <w:p w14:paraId="36E7DB03">
            <w:pPr>
              <w:widowControl/>
              <w:pBdr>
                <w:top w:val="none" w:color="000000" w:sz="0" w:space="0"/>
                <w:left w:val="none" w:color="000000" w:sz="0" w:space="0"/>
                <w:bottom w:val="none" w:color="000000" w:sz="0" w:space="0"/>
                <w:right w:val="none" w:color="000000" w:sz="0" w:space="0"/>
              </w:pBdr>
              <w:snapToGrid w:val="0"/>
              <w:ind w:left="0" w:leftChars="0" w:right="0" w:rightChars="0" w:firstLine="0" w:firstLineChars="0"/>
              <w:jc w:val="center"/>
              <w:rPr>
                <w:rFonts w:hint="eastAsia" w:ascii="宋体" w:hAnsi="宋体" w:eastAsia="宋体" w:cs="宋体"/>
                <w:kern w:val="0"/>
                <w:szCs w:val="21"/>
              </w:rPr>
            </w:pPr>
            <w:r>
              <w:rPr>
                <w:rFonts w:hint="eastAsia" w:ascii="宋体" w:hAnsi="宋体" w:eastAsia="宋体" w:cs="宋体"/>
                <w:kern w:val="0"/>
                <w:szCs w:val="21"/>
              </w:rPr>
              <w:t>15分</w:t>
            </w:r>
          </w:p>
        </w:tc>
        <w:tc>
          <w:tcPr>
            <w:tcW w:w="5449" w:type="dxa"/>
            <w:tcMar>
              <w:top w:w="0" w:type="dxa"/>
              <w:left w:w="0" w:type="dxa"/>
              <w:bottom w:w="0" w:type="dxa"/>
              <w:right w:w="0" w:type="dxa"/>
            </w:tcMar>
            <w:vAlign w:val="center"/>
          </w:tcPr>
          <w:p w14:paraId="3AD649D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288" w:lineRule="auto"/>
              <w:ind w:left="105" w:leftChars="50" w:right="0" w:rightChars="0" w:firstLine="0" w:firstLineChars="0"/>
              <w:jc w:val="left"/>
              <w:textAlignment w:val="auto"/>
              <w:rPr>
                <w:rFonts w:hint="eastAsia" w:ascii="宋体" w:hAnsi="宋体" w:eastAsia="宋体" w:cs="宋体"/>
                <w:kern w:val="0"/>
                <w:szCs w:val="21"/>
              </w:rPr>
            </w:pPr>
            <w:r>
              <w:rPr>
                <w:rFonts w:hint="eastAsia" w:ascii="宋体" w:hAnsi="宋体" w:eastAsia="宋体" w:cs="宋体"/>
                <w:kern w:val="0"/>
                <w:szCs w:val="21"/>
              </w:rPr>
              <w:t>价格分采用低价优先法计算，即满足招标文件要求且投标价格最低的投标报价为评标基准价，报价得分按照下列公式计算：投标报价得分=（评标基准价/投标报价）×15结果保留两位小数。（有效投标报价为未被评标委员会判定为无效标的投标文件）。</w:t>
            </w:r>
          </w:p>
          <w:p w14:paraId="1EF2886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288" w:lineRule="auto"/>
              <w:ind w:left="105" w:leftChars="50" w:right="0" w:rightChars="0" w:firstLine="0" w:firstLineChars="0"/>
              <w:jc w:val="left"/>
              <w:textAlignment w:val="auto"/>
              <w:rPr>
                <w:rFonts w:hint="eastAsia" w:ascii="宋体" w:hAnsi="宋体" w:eastAsia="宋体" w:cs="宋体"/>
                <w:kern w:val="0"/>
                <w:szCs w:val="21"/>
              </w:rPr>
            </w:pPr>
            <w:r>
              <w:rPr>
                <w:rFonts w:hint="eastAsia" w:ascii="宋体" w:hAnsi="宋体" w:eastAsia="宋体" w:cs="宋体"/>
                <w:kern w:val="0"/>
                <w:szCs w:val="21"/>
              </w:rPr>
              <w:t>注：依据财政部87号第六十条，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14:paraId="78906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44" w:type="dxa"/>
            <w:tcMar>
              <w:top w:w="0" w:type="dxa"/>
              <w:left w:w="0" w:type="dxa"/>
              <w:bottom w:w="0" w:type="dxa"/>
              <w:right w:w="0" w:type="dxa"/>
            </w:tcMar>
            <w:vAlign w:val="center"/>
          </w:tcPr>
          <w:p w14:paraId="7982D552">
            <w:pPr>
              <w:widowControl/>
              <w:pBdr>
                <w:top w:val="none" w:color="000000" w:sz="0" w:space="0"/>
                <w:left w:val="none" w:color="000000" w:sz="0" w:space="0"/>
                <w:bottom w:val="none" w:color="000000" w:sz="0" w:space="0"/>
                <w:right w:val="none" w:color="000000" w:sz="0" w:space="0"/>
              </w:pBdr>
              <w:snapToGrid w:val="0"/>
              <w:ind w:left="0" w:leftChars="0" w:right="0" w:rightChars="0" w:firstLine="0" w:firstLineChars="0"/>
              <w:jc w:val="center"/>
              <w:rPr>
                <w:rFonts w:hint="eastAsia" w:ascii="宋体" w:hAnsi="宋体" w:eastAsia="宋体" w:cs="宋体"/>
                <w:kern w:val="0"/>
                <w:szCs w:val="21"/>
              </w:rPr>
            </w:pPr>
            <w:r>
              <w:rPr>
                <w:rFonts w:hint="eastAsia" w:ascii="宋体" w:hAnsi="宋体" w:eastAsia="宋体" w:cs="宋体"/>
                <w:kern w:val="0"/>
                <w:szCs w:val="21"/>
              </w:rPr>
              <w:t>2</w:t>
            </w:r>
          </w:p>
        </w:tc>
        <w:tc>
          <w:tcPr>
            <w:tcW w:w="1537" w:type="dxa"/>
            <w:gridSpan w:val="2"/>
            <w:tcMar>
              <w:top w:w="0" w:type="dxa"/>
              <w:left w:w="0" w:type="dxa"/>
              <w:bottom w:w="0" w:type="dxa"/>
              <w:right w:w="0" w:type="dxa"/>
            </w:tcMar>
            <w:vAlign w:val="center"/>
          </w:tcPr>
          <w:p w14:paraId="729E9DF3">
            <w:pPr>
              <w:widowControl/>
              <w:pBdr>
                <w:top w:val="none" w:color="000000" w:sz="0" w:space="0"/>
                <w:left w:val="none" w:color="000000" w:sz="0" w:space="0"/>
                <w:bottom w:val="none" w:color="000000" w:sz="0" w:space="0"/>
                <w:right w:val="none" w:color="000000" w:sz="0" w:space="0"/>
              </w:pBdr>
              <w:snapToGrid w:val="0"/>
              <w:ind w:left="0" w:leftChars="0" w:right="0" w:rightChars="0" w:firstLine="0" w:firstLineChars="0"/>
              <w:jc w:val="center"/>
              <w:rPr>
                <w:rFonts w:hint="eastAsia" w:ascii="宋体" w:hAnsi="宋体" w:eastAsia="宋体" w:cs="宋体"/>
                <w:kern w:val="0"/>
                <w:szCs w:val="21"/>
              </w:rPr>
            </w:pPr>
            <w:r>
              <w:rPr>
                <w:rFonts w:hint="eastAsia" w:ascii="宋体" w:hAnsi="宋体" w:eastAsia="宋体" w:cs="宋体"/>
                <w:kern w:val="0"/>
                <w:szCs w:val="21"/>
              </w:rPr>
              <w:t>业绩</w:t>
            </w:r>
          </w:p>
        </w:tc>
        <w:tc>
          <w:tcPr>
            <w:tcW w:w="894" w:type="dxa"/>
            <w:tcMar>
              <w:top w:w="0" w:type="dxa"/>
              <w:left w:w="0" w:type="dxa"/>
              <w:bottom w:w="0" w:type="dxa"/>
              <w:right w:w="0" w:type="dxa"/>
            </w:tcMar>
            <w:vAlign w:val="center"/>
          </w:tcPr>
          <w:p w14:paraId="60C2E934">
            <w:pPr>
              <w:widowControl/>
              <w:pBdr>
                <w:top w:val="none" w:color="000000" w:sz="0" w:space="0"/>
                <w:left w:val="none" w:color="000000" w:sz="0" w:space="0"/>
                <w:bottom w:val="none" w:color="000000" w:sz="0" w:space="0"/>
                <w:right w:val="none" w:color="000000" w:sz="0" w:space="0"/>
              </w:pBdr>
              <w:snapToGrid w:val="0"/>
              <w:ind w:left="0" w:leftChars="0" w:right="0" w:rightChars="0" w:firstLine="0" w:firstLineChars="0"/>
              <w:jc w:val="center"/>
              <w:rPr>
                <w:rFonts w:hint="eastAsia" w:ascii="宋体" w:hAnsi="宋体" w:eastAsia="宋体" w:cs="宋体"/>
                <w:kern w:val="0"/>
                <w:szCs w:val="21"/>
              </w:rPr>
            </w:pPr>
            <w:r>
              <w:rPr>
                <w:rFonts w:hint="eastAsia" w:ascii="宋体" w:hAnsi="宋体" w:eastAsia="宋体" w:cs="宋体"/>
                <w:kern w:val="0"/>
                <w:szCs w:val="21"/>
              </w:rPr>
              <w:t>3分</w:t>
            </w:r>
          </w:p>
        </w:tc>
        <w:tc>
          <w:tcPr>
            <w:tcW w:w="5449" w:type="dxa"/>
            <w:tcMar>
              <w:top w:w="0" w:type="dxa"/>
              <w:left w:w="0" w:type="dxa"/>
              <w:bottom w:w="0" w:type="dxa"/>
              <w:right w:w="0" w:type="dxa"/>
            </w:tcMar>
            <w:vAlign w:val="center"/>
          </w:tcPr>
          <w:p w14:paraId="4647B34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288" w:lineRule="auto"/>
              <w:ind w:left="105" w:leftChars="50" w:right="0" w:rightChars="0" w:firstLine="0" w:firstLineChars="0"/>
              <w:jc w:val="left"/>
              <w:textAlignment w:val="auto"/>
              <w:rPr>
                <w:rFonts w:hint="eastAsia" w:ascii="宋体" w:hAnsi="宋体" w:eastAsia="宋体" w:cs="宋体"/>
                <w:kern w:val="0"/>
                <w:szCs w:val="21"/>
              </w:rPr>
            </w:pPr>
            <w:r>
              <w:rPr>
                <w:rFonts w:hint="eastAsia" w:ascii="宋体" w:hAnsi="宋体" w:eastAsia="宋体" w:cs="宋体"/>
                <w:kern w:val="0"/>
                <w:szCs w:val="21"/>
              </w:rPr>
              <w:t>投标人自2021年3月1日以来（以合同签订时间为准）具有类似项目业绩的，每有1个得1.5分，本项最多得3分，未提供不得分。</w:t>
            </w:r>
          </w:p>
          <w:p w14:paraId="4A0ED99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288" w:lineRule="auto"/>
              <w:ind w:left="105" w:leftChars="50" w:right="0" w:rightChars="0" w:firstLine="0" w:firstLineChars="0"/>
              <w:jc w:val="left"/>
              <w:textAlignment w:val="auto"/>
              <w:rPr>
                <w:rFonts w:hint="eastAsia" w:ascii="宋体" w:hAnsi="宋体" w:eastAsia="宋体" w:cs="宋体"/>
                <w:kern w:val="0"/>
                <w:szCs w:val="21"/>
                <w:lang w:val="en-US"/>
              </w:rPr>
            </w:pPr>
            <w:r>
              <w:rPr>
                <w:rFonts w:hint="eastAsia" w:ascii="宋体" w:hAnsi="宋体" w:eastAsia="宋体" w:cs="宋体"/>
                <w:kern w:val="0"/>
                <w:szCs w:val="21"/>
                <w:lang w:val="en-US" w:eastAsia="zh-CN"/>
              </w:rPr>
              <w:t>注：本招标文件要求的类似项目业绩，须提交的材料要求如下：</w:t>
            </w:r>
          </w:p>
          <w:p w14:paraId="661F06C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288" w:lineRule="auto"/>
              <w:ind w:left="105" w:leftChars="50" w:right="0" w:rightChars="0" w:firstLine="0" w:firstLineChars="0"/>
              <w:jc w:val="left"/>
              <w:textAlignment w:val="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（1）</w:t>
            </w:r>
            <w:r>
              <w:rPr>
                <w:rFonts w:hint="eastAsia" w:ascii="宋体" w:hAnsi="宋体" w:eastAsia="宋体" w:cs="宋体"/>
                <w:kern w:val="0"/>
                <w:szCs w:val="21"/>
              </w:rPr>
              <w:t>类似项目业绩为排水管网测绘类（含测绘、检测、排查等）或清淤检测类项目业绩</w:t>
            </w:r>
            <w:r>
              <w:rPr>
                <w:rFonts w:hint="eastAsia" w:ascii="宋体" w:hAnsi="宋体" w:eastAsia="宋体" w:cs="宋体"/>
                <w:kern w:val="0"/>
                <w:szCs w:val="21"/>
                <w:lang w:val="en-US" w:eastAsia="zh-CN"/>
              </w:rPr>
              <w:t>；</w:t>
            </w:r>
          </w:p>
          <w:p w14:paraId="08111B2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288" w:lineRule="auto"/>
              <w:ind w:left="105" w:leftChars="50" w:right="0" w:rightChars="0" w:firstLine="0" w:firstLineChars="0"/>
              <w:jc w:val="left"/>
              <w:textAlignment w:val="auto"/>
              <w:rPr>
                <w:rFonts w:hint="eastAsia" w:ascii="宋体" w:hAnsi="宋体" w:eastAsia="宋体" w:cs="宋体"/>
                <w:kern w:val="0"/>
                <w:szCs w:val="21"/>
                <w:lang w:val="en-US"/>
              </w:rPr>
            </w:pPr>
            <w:r>
              <w:rPr>
                <w:rFonts w:hint="eastAsia" w:ascii="宋体" w:hAnsi="宋体" w:eastAsia="宋体" w:cs="宋体"/>
                <w:kern w:val="0"/>
                <w:szCs w:val="21"/>
                <w:lang w:val="en-US" w:eastAsia="zh-CN"/>
              </w:rPr>
              <w:t>（2）中标通知书（非招标/政府采购项目不需提供，但须提供发包人/招标人/采购人出具的加盖单位公章的直接发包证明/单一来源采购说明）、采购合同、履约验收证明扫描件，非招标/政府采购项目还须提供已经支付服务费用的增值税发票及银行汇款记录扫描件，否则业绩不予认可。</w:t>
            </w:r>
          </w:p>
          <w:p w14:paraId="6C710A3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288" w:lineRule="auto"/>
              <w:ind w:left="105" w:leftChars="50" w:right="0" w:rightChars="0" w:firstLine="0" w:firstLineChars="0"/>
              <w:jc w:val="left"/>
              <w:textAlignment w:val="auto"/>
              <w:rPr>
                <w:rFonts w:hint="eastAsia" w:ascii="宋体" w:hAnsi="宋体" w:eastAsia="宋体" w:cs="宋体"/>
                <w:kern w:val="0"/>
                <w:szCs w:val="21"/>
                <w:lang w:val="en-US"/>
              </w:rPr>
            </w:pPr>
            <w:r>
              <w:rPr>
                <w:rFonts w:hint="eastAsia" w:ascii="宋体" w:hAnsi="宋体" w:eastAsia="宋体" w:cs="宋体"/>
                <w:kern w:val="0"/>
                <w:szCs w:val="21"/>
                <w:lang w:val="en-US" w:eastAsia="zh-CN"/>
              </w:rPr>
              <w:t>（3）本招标文件要求的相关指标需在提供的中标通知书或采购合同或履约验收证明中体现，如提供的中标通知书、采购合同、履约验收证明中均未能体现本招标文件要求的相关指标的，须提供业绩项目所在地工程招投标管理部门或建设行业主管部门或政府采购监督管理部门出具的能反映相关指标的证明，或提供各级公共资源交易网、政府采购网查询截图，相关指标能够体现，投标文件中同一指标，不一致的，以最小的为准。</w:t>
            </w:r>
          </w:p>
          <w:p w14:paraId="6C6E8F7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288" w:lineRule="auto"/>
              <w:ind w:left="105" w:leftChars="50" w:right="0" w:rightChars="0" w:firstLine="0" w:firstLineChars="0"/>
              <w:jc w:val="left"/>
              <w:textAlignment w:val="auto"/>
              <w:rPr>
                <w:rFonts w:hint="eastAsia" w:ascii="宋体" w:hAnsi="宋体" w:eastAsia="宋体" w:cs="宋体"/>
                <w:kern w:val="0"/>
                <w:szCs w:val="21"/>
                <w:lang w:val="en-US"/>
              </w:rPr>
            </w:pPr>
            <w:r>
              <w:rPr>
                <w:rFonts w:hint="eastAsia" w:ascii="宋体" w:hAnsi="宋体" w:eastAsia="宋体" w:cs="宋体"/>
                <w:kern w:val="0"/>
                <w:szCs w:val="21"/>
                <w:lang w:val="en-US" w:eastAsia="zh-CN"/>
              </w:rPr>
              <w:t>（4）采购人对投标人提供的中标通知书、合同、履约验收证明等有关业绩证明材料怀疑涉嫌造假的，采购人认为需要调查取证时，如能够调取到当地主管部门存档资料的，一律以调取的存档资料为准。</w:t>
            </w:r>
          </w:p>
          <w:p w14:paraId="6797E59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288" w:lineRule="auto"/>
              <w:ind w:left="105" w:leftChars="50" w:right="0" w:rightChars="0" w:firstLine="0" w:firstLineChars="0"/>
              <w:jc w:val="left"/>
              <w:textAlignment w:val="auto"/>
              <w:rPr>
                <w:rFonts w:hint="eastAsia" w:ascii="宋体" w:hAnsi="宋体" w:eastAsia="宋体" w:cs="宋体"/>
                <w:kern w:val="0"/>
                <w:szCs w:val="21"/>
              </w:rPr>
            </w:pPr>
            <w:r>
              <w:rPr>
                <w:rFonts w:hint="eastAsia" w:ascii="宋体" w:hAnsi="宋体" w:eastAsia="宋体" w:cs="宋体"/>
                <w:kern w:val="0"/>
                <w:szCs w:val="21"/>
                <w:lang w:val="en-US" w:eastAsia="zh-CN"/>
              </w:rPr>
              <w:t>投标人提供的材料</w:t>
            </w:r>
            <w:r>
              <w:rPr>
                <w:rFonts w:hint="eastAsia" w:ascii="宋体" w:hAnsi="宋体" w:eastAsia="宋体" w:cs="宋体"/>
                <w:kern w:val="0"/>
                <w:szCs w:val="21"/>
              </w:rPr>
              <w:t>不符合</w:t>
            </w:r>
            <w:r>
              <w:rPr>
                <w:rFonts w:hint="eastAsia" w:ascii="宋体" w:hAnsi="宋体" w:eastAsia="宋体" w:cs="宋体"/>
                <w:kern w:val="0"/>
                <w:szCs w:val="21"/>
                <w:lang w:val="en-US" w:eastAsia="zh-CN"/>
              </w:rPr>
              <w:t>上述</w:t>
            </w:r>
            <w:r>
              <w:rPr>
                <w:rFonts w:hint="eastAsia" w:ascii="宋体" w:hAnsi="宋体" w:eastAsia="宋体" w:cs="宋体"/>
                <w:kern w:val="0"/>
                <w:szCs w:val="21"/>
              </w:rPr>
              <w:t>要求的，不予计分。</w:t>
            </w:r>
          </w:p>
        </w:tc>
      </w:tr>
      <w:tr w14:paraId="36D48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44" w:type="dxa"/>
            <w:vMerge w:val="restart"/>
            <w:vAlign w:val="center"/>
          </w:tcPr>
          <w:p w14:paraId="2932A571">
            <w:pPr>
              <w:widowControl/>
              <w:snapToGrid w:val="0"/>
              <w:ind w:left="0" w:leftChars="0" w:right="0" w:rightChars="0" w:firstLine="0" w:firstLineChars="0"/>
              <w:jc w:val="center"/>
              <w:rPr>
                <w:rFonts w:hint="eastAsia" w:ascii="宋体" w:hAnsi="宋体" w:eastAsia="宋体" w:cs="宋体"/>
                <w:kern w:val="0"/>
                <w:szCs w:val="21"/>
              </w:rPr>
            </w:pPr>
            <w:r>
              <w:rPr>
                <w:rFonts w:hint="eastAsia" w:ascii="宋体" w:hAnsi="宋体" w:eastAsia="宋体" w:cs="宋体"/>
                <w:kern w:val="0"/>
                <w:szCs w:val="21"/>
              </w:rPr>
              <w:t>3</w:t>
            </w:r>
          </w:p>
        </w:tc>
        <w:tc>
          <w:tcPr>
            <w:tcW w:w="760" w:type="dxa"/>
            <w:vMerge w:val="restart"/>
            <w:tcMar>
              <w:top w:w="0" w:type="dxa"/>
              <w:left w:w="0" w:type="dxa"/>
              <w:bottom w:w="0" w:type="dxa"/>
              <w:right w:w="0" w:type="dxa"/>
            </w:tcMar>
            <w:vAlign w:val="center"/>
          </w:tcPr>
          <w:p w14:paraId="6A9D3454">
            <w:pPr>
              <w:widowControl/>
              <w:pBdr>
                <w:top w:val="none" w:color="000000" w:sz="0" w:space="0"/>
                <w:left w:val="none" w:color="000000" w:sz="0" w:space="0"/>
                <w:bottom w:val="none" w:color="000000" w:sz="0" w:space="0"/>
                <w:right w:val="none" w:color="000000" w:sz="0" w:space="0"/>
              </w:pBdr>
              <w:snapToGrid w:val="0"/>
              <w:ind w:left="0" w:leftChars="0" w:right="0" w:rightChars="0" w:firstLine="0" w:firstLineChars="0"/>
              <w:jc w:val="center"/>
              <w:rPr>
                <w:rFonts w:hint="eastAsia" w:ascii="宋体" w:hAnsi="宋体" w:eastAsia="宋体" w:cs="宋体"/>
                <w:kern w:val="0"/>
                <w:szCs w:val="21"/>
              </w:rPr>
            </w:pPr>
            <w:r>
              <w:rPr>
                <w:rFonts w:hint="eastAsia" w:ascii="宋体" w:hAnsi="宋体" w:eastAsia="宋体" w:cs="宋体"/>
                <w:kern w:val="0"/>
                <w:szCs w:val="21"/>
              </w:rPr>
              <w:t>项目人员配备（25分）</w:t>
            </w:r>
          </w:p>
        </w:tc>
        <w:tc>
          <w:tcPr>
            <w:tcW w:w="777" w:type="dxa"/>
            <w:tcMar>
              <w:top w:w="0" w:type="dxa"/>
              <w:left w:w="0" w:type="dxa"/>
              <w:bottom w:w="0" w:type="dxa"/>
              <w:right w:w="0" w:type="dxa"/>
            </w:tcMar>
            <w:vAlign w:val="center"/>
          </w:tcPr>
          <w:p w14:paraId="7ACDF54D">
            <w:pPr>
              <w:widowControl/>
              <w:pBdr>
                <w:top w:val="none" w:color="000000" w:sz="0" w:space="0"/>
                <w:left w:val="none" w:color="000000" w:sz="0" w:space="0"/>
                <w:bottom w:val="none" w:color="000000" w:sz="0" w:space="0"/>
                <w:right w:val="none" w:color="000000" w:sz="0" w:space="0"/>
              </w:pBdr>
              <w:snapToGrid w:val="0"/>
              <w:ind w:left="0" w:leftChars="0" w:right="0" w:rightChars="0" w:firstLine="0" w:firstLineChars="0"/>
              <w:jc w:val="center"/>
              <w:rPr>
                <w:rFonts w:hint="eastAsia" w:ascii="宋体" w:hAnsi="宋体" w:eastAsia="宋体" w:cs="宋体"/>
                <w:kern w:val="0"/>
                <w:szCs w:val="21"/>
              </w:rPr>
            </w:pPr>
            <w:r>
              <w:rPr>
                <w:rFonts w:hint="eastAsia" w:ascii="宋体" w:hAnsi="宋体" w:eastAsia="宋体" w:cs="宋体"/>
                <w:szCs w:val="21"/>
              </w:rPr>
              <w:t>项目负责人</w:t>
            </w:r>
          </w:p>
        </w:tc>
        <w:tc>
          <w:tcPr>
            <w:tcW w:w="894" w:type="dxa"/>
            <w:tcMar>
              <w:top w:w="0" w:type="dxa"/>
              <w:left w:w="0" w:type="dxa"/>
              <w:bottom w:w="0" w:type="dxa"/>
              <w:right w:w="0" w:type="dxa"/>
            </w:tcMar>
            <w:vAlign w:val="center"/>
          </w:tcPr>
          <w:p w14:paraId="43526A5B">
            <w:pPr>
              <w:widowControl/>
              <w:pBdr>
                <w:top w:val="none" w:color="000000" w:sz="0" w:space="0"/>
                <w:left w:val="none" w:color="000000" w:sz="0" w:space="0"/>
                <w:bottom w:val="none" w:color="000000" w:sz="0" w:space="0"/>
                <w:right w:val="none" w:color="000000" w:sz="0" w:space="0"/>
              </w:pBdr>
              <w:snapToGrid w:val="0"/>
              <w:ind w:left="0" w:leftChars="0" w:right="0" w:rightChars="0" w:firstLine="0" w:firstLineChars="0"/>
              <w:jc w:val="center"/>
              <w:rPr>
                <w:rFonts w:hint="eastAsia" w:ascii="宋体" w:hAnsi="宋体" w:eastAsia="宋体" w:cs="宋体"/>
                <w:kern w:val="0"/>
                <w:szCs w:val="21"/>
              </w:rPr>
            </w:pPr>
            <w:r>
              <w:rPr>
                <w:rFonts w:hint="eastAsia" w:ascii="宋体" w:hAnsi="宋体" w:eastAsia="宋体" w:cs="宋体"/>
                <w:szCs w:val="21"/>
              </w:rPr>
              <w:t>2分</w:t>
            </w:r>
          </w:p>
        </w:tc>
        <w:tc>
          <w:tcPr>
            <w:tcW w:w="5449" w:type="dxa"/>
            <w:tcMar>
              <w:top w:w="0" w:type="dxa"/>
              <w:left w:w="0" w:type="dxa"/>
              <w:bottom w:w="0" w:type="dxa"/>
              <w:right w:w="0" w:type="dxa"/>
            </w:tcMar>
            <w:vAlign w:val="center"/>
          </w:tcPr>
          <w:p w14:paraId="1D79702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288" w:lineRule="auto"/>
              <w:ind w:left="105" w:leftChars="50" w:right="0" w:rightChars="0" w:firstLine="0" w:firstLineChars="0"/>
              <w:jc w:val="left"/>
              <w:textAlignment w:val="auto"/>
              <w:rPr>
                <w:rFonts w:hint="eastAsia" w:ascii="宋体" w:hAnsi="宋体" w:eastAsia="宋体" w:cs="宋体"/>
                <w:kern w:val="0"/>
                <w:szCs w:val="21"/>
              </w:rPr>
            </w:pPr>
            <w:r>
              <w:rPr>
                <w:rFonts w:hint="eastAsia" w:ascii="宋体" w:hAnsi="宋体" w:eastAsia="宋体" w:cs="宋体"/>
                <w:kern w:val="0"/>
                <w:szCs w:val="21"/>
              </w:rPr>
              <w:t>具有注册测绘师资格注册证书或者具有城镇排水管道检测与评估的各类培训（或者作业或者能力验证）证书得0.5分；在此基础上，同时具有建设工程类（或测绘类）高级及以上技术职称的加1.5分，具有建设工程类（或测绘类）中级技术职称的加0.5分，本项最高得分2分。</w:t>
            </w:r>
          </w:p>
          <w:p w14:paraId="487A557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288" w:lineRule="auto"/>
              <w:ind w:left="105" w:leftChars="50" w:right="0" w:rightChars="0" w:firstLine="0" w:firstLineChars="0"/>
              <w:jc w:val="left"/>
              <w:textAlignment w:val="auto"/>
              <w:rPr>
                <w:rFonts w:hint="eastAsia" w:ascii="宋体" w:hAnsi="宋体" w:eastAsia="宋体" w:cs="宋体"/>
                <w:kern w:val="0"/>
                <w:szCs w:val="21"/>
              </w:rPr>
            </w:pPr>
            <w:r>
              <w:rPr>
                <w:rFonts w:hint="eastAsia" w:ascii="宋体" w:hAnsi="宋体" w:eastAsia="宋体" w:cs="宋体"/>
                <w:kern w:val="0"/>
                <w:szCs w:val="21"/>
              </w:rPr>
              <w:t>注：项目负责人执业资格证书未在投标人本单位注册或未提供符合条件的社保缴纳证明（从2026年</w:t>
            </w:r>
            <w:r>
              <w:rPr>
                <w:rFonts w:hint="eastAsia" w:ascii="宋体" w:hAnsi="宋体" w:eastAsia="宋体" w:cs="宋体"/>
                <w:kern w:val="0"/>
                <w:szCs w:val="21"/>
                <w:lang w:val="en-US" w:eastAsia="zh-CN"/>
              </w:rPr>
              <w:t>02</w:t>
            </w:r>
            <w:r>
              <w:rPr>
                <w:rFonts w:hint="eastAsia" w:ascii="宋体" w:hAnsi="宋体" w:eastAsia="宋体" w:cs="宋体"/>
                <w:kern w:val="0"/>
                <w:szCs w:val="21"/>
              </w:rPr>
              <w:t>月开始至投标截止之日当月至少1个月在本单位缴纳养老保险缴费记录证明）的不得分。</w:t>
            </w:r>
          </w:p>
        </w:tc>
      </w:tr>
      <w:tr w14:paraId="54B1C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44" w:type="dxa"/>
            <w:vMerge w:val="continue"/>
            <w:vAlign w:val="center"/>
          </w:tcPr>
          <w:p w14:paraId="1B2D84FF">
            <w:pPr>
              <w:widowControl/>
              <w:snapToGrid w:val="0"/>
              <w:ind w:left="0" w:leftChars="0" w:right="0" w:rightChars="0" w:firstLine="0" w:firstLineChars="0"/>
              <w:jc w:val="center"/>
              <w:rPr>
                <w:rFonts w:hint="eastAsia" w:ascii="宋体" w:hAnsi="宋体" w:eastAsia="宋体" w:cs="宋体"/>
                <w:kern w:val="0"/>
                <w:szCs w:val="21"/>
              </w:rPr>
            </w:pPr>
          </w:p>
        </w:tc>
        <w:tc>
          <w:tcPr>
            <w:tcW w:w="760" w:type="dxa"/>
            <w:vMerge w:val="continue"/>
            <w:tcMar>
              <w:top w:w="0" w:type="dxa"/>
              <w:left w:w="0" w:type="dxa"/>
              <w:bottom w:w="0" w:type="dxa"/>
              <w:right w:w="0" w:type="dxa"/>
            </w:tcMar>
            <w:vAlign w:val="center"/>
          </w:tcPr>
          <w:p w14:paraId="2C627358">
            <w:pPr>
              <w:widowControl/>
              <w:pBdr>
                <w:top w:val="none" w:color="000000" w:sz="0" w:space="0"/>
                <w:left w:val="none" w:color="000000" w:sz="0" w:space="0"/>
                <w:bottom w:val="none" w:color="000000" w:sz="0" w:space="0"/>
                <w:right w:val="none" w:color="000000" w:sz="0" w:space="0"/>
              </w:pBdr>
              <w:snapToGrid w:val="0"/>
              <w:ind w:left="0" w:leftChars="0" w:right="0" w:rightChars="0" w:firstLine="0" w:firstLineChars="0"/>
              <w:jc w:val="center"/>
              <w:rPr>
                <w:rFonts w:hint="eastAsia" w:ascii="宋体" w:hAnsi="宋体" w:eastAsia="宋体" w:cs="宋体"/>
                <w:kern w:val="0"/>
                <w:szCs w:val="21"/>
              </w:rPr>
            </w:pPr>
          </w:p>
        </w:tc>
        <w:tc>
          <w:tcPr>
            <w:tcW w:w="777" w:type="dxa"/>
            <w:tcMar>
              <w:top w:w="0" w:type="dxa"/>
              <w:left w:w="0" w:type="dxa"/>
              <w:bottom w:w="0" w:type="dxa"/>
              <w:right w:w="0" w:type="dxa"/>
            </w:tcMar>
            <w:vAlign w:val="center"/>
          </w:tcPr>
          <w:p w14:paraId="2E5517B0">
            <w:pPr>
              <w:widowControl/>
              <w:pBdr>
                <w:top w:val="none" w:color="000000" w:sz="0" w:space="0"/>
                <w:left w:val="none" w:color="000000" w:sz="0" w:space="0"/>
                <w:bottom w:val="none" w:color="000000" w:sz="0" w:space="0"/>
                <w:right w:val="none" w:color="000000" w:sz="0" w:space="0"/>
              </w:pBdr>
              <w:snapToGrid w:val="0"/>
              <w:ind w:left="0" w:leftChars="0" w:right="0" w:rightChars="0" w:firstLine="0" w:firstLineChars="0"/>
              <w:jc w:val="center"/>
              <w:rPr>
                <w:rFonts w:hint="eastAsia" w:ascii="宋体" w:hAnsi="宋体" w:eastAsia="宋体" w:cs="宋体"/>
                <w:kern w:val="0"/>
                <w:szCs w:val="21"/>
              </w:rPr>
            </w:pPr>
            <w:r>
              <w:rPr>
                <w:rFonts w:hint="eastAsia" w:ascii="宋体" w:hAnsi="宋体" w:eastAsia="宋体" w:cs="宋体"/>
                <w:kern w:val="0"/>
                <w:szCs w:val="21"/>
              </w:rPr>
              <w:t>技术负责人</w:t>
            </w:r>
          </w:p>
        </w:tc>
        <w:tc>
          <w:tcPr>
            <w:tcW w:w="894" w:type="dxa"/>
            <w:tcMar>
              <w:top w:w="0" w:type="dxa"/>
              <w:left w:w="0" w:type="dxa"/>
              <w:bottom w:w="0" w:type="dxa"/>
              <w:right w:w="0" w:type="dxa"/>
            </w:tcMar>
            <w:vAlign w:val="center"/>
          </w:tcPr>
          <w:p w14:paraId="68F3D167">
            <w:pPr>
              <w:widowControl/>
              <w:pBdr>
                <w:top w:val="none" w:color="000000" w:sz="0" w:space="0"/>
                <w:left w:val="none" w:color="000000" w:sz="0" w:space="0"/>
                <w:bottom w:val="none" w:color="000000" w:sz="0" w:space="0"/>
                <w:right w:val="none" w:color="000000" w:sz="0" w:space="0"/>
              </w:pBdr>
              <w:snapToGrid w:val="0"/>
              <w:ind w:left="0" w:leftChars="0" w:right="0" w:rightChars="0" w:firstLine="0" w:firstLineChars="0"/>
              <w:jc w:val="center"/>
              <w:rPr>
                <w:rFonts w:hint="eastAsia" w:ascii="宋体" w:hAnsi="宋体" w:eastAsia="宋体" w:cs="宋体"/>
                <w:kern w:val="0"/>
                <w:szCs w:val="21"/>
              </w:rPr>
            </w:pPr>
            <w:r>
              <w:rPr>
                <w:rFonts w:hint="eastAsia" w:ascii="宋体" w:hAnsi="宋体" w:eastAsia="宋体" w:cs="宋体"/>
                <w:szCs w:val="21"/>
              </w:rPr>
              <w:t>3分</w:t>
            </w:r>
          </w:p>
        </w:tc>
        <w:tc>
          <w:tcPr>
            <w:tcW w:w="5449" w:type="dxa"/>
            <w:tcMar>
              <w:top w:w="0" w:type="dxa"/>
              <w:left w:w="0" w:type="dxa"/>
              <w:bottom w:w="0" w:type="dxa"/>
              <w:right w:w="0" w:type="dxa"/>
            </w:tcMar>
            <w:vAlign w:val="center"/>
          </w:tcPr>
          <w:p w14:paraId="62476FB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288" w:lineRule="auto"/>
              <w:ind w:left="105" w:leftChars="50" w:right="0" w:rightChars="0" w:firstLine="0" w:firstLineChars="0"/>
              <w:jc w:val="left"/>
              <w:textAlignment w:val="auto"/>
              <w:rPr>
                <w:rFonts w:hint="eastAsia" w:ascii="宋体" w:hAnsi="宋体" w:eastAsia="宋体" w:cs="宋体"/>
                <w:kern w:val="0"/>
                <w:szCs w:val="21"/>
              </w:rPr>
            </w:pPr>
            <w:r>
              <w:rPr>
                <w:rFonts w:hint="eastAsia" w:ascii="宋体" w:hAnsi="宋体" w:eastAsia="宋体" w:cs="宋体"/>
                <w:kern w:val="0"/>
                <w:szCs w:val="21"/>
              </w:rPr>
              <w:t>具有注册测绘师资格注册证书或者具有城镇排水管道检测与评估的各类培训（或者作业或者能力验证）证书得0.5分，在此基础上同时具有建设工程类（或测绘类）正高级技术职称的得2.5分，具有建设工程类（或测绘类）高级及以上技术职称的得1.5分、具有建设工程类（或测绘类）中级技术职称的得0.5分，本项最高得分3分。</w:t>
            </w:r>
          </w:p>
          <w:p w14:paraId="4ACA232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288" w:lineRule="auto"/>
              <w:ind w:left="105" w:leftChars="50" w:right="0" w:rightChars="0" w:firstLine="0" w:firstLineChars="0"/>
              <w:jc w:val="left"/>
              <w:textAlignment w:val="auto"/>
              <w:rPr>
                <w:rFonts w:hint="eastAsia" w:ascii="宋体" w:hAnsi="宋体" w:eastAsia="宋体" w:cs="宋体"/>
                <w:kern w:val="0"/>
                <w:szCs w:val="21"/>
              </w:rPr>
            </w:pPr>
            <w:r>
              <w:rPr>
                <w:rFonts w:hint="eastAsia" w:ascii="宋体" w:hAnsi="宋体" w:eastAsia="宋体" w:cs="宋体"/>
                <w:kern w:val="0"/>
                <w:szCs w:val="21"/>
              </w:rPr>
              <w:t>注：技术负责人执业资格证书未在投标人本单位注册或未提供符合条件的社保缴纳证明（从2026年</w:t>
            </w:r>
            <w:r>
              <w:rPr>
                <w:rFonts w:hint="eastAsia" w:ascii="宋体" w:hAnsi="宋体" w:eastAsia="宋体" w:cs="宋体"/>
                <w:kern w:val="0"/>
                <w:szCs w:val="21"/>
                <w:lang w:val="en-US" w:eastAsia="zh-CN"/>
              </w:rPr>
              <w:t>02</w:t>
            </w:r>
            <w:r>
              <w:rPr>
                <w:rFonts w:hint="eastAsia" w:ascii="宋体" w:hAnsi="宋体" w:eastAsia="宋体" w:cs="宋体"/>
                <w:kern w:val="0"/>
                <w:szCs w:val="21"/>
              </w:rPr>
              <w:t>月开始至投标截止之日当月至少1个月在本单位缴纳养老保险缴费记录证明）的不得分。</w:t>
            </w:r>
          </w:p>
        </w:tc>
      </w:tr>
      <w:tr w14:paraId="6C8AD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44" w:type="dxa"/>
            <w:vMerge w:val="continue"/>
            <w:vAlign w:val="center"/>
          </w:tcPr>
          <w:p w14:paraId="1EDBA77E">
            <w:pPr>
              <w:widowControl/>
              <w:snapToGrid w:val="0"/>
              <w:ind w:left="0" w:leftChars="0" w:right="0" w:rightChars="0" w:firstLine="0" w:firstLineChars="0"/>
              <w:jc w:val="center"/>
              <w:rPr>
                <w:rFonts w:hint="eastAsia" w:ascii="宋体" w:hAnsi="宋体" w:eastAsia="宋体" w:cs="宋体"/>
                <w:kern w:val="0"/>
                <w:szCs w:val="21"/>
              </w:rPr>
            </w:pPr>
          </w:p>
        </w:tc>
        <w:tc>
          <w:tcPr>
            <w:tcW w:w="760" w:type="dxa"/>
            <w:vMerge w:val="continue"/>
            <w:tcMar>
              <w:top w:w="0" w:type="dxa"/>
              <w:left w:w="0" w:type="dxa"/>
              <w:bottom w:w="0" w:type="dxa"/>
              <w:right w:w="0" w:type="dxa"/>
            </w:tcMar>
            <w:vAlign w:val="center"/>
          </w:tcPr>
          <w:p w14:paraId="42D29EE5">
            <w:pPr>
              <w:widowControl/>
              <w:pBdr>
                <w:top w:val="none" w:color="000000" w:sz="0" w:space="0"/>
                <w:left w:val="none" w:color="000000" w:sz="0" w:space="0"/>
                <w:bottom w:val="none" w:color="000000" w:sz="0" w:space="0"/>
                <w:right w:val="none" w:color="000000" w:sz="0" w:space="0"/>
              </w:pBdr>
              <w:snapToGrid w:val="0"/>
              <w:ind w:left="0" w:leftChars="0" w:right="0" w:rightChars="0" w:firstLine="0" w:firstLineChars="0"/>
              <w:jc w:val="center"/>
              <w:rPr>
                <w:rFonts w:hint="eastAsia" w:ascii="宋体" w:hAnsi="宋体" w:eastAsia="宋体" w:cs="宋体"/>
                <w:kern w:val="0"/>
                <w:szCs w:val="21"/>
              </w:rPr>
            </w:pPr>
          </w:p>
        </w:tc>
        <w:tc>
          <w:tcPr>
            <w:tcW w:w="777" w:type="dxa"/>
            <w:tcMar>
              <w:top w:w="0" w:type="dxa"/>
              <w:left w:w="0" w:type="dxa"/>
              <w:bottom w:w="0" w:type="dxa"/>
              <w:right w:w="0" w:type="dxa"/>
            </w:tcMar>
            <w:vAlign w:val="center"/>
          </w:tcPr>
          <w:p w14:paraId="55455DF8">
            <w:pPr>
              <w:widowControl/>
              <w:pBdr>
                <w:top w:val="none" w:color="000000" w:sz="0" w:space="0"/>
                <w:left w:val="none" w:color="000000" w:sz="0" w:space="0"/>
                <w:bottom w:val="none" w:color="000000" w:sz="0" w:space="0"/>
                <w:right w:val="none" w:color="000000" w:sz="0" w:space="0"/>
              </w:pBdr>
              <w:snapToGrid w:val="0"/>
              <w:ind w:left="0" w:leftChars="0" w:right="0" w:rightChars="0" w:firstLine="0" w:firstLineChars="0"/>
              <w:jc w:val="center"/>
              <w:rPr>
                <w:rFonts w:hint="eastAsia" w:ascii="宋体" w:hAnsi="宋体" w:eastAsia="宋体" w:cs="宋体"/>
                <w:szCs w:val="21"/>
              </w:rPr>
            </w:pPr>
            <w:r>
              <w:rPr>
                <w:rFonts w:hint="eastAsia" w:ascii="宋体" w:hAnsi="宋体" w:eastAsia="宋体" w:cs="宋体"/>
                <w:szCs w:val="21"/>
              </w:rPr>
              <w:t>测绘类现场负责人</w:t>
            </w:r>
          </w:p>
        </w:tc>
        <w:tc>
          <w:tcPr>
            <w:tcW w:w="894" w:type="dxa"/>
            <w:tcMar>
              <w:top w:w="0" w:type="dxa"/>
              <w:left w:w="0" w:type="dxa"/>
              <w:bottom w:w="0" w:type="dxa"/>
              <w:right w:w="0" w:type="dxa"/>
            </w:tcMar>
            <w:vAlign w:val="center"/>
          </w:tcPr>
          <w:p w14:paraId="3480C29D">
            <w:pPr>
              <w:widowControl/>
              <w:pBdr>
                <w:top w:val="none" w:color="000000" w:sz="0" w:space="0"/>
                <w:left w:val="none" w:color="000000" w:sz="0" w:space="0"/>
                <w:bottom w:val="none" w:color="000000" w:sz="0" w:space="0"/>
                <w:right w:val="none" w:color="000000" w:sz="0" w:space="0"/>
              </w:pBdr>
              <w:snapToGrid w:val="0"/>
              <w:ind w:left="0" w:leftChars="0" w:right="0" w:rightChars="0" w:firstLine="0" w:firstLineChars="0"/>
              <w:jc w:val="center"/>
              <w:rPr>
                <w:rFonts w:hint="eastAsia" w:ascii="宋体" w:hAnsi="宋体" w:eastAsia="宋体" w:cs="宋体"/>
                <w:kern w:val="0"/>
                <w:szCs w:val="21"/>
              </w:rPr>
            </w:pPr>
            <w:r>
              <w:rPr>
                <w:rFonts w:hint="eastAsia" w:ascii="宋体" w:hAnsi="宋体" w:eastAsia="宋体" w:cs="宋体"/>
                <w:szCs w:val="21"/>
              </w:rPr>
              <w:t>6分</w:t>
            </w:r>
          </w:p>
        </w:tc>
        <w:tc>
          <w:tcPr>
            <w:tcW w:w="5449" w:type="dxa"/>
            <w:tcMar>
              <w:top w:w="0" w:type="dxa"/>
              <w:left w:w="0" w:type="dxa"/>
              <w:bottom w:w="0" w:type="dxa"/>
              <w:right w:w="0" w:type="dxa"/>
            </w:tcMar>
            <w:vAlign w:val="center"/>
          </w:tcPr>
          <w:p w14:paraId="0967457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288" w:lineRule="auto"/>
              <w:ind w:left="105" w:leftChars="50" w:right="0" w:rightChars="0" w:firstLine="0" w:firstLineChars="0"/>
              <w:jc w:val="left"/>
              <w:textAlignment w:val="auto"/>
              <w:rPr>
                <w:rFonts w:hint="eastAsia" w:ascii="宋体" w:hAnsi="宋体" w:eastAsia="宋体" w:cs="宋体"/>
                <w:kern w:val="0"/>
                <w:szCs w:val="21"/>
              </w:rPr>
            </w:pPr>
            <w:r>
              <w:rPr>
                <w:rFonts w:hint="eastAsia" w:ascii="宋体" w:hAnsi="宋体" w:eastAsia="宋体" w:cs="宋体"/>
                <w:kern w:val="0"/>
                <w:szCs w:val="21"/>
              </w:rPr>
              <w:t>具有注册测绘师资格注册证书得0.5分/人，在此基础上同时测绘类高级及以上技术职称的得1.5分/人、具有测绘类中级技术职称的得0.5分/人，本项最高得分6分。</w:t>
            </w:r>
          </w:p>
          <w:p w14:paraId="09D9E34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288" w:lineRule="auto"/>
              <w:ind w:left="105" w:leftChars="50" w:right="0" w:rightChars="0" w:firstLine="0" w:firstLineChars="0"/>
              <w:jc w:val="left"/>
              <w:textAlignment w:val="auto"/>
              <w:rPr>
                <w:rFonts w:hint="eastAsia" w:ascii="宋体" w:hAnsi="宋体" w:eastAsia="宋体" w:cs="宋体"/>
                <w:kern w:val="0"/>
                <w:szCs w:val="21"/>
              </w:rPr>
            </w:pPr>
            <w:r>
              <w:rPr>
                <w:rFonts w:hint="eastAsia" w:ascii="宋体" w:hAnsi="宋体" w:eastAsia="宋体" w:cs="宋体"/>
                <w:kern w:val="0"/>
                <w:szCs w:val="21"/>
              </w:rPr>
              <w:t>注：技术负责人执业资格证书未在投标人本单位注册或未提供符合条件的社保缴纳证明（从2026年</w:t>
            </w:r>
            <w:r>
              <w:rPr>
                <w:rFonts w:hint="eastAsia" w:ascii="宋体" w:hAnsi="宋体" w:eastAsia="宋体" w:cs="宋体"/>
                <w:kern w:val="0"/>
                <w:szCs w:val="21"/>
                <w:lang w:val="en-US" w:eastAsia="zh-CN"/>
              </w:rPr>
              <w:t>02</w:t>
            </w:r>
            <w:r>
              <w:rPr>
                <w:rFonts w:hint="eastAsia" w:ascii="宋体" w:hAnsi="宋体" w:eastAsia="宋体" w:cs="宋体"/>
                <w:kern w:val="0"/>
                <w:szCs w:val="21"/>
              </w:rPr>
              <w:t>月开始至投标截止之日当月至少1个月在本单位缴纳养老保险缴费记录证明）的不得分。</w:t>
            </w:r>
          </w:p>
        </w:tc>
      </w:tr>
      <w:tr w14:paraId="534AB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44" w:type="dxa"/>
            <w:vMerge w:val="continue"/>
            <w:vAlign w:val="center"/>
          </w:tcPr>
          <w:p w14:paraId="78804E85">
            <w:pPr>
              <w:widowControl/>
              <w:snapToGrid w:val="0"/>
              <w:ind w:left="0" w:leftChars="0" w:right="0" w:rightChars="0" w:firstLine="0" w:firstLineChars="0"/>
              <w:jc w:val="center"/>
              <w:rPr>
                <w:rFonts w:hint="eastAsia" w:ascii="宋体" w:hAnsi="宋体" w:eastAsia="宋体" w:cs="宋体"/>
                <w:kern w:val="0"/>
                <w:szCs w:val="21"/>
              </w:rPr>
            </w:pPr>
          </w:p>
        </w:tc>
        <w:tc>
          <w:tcPr>
            <w:tcW w:w="760" w:type="dxa"/>
            <w:vMerge w:val="continue"/>
            <w:tcMar>
              <w:top w:w="0" w:type="dxa"/>
              <w:left w:w="0" w:type="dxa"/>
              <w:bottom w:w="0" w:type="dxa"/>
              <w:right w:w="0" w:type="dxa"/>
            </w:tcMar>
            <w:vAlign w:val="center"/>
          </w:tcPr>
          <w:p w14:paraId="330FAF21">
            <w:pPr>
              <w:widowControl/>
              <w:pBdr>
                <w:top w:val="none" w:color="000000" w:sz="0" w:space="0"/>
                <w:left w:val="none" w:color="000000" w:sz="0" w:space="0"/>
                <w:bottom w:val="none" w:color="000000" w:sz="0" w:space="0"/>
                <w:right w:val="none" w:color="000000" w:sz="0" w:space="0"/>
              </w:pBdr>
              <w:snapToGrid w:val="0"/>
              <w:ind w:left="0" w:leftChars="0" w:right="0" w:rightChars="0" w:firstLine="0" w:firstLineChars="0"/>
              <w:jc w:val="center"/>
              <w:rPr>
                <w:rFonts w:hint="eastAsia" w:ascii="宋体" w:hAnsi="宋体" w:eastAsia="宋体" w:cs="宋体"/>
                <w:kern w:val="0"/>
                <w:szCs w:val="21"/>
              </w:rPr>
            </w:pPr>
          </w:p>
        </w:tc>
        <w:tc>
          <w:tcPr>
            <w:tcW w:w="777" w:type="dxa"/>
            <w:tcMar>
              <w:top w:w="0" w:type="dxa"/>
              <w:left w:w="0" w:type="dxa"/>
              <w:bottom w:w="0" w:type="dxa"/>
              <w:right w:w="0" w:type="dxa"/>
            </w:tcMar>
            <w:vAlign w:val="center"/>
          </w:tcPr>
          <w:p w14:paraId="28B5BC38">
            <w:pPr>
              <w:widowControl/>
              <w:pBdr>
                <w:top w:val="none" w:color="000000" w:sz="0" w:space="0"/>
                <w:left w:val="none" w:color="000000" w:sz="0" w:space="0"/>
                <w:bottom w:val="none" w:color="000000" w:sz="0" w:space="0"/>
                <w:right w:val="none" w:color="000000" w:sz="0" w:space="0"/>
              </w:pBdr>
              <w:snapToGrid w:val="0"/>
              <w:ind w:left="0" w:leftChars="0" w:right="0" w:rightChars="0" w:firstLine="0" w:firstLineChars="0"/>
              <w:jc w:val="center"/>
              <w:rPr>
                <w:rFonts w:hint="eastAsia" w:ascii="宋体" w:hAnsi="宋体" w:eastAsia="宋体" w:cs="宋体"/>
                <w:szCs w:val="21"/>
              </w:rPr>
            </w:pPr>
            <w:r>
              <w:rPr>
                <w:rFonts w:hint="eastAsia" w:ascii="宋体" w:hAnsi="宋体" w:eastAsia="宋体" w:cs="宋体"/>
                <w:szCs w:val="21"/>
              </w:rPr>
              <w:t>管道检测与分析评估现场负责人</w:t>
            </w:r>
          </w:p>
        </w:tc>
        <w:tc>
          <w:tcPr>
            <w:tcW w:w="894" w:type="dxa"/>
            <w:tcMar>
              <w:top w:w="0" w:type="dxa"/>
              <w:left w:w="0" w:type="dxa"/>
              <w:bottom w:w="0" w:type="dxa"/>
              <w:right w:w="0" w:type="dxa"/>
            </w:tcMar>
            <w:vAlign w:val="center"/>
          </w:tcPr>
          <w:p w14:paraId="788EDF9B">
            <w:pPr>
              <w:widowControl/>
              <w:pBdr>
                <w:top w:val="none" w:color="000000" w:sz="0" w:space="0"/>
                <w:left w:val="none" w:color="000000" w:sz="0" w:space="0"/>
                <w:bottom w:val="none" w:color="000000" w:sz="0" w:space="0"/>
                <w:right w:val="none" w:color="000000" w:sz="0" w:space="0"/>
              </w:pBdr>
              <w:snapToGrid w:val="0"/>
              <w:ind w:left="0" w:leftChars="0" w:right="0" w:rightChars="0" w:firstLine="0" w:firstLineChars="0"/>
              <w:jc w:val="center"/>
              <w:rPr>
                <w:rFonts w:hint="eastAsia" w:ascii="宋体" w:hAnsi="宋体" w:eastAsia="宋体" w:cs="宋体"/>
                <w:kern w:val="0"/>
                <w:szCs w:val="21"/>
              </w:rPr>
            </w:pPr>
            <w:r>
              <w:rPr>
                <w:rFonts w:hint="eastAsia" w:ascii="宋体" w:hAnsi="宋体" w:eastAsia="宋体" w:cs="宋体"/>
                <w:szCs w:val="21"/>
              </w:rPr>
              <w:t>6分</w:t>
            </w:r>
          </w:p>
        </w:tc>
        <w:tc>
          <w:tcPr>
            <w:tcW w:w="5449" w:type="dxa"/>
            <w:tcMar>
              <w:top w:w="0" w:type="dxa"/>
              <w:left w:w="0" w:type="dxa"/>
              <w:bottom w:w="0" w:type="dxa"/>
              <w:right w:w="0" w:type="dxa"/>
            </w:tcMar>
            <w:vAlign w:val="center"/>
          </w:tcPr>
          <w:p w14:paraId="57D960D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288" w:lineRule="auto"/>
              <w:ind w:left="105" w:leftChars="50" w:right="0" w:rightChars="0" w:firstLine="0" w:firstLineChars="0"/>
              <w:jc w:val="left"/>
              <w:textAlignment w:val="auto"/>
              <w:rPr>
                <w:rFonts w:hint="eastAsia" w:ascii="宋体" w:hAnsi="宋体" w:eastAsia="宋体" w:cs="宋体"/>
                <w:kern w:val="0"/>
                <w:szCs w:val="21"/>
              </w:rPr>
            </w:pPr>
            <w:r>
              <w:rPr>
                <w:rFonts w:hint="eastAsia" w:ascii="宋体" w:hAnsi="宋体" w:eastAsia="宋体" w:cs="宋体"/>
                <w:kern w:val="0"/>
                <w:szCs w:val="21"/>
              </w:rPr>
              <w:t>具有城镇排水管道检测与评估的各类培训（或者作业或者能力验证）证书得0.5分/人，在此基础上同时具有建设工程类（或测绘类）高级及以上技术职称的得1.5分/人、具有建设工程类（或测绘类）中级技术职称的得0.5分/人，本项最高得分6分。</w:t>
            </w:r>
          </w:p>
        </w:tc>
      </w:tr>
      <w:tr w14:paraId="24059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44" w:type="dxa"/>
            <w:vMerge w:val="continue"/>
            <w:vAlign w:val="center"/>
          </w:tcPr>
          <w:p w14:paraId="5EC51F46">
            <w:pPr>
              <w:widowControl/>
              <w:snapToGrid w:val="0"/>
              <w:ind w:left="0" w:leftChars="0" w:right="0" w:rightChars="0" w:firstLine="0" w:firstLineChars="0"/>
              <w:jc w:val="center"/>
              <w:rPr>
                <w:rFonts w:hint="eastAsia" w:ascii="宋体" w:hAnsi="宋体" w:eastAsia="宋体" w:cs="宋体"/>
                <w:kern w:val="0"/>
                <w:szCs w:val="21"/>
              </w:rPr>
            </w:pPr>
          </w:p>
        </w:tc>
        <w:tc>
          <w:tcPr>
            <w:tcW w:w="760" w:type="dxa"/>
            <w:vMerge w:val="continue"/>
            <w:tcMar>
              <w:top w:w="0" w:type="dxa"/>
              <w:left w:w="0" w:type="dxa"/>
              <w:bottom w:w="0" w:type="dxa"/>
              <w:right w:w="0" w:type="dxa"/>
            </w:tcMar>
            <w:vAlign w:val="center"/>
          </w:tcPr>
          <w:p w14:paraId="2744F576">
            <w:pPr>
              <w:widowControl/>
              <w:pBdr>
                <w:top w:val="none" w:color="000000" w:sz="0" w:space="0"/>
                <w:left w:val="none" w:color="000000" w:sz="0" w:space="0"/>
                <w:bottom w:val="none" w:color="000000" w:sz="0" w:space="0"/>
                <w:right w:val="none" w:color="000000" w:sz="0" w:space="0"/>
              </w:pBdr>
              <w:snapToGrid w:val="0"/>
              <w:ind w:left="0" w:leftChars="0" w:right="0" w:rightChars="0" w:firstLine="0" w:firstLineChars="0"/>
              <w:jc w:val="center"/>
              <w:rPr>
                <w:rFonts w:hint="eastAsia" w:ascii="宋体" w:hAnsi="宋体" w:eastAsia="宋体" w:cs="宋体"/>
                <w:kern w:val="0"/>
                <w:szCs w:val="21"/>
              </w:rPr>
            </w:pPr>
          </w:p>
        </w:tc>
        <w:tc>
          <w:tcPr>
            <w:tcW w:w="777" w:type="dxa"/>
            <w:tcMar>
              <w:top w:w="0" w:type="dxa"/>
              <w:left w:w="0" w:type="dxa"/>
              <w:bottom w:w="0" w:type="dxa"/>
              <w:right w:w="0" w:type="dxa"/>
            </w:tcMar>
            <w:vAlign w:val="center"/>
          </w:tcPr>
          <w:p w14:paraId="6D53B3E4">
            <w:pPr>
              <w:widowControl/>
              <w:pBdr>
                <w:top w:val="none" w:color="000000" w:sz="0" w:space="0"/>
                <w:left w:val="none" w:color="000000" w:sz="0" w:space="0"/>
                <w:bottom w:val="none" w:color="000000" w:sz="0" w:space="0"/>
                <w:right w:val="none" w:color="000000" w:sz="0" w:space="0"/>
              </w:pBdr>
              <w:snapToGrid w:val="0"/>
              <w:ind w:left="0" w:leftChars="0" w:right="0" w:rightChars="0" w:firstLine="0" w:firstLineChars="0"/>
              <w:jc w:val="center"/>
              <w:rPr>
                <w:rFonts w:hint="eastAsia" w:ascii="宋体" w:hAnsi="宋体" w:eastAsia="宋体" w:cs="宋体"/>
                <w:szCs w:val="21"/>
              </w:rPr>
            </w:pPr>
            <w:r>
              <w:rPr>
                <w:rFonts w:hint="eastAsia" w:ascii="宋体" w:hAnsi="宋体" w:eastAsia="宋体" w:cs="宋体"/>
                <w:szCs w:val="21"/>
              </w:rPr>
              <w:t>有限空间现场作业人员</w:t>
            </w:r>
          </w:p>
        </w:tc>
        <w:tc>
          <w:tcPr>
            <w:tcW w:w="894" w:type="dxa"/>
            <w:tcMar>
              <w:top w:w="0" w:type="dxa"/>
              <w:left w:w="0" w:type="dxa"/>
              <w:bottom w:w="0" w:type="dxa"/>
              <w:right w:w="0" w:type="dxa"/>
            </w:tcMar>
            <w:vAlign w:val="center"/>
          </w:tcPr>
          <w:p w14:paraId="2E6DA93E">
            <w:pPr>
              <w:widowControl/>
              <w:pBdr>
                <w:top w:val="none" w:color="000000" w:sz="0" w:space="0"/>
                <w:left w:val="none" w:color="000000" w:sz="0" w:space="0"/>
                <w:bottom w:val="none" w:color="000000" w:sz="0" w:space="0"/>
                <w:right w:val="none" w:color="000000" w:sz="0" w:space="0"/>
              </w:pBdr>
              <w:snapToGrid w:val="0"/>
              <w:ind w:left="0" w:leftChars="0" w:right="0" w:rightChars="0" w:firstLine="0" w:firstLineChars="0"/>
              <w:jc w:val="center"/>
              <w:rPr>
                <w:rFonts w:hint="eastAsia" w:ascii="宋体" w:hAnsi="宋体" w:eastAsia="宋体" w:cs="宋体"/>
                <w:kern w:val="0"/>
                <w:szCs w:val="21"/>
              </w:rPr>
            </w:pPr>
            <w:r>
              <w:rPr>
                <w:rFonts w:hint="eastAsia" w:ascii="宋体" w:hAnsi="宋体" w:eastAsia="宋体" w:cs="宋体"/>
                <w:szCs w:val="21"/>
              </w:rPr>
              <w:t>3分</w:t>
            </w:r>
          </w:p>
        </w:tc>
        <w:tc>
          <w:tcPr>
            <w:tcW w:w="5449" w:type="dxa"/>
            <w:tcMar>
              <w:top w:w="0" w:type="dxa"/>
              <w:left w:w="0" w:type="dxa"/>
              <w:bottom w:w="0" w:type="dxa"/>
              <w:right w:w="0" w:type="dxa"/>
            </w:tcMar>
            <w:vAlign w:val="center"/>
          </w:tcPr>
          <w:p w14:paraId="0269C4D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288" w:lineRule="auto"/>
              <w:ind w:left="105" w:leftChars="50" w:right="0" w:rightChars="0" w:firstLine="0" w:firstLineChars="0"/>
              <w:jc w:val="left"/>
              <w:textAlignment w:val="auto"/>
              <w:rPr>
                <w:rFonts w:hint="eastAsia" w:ascii="宋体" w:hAnsi="宋体" w:eastAsia="宋体" w:cs="宋体"/>
                <w:kern w:val="0"/>
                <w:szCs w:val="21"/>
              </w:rPr>
            </w:pPr>
            <w:r>
              <w:rPr>
                <w:rFonts w:hint="eastAsia" w:ascii="宋体" w:hAnsi="宋体" w:eastAsia="宋体" w:cs="宋体"/>
                <w:kern w:val="0"/>
                <w:szCs w:val="21"/>
              </w:rPr>
              <w:t>具有有限空间（或者井下作业）各类培训（或者作业或者能力验证）证书，在此基础上同时具有建设工程类（或测绘类）高级及以上技术职称的得1.0分/人、具有建设工程类（或测绘类）中级技术职称的得0.5分/人，本项最高得分3分。</w:t>
            </w:r>
          </w:p>
        </w:tc>
      </w:tr>
      <w:tr w14:paraId="172E3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44" w:type="dxa"/>
            <w:vMerge w:val="continue"/>
            <w:vAlign w:val="center"/>
          </w:tcPr>
          <w:p w14:paraId="4CAE6A64">
            <w:pPr>
              <w:widowControl/>
              <w:snapToGrid w:val="0"/>
              <w:ind w:left="0" w:leftChars="0" w:right="0" w:rightChars="0" w:firstLine="0" w:firstLineChars="0"/>
              <w:jc w:val="center"/>
              <w:rPr>
                <w:rFonts w:hint="eastAsia" w:ascii="宋体" w:hAnsi="宋体" w:eastAsia="宋体" w:cs="宋体"/>
                <w:kern w:val="0"/>
                <w:szCs w:val="21"/>
              </w:rPr>
            </w:pPr>
          </w:p>
        </w:tc>
        <w:tc>
          <w:tcPr>
            <w:tcW w:w="760" w:type="dxa"/>
            <w:vMerge w:val="continue"/>
            <w:tcMar>
              <w:top w:w="0" w:type="dxa"/>
              <w:left w:w="0" w:type="dxa"/>
              <w:bottom w:w="0" w:type="dxa"/>
              <w:right w:w="0" w:type="dxa"/>
            </w:tcMar>
            <w:vAlign w:val="center"/>
          </w:tcPr>
          <w:p w14:paraId="6190D688">
            <w:pPr>
              <w:widowControl/>
              <w:pBdr>
                <w:top w:val="none" w:color="000000" w:sz="0" w:space="0"/>
                <w:left w:val="none" w:color="000000" w:sz="0" w:space="0"/>
                <w:bottom w:val="none" w:color="000000" w:sz="0" w:space="0"/>
                <w:right w:val="none" w:color="000000" w:sz="0" w:space="0"/>
              </w:pBdr>
              <w:snapToGrid w:val="0"/>
              <w:ind w:left="0" w:leftChars="0" w:right="0" w:rightChars="0" w:firstLine="0" w:firstLineChars="0"/>
              <w:jc w:val="center"/>
              <w:rPr>
                <w:rFonts w:hint="eastAsia" w:ascii="宋体" w:hAnsi="宋体" w:eastAsia="宋体" w:cs="宋体"/>
                <w:kern w:val="0"/>
                <w:szCs w:val="21"/>
              </w:rPr>
            </w:pPr>
          </w:p>
        </w:tc>
        <w:tc>
          <w:tcPr>
            <w:tcW w:w="777" w:type="dxa"/>
            <w:tcMar>
              <w:top w:w="0" w:type="dxa"/>
              <w:left w:w="0" w:type="dxa"/>
              <w:bottom w:w="0" w:type="dxa"/>
              <w:right w:w="0" w:type="dxa"/>
            </w:tcMar>
            <w:vAlign w:val="center"/>
          </w:tcPr>
          <w:p w14:paraId="3B37CD92">
            <w:pPr>
              <w:widowControl/>
              <w:pBdr>
                <w:top w:val="none" w:color="000000" w:sz="0" w:space="0"/>
                <w:left w:val="none" w:color="000000" w:sz="0" w:space="0"/>
                <w:bottom w:val="none" w:color="000000" w:sz="0" w:space="0"/>
                <w:right w:val="none" w:color="000000" w:sz="0" w:space="0"/>
              </w:pBdr>
              <w:snapToGrid w:val="0"/>
              <w:ind w:left="0" w:leftChars="0" w:right="0" w:rightChars="0" w:firstLine="0" w:firstLineChars="0"/>
              <w:jc w:val="center"/>
              <w:rPr>
                <w:rFonts w:hint="eastAsia" w:ascii="宋体" w:hAnsi="宋体" w:eastAsia="宋体" w:cs="宋体"/>
                <w:szCs w:val="21"/>
              </w:rPr>
            </w:pPr>
            <w:r>
              <w:rPr>
                <w:rFonts w:hint="eastAsia" w:ascii="宋体" w:hAnsi="宋体" w:eastAsia="宋体" w:cs="宋体"/>
                <w:szCs w:val="21"/>
              </w:rPr>
              <w:t>现场专职安全员</w:t>
            </w:r>
          </w:p>
        </w:tc>
        <w:tc>
          <w:tcPr>
            <w:tcW w:w="894" w:type="dxa"/>
            <w:tcMar>
              <w:top w:w="0" w:type="dxa"/>
              <w:left w:w="0" w:type="dxa"/>
              <w:bottom w:w="0" w:type="dxa"/>
              <w:right w:w="0" w:type="dxa"/>
            </w:tcMar>
            <w:vAlign w:val="center"/>
          </w:tcPr>
          <w:p w14:paraId="15B4020C">
            <w:pPr>
              <w:widowControl/>
              <w:pBdr>
                <w:top w:val="none" w:color="000000" w:sz="0" w:space="0"/>
                <w:left w:val="none" w:color="000000" w:sz="0" w:space="0"/>
                <w:bottom w:val="none" w:color="000000" w:sz="0" w:space="0"/>
                <w:right w:val="none" w:color="000000" w:sz="0" w:space="0"/>
              </w:pBdr>
              <w:snapToGrid w:val="0"/>
              <w:ind w:left="0" w:leftChars="0" w:right="0" w:rightChars="0" w:firstLine="0" w:firstLineChars="0"/>
              <w:jc w:val="center"/>
              <w:rPr>
                <w:rFonts w:hint="eastAsia" w:ascii="宋体" w:hAnsi="宋体" w:eastAsia="宋体" w:cs="宋体"/>
                <w:kern w:val="0"/>
                <w:szCs w:val="21"/>
              </w:rPr>
            </w:pPr>
            <w:r>
              <w:rPr>
                <w:rFonts w:hint="eastAsia" w:ascii="宋体" w:hAnsi="宋体" w:eastAsia="宋体" w:cs="宋体"/>
                <w:szCs w:val="21"/>
              </w:rPr>
              <w:t>3分</w:t>
            </w:r>
          </w:p>
        </w:tc>
        <w:tc>
          <w:tcPr>
            <w:tcW w:w="5449" w:type="dxa"/>
            <w:tcMar>
              <w:top w:w="0" w:type="dxa"/>
              <w:left w:w="0" w:type="dxa"/>
              <w:bottom w:w="0" w:type="dxa"/>
              <w:right w:w="0" w:type="dxa"/>
            </w:tcMar>
            <w:vAlign w:val="center"/>
          </w:tcPr>
          <w:p w14:paraId="1B6F4CA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288" w:lineRule="auto"/>
              <w:ind w:left="105" w:leftChars="50" w:right="0" w:rightChars="0" w:firstLine="0" w:firstLineChars="0"/>
              <w:jc w:val="left"/>
              <w:textAlignment w:val="auto"/>
              <w:rPr>
                <w:rFonts w:hint="eastAsia" w:ascii="宋体" w:hAnsi="宋体" w:eastAsia="宋体" w:cs="宋体"/>
                <w:kern w:val="0"/>
                <w:szCs w:val="21"/>
              </w:rPr>
            </w:pPr>
            <w:r>
              <w:rPr>
                <w:rFonts w:hint="eastAsia" w:ascii="宋体" w:hAnsi="宋体" w:eastAsia="宋体" w:cs="宋体"/>
                <w:kern w:val="0"/>
                <w:szCs w:val="21"/>
              </w:rPr>
              <w:t>具有注册安全工程师或者具有有效的安全生产考核合格证（C类），在此基础上同时具有建设工程类（或测绘类）高级及以上技术职称的得1.0分/人、具有建设工程类（或测绘类）中级技术职称的得0.5分/人，本项最高得分3分。</w:t>
            </w:r>
          </w:p>
        </w:tc>
      </w:tr>
      <w:tr w14:paraId="10327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44" w:type="dxa"/>
            <w:vMerge w:val="continue"/>
            <w:vAlign w:val="center"/>
          </w:tcPr>
          <w:p w14:paraId="6687E6D9">
            <w:pPr>
              <w:widowControl/>
              <w:snapToGrid w:val="0"/>
              <w:ind w:left="0" w:leftChars="0" w:right="0" w:rightChars="0" w:firstLine="0" w:firstLineChars="0"/>
              <w:jc w:val="center"/>
              <w:rPr>
                <w:rFonts w:hint="eastAsia" w:ascii="宋体" w:hAnsi="宋体" w:eastAsia="宋体" w:cs="宋体"/>
                <w:kern w:val="0"/>
                <w:szCs w:val="21"/>
              </w:rPr>
            </w:pPr>
          </w:p>
        </w:tc>
        <w:tc>
          <w:tcPr>
            <w:tcW w:w="760" w:type="dxa"/>
            <w:vMerge w:val="continue"/>
            <w:tcMar>
              <w:top w:w="0" w:type="dxa"/>
              <w:left w:w="0" w:type="dxa"/>
              <w:bottom w:w="0" w:type="dxa"/>
              <w:right w:w="0" w:type="dxa"/>
            </w:tcMar>
            <w:vAlign w:val="center"/>
          </w:tcPr>
          <w:p w14:paraId="11499BD9">
            <w:pPr>
              <w:widowControl/>
              <w:pBdr>
                <w:top w:val="none" w:color="000000" w:sz="0" w:space="0"/>
                <w:left w:val="none" w:color="000000" w:sz="0" w:space="0"/>
                <w:bottom w:val="none" w:color="000000" w:sz="0" w:space="0"/>
                <w:right w:val="none" w:color="000000" w:sz="0" w:space="0"/>
              </w:pBdr>
              <w:snapToGrid w:val="0"/>
              <w:ind w:left="0" w:leftChars="0" w:right="0" w:rightChars="0" w:firstLine="0" w:firstLineChars="0"/>
              <w:jc w:val="center"/>
              <w:rPr>
                <w:rFonts w:hint="eastAsia" w:ascii="宋体" w:hAnsi="宋体" w:eastAsia="宋体" w:cs="宋体"/>
                <w:kern w:val="0"/>
                <w:szCs w:val="21"/>
              </w:rPr>
            </w:pPr>
          </w:p>
        </w:tc>
        <w:tc>
          <w:tcPr>
            <w:tcW w:w="777" w:type="dxa"/>
            <w:tcMar>
              <w:top w:w="0" w:type="dxa"/>
              <w:left w:w="0" w:type="dxa"/>
              <w:bottom w:w="0" w:type="dxa"/>
              <w:right w:w="0" w:type="dxa"/>
            </w:tcMar>
            <w:vAlign w:val="center"/>
          </w:tcPr>
          <w:p w14:paraId="26438B3E">
            <w:pPr>
              <w:widowControl/>
              <w:pBdr>
                <w:top w:val="none" w:color="000000" w:sz="0" w:space="0"/>
                <w:left w:val="none" w:color="000000" w:sz="0" w:space="0"/>
                <w:bottom w:val="none" w:color="000000" w:sz="0" w:space="0"/>
                <w:right w:val="none" w:color="000000" w:sz="0" w:space="0"/>
              </w:pBdr>
              <w:snapToGrid w:val="0"/>
              <w:ind w:left="0" w:leftChars="0" w:right="0" w:rightChars="0" w:firstLine="0" w:firstLineChars="0"/>
              <w:jc w:val="center"/>
              <w:rPr>
                <w:rFonts w:hint="eastAsia" w:ascii="宋体" w:hAnsi="宋体" w:eastAsia="宋体" w:cs="宋体"/>
                <w:szCs w:val="21"/>
              </w:rPr>
            </w:pPr>
            <w:r>
              <w:rPr>
                <w:rFonts w:hint="eastAsia" w:ascii="宋体" w:hAnsi="宋体" w:eastAsia="宋体" w:cs="宋体"/>
                <w:szCs w:val="21"/>
              </w:rPr>
              <w:t>管网信息化管理平台数据接入人员</w:t>
            </w:r>
          </w:p>
        </w:tc>
        <w:tc>
          <w:tcPr>
            <w:tcW w:w="894" w:type="dxa"/>
            <w:tcMar>
              <w:top w:w="0" w:type="dxa"/>
              <w:left w:w="0" w:type="dxa"/>
              <w:bottom w:w="0" w:type="dxa"/>
              <w:right w:w="0" w:type="dxa"/>
            </w:tcMar>
            <w:vAlign w:val="center"/>
          </w:tcPr>
          <w:p w14:paraId="2DAC4D9F">
            <w:pPr>
              <w:widowControl/>
              <w:pBdr>
                <w:top w:val="none" w:color="000000" w:sz="0" w:space="0"/>
                <w:left w:val="none" w:color="000000" w:sz="0" w:space="0"/>
                <w:bottom w:val="none" w:color="000000" w:sz="0" w:space="0"/>
                <w:right w:val="none" w:color="000000" w:sz="0" w:space="0"/>
              </w:pBdr>
              <w:snapToGrid w:val="0"/>
              <w:ind w:left="0" w:leftChars="0" w:right="0" w:rightChars="0" w:firstLine="0" w:firstLineChars="0"/>
              <w:jc w:val="center"/>
              <w:rPr>
                <w:rFonts w:hint="eastAsia" w:ascii="宋体" w:hAnsi="宋体" w:eastAsia="宋体" w:cs="宋体"/>
                <w:kern w:val="0"/>
                <w:szCs w:val="21"/>
              </w:rPr>
            </w:pPr>
            <w:r>
              <w:rPr>
                <w:rFonts w:hint="eastAsia" w:ascii="宋体" w:hAnsi="宋体" w:eastAsia="宋体" w:cs="宋体"/>
                <w:szCs w:val="21"/>
              </w:rPr>
              <w:t>2分</w:t>
            </w:r>
          </w:p>
        </w:tc>
        <w:tc>
          <w:tcPr>
            <w:tcW w:w="5449" w:type="dxa"/>
            <w:tcMar>
              <w:top w:w="0" w:type="dxa"/>
              <w:left w:w="0" w:type="dxa"/>
              <w:bottom w:w="0" w:type="dxa"/>
              <w:right w:w="0" w:type="dxa"/>
            </w:tcMar>
            <w:vAlign w:val="center"/>
          </w:tcPr>
          <w:p w14:paraId="448EA3A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288" w:lineRule="auto"/>
              <w:ind w:left="105" w:leftChars="50" w:right="0" w:rightChars="0" w:firstLine="0" w:firstLineChars="0"/>
              <w:jc w:val="left"/>
              <w:textAlignment w:val="auto"/>
              <w:rPr>
                <w:rFonts w:hint="eastAsia" w:ascii="宋体" w:hAnsi="宋体" w:eastAsia="宋体" w:cs="宋体"/>
                <w:kern w:val="0"/>
                <w:szCs w:val="21"/>
              </w:rPr>
            </w:pPr>
            <w:r>
              <w:rPr>
                <w:rFonts w:hint="eastAsia" w:ascii="宋体" w:hAnsi="宋体" w:eastAsia="宋体" w:cs="宋体"/>
                <w:kern w:val="0"/>
                <w:szCs w:val="21"/>
              </w:rPr>
              <w:t>具有计算机类或软件类证书，在此基础上同时具有相应专业高级及以上技术职称的得1.0分/人、具有具有相应专业中级技术职称的得0.5分/人，本项最高得分2分。</w:t>
            </w:r>
          </w:p>
        </w:tc>
      </w:tr>
      <w:tr w14:paraId="05ED1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44" w:type="dxa"/>
            <w:vAlign w:val="center"/>
          </w:tcPr>
          <w:p w14:paraId="0C2F78DD">
            <w:pPr>
              <w:widowControl/>
              <w:snapToGrid w:val="0"/>
              <w:ind w:left="0" w:leftChars="0" w:right="0" w:rightChars="0" w:firstLine="0" w:firstLineChars="0"/>
              <w:jc w:val="center"/>
              <w:rPr>
                <w:rFonts w:hint="eastAsia" w:ascii="宋体" w:hAnsi="宋体" w:eastAsia="宋体" w:cs="宋体"/>
                <w:kern w:val="0"/>
                <w:szCs w:val="21"/>
              </w:rPr>
            </w:pPr>
            <w:r>
              <w:rPr>
                <w:rFonts w:hint="eastAsia" w:ascii="宋体" w:hAnsi="宋体" w:eastAsia="宋体" w:cs="宋体"/>
                <w:kern w:val="0"/>
                <w:szCs w:val="21"/>
              </w:rPr>
              <w:t>4</w:t>
            </w:r>
          </w:p>
        </w:tc>
        <w:tc>
          <w:tcPr>
            <w:tcW w:w="1537" w:type="dxa"/>
            <w:gridSpan w:val="2"/>
            <w:tcMar>
              <w:top w:w="0" w:type="dxa"/>
              <w:left w:w="0" w:type="dxa"/>
              <w:bottom w:w="0" w:type="dxa"/>
              <w:right w:w="0" w:type="dxa"/>
            </w:tcMar>
            <w:vAlign w:val="center"/>
          </w:tcPr>
          <w:p w14:paraId="7436DE98">
            <w:pPr>
              <w:widowControl/>
              <w:pBdr>
                <w:top w:val="none" w:color="000000" w:sz="0" w:space="0"/>
                <w:left w:val="none" w:color="000000" w:sz="0" w:space="0"/>
                <w:bottom w:val="none" w:color="000000" w:sz="0" w:space="0"/>
                <w:right w:val="none" w:color="000000" w:sz="0" w:space="0"/>
              </w:pBdr>
              <w:snapToGrid w:val="0"/>
              <w:ind w:left="0" w:leftChars="0" w:right="0" w:rightChars="0" w:firstLine="0" w:firstLineChars="0"/>
              <w:jc w:val="center"/>
              <w:rPr>
                <w:rFonts w:hint="eastAsia" w:ascii="宋体" w:hAnsi="宋体" w:eastAsia="宋体" w:cs="宋体"/>
                <w:kern w:val="0"/>
                <w:szCs w:val="21"/>
              </w:rPr>
            </w:pPr>
            <w:r>
              <w:rPr>
                <w:rFonts w:hint="eastAsia" w:ascii="宋体" w:hAnsi="宋体" w:eastAsia="宋体" w:cs="宋体"/>
                <w:kern w:val="0"/>
                <w:szCs w:val="21"/>
              </w:rPr>
              <w:t>设备配备</w:t>
            </w:r>
          </w:p>
        </w:tc>
        <w:tc>
          <w:tcPr>
            <w:tcW w:w="894" w:type="dxa"/>
            <w:tcMar>
              <w:top w:w="0" w:type="dxa"/>
              <w:left w:w="0" w:type="dxa"/>
              <w:bottom w:w="0" w:type="dxa"/>
              <w:right w:w="0" w:type="dxa"/>
            </w:tcMar>
            <w:vAlign w:val="center"/>
          </w:tcPr>
          <w:p w14:paraId="27CD56B5">
            <w:pPr>
              <w:widowControl/>
              <w:pBdr>
                <w:top w:val="none" w:color="000000" w:sz="0" w:space="0"/>
                <w:left w:val="none" w:color="000000" w:sz="0" w:space="0"/>
                <w:bottom w:val="none" w:color="000000" w:sz="0" w:space="0"/>
                <w:right w:val="none" w:color="000000" w:sz="0" w:space="0"/>
              </w:pBdr>
              <w:snapToGrid w:val="0"/>
              <w:ind w:left="0" w:leftChars="0" w:right="0" w:rightChars="0" w:firstLine="0" w:firstLineChars="0"/>
              <w:jc w:val="center"/>
              <w:rPr>
                <w:rFonts w:hint="eastAsia" w:ascii="宋体" w:hAnsi="宋体" w:eastAsia="宋体" w:cs="宋体"/>
                <w:kern w:val="0"/>
                <w:szCs w:val="21"/>
              </w:rPr>
            </w:pPr>
            <w:r>
              <w:rPr>
                <w:rFonts w:hint="eastAsia" w:ascii="宋体" w:hAnsi="宋体" w:eastAsia="宋体" w:cs="宋体"/>
                <w:kern w:val="0"/>
                <w:szCs w:val="21"/>
              </w:rPr>
              <w:t>15分</w:t>
            </w:r>
          </w:p>
        </w:tc>
        <w:tc>
          <w:tcPr>
            <w:tcW w:w="5449" w:type="dxa"/>
            <w:tcMar>
              <w:top w:w="0" w:type="dxa"/>
              <w:left w:w="0" w:type="dxa"/>
              <w:bottom w:w="0" w:type="dxa"/>
              <w:right w:w="0" w:type="dxa"/>
            </w:tcMar>
            <w:vAlign w:val="center"/>
          </w:tcPr>
          <w:p w14:paraId="13E9349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288" w:lineRule="auto"/>
              <w:ind w:left="105" w:leftChars="50" w:right="0" w:rightChars="0" w:firstLine="0" w:firstLineChars="0"/>
              <w:jc w:val="left"/>
              <w:textAlignment w:val="auto"/>
              <w:rPr>
                <w:rFonts w:hint="eastAsia" w:ascii="宋体" w:hAnsi="宋体" w:eastAsia="宋体" w:cs="宋体"/>
                <w:kern w:val="0"/>
                <w:szCs w:val="21"/>
              </w:rPr>
            </w:pPr>
            <w:r>
              <w:rPr>
                <w:rFonts w:hint="eastAsia" w:ascii="宋体" w:hAnsi="宋体" w:eastAsia="宋体" w:cs="宋体"/>
                <w:kern w:val="0"/>
                <w:szCs w:val="21"/>
              </w:rPr>
              <w:t>根据采购需求：</w:t>
            </w:r>
          </w:p>
          <w:p w14:paraId="0D6DF40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288" w:lineRule="auto"/>
              <w:ind w:left="105" w:leftChars="50" w:right="0" w:rightChars="0" w:firstLine="0" w:firstLineChars="0"/>
              <w:jc w:val="left"/>
              <w:textAlignment w:val="auto"/>
              <w:rPr>
                <w:rFonts w:hint="eastAsia" w:ascii="宋体" w:hAnsi="宋体" w:eastAsia="宋体" w:cs="宋体"/>
                <w:kern w:val="0"/>
                <w:szCs w:val="21"/>
              </w:rPr>
            </w:pPr>
            <w:r>
              <w:rPr>
                <w:rFonts w:hint="eastAsia" w:ascii="宋体" w:hAnsi="宋体" w:eastAsia="宋体" w:cs="宋体"/>
                <w:kern w:val="0"/>
                <w:szCs w:val="21"/>
              </w:rPr>
              <w:t>1、投标人配备管道检测仪（CCTV检测机器人、管道检测潜望镜QV ）设备得2分/套，本项最高得6分，未提供不得分；</w:t>
            </w:r>
          </w:p>
          <w:p w14:paraId="01D0422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288" w:lineRule="auto"/>
              <w:ind w:left="105" w:leftChars="50" w:right="0" w:rightChars="0" w:firstLine="0" w:firstLineChars="0"/>
              <w:jc w:val="left"/>
              <w:textAlignment w:val="auto"/>
              <w:rPr>
                <w:rFonts w:hint="eastAsia" w:ascii="宋体" w:hAnsi="宋体" w:eastAsia="宋体" w:cs="宋体"/>
                <w:kern w:val="0"/>
                <w:szCs w:val="21"/>
              </w:rPr>
            </w:pPr>
            <w:r>
              <w:rPr>
                <w:rFonts w:hint="eastAsia" w:ascii="宋体" w:hAnsi="宋体" w:eastAsia="宋体" w:cs="宋体"/>
                <w:kern w:val="0"/>
                <w:szCs w:val="21"/>
              </w:rPr>
              <w:t>2、投标人配备管道</w:t>
            </w:r>
            <w:r>
              <w:rPr>
                <w:rFonts w:hint="eastAsia" w:ascii="宋体" w:hAnsi="宋体" w:eastAsia="宋体" w:cs="宋体"/>
                <w:color w:val="000000"/>
                <w:spacing w:val="-3"/>
                <w:kern w:val="0"/>
                <w:szCs w:val="21"/>
              </w:rPr>
              <w:t>地下管线探测仪（或管线仪）的</w:t>
            </w:r>
            <w:r>
              <w:rPr>
                <w:rFonts w:hint="eastAsia" w:ascii="宋体" w:hAnsi="宋体" w:eastAsia="宋体" w:cs="宋体"/>
                <w:kern w:val="0"/>
                <w:szCs w:val="21"/>
              </w:rPr>
              <w:t>得1分/套，本项最高得3分，未提供不得分；</w:t>
            </w:r>
          </w:p>
          <w:p w14:paraId="6C0585D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288" w:lineRule="auto"/>
              <w:ind w:left="105" w:leftChars="50" w:right="0" w:rightChars="0" w:firstLine="0" w:firstLineChars="0"/>
              <w:jc w:val="left"/>
              <w:textAlignment w:val="auto"/>
              <w:rPr>
                <w:rFonts w:hint="eastAsia" w:ascii="宋体" w:hAnsi="宋体" w:eastAsia="宋体" w:cs="宋体"/>
                <w:kern w:val="0"/>
                <w:szCs w:val="21"/>
              </w:rPr>
            </w:pPr>
            <w:r>
              <w:rPr>
                <w:rFonts w:hint="eastAsia" w:ascii="宋体" w:hAnsi="宋体" w:eastAsia="宋体" w:cs="宋体"/>
                <w:kern w:val="0"/>
                <w:szCs w:val="21"/>
              </w:rPr>
              <w:t>3、投标人配备中具有导向仪的，得1分/套，本项最高得3分，未提供不得分；</w:t>
            </w:r>
          </w:p>
          <w:p w14:paraId="410CFBD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288" w:lineRule="auto"/>
              <w:ind w:left="105" w:leftChars="50" w:right="0" w:rightChars="0" w:firstLine="0" w:firstLineChars="0"/>
              <w:jc w:val="left"/>
              <w:textAlignment w:val="auto"/>
              <w:rPr>
                <w:rFonts w:hint="eastAsia" w:ascii="宋体" w:hAnsi="宋体" w:eastAsia="宋体" w:cs="宋体"/>
                <w:kern w:val="0"/>
                <w:szCs w:val="21"/>
              </w:rPr>
            </w:pPr>
            <w:r>
              <w:rPr>
                <w:rFonts w:hint="eastAsia" w:ascii="宋体" w:hAnsi="宋体" w:eastAsia="宋体" w:cs="宋体"/>
                <w:kern w:val="0"/>
                <w:szCs w:val="21"/>
              </w:rPr>
              <w:t>4、投标人配备GPS定位系统与全站仪（一台GPS定位系统与一台全站仪为一套）得0.25分/套，本项最高得3分，未提供不得分；</w:t>
            </w:r>
          </w:p>
          <w:p w14:paraId="32D6CFD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288" w:lineRule="auto"/>
              <w:ind w:left="105" w:leftChars="50" w:right="0" w:rightChars="0" w:firstLine="0" w:firstLineChars="0"/>
              <w:jc w:val="left"/>
              <w:textAlignment w:val="auto"/>
              <w:rPr>
                <w:rFonts w:hint="eastAsia" w:ascii="宋体" w:hAnsi="宋体" w:eastAsia="宋体" w:cs="宋体"/>
                <w:kern w:val="0"/>
                <w:szCs w:val="21"/>
              </w:rPr>
            </w:pPr>
            <w:r>
              <w:rPr>
                <w:rFonts w:hint="eastAsia" w:ascii="宋体" w:hAnsi="宋体" w:eastAsia="宋体" w:cs="宋体"/>
                <w:kern w:val="0"/>
                <w:szCs w:val="21"/>
              </w:rPr>
              <w:t>注：上述仪器（设备可以是投标人自有，也可以由投标人租赁），投标人自有设备须提供仪器设备购买发票原件扫描件及财务付款证明或单位资产入账凭证并加盖投标人公章；投标人以租赁设备方式提供服务的，须提供以下材料：</w:t>
            </w:r>
          </w:p>
          <w:p w14:paraId="7C55483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288" w:lineRule="auto"/>
              <w:ind w:left="105" w:leftChars="50" w:right="0" w:rightChars="0" w:firstLine="0" w:firstLineChars="0"/>
              <w:jc w:val="left"/>
              <w:textAlignment w:val="auto"/>
              <w:rPr>
                <w:rFonts w:hint="eastAsia" w:ascii="宋体" w:hAnsi="宋体" w:eastAsia="宋体" w:cs="宋体"/>
                <w:kern w:val="0"/>
                <w:szCs w:val="21"/>
                <w:lang w:eastAsia="zh-CN"/>
              </w:rPr>
            </w:pPr>
            <w:r>
              <w:rPr>
                <w:rFonts w:hint="eastAsia" w:ascii="宋体" w:hAnsi="宋体" w:eastAsia="宋体" w:cs="宋体"/>
                <w:kern w:val="0"/>
                <w:szCs w:val="21"/>
              </w:rPr>
              <w:t>①设备租赁方须提供仪器设备购买发票原件扫描件及财务付款证明或该单位资产入账凭证并加盖投标人公章</w:t>
            </w:r>
            <w:r>
              <w:rPr>
                <w:rFonts w:hint="eastAsia" w:ascii="宋体" w:hAnsi="宋体" w:eastAsia="宋体" w:cs="宋体"/>
                <w:kern w:val="0"/>
                <w:szCs w:val="21"/>
                <w:lang w:eastAsia="zh-CN"/>
              </w:rPr>
              <w:t>。</w:t>
            </w:r>
          </w:p>
          <w:p w14:paraId="5DE33D1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288" w:lineRule="auto"/>
              <w:ind w:left="105" w:leftChars="50" w:right="0" w:rightChars="0" w:firstLine="0" w:firstLineChars="0"/>
              <w:jc w:val="left"/>
              <w:textAlignment w:val="auto"/>
              <w:rPr>
                <w:rFonts w:hint="eastAsia" w:ascii="宋体" w:hAnsi="宋体" w:eastAsia="宋体" w:cs="宋体"/>
                <w:kern w:val="0"/>
                <w:szCs w:val="21"/>
              </w:rPr>
            </w:pPr>
            <w:r>
              <w:rPr>
                <w:rFonts w:hint="eastAsia" w:ascii="宋体" w:hAnsi="宋体" w:eastAsia="宋体" w:cs="宋体"/>
                <w:kern w:val="0"/>
                <w:szCs w:val="21"/>
              </w:rPr>
              <w:t>②设备租赁协议扫描件，设备租赁协议至少须明确租赁期限，且提供其自有的同一设备不得同时向多家投标人提供租赁服务的承诺。</w:t>
            </w:r>
          </w:p>
          <w:p w14:paraId="17DA949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288" w:lineRule="auto"/>
              <w:ind w:left="105" w:leftChars="50" w:right="0" w:rightChars="0" w:firstLine="0" w:firstLineChars="0"/>
              <w:jc w:val="left"/>
              <w:textAlignment w:val="auto"/>
              <w:rPr>
                <w:rFonts w:hint="eastAsia" w:ascii="宋体" w:hAnsi="宋体" w:eastAsia="宋体" w:cs="宋体"/>
                <w:kern w:val="0"/>
                <w:szCs w:val="21"/>
              </w:rPr>
            </w:pPr>
            <w:r>
              <w:rPr>
                <w:rFonts w:hint="eastAsia" w:ascii="宋体" w:hAnsi="宋体" w:eastAsia="宋体" w:cs="宋体"/>
                <w:kern w:val="0"/>
                <w:szCs w:val="21"/>
              </w:rPr>
              <w:t>③未提供或未按要求提供的不得分。</w:t>
            </w:r>
          </w:p>
        </w:tc>
      </w:tr>
      <w:tr w14:paraId="443D7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44" w:type="dxa"/>
            <w:tcMar>
              <w:top w:w="0" w:type="dxa"/>
              <w:left w:w="0" w:type="dxa"/>
              <w:bottom w:w="0" w:type="dxa"/>
              <w:right w:w="0" w:type="dxa"/>
            </w:tcMar>
            <w:vAlign w:val="center"/>
          </w:tcPr>
          <w:p w14:paraId="47171A0A">
            <w:pPr>
              <w:widowControl/>
              <w:pBdr>
                <w:top w:val="none" w:color="000000" w:sz="0" w:space="0"/>
                <w:left w:val="none" w:color="000000" w:sz="0" w:space="0"/>
                <w:bottom w:val="none" w:color="000000" w:sz="0" w:space="0"/>
                <w:right w:val="none" w:color="000000" w:sz="0" w:space="0"/>
              </w:pBdr>
              <w:snapToGrid w:val="0"/>
              <w:ind w:left="0" w:leftChars="0" w:right="0" w:rightChars="0" w:firstLine="0" w:firstLineChars="0"/>
              <w:jc w:val="center"/>
              <w:rPr>
                <w:rFonts w:hint="eastAsia" w:ascii="宋体" w:hAnsi="宋体" w:eastAsia="宋体" w:cs="宋体"/>
                <w:kern w:val="0"/>
                <w:szCs w:val="21"/>
              </w:rPr>
            </w:pPr>
            <w:r>
              <w:rPr>
                <w:rFonts w:hint="eastAsia" w:ascii="宋体" w:hAnsi="宋体" w:eastAsia="宋体" w:cs="宋体"/>
                <w:kern w:val="0"/>
                <w:szCs w:val="21"/>
              </w:rPr>
              <w:t>5</w:t>
            </w:r>
          </w:p>
        </w:tc>
        <w:tc>
          <w:tcPr>
            <w:tcW w:w="1537" w:type="dxa"/>
            <w:gridSpan w:val="2"/>
            <w:tcMar>
              <w:top w:w="0" w:type="dxa"/>
              <w:left w:w="0" w:type="dxa"/>
              <w:bottom w:w="0" w:type="dxa"/>
              <w:right w:w="0" w:type="dxa"/>
            </w:tcMar>
            <w:vAlign w:val="center"/>
          </w:tcPr>
          <w:p w14:paraId="601A82A0">
            <w:pPr>
              <w:widowControl/>
              <w:pBdr>
                <w:top w:val="none" w:color="000000" w:sz="0" w:space="0"/>
                <w:left w:val="none" w:color="000000" w:sz="0" w:space="0"/>
                <w:bottom w:val="none" w:color="000000" w:sz="0" w:space="0"/>
                <w:right w:val="none" w:color="000000" w:sz="0" w:space="0"/>
              </w:pBdr>
              <w:snapToGrid w:val="0"/>
              <w:ind w:left="0" w:leftChars="0" w:right="0" w:rightChars="0" w:firstLine="0" w:firstLineChars="0"/>
              <w:jc w:val="center"/>
              <w:rPr>
                <w:rFonts w:hint="eastAsia" w:ascii="宋体" w:hAnsi="宋体" w:eastAsia="宋体" w:cs="宋体"/>
                <w:kern w:val="0"/>
                <w:szCs w:val="21"/>
              </w:rPr>
            </w:pPr>
            <w:r>
              <w:rPr>
                <w:rFonts w:hint="eastAsia" w:ascii="宋体" w:hAnsi="宋体" w:eastAsia="宋体" w:cs="宋体"/>
                <w:kern w:val="0"/>
                <w:szCs w:val="21"/>
              </w:rPr>
              <w:t>项目实施方案</w:t>
            </w:r>
          </w:p>
        </w:tc>
        <w:tc>
          <w:tcPr>
            <w:tcW w:w="894" w:type="dxa"/>
            <w:tcMar>
              <w:top w:w="0" w:type="dxa"/>
              <w:left w:w="0" w:type="dxa"/>
              <w:bottom w:w="0" w:type="dxa"/>
              <w:right w:w="0" w:type="dxa"/>
            </w:tcMar>
            <w:vAlign w:val="center"/>
          </w:tcPr>
          <w:p w14:paraId="6BC039F5">
            <w:pPr>
              <w:widowControl/>
              <w:pBdr>
                <w:top w:val="none" w:color="000000" w:sz="0" w:space="0"/>
                <w:left w:val="none" w:color="000000" w:sz="0" w:space="0"/>
                <w:bottom w:val="none" w:color="000000" w:sz="0" w:space="0"/>
                <w:right w:val="none" w:color="000000" w:sz="0" w:space="0"/>
              </w:pBdr>
              <w:snapToGrid w:val="0"/>
              <w:ind w:left="0" w:leftChars="0" w:right="0" w:rightChars="0" w:firstLine="0" w:firstLineChars="0"/>
              <w:jc w:val="center"/>
              <w:rPr>
                <w:rFonts w:hint="eastAsia" w:ascii="宋体" w:hAnsi="宋体" w:eastAsia="宋体" w:cs="宋体"/>
                <w:kern w:val="0"/>
                <w:szCs w:val="21"/>
              </w:rPr>
            </w:pPr>
            <w:r>
              <w:rPr>
                <w:rFonts w:hint="eastAsia" w:ascii="宋体" w:hAnsi="宋体" w:eastAsia="宋体" w:cs="宋体"/>
                <w:kern w:val="0"/>
                <w:szCs w:val="21"/>
              </w:rPr>
              <w:t>42分</w:t>
            </w:r>
          </w:p>
        </w:tc>
        <w:tc>
          <w:tcPr>
            <w:tcW w:w="5449" w:type="dxa"/>
            <w:tcMar>
              <w:top w:w="0" w:type="dxa"/>
              <w:left w:w="0" w:type="dxa"/>
              <w:bottom w:w="0" w:type="dxa"/>
              <w:right w:w="0" w:type="dxa"/>
            </w:tcMar>
            <w:vAlign w:val="center"/>
          </w:tcPr>
          <w:p w14:paraId="7CB4BFA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288" w:lineRule="auto"/>
              <w:ind w:left="105" w:leftChars="50" w:right="0" w:rightChars="0" w:firstLine="0" w:firstLineChars="0"/>
              <w:jc w:val="left"/>
              <w:textAlignment w:val="auto"/>
              <w:rPr>
                <w:rFonts w:hint="eastAsia" w:ascii="宋体" w:hAnsi="宋体" w:eastAsia="宋体" w:cs="宋体"/>
                <w:kern w:val="0"/>
                <w:szCs w:val="21"/>
              </w:rPr>
            </w:pPr>
            <w:r>
              <w:rPr>
                <w:rFonts w:hint="eastAsia" w:ascii="宋体" w:hAnsi="宋体" w:eastAsia="宋体" w:cs="宋体"/>
                <w:b/>
                <w:bCs/>
                <w:kern w:val="0"/>
                <w:szCs w:val="21"/>
              </w:rPr>
              <w:t>1、对项目的了解（</w:t>
            </w:r>
            <w:r>
              <w:rPr>
                <w:rFonts w:hint="eastAsia" w:ascii="宋体" w:hAnsi="宋体" w:eastAsia="宋体" w:cs="宋体"/>
                <w:b/>
                <w:bCs/>
                <w:kern w:val="0"/>
                <w:szCs w:val="21"/>
                <w:lang w:val="en-US" w:eastAsia="zh-CN"/>
              </w:rPr>
              <w:t>4</w:t>
            </w:r>
            <w:r>
              <w:rPr>
                <w:rFonts w:hint="eastAsia" w:ascii="宋体" w:hAnsi="宋体" w:eastAsia="宋体" w:cs="宋体"/>
                <w:b/>
                <w:bCs/>
                <w:kern w:val="0"/>
                <w:szCs w:val="21"/>
              </w:rPr>
              <w:t>分）</w:t>
            </w:r>
            <w:r>
              <w:rPr>
                <w:rFonts w:hint="eastAsia" w:ascii="宋体" w:hAnsi="宋体" w:eastAsia="宋体" w:cs="宋体"/>
                <w:kern w:val="0"/>
                <w:szCs w:val="21"/>
              </w:rPr>
              <w:t>：对项目背景、现场实际情况、重点难点分析及解决应对措施的诠释理解确切，各项技术流程清晰、服务内容了解，总体工作步骤切合项目实际得</w:t>
            </w:r>
            <w:r>
              <w:rPr>
                <w:rFonts w:hint="eastAsia" w:ascii="宋体" w:hAnsi="宋体" w:eastAsia="宋体" w:cs="宋体"/>
                <w:kern w:val="0"/>
                <w:szCs w:val="21"/>
                <w:lang w:val="en-US" w:eastAsia="zh-CN"/>
              </w:rPr>
              <w:t>4</w:t>
            </w:r>
            <w:r>
              <w:rPr>
                <w:rFonts w:hint="eastAsia" w:ascii="宋体" w:hAnsi="宋体" w:eastAsia="宋体" w:cs="宋体"/>
                <w:kern w:val="0"/>
                <w:szCs w:val="21"/>
              </w:rPr>
              <w:t>分；对项目背景、现场实际情况、重点难点分析及解决应对措施的诠释理解比较确切，各项技术流程清晰、服务内容了解一般，总体工作步骤基本符合项目实际得</w:t>
            </w:r>
            <w:r>
              <w:rPr>
                <w:rFonts w:hint="eastAsia" w:ascii="宋体" w:hAnsi="宋体" w:eastAsia="宋体" w:cs="宋体"/>
                <w:kern w:val="0"/>
                <w:szCs w:val="21"/>
                <w:lang w:val="en-US" w:eastAsia="zh-CN"/>
              </w:rPr>
              <w:t>3</w:t>
            </w:r>
            <w:r>
              <w:rPr>
                <w:rFonts w:hint="eastAsia" w:ascii="宋体" w:hAnsi="宋体" w:eastAsia="宋体" w:cs="宋体"/>
                <w:kern w:val="0"/>
                <w:szCs w:val="21"/>
              </w:rPr>
              <w:t>分；对项目背景、现场实际情况、重点难点分析及解决应对措施的诠释理解一般，各项技术流程清晰、服务内容了解一般，总体工作步骤比较符合项目实际得2分；对项目背景、现场实际情况、重点难点分析及解决应对措施的诠释理解较差，各项技术流程清晰、服务内容了解较差，总体工作步骤切合项目实际较差得1分；未提供相应内容不得分。</w:t>
            </w:r>
          </w:p>
          <w:p w14:paraId="1BA9E0A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288" w:lineRule="auto"/>
              <w:ind w:left="105" w:leftChars="50" w:right="0" w:rightChars="0" w:firstLine="0" w:firstLineChars="0"/>
              <w:jc w:val="left"/>
              <w:textAlignment w:val="auto"/>
              <w:rPr>
                <w:rFonts w:hint="eastAsia" w:ascii="宋体" w:hAnsi="宋体" w:eastAsia="宋体" w:cs="宋体"/>
                <w:kern w:val="0"/>
                <w:szCs w:val="21"/>
              </w:rPr>
            </w:pPr>
            <w:r>
              <w:rPr>
                <w:rFonts w:hint="eastAsia" w:ascii="宋体" w:hAnsi="宋体" w:eastAsia="宋体" w:cs="宋体"/>
                <w:b/>
                <w:bCs/>
                <w:kern w:val="0"/>
                <w:szCs w:val="21"/>
              </w:rPr>
              <w:t>2、技术方案（</w:t>
            </w:r>
            <w:r>
              <w:rPr>
                <w:rFonts w:hint="eastAsia" w:ascii="宋体" w:hAnsi="宋体" w:eastAsia="宋体" w:cs="宋体"/>
                <w:b/>
                <w:bCs/>
                <w:kern w:val="0"/>
                <w:szCs w:val="21"/>
                <w:lang w:val="en-US" w:eastAsia="zh-CN"/>
              </w:rPr>
              <w:t>5</w:t>
            </w:r>
            <w:r>
              <w:rPr>
                <w:rFonts w:hint="eastAsia" w:ascii="宋体" w:hAnsi="宋体" w:eastAsia="宋体" w:cs="宋体"/>
                <w:b/>
                <w:bCs/>
                <w:kern w:val="0"/>
                <w:szCs w:val="21"/>
              </w:rPr>
              <w:t>分）</w:t>
            </w:r>
            <w:r>
              <w:rPr>
                <w:rFonts w:hint="eastAsia" w:ascii="宋体" w:hAnsi="宋体" w:eastAsia="宋体" w:cs="宋体"/>
                <w:kern w:val="0"/>
                <w:szCs w:val="21"/>
              </w:rPr>
              <w:t>：根据招标需求和项目特点制定服务方案，方案科学合理，表述详细清晰得</w:t>
            </w:r>
            <w:r>
              <w:rPr>
                <w:rFonts w:hint="eastAsia" w:ascii="宋体" w:hAnsi="宋体" w:eastAsia="宋体" w:cs="宋体"/>
                <w:kern w:val="0"/>
                <w:szCs w:val="21"/>
                <w:lang w:val="en-US" w:eastAsia="zh-CN"/>
              </w:rPr>
              <w:t>5</w:t>
            </w:r>
            <w:r>
              <w:rPr>
                <w:rFonts w:hint="eastAsia" w:ascii="宋体" w:hAnsi="宋体" w:eastAsia="宋体" w:cs="宋体"/>
                <w:kern w:val="0"/>
                <w:szCs w:val="21"/>
              </w:rPr>
              <w:t>分；根据招标需求和项目特点制定服务方案，方案科学比较合理，表述详细比较清晰得</w:t>
            </w:r>
            <w:r>
              <w:rPr>
                <w:rFonts w:hint="eastAsia" w:ascii="宋体" w:hAnsi="宋体" w:eastAsia="宋体" w:cs="宋体"/>
                <w:kern w:val="0"/>
                <w:szCs w:val="21"/>
                <w:lang w:val="en-US" w:eastAsia="zh-CN"/>
              </w:rPr>
              <w:t>3</w:t>
            </w:r>
            <w:r>
              <w:rPr>
                <w:rFonts w:hint="eastAsia" w:ascii="宋体" w:hAnsi="宋体" w:eastAsia="宋体" w:cs="宋体"/>
                <w:kern w:val="0"/>
                <w:szCs w:val="21"/>
              </w:rPr>
              <w:t>分；根据招标需求和项目特点制定服务方案，方案一般，表述一般得</w:t>
            </w:r>
            <w:r>
              <w:rPr>
                <w:rFonts w:hint="eastAsia" w:ascii="宋体" w:hAnsi="宋体" w:eastAsia="宋体" w:cs="宋体"/>
                <w:kern w:val="0"/>
                <w:szCs w:val="21"/>
                <w:lang w:val="en-US" w:eastAsia="zh-CN"/>
              </w:rPr>
              <w:t>2</w:t>
            </w:r>
            <w:r>
              <w:rPr>
                <w:rFonts w:hint="eastAsia" w:ascii="宋体" w:hAnsi="宋体" w:eastAsia="宋体" w:cs="宋体"/>
                <w:kern w:val="0"/>
                <w:szCs w:val="21"/>
              </w:rPr>
              <w:t>分；根据招标需求和项目特点制定服务方案，方案合理性较差，表述清晰较差得</w:t>
            </w:r>
            <w:r>
              <w:rPr>
                <w:rFonts w:hint="eastAsia" w:ascii="宋体" w:hAnsi="宋体" w:eastAsia="宋体" w:cs="宋体"/>
                <w:kern w:val="0"/>
                <w:szCs w:val="21"/>
                <w:lang w:val="en-US" w:eastAsia="zh-CN"/>
              </w:rPr>
              <w:t>1</w:t>
            </w:r>
            <w:r>
              <w:rPr>
                <w:rFonts w:hint="eastAsia" w:ascii="宋体" w:hAnsi="宋体" w:eastAsia="宋体" w:cs="宋体"/>
                <w:kern w:val="0"/>
                <w:szCs w:val="21"/>
              </w:rPr>
              <w:t>分；未提供相应内容不得分。</w:t>
            </w:r>
          </w:p>
          <w:p w14:paraId="1D401C6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288" w:lineRule="auto"/>
              <w:ind w:left="105" w:leftChars="50" w:right="0" w:rightChars="0" w:firstLine="0" w:firstLineChars="0"/>
              <w:jc w:val="left"/>
              <w:textAlignment w:val="auto"/>
              <w:rPr>
                <w:rFonts w:hint="eastAsia" w:ascii="宋体" w:hAnsi="宋体" w:eastAsia="宋体" w:cs="宋体"/>
                <w:kern w:val="0"/>
                <w:szCs w:val="21"/>
              </w:rPr>
            </w:pPr>
            <w:r>
              <w:rPr>
                <w:rFonts w:hint="eastAsia" w:ascii="宋体" w:hAnsi="宋体" w:eastAsia="宋体" w:cs="宋体"/>
                <w:b/>
                <w:bCs/>
                <w:kern w:val="0"/>
                <w:szCs w:val="21"/>
              </w:rPr>
              <w:t>3、质量控制（</w:t>
            </w:r>
            <w:r>
              <w:rPr>
                <w:rFonts w:hint="eastAsia" w:ascii="宋体" w:hAnsi="宋体" w:eastAsia="宋体" w:cs="宋体"/>
                <w:b/>
                <w:bCs/>
                <w:kern w:val="0"/>
                <w:szCs w:val="21"/>
                <w:lang w:val="en-US" w:eastAsia="zh-CN"/>
              </w:rPr>
              <w:t>5</w:t>
            </w:r>
            <w:r>
              <w:rPr>
                <w:rFonts w:hint="eastAsia" w:ascii="宋体" w:hAnsi="宋体" w:eastAsia="宋体" w:cs="宋体"/>
                <w:b/>
                <w:bCs/>
                <w:kern w:val="0"/>
                <w:szCs w:val="21"/>
              </w:rPr>
              <w:t>分）</w:t>
            </w:r>
            <w:r>
              <w:rPr>
                <w:rFonts w:hint="eastAsia" w:ascii="宋体" w:hAnsi="宋体" w:eastAsia="宋体" w:cs="宋体"/>
                <w:kern w:val="0"/>
                <w:szCs w:val="21"/>
              </w:rPr>
              <w:t>：项目质量保障措施的可行性、合理性高，提供详细的各项质量保障措施方案得</w:t>
            </w:r>
            <w:r>
              <w:rPr>
                <w:rFonts w:hint="eastAsia" w:ascii="宋体" w:hAnsi="宋体" w:eastAsia="宋体" w:cs="宋体"/>
                <w:kern w:val="0"/>
                <w:szCs w:val="21"/>
                <w:lang w:val="en-US" w:eastAsia="zh-CN"/>
              </w:rPr>
              <w:t>5</w:t>
            </w:r>
            <w:r>
              <w:rPr>
                <w:rFonts w:hint="eastAsia" w:ascii="宋体" w:hAnsi="宋体" w:eastAsia="宋体" w:cs="宋体"/>
                <w:kern w:val="0"/>
                <w:szCs w:val="21"/>
              </w:rPr>
              <w:t>分；项目质量保障措施的可行性、合理性比较高，提供比较详细的各项质量保障措施方案得</w:t>
            </w:r>
            <w:r>
              <w:rPr>
                <w:rFonts w:hint="eastAsia" w:ascii="宋体" w:hAnsi="宋体" w:eastAsia="宋体" w:cs="宋体"/>
                <w:kern w:val="0"/>
                <w:szCs w:val="21"/>
                <w:lang w:val="en-US" w:eastAsia="zh-CN"/>
              </w:rPr>
              <w:t>3</w:t>
            </w:r>
            <w:r>
              <w:rPr>
                <w:rFonts w:hint="eastAsia" w:ascii="宋体" w:hAnsi="宋体" w:eastAsia="宋体" w:cs="宋体"/>
                <w:kern w:val="0"/>
                <w:szCs w:val="21"/>
              </w:rPr>
              <w:t>分；项目质量保障措施的可行性、合理性一般，各项质量保障措施方案一般得</w:t>
            </w:r>
            <w:r>
              <w:rPr>
                <w:rFonts w:hint="eastAsia" w:ascii="宋体" w:hAnsi="宋体" w:eastAsia="宋体" w:cs="宋体"/>
                <w:kern w:val="0"/>
                <w:szCs w:val="21"/>
                <w:lang w:val="en-US" w:eastAsia="zh-CN"/>
              </w:rPr>
              <w:t>2</w:t>
            </w:r>
            <w:r>
              <w:rPr>
                <w:rFonts w:hint="eastAsia" w:ascii="宋体" w:hAnsi="宋体" w:eastAsia="宋体" w:cs="宋体"/>
                <w:kern w:val="0"/>
                <w:szCs w:val="21"/>
              </w:rPr>
              <w:t>分；项目质量保障措施的可行性、合理性不够详细，各项质量保障措施方案不合理得</w:t>
            </w:r>
            <w:r>
              <w:rPr>
                <w:rFonts w:hint="eastAsia" w:ascii="宋体" w:hAnsi="宋体" w:eastAsia="宋体" w:cs="宋体"/>
                <w:kern w:val="0"/>
                <w:szCs w:val="21"/>
                <w:lang w:val="en-US" w:eastAsia="zh-CN"/>
              </w:rPr>
              <w:t>1</w:t>
            </w:r>
            <w:r>
              <w:rPr>
                <w:rFonts w:hint="eastAsia" w:ascii="宋体" w:hAnsi="宋体" w:eastAsia="宋体" w:cs="宋体"/>
                <w:kern w:val="0"/>
                <w:szCs w:val="21"/>
              </w:rPr>
              <w:t>分；未提供相应内容不得分。</w:t>
            </w:r>
          </w:p>
          <w:p w14:paraId="2283430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288" w:lineRule="auto"/>
              <w:ind w:left="105" w:leftChars="50" w:right="0" w:rightChars="0" w:firstLine="0" w:firstLineChars="0"/>
              <w:jc w:val="left"/>
              <w:textAlignment w:val="auto"/>
              <w:rPr>
                <w:rFonts w:hint="eastAsia" w:ascii="宋体" w:hAnsi="宋体" w:eastAsia="宋体" w:cs="宋体"/>
                <w:kern w:val="0"/>
                <w:szCs w:val="21"/>
              </w:rPr>
            </w:pPr>
            <w:r>
              <w:rPr>
                <w:rFonts w:hint="eastAsia" w:ascii="宋体" w:hAnsi="宋体" w:eastAsia="宋体" w:cs="宋体"/>
                <w:b/>
                <w:bCs/>
                <w:kern w:val="0"/>
                <w:szCs w:val="21"/>
              </w:rPr>
              <w:t>4、管理制度（</w:t>
            </w:r>
            <w:r>
              <w:rPr>
                <w:rFonts w:hint="eastAsia" w:ascii="宋体" w:hAnsi="宋体" w:eastAsia="宋体" w:cs="宋体"/>
                <w:b/>
                <w:bCs/>
                <w:kern w:val="0"/>
                <w:szCs w:val="21"/>
                <w:lang w:val="en-US" w:eastAsia="zh-CN"/>
              </w:rPr>
              <w:t>5</w:t>
            </w:r>
            <w:r>
              <w:rPr>
                <w:rFonts w:hint="eastAsia" w:ascii="宋体" w:hAnsi="宋体" w:eastAsia="宋体" w:cs="宋体"/>
                <w:b/>
                <w:bCs/>
                <w:kern w:val="0"/>
                <w:szCs w:val="21"/>
              </w:rPr>
              <w:t>分）</w:t>
            </w:r>
            <w:r>
              <w:rPr>
                <w:rFonts w:hint="eastAsia" w:ascii="宋体" w:hAnsi="宋体" w:eastAsia="宋体" w:cs="宋体"/>
                <w:kern w:val="0"/>
                <w:szCs w:val="21"/>
              </w:rPr>
              <w:t>：根据招标项目特点制定人员、设备管理制度，制度详细完整，可操作性强的得</w:t>
            </w:r>
            <w:r>
              <w:rPr>
                <w:rFonts w:hint="eastAsia" w:ascii="宋体" w:hAnsi="宋体" w:eastAsia="宋体" w:cs="宋体"/>
                <w:kern w:val="0"/>
                <w:szCs w:val="21"/>
                <w:lang w:val="en-US" w:eastAsia="zh-CN"/>
              </w:rPr>
              <w:t>5</w:t>
            </w:r>
            <w:r>
              <w:rPr>
                <w:rFonts w:hint="eastAsia" w:ascii="宋体" w:hAnsi="宋体" w:eastAsia="宋体" w:cs="宋体"/>
                <w:kern w:val="0"/>
                <w:szCs w:val="21"/>
              </w:rPr>
              <w:t>分；根据招标项目特点制定人员、设备管理制度，制度比较详细完整，可操作性比较强的得</w:t>
            </w:r>
            <w:r>
              <w:rPr>
                <w:rFonts w:hint="eastAsia" w:ascii="宋体" w:hAnsi="宋体" w:eastAsia="宋体" w:cs="宋体"/>
                <w:kern w:val="0"/>
                <w:szCs w:val="21"/>
                <w:lang w:val="en-US" w:eastAsia="zh-CN"/>
              </w:rPr>
              <w:t>3</w:t>
            </w:r>
            <w:r>
              <w:rPr>
                <w:rFonts w:hint="eastAsia" w:ascii="宋体" w:hAnsi="宋体" w:eastAsia="宋体" w:cs="宋体"/>
                <w:kern w:val="0"/>
                <w:szCs w:val="21"/>
              </w:rPr>
              <w:t>分；根据招标项目特点制定人员、设备管理制度，制度比较详细完整，可操作性一般的得</w:t>
            </w:r>
            <w:r>
              <w:rPr>
                <w:rFonts w:hint="eastAsia" w:ascii="宋体" w:hAnsi="宋体" w:eastAsia="宋体" w:cs="宋体"/>
                <w:kern w:val="0"/>
                <w:szCs w:val="21"/>
                <w:lang w:val="en-US" w:eastAsia="zh-CN"/>
              </w:rPr>
              <w:t>2</w:t>
            </w:r>
            <w:r>
              <w:rPr>
                <w:rFonts w:hint="eastAsia" w:ascii="宋体" w:hAnsi="宋体" w:eastAsia="宋体" w:cs="宋体"/>
                <w:kern w:val="0"/>
                <w:szCs w:val="21"/>
              </w:rPr>
              <w:t>分；根据招标项目特点制定人员、设备管理制度，制度不够详细完整，可操作性较低的得</w:t>
            </w:r>
            <w:r>
              <w:rPr>
                <w:rFonts w:hint="eastAsia" w:ascii="宋体" w:hAnsi="宋体" w:eastAsia="宋体" w:cs="宋体"/>
                <w:kern w:val="0"/>
                <w:szCs w:val="21"/>
                <w:lang w:val="en-US" w:eastAsia="zh-CN"/>
              </w:rPr>
              <w:t>1</w:t>
            </w:r>
            <w:r>
              <w:rPr>
                <w:rFonts w:hint="eastAsia" w:ascii="宋体" w:hAnsi="宋体" w:eastAsia="宋体" w:cs="宋体"/>
                <w:kern w:val="0"/>
                <w:szCs w:val="21"/>
              </w:rPr>
              <w:t>分；未提供相应内容不得分。</w:t>
            </w:r>
          </w:p>
          <w:p w14:paraId="1A2C05F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288" w:lineRule="auto"/>
              <w:ind w:left="105" w:leftChars="50" w:right="0" w:rightChars="0" w:firstLine="0" w:firstLineChars="0"/>
              <w:jc w:val="left"/>
              <w:textAlignment w:val="auto"/>
              <w:rPr>
                <w:rFonts w:hint="eastAsia" w:ascii="宋体" w:hAnsi="宋体" w:eastAsia="宋体" w:cs="宋体"/>
                <w:kern w:val="0"/>
                <w:szCs w:val="21"/>
              </w:rPr>
            </w:pPr>
            <w:r>
              <w:rPr>
                <w:rFonts w:hint="eastAsia" w:ascii="宋体" w:hAnsi="宋体" w:eastAsia="宋体" w:cs="宋体"/>
                <w:b/>
                <w:bCs/>
                <w:kern w:val="0"/>
                <w:szCs w:val="21"/>
              </w:rPr>
              <w:t>5、应急预案（</w:t>
            </w:r>
            <w:r>
              <w:rPr>
                <w:rFonts w:hint="eastAsia" w:ascii="宋体" w:hAnsi="宋体" w:eastAsia="宋体" w:cs="宋体"/>
                <w:b/>
                <w:bCs/>
                <w:kern w:val="0"/>
                <w:szCs w:val="21"/>
                <w:lang w:val="en-US" w:eastAsia="zh-CN"/>
              </w:rPr>
              <w:t>5</w:t>
            </w:r>
            <w:r>
              <w:rPr>
                <w:rFonts w:hint="eastAsia" w:ascii="宋体" w:hAnsi="宋体" w:eastAsia="宋体" w:cs="宋体"/>
                <w:b/>
                <w:bCs/>
                <w:kern w:val="0"/>
                <w:szCs w:val="21"/>
              </w:rPr>
              <w:t>分）</w:t>
            </w:r>
            <w:r>
              <w:rPr>
                <w:rFonts w:hint="eastAsia" w:ascii="宋体" w:hAnsi="宋体" w:eastAsia="宋体" w:cs="宋体"/>
                <w:kern w:val="0"/>
                <w:szCs w:val="21"/>
              </w:rPr>
              <w:t>：投标人根据服务过程中遇到的各种情况制定应急预案，预案符合本项目实际情况且详细完整、表述清晰的得</w:t>
            </w:r>
            <w:r>
              <w:rPr>
                <w:rFonts w:hint="eastAsia" w:ascii="宋体" w:hAnsi="宋体" w:eastAsia="宋体" w:cs="宋体"/>
                <w:kern w:val="0"/>
                <w:szCs w:val="21"/>
                <w:lang w:val="en-US" w:eastAsia="zh-CN"/>
              </w:rPr>
              <w:t>5</w:t>
            </w:r>
            <w:r>
              <w:rPr>
                <w:rFonts w:hint="eastAsia" w:ascii="宋体" w:hAnsi="宋体" w:eastAsia="宋体" w:cs="宋体"/>
                <w:kern w:val="0"/>
                <w:szCs w:val="21"/>
              </w:rPr>
              <w:t>分；预案比较符合本项目实际情况且完整度、表述清晰度得</w:t>
            </w:r>
            <w:r>
              <w:rPr>
                <w:rFonts w:hint="eastAsia" w:ascii="宋体" w:hAnsi="宋体" w:eastAsia="宋体" w:cs="宋体"/>
                <w:kern w:val="0"/>
                <w:szCs w:val="21"/>
                <w:lang w:val="en-US" w:eastAsia="zh-CN"/>
              </w:rPr>
              <w:t>3</w:t>
            </w:r>
            <w:r>
              <w:rPr>
                <w:rFonts w:hint="eastAsia" w:ascii="宋体" w:hAnsi="宋体" w:eastAsia="宋体" w:cs="宋体"/>
                <w:kern w:val="0"/>
                <w:szCs w:val="21"/>
              </w:rPr>
              <w:t>分；预案基本符合本项目实际情况且详细完整度一般、表述一般的得</w:t>
            </w:r>
            <w:r>
              <w:rPr>
                <w:rFonts w:hint="eastAsia" w:ascii="宋体" w:hAnsi="宋体" w:eastAsia="宋体" w:cs="宋体"/>
                <w:kern w:val="0"/>
                <w:szCs w:val="21"/>
                <w:lang w:val="en-US" w:eastAsia="zh-CN"/>
              </w:rPr>
              <w:t>2</w:t>
            </w:r>
            <w:r>
              <w:rPr>
                <w:rFonts w:hint="eastAsia" w:ascii="宋体" w:hAnsi="宋体" w:eastAsia="宋体" w:cs="宋体"/>
                <w:kern w:val="0"/>
                <w:szCs w:val="21"/>
              </w:rPr>
              <w:t>分；预案符合本项目实际情况较差且完整度较差、表述较差得</w:t>
            </w:r>
            <w:r>
              <w:rPr>
                <w:rFonts w:hint="eastAsia" w:ascii="宋体" w:hAnsi="宋体" w:eastAsia="宋体" w:cs="宋体"/>
                <w:kern w:val="0"/>
                <w:szCs w:val="21"/>
                <w:lang w:val="en-US" w:eastAsia="zh-CN"/>
              </w:rPr>
              <w:t>1</w:t>
            </w:r>
            <w:r>
              <w:rPr>
                <w:rFonts w:hint="eastAsia" w:ascii="宋体" w:hAnsi="宋体" w:eastAsia="宋体" w:cs="宋体"/>
                <w:kern w:val="0"/>
                <w:szCs w:val="21"/>
              </w:rPr>
              <w:t>分；未提供相应内容不得分。</w:t>
            </w:r>
          </w:p>
          <w:p w14:paraId="247A2DE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288" w:lineRule="auto"/>
              <w:ind w:left="105" w:leftChars="50" w:right="0" w:rightChars="0" w:firstLine="0" w:firstLineChars="0"/>
              <w:jc w:val="left"/>
              <w:textAlignment w:val="auto"/>
              <w:rPr>
                <w:rFonts w:hint="eastAsia" w:ascii="宋体" w:hAnsi="宋体" w:eastAsia="宋体" w:cs="宋体"/>
                <w:kern w:val="0"/>
                <w:szCs w:val="21"/>
              </w:rPr>
            </w:pPr>
            <w:r>
              <w:rPr>
                <w:rFonts w:hint="eastAsia" w:ascii="宋体" w:hAnsi="宋体" w:eastAsia="宋体" w:cs="宋体"/>
                <w:b/>
                <w:bCs/>
                <w:kern w:val="0"/>
                <w:szCs w:val="21"/>
                <w:lang w:val="en-US" w:eastAsia="zh-CN"/>
              </w:rPr>
              <w:t>6、现场作业安全与环境保护方案</w:t>
            </w:r>
            <w:r>
              <w:rPr>
                <w:rFonts w:hint="eastAsia" w:ascii="宋体" w:hAnsi="宋体" w:eastAsia="宋体" w:cs="宋体"/>
                <w:b/>
                <w:bCs/>
                <w:kern w:val="0"/>
                <w:szCs w:val="21"/>
              </w:rPr>
              <w:t>（</w:t>
            </w:r>
            <w:r>
              <w:rPr>
                <w:rFonts w:hint="eastAsia" w:ascii="宋体" w:hAnsi="宋体" w:eastAsia="宋体" w:cs="宋体"/>
                <w:b/>
                <w:bCs/>
                <w:kern w:val="0"/>
                <w:szCs w:val="21"/>
                <w:lang w:val="en-US" w:eastAsia="zh-CN"/>
              </w:rPr>
              <w:t>6</w:t>
            </w:r>
            <w:r>
              <w:rPr>
                <w:rFonts w:hint="eastAsia" w:ascii="宋体" w:hAnsi="宋体" w:eastAsia="宋体" w:cs="宋体"/>
                <w:b/>
                <w:bCs/>
                <w:kern w:val="0"/>
                <w:szCs w:val="21"/>
              </w:rPr>
              <w:t>分）</w:t>
            </w:r>
            <w:r>
              <w:rPr>
                <w:rFonts w:hint="eastAsia" w:ascii="宋体" w:hAnsi="宋体" w:eastAsia="宋体" w:cs="宋体"/>
                <w:kern w:val="0"/>
                <w:szCs w:val="21"/>
              </w:rPr>
              <w:t>：评委会根据投标人是否提供针对本项目检测工作的</w:t>
            </w:r>
            <w:r>
              <w:rPr>
                <w:rFonts w:hint="eastAsia" w:ascii="宋体" w:hAnsi="宋体" w:eastAsia="宋体" w:cs="宋体"/>
                <w:kern w:val="0"/>
                <w:szCs w:val="21"/>
                <w:lang w:val="en-US" w:eastAsia="zh-CN"/>
              </w:rPr>
              <w:t>现场作业安全与环境保护方案进行打分，具体包括但不限于：安全生产管理制度、现场作业环境管理及交通疏导、有限空间作业安全管理、环境保护等。方案内容详细完整、技术先进、可</w:t>
            </w:r>
            <w:r>
              <w:rPr>
                <w:rFonts w:hint="eastAsia" w:ascii="宋体" w:hAnsi="宋体" w:eastAsia="宋体" w:cs="宋体"/>
                <w:kern w:val="0"/>
                <w:szCs w:val="21"/>
              </w:rPr>
              <w:t>操作性强，能显著提升检测成果价值的得</w:t>
            </w:r>
            <w:r>
              <w:rPr>
                <w:rFonts w:hint="eastAsia" w:ascii="宋体" w:hAnsi="宋体" w:eastAsia="宋体" w:cs="宋体"/>
                <w:kern w:val="0"/>
                <w:szCs w:val="21"/>
                <w:lang w:val="en-US" w:eastAsia="zh-CN"/>
              </w:rPr>
              <w:t>6</w:t>
            </w:r>
            <w:r>
              <w:rPr>
                <w:rFonts w:hint="eastAsia" w:ascii="宋体" w:hAnsi="宋体" w:eastAsia="宋体" w:cs="宋体"/>
                <w:kern w:val="0"/>
                <w:szCs w:val="21"/>
              </w:rPr>
              <w:t>分；方案内容比较详细完整、技术较为先进、可操作性较强，能较好提升成果价值的得</w:t>
            </w:r>
            <w:r>
              <w:rPr>
                <w:rFonts w:hint="eastAsia" w:ascii="宋体" w:hAnsi="宋体" w:eastAsia="宋体" w:cs="宋体"/>
                <w:kern w:val="0"/>
                <w:szCs w:val="21"/>
                <w:lang w:val="en-US" w:eastAsia="zh-CN"/>
              </w:rPr>
              <w:t>4</w:t>
            </w:r>
            <w:r>
              <w:rPr>
                <w:rFonts w:hint="eastAsia" w:ascii="宋体" w:hAnsi="宋体" w:eastAsia="宋体" w:cs="宋体"/>
                <w:kern w:val="0"/>
                <w:szCs w:val="21"/>
              </w:rPr>
              <w:t>分；方案内容基本完整、技术一般、可操作性一般，提升价值有限的得</w:t>
            </w:r>
            <w:r>
              <w:rPr>
                <w:rFonts w:hint="eastAsia" w:ascii="宋体" w:hAnsi="宋体" w:eastAsia="宋体" w:cs="宋体"/>
                <w:kern w:val="0"/>
                <w:szCs w:val="21"/>
                <w:lang w:val="en-US" w:eastAsia="zh-CN"/>
              </w:rPr>
              <w:t>2</w:t>
            </w:r>
            <w:r>
              <w:rPr>
                <w:rFonts w:hint="eastAsia" w:ascii="宋体" w:hAnsi="宋体" w:eastAsia="宋体" w:cs="宋体"/>
                <w:kern w:val="0"/>
                <w:szCs w:val="21"/>
              </w:rPr>
              <w:t>分；方案内容不够详细、技术陈旧或可操作性较低，提升价值不明显的得</w:t>
            </w:r>
            <w:r>
              <w:rPr>
                <w:rFonts w:hint="eastAsia" w:ascii="宋体" w:hAnsi="宋体" w:eastAsia="宋体" w:cs="宋体"/>
                <w:kern w:val="0"/>
                <w:szCs w:val="21"/>
                <w:lang w:val="en-US" w:eastAsia="zh-CN"/>
              </w:rPr>
              <w:t>1</w:t>
            </w:r>
            <w:r>
              <w:rPr>
                <w:rFonts w:hint="eastAsia" w:ascii="宋体" w:hAnsi="宋体" w:eastAsia="宋体" w:cs="宋体"/>
                <w:kern w:val="0"/>
                <w:szCs w:val="21"/>
              </w:rPr>
              <w:t>分；未提供相应内容不得分。</w:t>
            </w:r>
          </w:p>
          <w:p w14:paraId="420C87A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288" w:lineRule="auto"/>
              <w:ind w:left="105" w:leftChars="50" w:right="0" w:rightChars="0" w:firstLine="0" w:firstLineChars="0"/>
              <w:jc w:val="left"/>
              <w:textAlignment w:val="auto"/>
              <w:rPr>
                <w:rFonts w:hint="default" w:ascii="宋体" w:hAnsi="宋体" w:eastAsia="宋体" w:cs="宋体"/>
                <w:kern w:val="0"/>
                <w:szCs w:val="21"/>
                <w:lang w:val="en-US" w:eastAsia="zh-CN"/>
              </w:rPr>
            </w:pPr>
            <w:r>
              <w:rPr>
                <w:rFonts w:hint="eastAsia" w:ascii="宋体" w:hAnsi="宋体" w:eastAsia="宋体" w:cs="宋体"/>
                <w:b/>
                <w:bCs/>
                <w:kern w:val="0"/>
                <w:szCs w:val="21"/>
                <w:lang w:val="en-US" w:eastAsia="zh-CN"/>
              </w:rPr>
              <w:t>7、压力管道专项检测方案</w:t>
            </w:r>
            <w:r>
              <w:rPr>
                <w:rFonts w:hint="eastAsia" w:ascii="宋体" w:hAnsi="宋体" w:eastAsia="宋体" w:cs="宋体"/>
                <w:b/>
                <w:bCs/>
                <w:kern w:val="0"/>
                <w:szCs w:val="21"/>
              </w:rPr>
              <w:t>（</w:t>
            </w:r>
            <w:r>
              <w:rPr>
                <w:rFonts w:hint="eastAsia" w:ascii="宋体" w:hAnsi="宋体" w:eastAsia="宋体" w:cs="宋体"/>
                <w:b/>
                <w:bCs/>
                <w:kern w:val="0"/>
                <w:szCs w:val="21"/>
                <w:lang w:val="en-US" w:eastAsia="zh-CN"/>
              </w:rPr>
              <w:t>6</w:t>
            </w:r>
            <w:r>
              <w:rPr>
                <w:rFonts w:hint="eastAsia" w:ascii="宋体" w:hAnsi="宋体" w:eastAsia="宋体" w:cs="宋体"/>
                <w:b/>
                <w:bCs/>
                <w:kern w:val="0"/>
                <w:szCs w:val="21"/>
              </w:rPr>
              <w:t>分）</w:t>
            </w:r>
            <w:r>
              <w:rPr>
                <w:rFonts w:hint="eastAsia" w:ascii="宋体" w:hAnsi="宋体" w:eastAsia="宋体" w:cs="宋体"/>
                <w:kern w:val="0"/>
                <w:szCs w:val="21"/>
              </w:rPr>
              <w:t>：评委会根据投标人是否提供针对本项目</w:t>
            </w:r>
            <w:r>
              <w:rPr>
                <w:rFonts w:hint="eastAsia" w:ascii="宋体" w:hAnsi="宋体" w:eastAsia="宋体" w:cs="宋体"/>
                <w:kern w:val="0"/>
                <w:szCs w:val="21"/>
                <w:lang w:val="en-US" w:eastAsia="zh-CN"/>
              </w:rPr>
              <w:t>压力管道专项检测方案进行打分，具体包括但不限于：</w:t>
            </w:r>
            <w:r>
              <w:rPr>
                <w:rFonts w:hint="eastAsia" w:ascii="宋体" w:hAnsi="宋体" w:eastAsia="宋体" w:cs="宋体"/>
                <w:kern w:val="0"/>
                <w:szCs w:val="21"/>
              </w:rPr>
              <w:t>压力管道识别与检测对象界定</w:t>
            </w:r>
            <w:r>
              <w:rPr>
                <w:rFonts w:hint="eastAsia" w:ascii="宋体" w:hAnsi="宋体" w:eastAsia="宋体" w:cs="宋体"/>
                <w:kern w:val="0"/>
                <w:szCs w:val="21"/>
                <w:lang w:eastAsia="zh-CN"/>
              </w:rPr>
              <w:t>、</w:t>
            </w:r>
            <w:r>
              <w:rPr>
                <w:rFonts w:hint="eastAsia" w:ascii="宋体" w:hAnsi="宋体" w:eastAsia="宋体" w:cs="宋体"/>
                <w:kern w:val="0"/>
                <w:szCs w:val="21"/>
              </w:rPr>
              <w:t>压力管道检测技术方案</w:t>
            </w:r>
            <w:r>
              <w:rPr>
                <w:rFonts w:hint="eastAsia" w:ascii="宋体" w:hAnsi="宋体" w:eastAsia="宋体" w:cs="宋体"/>
                <w:kern w:val="0"/>
                <w:szCs w:val="21"/>
                <w:lang w:eastAsia="zh-CN"/>
              </w:rPr>
              <w:t>、</w:t>
            </w:r>
            <w:r>
              <w:rPr>
                <w:rFonts w:hint="eastAsia" w:ascii="宋体" w:hAnsi="宋体" w:eastAsia="宋体" w:cs="宋体"/>
                <w:kern w:val="0"/>
                <w:szCs w:val="21"/>
              </w:rPr>
              <w:t>压力管道检测安全保障措施</w:t>
            </w:r>
            <w:r>
              <w:rPr>
                <w:rFonts w:hint="eastAsia" w:ascii="宋体" w:hAnsi="宋体" w:eastAsia="宋体" w:cs="宋体"/>
                <w:kern w:val="0"/>
                <w:szCs w:val="21"/>
                <w:lang w:val="en-US" w:eastAsia="zh-CN"/>
              </w:rPr>
              <w:t>等。方案内容详细完整、技术先进、可</w:t>
            </w:r>
            <w:r>
              <w:rPr>
                <w:rFonts w:hint="eastAsia" w:ascii="宋体" w:hAnsi="宋体" w:eastAsia="宋体" w:cs="宋体"/>
                <w:kern w:val="0"/>
                <w:szCs w:val="21"/>
              </w:rPr>
              <w:t>操作性强，能显著提升检测成果价值的得</w:t>
            </w:r>
            <w:r>
              <w:rPr>
                <w:rFonts w:hint="eastAsia" w:ascii="宋体" w:hAnsi="宋体" w:eastAsia="宋体" w:cs="宋体"/>
                <w:kern w:val="0"/>
                <w:szCs w:val="21"/>
                <w:lang w:val="en-US" w:eastAsia="zh-CN"/>
              </w:rPr>
              <w:t>6</w:t>
            </w:r>
            <w:r>
              <w:rPr>
                <w:rFonts w:hint="eastAsia" w:ascii="宋体" w:hAnsi="宋体" w:eastAsia="宋体" w:cs="宋体"/>
                <w:kern w:val="0"/>
                <w:szCs w:val="21"/>
              </w:rPr>
              <w:t>分；方案内容比较详细完整、技术较为先进、可操作性较强，能较好提升成果价值的得</w:t>
            </w:r>
            <w:r>
              <w:rPr>
                <w:rFonts w:hint="eastAsia" w:ascii="宋体" w:hAnsi="宋体" w:eastAsia="宋体" w:cs="宋体"/>
                <w:kern w:val="0"/>
                <w:szCs w:val="21"/>
                <w:lang w:val="en-US" w:eastAsia="zh-CN"/>
              </w:rPr>
              <w:t>4</w:t>
            </w:r>
            <w:r>
              <w:rPr>
                <w:rFonts w:hint="eastAsia" w:ascii="宋体" w:hAnsi="宋体" w:eastAsia="宋体" w:cs="宋体"/>
                <w:kern w:val="0"/>
                <w:szCs w:val="21"/>
              </w:rPr>
              <w:t>分；方案内容基本完整、技术一般、可操作性一般，提升价值有限的得</w:t>
            </w:r>
            <w:r>
              <w:rPr>
                <w:rFonts w:hint="eastAsia" w:ascii="宋体" w:hAnsi="宋体" w:eastAsia="宋体" w:cs="宋体"/>
                <w:kern w:val="0"/>
                <w:szCs w:val="21"/>
                <w:lang w:val="en-US" w:eastAsia="zh-CN"/>
              </w:rPr>
              <w:t>2</w:t>
            </w:r>
            <w:r>
              <w:rPr>
                <w:rFonts w:hint="eastAsia" w:ascii="宋体" w:hAnsi="宋体" w:eastAsia="宋体" w:cs="宋体"/>
                <w:kern w:val="0"/>
                <w:szCs w:val="21"/>
              </w:rPr>
              <w:t>分；方案内容不够详细、技术陈旧或可操作性较低，提升价值不明显的得</w:t>
            </w:r>
            <w:r>
              <w:rPr>
                <w:rFonts w:hint="eastAsia" w:ascii="宋体" w:hAnsi="宋体" w:eastAsia="宋体" w:cs="宋体"/>
                <w:kern w:val="0"/>
                <w:szCs w:val="21"/>
                <w:lang w:val="en-US" w:eastAsia="zh-CN"/>
              </w:rPr>
              <w:t>1</w:t>
            </w:r>
            <w:r>
              <w:rPr>
                <w:rFonts w:hint="eastAsia" w:ascii="宋体" w:hAnsi="宋体" w:eastAsia="宋体" w:cs="宋体"/>
                <w:kern w:val="0"/>
                <w:szCs w:val="21"/>
              </w:rPr>
              <w:t>分；未提供相应内容不得分。</w:t>
            </w:r>
          </w:p>
          <w:p w14:paraId="1A157A5E">
            <w:pPr>
              <w:keepNext w:val="0"/>
              <w:keepLines w:val="0"/>
              <w:pageBreakBefore w:val="0"/>
              <w:widowControl/>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288" w:lineRule="auto"/>
              <w:ind w:left="105" w:leftChars="50" w:right="0" w:rightChars="0" w:firstLine="0" w:firstLineChars="0"/>
              <w:jc w:val="left"/>
              <w:textAlignment w:val="auto"/>
              <w:rPr>
                <w:rFonts w:hint="eastAsia" w:ascii="宋体" w:hAnsi="宋体" w:eastAsia="宋体" w:cs="宋体"/>
                <w:kern w:val="0"/>
                <w:szCs w:val="21"/>
              </w:rPr>
            </w:pPr>
            <w:r>
              <w:rPr>
                <w:rFonts w:hint="eastAsia" w:ascii="宋体" w:hAnsi="宋体" w:eastAsia="宋体" w:cs="宋体"/>
                <w:b/>
                <w:bCs/>
                <w:kern w:val="0"/>
                <w:szCs w:val="21"/>
                <w:lang w:val="en-US" w:eastAsia="zh-CN"/>
              </w:rPr>
              <w:t>8、</w:t>
            </w:r>
            <w:r>
              <w:rPr>
                <w:rFonts w:hint="eastAsia" w:ascii="宋体" w:hAnsi="宋体" w:eastAsia="宋体" w:cs="宋体"/>
                <w:b/>
                <w:bCs/>
                <w:kern w:val="0"/>
                <w:szCs w:val="21"/>
              </w:rPr>
              <w:t>服务提升方案（</w:t>
            </w:r>
            <w:r>
              <w:rPr>
                <w:rFonts w:hint="eastAsia" w:ascii="宋体" w:hAnsi="宋体" w:eastAsia="宋体" w:cs="宋体"/>
                <w:b/>
                <w:bCs/>
                <w:kern w:val="0"/>
                <w:szCs w:val="21"/>
                <w:lang w:val="en-US" w:eastAsia="zh-CN"/>
              </w:rPr>
              <w:t>6</w:t>
            </w:r>
            <w:r>
              <w:rPr>
                <w:rFonts w:hint="eastAsia" w:ascii="宋体" w:hAnsi="宋体" w:eastAsia="宋体" w:cs="宋体"/>
                <w:b/>
                <w:bCs/>
                <w:kern w:val="0"/>
                <w:szCs w:val="21"/>
              </w:rPr>
              <w:t>分）</w:t>
            </w:r>
            <w:r>
              <w:rPr>
                <w:rFonts w:hint="eastAsia" w:ascii="宋体" w:hAnsi="宋体" w:eastAsia="宋体" w:cs="宋体"/>
                <w:kern w:val="0"/>
                <w:szCs w:val="21"/>
              </w:rPr>
              <w:t>：评委会根据投标人是否提供针对本项目检测工作的服务提升方案进行打分，具体包括但不限于：在满足常规CCTV/QV检测要求的基础上，采用更先进的检测技术（如三维激光扫描、激光/声呐联合测量、无线潜望镜等），并承诺为本项目投入相应的仪器设备（可自有或租赁），向采购人交付相应的高价值数据成果。方案内容详细完整、技术先进、可操作性强，能显著提升检测成果价值的得</w:t>
            </w:r>
            <w:r>
              <w:rPr>
                <w:rFonts w:hint="eastAsia" w:ascii="宋体" w:hAnsi="宋体" w:eastAsia="宋体" w:cs="宋体"/>
                <w:kern w:val="0"/>
                <w:szCs w:val="21"/>
                <w:lang w:val="en-US" w:eastAsia="zh-CN"/>
              </w:rPr>
              <w:t>6</w:t>
            </w:r>
            <w:r>
              <w:rPr>
                <w:rFonts w:hint="eastAsia" w:ascii="宋体" w:hAnsi="宋体" w:eastAsia="宋体" w:cs="宋体"/>
                <w:kern w:val="0"/>
                <w:szCs w:val="21"/>
              </w:rPr>
              <w:t>分；方案内容比较详细完整、技术较为先进、可操作性较强，能较好提升成果价值的得</w:t>
            </w:r>
            <w:r>
              <w:rPr>
                <w:rFonts w:hint="eastAsia" w:ascii="宋体" w:hAnsi="宋体" w:eastAsia="宋体" w:cs="宋体"/>
                <w:kern w:val="0"/>
                <w:szCs w:val="21"/>
                <w:lang w:val="en-US" w:eastAsia="zh-CN"/>
              </w:rPr>
              <w:t>4</w:t>
            </w:r>
            <w:r>
              <w:rPr>
                <w:rFonts w:hint="eastAsia" w:ascii="宋体" w:hAnsi="宋体" w:eastAsia="宋体" w:cs="宋体"/>
                <w:kern w:val="0"/>
                <w:szCs w:val="21"/>
              </w:rPr>
              <w:t>分；方案内容基本完整、技术一般、可操作性一般，提升价值有限的得</w:t>
            </w:r>
            <w:r>
              <w:rPr>
                <w:rFonts w:hint="eastAsia" w:ascii="宋体" w:hAnsi="宋体" w:eastAsia="宋体" w:cs="宋体"/>
                <w:kern w:val="0"/>
                <w:szCs w:val="21"/>
                <w:lang w:val="en-US" w:eastAsia="zh-CN"/>
              </w:rPr>
              <w:t>2</w:t>
            </w:r>
            <w:r>
              <w:rPr>
                <w:rFonts w:hint="eastAsia" w:ascii="宋体" w:hAnsi="宋体" w:eastAsia="宋体" w:cs="宋体"/>
                <w:kern w:val="0"/>
                <w:szCs w:val="21"/>
              </w:rPr>
              <w:t>分；方案内容不够详细、技术陈旧或可操作性较低，提升价值不明显的得</w:t>
            </w:r>
            <w:r>
              <w:rPr>
                <w:rFonts w:hint="eastAsia" w:ascii="宋体" w:hAnsi="宋体" w:eastAsia="宋体" w:cs="宋体"/>
                <w:kern w:val="0"/>
                <w:szCs w:val="21"/>
                <w:lang w:val="en-US" w:eastAsia="zh-CN"/>
              </w:rPr>
              <w:t>1</w:t>
            </w:r>
            <w:r>
              <w:rPr>
                <w:rFonts w:hint="eastAsia" w:ascii="宋体" w:hAnsi="宋体" w:eastAsia="宋体" w:cs="宋体"/>
                <w:kern w:val="0"/>
                <w:szCs w:val="21"/>
              </w:rPr>
              <w:t>分；未提供相应内容不得分。</w:t>
            </w:r>
          </w:p>
          <w:p w14:paraId="67650F9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288" w:lineRule="auto"/>
              <w:ind w:left="105" w:leftChars="50" w:right="0" w:rightChars="0" w:firstLine="0" w:firstLineChars="0"/>
              <w:jc w:val="left"/>
              <w:textAlignment w:val="auto"/>
              <w:rPr>
                <w:rFonts w:hint="eastAsia" w:ascii="宋体" w:hAnsi="宋体" w:eastAsia="宋体" w:cs="宋体"/>
                <w:kern w:val="0"/>
                <w:szCs w:val="21"/>
              </w:rPr>
            </w:pPr>
            <w:r>
              <w:rPr>
                <w:rFonts w:hint="eastAsia" w:ascii="宋体" w:hAnsi="宋体" w:eastAsia="宋体" w:cs="宋体"/>
                <w:kern w:val="0"/>
                <w:szCs w:val="21"/>
              </w:rPr>
              <w:t>注：投标人承诺投入的设备（如三维激光扫描仪等），其自有或租赁的证明材料要求与本章第4条“设备配备”评分项的提供方式一致。</w:t>
            </w:r>
          </w:p>
        </w:tc>
      </w:tr>
    </w:tbl>
    <w:p w14:paraId="34EDAE2E">
      <w:pPr>
        <w:shd w:val="clear" w:color="auto" w:fill="FFFFFF"/>
        <w:spacing w:line="420" w:lineRule="exact"/>
        <w:ind w:firstLine="476"/>
        <w:jc w:val="left"/>
        <w:rPr>
          <w:rFonts w:ascii="Times New Roman" w:hAnsi="Times New Roman" w:eastAsia="宋体" w:cs="Times New Roman"/>
          <w:bCs/>
          <w:kern w:val="0"/>
          <w:szCs w:val="21"/>
        </w:rPr>
      </w:pPr>
      <w:r>
        <w:rPr>
          <w:rFonts w:hint="eastAsia" w:ascii="宋体" w:hAnsi="宋体" w:eastAsia="宋体" w:cs="Times New Roman"/>
          <w:bCs/>
          <w:kern w:val="0"/>
          <w:szCs w:val="21"/>
        </w:rPr>
        <w:t>2.</w:t>
      </w:r>
      <w:r>
        <w:rPr>
          <w:rFonts w:ascii="宋体" w:hAnsi="宋体" w:eastAsia="宋体" w:cs="Times New Roman"/>
          <w:bCs/>
          <w:kern w:val="0"/>
          <w:szCs w:val="21"/>
        </w:rPr>
        <w:t>2</w:t>
      </w:r>
      <w:r>
        <w:rPr>
          <w:rFonts w:hint="eastAsia" w:ascii="宋体" w:hAnsi="宋体" w:eastAsia="宋体" w:cs="Times New Roman"/>
          <w:bCs/>
          <w:kern w:val="0"/>
          <w:szCs w:val="21"/>
        </w:rPr>
        <w:t>招标人有权在中标公示期间、签约前后等任何环节对相关资料的真实性进行核验，如发现提供虚假资料招标人将依法取消其中标资格。</w:t>
      </w:r>
    </w:p>
    <w:p w14:paraId="559BBAA7">
      <w:pPr>
        <w:shd w:val="clear" w:color="auto" w:fill="FFFFFF"/>
        <w:spacing w:line="420" w:lineRule="exact"/>
        <w:ind w:firstLine="476"/>
        <w:jc w:val="left"/>
        <w:rPr>
          <w:rFonts w:hint="eastAsia" w:ascii="宋体" w:hAnsi="宋体" w:eastAsia="宋体" w:cs="Times New Roman"/>
          <w:kern w:val="0"/>
          <w:szCs w:val="21"/>
        </w:rPr>
      </w:pPr>
      <w:r>
        <w:rPr>
          <w:rFonts w:hint="eastAsia" w:ascii="宋体" w:hAnsi="宋体" w:eastAsia="宋体" w:cs="Times New Roman"/>
          <w:kern w:val="0"/>
          <w:szCs w:val="21"/>
        </w:rPr>
        <w:t>2.</w:t>
      </w:r>
      <w:r>
        <w:rPr>
          <w:rFonts w:ascii="宋体" w:hAnsi="宋体" w:eastAsia="宋体" w:cs="Times New Roman"/>
          <w:kern w:val="0"/>
          <w:szCs w:val="21"/>
        </w:rPr>
        <w:t>3</w:t>
      </w:r>
      <w:r>
        <w:rPr>
          <w:rFonts w:hint="eastAsia" w:ascii="宋体" w:hAnsi="宋体" w:eastAsia="宋体" w:cs="Times New Roman"/>
          <w:kern w:val="0"/>
          <w:szCs w:val="21"/>
        </w:rPr>
        <w:t>评委应记名打分，打分未记名的或未按招标文件规定的评标办法打分的，一律按无效打分处理。取所有评委的有效分值进行计分、汇总；各项汇总时，每大项记分保留两位小数（第三位四舍五入）；总得分汇总时保留两位小数（第三位四舍五入）。</w:t>
      </w:r>
    </w:p>
    <w:p w14:paraId="7424FAAE">
      <w:pPr>
        <w:spacing w:line="420" w:lineRule="exact"/>
        <w:ind w:firstLine="478"/>
        <w:jc w:val="left"/>
        <w:rPr>
          <w:rFonts w:ascii="Times New Roman" w:hAnsi="Times New Roman" w:eastAsia="宋体" w:cs="Times New Roman"/>
          <w:kern w:val="0"/>
          <w:szCs w:val="21"/>
        </w:rPr>
      </w:pPr>
      <w:r>
        <w:rPr>
          <w:rFonts w:hint="eastAsia" w:ascii="宋体" w:hAnsi="宋体" w:eastAsia="宋体" w:cs="宋体"/>
          <w:b/>
          <w:kern w:val="0"/>
          <w:szCs w:val="21"/>
        </w:rPr>
        <w:t>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p>
    <w:p w14:paraId="47D1698B">
      <w:pPr>
        <w:spacing w:line="420" w:lineRule="exact"/>
        <w:ind w:firstLine="476"/>
        <w:jc w:val="left"/>
        <w:rPr>
          <w:rFonts w:hint="eastAsia" w:ascii="宋体" w:hAnsi="宋体" w:eastAsia="宋体" w:cs="宋体"/>
          <w:kern w:val="0"/>
          <w:szCs w:val="21"/>
        </w:rPr>
      </w:pPr>
      <w:r>
        <w:rPr>
          <w:rFonts w:hint="eastAsia" w:ascii="宋体" w:hAnsi="宋体" w:eastAsia="宋体" w:cs="宋体"/>
          <w:kern w:val="0"/>
          <w:szCs w:val="21"/>
        </w:rPr>
        <w:t>（三）评标程序</w:t>
      </w:r>
    </w:p>
    <w:p w14:paraId="7FDDADB5">
      <w:pPr>
        <w:spacing w:line="420" w:lineRule="exact"/>
        <w:ind w:firstLine="476"/>
        <w:jc w:val="left"/>
        <w:rPr>
          <w:rFonts w:hint="eastAsia" w:ascii="宋体" w:hAnsi="宋体" w:eastAsia="宋体" w:cs="宋体"/>
          <w:kern w:val="0"/>
          <w:szCs w:val="21"/>
        </w:rPr>
      </w:pPr>
      <w:bookmarkStart w:id="188" w:name="_Toc22907"/>
      <w:bookmarkStart w:id="189" w:name="_Toc29388463"/>
      <w:bookmarkStart w:id="190" w:name="_Toc397928606"/>
      <w:r>
        <w:rPr>
          <w:rFonts w:hint="eastAsia" w:ascii="宋体" w:hAnsi="宋体" w:eastAsia="宋体" w:cs="宋体"/>
          <w:kern w:val="0"/>
          <w:szCs w:val="21"/>
        </w:rPr>
        <w:t>3.1评标准备</w:t>
      </w:r>
      <w:bookmarkEnd w:id="188"/>
      <w:bookmarkEnd w:id="189"/>
      <w:bookmarkEnd w:id="190"/>
    </w:p>
    <w:p w14:paraId="22AF28B3">
      <w:pPr>
        <w:spacing w:line="420" w:lineRule="exact"/>
        <w:ind w:firstLine="476"/>
        <w:jc w:val="left"/>
        <w:rPr>
          <w:rFonts w:hint="eastAsia" w:ascii="宋体" w:hAnsi="宋体" w:eastAsia="宋体" w:cs="宋体"/>
          <w:kern w:val="0"/>
          <w:szCs w:val="21"/>
        </w:rPr>
      </w:pPr>
      <w:r>
        <w:rPr>
          <w:rFonts w:hint="eastAsia" w:ascii="宋体" w:hAnsi="宋体" w:eastAsia="宋体" w:cs="宋体"/>
          <w:kern w:val="0"/>
          <w:szCs w:val="21"/>
        </w:rPr>
        <w:t>3.1.</w:t>
      </w:r>
      <w:r>
        <w:rPr>
          <w:rFonts w:ascii="宋体" w:hAnsi="宋体" w:eastAsia="宋体" w:cs="宋体"/>
          <w:kern w:val="0"/>
          <w:szCs w:val="21"/>
        </w:rPr>
        <w:t>1</w:t>
      </w:r>
      <w:r>
        <w:rPr>
          <w:rFonts w:hint="eastAsia" w:ascii="宋体" w:hAnsi="宋体" w:eastAsia="宋体" w:cs="宋体"/>
          <w:kern w:val="0"/>
          <w:szCs w:val="21"/>
        </w:rPr>
        <w:t>评标委员会成员首先推选一名评标委员会负责人，负责评标活动的组织领导工作。</w:t>
      </w:r>
    </w:p>
    <w:p w14:paraId="195DF10D">
      <w:pPr>
        <w:spacing w:line="420" w:lineRule="exact"/>
        <w:ind w:firstLine="476"/>
        <w:jc w:val="left"/>
        <w:rPr>
          <w:rFonts w:hint="eastAsia" w:ascii="宋体" w:hAnsi="宋体" w:eastAsia="宋体" w:cs="宋体"/>
          <w:kern w:val="0"/>
          <w:szCs w:val="21"/>
        </w:rPr>
      </w:pPr>
      <w:r>
        <w:rPr>
          <w:rFonts w:hint="eastAsia" w:ascii="宋体" w:hAnsi="宋体" w:eastAsia="宋体" w:cs="宋体"/>
          <w:kern w:val="0"/>
          <w:szCs w:val="21"/>
        </w:rPr>
        <w:t>3.1.</w:t>
      </w:r>
      <w:r>
        <w:rPr>
          <w:rFonts w:ascii="宋体" w:hAnsi="宋体" w:eastAsia="宋体" w:cs="宋体"/>
          <w:kern w:val="0"/>
          <w:szCs w:val="21"/>
        </w:rPr>
        <w:t>2</w:t>
      </w:r>
      <w:r>
        <w:rPr>
          <w:rFonts w:hint="eastAsia" w:ascii="宋体" w:hAnsi="宋体" w:eastAsia="宋体" w:cs="宋体"/>
          <w:kern w:val="0"/>
          <w:szCs w:val="21"/>
        </w:rPr>
        <w:t>招标人或采购代理机构应向评标委员会提供评标所需的信息和数据。评标委员会负责人应组织评标委员会成员认真研究招标文件，未在招标文件中规定的标准和方法不得作为评标的依据。</w:t>
      </w:r>
    </w:p>
    <w:p w14:paraId="35E435DD">
      <w:pPr>
        <w:spacing w:line="420" w:lineRule="exact"/>
        <w:ind w:firstLine="476"/>
        <w:jc w:val="left"/>
        <w:rPr>
          <w:rFonts w:hint="eastAsia" w:ascii="宋体" w:hAnsi="宋体" w:eastAsia="宋体" w:cs="宋体"/>
          <w:kern w:val="0"/>
          <w:szCs w:val="21"/>
        </w:rPr>
      </w:pPr>
      <w:bookmarkStart w:id="191" w:name="_Toc29388464"/>
      <w:bookmarkStart w:id="192" w:name="_Toc397928607"/>
      <w:bookmarkStart w:id="193" w:name="_Toc6331"/>
      <w:r>
        <w:rPr>
          <w:rFonts w:hint="eastAsia" w:ascii="宋体" w:hAnsi="宋体" w:eastAsia="宋体" w:cs="宋体"/>
          <w:kern w:val="0"/>
          <w:szCs w:val="21"/>
        </w:rPr>
        <w:t>3.2初步评审</w:t>
      </w:r>
      <w:bookmarkEnd w:id="191"/>
      <w:bookmarkEnd w:id="192"/>
      <w:bookmarkEnd w:id="193"/>
    </w:p>
    <w:p w14:paraId="63CCABB5">
      <w:pPr>
        <w:spacing w:line="420" w:lineRule="exact"/>
        <w:ind w:firstLine="476"/>
        <w:jc w:val="left"/>
        <w:rPr>
          <w:rFonts w:hint="eastAsia" w:ascii="宋体" w:hAnsi="宋体" w:eastAsia="宋体" w:cs="宋体"/>
          <w:kern w:val="0"/>
          <w:szCs w:val="21"/>
        </w:rPr>
      </w:pPr>
      <w:r>
        <w:rPr>
          <w:rFonts w:hint="eastAsia" w:ascii="宋体" w:hAnsi="宋体" w:eastAsia="宋体" w:cs="宋体"/>
          <w:kern w:val="0"/>
          <w:szCs w:val="21"/>
        </w:rPr>
        <w:t>3.2.1评标委员会依据本章规定的标准对投标文件进行初步评审。</w:t>
      </w:r>
    </w:p>
    <w:p w14:paraId="65341482">
      <w:pPr>
        <w:spacing w:line="420" w:lineRule="exact"/>
        <w:ind w:firstLine="476"/>
        <w:jc w:val="left"/>
        <w:rPr>
          <w:rFonts w:hint="eastAsia" w:ascii="宋体" w:hAnsi="宋体" w:eastAsia="宋体" w:cs="宋体"/>
          <w:kern w:val="0"/>
          <w:szCs w:val="21"/>
        </w:rPr>
      </w:pPr>
      <w:r>
        <w:rPr>
          <w:rFonts w:hint="eastAsia" w:ascii="宋体" w:hAnsi="宋体" w:eastAsia="宋体" w:cs="宋体"/>
          <w:kern w:val="0"/>
          <w:szCs w:val="21"/>
        </w:rPr>
        <w:t>3.2.2投标文件不符合本章评审标准的，属于重大偏差，视为未能对招标文件作出实质性响应，应当作为无效投标予以否决。</w:t>
      </w:r>
    </w:p>
    <w:p w14:paraId="7A56EC73">
      <w:pPr>
        <w:spacing w:line="420" w:lineRule="exact"/>
        <w:ind w:firstLine="476"/>
        <w:jc w:val="left"/>
        <w:rPr>
          <w:rFonts w:hint="eastAsia" w:ascii="宋体" w:hAnsi="宋体" w:eastAsia="宋体" w:cs="宋体"/>
          <w:kern w:val="0"/>
          <w:szCs w:val="21"/>
        </w:rPr>
      </w:pPr>
      <w:r>
        <w:rPr>
          <w:rFonts w:hint="eastAsia" w:ascii="宋体" w:hAnsi="宋体" w:eastAsia="宋体" w:cs="宋体"/>
          <w:kern w:val="0"/>
          <w:szCs w:val="21"/>
        </w:rPr>
        <w:t>3.2.</w:t>
      </w:r>
      <w:r>
        <w:rPr>
          <w:rFonts w:ascii="宋体" w:hAnsi="宋体" w:eastAsia="宋体" w:cs="宋体"/>
          <w:kern w:val="0"/>
          <w:szCs w:val="21"/>
        </w:rPr>
        <w:t>3</w:t>
      </w:r>
      <w:r>
        <w:rPr>
          <w:rFonts w:hint="eastAsia" w:ascii="宋体" w:hAnsi="宋体" w:eastAsia="宋体" w:cs="宋体"/>
          <w:kern w:val="0"/>
          <w:szCs w:val="21"/>
        </w:rPr>
        <w:t>只有通过初步评审的投标文件才能进入详细评审。</w:t>
      </w:r>
    </w:p>
    <w:p w14:paraId="1F8CCDC9">
      <w:pPr>
        <w:spacing w:line="420" w:lineRule="exact"/>
        <w:ind w:firstLine="476"/>
        <w:jc w:val="left"/>
        <w:rPr>
          <w:rFonts w:hint="eastAsia" w:ascii="宋体" w:hAnsi="宋体" w:eastAsia="宋体" w:cs="宋体"/>
          <w:kern w:val="0"/>
          <w:szCs w:val="21"/>
        </w:rPr>
      </w:pPr>
      <w:bookmarkStart w:id="194" w:name="_Toc29388465"/>
      <w:bookmarkStart w:id="195" w:name="_Toc7389"/>
      <w:bookmarkStart w:id="196" w:name="_Toc397928608"/>
      <w:r>
        <w:rPr>
          <w:rFonts w:hint="eastAsia" w:ascii="宋体" w:hAnsi="宋体" w:eastAsia="宋体" w:cs="宋体"/>
          <w:kern w:val="0"/>
          <w:szCs w:val="21"/>
        </w:rPr>
        <w:t>3.3详细评审</w:t>
      </w:r>
      <w:bookmarkEnd w:id="194"/>
      <w:bookmarkEnd w:id="195"/>
      <w:bookmarkEnd w:id="196"/>
    </w:p>
    <w:p w14:paraId="5F288CD9">
      <w:pPr>
        <w:spacing w:line="420" w:lineRule="exact"/>
        <w:ind w:firstLine="476"/>
        <w:jc w:val="left"/>
        <w:rPr>
          <w:rFonts w:hint="eastAsia" w:ascii="宋体" w:hAnsi="宋体" w:eastAsia="宋体" w:cs="宋体"/>
          <w:kern w:val="0"/>
          <w:szCs w:val="21"/>
        </w:rPr>
      </w:pPr>
      <w:bookmarkStart w:id="197" w:name="_Toc5826"/>
      <w:bookmarkStart w:id="198" w:name="_Toc397928609"/>
      <w:bookmarkStart w:id="199" w:name="_Toc29388466"/>
      <w:r>
        <w:rPr>
          <w:rFonts w:hint="eastAsia" w:ascii="宋体" w:hAnsi="宋体" w:eastAsia="宋体" w:cs="宋体"/>
          <w:kern w:val="0"/>
          <w:szCs w:val="21"/>
        </w:rPr>
        <w:t>3.4投标文件的澄清和补正</w:t>
      </w:r>
      <w:bookmarkEnd w:id="197"/>
      <w:bookmarkEnd w:id="198"/>
      <w:bookmarkEnd w:id="199"/>
    </w:p>
    <w:p w14:paraId="00FEC9D6">
      <w:pPr>
        <w:spacing w:line="420" w:lineRule="exact"/>
        <w:ind w:firstLine="476"/>
        <w:jc w:val="left"/>
        <w:rPr>
          <w:rFonts w:hint="eastAsia" w:ascii="宋体" w:hAnsi="宋体" w:eastAsia="宋体" w:cs="宋体"/>
          <w:kern w:val="0"/>
          <w:szCs w:val="21"/>
        </w:rPr>
      </w:pPr>
      <w:r>
        <w:rPr>
          <w:rFonts w:hint="eastAsia" w:ascii="宋体" w:hAnsi="宋体" w:eastAsia="宋体" w:cs="宋体"/>
          <w:kern w:val="0"/>
          <w:szCs w:val="21"/>
        </w:rPr>
        <w:t>3.4.1在评标过程中，评标委员会可以书面形式要求投标人对所提交投标文件中不明确的内容进行书面澄清或说明，或者对细微偏差进行补正。评标委员会不接受投标人主动提出的澄清、说明或补正。</w:t>
      </w:r>
    </w:p>
    <w:p w14:paraId="26E1F93D">
      <w:pPr>
        <w:spacing w:line="420" w:lineRule="exact"/>
        <w:ind w:firstLine="476"/>
        <w:jc w:val="left"/>
        <w:rPr>
          <w:rFonts w:hint="eastAsia" w:ascii="宋体" w:hAnsi="宋体" w:eastAsia="宋体" w:cs="宋体"/>
          <w:kern w:val="0"/>
          <w:szCs w:val="21"/>
        </w:rPr>
      </w:pPr>
      <w:r>
        <w:rPr>
          <w:rFonts w:hint="eastAsia" w:ascii="宋体" w:hAnsi="宋体" w:eastAsia="宋体" w:cs="宋体"/>
          <w:kern w:val="0"/>
          <w:szCs w:val="21"/>
        </w:rPr>
        <w:t>3.4.2澄清、说明和补正不得改变投标文件的实质性内容（算术性错误修正的除外）。投标人的书面澄清、说明和补正属于投标文件的组成部分。</w:t>
      </w:r>
    </w:p>
    <w:p w14:paraId="194A6402">
      <w:pPr>
        <w:spacing w:line="420" w:lineRule="exact"/>
        <w:ind w:firstLine="476"/>
        <w:jc w:val="left"/>
        <w:rPr>
          <w:rFonts w:hint="eastAsia" w:ascii="宋体" w:hAnsi="宋体" w:eastAsia="宋体" w:cs="宋体"/>
          <w:kern w:val="0"/>
          <w:szCs w:val="21"/>
        </w:rPr>
      </w:pPr>
      <w:r>
        <w:rPr>
          <w:rFonts w:hint="eastAsia" w:ascii="宋体" w:hAnsi="宋体" w:eastAsia="宋体" w:cs="宋体"/>
          <w:kern w:val="0"/>
          <w:szCs w:val="21"/>
        </w:rPr>
        <w:t>3.4.3评标委员会对投标人提交的澄清、说明或补正有疑问的，可以要求投标人进一步澄清、说明或补正。</w:t>
      </w:r>
    </w:p>
    <w:p w14:paraId="52776275">
      <w:pPr>
        <w:spacing w:line="420" w:lineRule="exact"/>
        <w:ind w:firstLine="476"/>
        <w:jc w:val="left"/>
        <w:rPr>
          <w:rFonts w:hint="eastAsia" w:ascii="宋体" w:hAnsi="宋体" w:eastAsia="宋体" w:cs="宋体"/>
          <w:kern w:val="0"/>
          <w:szCs w:val="21"/>
        </w:rPr>
      </w:pPr>
      <w:bookmarkStart w:id="200" w:name="_Toc29288"/>
      <w:bookmarkStart w:id="201" w:name="_Toc397928610"/>
      <w:bookmarkStart w:id="202" w:name="_Toc29388467"/>
      <w:r>
        <w:rPr>
          <w:rFonts w:hint="eastAsia" w:ascii="宋体" w:hAnsi="宋体" w:eastAsia="宋体" w:cs="宋体"/>
          <w:kern w:val="0"/>
          <w:szCs w:val="21"/>
        </w:rPr>
        <w:t>3.5推荐中标候选人或直接确定中标人</w:t>
      </w:r>
      <w:bookmarkEnd w:id="200"/>
      <w:bookmarkEnd w:id="201"/>
      <w:bookmarkEnd w:id="202"/>
    </w:p>
    <w:p w14:paraId="765B843E">
      <w:pPr>
        <w:spacing w:line="420" w:lineRule="exact"/>
        <w:ind w:firstLine="476"/>
        <w:jc w:val="left"/>
        <w:rPr>
          <w:rFonts w:hint="eastAsia" w:ascii="宋体" w:hAnsi="宋体" w:eastAsia="宋体" w:cs="宋体"/>
          <w:kern w:val="0"/>
          <w:szCs w:val="21"/>
        </w:rPr>
      </w:pPr>
      <w:r>
        <w:rPr>
          <w:rFonts w:hint="eastAsia" w:ascii="宋体" w:hAnsi="宋体" w:eastAsia="宋体" w:cs="宋体"/>
          <w:kern w:val="0"/>
          <w:szCs w:val="21"/>
        </w:rPr>
        <w:t>3.5.1除招标文件明确授权评标委员会直接确定中标人外，评标委员会在推荐中标候选人时，应遵照以下原则:</w:t>
      </w:r>
    </w:p>
    <w:p w14:paraId="69C950E1">
      <w:pPr>
        <w:spacing w:line="420" w:lineRule="exact"/>
        <w:ind w:firstLine="476"/>
        <w:jc w:val="left"/>
        <w:rPr>
          <w:rFonts w:hint="eastAsia" w:ascii="宋体" w:hAnsi="TimesNewRomanPSMT" w:eastAsia="宋体" w:cs="Times New Roman"/>
          <w:kern w:val="0"/>
          <w:szCs w:val="21"/>
        </w:rPr>
      </w:pPr>
      <w:bookmarkStart w:id="203" w:name="_Toc397928611"/>
      <w:bookmarkStart w:id="204" w:name="_Toc29388468"/>
      <w:r>
        <w:rPr>
          <w:rFonts w:hint="eastAsia" w:ascii="宋体" w:hAnsi="TimesNewRomanPSMT" w:eastAsia="宋体" w:cs="Times New Roman"/>
          <w:kern w:val="0"/>
          <w:szCs w:val="21"/>
        </w:rPr>
        <w:t>评标委员会按照最终得分由高至低的次序排列，并根据招标文件规定的中标候选人数量，将排序在前的投标人推荐为中标候选人。</w:t>
      </w:r>
    </w:p>
    <w:p w14:paraId="4AD3DBA6">
      <w:pPr>
        <w:spacing w:line="420" w:lineRule="exact"/>
        <w:ind w:firstLine="476"/>
        <w:jc w:val="left"/>
        <w:rPr>
          <w:rFonts w:hint="eastAsia" w:ascii="宋体" w:hAnsi="宋体" w:eastAsia="宋体" w:cs="宋体"/>
          <w:kern w:val="0"/>
          <w:szCs w:val="21"/>
        </w:rPr>
      </w:pPr>
      <w:r>
        <w:rPr>
          <w:rFonts w:hint="eastAsia" w:ascii="宋体" w:hAnsi="宋体" w:eastAsia="宋体" w:cs="宋体"/>
          <w:kern w:val="0"/>
          <w:szCs w:val="21"/>
        </w:rPr>
        <w:t>3.6提交评标报告</w:t>
      </w:r>
      <w:bookmarkEnd w:id="203"/>
      <w:bookmarkEnd w:id="204"/>
    </w:p>
    <w:p w14:paraId="4A03D1D0">
      <w:pPr>
        <w:spacing w:line="420" w:lineRule="exact"/>
        <w:ind w:firstLine="476"/>
        <w:jc w:val="left"/>
        <w:rPr>
          <w:rFonts w:hint="eastAsia" w:ascii="宋体" w:hAnsi="宋体" w:eastAsia="宋体" w:cs="宋体"/>
          <w:kern w:val="0"/>
          <w:szCs w:val="21"/>
        </w:rPr>
      </w:pPr>
      <w:r>
        <w:rPr>
          <w:rFonts w:hint="eastAsia" w:ascii="宋体" w:hAnsi="宋体" w:eastAsia="宋体" w:cs="宋体"/>
          <w:kern w:val="0"/>
          <w:szCs w:val="21"/>
        </w:rPr>
        <w:t>评标委员会完成评标后，应当向招标人提交书面评标报告。评标报告应当由全体评标委员会成员签字，并于评标结束时抄送有关行政监督部门。</w:t>
      </w:r>
    </w:p>
    <w:p w14:paraId="22FC0707">
      <w:pPr>
        <w:spacing w:line="420" w:lineRule="exact"/>
        <w:ind w:firstLine="476"/>
        <w:jc w:val="left"/>
        <w:rPr>
          <w:rFonts w:hint="eastAsia" w:ascii="宋体" w:hAnsi="宋体" w:eastAsia="宋体" w:cs="宋体"/>
          <w:kern w:val="0"/>
          <w:szCs w:val="21"/>
        </w:rPr>
      </w:pPr>
      <w:bookmarkStart w:id="205" w:name="_Toc29388469"/>
      <w:r>
        <w:rPr>
          <w:rFonts w:hint="eastAsia" w:ascii="宋体" w:hAnsi="宋体" w:eastAsia="宋体" w:cs="宋体"/>
          <w:kern w:val="0"/>
          <w:szCs w:val="21"/>
        </w:rPr>
        <w:t>（四）通用评标规则</w:t>
      </w:r>
      <w:bookmarkEnd w:id="205"/>
    </w:p>
    <w:p w14:paraId="5877C1D8">
      <w:pPr>
        <w:spacing w:line="420" w:lineRule="exact"/>
        <w:ind w:firstLine="476"/>
        <w:jc w:val="left"/>
        <w:rPr>
          <w:rFonts w:hint="eastAsia" w:ascii="宋体" w:hAnsi="宋体" w:eastAsia="宋体" w:cs="宋体"/>
          <w:kern w:val="0"/>
          <w:szCs w:val="21"/>
        </w:rPr>
      </w:pPr>
      <w:bookmarkStart w:id="206" w:name="_Toc29388470"/>
      <w:r>
        <w:rPr>
          <w:rFonts w:hint="eastAsia" w:ascii="宋体" w:hAnsi="宋体" w:eastAsia="宋体" w:cs="宋体"/>
          <w:kern w:val="0"/>
          <w:szCs w:val="21"/>
        </w:rPr>
        <w:t>4.1评标程序</w:t>
      </w:r>
      <w:bookmarkEnd w:id="206"/>
    </w:p>
    <w:p w14:paraId="0325C89E">
      <w:pPr>
        <w:spacing w:line="420" w:lineRule="exact"/>
        <w:ind w:firstLine="476"/>
        <w:jc w:val="left"/>
        <w:rPr>
          <w:rFonts w:hint="eastAsia" w:ascii="宋体" w:hAnsi="宋体" w:eastAsia="宋体" w:cs="宋体"/>
          <w:kern w:val="0"/>
          <w:szCs w:val="21"/>
        </w:rPr>
      </w:pPr>
      <w:r>
        <w:rPr>
          <w:rFonts w:hint="eastAsia" w:ascii="宋体" w:hAnsi="宋体" w:eastAsia="宋体" w:cs="宋体"/>
          <w:kern w:val="0"/>
          <w:szCs w:val="21"/>
        </w:rPr>
        <w:t>资信文件、商务文件应分别评审，评审后不得更改。</w:t>
      </w:r>
    </w:p>
    <w:p w14:paraId="4B43A400">
      <w:pPr>
        <w:spacing w:line="420" w:lineRule="exact"/>
        <w:ind w:firstLine="476"/>
        <w:jc w:val="left"/>
        <w:rPr>
          <w:rFonts w:hint="eastAsia" w:ascii="宋体" w:hAnsi="宋体" w:eastAsia="宋体" w:cs="宋体"/>
          <w:kern w:val="0"/>
          <w:szCs w:val="21"/>
        </w:rPr>
      </w:pPr>
      <w:bookmarkStart w:id="207" w:name="_Toc29388472"/>
      <w:r>
        <w:rPr>
          <w:rFonts w:hint="eastAsia" w:ascii="宋体" w:hAnsi="宋体" w:eastAsia="宋体" w:cs="宋体"/>
          <w:kern w:val="0"/>
          <w:szCs w:val="21"/>
        </w:rPr>
        <w:t>4.2计价文件评审规定</w:t>
      </w:r>
      <w:bookmarkEnd w:id="207"/>
    </w:p>
    <w:p w14:paraId="5A7523BA">
      <w:pPr>
        <w:spacing w:line="420" w:lineRule="exact"/>
        <w:ind w:firstLine="476"/>
        <w:jc w:val="left"/>
        <w:rPr>
          <w:rFonts w:hint="eastAsia" w:ascii="宋体" w:hAnsi="宋体" w:eastAsia="宋体" w:cs="宋体"/>
          <w:kern w:val="0"/>
          <w:szCs w:val="21"/>
        </w:rPr>
      </w:pPr>
      <w:r>
        <w:rPr>
          <w:rFonts w:hint="eastAsia" w:ascii="宋体" w:hAnsi="宋体" w:eastAsia="宋体" w:cs="宋体"/>
          <w:kern w:val="0"/>
          <w:szCs w:val="21"/>
        </w:rPr>
        <w:t>评标委员会认为投标人的投标报价有可能低于其个别成本时，应当要求投标人以书面方式作出澄清，并提供相关证明材料后再进行认定。</w:t>
      </w:r>
    </w:p>
    <w:p w14:paraId="0097599B">
      <w:pPr>
        <w:spacing w:line="420" w:lineRule="exact"/>
        <w:ind w:firstLine="476"/>
        <w:jc w:val="left"/>
        <w:rPr>
          <w:rFonts w:hint="eastAsia" w:ascii="宋体" w:hAnsi="宋体" w:eastAsia="宋体" w:cs="宋体"/>
          <w:kern w:val="0"/>
          <w:szCs w:val="21"/>
        </w:rPr>
      </w:pPr>
      <w:bookmarkStart w:id="208" w:name="_Toc29388474"/>
      <w:r>
        <w:rPr>
          <w:rFonts w:hint="eastAsia" w:ascii="宋体" w:hAnsi="宋体" w:eastAsia="宋体" w:cs="宋体"/>
          <w:kern w:val="0"/>
          <w:szCs w:val="21"/>
        </w:rPr>
        <w:t>4.3争议处理</w:t>
      </w:r>
      <w:bookmarkEnd w:id="208"/>
    </w:p>
    <w:p w14:paraId="79C6B3F6">
      <w:pPr>
        <w:spacing w:line="420" w:lineRule="exact"/>
        <w:ind w:firstLine="476"/>
        <w:jc w:val="left"/>
        <w:rPr>
          <w:rFonts w:hint="eastAsia" w:ascii="宋体" w:hAnsi="宋体" w:eastAsia="宋体" w:cs="宋体"/>
          <w:kern w:val="0"/>
          <w:szCs w:val="21"/>
        </w:rPr>
      </w:pPr>
      <w:r>
        <w:rPr>
          <w:rFonts w:hint="eastAsia" w:ascii="宋体" w:hAnsi="宋体" w:eastAsia="宋体" w:cs="宋体"/>
          <w:kern w:val="0"/>
          <w:szCs w:val="21"/>
        </w:rPr>
        <w:t>评标中发生重大情况或重大争议，需要进一步调查了解、协调处理的，现场监督人员报招标投标管理部门同意后可暂时休会，待有关问题得到澄清后再行复会。休会期间，所有招投标资料一律封存，所有与会人员一律不得泄露评标情况。</w:t>
      </w:r>
    </w:p>
    <w:p w14:paraId="7806B5C5">
      <w:pPr>
        <w:spacing w:line="420" w:lineRule="exact"/>
        <w:ind w:firstLine="476"/>
        <w:jc w:val="left"/>
        <w:rPr>
          <w:rFonts w:hint="eastAsia" w:ascii="宋体" w:hAnsi="宋体" w:eastAsia="宋体" w:cs="宋体"/>
          <w:kern w:val="0"/>
          <w:szCs w:val="21"/>
        </w:rPr>
      </w:pPr>
      <w:bookmarkStart w:id="209" w:name="_Toc29388475"/>
      <w:r>
        <w:rPr>
          <w:rFonts w:hint="eastAsia" w:ascii="宋体" w:hAnsi="宋体" w:eastAsia="宋体" w:cs="宋体"/>
          <w:kern w:val="0"/>
          <w:szCs w:val="21"/>
        </w:rPr>
        <w:t>4.4违法违纪行为</w:t>
      </w:r>
      <w:bookmarkEnd w:id="209"/>
    </w:p>
    <w:p w14:paraId="34DC1218">
      <w:pPr>
        <w:pStyle w:val="10"/>
        <w:kinsoku w:val="0"/>
        <w:overflowPunct w:val="0"/>
        <w:spacing w:beforeAutospacing="0" w:afterAutospacing="0" w:line="420" w:lineRule="exact"/>
        <w:ind w:firstLine="367" w:firstLineChars="175"/>
        <w:rPr>
          <w:rFonts w:hint="eastAsia" w:ascii="宋体" w:hAnsi="宋体" w:eastAsia="宋体" w:cs="宋体"/>
          <w:b/>
          <w:bCs/>
          <w:color w:val="000000"/>
          <w:sz w:val="44"/>
          <w:szCs w:val="44"/>
        </w:rPr>
      </w:pPr>
      <w:r>
        <w:rPr>
          <w:rFonts w:hint="eastAsia" w:ascii="宋体" w:hAnsi="宋体" w:eastAsia="宋体" w:cs="宋体"/>
          <w:sz w:val="21"/>
          <w:szCs w:val="21"/>
        </w:rPr>
        <w:t>在招投标过程中发生行贿受贿、扰乱招投标活动秩序及其他严重违法违纪行为的，一律取消有关责任人参与招投标活动的资格；影响评审结果的，应宣布评审结果无效。</w:t>
      </w:r>
      <w:bookmarkStart w:id="210" w:name="_Toc12036"/>
    </w:p>
    <w:p w14:paraId="19F59CDA">
      <w:pPr>
        <w:ind w:firstLine="879"/>
        <w:rPr>
          <w:rFonts w:hint="eastAsia" w:ascii="宋体" w:hAnsi="宋体" w:eastAsia="宋体" w:cs="宋体"/>
          <w:b/>
          <w:bCs/>
          <w:color w:val="000000"/>
          <w:kern w:val="0"/>
          <w:sz w:val="44"/>
          <w:szCs w:val="44"/>
        </w:rPr>
      </w:pPr>
      <w:r>
        <w:rPr>
          <w:rFonts w:hint="eastAsia" w:ascii="宋体" w:hAnsi="宋体" w:eastAsia="宋体" w:cs="宋体"/>
          <w:b/>
          <w:bCs/>
          <w:color w:val="000000"/>
          <w:kern w:val="0"/>
          <w:sz w:val="44"/>
          <w:szCs w:val="44"/>
        </w:rPr>
        <w:br w:type="page"/>
      </w:r>
    </w:p>
    <w:p w14:paraId="2D3766A0">
      <w:pPr>
        <w:pStyle w:val="10"/>
        <w:spacing w:before="120" w:beforeAutospacing="0" w:after="120" w:afterAutospacing="0" w:line="500" w:lineRule="exact"/>
        <w:ind w:firstLine="879"/>
        <w:jc w:val="center"/>
        <w:rPr>
          <w:rFonts w:hint="eastAsia" w:ascii="宋体" w:hAnsi="宋体" w:eastAsia="宋体" w:cs="宋体"/>
          <w:b/>
          <w:bCs/>
          <w:color w:val="000000"/>
          <w:sz w:val="44"/>
          <w:szCs w:val="44"/>
        </w:rPr>
      </w:pPr>
    </w:p>
    <w:p w14:paraId="7C3081A4">
      <w:pPr>
        <w:pStyle w:val="10"/>
        <w:spacing w:before="120" w:beforeAutospacing="0" w:after="120" w:afterAutospacing="0" w:line="500" w:lineRule="exact"/>
        <w:ind w:firstLine="799"/>
        <w:jc w:val="center"/>
        <w:outlineLvl w:val="0"/>
        <w:rPr>
          <w:rFonts w:hint="eastAsia" w:ascii="宋体" w:hAnsi="宋体" w:eastAsia="宋体" w:cs="宋体"/>
          <w:b/>
          <w:bCs/>
          <w:color w:val="000000"/>
          <w:sz w:val="40"/>
          <w:szCs w:val="40"/>
        </w:rPr>
      </w:pPr>
      <w:r>
        <w:rPr>
          <w:rFonts w:hint="eastAsia" w:ascii="宋体" w:hAnsi="宋体" w:eastAsia="宋体" w:cs="宋体"/>
          <w:b/>
          <w:bCs/>
          <w:color w:val="000000"/>
          <w:sz w:val="40"/>
          <w:szCs w:val="40"/>
        </w:rPr>
        <w:t>第六章  投标文件格式</w:t>
      </w:r>
      <w:bookmarkEnd w:id="210"/>
    </w:p>
    <w:p w14:paraId="2C453375">
      <w:pPr>
        <w:pStyle w:val="10"/>
        <w:spacing w:before="120" w:beforeAutospacing="0" w:after="120" w:afterAutospacing="0" w:line="500" w:lineRule="exact"/>
        <w:ind w:firstLine="879"/>
        <w:jc w:val="center"/>
        <w:rPr>
          <w:rFonts w:hint="eastAsia" w:ascii="宋体" w:hAnsi="宋体" w:eastAsia="宋体" w:cs="宋体"/>
          <w:b/>
          <w:bCs/>
          <w:color w:val="000000"/>
          <w:sz w:val="44"/>
          <w:szCs w:val="44"/>
        </w:rPr>
      </w:pPr>
    </w:p>
    <w:p w14:paraId="649BD98E">
      <w:pPr>
        <w:pStyle w:val="10"/>
        <w:spacing w:before="120" w:beforeAutospacing="0" w:after="120" w:afterAutospacing="0" w:line="500" w:lineRule="exact"/>
        <w:ind w:firstLine="879"/>
        <w:jc w:val="center"/>
        <w:rPr>
          <w:rFonts w:hint="eastAsia" w:ascii="宋体" w:hAnsi="宋体" w:eastAsia="宋体" w:cs="宋体"/>
          <w:b/>
          <w:bCs/>
          <w:color w:val="000000"/>
          <w:sz w:val="44"/>
          <w:szCs w:val="44"/>
        </w:rPr>
      </w:pPr>
    </w:p>
    <w:p w14:paraId="2A4C653A">
      <w:pPr>
        <w:pStyle w:val="10"/>
        <w:spacing w:beforeAutospacing="0" w:afterAutospacing="0"/>
        <w:ind w:firstLine="1442"/>
        <w:jc w:val="center"/>
        <w:rPr>
          <w:rFonts w:hint="eastAsia" w:ascii="宋体" w:hAnsi="宋体" w:eastAsia="宋体" w:cs="宋体"/>
          <w:b/>
          <w:color w:val="000000"/>
          <w:sz w:val="72"/>
          <w:szCs w:val="72"/>
        </w:rPr>
      </w:pPr>
      <w:bookmarkStart w:id="211" w:name="_Hlt26955039"/>
      <w:bookmarkEnd w:id="211"/>
      <w:bookmarkStart w:id="212" w:name="_Toc26554094"/>
      <w:bookmarkEnd w:id="212"/>
      <w:bookmarkStart w:id="213" w:name="_Hlt26671244"/>
      <w:bookmarkEnd w:id="213"/>
      <w:bookmarkStart w:id="214" w:name="_Toc49090576"/>
      <w:bookmarkStart w:id="215" w:name="_Toc120614282"/>
    </w:p>
    <w:p w14:paraId="43E55BF9">
      <w:pPr>
        <w:pStyle w:val="10"/>
        <w:spacing w:beforeAutospacing="0" w:afterAutospacing="0"/>
        <w:ind w:firstLine="1442"/>
        <w:jc w:val="center"/>
        <w:rPr>
          <w:rFonts w:hint="eastAsia" w:ascii="宋体" w:hAnsi="宋体" w:eastAsia="宋体" w:cs="宋体"/>
          <w:b/>
          <w:color w:val="000000"/>
          <w:sz w:val="72"/>
          <w:szCs w:val="72"/>
        </w:rPr>
      </w:pPr>
    </w:p>
    <w:p w14:paraId="027EF183">
      <w:pPr>
        <w:pStyle w:val="10"/>
        <w:spacing w:beforeAutospacing="0" w:afterAutospacing="0"/>
        <w:ind w:firstLine="1442"/>
        <w:jc w:val="center"/>
        <w:rPr>
          <w:rFonts w:hint="eastAsia" w:ascii="宋体" w:hAnsi="宋体" w:eastAsia="宋体" w:cs="宋体"/>
          <w:b/>
          <w:color w:val="000000"/>
          <w:sz w:val="72"/>
          <w:szCs w:val="72"/>
        </w:rPr>
      </w:pPr>
    </w:p>
    <w:p w14:paraId="09D50BD4">
      <w:pPr>
        <w:pStyle w:val="10"/>
        <w:spacing w:beforeAutospacing="0" w:afterAutospacing="0"/>
        <w:ind w:firstLine="1442"/>
        <w:jc w:val="center"/>
        <w:rPr>
          <w:rFonts w:hint="eastAsia" w:ascii="宋体" w:hAnsi="宋体" w:eastAsia="宋体" w:cs="宋体"/>
        </w:rPr>
      </w:pPr>
      <w:r>
        <w:rPr>
          <w:rFonts w:hint="eastAsia" w:ascii="宋体" w:hAnsi="宋体" w:eastAsia="宋体" w:cs="宋体"/>
          <w:b/>
          <w:color w:val="000000"/>
          <w:sz w:val="72"/>
          <w:szCs w:val="72"/>
        </w:rPr>
        <w:t>投 标 文 件</w:t>
      </w:r>
    </w:p>
    <w:p w14:paraId="476D2613">
      <w:pPr>
        <w:pStyle w:val="10"/>
        <w:spacing w:beforeAutospacing="0" w:afterAutospacing="0"/>
        <w:jc w:val="center"/>
        <w:rPr>
          <w:rFonts w:hint="eastAsia" w:ascii="宋体" w:hAnsi="宋体" w:eastAsia="宋体" w:cs="宋体"/>
        </w:rPr>
      </w:pPr>
      <w:r>
        <w:rPr>
          <w:rFonts w:hint="eastAsia" w:ascii="宋体" w:hAnsi="宋体" w:eastAsia="宋体" w:cs="宋体"/>
        </w:rPr>
        <w:t> </w:t>
      </w:r>
    </w:p>
    <w:p w14:paraId="76CC29F8">
      <w:pPr>
        <w:pStyle w:val="10"/>
        <w:spacing w:beforeAutospacing="0" w:afterAutospacing="0"/>
        <w:jc w:val="center"/>
        <w:rPr>
          <w:rFonts w:hint="eastAsia" w:ascii="宋体" w:hAnsi="宋体" w:eastAsia="宋体" w:cs="宋体"/>
        </w:rPr>
      </w:pPr>
      <w:r>
        <w:rPr>
          <w:rFonts w:hint="eastAsia" w:ascii="宋体" w:hAnsi="宋体" w:eastAsia="宋体" w:cs="宋体"/>
        </w:rPr>
        <w:t> </w:t>
      </w:r>
    </w:p>
    <w:p w14:paraId="4797BCFF">
      <w:pPr>
        <w:pStyle w:val="10"/>
        <w:spacing w:beforeAutospacing="0" w:afterAutospacing="0"/>
        <w:jc w:val="center"/>
        <w:rPr>
          <w:rFonts w:hint="eastAsia" w:ascii="宋体" w:hAnsi="宋体" w:eastAsia="宋体" w:cs="宋体"/>
        </w:rPr>
      </w:pPr>
      <w:r>
        <w:rPr>
          <w:rFonts w:hint="eastAsia" w:ascii="宋体" w:hAnsi="宋体" w:eastAsia="宋体" w:cs="宋体"/>
        </w:rPr>
        <w:t> </w:t>
      </w:r>
    </w:p>
    <w:p w14:paraId="2B1D09CA">
      <w:pPr>
        <w:pStyle w:val="10"/>
        <w:spacing w:beforeAutospacing="0" w:afterAutospacing="0"/>
        <w:jc w:val="center"/>
        <w:rPr>
          <w:rFonts w:hint="eastAsia" w:ascii="宋体" w:hAnsi="宋体" w:eastAsia="宋体" w:cs="宋体"/>
        </w:rPr>
      </w:pPr>
      <w:r>
        <w:rPr>
          <w:rFonts w:hint="eastAsia" w:ascii="宋体" w:hAnsi="宋体" w:eastAsia="宋体" w:cs="宋体"/>
        </w:rPr>
        <w:t> </w:t>
      </w:r>
    </w:p>
    <w:p w14:paraId="3FA6AC54">
      <w:pPr>
        <w:pStyle w:val="10"/>
        <w:spacing w:beforeAutospacing="0" w:afterAutospacing="0"/>
        <w:jc w:val="center"/>
        <w:rPr>
          <w:rFonts w:hint="eastAsia" w:ascii="宋体" w:hAnsi="宋体" w:eastAsia="宋体" w:cs="宋体"/>
        </w:rPr>
      </w:pPr>
      <w:r>
        <w:rPr>
          <w:rFonts w:hint="eastAsia" w:ascii="宋体" w:hAnsi="宋体" w:eastAsia="宋体" w:cs="宋体"/>
        </w:rPr>
        <w:t> </w:t>
      </w:r>
    </w:p>
    <w:p w14:paraId="5EEA13DB">
      <w:pPr>
        <w:pStyle w:val="10"/>
        <w:spacing w:beforeAutospacing="0" w:afterAutospacing="0"/>
        <w:ind w:firstLine="719"/>
        <w:jc w:val="both"/>
        <w:rPr>
          <w:rFonts w:hint="eastAsia" w:ascii="宋体" w:hAnsi="宋体" w:eastAsia="宋体" w:cs="宋体"/>
        </w:rPr>
      </w:pPr>
      <w:r>
        <w:rPr>
          <w:rFonts w:hint="eastAsia" w:ascii="宋体" w:hAnsi="宋体" w:eastAsia="宋体" w:cs="宋体"/>
          <w:b/>
          <w:color w:val="000000"/>
          <w:sz w:val="36"/>
          <w:szCs w:val="36"/>
        </w:rPr>
        <w:t>项目名称：</w:t>
      </w:r>
      <w:r>
        <w:rPr>
          <w:rFonts w:hint="eastAsia" w:ascii="宋体" w:hAnsi="宋体" w:eastAsia="宋体" w:cs="宋体"/>
          <w:b/>
          <w:color w:val="000000"/>
          <w:sz w:val="36"/>
          <w:szCs w:val="36"/>
          <w:u w:val="single"/>
        </w:rPr>
        <w:t>              </w:t>
      </w:r>
    </w:p>
    <w:p w14:paraId="2FC757F5">
      <w:pPr>
        <w:pStyle w:val="10"/>
        <w:spacing w:beforeAutospacing="0" w:afterAutospacing="0"/>
        <w:ind w:firstLine="719"/>
        <w:jc w:val="both"/>
        <w:rPr>
          <w:rFonts w:hint="eastAsia" w:ascii="宋体" w:hAnsi="宋体" w:eastAsia="宋体" w:cs="宋体"/>
        </w:rPr>
      </w:pPr>
      <w:r>
        <w:rPr>
          <w:rFonts w:hint="eastAsia" w:ascii="宋体" w:hAnsi="宋体" w:eastAsia="宋体" w:cs="宋体"/>
          <w:b/>
          <w:color w:val="000000"/>
          <w:sz w:val="36"/>
          <w:szCs w:val="36"/>
        </w:rPr>
        <w:t>项目编号：</w:t>
      </w:r>
      <w:r>
        <w:rPr>
          <w:rFonts w:hint="eastAsia" w:ascii="宋体" w:hAnsi="宋体" w:eastAsia="宋体" w:cs="宋体"/>
          <w:b/>
          <w:color w:val="000000"/>
          <w:sz w:val="36"/>
          <w:szCs w:val="36"/>
          <w:u w:val="single"/>
        </w:rPr>
        <w:t>              </w:t>
      </w:r>
    </w:p>
    <w:p w14:paraId="2A641238">
      <w:pPr>
        <w:pStyle w:val="10"/>
        <w:spacing w:beforeAutospacing="0" w:afterAutospacing="0"/>
        <w:ind w:firstLine="723" w:firstLineChars="200"/>
        <w:jc w:val="both"/>
        <w:rPr>
          <w:rFonts w:hint="eastAsia" w:ascii="宋体" w:hAnsi="宋体" w:eastAsia="宋体" w:cs="宋体"/>
        </w:rPr>
      </w:pPr>
      <w:r>
        <w:rPr>
          <w:rFonts w:hint="eastAsia" w:ascii="宋体" w:hAnsi="宋体" w:eastAsia="宋体" w:cs="宋体"/>
          <w:b/>
          <w:color w:val="000000"/>
          <w:sz w:val="36"/>
          <w:szCs w:val="36"/>
        </w:rPr>
        <w:t>投标人名称：</w:t>
      </w:r>
      <w:r>
        <w:rPr>
          <w:rFonts w:hint="eastAsia" w:ascii="宋体" w:hAnsi="宋体" w:eastAsia="宋体" w:cs="宋体"/>
          <w:b/>
          <w:color w:val="000000"/>
          <w:sz w:val="36"/>
          <w:szCs w:val="36"/>
          <w:u w:val="single"/>
        </w:rPr>
        <w:t xml:space="preserve">（加盖CA电子公章）       </w:t>
      </w:r>
    </w:p>
    <w:p w14:paraId="796C7194">
      <w:pPr>
        <w:pStyle w:val="10"/>
        <w:spacing w:beforeAutospacing="0" w:afterAutospacing="0"/>
        <w:ind w:firstLine="719"/>
        <w:jc w:val="both"/>
        <w:rPr>
          <w:rFonts w:hint="eastAsia" w:ascii="宋体" w:hAnsi="宋体" w:eastAsia="宋体" w:cs="宋体"/>
        </w:rPr>
      </w:pPr>
      <w:r>
        <w:rPr>
          <w:rFonts w:hint="eastAsia" w:ascii="宋体" w:hAnsi="宋体" w:eastAsia="宋体" w:cs="宋体"/>
          <w:b/>
          <w:color w:val="000000"/>
          <w:sz w:val="36"/>
          <w:szCs w:val="36"/>
        </w:rPr>
        <w:t>日   期：</w:t>
      </w:r>
      <w:r>
        <w:rPr>
          <w:rFonts w:hint="eastAsia" w:ascii="宋体" w:hAnsi="宋体" w:eastAsia="宋体" w:cs="宋体"/>
          <w:b/>
          <w:color w:val="000000"/>
          <w:sz w:val="36"/>
          <w:szCs w:val="36"/>
          <w:u w:val="single"/>
        </w:rPr>
        <w:t xml:space="preserve">                     </w:t>
      </w:r>
    </w:p>
    <w:p w14:paraId="75760C99">
      <w:pPr>
        <w:pStyle w:val="10"/>
        <w:spacing w:beforeAutospacing="0" w:afterAutospacing="0" w:line="0" w:lineRule="atLeast"/>
        <w:jc w:val="center"/>
        <w:rPr>
          <w:rFonts w:hint="eastAsia" w:ascii="宋体" w:hAnsi="宋体" w:eastAsia="宋体" w:cs="宋体"/>
        </w:rPr>
      </w:pPr>
      <w:r>
        <w:rPr>
          <w:rFonts w:hint="eastAsia" w:ascii="宋体" w:hAnsi="宋体" w:eastAsia="宋体" w:cs="宋体"/>
        </w:rPr>
        <w:t> </w:t>
      </w:r>
    </w:p>
    <w:p w14:paraId="6F362C6E">
      <w:pPr>
        <w:pStyle w:val="10"/>
        <w:spacing w:beforeAutospacing="0" w:afterAutospacing="0" w:line="0" w:lineRule="atLeast"/>
        <w:jc w:val="both"/>
        <w:rPr>
          <w:rFonts w:hint="eastAsia" w:ascii="宋体" w:hAnsi="宋体" w:eastAsia="宋体" w:cs="宋体"/>
        </w:rPr>
      </w:pPr>
      <w:r>
        <w:rPr>
          <w:rFonts w:hint="eastAsia" w:ascii="宋体" w:hAnsi="宋体" w:eastAsia="宋体" w:cs="宋体"/>
        </w:rPr>
        <w:t> </w:t>
      </w:r>
    </w:p>
    <w:p w14:paraId="773D4C0B">
      <w:pPr>
        <w:pStyle w:val="10"/>
        <w:spacing w:beforeAutospacing="0" w:afterAutospacing="0" w:line="0" w:lineRule="atLeast"/>
        <w:ind w:firstLine="719"/>
        <w:jc w:val="center"/>
        <w:rPr>
          <w:rFonts w:hint="eastAsia" w:ascii="宋体" w:hAnsi="宋体" w:eastAsia="宋体" w:cs="宋体"/>
          <w:b/>
          <w:color w:val="000000"/>
          <w:sz w:val="36"/>
          <w:szCs w:val="36"/>
          <w:u w:val="single"/>
        </w:rPr>
      </w:pPr>
    </w:p>
    <w:p w14:paraId="4EFD9D1A">
      <w:pPr>
        <w:pStyle w:val="10"/>
        <w:spacing w:beforeAutospacing="0" w:afterAutospacing="0" w:line="0" w:lineRule="atLeast"/>
        <w:ind w:firstLine="719"/>
        <w:jc w:val="center"/>
        <w:rPr>
          <w:rFonts w:hint="eastAsia" w:ascii="宋体" w:hAnsi="宋体" w:eastAsia="宋体" w:cs="宋体"/>
          <w:b/>
          <w:color w:val="000000"/>
          <w:sz w:val="36"/>
          <w:szCs w:val="36"/>
          <w:u w:val="single"/>
        </w:rPr>
      </w:pPr>
    </w:p>
    <w:p w14:paraId="4761042B">
      <w:pPr>
        <w:pStyle w:val="10"/>
        <w:spacing w:beforeAutospacing="0" w:afterAutospacing="0" w:line="0" w:lineRule="atLeast"/>
        <w:ind w:firstLine="719"/>
        <w:jc w:val="center"/>
        <w:rPr>
          <w:rFonts w:hint="eastAsia" w:ascii="宋体" w:hAnsi="宋体" w:eastAsia="宋体" w:cs="宋体"/>
          <w:b/>
          <w:color w:val="000000"/>
          <w:sz w:val="36"/>
          <w:szCs w:val="36"/>
          <w:u w:val="single"/>
        </w:rPr>
      </w:pPr>
    </w:p>
    <w:p w14:paraId="6A022D96">
      <w:pPr>
        <w:pStyle w:val="10"/>
        <w:spacing w:beforeAutospacing="0" w:afterAutospacing="0" w:line="0" w:lineRule="atLeast"/>
        <w:ind w:firstLine="719"/>
        <w:jc w:val="center"/>
        <w:rPr>
          <w:rFonts w:hint="eastAsia" w:ascii="宋体" w:hAnsi="宋体" w:eastAsia="宋体" w:cs="宋体"/>
          <w:b/>
          <w:color w:val="000000"/>
          <w:sz w:val="36"/>
          <w:szCs w:val="36"/>
          <w:u w:val="single"/>
        </w:rPr>
      </w:pPr>
    </w:p>
    <w:p w14:paraId="397AC997">
      <w:pPr>
        <w:pStyle w:val="10"/>
        <w:spacing w:beforeAutospacing="0" w:afterAutospacing="0" w:line="0" w:lineRule="atLeast"/>
        <w:ind w:firstLine="719"/>
        <w:jc w:val="center"/>
        <w:rPr>
          <w:rFonts w:hint="eastAsia" w:ascii="宋体" w:hAnsi="宋体" w:eastAsia="宋体" w:cs="宋体"/>
          <w:b/>
          <w:color w:val="000000"/>
          <w:sz w:val="36"/>
          <w:szCs w:val="36"/>
          <w:u w:val="single"/>
        </w:rPr>
      </w:pPr>
    </w:p>
    <w:p w14:paraId="4C50BE1A">
      <w:pPr>
        <w:pStyle w:val="10"/>
        <w:spacing w:beforeAutospacing="0" w:afterAutospacing="0" w:line="0" w:lineRule="atLeast"/>
        <w:ind w:firstLine="719"/>
        <w:jc w:val="center"/>
        <w:rPr>
          <w:rFonts w:hint="eastAsia" w:ascii="宋体" w:hAnsi="宋体" w:eastAsia="宋体" w:cs="宋体"/>
          <w:b/>
          <w:color w:val="000000"/>
          <w:sz w:val="36"/>
          <w:szCs w:val="36"/>
          <w:u w:val="single"/>
        </w:rPr>
      </w:pPr>
    </w:p>
    <w:p w14:paraId="09AB4872">
      <w:pPr>
        <w:pStyle w:val="10"/>
        <w:spacing w:beforeAutospacing="0" w:afterAutospacing="0" w:line="0" w:lineRule="atLeast"/>
        <w:ind w:firstLine="719"/>
        <w:jc w:val="center"/>
        <w:rPr>
          <w:rFonts w:hint="eastAsia" w:ascii="宋体" w:hAnsi="宋体" w:eastAsia="宋体" w:cs="宋体"/>
          <w:b/>
          <w:color w:val="000000"/>
          <w:sz w:val="36"/>
          <w:szCs w:val="36"/>
          <w:u w:val="single"/>
        </w:rPr>
      </w:pPr>
    </w:p>
    <w:p w14:paraId="25C39A2E">
      <w:pPr>
        <w:pStyle w:val="10"/>
        <w:spacing w:beforeAutospacing="0" w:afterAutospacing="0" w:line="0" w:lineRule="atLeast"/>
        <w:ind w:firstLine="638"/>
        <w:jc w:val="center"/>
        <w:rPr>
          <w:rFonts w:hint="eastAsia" w:ascii="宋体" w:hAnsi="宋体" w:eastAsia="宋体" w:cs="宋体"/>
          <w:b/>
          <w:color w:val="000000"/>
          <w:sz w:val="32"/>
          <w:szCs w:val="32"/>
        </w:rPr>
      </w:pPr>
    </w:p>
    <w:p w14:paraId="629ED98B">
      <w:pPr>
        <w:pStyle w:val="10"/>
        <w:spacing w:beforeAutospacing="0" w:afterAutospacing="0" w:line="0" w:lineRule="atLeast"/>
        <w:ind w:firstLine="638"/>
        <w:jc w:val="center"/>
        <w:rPr>
          <w:rFonts w:hint="eastAsia" w:ascii="宋体" w:hAnsi="宋体" w:eastAsia="宋体" w:cs="宋体"/>
        </w:rPr>
      </w:pPr>
      <w:r>
        <w:rPr>
          <w:rFonts w:hint="eastAsia" w:ascii="宋体" w:hAnsi="宋体" w:eastAsia="宋体" w:cs="宋体"/>
          <w:b/>
          <w:color w:val="000000"/>
          <w:sz w:val="32"/>
          <w:szCs w:val="32"/>
        </w:rPr>
        <w:t>投标文件目录</w:t>
      </w:r>
    </w:p>
    <w:p w14:paraId="2D509E71">
      <w:pPr>
        <w:pStyle w:val="10"/>
        <w:spacing w:beforeAutospacing="0" w:afterAutospacing="0" w:line="0" w:lineRule="atLeast"/>
        <w:jc w:val="center"/>
        <w:rPr>
          <w:rFonts w:hint="eastAsia" w:ascii="宋体" w:hAnsi="宋体" w:eastAsia="宋体" w:cs="宋体"/>
        </w:rPr>
      </w:pPr>
      <w:r>
        <w:rPr>
          <w:rFonts w:hint="eastAsia" w:ascii="宋体" w:hAnsi="宋体" w:eastAsia="宋体" w:cs="宋体"/>
        </w:rPr>
        <w:t> </w:t>
      </w:r>
    </w:p>
    <w:p w14:paraId="13DDE97A">
      <w:pPr>
        <w:pStyle w:val="10"/>
        <w:numPr>
          <w:ilvl w:val="0"/>
          <w:numId w:val="0"/>
        </w:numPr>
        <w:spacing w:beforeAutospacing="0" w:afterAutospacing="0" w:line="460" w:lineRule="exact"/>
        <w:ind w:left="53" w:leftChars="0"/>
        <w:jc w:val="both"/>
        <w:rPr>
          <w:rFonts w:hint="eastAsia" w:ascii="宋体" w:hAnsi="宋体" w:eastAsia="宋体" w:cs="宋体"/>
          <w:iCs/>
          <w:color w:val="000000"/>
        </w:rPr>
      </w:pPr>
      <w:r>
        <w:rPr>
          <w:rFonts w:hint="eastAsia" w:ascii="宋体" w:hAnsi="宋体" w:eastAsia="宋体" w:cs="宋体"/>
          <w:iCs/>
          <w:color w:val="000000"/>
          <w:kern w:val="0"/>
          <w:sz w:val="24"/>
          <w:szCs w:val="24"/>
          <w:lang w:val="en-US" w:eastAsia="zh-CN" w:bidi="ar-SA"/>
        </w:rPr>
        <w:t>一、</w:t>
      </w:r>
      <w:r>
        <w:rPr>
          <w:rFonts w:hint="eastAsia" w:ascii="宋体" w:hAnsi="宋体" w:eastAsia="宋体" w:cs="宋体"/>
          <w:iCs/>
          <w:color w:val="000000"/>
        </w:rPr>
        <w:t>法人或者其他组织的营业执照等证明文件，自然人的身份证明</w:t>
      </w:r>
    </w:p>
    <w:p w14:paraId="005F7265">
      <w:pPr>
        <w:pStyle w:val="10"/>
        <w:numPr>
          <w:ilvl w:val="0"/>
          <w:numId w:val="0"/>
        </w:numPr>
        <w:spacing w:beforeAutospacing="0" w:afterAutospacing="0" w:line="460" w:lineRule="exact"/>
        <w:ind w:left="53" w:leftChars="0"/>
        <w:jc w:val="both"/>
        <w:rPr>
          <w:rFonts w:hint="eastAsia" w:ascii="宋体" w:hAnsi="宋体" w:eastAsia="宋体" w:cs="宋体"/>
          <w:iCs/>
          <w:color w:val="000000"/>
        </w:rPr>
      </w:pPr>
      <w:r>
        <w:rPr>
          <w:rFonts w:hint="eastAsia" w:ascii="宋体" w:hAnsi="宋体" w:eastAsia="宋体" w:cs="宋体"/>
          <w:iCs/>
          <w:color w:val="000000"/>
          <w:kern w:val="0"/>
          <w:sz w:val="24"/>
          <w:szCs w:val="24"/>
          <w:lang w:val="en-US" w:eastAsia="zh-CN" w:bidi="ar-SA"/>
        </w:rPr>
        <w:t>二、</w:t>
      </w:r>
      <w:r>
        <w:rPr>
          <w:rFonts w:hint="eastAsia" w:ascii="宋体" w:hAnsi="宋体" w:eastAsia="宋体" w:cs="宋体"/>
          <w:iCs/>
          <w:color w:val="000000"/>
          <w:kern w:val="0"/>
          <w:sz w:val="24"/>
        </w:rPr>
        <w:t>上一年度的财务状况报告（至少提供资产负债表、利润表、现金流量表，投标人成立不满一年无需提供）</w:t>
      </w:r>
    </w:p>
    <w:p w14:paraId="707BF38C">
      <w:pPr>
        <w:pStyle w:val="10"/>
        <w:spacing w:beforeAutospacing="0" w:afterAutospacing="0" w:line="460" w:lineRule="exact"/>
        <w:ind w:left="53"/>
        <w:jc w:val="both"/>
        <w:rPr>
          <w:rFonts w:hint="eastAsia" w:ascii="宋体" w:hAnsi="宋体" w:eastAsia="宋体" w:cs="宋体"/>
          <w:iCs/>
          <w:color w:val="000000"/>
        </w:rPr>
      </w:pPr>
      <w:r>
        <w:rPr>
          <w:rFonts w:hint="eastAsia" w:ascii="宋体" w:hAnsi="宋体" w:eastAsia="宋体" w:cs="宋体"/>
          <w:iCs/>
          <w:color w:val="000000"/>
        </w:rPr>
        <w:t>三、具备履行合同所必需的设备和专业技术能力的书面声明</w:t>
      </w:r>
    </w:p>
    <w:p w14:paraId="3412DE8E">
      <w:pPr>
        <w:pStyle w:val="10"/>
        <w:spacing w:beforeAutospacing="0" w:afterAutospacing="0" w:line="460" w:lineRule="exact"/>
        <w:ind w:left="53"/>
        <w:jc w:val="both"/>
        <w:rPr>
          <w:rFonts w:hint="eastAsia" w:ascii="宋体" w:hAnsi="宋体" w:eastAsia="宋体" w:cs="宋体"/>
          <w:iCs/>
          <w:color w:val="000000"/>
        </w:rPr>
      </w:pPr>
      <w:r>
        <w:rPr>
          <w:rFonts w:hint="eastAsia" w:ascii="宋体" w:hAnsi="宋体" w:eastAsia="宋体" w:cs="宋体"/>
          <w:iCs/>
          <w:color w:val="000000"/>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548CD350">
      <w:pPr>
        <w:pStyle w:val="10"/>
        <w:spacing w:beforeAutospacing="0" w:afterAutospacing="0" w:line="460" w:lineRule="exact"/>
        <w:ind w:left="53"/>
        <w:jc w:val="both"/>
        <w:rPr>
          <w:rFonts w:hint="eastAsia" w:ascii="宋体" w:hAnsi="宋体" w:eastAsia="宋体" w:cs="宋体"/>
          <w:iCs/>
          <w:color w:val="000000"/>
        </w:rPr>
      </w:pPr>
      <w:r>
        <w:rPr>
          <w:rFonts w:hint="eastAsia" w:ascii="宋体" w:hAnsi="宋体" w:eastAsia="宋体" w:cs="宋体"/>
          <w:iCs/>
          <w:color w:val="000000"/>
        </w:rPr>
        <w:t>五、参加政府采购活动前3年内在经营活动中没有重大违法记录的书面声明</w:t>
      </w:r>
    </w:p>
    <w:p w14:paraId="19A620AE">
      <w:pPr>
        <w:pStyle w:val="10"/>
        <w:spacing w:beforeAutospacing="0" w:afterAutospacing="0" w:line="460" w:lineRule="exact"/>
        <w:ind w:left="53"/>
        <w:jc w:val="both"/>
        <w:rPr>
          <w:rFonts w:hint="eastAsia" w:ascii="宋体" w:hAnsi="宋体" w:eastAsia="宋体" w:cs="宋体"/>
          <w:iCs/>
          <w:color w:val="000000"/>
        </w:rPr>
      </w:pPr>
      <w:r>
        <w:rPr>
          <w:rFonts w:hint="eastAsia" w:ascii="宋体" w:hAnsi="宋体" w:eastAsia="宋体" w:cs="宋体"/>
          <w:iCs/>
          <w:color w:val="000000"/>
        </w:rPr>
        <w:t>六、特定资格要求的证明文件（如果本项目设置特定资格要求，则需要提供）</w:t>
      </w:r>
    </w:p>
    <w:p w14:paraId="65792CC4">
      <w:pPr>
        <w:pStyle w:val="10"/>
        <w:spacing w:beforeAutospacing="0" w:afterAutospacing="0" w:line="460" w:lineRule="exact"/>
        <w:ind w:left="53"/>
        <w:jc w:val="both"/>
        <w:rPr>
          <w:rFonts w:hint="eastAsia" w:ascii="宋体" w:hAnsi="宋体" w:eastAsia="宋体" w:cs="宋体"/>
          <w:iCs/>
          <w:color w:val="000000"/>
        </w:rPr>
      </w:pPr>
      <w:r>
        <w:rPr>
          <w:rFonts w:hint="eastAsia" w:ascii="宋体" w:hAnsi="宋体" w:eastAsia="宋体" w:cs="宋体"/>
          <w:iCs/>
          <w:color w:val="000000"/>
        </w:rPr>
        <w:t>七、法人授权书</w:t>
      </w:r>
    </w:p>
    <w:p w14:paraId="6851D2D2">
      <w:pPr>
        <w:pStyle w:val="10"/>
        <w:spacing w:beforeAutospacing="0" w:afterAutospacing="0" w:line="460" w:lineRule="exact"/>
        <w:ind w:left="53"/>
        <w:jc w:val="both"/>
        <w:rPr>
          <w:rFonts w:hint="eastAsia" w:ascii="宋体" w:hAnsi="宋体" w:eastAsia="宋体" w:cs="宋体"/>
          <w:iCs/>
        </w:rPr>
      </w:pPr>
      <w:r>
        <w:rPr>
          <w:rFonts w:hint="eastAsia" w:ascii="宋体" w:hAnsi="宋体" w:eastAsia="宋体" w:cs="宋体"/>
          <w:iCs/>
        </w:rPr>
        <w:t>八、投标函</w:t>
      </w:r>
    </w:p>
    <w:p w14:paraId="63BB1EF0">
      <w:pPr>
        <w:pStyle w:val="10"/>
        <w:spacing w:beforeAutospacing="0" w:afterAutospacing="0" w:line="460" w:lineRule="exact"/>
        <w:ind w:left="53"/>
        <w:jc w:val="both"/>
        <w:rPr>
          <w:rFonts w:hint="eastAsia" w:ascii="宋体" w:hAnsi="宋体" w:eastAsia="宋体" w:cs="宋体"/>
          <w:iCs/>
        </w:rPr>
      </w:pPr>
      <w:r>
        <w:rPr>
          <w:rFonts w:hint="eastAsia" w:ascii="宋体" w:hAnsi="宋体" w:eastAsia="宋体" w:cs="宋体"/>
          <w:iCs/>
        </w:rPr>
        <w:t>九、中小企业声明函</w:t>
      </w:r>
    </w:p>
    <w:p w14:paraId="74457295">
      <w:pPr>
        <w:pStyle w:val="10"/>
        <w:spacing w:beforeAutospacing="0" w:afterAutospacing="0" w:line="460" w:lineRule="exact"/>
        <w:ind w:left="53"/>
        <w:jc w:val="both"/>
        <w:rPr>
          <w:rFonts w:hint="eastAsia" w:ascii="宋体" w:hAnsi="宋体" w:eastAsia="宋体" w:cs="宋体"/>
          <w:iCs/>
        </w:rPr>
      </w:pPr>
      <w:r>
        <w:rPr>
          <w:rFonts w:hint="eastAsia" w:ascii="宋体" w:hAnsi="宋体" w:eastAsia="宋体" w:cs="宋体"/>
          <w:iCs/>
        </w:rPr>
        <w:t>十、残疾人福利性单位声明函</w:t>
      </w:r>
    </w:p>
    <w:p w14:paraId="71D6911C">
      <w:pPr>
        <w:pStyle w:val="10"/>
        <w:spacing w:beforeAutospacing="0" w:afterAutospacing="0" w:line="460" w:lineRule="exact"/>
        <w:ind w:left="53"/>
        <w:jc w:val="both"/>
        <w:rPr>
          <w:rFonts w:hint="eastAsia" w:ascii="宋体" w:hAnsi="宋体" w:eastAsia="宋体" w:cs="宋体"/>
          <w:iCs/>
        </w:rPr>
      </w:pPr>
      <w:r>
        <w:rPr>
          <w:rFonts w:hint="eastAsia" w:ascii="宋体" w:hAnsi="宋体" w:eastAsia="宋体" w:cs="宋体"/>
          <w:iCs/>
        </w:rPr>
        <w:t>十一、联合体协议</w:t>
      </w:r>
    </w:p>
    <w:p w14:paraId="79DB759B">
      <w:pPr>
        <w:pStyle w:val="10"/>
        <w:spacing w:beforeAutospacing="0" w:afterAutospacing="0" w:line="460" w:lineRule="exact"/>
        <w:ind w:left="53"/>
        <w:jc w:val="both"/>
        <w:rPr>
          <w:rFonts w:hint="eastAsia" w:ascii="宋体" w:hAnsi="宋体" w:eastAsia="宋体" w:cs="宋体"/>
          <w:iCs/>
        </w:rPr>
      </w:pPr>
      <w:r>
        <w:rPr>
          <w:rFonts w:hint="eastAsia" w:ascii="宋体" w:hAnsi="宋体" w:eastAsia="宋体" w:cs="宋体"/>
          <w:iCs/>
        </w:rPr>
        <w:t>十二、投标分项报价表</w:t>
      </w:r>
    </w:p>
    <w:p w14:paraId="7C8D5851">
      <w:pPr>
        <w:pStyle w:val="10"/>
        <w:spacing w:beforeAutospacing="0" w:afterAutospacing="0" w:line="460" w:lineRule="exact"/>
        <w:ind w:left="53"/>
        <w:jc w:val="both"/>
        <w:rPr>
          <w:rFonts w:hint="eastAsia" w:ascii="宋体" w:hAnsi="宋体" w:eastAsia="宋体" w:cs="宋体"/>
          <w:iCs/>
        </w:rPr>
      </w:pPr>
      <w:r>
        <w:rPr>
          <w:rFonts w:hint="eastAsia" w:ascii="宋体" w:hAnsi="宋体" w:eastAsia="宋体" w:cs="宋体"/>
          <w:iCs/>
        </w:rPr>
        <w:t>十三、技术要求响应及偏离表</w:t>
      </w:r>
    </w:p>
    <w:p w14:paraId="54B039C4">
      <w:pPr>
        <w:pStyle w:val="10"/>
        <w:spacing w:beforeAutospacing="0" w:afterAutospacing="0" w:line="460" w:lineRule="exact"/>
        <w:ind w:left="53"/>
        <w:jc w:val="both"/>
        <w:rPr>
          <w:rFonts w:hint="eastAsia" w:ascii="宋体" w:hAnsi="宋体" w:eastAsia="宋体" w:cs="宋体"/>
          <w:iCs/>
        </w:rPr>
      </w:pPr>
      <w:r>
        <w:rPr>
          <w:rFonts w:hint="eastAsia" w:ascii="宋体" w:hAnsi="宋体" w:eastAsia="宋体" w:cs="宋体"/>
          <w:iCs/>
        </w:rPr>
        <w:t>十四、商务要求响应及偏离表</w:t>
      </w:r>
    </w:p>
    <w:p w14:paraId="13772097">
      <w:pPr>
        <w:pStyle w:val="10"/>
        <w:spacing w:beforeAutospacing="0" w:afterAutospacing="0" w:line="460" w:lineRule="exact"/>
        <w:ind w:left="53"/>
        <w:jc w:val="both"/>
        <w:rPr>
          <w:rFonts w:hint="eastAsia" w:ascii="宋体" w:hAnsi="宋体" w:eastAsia="宋体" w:cs="宋体"/>
          <w:iCs/>
        </w:rPr>
      </w:pPr>
      <w:r>
        <w:rPr>
          <w:rFonts w:hint="eastAsia" w:ascii="宋体" w:hAnsi="宋体" w:eastAsia="宋体" w:cs="宋体"/>
          <w:iCs/>
        </w:rPr>
        <w:t>十五、开标一览表</w:t>
      </w:r>
    </w:p>
    <w:p w14:paraId="66DE3813">
      <w:pPr>
        <w:pStyle w:val="10"/>
        <w:spacing w:beforeAutospacing="0" w:afterAutospacing="0" w:line="460" w:lineRule="exact"/>
        <w:ind w:left="53"/>
        <w:jc w:val="both"/>
        <w:rPr>
          <w:rFonts w:hint="eastAsia" w:ascii="宋体" w:hAnsi="宋体" w:eastAsia="宋体" w:cs="宋体"/>
          <w:iCs/>
        </w:rPr>
      </w:pPr>
      <w:r>
        <w:rPr>
          <w:rFonts w:hint="eastAsia" w:ascii="宋体" w:hAnsi="宋体" w:eastAsia="宋体" w:cs="宋体"/>
          <w:iCs/>
        </w:rPr>
        <w:t>十六、技术方案、服务承诺、培训承诺等、</w:t>
      </w:r>
    </w:p>
    <w:p w14:paraId="6784F0FD">
      <w:pPr>
        <w:pStyle w:val="10"/>
        <w:spacing w:beforeAutospacing="0" w:afterAutospacing="0" w:line="460" w:lineRule="exact"/>
        <w:ind w:left="53"/>
        <w:jc w:val="both"/>
        <w:rPr>
          <w:rFonts w:hint="eastAsia" w:ascii="宋体" w:hAnsi="宋体" w:eastAsia="宋体" w:cs="宋体"/>
          <w:iCs/>
        </w:rPr>
      </w:pPr>
      <w:r>
        <w:rPr>
          <w:rFonts w:hint="eastAsia" w:ascii="宋体" w:hAnsi="宋体" w:eastAsia="宋体" w:cs="宋体"/>
          <w:iCs/>
        </w:rPr>
        <w:t>十七、投标（响应）保证承诺书</w:t>
      </w:r>
    </w:p>
    <w:p w14:paraId="3685C425">
      <w:pPr>
        <w:pStyle w:val="10"/>
        <w:spacing w:beforeAutospacing="0" w:afterAutospacing="0" w:line="460" w:lineRule="exact"/>
        <w:ind w:left="53"/>
        <w:jc w:val="both"/>
        <w:rPr>
          <w:rFonts w:hint="eastAsia" w:ascii="宋体" w:hAnsi="宋体" w:eastAsia="宋体" w:cs="宋体"/>
          <w:iCs/>
        </w:rPr>
      </w:pPr>
      <w:r>
        <w:rPr>
          <w:rFonts w:hint="eastAsia" w:ascii="宋体" w:hAnsi="宋体" w:eastAsia="宋体" w:cs="宋体"/>
          <w:iCs/>
        </w:rPr>
        <w:t>十八、盐城市政府采购事前信用承诺书</w:t>
      </w:r>
    </w:p>
    <w:p w14:paraId="619D61E9">
      <w:pPr>
        <w:pStyle w:val="10"/>
        <w:spacing w:beforeAutospacing="0" w:afterAutospacing="0" w:line="0" w:lineRule="atLeast"/>
        <w:ind w:firstLine="476"/>
        <w:jc w:val="both"/>
        <w:rPr>
          <w:rFonts w:hint="eastAsia" w:ascii="宋体" w:hAnsi="宋体" w:eastAsia="宋体" w:cs="宋体"/>
          <w:color w:val="000000"/>
        </w:rPr>
      </w:pPr>
    </w:p>
    <w:p w14:paraId="56600F9D">
      <w:pPr>
        <w:pStyle w:val="10"/>
        <w:spacing w:beforeAutospacing="0" w:afterAutospacing="0" w:line="0" w:lineRule="atLeast"/>
        <w:ind w:firstLine="476"/>
        <w:jc w:val="both"/>
        <w:rPr>
          <w:rFonts w:hint="eastAsia" w:ascii="宋体" w:hAnsi="宋体" w:eastAsia="宋体" w:cs="宋体"/>
          <w:color w:val="000000"/>
        </w:rPr>
      </w:pPr>
    </w:p>
    <w:p w14:paraId="4BB10D70">
      <w:pPr>
        <w:pStyle w:val="10"/>
        <w:spacing w:beforeAutospacing="0" w:afterAutospacing="0" w:line="0" w:lineRule="atLeast"/>
        <w:ind w:firstLine="476"/>
        <w:jc w:val="both"/>
        <w:rPr>
          <w:rFonts w:hint="eastAsia" w:ascii="宋体" w:hAnsi="宋体" w:eastAsia="宋体" w:cs="宋体"/>
        </w:rPr>
      </w:pPr>
      <w:r>
        <w:rPr>
          <w:rFonts w:hint="eastAsia" w:ascii="宋体" w:hAnsi="宋体" w:eastAsia="宋体" w:cs="宋体"/>
        </w:rPr>
        <w:t> </w:t>
      </w:r>
    </w:p>
    <w:p w14:paraId="583DEE80">
      <w:pPr>
        <w:pStyle w:val="10"/>
        <w:spacing w:beforeAutospacing="0" w:afterAutospacing="0" w:line="0" w:lineRule="atLeast"/>
        <w:ind w:firstLine="476"/>
        <w:jc w:val="both"/>
        <w:rPr>
          <w:rFonts w:hint="eastAsia" w:ascii="宋体" w:hAnsi="宋体" w:eastAsia="宋体" w:cs="宋体"/>
        </w:rPr>
      </w:pPr>
      <w:r>
        <w:rPr>
          <w:rFonts w:hint="eastAsia" w:ascii="宋体" w:hAnsi="宋体" w:eastAsia="宋体" w:cs="宋体"/>
        </w:rPr>
        <w:t> </w:t>
      </w:r>
    </w:p>
    <w:p w14:paraId="4CBCCBEA">
      <w:pPr>
        <w:pStyle w:val="10"/>
        <w:spacing w:beforeAutospacing="0" w:afterAutospacing="0" w:line="0" w:lineRule="atLeast"/>
        <w:ind w:firstLine="476"/>
        <w:jc w:val="both"/>
        <w:rPr>
          <w:rFonts w:hint="eastAsia" w:ascii="宋体" w:hAnsi="宋体" w:eastAsia="宋体" w:cs="宋体"/>
        </w:rPr>
      </w:pPr>
      <w:r>
        <w:rPr>
          <w:rFonts w:hint="eastAsia" w:ascii="宋体" w:hAnsi="宋体" w:eastAsia="宋体" w:cs="宋体"/>
        </w:rPr>
        <w:t> </w:t>
      </w:r>
    </w:p>
    <w:p w14:paraId="3EB313F4">
      <w:pPr>
        <w:pStyle w:val="10"/>
        <w:spacing w:beforeAutospacing="0" w:afterAutospacing="0" w:line="0" w:lineRule="atLeast"/>
        <w:ind w:firstLine="476"/>
        <w:jc w:val="both"/>
        <w:rPr>
          <w:rFonts w:hint="eastAsia" w:ascii="宋体" w:hAnsi="宋体" w:eastAsia="宋体" w:cs="宋体"/>
        </w:rPr>
      </w:pPr>
      <w:r>
        <w:rPr>
          <w:rFonts w:hint="eastAsia" w:ascii="宋体" w:hAnsi="宋体" w:eastAsia="宋体" w:cs="宋体"/>
        </w:rPr>
        <w:t> </w:t>
      </w:r>
    </w:p>
    <w:p w14:paraId="028FC8AA">
      <w:pPr>
        <w:pStyle w:val="10"/>
        <w:spacing w:beforeAutospacing="0" w:afterAutospacing="0" w:line="0" w:lineRule="atLeast"/>
        <w:ind w:firstLine="476"/>
        <w:jc w:val="both"/>
        <w:rPr>
          <w:rFonts w:hint="eastAsia" w:ascii="宋体" w:hAnsi="宋体" w:eastAsia="宋体" w:cs="宋体"/>
        </w:rPr>
      </w:pPr>
    </w:p>
    <w:p w14:paraId="1C14FDF4">
      <w:pPr>
        <w:pStyle w:val="10"/>
        <w:spacing w:beforeAutospacing="0" w:afterAutospacing="0" w:line="0" w:lineRule="atLeast"/>
        <w:ind w:firstLine="476"/>
        <w:jc w:val="both"/>
        <w:rPr>
          <w:rFonts w:hint="eastAsia" w:ascii="宋体" w:hAnsi="宋体" w:eastAsia="宋体" w:cs="宋体"/>
        </w:rPr>
      </w:pPr>
    </w:p>
    <w:p w14:paraId="37425149">
      <w:pPr>
        <w:pStyle w:val="10"/>
        <w:spacing w:beforeAutospacing="0" w:afterAutospacing="0" w:line="0" w:lineRule="atLeast"/>
        <w:ind w:firstLine="476"/>
        <w:jc w:val="both"/>
        <w:rPr>
          <w:rFonts w:hint="eastAsia" w:ascii="宋体" w:hAnsi="宋体" w:eastAsia="宋体" w:cs="宋体"/>
        </w:rPr>
      </w:pPr>
    </w:p>
    <w:p w14:paraId="7C64514B">
      <w:pPr>
        <w:pStyle w:val="10"/>
        <w:spacing w:beforeAutospacing="0" w:afterAutospacing="0" w:line="0" w:lineRule="atLeast"/>
        <w:ind w:firstLine="476"/>
        <w:jc w:val="both"/>
        <w:rPr>
          <w:rFonts w:hint="eastAsia" w:ascii="宋体" w:hAnsi="宋体" w:eastAsia="宋体" w:cs="宋体"/>
        </w:rPr>
      </w:pPr>
    </w:p>
    <w:p w14:paraId="358B2CFE">
      <w:pPr>
        <w:pStyle w:val="10"/>
        <w:spacing w:beforeAutospacing="0" w:afterAutospacing="0" w:line="0" w:lineRule="atLeast"/>
        <w:ind w:firstLine="476"/>
        <w:jc w:val="both"/>
        <w:rPr>
          <w:rFonts w:hint="eastAsia" w:ascii="宋体" w:hAnsi="宋体" w:eastAsia="宋体" w:cs="宋体"/>
        </w:rPr>
      </w:pPr>
    </w:p>
    <w:p w14:paraId="78A55B7B">
      <w:pPr>
        <w:pStyle w:val="10"/>
        <w:spacing w:beforeAutospacing="0" w:afterAutospacing="0"/>
        <w:ind w:firstLine="638"/>
        <w:jc w:val="center"/>
        <w:rPr>
          <w:rFonts w:hint="eastAsia" w:ascii="宋体" w:hAnsi="宋体" w:eastAsia="宋体" w:cs="宋体"/>
          <w:b/>
          <w:bCs/>
          <w:iCs/>
          <w:color w:val="000000"/>
          <w:sz w:val="32"/>
          <w:szCs w:val="32"/>
        </w:rPr>
      </w:pPr>
    </w:p>
    <w:p w14:paraId="47632920">
      <w:pPr>
        <w:pStyle w:val="10"/>
        <w:spacing w:beforeAutospacing="0" w:afterAutospacing="0"/>
        <w:ind w:firstLine="638"/>
        <w:jc w:val="center"/>
        <w:rPr>
          <w:rFonts w:hint="eastAsia" w:ascii="宋体" w:hAnsi="宋体" w:eastAsia="宋体" w:cs="宋体"/>
          <w:b/>
          <w:bCs/>
          <w:iCs/>
        </w:rPr>
      </w:pPr>
      <w:r>
        <w:rPr>
          <w:rFonts w:hint="eastAsia" w:ascii="宋体" w:hAnsi="宋体" w:eastAsia="宋体" w:cs="宋体"/>
          <w:b/>
          <w:bCs/>
          <w:iCs/>
          <w:color w:val="000000"/>
          <w:sz w:val="32"/>
          <w:szCs w:val="32"/>
        </w:rPr>
        <w:t>一、法人或者其他组织的营业执照等证明文件，自然人的身份证明</w:t>
      </w:r>
    </w:p>
    <w:p w14:paraId="558EBA1A">
      <w:pPr>
        <w:pStyle w:val="10"/>
        <w:spacing w:beforeAutospacing="0" w:afterAutospacing="0" w:line="0" w:lineRule="atLeast"/>
        <w:ind w:firstLine="478"/>
        <w:jc w:val="both"/>
        <w:rPr>
          <w:rFonts w:hint="eastAsia" w:ascii="宋体" w:hAnsi="宋体" w:eastAsia="宋体" w:cs="宋体"/>
          <w:b/>
          <w:bCs/>
          <w:iCs/>
        </w:rPr>
      </w:pPr>
      <w:r>
        <w:rPr>
          <w:rFonts w:hint="eastAsia" w:ascii="宋体" w:hAnsi="宋体" w:eastAsia="宋体" w:cs="宋体"/>
          <w:b/>
          <w:bCs/>
          <w:iCs/>
        </w:rPr>
        <w:t> </w:t>
      </w:r>
    </w:p>
    <w:p w14:paraId="05D62303">
      <w:pPr>
        <w:ind w:firstLine="638"/>
        <w:rPr>
          <w:rFonts w:hint="eastAsia" w:ascii="宋体" w:hAnsi="宋体" w:eastAsia="宋体" w:cs="宋体"/>
          <w:b/>
          <w:bCs/>
          <w:iCs/>
          <w:color w:val="000000"/>
          <w:sz w:val="32"/>
          <w:szCs w:val="32"/>
        </w:rPr>
      </w:pPr>
      <w:r>
        <w:rPr>
          <w:rFonts w:hint="eastAsia" w:ascii="宋体" w:hAnsi="宋体" w:eastAsia="宋体" w:cs="宋体"/>
          <w:b/>
          <w:bCs/>
          <w:iCs/>
          <w:color w:val="000000"/>
          <w:sz w:val="32"/>
          <w:szCs w:val="32"/>
        </w:rPr>
        <w:br w:type="page"/>
      </w:r>
    </w:p>
    <w:p w14:paraId="6354B76C">
      <w:pPr>
        <w:pStyle w:val="10"/>
        <w:spacing w:beforeAutospacing="0" w:afterAutospacing="0"/>
        <w:ind w:firstLine="638"/>
        <w:jc w:val="center"/>
        <w:rPr>
          <w:rFonts w:hint="eastAsia" w:ascii="宋体" w:hAnsi="宋体" w:eastAsia="宋体" w:cs="宋体"/>
          <w:b/>
          <w:bCs/>
          <w:iCs/>
          <w:color w:val="000000"/>
          <w:sz w:val="32"/>
          <w:szCs w:val="32"/>
        </w:rPr>
      </w:pPr>
      <w:r>
        <w:rPr>
          <w:rFonts w:hint="eastAsia" w:ascii="宋体" w:hAnsi="宋体" w:eastAsia="宋体" w:cs="宋体"/>
          <w:b/>
          <w:bCs/>
          <w:iCs/>
          <w:color w:val="000000"/>
          <w:sz w:val="32"/>
          <w:szCs w:val="32"/>
        </w:rPr>
        <w:t>二、上一年度的财务状况报告（至少提供资产负债表、利润表、现金流量表，投标人成立不满一年无需提供）</w:t>
      </w:r>
    </w:p>
    <w:p w14:paraId="0724E40B">
      <w:pPr>
        <w:pStyle w:val="10"/>
        <w:spacing w:beforeAutospacing="0" w:afterAutospacing="0" w:line="0" w:lineRule="atLeast"/>
        <w:ind w:firstLine="478"/>
        <w:jc w:val="both"/>
        <w:rPr>
          <w:rFonts w:hint="eastAsia" w:ascii="宋体" w:hAnsi="宋体" w:eastAsia="宋体" w:cs="宋体"/>
          <w:b/>
          <w:bCs/>
          <w:iCs/>
        </w:rPr>
      </w:pPr>
    </w:p>
    <w:p w14:paraId="16E97D3F">
      <w:pPr>
        <w:pStyle w:val="10"/>
        <w:spacing w:beforeAutospacing="0" w:afterAutospacing="0"/>
        <w:ind w:firstLine="478"/>
        <w:jc w:val="both"/>
        <w:rPr>
          <w:rFonts w:hint="eastAsia" w:ascii="宋体" w:hAnsi="宋体" w:eastAsia="宋体" w:cs="宋体"/>
          <w:b/>
          <w:bCs/>
          <w:iCs/>
        </w:rPr>
      </w:pPr>
      <w:r>
        <w:rPr>
          <w:rFonts w:hint="eastAsia" w:ascii="宋体" w:hAnsi="宋体" w:eastAsia="宋体" w:cs="宋体"/>
          <w:b/>
          <w:bCs/>
          <w:iCs/>
        </w:rPr>
        <w:t> </w:t>
      </w:r>
    </w:p>
    <w:p w14:paraId="2958426B">
      <w:pPr>
        <w:pStyle w:val="10"/>
        <w:spacing w:beforeAutospacing="0" w:afterAutospacing="0"/>
        <w:ind w:firstLine="478"/>
        <w:jc w:val="both"/>
        <w:rPr>
          <w:rFonts w:hint="eastAsia" w:ascii="宋体" w:hAnsi="宋体" w:eastAsia="宋体" w:cs="宋体"/>
          <w:b/>
          <w:bCs/>
          <w:iCs/>
        </w:rPr>
      </w:pPr>
      <w:r>
        <w:rPr>
          <w:rFonts w:hint="eastAsia" w:ascii="宋体" w:hAnsi="宋体" w:eastAsia="宋体" w:cs="宋体"/>
          <w:b/>
          <w:bCs/>
          <w:iCs/>
        </w:rPr>
        <w:t> </w:t>
      </w:r>
    </w:p>
    <w:p w14:paraId="2C44C9EE">
      <w:pPr>
        <w:ind w:firstLine="638"/>
        <w:rPr>
          <w:rFonts w:hint="eastAsia" w:ascii="宋体" w:hAnsi="宋体" w:eastAsia="宋体" w:cs="宋体"/>
          <w:b/>
          <w:bCs/>
          <w:iCs/>
          <w:color w:val="000000"/>
          <w:sz w:val="32"/>
          <w:szCs w:val="32"/>
        </w:rPr>
      </w:pPr>
      <w:r>
        <w:rPr>
          <w:rFonts w:hint="eastAsia" w:ascii="宋体" w:hAnsi="宋体" w:eastAsia="宋体" w:cs="宋体"/>
          <w:b/>
          <w:bCs/>
          <w:iCs/>
          <w:color w:val="000000"/>
          <w:sz w:val="32"/>
          <w:szCs w:val="32"/>
        </w:rPr>
        <w:br w:type="page"/>
      </w:r>
    </w:p>
    <w:p w14:paraId="14D2ED0B">
      <w:pPr>
        <w:pStyle w:val="10"/>
        <w:spacing w:beforeAutospacing="0" w:afterAutospacing="0"/>
        <w:ind w:firstLine="638"/>
        <w:jc w:val="center"/>
        <w:rPr>
          <w:rFonts w:hint="eastAsia" w:ascii="宋体" w:hAnsi="宋体" w:eastAsia="宋体" w:cs="宋体"/>
          <w:b/>
          <w:bCs/>
          <w:iCs/>
        </w:rPr>
      </w:pPr>
      <w:r>
        <w:rPr>
          <w:rFonts w:hint="eastAsia" w:ascii="宋体" w:hAnsi="宋体" w:eastAsia="宋体" w:cs="宋体"/>
          <w:b/>
          <w:bCs/>
          <w:iCs/>
          <w:color w:val="000000"/>
          <w:sz w:val="32"/>
          <w:szCs w:val="32"/>
        </w:rPr>
        <w:t>三、具备履行合同所必需的设备和专业技术能力的书面声明</w:t>
      </w:r>
    </w:p>
    <w:p w14:paraId="4F442B3C">
      <w:pPr>
        <w:widowControl/>
        <w:spacing w:before="100" w:after="100" w:line="500" w:lineRule="exact"/>
        <w:ind w:firstLine="476"/>
        <w:rPr>
          <w:rFonts w:hint="eastAsia" w:ascii="宋体" w:hAnsi="宋体" w:eastAsia="宋体" w:cs="宋体"/>
          <w:kern w:val="0"/>
          <w:sz w:val="24"/>
        </w:rPr>
      </w:pPr>
      <w:r>
        <w:rPr>
          <w:rFonts w:hint="eastAsia" w:ascii="宋体" w:hAnsi="宋体" w:eastAsia="宋体" w:cs="宋体"/>
          <w:kern w:val="0"/>
          <w:sz w:val="24"/>
        </w:rPr>
        <w:t>我单位郑重声明：我单位具备履行本项采购合同所必需的设备和专业技术能力，为履行本项采购合同我公司具备如下主要设备和主要专业技术能力：</w:t>
      </w:r>
    </w:p>
    <w:p w14:paraId="432BBB06">
      <w:pPr>
        <w:widowControl/>
        <w:spacing w:before="100" w:after="100" w:line="500" w:lineRule="exact"/>
        <w:ind w:firstLine="476"/>
        <w:rPr>
          <w:rFonts w:hint="eastAsia" w:ascii="宋体" w:hAnsi="宋体" w:eastAsia="宋体" w:cs="宋体"/>
          <w:kern w:val="0"/>
          <w:sz w:val="24"/>
        </w:rPr>
      </w:pPr>
      <w:r>
        <w:rPr>
          <w:rFonts w:hint="eastAsia" w:ascii="宋体" w:hAnsi="宋体" w:eastAsia="宋体" w:cs="宋体"/>
          <w:kern w:val="0"/>
          <w:sz w:val="24"/>
        </w:rPr>
        <w:t>主要设备有：</w:t>
      </w:r>
      <w:r>
        <w:rPr>
          <w:rFonts w:hint="eastAsia" w:ascii="宋体" w:hAnsi="宋体" w:eastAsia="宋体" w:cs="宋体"/>
          <w:kern w:val="0"/>
          <w:sz w:val="24"/>
          <w:u w:val="single"/>
        </w:rPr>
        <w:t xml:space="preserve">       </w:t>
      </w:r>
      <w:r>
        <w:rPr>
          <w:rFonts w:hint="eastAsia" w:ascii="宋体" w:hAnsi="宋体" w:eastAsia="宋体" w:cs="宋体"/>
          <w:kern w:val="0"/>
          <w:sz w:val="24"/>
        </w:rPr>
        <w:t>。</w:t>
      </w:r>
    </w:p>
    <w:p w14:paraId="6480C815">
      <w:pPr>
        <w:widowControl/>
        <w:spacing w:before="100" w:after="100" w:line="500" w:lineRule="exact"/>
        <w:ind w:firstLine="476"/>
        <w:rPr>
          <w:rFonts w:hint="eastAsia" w:ascii="宋体" w:hAnsi="宋体" w:eastAsia="宋体" w:cs="宋体"/>
          <w:kern w:val="0"/>
          <w:sz w:val="24"/>
        </w:rPr>
      </w:pPr>
      <w:r>
        <w:rPr>
          <w:rFonts w:hint="eastAsia" w:ascii="宋体" w:hAnsi="宋体" w:eastAsia="宋体" w:cs="宋体"/>
          <w:kern w:val="0"/>
          <w:sz w:val="24"/>
        </w:rPr>
        <w:t>主要专业技术能力有：</w:t>
      </w:r>
      <w:r>
        <w:rPr>
          <w:rFonts w:hint="eastAsia" w:ascii="宋体" w:hAnsi="宋体" w:eastAsia="宋体" w:cs="宋体"/>
          <w:kern w:val="0"/>
          <w:sz w:val="24"/>
          <w:u w:val="single"/>
        </w:rPr>
        <w:t xml:space="preserve">      </w:t>
      </w:r>
      <w:r>
        <w:rPr>
          <w:rFonts w:hint="eastAsia" w:ascii="宋体" w:hAnsi="宋体" w:eastAsia="宋体" w:cs="宋体"/>
          <w:kern w:val="0"/>
          <w:sz w:val="24"/>
        </w:rPr>
        <w:t>。</w:t>
      </w:r>
    </w:p>
    <w:p w14:paraId="684EF536">
      <w:pPr>
        <w:spacing w:line="500" w:lineRule="exact"/>
        <w:jc w:val="right"/>
        <w:rPr>
          <w:rFonts w:hint="eastAsia" w:ascii="宋体" w:hAnsi="宋体" w:eastAsia="宋体" w:cs="Times New Roman"/>
          <w:bCs/>
          <w:kern w:val="0"/>
          <w:sz w:val="24"/>
          <w:szCs w:val="21"/>
        </w:rPr>
      </w:pPr>
    </w:p>
    <w:p w14:paraId="40D45129">
      <w:pPr>
        <w:spacing w:line="500" w:lineRule="exact"/>
        <w:jc w:val="right"/>
        <w:rPr>
          <w:rFonts w:hint="eastAsia" w:ascii="宋体" w:hAnsi="宋体" w:eastAsia="宋体" w:cs="Times New Roman"/>
          <w:bCs/>
          <w:kern w:val="0"/>
          <w:sz w:val="24"/>
          <w:szCs w:val="21"/>
        </w:rPr>
      </w:pPr>
      <w:r>
        <w:rPr>
          <w:rFonts w:hint="eastAsia" w:ascii="宋体" w:hAnsi="宋体" w:eastAsia="宋体" w:cs="Times New Roman"/>
          <w:bCs/>
          <w:kern w:val="0"/>
          <w:sz w:val="24"/>
          <w:szCs w:val="21"/>
        </w:rPr>
        <w:t>投标人名称（公章）：</w:t>
      </w:r>
    </w:p>
    <w:p w14:paraId="5F0CCE8A">
      <w:pPr>
        <w:spacing w:line="500" w:lineRule="exact"/>
        <w:jc w:val="center"/>
        <w:rPr>
          <w:rFonts w:hint="eastAsia" w:ascii="宋体" w:hAnsi="宋体" w:eastAsia="宋体" w:cs="Times New Roman"/>
          <w:bCs/>
          <w:kern w:val="0"/>
          <w:sz w:val="24"/>
          <w:szCs w:val="21"/>
        </w:rPr>
      </w:pPr>
      <w:r>
        <w:rPr>
          <w:rFonts w:hint="eastAsia" w:ascii="宋体" w:hAnsi="宋体" w:eastAsia="宋体" w:cs="Times New Roman"/>
          <w:bCs/>
          <w:kern w:val="0"/>
          <w:sz w:val="24"/>
          <w:szCs w:val="21"/>
        </w:rPr>
        <w:t xml:space="preserve">                                                  授权代表签名：</w:t>
      </w:r>
    </w:p>
    <w:p w14:paraId="0C58546A">
      <w:pPr>
        <w:spacing w:line="500" w:lineRule="exact"/>
        <w:jc w:val="right"/>
        <w:rPr>
          <w:rFonts w:hint="eastAsia" w:ascii="宋体" w:hAnsi="宋体" w:eastAsia="宋体" w:cs="Times New Roman"/>
          <w:bCs/>
          <w:kern w:val="0"/>
          <w:sz w:val="24"/>
          <w:szCs w:val="21"/>
        </w:rPr>
      </w:pPr>
      <w:r>
        <w:rPr>
          <w:rFonts w:hint="eastAsia" w:ascii="宋体" w:hAnsi="宋体" w:eastAsia="宋体" w:cs="Times New Roman"/>
          <w:bCs/>
          <w:kern w:val="0"/>
          <w:sz w:val="24"/>
          <w:szCs w:val="21"/>
        </w:rPr>
        <w:t>日期：  年  月  日</w:t>
      </w:r>
    </w:p>
    <w:p w14:paraId="579A9EF7">
      <w:pPr>
        <w:ind w:firstLine="636"/>
        <w:rPr>
          <w:rFonts w:hint="eastAsia" w:ascii="宋体" w:hAnsi="宋体" w:eastAsia="宋体" w:cs="宋体"/>
          <w:iCs/>
          <w:color w:val="000000"/>
          <w:sz w:val="32"/>
          <w:szCs w:val="32"/>
        </w:rPr>
      </w:pPr>
    </w:p>
    <w:p w14:paraId="17B4D769">
      <w:pPr>
        <w:ind w:firstLine="638"/>
        <w:rPr>
          <w:rFonts w:hint="eastAsia" w:ascii="宋体" w:hAnsi="宋体" w:eastAsia="宋体" w:cs="宋体"/>
          <w:b/>
          <w:bCs/>
          <w:iCs/>
          <w:color w:val="000000"/>
          <w:sz w:val="32"/>
          <w:szCs w:val="32"/>
        </w:rPr>
      </w:pPr>
      <w:r>
        <w:rPr>
          <w:rFonts w:hint="eastAsia" w:ascii="宋体" w:hAnsi="宋体" w:eastAsia="宋体" w:cs="宋体"/>
          <w:b/>
          <w:bCs/>
          <w:iCs/>
          <w:color w:val="000000"/>
          <w:sz w:val="32"/>
          <w:szCs w:val="32"/>
        </w:rPr>
        <w:br w:type="page"/>
      </w:r>
    </w:p>
    <w:p w14:paraId="4FB8736C">
      <w:pPr>
        <w:pStyle w:val="10"/>
        <w:spacing w:beforeAutospacing="0" w:afterAutospacing="0"/>
        <w:ind w:firstLine="638"/>
        <w:jc w:val="center"/>
        <w:rPr>
          <w:rFonts w:hint="eastAsia" w:ascii="宋体" w:hAnsi="宋体" w:eastAsia="宋体" w:cs="宋体"/>
          <w:b/>
          <w:bCs/>
          <w:iCs/>
        </w:rPr>
      </w:pPr>
      <w:r>
        <w:rPr>
          <w:rFonts w:hint="eastAsia" w:ascii="宋体" w:hAnsi="宋体" w:eastAsia="宋体" w:cs="宋体"/>
          <w:b/>
          <w:bCs/>
          <w:iCs/>
          <w:color w:val="000000"/>
          <w:sz w:val="32"/>
          <w:szCs w:val="32"/>
        </w:rPr>
        <w:t>四、依法缴纳税收和社会保障资金的相关材料</w:t>
      </w:r>
    </w:p>
    <w:p w14:paraId="2F48C628">
      <w:pPr>
        <w:pStyle w:val="10"/>
        <w:spacing w:beforeAutospacing="0" w:afterAutospacing="0"/>
        <w:ind w:firstLine="476"/>
        <w:jc w:val="both"/>
        <w:rPr>
          <w:rFonts w:hint="eastAsia" w:ascii="宋体" w:hAnsi="宋体" w:eastAsia="宋体" w:cs="宋体"/>
          <w:iCs/>
        </w:rPr>
      </w:pPr>
      <w:bookmarkStart w:id="216" w:name="_Toc120614284"/>
      <w:r>
        <w:rPr>
          <w:rFonts w:hint="eastAsia" w:ascii="宋体" w:hAnsi="宋体" w:eastAsia="宋体" w:cs="宋体"/>
          <w:iCs/>
          <w:color w:val="000000"/>
        </w:rPr>
        <w:t>提供提交投标文件截止时间前一年内至少一个月依法缴纳税收及缴纳社会保障资金的证明材料。投标人依法享受缓缴、免缴税收、社会保障资金的提供证明材料。</w:t>
      </w:r>
      <w:bookmarkEnd w:id="216"/>
    </w:p>
    <w:p w14:paraId="65E6ACA3">
      <w:pPr>
        <w:ind w:firstLine="638"/>
        <w:rPr>
          <w:rFonts w:hint="eastAsia" w:ascii="宋体" w:hAnsi="宋体" w:eastAsia="宋体" w:cs="宋体"/>
          <w:b/>
          <w:bCs/>
          <w:iCs/>
          <w:color w:val="000000"/>
          <w:sz w:val="32"/>
          <w:szCs w:val="32"/>
        </w:rPr>
      </w:pPr>
      <w:r>
        <w:rPr>
          <w:rFonts w:hint="eastAsia" w:ascii="宋体" w:hAnsi="宋体" w:eastAsia="宋体" w:cs="宋体"/>
          <w:b/>
          <w:bCs/>
          <w:iCs/>
          <w:color w:val="000000"/>
          <w:sz w:val="32"/>
          <w:szCs w:val="32"/>
        </w:rPr>
        <w:br w:type="page"/>
      </w:r>
    </w:p>
    <w:p w14:paraId="2ECE3BA8">
      <w:pPr>
        <w:pStyle w:val="10"/>
        <w:spacing w:beforeAutospacing="0" w:afterAutospacing="0"/>
        <w:ind w:firstLine="638"/>
        <w:jc w:val="center"/>
        <w:rPr>
          <w:rFonts w:hint="eastAsia" w:ascii="宋体" w:hAnsi="宋体" w:eastAsia="宋体" w:cs="宋体"/>
          <w:b/>
          <w:bCs/>
          <w:iCs/>
        </w:rPr>
      </w:pPr>
      <w:r>
        <w:rPr>
          <w:rFonts w:hint="eastAsia" w:ascii="宋体" w:hAnsi="宋体" w:eastAsia="宋体" w:cs="宋体"/>
          <w:b/>
          <w:bCs/>
          <w:iCs/>
          <w:color w:val="000000"/>
          <w:sz w:val="32"/>
          <w:szCs w:val="32"/>
        </w:rPr>
        <w:t>五、参加政府采购活动前3年内在经营活动中没有重大违法记录的书面声明</w:t>
      </w:r>
    </w:p>
    <w:p w14:paraId="1C872E7A">
      <w:pPr>
        <w:pStyle w:val="10"/>
        <w:spacing w:beforeAutospacing="0" w:afterAutospacing="0" w:line="0" w:lineRule="atLeast"/>
        <w:ind w:firstLine="879"/>
        <w:jc w:val="center"/>
        <w:rPr>
          <w:rFonts w:hint="eastAsia" w:ascii="宋体" w:hAnsi="宋体" w:eastAsia="宋体" w:cs="宋体"/>
          <w:iCs/>
        </w:rPr>
      </w:pPr>
      <w:r>
        <w:rPr>
          <w:rFonts w:hint="eastAsia" w:ascii="宋体" w:hAnsi="宋体" w:eastAsia="宋体" w:cs="宋体"/>
          <w:b/>
          <w:iCs/>
          <w:color w:val="000000"/>
          <w:sz w:val="44"/>
          <w:szCs w:val="44"/>
        </w:rPr>
        <w:t>声 明</w:t>
      </w:r>
    </w:p>
    <w:p w14:paraId="69C4AB6D">
      <w:pPr>
        <w:spacing w:line="460" w:lineRule="exact"/>
        <w:ind w:firstLine="478"/>
        <w:rPr>
          <w:rFonts w:hint="eastAsia" w:ascii="宋体" w:hAnsi="宋体" w:eastAsia="宋体" w:cs="Times New Roman"/>
          <w:bCs/>
          <w:kern w:val="0"/>
          <w:sz w:val="24"/>
          <w:szCs w:val="21"/>
        </w:rPr>
      </w:pPr>
      <w:r>
        <w:rPr>
          <w:rFonts w:hint="eastAsia" w:ascii="宋体" w:hAnsi="宋体" w:eastAsia="宋体" w:cs="宋体"/>
          <w:b/>
          <w:iCs/>
          <w:color w:val="000000"/>
        </w:rPr>
        <w:t>   </w:t>
      </w:r>
      <w:r>
        <w:rPr>
          <w:rFonts w:hint="eastAsia" w:ascii="宋体" w:hAnsi="宋体" w:eastAsia="宋体" w:cs="Times New Roman"/>
          <w:bCs/>
          <w:kern w:val="0"/>
          <w:sz w:val="24"/>
          <w:szCs w:val="21"/>
        </w:rPr>
        <w:t>我公司郑重声明：参加本次政府采购活动前3年内，我公司在经营活动中没有因违法经营受到刑事处罚或者责令停产停业、吊销许可证或者执照、较大数额罚款等行政处罚。</w:t>
      </w:r>
    </w:p>
    <w:p w14:paraId="2B2B9E78">
      <w:pPr>
        <w:spacing w:line="460" w:lineRule="exact"/>
        <w:rPr>
          <w:rFonts w:hint="eastAsia" w:ascii="宋体" w:hAnsi="宋体" w:eastAsia="宋体" w:cs="Times New Roman"/>
          <w:bCs/>
          <w:kern w:val="0"/>
          <w:sz w:val="24"/>
          <w:szCs w:val="21"/>
        </w:rPr>
      </w:pPr>
    </w:p>
    <w:p w14:paraId="56E13AD0">
      <w:pPr>
        <w:spacing w:line="460" w:lineRule="exact"/>
        <w:rPr>
          <w:rFonts w:hint="eastAsia" w:ascii="宋体" w:hAnsi="宋体" w:eastAsia="宋体" w:cs="Times New Roman"/>
          <w:bCs/>
          <w:kern w:val="0"/>
          <w:sz w:val="24"/>
          <w:szCs w:val="21"/>
        </w:rPr>
      </w:pPr>
      <w:r>
        <w:rPr>
          <w:rFonts w:hint="eastAsia" w:ascii="宋体" w:hAnsi="宋体" w:eastAsia="宋体" w:cs="Times New Roman"/>
          <w:bCs/>
          <w:kern w:val="0"/>
          <w:sz w:val="24"/>
          <w:szCs w:val="21"/>
        </w:rPr>
        <w:t>投标人名称（公章）：</w:t>
      </w:r>
    </w:p>
    <w:p w14:paraId="29E127C9">
      <w:pPr>
        <w:spacing w:line="460" w:lineRule="exact"/>
        <w:rPr>
          <w:rFonts w:hint="eastAsia" w:ascii="宋体" w:hAnsi="宋体" w:eastAsia="宋体" w:cs="Times New Roman"/>
          <w:bCs/>
          <w:kern w:val="0"/>
          <w:sz w:val="24"/>
          <w:szCs w:val="21"/>
        </w:rPr>
      </w:pPr>
      <w:r>
        <w:rPr>
          <w:rFonts w:hint="eastAsia" w:ascii="宋体" w:hAnsi="宋体" w:eastAsia="宋体" w:cs="Times New Roman"/>
          <w:bCs/>
          <w:kern w:val="0"/>
          <w:sz w:val="24"/>
          <w:szCs w:val="21"/>
        </w:rPr>
        <w:t>授权代表签名：</w:t>
      </w:r>
    </w:p>
    <w:p w14:paraId="514135C1">
      <w:pPr>
        <w:spacing w:line="460" w:lineRule="exact"/>
        <w:rPr>
          <w:rFonts w:hint="eastAsia" w:ascii="宋体" w:hAnsi="宋体" w:eastAsia="宋体" w:cs="Times New Roman"/>
          <w:bCs/>
          <w:kern w:val="0"/>
          <w:sz w:val="24"/>
          <w:szCs w:val="21"/>
        </w:rPr>
      </w:pPr>
      <w:r>
        <w:rPr>
          <w:rFonts w:hint="eastAsia" w:ascii="宋体" w:hAnsi="宋体" w:eastAsia="宋体" w:cs="Times New Roman"/>
          <w:bCs/>
          <w:kern w:val="0"/>
          <w:sz w:val="24"/>
          <w:szCs w:val="21"/>
        </w:rPr>
        <w:t>日期：  年  月  日</w:t>
      </w:r>
    </w:p>
    <w:p w14:paraId="42FCFDB2">
      <w:pPr>
        <w:pStyle w:val="10"/>
        <w:spacing w:beforeAutospacing="0" w:afterAutospacing="0"/>
        <w:jc w:val="both"/>
        <w:rPr>
          <w:rFonts w:hint="eastAsia" w:ascii="宋体" w:hAnsi="宋体" w:eastAsia="宋体" w:cs="宋体"/>
          <w:iCs/>
        </w:rPr>
      </w:pPr>
    </w:p>
    <w:p w14:paraId="5E9B9B94">
      <w:pPr>
        <w:ind w:firstLine="636"/>
        <w:rPr>
          <w:rFonts w:hint="eastAsia" w:ascii="宋体" w:hAnsi="宋体" w:eastAsia="宋体" w:cs="宋体"/>
          <w:iCs/>
          <w:color w:val="000000"/>
          <w:sz w:val="32"/>
          <w:szCs w:val="32"/>
        </w:rPr>
      </w:pPr>
      <w:r>
        <w:rPr>
          <w:rFonts w:hint="eastAsia" w:ascii="宋体" w:hAnsi="宋体" w:eastAsia="宋体" w:cs="宋体"/>
          <w:iCs/>
          <w:color w:val="000000"/>
          <w:sz w:val="32"/>
          <w:szCs w:val="32"/>
        </w:rPr>
        <w:br w:type="page"/>
      </w:r>
    </w:p>
    <w:p w14:paraId="0B6B2EE8">
      <w:pPr>
        <w:pStyle w:val="10"/>
        <w:spacing w:beforeAutospacing="0" w:afterAutospacing="0"/>
        <w:ind w:firstLine="638"/>
        <w:jc w:val="center"/>
        <w:rPr>
          <w:rFonts w:hint="eastAsia" w:ascii="宋体" w:hAnsi="宋体" w:eastAsia="宋体" w:cs="宋体"/>
          <w:b/>
          <w:bCs/>
          <w:iCs/>
        </w:rPr>
      </w:pPr>
      <w:r>
        <w:rPr>
          <w:rFonts w:hint="eastAsia" w:ascii="宋体" w:hAnsi="宋体" w:eastAsia="宋体" w:cs="宋体"/>
          <w:b/>
          <w:bCs/>
          <w:iCs/>
          <w:color w:val="000000"/>
          <w:sz w:val="32"/>
          <w:szCs w:val="32"/>
        </w:rPr>
        <w:t>六、特定资格要求的证明文件</w:t>
      </w:r>
    </w:p>
    <w:p w14:paraId="09050B7A">
      <w:pPr>
        <w:pStyle w:val="10"/>
        <w:spacing w:beforeAutospacing="0" w:afterAutospacing="0" w:line="0" w:lineRule="atLeast"/>
        <w:jc w:val="both"/>
        <w:rPr>
          <w:rFonts w:hint="eastAsia" w:ascii="宋体" w:hAnsi="宋体" w:eastAsia="宋体" w:cs="宋体"/>
          <w:iCs/>
        </w:rPr>
      </w:pPr>
      <w:r>
        <w:rPr>
          <w:rFonts w:hint="eastAsia" w:ascii="宋体" w:hAnsi="宋体" w:eastAsia="宋体" w:cs="宋体"/>
          <w:iCs/>
          <w:color w:val="000000"/>
        </w:rPr>
        <w:t>   如果本项目申请人的特定资格要求中要求提供的，必须提供。</w:t>
      </w:r>
    </w:p>
    <w:p w14:paraId="519BCB1A">
      <w:pPr>
        <w:pStyle w:val="10"/>
        <w:spacing w:beforeAutospacing="0" w:afterAutospacing="0" w:line="0" w:lineRule="atLeast"/>
        <w:jc w:val="both"/>
        <w:rPr>
          <w:rFonts w:hint="eastAsia" w:ascii="宋体" w:hAnsi="宋体" w:eastAsia="宋体" w:cs="宋体"/>
          <w:iCs/>
        </w:rPr>
      </w:pPr>
      <w:r>
        <w:rPr>
          <w:rFonts w:hint="eastAsia" w:ascii="宋体" w:hAnsi="宋体" w:eastAsia="宋体" w:cs="宋体"/>
          <w:iCs/>
        </w:rPr>
        <w:t> </w:t>
      </w:r>
    </w:p>
    <w:p w14:paraId="0CB18ECF">
      <w:pPr>
        <w:ind w:firstLine="636"/>
        <w:rPr>
          <w:rFonts w:hint="eastAsia" w:ascii="宋体" w:hAnsi="宋体" w:eastAsia="宋体" w:cs="宋体"/>
          <w:iCs/>
          <w:color w:val="000000"/>
          <w:sz w:val="32"/>
          <w:szCs w:val="32"/>
        </w:rPr>
      </w:pPr>
      <w:r>
        <w:rPr>
          <w:rFonts w:hint="eastAsia" w:ascii="宋体" w:hAnsi="宋体" w:eastAsia="宋体" w:cs="宋体"/>
          <w:iCs/>
          <w:color w:val="000000"/>
          <w:sz w:val="32"/>
          <w:szCs w:val="32"/>
        </w:rPr>
        <w:br w:type="page"/>
      </w:r>
    </w:p>
    <w:p w14:paraId="7A0E6D81">
      <w:pPr>
        <w:pStyle w:val="10"/>
        <w:spacing w:beforeAutospacing="0" w:afterAutospacing="0"/>
        <w:ind w:firstLine="638"/>
        <w:jc w:val="center"/>
        <w:rPr>
          <w:rFonts w:hint="eastAsia" w:ascii="宋体" w:hAnsi="宋体" w:eastAsia="宋体" w:cs="宋体"/>
          <w:b/>
          <w:bCs/>
          <w:iCs/>
        </w:rPr>
      </w:pPr>
      <w:r>
        <w:rPr>
          <w:rFonts w:hint="eastAsia" w:ascii="宋体" w:hAnsi="宋体" w:eastAsia="宋体" w:cs="宋体"/>
          <w:b/>
          <w:bCs/>
          <w:iCs/>
          <w:color w:val="000000"/>
          <w:sz w:val="32"/>
          <w:szCs w:val="32"/>
        </w:rPr>
        <w:t>七、法人授权书</w:t>
      </w:r>
    </w:p>
    <w:p w14:paraId="153960CD">
      <w:pPr>
        <w:spacing w:line="500" w:lineRule="exact"/>
        <w:ind w:firstLine="476"/>
        <w:jc w:val="left"/>
        <w:rPr>
          <w:rFonts w:hint="eastAsia" w:ascii="宋体" w:hAnsi="宋体" w:eastAsia="宋体" w:cs="Times New Roman"/>
          <w:kern w:val="0"/>
          <w:sz w:val="24"/>
          <w:szCs w:val="21"/>
        </w:rPr>
      </w:pPr>
      <w:bookmarkStart w:id="217" w:name="_格式3__银行出具的资信证明"/>
      <w:bookmarkStart w:id="218" w:name="_Hlt26955070"/>
      <w:bookmarkStart w:id="219" w:name="_Hlt26671380"/>
      <w:r>
        <w:rPr>
          <w:rFonts w:hint="eastAsia" w:ascii="宋体" w:hAnsi="宋体" w:eastAsia="宋体" w:cs="Times New Roman"/>
          <w:kern w:val="0"/>
          <w:sz w:val="24"/>
          <w:szCs w:val="21"/>
        </w:rPr>
        <w:t>本授权书声明：</w:t>
      </w:r>
      <w:r>
        <w:rPr>
          <w:rFonts w:hint="eastAsia" w:ascii="宋体" w:hAnsi="宋体" w:eastAsia="宋体" w:cs="Times New Roman"/>
          <w:kern w:val="0"/>
          <w:sz w:val="24"/>
          <w:szCs w:val="21"/>
          <w:u w:val="single"/>
        </w:rPr>
        <w:t>　　　　　　</w:t>
      </w:r>
      <w:r>
        <w:rPr>
          <w:rFonts w:hint="eastAsia" w:ascii="宋体" w:hAnsi="宋体" w:eastAsia="宋体" w:cs="Times New Roman"/>
          <w:kern w:val="0"/>
          <w:sz w:val="24"/>
          <w:szCs w:val="21"/>
        </w:rPr>
        <w:t>（投标人名称）授权</w:t>
      </w:r>
      <w:r>
        <w:rPr>
          <w:rFonts w:hint="eastAsia" w:ascii="宋体" w:hAnsi="宋体" w:eastAsia="宋体" w:cs="Times New Roman"/>
          <w:kern w:val="0"/>
          <w:sz w:val="24"/>
          <w:szCs w:val="21"/>
          <w:u w:val="single"/>
        </w:rPr>
        <w:t>　　　　　　　　　</w:t>
      </w:r>
      <w:r>
        <w:rPr>
          <w:rFonts w:hint="eastAsia" w:ascii="宋体" w:hAnsi="宋体" w:eastAsia="宋体" w:cs="Times New Roman"/>
          <w:kern w:val="0"/>
          <w:sz w:val="24"/>
          <w:szCs w:val="21"/>
        </w:rPr>
        <w:t>（被授权人的姓名）为我方就</w:t>
      </w:r>
      <w:r>
        <w:rPr>
          <w:rFonts w:hint="eastAsia" w:ascii="宋体" w:hAnsi="宋体" w:eastAsia="宋体" w:cs="Times New Roman"/>
          <w:kern w:val="0"/>
          <w:sz w:val="24"/>
          <w:szCs w:val="21"/>
          <w:u w:val="single"/>
        </w:rPr>
        <w:t>JSZC-       </w:t>
      </w:r>
      <w:r>
        <w:rPr>
          <w:rFonts w:hint="eastAsia" w:ascii="宋体" w:hAnsi="宋体" w:eastAsia="宋体" w:cs="Times New Roman"/>
          <w:kern w:val="0"/>
          <w:sz w:val="24"/>
          <w:szCs w:val="21"/>
        </w:rPr>
        <w:t>号项目采购活动的合法代理人，以本单位名义全权处理一切与该项目采购有关的事务。</w:t>
      </w:r>
    </w:p>
    <w:p w14:paraId="2EC2B07B">
      <w:pPr>
        <w:spacing w:line="500" w:lineRule="exact"/>
        <w:ind w:firstLine="480" w:firstLineChars="200"/>
        <w:rPr>
          <w:rFonts w:hint="eastAsia" w:ascii="宋体" w:hAnsi="宋体" w:eastAsia="宋体" w:cs="Times New Roman"/>
          <w:kern w:val="0"/>
          <w:sz w:val="24"/>
          <w:szCs w:val="21"/>
        </w:rPr>
      </w:pPr>
      <w:r>
        <w:rPr>
          <w:rFonts w:hint="eastAsia" w:ascii="宋体" w:hAnsi="宋体" w:eastAsia="宋体" w:cs="Times New Roman"/>
          <w:kern w:val="0"/>
          <w:sz w:val="24"/>
          <w:szCs w:val="21"/>
        </w:rPr>
        <w:t>本授权书于______年____月____日起生效，特此声明。</w:t>
      </w:r>
    </w:p>
    <w:p w14:paraId="216B1833">
      <w:pPr>
        <w:spacing w:line="500" w:lineRule="exact"/>
        <w:ind w:firstLine="480" w:firstLineChars="200"/>
        <w:jc w:val="left"/>
        <w:rPr>
          <w:rFonts w:hint="eastAsia" w:ascii="宋体" w:hAnsi="宋体" w:eastAsia="宋体" w:cs="Times New Roman"/>
          <w:kern w:val="0"/>
          <w:sz w:val="24"/>
          <w:szCs w:val="21"/>
        </w:rPr>
      </w:pPr>
      <w:r>
        <w:rPr>
          <w:rFonts w:hint="eastAsia" w:ascii="宋体" w:hAnsi="宋体" w:eastAsia="宋体" w:cs="Times New Roman"/>
          <w:kern w:val="0"/>
          <w:sz w:val="24"/>
          <w:szCs w:val="21"/>
        </w:rPr>
        <w:t>被授权人身份证号码：</w:t>
      </w:r>
      <w:r>
        <w:rPr>
          <w:rFonts w:hint="eastAsia" w:ascii="宋体" w:hAnsi="宋体" w:eastAsia="宋体" w:cs="Times New Roman"/>
          <w:kern w:val="0"/>
          <w:sz w:val="24"/>
          <w:szCs w:val="21"/>
          <w:u w:val="single"/>
        </w:rPr>
        <w:t>        </w:t>
      </w:r>
    </w:p>
    <w:p w14:paraId="236BBCEC">
      <w:pPr>
        <w:spacing w:line="500" w:lineRule="exact"/>
        <w:ind w:firstLine="476"/>
        <w:jc w:val="left"/>
        <w:rPr>
          <w:rFonts w:hint="eastAsia" w:ascii="宋体" w:hAnsi="宋体" w:eastAsia="宋体" w:cs="Times New Roman"/>
          <w:kern w:val="0"/>
          <w:sz w:val="24"/>
          <w:szCs w:val="21"/>
        </w:rPr>
      </w:pPr>
      <w:r>
        <w:rPr>
          <w:rFonts w:hint="eastAsia" w:ascii="宋体" w:hAnsi="宋体" w:eastAsia="宋体" w:cs="Times New Roman"/>
          <w:kern w:val="0"/>
          <w:sz w:val="24"/>
          <w:szCs w:val="21"/>
        </w:rPr>
        <w:t>被授权人联系电话：（手机）</w:t>
      </w:r>
      <w:r>
        <w:rPr>
          <w:rFonts w:hint="eastAsia" w:ascii="宋体" w:hAnsi="宋体" w:eastAsia="宋体" w:cs="Times New Roman"/>
          <w:kern w:val="0"/>
          <w:sz w:val="24"/>
          <w:szCs w:val="21"/>
          <w:u w:val="single"/>
        </w:rPr>
        <w:t>        </w:t>
      </w:r>
      <w:r>
        <w:rPr>
          <w:rFonts w:hint="eastAsia" w:ascii="宋体" w:hAnsi="宋体" w:eastAsia="宋体" w:cs="Times New Roman"/>
          <w:kern w:val="0"/>
          <w:sz w:val="24"/>
          <w:szCs w:val="21"/>
        </w:rPr>
        <w:t>    </w:t>
      </w:r>
    </w:p>
    <w:p w14:paraId="09EB6AF7">
      <w:pPr>
        <w:spacing w:line="500" w:lineRule="exact"/>
        <w:ind w:firstLine="476"/>
        <w:jc w:val="left"/>
        <w:rPr>
          <w:rFonts w:hint="eastAsia" w:ascii="宋体" w:hAnsi="宋体" w:eastAsia="宋体" w:cs="Times New Roman"/>
          <w:kern w:val="0"/>
          <w:sz w:val="24"/>
          <w:szCs w:val="21"/>
          <w:u w:val="single"/>
        </w:rPr>
      </w:pPr>
      <w:r>
        <w:rPr>
          <w:rFonts w:hint="eastAsia" w:ascii="宋体" w:hAnsi="宋体" w:eastAsia="宋体" w:cs="Times New Roman"/>
          <w:kern w:val="0"/>
          <w:sz w:val="24"/>
          <w:szCs w:val="21"/>
        </w:rPr>
        <w:t>授权单位名称：</w:t>
      </w:r>
      <w:r>
        <w:rPr>
          <w:rFonts w:hint="eastAsia" w:ascii="宋体" w:hAnsi="宋体" w:eastAsia="宋体" w:cs="Times New Roman"/>
          <w:kern w:val="0"/>
          <w:sz w:val="24"/>
          <w:szCs w:val="21"/>
          <w:u w:val="single"/>
        </w:rPr>
        <w:t>（加盖CA电子公章）</w:t>
      </w:r>
    </w:p>
    <w:p w14:paraId="71160B49">
      <w:pPr>
        <w:spacing w:line="500" w:lineRule="exact"/>
        <w:ind w:firstLine="480" w:firstLineChars="200"/>
        <w:jc w:val="left"/>
        <w:rPr>
          <w:rFonts w:hint="eastAsia" w:ascii="宋体" w:hAnsi="宋体" w:eastAsia="宋体" w:cs="Times New Roman"/>
          <w:kern w:val="0"/>
          <w:sz w:val="24"/>
          <w:szCs w:val="21"/>
        </w:rPr>
      </w:pPr>
      <w:r>
        <w:rPr>
          <w:rFonts w:hint="eastAsia" w:ascii="宋体" w:hAnsi="宋体" w:eastAsia="宋体" w:cs="Times New Roman"/>
          <w:kern w:val="0"/>
          <w:sz w:val="24"/>
          <w:szCs w:val="21"/>
        </w:rPr>
        <w:t>单位地址：</w:t>
      </w:r>
      <w:r>
        <w:rPr>
          <w:rFonts w:hint="eastAsia" w:ascii="宋体" w:hAnsi="宋体" w:eastAsia="宋体" w:cs="Times New Roman"/>
          <w:kern w:val="0"/>
          <w:sz w:val="24"/>
          <w:szCs w:val="21"/>
          <w:u w:val="single"/>
        </w:rPr>
        <w:t>        </w:t>
      </w:r>
      <w:r>
        <w:rPr>
          <w:rFonts w:hint="eastAsia" w:ascii="宋体" w:hAnsi="宋体" w:eastAsia="宋体" w:cs="Times New Roman"/>
          <w:kern w:val="0"/>
          <w:sz w:val="24"/>
          <w:szCs w:val="21"/>
        </w:rPr>
        <w:t>         </w:t>
      </w:r>
    </w:p>
    <w:p w14:paraId="161950F8">
      <w:pPr>
        <w:spacing w:line="500" w:lineRule="exact"/>
        <w:ind w:firstLine="480" w:firstLineChars="200"/>
        <w:jc w:val="left"/>
        <w:rPr>
          <w:rFonts w:ascii="Times New Roman" w:hAnsi="Times New Roman" w:eastAsia="宋体" w:cs="Times New Roman"/>
          <w:kern w:val="0"/>
          <w:szCs w:val="21"/>
        </w:rPr>
      </w:pPr>
      <w:r>
        <w:rPr>
          <w:rFonts w:hint="eastAsia" w:ascii="宋体" w:hAnsi="宋体" w:eastAsia="宋体" w:cs="Times New Roman"/>
          <w:kern w:val="0"/>
          <w:sz w:val="24"/>
          <w:szCs w:val="21"/>
        </w:rPr>
        <w:t>日期：</w:t>
      </w:r>
      <w:r>
        <w:rPr>
          <w:rFonts w:hint="eastAsia" w:ascii="宋体" w:hAnsi="宋体" w:eastAsia="宋体" w:cs="Times New Roman"/>
          <w:kern w:val="0"/>
          <w:sz w:val="24"/>
          <w:szCs w:val="21"/>
          <w:u w:val="single"/>
        </w:rPr>
        <w:t>        </w:t>
      </w:r>
      <w:r>
        <w:rPr>
          <w:rFonts w:hint="eastAsia" w:ascii="宋体" w:hAnsi="宋体" w:eastAsia="宋体" w:cs="Times New Roman"/>
          <w:kern w:val="0"/>
          <w:sz w:val="24"/>
          <w:szCs w:val="21"/>
        </w:rPr>
        <w:t>        </w:t>
      </w:r>
      <w:r>
        <w:rPr>
          <w:rFonts w:hint="eastAsia" w:ascii="Times New Roman" w:hAnsi="Times New Roman" w:eastAsia="宋体" w:cs="Times New Roman"/>
          <w:kern w:val="0"/>
          <w:szCs w:val="21"/>
        </w:rPr>
        <w:t>                  </w:t>
      </w:r>
    </w:p>
    <w:p w14:paraId="7C326B56">
      <w:pPr>
        <w:widowControl/>
        <w:spacing w:before="100" w:after="100" w:line="0" w:lineRule="atLeast"/>
        <w:ind w:firstLine="476"/>
        <w:rPr>
          <w:rFonts w:hint="eastAsia" w:ascii="宋体" w:hAnsi="宋体" w:eastAsia="宋体" w:cs="宋体"/>
          <w:kern w:val="0"/>
          <w:sz w:val="24"/>
        </w:rPr>
      </w:pPr>
    </w:p>
    <w:p w14:paraId="5E15B5AE">
      <w:pPr>
        <w:widowControl/>
        <w:spacing w:before="100" w:after="100" w:line="0" w:lineRule="atLeast"/>
        <w:ind w:firstLine="476"/>
        <w:rPr>
          <w:rFonts w:hint="eastAsia" w:ascii="宋体" w:hAnsi="宋体" w:eastAsia="宋体" w:cs="宋体"/>
          <w:kern w:val="0"/>
          <w:sz w:val="24"/>
        </w:rPr>
      </w:pPr>
      <w:r>
        <w:rPr>
          <w:rFonts w:hint="eastAsia" w:ascii="宋体" w:hAnsi="宋体" w:eastAsia="宋体" w:cs="宋体"/>
          <w:kern w:val="0"/>
          <w:sz w:val="24"/>
        </w:rPr>
        <w:t>备注我公司（单位）委托进行现场演示的人员为（本项目如果无现场演示要求，请项目经办人自行删除该备注）</w:t>
      </w:r>
    </w:p>
    <w:p w14:paraId="33E6F44A">
      <w:pPr>
        <w:widowControl/>
        <w:spacing w:before="100" w:after="100" w:line="0" w:lineRule="atLeast"/>
        <w:ind w:firstLine="476"/>
        <w:rPr>
          <w:rFonts w:hint="eastAsia" w:ascii="宋体" w:hAnsi="宋体" w:eastAsia="宋体" w:cs="宋体"/>
          <w:kern w:val="0"/>
          <w:sz w:val="24"/>
        </w:rPr>
      </w:pPr>
      <w:r>
        <w:rPr>
          <w:rFonts w:hint="eastAsia" w:ascii="宋体" w:hAnsi="宋体" w:eastAsia="宋体" w:cs="宋体"/>
          <w:kern w:val="0"/>
          <w:sz w:val="24"/>
        </w:rPr>
        <w:t>      （人员姓名）            ，身份证号         。</w:t>
      </w:r>
    </w:p>
    <w:p w14:paraId="45BED8CB">
      <w:pPr>
        <w:widowControl/>
        <w:spacing w:before="100" w:after="100" w:line="0" w:lineRule="atLeast"/>
        <w:ind w:firstLine="476"/>
        <w:rPr>
          <w:rFonts w:hint="eastAsia" w:ascii="宋体" w:hAnsi="宋体" w:eastAsia="宋体" w:cs="宋体"/>
          <w:kern w:val="0"/>
          <w:sz w:val="24"/>
        </w:rPr>
      </w:pPr>
      <w:r>
        <w:rPr>
          <w:rFonts w:hint="eastAsia" w:ascii="宋体" w:hAnsi="宋体" w:eastAsia="宋体" w:cs="宋体"/>
          <w:kern w:val="0"/>
          <w:sz w:val="24"/>
        </w:rPr>
        <w:t>       ……</w:t>
      </w:r>
    </w:p>
    <w:p w14:paraId="23F42DD5">
      <w:pPr>
        <w:pStyle w:val="10"/>
        <w:spacing w:beforeAutospacing="0" w:afterAutospacing="0" w:line="0" w:lineRule="atLeast"/>
        <w:jc w:val="both"/>
        <w:rPr>
          <w:rFonts w:hint="eastAsia" w:ascii="宋体" w:hAnsi="宋体" w:eastAsia="宋体" w:cs="宋体"/>
        </w:rPr>
      </w:pPr>
      <w:r>
        <w:rPr>
          <w:rFonts w:hint="eastAsia" w:ascii="宋体" w:hAnsi="宋体" w:eastAsia="宋体" w:cs="宋体"/>
        </w:rPr>
        <w:t> </w:t>
      </w:r>
    </w:p>
    <w:p w14:paraId="05BE05DD">
      <w:pPr>
        <w:pStyle w:val="10"/>
        <w:keepNext/>
        <w:keepLines/>
        <w:spacing w:beforeAutospacing="0" w:afterAutospacing="0" w:line="416" w:lineRule="auto"/>
        <w:ind w:firstLine="478"/>
        <w:jc w:val="both"/>
        <w:rPr>
          <w:rFonts w:hint="eastAsia" w:ascii="宋体" w:hAnsi="宋体" w:eastAsia="宋体" w:cs="宋体"/>
          <w:b/>
          <w:color w:val="000000"/>
          <w:sz w:val="32"/>
          <w:szCs w:val="32"/>
        </w:rPr>
      </w:pPr>
      <w:r>
        <w:rPr>
          <w:rFonts w:hint="eastAsia" w:ascii="宋体" w:hAnsi="宋体" w:eastAsia="宋体" w:cs="宋体"/>
          <w:b/>
          <w:color w:val="000000"/>
        </w:rPr>
        <w:br w:type="page"/>
      </w:r>
      <w:r>
        <w:rPr>
          <w:rFonts w:hint="eastAsia" w:ascii="宋体" w:hAnsi="宋体" w:eastAsia="宋体" w:cs="宋体"/>
          <w:b/>
          <w:color w:val="000000"/>
        </w:rPr>
        <w:t> </w:t>
      </w:r>
      <w:r>
        <w:rPr>
          <w:rFonts w:hint="eastAsia" w:ascii="宋体" w:hAnsi="宋体" w:eastAsia="宋体" w:cs="宋体"/>
          <w:b/>
          <w:color w:val="000000"/>
          <w:sz w:val="32"/>
          <w:szCs w:val="32"/>
        </w:rPr>
        <w:t>八、投标函</w:t>
      </w:r>
    </w:p>
    <w:p w14:paraId="62F35E56">
      <w:pPr>
        <w:pStyle w:val="10"/>
        <w:spacing w:beforeAutospacing="0" w:afterAutospacing="0" w:line="500" w:lineRule="exact"/>
        <w:rPr>
          <w:rFonts w:hint="eastAsia" w:ascii="宋体" w:hAnsi="宋体" w:eastAsia="宋体" w:cs="宋体"/>
        </w:rPr>
      </w:pPr>
      <w:r>
        <w:rPr>
          <w:rFonts w:hint="eastAsia" w:ascii="宋体" w:hAnsi="宋体" w:eastAsia="宋体" w:cs="宋体"/>
          <w:color w:val="000000"/>
        </w:rPr>
        <w:t>致：</w:t>
      </w:r>
      <w:r>
        <w:rPr>
          <w:rFonts w:hint="eastAsia" w:ascii="宋体" w:hAnsi="宋体" w:eastAsia="宋体" w:cs="宋体"/>
          <w:color w:val="000000"/>
          <w:u w:val="single"/>
        </w:rPr>
        <w:t>盐城市大丰区住房和城乡建设局</w:t>
      </w:r>
    </w:p>
    <w:p w14:paraId="455BCE0C">
      <w:pPr>
        <w:pStyle w:val="10"/>
        <w:spacing w:beforeAutospacing="0" w:afterAutospacing="0" w:line="500" w:lineRule="exact"/>
        <w:ind w:firstLine="476"/>
        <w:rPr>
          <w:rFonts w:hint="eastAsia" w:ascii="宋体" w:hAnsi="宋体" w:eastAsia="宋体" w:cs="宋体"/>
        </w:rPr>
      </w:pPr>
      <w:r>
        <w:rPr>
          <w:rFonts w:hint="eastAsia" w:ascii="宋体" w:hAnsi="宋体" w:eastAsia="宋体" w:cs="宋体"/>
          <w:color w:val="000000"/>
        </w:rPr>
        <w:t>根据贵方的</w:t>
      </w:r>
      <w:r>
        <w:rPr>
          <w:rFonts w:hint="eastAsia" w:ascii="宋体" w:hAnsi="宋体" w:eastAsia="宋体" w:cs="宋体"/>
          <w:color w:val="000000"/>
          <w:u w:val="single"/>
        </w:rPr>
        <w:t xml:space="preserve">JSZC-            </w:t>
      </w:r>
      <w:r>
        <w:rPr>
          <w:rFonts w:hint="eastAsia" w:ascii="宋体" w:hAnsi="宋体" w:eastAsia="宋体" w:cs="宋体"/>
          <w:color w:val="000000"/>
        </w:rPr>
        <w:t>号招标文件，正式授权下述签字人</w:t>
      </w:r>
      <w:r>
        <w:rPr>
          <w:rFonts w:hint="eastAsia" w:ascii="宋体" w:hAnsi="宋体" w:eastAsia="宋体" w:cs="宋体"/>
          <w:color w:val="000000"/>
          <w:u w:val="single"/>
        </w:rPr>
        <w:t>(姓名)</w:t>
      </w:r>
      <w:r>
        <w:rPr>
          <w:rFonts w:hint="eastAsia" w:ascii="宋体" w:hAnsi="宋体" w:eastAsia="宋体" w:cs="宋体"/>
          <w:color w:val="000000"/>
        </w:rPr>
        <w:t>代表我方</w:t>
      </w:r>
      <w:r>
        <w:rPr>
          <w:rFonts w:hint="eastAsia" w:ascii="宋体" w:hAnsi="宋体" w:eastAsia="宋体" w:cs="宋体"/>
          <w:color w:val="000000"/>
          <w:u w:val="single"/>
        </w:rPr>
        <w:t>（投标人的名称）</w:t>
      </w:r>
      <w:r>
        <w:rPr>
          <w:rFonts w:hint="eastAsia" w:ascii="宋体" w:hAnsi="宋体" w:eastAsia="宋体" w:cs="宋体"/>
          <w:color w:val="000000"/>
        </w:rPr>
        <w:t>，全权处理本次项目投标的有关事宜。</w:t>
      </w:r>
    </w:p>
    <w:p w14:paraId="4E91EF39">
      <w:pPr>
        <w:pStyle w:val="10"/>
        <w:spacing w:beforeAutospacing="0" w:afterAutospacing="0" w:line="500" w:lineRule="exact"/>
        <w:ind w:firstLine="476"/>
        <w:rPr>
          <w:rFonts w:hint="eastAsia" w:ascii="宋体" w:hAnsi="宋体" w:eastAsia="宋体" w:cs="宋体"/>
        </w:rPr>
      </w:pPr>
      <w:r>
        <w:rPr>
          <w:rFonts w:hint="eastAsia" w:ascii="宋体" w:hAnsi="宋体" w:eastAsia="宋体" w:cs="宋体"/>
          <w:color w:val="000000"/>
        </w:rPr>
        <w:t>据此函，签字人兹宣布同意如下：</w:t>
      </w:r>
    </w:p>
    <w:p w14:paraId="7D772664">
      <w:pPr>
        <w:pStyle w:val="10"/>
        <w:spacing w:beforeAutospacing="0" w:afterAutospacing="0" w:line="500" w:lineRule="exact"/>
        <w:ind w:firstLine="476"/>
        <w:rPr>
          <w:rFonts w:hint="eastAsia" w:ascii="宋体" w:hAnsi="宋体" w:eastAsia="宋体" w:cs="宋体"/>
        </w:rPr>
      </w:pPr>
      <w:r>
        <w:rPr>
          <w:rFonts w:hint="eastAsia" w:ascii="宋体" w:hAnsi="宋体" w:eastAsia="宋体" w:cs="宋体"/>
          <w:color w:val="000000"/>
        </w:rPr>
        <w:t>1.按招标文件规定的各项要求，向买方提供所需服务（包含与服务相关的货物）。</w:t>
      </w:r>
    </w:p>
    <w:p w14:paraId="2412E12A">
      <w:pPr>
        <w:pStyle w:val="10"/>
        <w:spacing w:beforeAutospacing="0" w:afterAutospacing="0" w:line="500" w:lineRule="exact"/>
        <w:ind w:firstLine="476"/>
        <w:rPr>
          <w:rFonts w:hint="eastAsia" w:ascii="宋体" w:hAnsi="宋体" w:eastAsia="宋体" w:cs="宋体"/>
        </w:rPr>
      </w:pPr>
      <w:r>
        <w:rPr>
          <w:rFonts w:hint="eastAsia" w:ascii="宋体" w:hAnsi="宋体" w:eastAsia="宋体" w:cs="宋体"/>
          <w:color w:val="000000"/>
        </w:rPr>
        <w:t>2.我们完全理解贵方不一定将合同授予最低报价的投标人。</w:t>
      </w:r>
    </w:p>
    <w:p w14:paraId="0FE027BC">
      <w:pPr>
        <w:pStyle w:val="10"/>
        <w:spacing w:beforeAutospacing="0" w:afterAutospacing="0" w:line="500" w:lineRule="exact"/>
        <w:ind w:firstLine="476"/>
        <w:rPr>
          <w:rFonts w:hint="eastAsia" w:ascii="宋体" w:hAnsi="宋体" w:eastAsia="宋体" w:cs="宋体"/>
        </w:rPr>
      </w:pPr>
      <w:r>
        <w:rPr>
          <w:rFonts w:hint="eastAsia" w:ascii="宋体" w:hAnsi="宋体" w:eastAsia="宋体" w:cs="宋体"/>
          <w:color w:val="000000"/>
        </w:rPr>
        <w:t>3.我们已详细审核全部招标文件及其有效补充文件，我们知道必须放弃提出含糊不清或误解问题的权利。</w:t>
      </w:r>
    </w:p>
    <w:p w14:paraId="7979574F">
      <w:pPr>
        <w:pStyle w:val="10"/>
        <w:spacing w:beforeAutospacing="0" w:afterAutospacing="0" w:line="500" w:lineRule="exact"/>
        <w:ind w:firstLine="476"/>
        <w:rPr>
          <w:rFonts w:hint="eastAsia" w:ascii="宋体" w:hAnsi="宋体" w:eastAsia="宋体" w:cs="宋体"/>
        </w:rPr>
      </w:pPr>
      <w:r>
        <w:rPr>
          <w:rFonts w:hint="eastAsia" w:ascii="宋体" w:hAnsi="宋体" w:eastAsia="宋体" w:cs="宋体"/>
          <w:color w:val="000000"/>
        </w:rPr>
        <w:t>4.我们同意从规定的开标日期起遵循本投标文件，并在规定的投标有效期期满之前均具有约束力。</w:t>
      </w:r>
    </w:p>
    <w:p w14:paraId="11B84F80">
      <w:pPr>
        <w:pStyle w:val="10"/>
        <w:spacing w:beforeAutospacing="0" w:afterAutospacing="0" w:line="500" w:lineRule="exact"/>
        <w:ind w:firstLine="476"/>
        <w:rPr>
          <w:rFonts w:hint="eastAsia" w:ascii="宋体" w:hAnsi="宋体" w:eastAsia="宋体" w:cs="宋体"/>
        </w:rPr>
      </w:pPr>
      <w:r>
        <w:rPr>
          <w:rFonts w:hint="eastAsia" w:ascii="宋体" w:hAnsi="宋体" w:eastAsia="宋体" w:cs="宋体"/>
          <w:color w:val="000000"/>
        </w:rPr>
        <w:t>5.同意向贵方提供贵方可能另外要求的与投标有关的任何证据或资料，并保证我方已提供和将要提供的文件是真实的、准确的。</w:t>
      </w:r>
    </w:p>
    <w:p w14:paraId="03073E2B">
      <w:pPr>
        <w:pStyle w:val="10"/>
        <w:spacing w:beforeAutospacing="0" w:afterAutospacing="0" w:line="500" w:lineRule="exact"/>
        <w:ind w:firstLine="476"/>
        <w:rPr>
          <w:rFonts w:hint="eastAsia" w:ascii="宋体" w:hAnsi="宋体" w:eastAsia="宋体" w:cs="宋体"/>
        </w:rPr>
      </w:pPr>
      <w:r>
        <w:rPr>
          <w:rFonts w:hint="eastAsia" w:ascii="宋体" w:hAnsi="宋体" w:eastAsia="宋体" w:cs="宋体"/>
          <w:color w:val="000000"/>
        </w:rPr>
        <w:t>6.一旦我方中标,我方将根据招标文件的规定，严格履行合同的责任和义务,并保证在招标文件规定的时间完成项目，交付买方验收、使用。</w:t>
      </w:r>
    </w:p>
    <w:p w14:paraId="2A8A9C1F">
      <w:pPr>
        <w:pStyle w:val="10"/>
        <w:spacing w:beforeAutospacing="0" w:afterAutospacing="0" w:line="500" w:lineRule="exact"/>
        <w:ind w:firstLine="476"/>
        <w:rPr>
          <w:rFonts w:hint="eastAsia" w:ascii="宋体" w:hAnsi="宋体" w:eastAsia="宋体" w:cs="宋体"/>
        </w:rPr>
      </w:pPr>
      <w:r>
        <w:rPr>
          <w:rFonts w:hint="eastAsia" w:ascii="宋体" w:hAnsi="宋体" w:eastAsia="宋体" w:cs="宋体"/>
          <w:color w:val="000000"/>
        </w:rPr>
        <w:t>7.与本投标有关的正式通讯地址为：</w:t>
      </w:r>
    </w:p>
    <w:p w14:paraId="18E23AEB">
      <w:pPr>
        <w:pStyle w:val="10"/>
        <w:spacing w:beforeAutospacing="0" w:afterAutospacing="0" w:line="500" w:lineRule="exact"/>
        <w:ind w:left="53" w:firstLine="476"/>
        <w:rPr>
          <w:rFonts w:hint="eastAsia" w:ascii="宋体" w:hAnsi="宋体" w:eastAsia="宋体" w:cs="宋体"/>
          <w:color w:val="000000"/>
        </w:rPr>
      </w:pPr>
    </w:p>
    <w:p w14:paraId="3199E104">
      <w:pPr>
        <w:pStyle w:val="10"/>
        <w:spacing w:beforeAutospacing="0" w:afterAutospacing="0" w:line="500" w:lineRule="exact"/>
        <w:ind w:left="53" w:firstLine="476"/>
        <w:rPr>
          <w:rFonts w:hint="eastAsia" w:ascii="宋体" w:hAnsi="宋体" w:eastAsia="宋体" w:cs="宋体"/>
          <w:color w:val="000000"/>
        </w:rPr>
      </w:pPr>
    </w:p>
    <w:p w14:paraId="6C89B7D0">
      <w:pPr>
        <w:pStyle w:val="10"/>
        <w:spacing w:beforeAutospacing="0" w:afterAutospacing="0" w:line="500" w:lineRule="exact"/>
        <w:ind w:left="53" w:firstLine="476"/>
        <w:rPr>
          <w:rFonts w:hint="eastAsia" w:ascii="宋体" w:hAnsi="宋体" w:eastAsia="宋体" w:cs="宋体"/>
        </w:rPr>
      </w:pPr>
      <w:r>
        <w:rPr>
          <w:rFonts w:hint="eastAsia" w:ascii="宋体" w:hAnsi="宋体" w:eastAsia="宋体" w:cs="宋体"/>
          <w:color w:val="000000"/>
        </w:rPr>
        <w:t>地    址：</w:t>
      </w:r>
    </w:p>
    <w:p w14:paraId="522FE4C0">
      <w:pPr>
        <w:pStyle w:val="10"/>
        <w:spacing w:beforeAutospacing="0" w:afterAutospacing="0" w:line="500" w:lineRule="exact"/>
        <w:ind w:left="53" w:firstLine="476"/>
        <w:rPr>
          <w:rFonts w:hint="eastAsia" w:ascii="宋体" w:hAnsi="宋体" w:eastAsia="宋体" w:cs="宋体"/>
        </w:rPr>
      </w:pPr>
      <w:r>
        <w:rPr>
          <w:rFonts w:hint="eastAsia" w:ascii="宋体" w:hAnsi="宋体" w:eastAsia="宋体" w:cs="宋体"/>
          <w:color w:val="000000"/>
        </w:rPr>
        <w:t>邮    编：</w:t>
      </w:r>
    </w:p>
    <w:p w14:paraId="543FB23F">
      <w:pPr>
        <w:pStyle w:val="10"/>
        <w:spacing w:beforeAutospacing="0" w:afterAutospacing="0" w:line="500" w:lineRule="exact"/>
        <w:ind w:left="53" w:firstLine="476"/>
        <w:rPr>
          <w:rFonts w:hint="eastAsia" w:ascii="宋体" w:hAnsi="宋体" w:eastAsia="宋体" w:cs="宋体"/>
        </w:rPr>
      </w:pPr>
      <w:r>
        <w:rPr>
          <w:rFonts w:hint="eastAsia" w:ascii="宋体" w:hAnsi="宋体" w:eastAsia="宋体" w:cs="宋体"/>
          <w:color w:val="000000"/>
        </w:rPr>
        <w:t>电    话：</w:t>
      </w:r>
    </w:p>
    <w:p w14:paraId="26ACA65F">
      <w:pPr>
        <w:pStyle w:val="10"/>
        <w:spacing w:beforeAutospacing="0" w:afterAutospacing="0" w:line="500" w:lineRule="exact"/>
        <w:ind w:left="53" w:firstLine="476"/>
        <w:rPr>
          <w:rFonts w:hint="eastAsia" w:ascii="宋体" w:hAnsi="宋体" w:eastAsia="宋体" w:cs="宋体"/>
        </w:rPr>
      </w:pPr>
      <w:r>
        <w:rPr>
          <w:rFonts w:hint="eastAsia" w:ascii="宋体" w:hAnsi="宋体" w:eastAsia="宋体" w:cs="宋体"/>
          <w:color w:val="000000"/>
        </w:rPr>
        <w:t>传    真：</w:t>
      </w:r>
    </w:p>
    <w:p w14:paraId="25D7E4B0">
      <w:pPr>
        <w:pStyle w:val="10"/>
        <w:spacing w:beforeAutospacing="0" w:afterAutospacing="0" w:line="500" w:lineRule="exact"/>
        <w:ind w:left="53" w:firstLine="476"/>
        <w:rPr>
          <w:rFonts w:hint="eastAsia" w:ascii="宋体" w:hAnsi="宋体" w:eastAsia="宋体" w:cs="宋体"/>
        </w:rPr>
      </w:pPr>
      <w:r>
        <w:rPr>
          <w:rFonts w:hint="eastAsia" w:ascii="宋体" w:hAnsi="宋体" w:eastAsia="宋体" w:cs="宋体"/>
          <w:color w:val="000000"/>
        </w:rPr>
        <w:t>投标人开户行：</w:t>
      </w:r>
    </w:p>
    <w:p w14:paraId="54416DB8">
      <w:pPr>
        <w:pStyle w:val="10"/>
        <w:spacing w:beforeAutospacing="0" w:afterAutospacing="0" w:line="500" w:lineRule="exact"/>
        <w:ind w:left="53" w:firstLine="476"/>
        <w:rPr>
          <w:rFonts w:hint="eastAsia" w:ascii="宋体" w:hAnsi="宋体" w:eastAsia="宋体" w:cs="宋体"/>
        </w:rPr>
      </w:pPr>
      <w:r>
        <w:rPr>
          <w:rFonts w:hint="eastAsia" w:ascii="宋体" w:hAnsi="宋体" w:eastAsia="宋体" w:cs="宋体"/>
          <w:color w:val="000000"/>
        </w:rPr>
        <w:t>账    号：</w:t>
      </w:r>
    </w:p>
    <w:p w14:paraId="72419673">
      <w:pPr>
        <w:pStyle w:val="10"/>
        <w:spacing w:beforeAutospacing="0" w:afterAutospacing="0" w:line="500" w:lineRule="exact"/>
        <w:ind w:left="53" w:firstLine="476"/>
        <w:rPr>
          <w:rFonts w:hint="eastAsia" w:ascii="宋体" w:hAnsi="宋体" w:eastAsia="宋体" w:cs="宋体"/>
        </w:rPr>
      </w:pPr>
      <w:r>
        <w:rPr>
          <w:rFonts w:hint="eastAsia" w:ascii="宋体" w:hAnsi="宋体" w:eastAsia="宋体" w:cs="宋体"/>
          <w:color w:val="000000"/>
        </w:rPr>
        <w:t>日    期：________年____月____日</w:t>
      </w:r>
    </w:p>
    <w:p w14:paraId="456F5A12">
      <w:pPr>
        <w:pStyle w:val="10"/>
        <w:spacing w:beforeAutospacing="0" w:afterAutospacing="0" w:line="0" w:lineRule="atLeast"/>
        <w:ind w:firstLine="476"/>
        <w:jc w:val="center"/>
        <w:rPr>
          <w:rFonts w:hint="eastAsia" w:ascii="宋体" w:hAnsi="宋体" w:eastAsia="宋体" w:cs="宋体"/>
        </w:rPr>
      </w:pPr>
      <w:r>
        <w:rPr>
          <w:rFonts w:hint="eastAsia" w:ascii="宋体" w:hAnsi="宋体" w:eastAsia="宋体" w:cs="宋体"/>
        </w:rPr>
        <w:t> </w:t>
      </w:r>
    </w:p>
    <w:p w14:paraId="1942F54D">
      <w:pPr>
        <w:pStyle w:val="10"/>
        <w:spacing w:beforeAutospacing="0" w:afterAutospacing="0" w:line="0" w:lineRule="atLeast"/>
        <w:ind w:firstLine="476"/>
        <w:jc w:val="center"/>
        <w:rPr>
          <w:rFonts w:hint="eastAsia" w:ascii="宋体" w:hAnsi="宋体" w:eastAsia="宋体" w:cs="宋体"/>
        </w:rPr>
      </w:pPr>
      <w:r>
        <w:rPr>
          <w:rFonts w:hint="eastAsia" w:ascii="宋体" w:hAnsi="宋体" w:eastAsia="宋体" w:cs="宋体"/>
        </w:rPr>
        <w:t> </w:t>
      </w:r>
    </w:p>
    <w:p w14:paraId="6B004022">
      <w:pPr>
        <w:pStyle w:val="10"/>
        <w:spacing w:beforeAutospacing="0" w:afterAutospacing="0" w:line="0" w:lineRule="atLeast"/>
        <w:ind w:firstLine="476"/>
        <w:jc w:val="center"/>
        <w:rPr>
          <w:rFonts w:hint="eastAsia" w:ascii="宋体" w:hAnsi="宋体" w:eastAsia="宋体" w:cs="宋体"/>
        </w:rPr>
      </w:pPr>
      <w:r>
        <w:rPr>
          <w:rFonts w:hint="eastAsia" w:ascii="宋体" w:hAnsi="宋体" w:eastAsia="宋体" w:cs="宋体"/>
        </w:rPr>
        <w:t> </w:t>
      </w:r>
    </w:p>
    <w:p w14:paraId="11639BBD">
      <w:pPr>
        <w:pStyle w:val="10"/>
        <w:spacing w:beforeAutospacing="0" w:afterAutospacing="0" w:line="0" w:lineRule="atLeast"/>
        <w:ind w:firstLine="476"/>
        <w:jc w:val="center"/>
        <w:rPr>
          <w:rFonts w:hint="eastAsia" w:ascii="宋体" w:hAnsi="宋体" w:eastAsia="宋体" w:cs="宋体"/>
        </w:rPr>
      </w:pPr>
      <w:r>
        <w:rPr>
          <w:rFonts w:hint="eastAsia" w:ascii="宋体" w:hAnsi="宋体" w:eastAsia="宋体" w:cs="宋体"/>
        </w:rPr>
        <w:t> </w:t>
      </w:r>
    </w:p>
    <w:p w14:paraId="37935848">
      <w:pPr>
        <w:pStyle w:val="10"/>
        <w:spacing w:beforeAutospacing="0" w:afterAutospacing="0" w:line="0" w:lineRule="atLeast"/>
        <w:jc w:val="center"/>
        <w:rPr>
          <w:rFonts w:hint="eastAsia" w:ascii="宋体" w:hAnsi="宋体" w:eastAsia="宋体" w:cs="宋体"/>
        </w:rPr>
      </w:pPr>
    </w:p>
    <w:p w14:paraId="6D66739E">
      <w:pPr>
        <w:pStyle w:val="10"/>
        <w:spacing w:beforeAutospacing="0" w:afterAutospacing="0" w:line="0" w:lineRule="atLeast"/>
        <w:ind w:firstLine="638"/>
        <w:jc w:val="center"/>
        <w:rPr>
          <w:rFonts w:hint="eastAsia" w:ascii="宋体" w:hAnsi="宋体" w:eastAsia="宋体" w:cs="宋体"/>
          <w:b/>
          <w:sz w:val="32"/>
          <w:szCs w:val="32"/>
        </w:rPr>
      </w:pPr>
    </w:p>
    <w:p w14:paraId="3138A916">
      <w:pPr>
        <w:pStyle w:val="10"/>
        <w:spacing w:beforeAutospacing="0" w:afterAutospacing="0" w:line="0" w:lineRule="atLeast"/>
        <w:ind w:firstLine="638"/>
        <w:jc w:val="center"/>
        <w:rPr>
          <w:rFonts w:hint="eastAsia" w:ascii="宋体" w:hAnsi="宋体" w:eastAsia="宋体" w:cs="宋体"/>
        </w:rPr>
      </w:pPr>
      <w:r>
        <w:rPr>
          <w:rFonts w:hint="eastAsia" w:ascii="宋体" w:hAnsi="宋体" w:eastAsia="宋体" w:cs="宋体"/>
          <w:b/>
          <w:sz w:val="32"/>
          <w:szCs w:val="32"/>
        </w:rPr>
        <w:t>九、中小企业声明函（服务）</w:t>
      </w:r>
    </w:p>
    <w:p w14:paraId="7951CABD">
      <w:pPr>
        <w:spacing w:line="480" w:lineRule="exact"/>
        <w:ind w:firstLine="476"/>
        <w:rPr>
          <w:rFonts w:hint="eastAsia" w:ascii="宋体" w:hAnsi="宋体" w:eastAsia="宋体" w:cs="宋体"/>
          <w:sz w:val="24"/>
        </w:rPr>
      </w:pPr>
      <w:r>
        <w:rPr>
          <w:rFonts w:hint="eastAsia" w:ascii="宋体" w:hAnsi="宋体" w:eastAsia="宋体" w:cs="宋体"/>
          <w:sz w:val="24"/>
        </w:rPr>
        <w:t>本公司（联合体）郑重声明，根据《政府采购促进中小企业发展管理办法》（财库﹝2020﹞46号）的规定，本公司（联合体）参加盐城市政府采购中心组织的</w:t>
      </w:r>
      <w:r>
        <w:rPr>
          <w:rFonts w:hint="eastAsia" w:ascii="宋体" w:hAnsi="宋体" w:eastAsia="宋体" w:cs="宋体"/>
          <w:i/>
          <w:iCs/>
          <w:sz w:val="24"/>
          <w:u w:val="single"/>
        </w:rPr>
        <w:t>（单位名称）</w:t>
      </w:r>
      <w:r>
        <w:rPr>
          <w:rFonts w:hint="eastAsia" w:ascii="宋体" w:hAnsi="宋体" w:eastAsia="宋体" w:cs="宋体"/>
          <w:sz w:val="24"/>
          <w:szCs w:val="20"/>
        </w:rPr>
        <w:t>，</w:t>
      </w:r>
      <w:r>
        <w:rPr>
          <w:rFonts w:hint="eastAsia" w:ascii="宋体" w:hAnsi="宋体" w:eastAsia="宋体" w:cs="宋体"/>
          <w:sz w:val="24"/>
        </w:rPr>
        <w:t>采购编号为的</w:t>
      </w:r>
      <w:r>
        <w:rPr>
          <w:rFonts w:hint="eastAsia" w:ascii="宋体" w:hAnsi="宋体" w:eastAsia="宋体" w:cs="宋体"/>
          <w:i/>
          <w:iCs/>
          <w:sz w:val="24"/>
          <w:u w:val="single"/>
        </w:rPr>
        <w:t>（项目名称）</w:t>
      </w:r>
      <w:r>
        <w:rPr>
          <w:rFonts w:hint="eastAsia" w:ascii="宋体" w:hAnsi="宋体" w:eastAsia="宋体" w:cs="宋体"/>
          <w:sz w:val="24"/>
        </w:rPr>
        <w:t>的采购活动，服务全部由符合政策要求的中小企业承接。相关企业（含联合体中的中小企业、签订分包意向协议的中小企业）的具体情况如下：</w:t>
      </w:r>
    </w:p>
    <w:p w14:paraId="20B0CB4C">
      <w:pPr>
        <w:spacing w:line="480" w:lineRule="exact"/>
        <w:ind w:firstLine="476"/>
        <w:rPr>
          <w:rFonts w:hint="eastAsia" w:ascii="宋体" w:hAnsi="宋体" w:eastAsia="宋体" w:cs="宋体"/>
          <w:sz w:val="24"/>
        </w:rPr>
      </w:pPr>
      <w:r>
        <w:rPr>
          <w:rFonts w:hint="eastAsia" w:ascii="宋体" w:hAnsi="宋体" w:eastAsia="宋体" w:cs="宋体"/>
          <w:sz w:val="24"/>
        </w:rPr>
        <w:t>1.</w:t>
      </w:r>
      <w:r>
        <w:rPr>
          <w:rFonts w:hint="eastAsia" w:ascii="宋体" w:hAnsi="宋体" w:eastAsia="宋体" w:cs="宋体"/>
          <w:i/>
          <w:iCs/>
          <w:sz w:val="24"/>
          <w:u w:val="single"/>
        </w:rPr>
        <w:t>（标的名称）</w:t>
      </w:r>
      <w:r>
        <w:rPr>
          <w:rFonts w:hint="eastAsia" w:ascii="宋体" w:hAnsi="宋体" w:eastAsia="宋体" w:cs="宋体"/>
          <w:sz w:val="24"/>
        </w:rPr>
        <w:t>，属于</w:t>
      </w:r>
      <w:r>
        <w:rPr>
          <w:rFonts w:hint="eastAsia" w:ascii="宋体" w:hAnsi="宋体" w:eastAsia="宋体" w:cs="宋体"/>
          <w:i/>
          <w:iCs/>
          <w:sz w:val="24"/>
          <w:u w:val="single"/>
        </w:rPr>
        <w:t>（采购文件中明确的所属行业）</w:t>
      </w:r>
      <w:r>
        <w:rPr>
          <w:rFonts w:hint="eastAsia" w:ascii="宋体" w:hAnsi="宋体" w:eastAsia="宋体" w:cs="宋体"/>
          <w:sz w:val="24"/>
        </w:rPr>
        <w:t>；承建（承接）企业为</w:t>
      </w:r>
      <w:r>
        <w:rPr>
          <w:rFonts w:hint="eastAsia" w:ascii="宋体" w:hAnsi="宋体" w:eastAsia="宋体" w:cs="宋体"/>
          <w:i/>
          <w:iCs/>
          <w:sz w:val="24"/>
          <w:u w:val="single"/>
        </w:rPr>
        <w:t>（企业名称）</w:t>
      </w:r>
      <w:r>
        <w:rPr>
          <w:rFonts w:hint="eastAsia" w:ascii="宋体" w:hAnsi="宋体" w:eastAsia="宋体" w:cs="宋体"/>
          <w:sz w:val="24"/>
        </w:rPr>
        <w:t>，从业人员人，营业收入为万元，资产总额为万元，属于（</w:t>
      </w:r>
      <w:r>
        <w:rPr>
          <w:rFonts w:hint="eastAsia" w:ascii="宋体" w:hAnsi="宋体" w:eastAsia="宋体" w:cs="宋体"/>
          <w:i/>
          <w:iCs/>
          <w:sz w:val="24"/>
          <w:u w:val="single"/>
        </w:rPr>
        <w:t>中型企业、小型企业、微型企业</w:t>
      </w:r>
      <w:r>
        <w:rPr>
          <w:rFonts w:hint="eastAsia" w:ascii="宋体" w:hAnsi="宋体" w:eastAsia="宋体" w:cs="宋体"/>
          <w:sz w:val="24"/>
        </w:rPr>
        <w:t>）；</w:t>
      </w:r>
    </w:p>
    <w:p w14:paraId="21470F8C">
      <w:pPr>
        <w:spacing w:line="480" w:lineRule="exact"/>
        <w:ind w:firstLine="476"/>
        <w:rPr>
          <w:rFonts w:hint="eastAsia" w:ascii="宋体" w:hAnsi="宋体" w:eastAsia="宋体" w:cs="宋体"/>
          <w:sz w:val="24"/>
        </w:rPr>
      </w:pPr>
      <w:r>
        <w:rPr>
          <w:rFonts w:hint="eastAsia" w:ascii="宋体" w:hAnsi="宋体" w:eastAsia="宋体" w:cs="宋体"/>
          <w:sz w:val="24"/>
        </w:rPr>
        <w:t>2.</w:t>
      </w:r>
      <w:r>
        <w:rPr>
          <w:rFonts w:hint="eastAsia" w:ascii="宋体" w:hAnsi="宋体" w:eastAsia="宋体" w:cs="宋体"/>
          <w:i/>
          <w:iCs/>
          <w:sz w:val="24"/>
          <w:u w:val="single"/>
        </w:rPr>
        <w:t>（标的名称）</w:t>
      </w:r>
      <w:r>
        <w:rPr>
          <w:rFonts w:hint="eastAsia" w:ascii="宋体" w:hAnsi="宋体" w:eastAsia="宋体" w:cs="宋体"/>
          <w:sz w:val="24"/>
        </w:rPr>
        <w:t>，属于</w:t>
      </w:r>
      <w:r>
        <w:rPr>
          <w:rFonts w:hint="eastAsia" w:ascii="宋体" w:hAnsi="宋体" w:eastAsia="宋体" w:cs="宋体"/>
          <w:i/>
          <w:iCs/>
          <w:sz w:val="24"/>
          <w:u w:val="single"/>
        </w:rPr>
        <w:t>（采购文件中明确的所属行业）</w:t>
      </w:r>
      <w:r>
        <w:rPr>
          <w:rFonts w:hint="eastAsia" w:ascii="宋体" w:hAnsi="宋体" w:eastAsia="宋体" w:cs="宋体"/>
          <w:sz w:val="24"/>
        </w:rPr>
        <w:t>；承建（承接）企业为</w:t>
      </w:r>
      <w:r>
        <w:rPr>
          <w:rFonts w:hint="eastAsia" w:ascii="宋体" w:hAnsi="宋体" w:eastAsia="宋体" w:cs="宋体"/>
          <w:i/>
          <w:iCs/>
          <w:sz w:val="24"/>
          <w:u w:val="single"/>
        </w:rPr>
        <w:t>（企业名称）</w:t>
      </w:r>
      <w:r>
        <w:rPr>
          <w:rFonts w:hint="eastAsia" w:ascii="宋体" w:hAnsi="宋体" w:eastAsia="宋体" w:cs="宋体"/>
          <w:sz w:val="24"/>
        </w:rPr>
        <w:t>，从业人员人，营业收入为万元，资产总额为万元，属于</w:t>
      </w:r>
      <w:r>
        <w:rPr>
          <w:rFonts w:hint="eastAsia" w:ascii="宋体" w:hAnsi="宋体" w:eastAsia="宋体" w:cs="宋体"/>
          <w:i/>
          <w:iCs/>
          <w:sz w:val="24"/>
          <w:u w:val="single"/>
        </w:rPr>
        <w:t>（中型企业、小型企业、微型企业）</w:t>
      </w:r>
      <w:r>
        <w:rPr>
          <w:rFonts w:hint="eastAsia" w:ascii="宋体" w:hAnsi="宋体" w:eastAsia="宋体" w:cs="宋体"/>
          <w:sz w:val="24"/>
        </w:rPr>
        <w:t>；</w:t>
      </w:r>
    </w:p>
    <w:p w14:paraId="79F80538">
      <w:pPr>
        <w:spacing w:line="480" w:lineRule="exact"/>
        <w:ind w:firstLine="480" w:firstLineChars="200"/>
        <w:rPr>
          <w:rFonts w:hint="eastAsia" w:ascii="宋体" w:hAnsi="宋体" w:eastAsia="宋体" w:cs="宋体"/>
          <w:sz w:val="24"/>
        </w:rPr>
      </w:pPr>
      <w:r>
        <w:rPr>
          <w:rFonts w:hint="eastAsia" w:ascii="宋体" w:hAnsi="宋体" w:eastAsia="宋体" w:cs="宋体"/>
          <w:sz w:val="24"/>
        </w:rPr>
        <w:t>……</w:t>
      </w:r>
    </w:p>
    <w:p w14:paraId="22BFA534">
      <w:pPr>
        <w:spacing w:line="480" w:lineRule="exact"/>
        <w:ind w:firstLine="480" w:firstLineChars="200"/>
        <w:rPr>
          <w:rFonts w:hint="eastAsia" w:ascii="宋体" w:hAnsi="宋体" w:eastAsia="宋体" w:cs="宋体"/>
          <w:sz w:val="24"/>
        </w:rPr>
      </w:pPr>
      <w:r>
        <w:rPr>
          <w:rFonts w:hint="eastAsia" w:ascii="宋体" w:hAnsi="宋体" w:eastAsia="宋体" w:cs="宋体"/>
          <w:sz w:val="24"/>
        </w:rPr>
        <w:t>以上企业，不属于大企业的分支机构，不存在控股股东为大企业的情形，也不存在与大企业的负责人为同一人的情形。</w:t>
      </w:r>
    </w:p>
    <w:p w14:paraId="16344211">
      <w:pPr>
        <w:spacing w:line="480" w:lineRule="exact"/>
        <w:ind w:firstLine="480" w:firstLineChars="200"/>
        <w:rPr>
          <w:rFonts w:hint="eastAsia" w:ascii="宋体" w:hAnsi="宋体" w:eastAsia="宋体" w:cs="宋体"/>
          <w:sz w:val="24"/>
        </w:rPr>
      </w:pPr>
      <w:r>
        <w:rPr>
          <w:rFonts w:hint="eastAsia" w:ascii="宋体" w:hAnsi="宋体" w:eastAsia="宋体" w:cs="宋体"/>
          <w:sz w:val="24"/>
        </w:rPr>
        <w:t>本企业对上述声明内容的真实性负责。如有虚假，将依法承担相应责任。</w:t>
      </w:r>
    </w:p>
    <w:p w14:paraId="01C42C94">
      <w:pPr>
        <w:pStyle w:val="10"/>
        <w:spacing w:beforeAutospacing="0" w:afterAutospacing="0" w:line="480" w:lineRule="exact"/>
        <w:ind w:right="720"/>
        <w:jc w:val="both"/>
        <w:rPr>
          <w:rFonts w:hint="eastAsia" w:ascii="宋体" w:hAnsi="宋体" w:eastAsia="宋体" w:cs="宋体"/>
        </w:rPr>
      </w:pPr>
      <w:r>
        <w:rPr>
          <w:rFonts w:hint="eastAsia" w:ascii="宋体" w:hAnsi="宋体" w:eastAsia="宋体" w:cs="宋体"/>
        </w:rPr>
        <w:t> </w:t>
      </w:r>
    </w:p>
    <w:p w14:paraId="1D42F5DA">
      <w:pPr>
        <w:pStyle w:val="10"/>
        <w:spacing w:beforeAutospacing="0" w:afterAutospacing="0" w:line="480" w:lineRule="exact"/>
        <w:ind w:right="180" w:firstLine="476"/>
        <w:jc w:val="right"/>
        <w:rPr>
          <w:rFonts w:hint="eastAsia" w:ascii="宋体" w:hAnsi="宋体" w:eastAsia="宋体" w:cs="宋体"/>
        </w:rPr>
      </w:pPr>
      <w:r>
        <w:rPr>
          <w:rFonts w:hint="eastAsia" w:ascii="宋体" w:hAnsi="宋体" w:eastAsia="宋体" w:cs="宋体"/>
        </w:rPr>
        <w:t>企业名称（加盖CA电子公章）：</w:t>
      </w:r>
    </w:p>
    <w:p w14:paraId="70898D2E">
      <w:pPr>
        <w:pStyle w:val="10"/>
        <w:spacing w:beforeAutospacing="0" w:afterAutospacing="0" w:line="480" w:lineRule="exact"/>
        <w:ind w:right="480" w:firstLine="5040" w:firstLineChars="2100"/>
        <w:jc w:val="both"/>
        <w:rPr>
          <w:rFonts w:hint="eastAsia" w:ascii="宋体" w:hAnsi="宋体" w:eastAsia="宋体" w:cs="宋体"/>
        </w:rPr>
      </w:pPr>
      <w:r>
        <w:rPr>
          <w:rFonts w:hint="eastAsia" w:ascii="宋体" w:hAnsi="宋体" w:eastAsia="宋体" w:cs="宋体"/>
        </w:rPr>
        <w:t>日 期：</w:t>
      </w:r>
    </w:p>
    <w:p w14:paraId="45DC407E">
      <w:pPr>
        <w:pStyle w:val="10"/>
        <w:spacing w:beforeAutospacing="0" w:afterAutospacing="0" w:line="480" w:lineRule="exact"/>
        <w:ind w:firstLine="476"/>
        <w:jc w:val="both"/>
        <w:rPr>
          <w:rFonts w:hint="eastAsia" w:ascii="宋体" w:hAnsi="宋体" w:eastAsia="宋体" w:cs="宋体"/>
        </w:rPr>
      </w:pPr>
      <w:r>
        <w:rPr>
          <w:rFonts w:hint="eastAsia" w:ascii="宋体" w:hAnsi="宋体" w:eastAsia="宋体" w:cs="宋体"/>
        </w:rPr>
        <w:t> </w:t>
      </w:r>
    </w:p>
    <w:p w14:paraId="53D1D17A">
      <w:pPr>
        <w:pStyle w:val="10"/>
        <w:spacing w:beforeAutospacing="0" w:afterAutospacing="0" w:line="480" w:lineRule="exact"/>
        <w:ind w:firstLine="476"/>
        <w:jc w:val="both"/>
        <w:rPr>
          <w:rFonts w:hint="eastAsia" w:ascii="宋体" w:hAnsi="宋体" w:eastAsia="宋体" w:cs="宋体"/>
        </w:rPr>
      </w:pPr>
      <w:r>
        <w:rPr>
          <w:rFonts w:hint="eastAsia" w:ascii="宋体" w:hAnsi="宋体" w:eastAsia="宋体" w:cs="宋体"/>
        </w:rPr>
        <w:t>备注1：从业人员、营业收入、资产总额填报上一年度数据，无上一年度数据的新成立企业可不填报。</w:t>
      </w:r>
    </w:p>
    <w:p w14:paraId="354ED066">
      <w:pPr>
        <w:pStyle w:val="10"/>
        <w:spacing w:beforeAutospacing="0" w:afterAutospacing="0" w:line="480" w:lineRule="exact"/>
        <w:ind w:firstLine="476"/>
        <w:jc w:val="both"/>
        <w:rPr>
          <w:rFonts w:hint="eastAsia" w:ascii="宋体" w:hAnsi="宋体" w:eastAsia="宋体" w:cs="宋体"/>
        </w:rPr>
      </w:pPr>
      <w:r>
        <w:rPr>
          <w:rFonts w:hint="eastAsia" w:ascii="宋体" w:hAnsi="宋体" w:eastAsia="宋体" w:cs="宋体"/>
        </w:rPr>
        <w:t>备注2：供应商如不提供此声明函，价格将不做相应扣除（如项目全面面向中小企业，则资格审查不通过）。</w:t>
      </w:r>
    </w:p>
    <w:p w14:paraId="29EC82F6">
      <w:pPr>
        <w:spacing w:line="440" w:lineRule="exact"/>
        <w:ind w:firstLine="638"/>
        <w:jc w:val="left"/>
        <w:rPr>
          <w:rFonts w:hint="eastAsia" w:ascii="宋体" w:hAnsi="宋体" w:eastAsia="宋体" w:cs="宋体"/>
          <w:b/>
          <w:kern w:val="0"/>
          <w:szCs w:val="21"/>
        </w:rPr>
      </w:pPr>
      <w:r>
        <w:rPr>
          <w:rFonts w:hint="eastAsia" w:ascii="宋体" w:hAnsi="宋体" w:eastAsia="宋体" w:cs="宋体"/>
          <w:b/>
          <w:sz w:val="32"/>
          <w:szCs w:val="32"/>
        </w:rPr>
        <w:br w:type="page"/>
      </w:r>
      <w:r>
        <w:rPr>
          <w:rFonts w:hint="eastAsia" w:ascii="宋体" w:hAnsi="宋体" w:eastAsia="宋体" w:cs="宋体"/>
          <w:b/>
          <w:kern w:val="0"/>
          <w:szCs w:val="21"/>
        </w:rPr>
        <w:t>附：中小企业划型标准规定（工信部联企业〔2011〕300号）</w:t>
      </w:r>
    </w:p>
    <w:p w14:paraId="1728321B">
      <w:pPr>
        <w:spacing w:line="440" w:lineRule="exact"/>
        <w:ind w:firstLine="478"/>
        <w:jc w:val="left"/>
        <w:rPr>
          <w:rFonts w:hint="eastAsia" w:ascii="宋体" w:hAnsi="宋体" w:eastAsia="宋体" w:cs="宋体"/>
          <w:kern w:val="0"/>
          <w:szCs w:val="21"/>
        </w:rPr>
      </w:pPr>
      <w:r>
        <w:rPr>
          <w:rFonts w:hint="eastAsia" w:ascii="宋体" w:hAnsi="宋体" w:eastAsia="宋体" w:cs="宋体"/>
          <w:b/>
          <w:kern w:val="0"/>
          <w:szCs w:val="21"/>
        </w:rPr>
        <w:t>（一）农、林、牧、渔业。</w:t>
      </w:r>
      <w:r>
        <w:rPr>
          <w:rFonts w:hint="eastAsia" w:ascii="宋体" w:hAnsi="宋体" w:eastAsia="宋体" w:cs="宋体"/>
          <w:kern w:val="0"/>
          <w:szCs w:val="21"/>
        </w:rPr>
        <w:t>营业收入20000万元以下的为中小微型企业。其中，营业收入500万元及以上的为中型企业，营业收入50万元及以上的为小型企业，营业收入50万元以下的为微型企业。</w:t>
      </w:r>
    </w:p>
    <w:p w14:paraId="5728112C">
      <w:pPr>
        <w:spacing w:line="440" w:lineRule="exact"/>
        <w:ind w:firstLine="478"/>
        <w:jc w:val="left"/>
        <w:rPr>
          <w:rFonts w:hint="eastAsia" w:ascii="宋体" w:hAnsi="宋体" w:eastAsia="宋体" w:cs="宋体"/>
          <w:kern w:val="0"/>
          <w:szCs w:val="21"/>
        </w:rPr>
      </w:pPr>
      <w:r>
        <w:rPr>
          <w:rFonts w:hint="eastAsia" w:ascii="宋体" w:hAnsi="宋体" w:eastAsia="宋体" w:cs="宋体"/>
          <w:b/>
          <w:kern w:val="0"/>
          <w:szCs w:val="21"/>
        </w:rPr>
        <w:t>（二）工业。</w:t>
      </w:r>
      <w:r>
        <w:rPr>
          <w:rFonts w:hint="eastAsia" w:ascii="宋体" w:hAnsi="宋体" w:eastAsia="宋体" w:cs="宋体"/>
          <w:kern w:val="0"/>
          <w:szCs w:val="21"/>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4C021D86">
      <w:pPr>
        <w:spacing w:line="440" w:lineRule="exact"/>
        <w:ind w:firstLine="478"/>
        <w:jc w:val="left"/>
        <w:rPr>
          <w:rFonts w:hint="eastAsia" w:ascii="宋体" w:hAnsi="宋体" w:eastAsia="宋体" w:cs="宋体"/>
          <w:kern w:val="0"/>
          <w:szCs w:val="21"/>
        </w:rPr>
      </w:pPr>
      <w:r>
        <w:rPr>
          <w:rFonts w:hint="eastAsia" w:ascii="宋体" w:hAnsi="宋体" w:eastAsia="宋体" w:cs="宋体"/>
          <w:b/>
          <w:kern w:val="0"/>
          <w:szCs w:val="21"/>
        </w:rPr>
        <w:t>（三）建筑业。</w:t>
      </w:r>
      <w:r>
        <w:rPr>
          <w:rFonts w:hint="eastAsia" w:ascii="宋体" w:hAnsi="宋体" w:eastAsia="宋体" w:cs="宋体"/>
          <w:kern w:val="0"/>
          <w:szCs w:val="21"/>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645769A7">
      <w:pPr>
        <w:spacing w:line="440" w:lineRule="exact"/>
        <w:ind w:firstLine="478"/>
        <w:jc w:val="left"/>
        <w:rPr>
          <w:rFonts w:hint="eastAsia" w:ascii="宋体" w:hAnsi="宋体" w:eastAsia="宋体" w:cs="宋体"/>
          <w:kern w:val="0"/>
          <w:szCs w:val="21"/>
        </w:rPr>
      </w:pPr>
      <w:r>
        <w:rPr>
          <w:rFonts w:hint="eastAsia" w:ascii="宋体" w:hAnsi="宋体" w:eastAsia="宋体" w:cs="宋体"/>
          <w:b/>
          <w:kern w:val="0"/>
          <w:szCs w:val="21"/>
        </w:rPr>
        <w:t>（四）批发业。</w:t>
      </w:r>
      <w:r>
        <w:rPr>
          <w:rFonts w:hint="eastAsia" w:ascii="宋体" w:hAnsi="宋体" w:eastAsia="宋体" w:cs="宋体"/>
          <w:kern w:val="0"/>
          <w:szCs w:val="21"/>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052C30CE">
      <w:pPr>
        <w:spacing w:line="440" w:lineRule="exact"/>
        <w:ind w:firstLine="478"/>
        <w:jc w:val="left"/>
        <w:rPr>
          <w:rFonts w:hint="eastAsia" w:ascii="宋体" w:hAnsi="宋体" w:eastAsia="宋体" w:cs="宋体"/>
          <w:kern w:val="0"/>
          <w:szCs w:val="21"/>
        </w:rPr>
      </w:pPr>
      <w:r>
        <w:rPr>
          <w:rFonts w:hint="eastAsia" w:ascii="宋体" w:hAnsi="宋体" w:eastAsia="宋体" w:cs="宋体"/>
          <w:b/>
          <w:kern w:val="0"/>
          <w:szCs w:val="21"/>
        </w:rPr>
        <w:t>（五）零售业。</w:t>
      </w:r>
      <w:r>
        <w:rPr>
          <w:rFonts w:hint="eastAsia" w:ascii="宋体" w:hAnsi="宋体" w:eastAsia="宋体" w:cs="宋体"/>
          <w:kern w:val="0"/>
          <w:szCs w:val="21"/>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102D1774">
      <w:pPr>
        <w:spacing w:line="440" w:lineRule="exact"/>
        <w:ind w:firstLine="478"/>
        <w:jc w:val="left"/>
        <w:rPr>
          <w:rFonts w:hint="eastAsia" w:ascii="宋体" w:hAnsi="宋体" w:eastAsia="宋体" w:cs="宋体"/>
          <w:kern w:val="0"/>
          <w:szCs w:val="21"/>
        </w:rPr>
      </w:pPr>
      <w:r>
        <w:rPr>
          <w:rFonts w:hint="eastAsia" w:ascii="宋体" w:hAnsi="宋体" w:eastAsia="宋体" w:cs="宋体"/>
          <w:b/>
          <w:kern w:val="0"/>
          <w:szCs w:val="21"/>
        </w:rPr>
        <w:t>（六）交通运输业。</w:t>
      </w:r>
      <w:r>
        <w:rPr>
          <w:rFonts w:hint="eastAsia" w:ascii="宋体" w:hAnsi="宋体" w:eastAsia="宋体" w:cs="宋体"/>
          <w:kern w:val="0"/>
          <w:szCs w:val="21"/>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4BC08946">
      <w:pPr>
        <w:spacing w:line="440" w:lineRule="exact"/>
        <w:ind w:firstLine="478"/>
        <w:jc w:val="left"/>
        <w:rPr>
          <w:rFonts w:hint="eastAsia" w:ascii="宋体" w:hAnsi="宋体" w:eastAsia="宋体" w:cs="宋体"/>
          <w:kern w:val="0"/>
          <w:szCs w:val="21"/>
        </w:rPr>
      </w:pPr>
      <w:r>
        <w:rPr>
          <w:rFonts w:hint="eastAsia" w:ascii="宋体" w:hAnsi="宋体" w:eastAsia="宋体" w:cs="宋体"/>
          <w:b/>
          <w:kern w:val="0"/>
          <w:szCs w:val="21"/>
        </w:rPr>
        <w:t>（七）仓储业。</w:t>
      </w:r>
      <w:r>
        <w:rPr>
          <w:rFonts w:hint="eastAsia" w:ascii="宋体" w:hAnsi="宋体" w:eastAsia="宋体" w:cs="宋体"/>
          <w:kern w:val="0"/>
          <w:szCs w:val="21"/>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4234C58A">
      <w:pPr>
        <w:spacing w:line="440" w:lineRule="exact"/>
        <w:ind w:firstLine="478"/>
        <w:jc w:val="left"/>
        <w:rPr>
          <w:rFonts w:hint="eastAsia" w:ascii="宋体" w:hAnsi="宋体" w:eastAsia="宋体" w:cs="宋体"/>
          <w:kern w:val="0"/>
          <w:szCs w:val="21"/>
        </w:rPr>
      </w:pPr>
      <w:r>
        <w:rPr>
          <w:rFonts w:hint="eastAsia" w:ascii="宋体" w:hAnsi="宋体" w:eastAsia="宋体" w:cs="宋体"/>
          <w:b/>
          <w:kern w:val="0"/>
          <w:szCs w:val="21"/>
        </w:rPr>
        <w:t>（八）邮政业。</w:t>
      </w:r>
      <w:r>
        <w:rPr>
          <w:rFonts w:hint="eastAsia" w:ascii="宋体" w:hAnsi="宋体" w:eastAsia="宋体" w:cs="宋体"/>
          <w:kern w:val="0"/>
          <w:szCs w:val="21"/>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5CF9C9AF">
      <w:pPr>
        <w:spacing w:line="440" w:lineRule="exact"/>
        <w:ind w:firstLine="478"/>
        <w:jc w:val="left"/>
        <w:rPr>
          <w:rFonts w:hint="eastAsia" w:ascii="宋体" w:hAnsi="宋体" w:eastAsia="宋体" w:cs="宋体"/>
          <w:kern w:val="0"/>
          <w:szCs w:val="21"/>
        </w:rPr>
      </w:pPr>
      <w:r>
        <w:rPr>
          <w:rFonts w:hint="eastAsia" w:ascii="宋体" w:hAnsi="宋体" w:eastAsia="宋体" w:cs="宋体"/>
          <w:b/>
          <w:kern w:val="0"/>
          <w:szCs w:val="21"/>
        </w:rPr>
        <w:t>（九）住宿业。</w:t>
      </w:r>
      <w:r>
        <w:rPr>
          <w:rFonts w:hint="eastAsia" w:ascii="宋体" w:hAnsi="宋体" w:eastAsia="宋体" w:cs="宋体"/>
          <w:kern w:val="0"/>
          <w:szCs w:val="21"/>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61274FE">
      <w:pPr>
        <w:spacing w:line="440" w:lineRule="exact"/>
        <w:ind w:firstLine="478"/>
        <w:jc w:val="left"/>
        <w:rPr>
          <w:rFonts w:hint="eastAsia" w:ascii="宋体" w:hAnsi="宋体" w:eastAsia="宋体" w:cs="宋体"/>
          <w:kern w:val="0"/>
          <w:szCs w:val="21"/>
        </w:rPr>
      </w:pPr>
      <w:r>
        <w:rPr>
          <w:rFonts w:hint="eastAsia" w:ascii="宋体" w:hAnsi="宋体" w:eastAsia="宋体" w:cs="宋体"/>
          <w:b/>
          <w:kern w:val="0"/>
          <w:szCs w:val="21"/>
        </w:rPr>
        <w:t>（十）餐饮业。</w:t>
      </w:r>
      <w:r>
        <w:rPr>
          <w:rFonts w:hint="eastAsia" w:ascii="宋体" w:hAnsi="宋体" w:eastAsia="宋体" w:cs="宋体"/>
          <w:kern w:val="0"/>
          <w:szCs w:val="21"/>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0AC6567">
      <w:pPr>
        <w:spacing w:line="440" w:lineRule="exact"/>
        <w:ind w:firstLine="478"/>
        <w:jc w:val="left"/>
        <w:rPr>
          <w:rFonts w:hint="eastAsia" w:ascii="宋体" w:hAnsi="宋体" w:eastAsia="宋体" w:cs="宋体"/>
          <w:kern w:val="0"/>
          <w:szCs w:val="21"/>
        </w:rPr>
      </w:pPr>
      <w:r>
        <w:rPr>
          <w:rFonts w:hint="eastAsia" w:ascii="宋体" w:hAnsi="宋体" w:eastAsia="宋体" w:cs="宋体"/>
          <w:b/>
          <w:kern w:val="0"/>
          <w:szCs w:val="21"/>
        </w:rPr>
        <w:t>（十一）信息传输业。</w:t>
      </w:r>
      <w:r>
        <w:rPr>
          <w:rFonts w:hint="eastAsia" w:ascii="宋体" w:hAnsi="宋体" w:eastAsia="宋体" w:cs="宋体"/>
          <w:kern w:val="0"/>
          <w:szCs w:val="21"/>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397A6BA9">
      <w:pPr>
        <w:spacing w:line="440" w:lineRule="exact"/>
        <w:ind w:firstLine="478"/>
        <w:jc w:val="left"/>
        <w:rPr>
          <w:rFonts w:hint="eastAsia" w:ascii="宋体" w:hAnsi="宋体" w:eastAsia="宋体" w:cs="宋体"/>
          <w:kern w:val="0"/>
          <w:szCs w:val="21"/>
        </w:rPr>
      </w:pPr>
      <w:r>
        <w:rPr>
          <w:rFonts w:hint="eastAsia" w:ascii="宋体" w:hAnsi="宋体" w:eastAsia="宋体" w:cs="宋体"/>
          <w:b/>
          <w:kern w:val="0"/>
          <w:szCs w:val="21"/>
        </w:rPr>
        <w:t>（十二）软件和信息技术服务业。</w:t>
      </w:r>
      <w:r>
        <w:rPr>
          <w:rFonts w:hint="eastAsia" w:ascii="宋体" w:hAnsi="宋体" w:eastAsia="宋体" w:cs="宋体"/>
          <w:kern w:val="0"/>
          <w:szCs w:val="21"/>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3736959B">
      <w:pPr>
        <w:spacing w:line="440" w:lineRule="exact"/>
        <w:ind w:firstLine="478"/>
        <w:jc w:val="left"/>
        <w:rPr>
          <w:rFonts w:hint="eastAsia" w:ascii="宋体" w:hAnsi="宋体" w:eastAsia="宋体" w:cs="宋体"/>
          <w:kern w:val="0"/>
          <w:szCs w:val="21"/>
        </w:rPr>
      </w:pPr>
      <w:r>
        <w:rPr>
          <w:rFonts w:hint="eastAsia" w:ascii="宋体" w:hAnsi="宋体" w:eastAsia="宋体" w:cs="宋体"/>
          <w:b/>
          <w:kern w:val="0"/>
          <w:szCs w:val="21"/>
        </w:rPr>
        <w:t>（十三）房地产开发经营。</w:t>
      </w:r>
      <w:r>
        <w:rPr>
          <w:rFonts w:hint="eastAsia" w:ascii="宋体" w:hAnsi="宋体" w:eastAsia="宋体" w:cs="宋体"/>
          <w:kern w:val="0"/>
          <w:szCs w:val="21"/>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162A31DA">
      <w:pPr>
        <w:spacing w:line="440" w:lineRule="exact"/>
        <w:ind w:firstLine="478"/>
        <w:jc w:val="left"/>
        <w:rPr>
          <w:rFonts w:hint="eastAsia" w:ascii="宋体" w:hAnsi="宋体" w:eastAsia="宋体" w:cs="宋体"/>
          <w:kern w:val="0"/>
          <w:szCs w:val="21"/>
        </w:rPr>
      </w:pPr>
      <w:r>
        <w:rPr>
          <w:rFonts w:hint="eastAsia" w:ascii="宋体" w:hAnsi="宋体" w:eastAsia="宋体" w:cs="宋体"/>
          <w:b/>
          <w:kern w:val="0"/>
          <w:szCs w:val="21"/>
        </w:rPr>
        <w:t>（十四）物业管理。</w:t>
      </w:r>
      <w:r>
        <w:rPr>
          <w:rFonts w:hint="eastAsia" w:ascii="宋体" w:hAnsi="宋体" w:eastAsia="宋体" w:cs="宋体"/>
          <w:kern w:val="0"/>
          <w:szCs w:val="21"/>
        </w:rPr>
        <w:t>从业人员1000人以下或营业收入5000万元以下的为中小微型企业。其中，从业人员</w:t>
      </w:r>
    </w:p>
    <w:p w14:paraId="62403CB2">
      <w:pPr>
        <w:spacing w:line="440" w:lineRule="exact"/>
        <w:jc w:val="left"/>
        <w:rPr>
          <w:rFonts w:hint="eastAsia" w:ascii="宋体" w:hAnsi="宋体" w:eastAsia="宋体" w:cs="宋体"/>
          <w:kern w:val="0"/>
          <w:szCs w:val="21"/>
        </w:rPr>
      </w:pPr>
      <w:r>
        <w:rPr>
          <w:rFonts w:hint="eastAsia" w:ascii="宋体" w:hAnsi="宋体" w:eastAsia="宋体" w:cs="宋体"/>
          <w:kern w:val="0"/>
          <w:szCs w:val="21"/>
        </w:rPr>
        <w:t>300人及以上，且营业收入1000万元及以上的为中型企业；从业人员100人及以上，且营业收入500万元及以上的为小型企业；从业人员100人以下或营业收入500万元以下的为微型企业。</w:t>
      </w:r>
    </w:p>
    <w:p w14:paraId="42B5DC11">
      <w:pPr>
        <w:spacing w:line="440" w:lineRule="exact"/>
        <w:ind w:firstLine="478"/>
        <w:jc w:val="left"/>
        <w:rPr>
          <w:rFonts w:hint="eastAsia" w:ascii="宋体" w:hAnsi="宋体" w:eastAsia="宋体" w:cs="宋体"/>
          <w:kern w:val="0"/>
          <w:szCs w:val="21"/>
        </w:rPr>
      </w:pPr>
      <w:r>
        <w:rPr>
          <w:rFonts w:hint="eastAsia" w:ascii="宋体" w:hAnsi="宋体" w:eastAsia="宋体" w:cs="宋体"/>
          <w:b/>
          <w:kern w:val="0"/>
          <w:szCs w:val="21"/>
        </w:rPr>
        <w:t>（十五）租赁和商务服务业。</w:t>
      </w:r>
      <w:r>
        <w:rPr>
          <w:rFonts w:hint="eastAsia" w:ascii="宋体" w:hAnsi="宋体" w:eastAsia="宋体" w:cs="宋体"/>
          <w:kern w:val="0"/>
          <w:szCs w:val="21"/>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01D82AFF">
      <w:pPr>
        <w:spacing w:line="440" w:lineRule="exact"/>
        <w:ind w:firstLine="422" w:firstLineChars="200"/>
        <w:jc w:val="left"/>
        <w:rPr>
          <w:rFonts w:hint="eastAsia" w:ascii="宋体" w:hAnsi="宋体" w:eastAsia="宋体" w:cs="宋体"/>
          <w:b/>
          <w:color w:val="000000"/>
          <w:sz w:val="32"/>
          <w:szCs w:val="32"/>
        </w:rPr>
      </w:pPr>
      <w:r>
        <w:rPr>
          <w:rFonts w:hint="eastAsia" w:ascii="宋体" w:hAnsi="宋体" w:eastAsia="宋体" w:cs="宋体"/>
          <w:b/>
          <w:kern w:val="0"/>
          <w:szCs w:val="21"/>
        </w:rPr>
        <w:t>（十六）其他未列明行业。</w:t>
      </w:r>
      <w:r>
        <w:rPr>
          <w:rFonts w:hint="eastAsia" w:ascii="宋体" w:hAnsi="宋体" w:eastAsia="宋体" w:cs="宋体"/>
          <w:kern w:val="0"/>
          <w:szCs w:val="21"/>
        </w:rPr>
        <w:t>从业人员300人以下的为中小微型企业。其中，从业人员100人及以上的为中型企业；从业人员10人及以上的为小型企业；从业人员10人以下的为微型企业。</w:t>
      </w:r>
      <w:r>
        <w:rPr>
          <w:rFonts w:hint="eastAsia" w:ascii="宋体" w:hAnsi="宋体" w:eastAsia="宋体" w:cs="宋体"/>
          <w:b/>
          <w:color w:val="000000"/>
          <w:sz w:val="32"/>
          <w:szCs w:val="32"/>
        </w:rPr>
        <w:t> </w:t>
      </w:r>
    </w:p>
    <w:p w14:paraId="230B8BB3">
      <w:pPr>
        <w:ind w:firstLine="638"/>
        <w:rPr>
          <w:rFonts w:hint="eastAsia" w:ascii="宋体" w:hAnsi="宋体" w:eastAsia="宋体" w:cs="宋体"/>
          <w:b/>
          <w:color w:val="000000"/>
          <w:sz w:val="32"/>
          <w:szCs w:val="32"/>
        </w:rPr>
      </w:pPr>
      <w:r>
        <w:rPr>
          <w:rFonts w:hint="eastAsia" w:ascii="宋体" w:hAnsi="宋体" w:eastAsia="宋体" w:cs="宋体"/>
          <w:b/>
          <w:color w:val="000000"/>
          <w:sz w:val="32"/>
          <w:szCs w:val="32"/>
        </w:rPr>
        <w:br w:type="page"/>
      </w:r>
    </w:p>
    <w:p w14:paraId="4F75FB05">
      <w:pPr>
        <w:pStyle w:val="10"/>
        <w:spacing w:beforeAutospacing="0" w:afterAutospacing="0" w:line="0" w:lineRule="atLeast"/>
        <w:ind w:firstLine="638"/>
        <w:jc w:val="center"/>
        <w:rPr>
          <w:rFonts w:hint="eastAsia" w:ascii="宋体" w:hAnsi="宋体" w:eastAsia="宋体" w:cs="宋体"/>
        </w:rPr>
      </w:pPr>
      <w:r>
        <w:rPr>
          <w:rFonts w:hint="eastAsia" w:ascii="宋体" w:hAnsi="宋体" w:eastAsia="宋体" w:cs="宋体"/>
          <w:b/>
          <w:color w:val="000000"/>
          <w:sz w:val="32"/>
          <w:szCs w:val="32"/>
        </w:rPr>
        <w:t>十、残疾人福利性单位声明函（如有）</w:t>
      </w:r>
    </w:p>
    <w:p w14:paraId="68B1E086">
      <w:pPr>
        <w:pStyle w:val="10"/>
        <w:spacing w:beforeAutospacing="0" w:afterAutospacing="0" w:line="500" w:lineRule="exact"/>
        <w:ind w:firstLine="476"/>
        <w:jc w:val="both"/>
        <w:rPr>
          <w:rFonts w:hint="eastAsia" w:ascii="宋体" w:hAnsi="宋体" w:eastAsia="宋体" w:cs="宋体"/>
        </w:rPr>
      </w:pPr>
      <w:r>
        <w:rPr>
          <w:rFonts w:hint="eastAsia" w:ascii="宋体" w:hAnsi="宋体" w:eastAsia="宋体" w:cs="宋体"/>
          <w:color w:val="000000"/>
        </w:rPr>
        <w:t>本单位郑重声明，根据《财政部民政部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000000"/>
          <w:u w:val="single"/>
        </w:rPr>
        <w:t>      </w:t>
      </w:r>
      <w:r>
        <w:rPr>
          <w:rFonts w:hint="eastAsia" w:ascii="宋体" w:hAnsi="宋体" w:eastAsia="宋体" w:cs="宋体"/>
          <w:color w:val="000000"/>
        </w:rPr>
        <w:t>项目（分包号：**）采购活动由本单位提供服务。</w:t>
      </w:r>
    </w:p>
    <w:p w14:paraId="70EFA083">
      <w:pPr>
        <w:pStyle w:val="10"/>
        <w:spacing w:beforeAutospacing="0" w:afterAutospacing="0" w:line="500" w:lineRule="exact"/>
        <w:ind w:firstLine="476"/>
        <w:jc w:val="both"/>
        <w:rPr>
          <w:rFonts w:hint="eastAsia" w:ascii="宋体" w:hAnsi="宋体" w:eastAsia="宋体" w:cs="宋体"/>
        </w:rPr>
      </w:pPr>
      <w:r>
        <w:rPr>
          <w:rFonts w:hint="eastAsia" w:ascii="宋体" w:hAnsi="宋体" w:eastAsia="宋体" w:cs="宋体"/>
          <w:color w:val="000000"/>
        </w:rPr>
        <w:t>本单位对上述声明的真实性负责。如有虚假，将依法承担相应责任。</w:t>
      </w:r>
    </w:p>
    <w:p w14:paraId="76BA5155">
      <w:pPr>
        <w:pStyle w:val="10"/>
        <w:spacing w:beforeAutospacing="0" w:afterAutospacing="0" w:line="500" w:lineRule="exact"/>
        <w:ind w:firstLine="476"/>
        <w:jc w:val="both"/>
        <w:rPr>
          <w:rFonts w:hint="eastAsia" w:ascii="宋体" w:hAnsi="宋体" w:eastAsia="宋体" w:cs="宋体"/>
        </w:rPr>
      </w:pPr>
      <w:r>
        <w:rPr>
          <w:rFonts w:hint="eastAsia" w:ascii="宋体" w:hAnsi="宋体" w:eastAsia="宋体" w:cs="宋体"/>
        </w:rPr>
        <w:t> </w:t>
      </w:r>
    </w:p>
    <w:p w14:paraId="6F04475B">
      <w:pPr>
        <w:pStyle w:val="10"/>
        <w:spacing w:beforeAutospacing="0" w:afterAutospacing="0" w:line="500" w:lineRule="exact"/>
        <w:ind w:firstLine="476"/>
        <w:jc w:val="both"/>
        <w:rPr>
          <w:rFonts w:hint="eastAsia" w:ascii="宋体" w:hAnsi="宋体" w:eastAsia="宋体" w:cs="宋体"/>
        </w:rPr>
      </w:pPr>
      <w:r>
        <w:rPr>
          <w:rFonts w:hint="eastAsia" w:ascii="宋体" w:hAnsi="宋体" w:eastAsia="宋体" w:cs="宋体"/>
          <w:color w:val="000000"/>
        </w:rPr>
        <w:t>备注：1、供应商如不提供此声明函，价格将不做相应扣除（如项目全面面向中小企业，则资格审查不通过）。</w:t>
      </w:r>
    </w:p>
    <w:p w14:paraId="6DD1B881">
      <w:pPr>
        <w:pStyle w:val="10"/>
        <w:spacing w:beforeAutospacing="0" w:afterAutospacing="0" w:line="500" w:lineRule="exact"/>
        <w:ind w:firstLine="476"/>
        <w:jc w:val="both"/>
        <w:rPr>
          <w:rFonts w:hint="eastAsia" w:ascii="宋体" w:hAnsi="宋体" w:eastAsia="宋体" w:cs="宋体"/>
        </w:rPr>
      </w:pPr>
      <w:r>
        <w:rPr>
          <w:rFonts w:hint="eastAsia" w:ascii="宋体" w:hAnsi="宋体" w:eastAsia="宋体" w:cs="宋体"/>
          <w:color w:val="000000"/>
        </w:rPr>
        <w:t>2、中标人为残疾人福利单位的，此声明函将随中标结果同时公告，接受社会监督。</w:t>
      </w:r>
    </w:p>
    <w:p w14:paraId="53F5BB90">
      <w:pPr>
        <w:pStyle w:val="10"/>
        <w:spacing w:beforeAutospacing="0" w:afterAutospacing="0" w:line="500" w:lineRule="exact"/>
        <w:ind w:firstLine="476"/>
        <w:jc w:val="both"/>
        <w:rPr>
          <w:rFonts w:hint="eastAsia" w:ascii="宋体" w:hAnsi="宋体" w:eastAsia="宋体" w:cs="宋体"/>
        </w:rPr>
      </w:pPr>
      <w:r>
        <w:rPr>
          <w:rFonts w:hint="eastAsia" w:ascii="宋体" w:hAnsi="宋体" w:eastAsia="宋体" w:cs="宋体"/>
        </w:rPr>
        <w:t> </w:t>
      </w:r>
    </w:p>
    <w:p w14:paraId="6503A1C6">
      <w:pPr>
        <w:pStyle w:val="10"/>
        <w:tabs>
          <w:tab w:val="left" w:pos="4864"/>
        </w:tabs>
        <w:spacing w:beforeAutospacing="0" w:afterAutospacing="0" w:line="500" w:lineRule="exact"/>
        <w:ind w:right="1560" w:firstLine="596"/>
        <w:jc w:val="center"/>
        <w:rPr>
          <w:rFonts w:hint="eastAsia" w:ascii="宋体" w:hAnsi="宋体" w:eastAsia="宋体" w:cs="宋体"/>
        </w:rPr>
      </w:pPr>
      <w:r>
        <w:rPr>
          <w:rFonts w:hint="eastAsia" w:ascii="宋体" w:hAnsi="宋体" w:eastAsia="宋体" w:cs="宋体"/>
          <w:color w:val="000000"/>
          <w:sz w:val="30"/>
          <w:szCs w:val="30"/>
        </w:rPr>
        <w:t>        </w:t>
      </w:r>
      <w:r>
        <w:rPr>
          <w:rFonts w:hint="eastAsia" w:ascii="宋体" w:hAnsi="宋体" w:eastAsia="宋体" w:cs="宋体"/>
          <w:color w:val="000000"/>
        </w:rPr>
        <w:t>供应商全称（加盖CA电子公章）：</w:t>
      </w:r>
    </w:p>
    <w:p w14:paraId="3DBC31A1">
      <w:pPr>
        <w:pStyle w:val="10"/>
        <w:tabs>
          <w:tab w:val="left" w:pos="4864"/>
        </w:tabs>
        <w:spacing w:beforeAutospacing="0" w:afterAutospacing="0" w:line="500" w:lineRule="exact"/>
        <w:ind w:right="1560" w:firstLine="476"/>
        <w:jc w:val="center"/>
        <w:rPr>
          <w:rFonts w:hint="eastAsia" w:ascii="宋体" w:hAnsi="宋体" w:eastAsia="宋体" w:cs="宋体"/>
        </w:rPr>
      </w:pPr>
      <w:r>
        <w:rPr>
          <w:rFonts w:hint="eastAsia" w:ascii="宋体" w:hAnsi="宋体" w:eastAsia="宋体" w:cs="宋体"/>
          <w:color w:val="000000"/>
        </w:rPr>
        <w:t>       日 期：</w:t>
      </w:r>
    </w:p>
    <w:p w14:paraId="213A4DB8">
      <w:pPr>
        <w:pStyle w:val="10"/>
        <w:spacing w:beforeAutospacing="0" w:afterAutospacing="0" w:line="0" w:lineRule="atLeast"/>
        <w:jc w:val="center"/>
        <w:rPr>
          <w:rFonts w:hint="eastAsia" w:ascii="宋体" w:hAnsi="宋体" w:eastAsia="宋体" w:cs="宋体"/>
        </w:rPr>
      </w:pPr>
      <w:r>
        <w:rPr>
          <w:rFonts w:hint="eastAsia" w:ascii="宋体" w:hAnsi="宋体" w:eastAsia="宋体" w:cs="宋体"/>
        </w:rPr>
        <w:t> </w:t>
      </w:r>
    </w:p>
    <w:p w14:paraId="30E6516F">
      <w:pPr>
        <w:pStyle w:val="10"/>
        <w:spacing w:beforeAutospacing="0" w:afterAutospacing="0" w:line="0" w:lineRule="atLeast"/>
        <w:jc w:val="center"/>
        <w:rPr>
          <w:rFonts w:hint="eastAsia" w:ascii="宋体" w:hAnsi="宋体" w:eastAsia="宋体" w:cs="宋体"/>
        </w:rPr>
      </w:pPr>
      <w:r>
        <w:rPr>
          <w:rFonts w:hint="eastAsia" w:ascii="宋体" w:hAnsi="宋体" w:eastAsia="宋体" w:cs="宋体"/>
        </w:rPr>
        <w:t> </w:t>
      </w:r>
    </w:p>
    <w:p w14:paraId="487065F6">
      <w:pPr>
        <w:pStyle w:val="10"/>
        <w:spacing w:beforeAutospacing="0" w:afterAutospacing="0" w:line="0" w:lineRule="atLeast"/>
        <w:jc w:val="center"/>
        <w:rPr>
          <w:rFonts w:hint="eastAsia" w:ascii="宋体" w:hAnsi="宋体" w:eastAsia="宋体" w:cs="宋体"/>
        </w:rPr>
      </w:pPr>
      <w:r>
        <w:rPr>
          <w:rFonts w:hint="eastAsia" w:ascii="宋体" w:hAnsi="宋体" w:eastAsia="宋体" w:cs="宋体"/>
        </w:rPr>
        <w:t> </w:t>
      </w:r>
    </w:p>
    <w:p w14:paraId="42D98C61">
      <w:pPr>
        <w:pStyle w:val="10"/>
        <w:spacing w:beforeAutospacing="0" w:afterAutospacing="0" w:line="0" w:lineRule="atLeast"/>
        <w:jc w:val="center"/>
        <w:rPr>
          <w:rFonts w:hint="eastAsia" w:ascii="宋体" w:hAnsi="宋体" w:eastAsia="宋体" w:cs="宋体"/>
        </w:rPr>
      </w:pPr>
      <w:r>
        <w:rPr>
          <w:rFonts w:hint="eastAsia" w:ascii="宋体" w:hAnsi="宋体" w:eastAsia="宋体" w:cs="宋体"/>
        </w:rPr>
        <w:t> </w:t>
      </w:r>
    </w:p>
    <w:p w14:paraId="236C5204">
      <w:pPr>
        <w:pStyle w:val="10"/>
        <w:spacing w:beforeAutospacing="0" w:afterAutospacing="0" w:line="0" w:lineRule="atLeast"/>
        <w:jc w:val="center"/>
        <w:rPr>
          <w:rFonts w:hint="eastAsia" w:ascii="宋体" w:hAnsi="宋体" w:eastAsia="宋体" w:cs="宋体"/>
        </w:rPr>
      </w:pPr>
      <w:r>
        <w:rPr>
          <w:rFonts w:hint="eastAsia" w:ascii="宋体" w:hAnsi="宋体" w:eastAsia="宋体" w:cs="宋体"/>
        </w:rPr>
        <w:t> </w:t>
      </w:r>
    </w:p>
    <w:p w14:paraId="27786576">
      <w:pPr>
        <w:pStyle w:val="10"/>
        <w:spacing w:beforeAutospacing="0" w:afterAutospacing="0" w:line="0" w:lineRule="atLeast"/>
        <w:jc w:val="center"/>
        <w:rPr>
          <w:rFonts w:hint="eastAsia" w:ascii="宋体" w:hAnsi="宋体" w:eastAsia="宋体" w:cs="宋体"/>
        </w:rPr>
      </w:pPr>
      <w:r>
        <w:rPr>
          <w:rFonts w:hint="eastAsia" w:ascii="宋体" w:hAnsi="宋体" w:eastAsia="宋体" w:cs="宋体"/>
        </w:rPr>
        <w:t> </w:t>
      </w:r>
    </w:p>
    <w:p w14:paraId="145F5986">
      <w:pPr>
        <w:pStyle w:val="10"/>
        <w:spacing w:beforeAutospacing="0" w:afterAutospacing="0" w:line="0" w:lineRule="atLeast"/>
        <w:jc w:val="center"/>
        <w:rPr>
          <w:rFonts w:hint="eastAsia" w:ascii="宋体" w:hAnsi="宋体" w:eastAsia="宋体" w:cs="宋体"/>
        </w:rPr>
      </w:pPr>
      <w:r>
        <w:rPr>
          <w:rFonts w:hint="eastAsia" w:ascii="宋体" w:hAnsi="宋体" w:eastAsia="宋体" w:cs="宋体"/>
        </w:rPr>
        <w:t> </w:t>
      </w:r>
    </w:p>
    <w:p w14:paraId="57135163">
      <w:pPr>
        <w:pStyle w:val="10"/>
        <w:spacing w:beforeAutospacing="0" w:afterAutospacing="0" w:line="0" w:lineRule="atLeast"/>
        <w:jc w:val="center"/>
        <w:rPr>
          <w:rFonts w:hint="eastAsia" w:ascii="宋体" w:hAnsi="宋体" w:eastAsia="宋体" w:cs="宋体"/>
        </w:rPr>
      </w:pPr>
      <w:r>
        <w:rPr>
          <w:rFonts w:hint="eastAsia" w:ascii="宋体" w:hAnsi="宋体" w:eastAsia="宋体" w:cs="宋体"/>
        </w:rPr>
        <w:t> </w:t>
      </w:r>
    </w:p>
    <w:p w14:paraId="0314DFA5">
      <w:pPr>
        <w:pStyle w:val="10"/>
        <w:spacing w:beforeAutospacing="0" w:afterAutospacing="0" w:line="0" w:lineRule="atLeast"/>
        <w:jc w:val="center"/>
        <w:rPr>
          <w:rFonts w:hint="eastAsia" w:ascii="宋体" w:hAnsi="宋体" w:eastAsia="宋体" w:cs="宋体"/>
        </w:rPr>
      </w:pPr>
    </w:p>
    <w:p w14:paraId="67CE9CB8">
      <w:pPr>
        <w:pStyle w:val="10"/>
        <w:spacing w:beforeAutospacing="0" w:afterAutospacing="0" w:line="0" w:lineRule="atLeast"/>
        <w:jc w:val="center"/>
        <w:rPr>
          <w:rFonts w:hint="eastAsia" w:ascii="宋体" w:hAnsi="宋体" w:eastAsia="宋体" w:cs="宋体"/>
        </w:rPr>
      </w:pPr>
    </w:p>
    <w:p w14:paraId="7EC35116">
      <w:pPr>
        <w:pStyle w:val="10"/>
        <w:spacing w:beforeAutospacing="0" w:afterAutospacing="0" w:line="0" w:lineRule="atLeast"/>
        <w:jc w:val="center"/>
        <w:rPr>
          <w:rFonts w:hint="eastAsia" w:ascii="宋体" w:hAnsi="宋体" w:eastAsia="宋体" w:cs="宋体"/>
        </w:rPr>
      </w:pPr>
    </w:p>
    <w:p w14:paraId="27F5202F">
      <w:pPr>
        <w:pStyle w:val="10"/>
        <w:spacing w:beforeAutospacing="0" w:afterAutospacing="0" w:line="0" w:lineRule="atLeast"/>
        <w:jc w:val="center"/>
        <w:rPr>
          <w:rFonts w:hint="eastAsia" w:ascii="宋体" w:hAnsi="宋体" w:eastAsia="宋体" w:cs="宋体"/>
        </w:rPr>
      </w:pPr>
    </w:p>
    <w:p w14:paraId="6C7B1580">
      <w:pPr>
        <w:pStyle w:val="10"/>
        <w:spacing w:beforeAutospacing="0" w:afterAutospacing="0" w:line="0" w:lineRule="atLeast"/>
        <w:jc w:val="center"/>
        <w:rPr>
          <w:rFonts w:hint="eastAsia" w:ascii="宋体" w:hAnsi="宋体" w:eastAsia="宋体" w:cs="宋体"/>
        </w:rPr>
      </w:pPr>
    </w:p>
    <w:p w14:paraId="075B75EF">
      <w:pPr>
        <w:pStyle w:val="10"/>
        <w:spacing w:beforeAutospacing="0" w:afterAutospacing="0" w:line="0" w:lineRule="atLeast"/>
        <w:jc w:val="center"/>
        <w:rPr>
          <w:rFonts w:hint="eastAsia" w:ascii="宋体" w:hAnsi="宋体" w:eastAsia="宋体" w:cs="宋体"/>
        </w:rPr>
      </w:pPr>
    </w:p>
    <w:p w14:paraId="1A565E6C">
      <w:pPr>
        <w:pStyle w:val="10"/>
        <w:spacing w:beforeAutospacing="0" w:afterAutospacing="0" w:line="0" w:lineRule="atLeast"/>
        <w:jc w:val="center"/>
        <w:rPr>
          <w:rFonts w:hint="eastAsia" w:ascii="宋体" w:hAnsi="宋体" w:eastAsia="宋体" w:cs="宋体"/>
        </w:rPr>
      </w:pPr>
    </w:p>
    <w:p w14:paraId="2D07D931">
      <w:pPr>
        <w:pStyle w:val="10"/>
        <w:spacing w:beforeAutospacing="0" w:afterAutospacing="0" w:line="0" w:lineRule="atLeast"/>
        <w:jc w:val="center"/>
        <w:rPr>
          <w:rFonts w:hint="eastAsia" w:ascii="宋体" w:hAnsi="宋体" w:eastAsia="宋体" w:cs="宋体"/>
        </w:rPr>
      </w:pPr>
    </w:p>
    <w:p w14:paraId="035DB81D">
      <w:pPr>
        <w:pStyle w:val="10"/>
        <w:spacing w:beforeAutospacing="0" w:afterAutospacing="0" w:line="0" w:lineRule="atLeast"/>
        <w:jc w:val="center"/>
        <w:rPr>
          <w:rFonts w:hint="eastAsia" w:ascii="宋体" w:hAnsi="宋体" w:eastAsia="宋体" w:cs="宋体"/>
        </w:rPr>
      </w:pPr>
    </w:p>
    <w:p w14:paraId="4FBF5C95">
      <w:pPr>
        <w:pStyle w:val="10"/>
        <w:spacing w:beforeAutospacing="0" w:afterAutospacing="0" w:line="0" w:lineRule="atLeast"/>
        <w:jc w:val="center"/>
        <w:rPr>
          <w:rFonts w:hint="eastAsia" w:ascii="宋体" w:hAnsi="宋体" w:eastAsia="宋体" w:cs="宋体"/>
        </w:rPr>
      </w:pPr>
    </w:p>
    <w:p w14:paraId="021E9AEB">
      <w:pPr>
        <w:pStyle w:val="10"/>
        <w:spacing w:beforeAutospacing="0" w:afterAutospacing="0" w:line="0" w:lineRule="atLeast"/>
        <w:jc w:val="center"/>
        <w:rPr>
          <w:rFonts w:hint="eastAsia" w:ascii="宋体" w:hAnsi="宋体" w:eastAsia="宋体" w:cs="宋体"/>
        </w:rPr>
      </w:pPr>
    </w:p>
    <w:p w14:paraId="16352D1C">
      <w:pPr>
        <w:pStyle w:val="10"/>
        <w:spacing w:beforeAutospacing="0" w:afterAutospacing="0" w:line="0" w:lineRule="atLeast"/>
        <w:jc w:val="center"/>
        <w:rPr>
          <w:rFonts w:hint="eastAsia" w:ascii="宋体" w:hAnsi="宋体" w:eastAsia="宋体" w:cs="宋体"/>
        </w:rPr>
      </w:pPr>
    </w:p>
    <w:p w14:paraId="7D91BA72">
      <w:pPr>
        <w:pStyle w:val="10"/>
        <w:spacing w:beforeAutospacing="0" w:afterAutospacing="0" w:line="0" w:lineRule="atLeast"/>
        <w:jc w:val="center"/>
        <w:rPr>
          <w:rFonts w:hint="eastAsia" w:ascii="宋体" w:hAnsi="宋体" w:eastAsia="宋体" w:cs="宋体"/>
        </w:rPr>
      </w:pPr>
    </w:p>
    <w:p w14:paraId="1C10350E">
      <w:pPr>
        <w:pStyle w:val="10"/>
        <w:spacing w:beforeAutospacing="0" w:afterAutospacing="0" w:line="0" w:lineRule="atLeast"/>
        <w:jc w:val="center"/>
        <w:rPr>
          <w:rFonts w:hint="eastAsia" w:ascii="宋体" w:hAnsi="宋体" w:eastAsia="宋体" w:cs="宋体"/>
        </w:rPr>
      </w:pPr>
    </w:p>
    <w:p w14:paraId="6CB8F1CD">
      <w:pPr>
        <w:pStyle w:val="10"/>
        <w:spacing w:beforeAutospacing="0" w:afterAutospacing="0" w:line="0" w:lineRule="atLeast"/>
        <w:jc w:val="center"/>
        <w:rPr>
          <w:rFonts w:hint="eastAsia" w:ascii="宋体" w:hAnsi="宋体" w:eastAsia="宋体" w:cs="宋体"/>
        </w:rPr>
      </w:pPr>
    </w:p>
    <w:p w14:paraId="6CC606EA">
      <w:pPr>
        <w:pStyle w:val="10"/>
        <w:spacing w:beforeAutospacing="0" w:afterAutospacing="0" w:line="0" w:lineRule="atLeast"/>
        <w:ind w:firstLine="638"/>
        <w:jc w:val="center"/>
        <w:rPr>
          <w:rFonts w:hint="eastAsia" w:ascii="宋体" w:hAnsi="宋体" w:eastAsia="宋体" w:cs="宋体"/>
        </w:rPr>
      </w:pPr>
      <w:r>
        <w:rPr>
          <w:rFonts w:hint="eastAsia" w:ascii="宋体" w:hAnsi="宋体" w:eastAsia="宋体" w:cs="宋体"/>
          <w:b/>
          <w:bCs/>
          <w:sz w:val="32"/>
          <w:szCs w:val="32"/>
        </w:rPr>
        <w:t>十一、</w:t>
      </w:r>
      <w:r>
        <w:rPr>
          <w:rFonts w:hint="eastAsia" w:ascii="宋体" w:hAnsi="宋体" w:eastAsia="宋体" w:cs="宋体"/>
          <w:b/>
          <w:sz w:val="32"/>
          <w:szCs w:val="32"/>
        </w:rPr>
        <w:t>联合体协议（如有）</w:t>
      </w:r>
    </w:p>
    <w:p w14:paraId="193904BE">
      <w:pPr>
        <w:pStyle w:val="10"/>
        <w:spacing w:beforeAutospacing="0" w:afterAutospacing="0" w:line="460" w:lineRule="exact"/>
        <w:jc w:val="both"/>
        <w:rPr>
          <w:rFonts w:hint="eastAsia" w:ascii="宋体" w:hAnsi="宋体" w:eastAsia="宋体" w:cs="宋体"/>
        </w:rPr>
      </w:pPr>
      <w:r>
        <w:rPr>
          <w:rFonts w:hint="eastAsia" w:ascii="宋体" w:hAnsi="宋体" w:eastAsia="宋体" w:cs="宋体"/>
        </w:rPr>
        <w:t>（联合体中各供应商全称）在此达成以下协议：</w:t>
      </w:r>
    </w:p>
    <w:p w14:paraId="0925C17A">
      <w:pPr>
        <w:pStyle w:val="10"/>
        <w:spacing w:beforeAutospacing="0" w:afterAutospacing="0" w:line="460" w:lineRule="exact"/>
        <w:ind w:firstLine="476"/>
        <w:jc w:val="both"/>
        <w:rPr>
          <w:rFonts w:hint="eastAsia" w:ascii="宋体" w:hAnsi="宋体" w:eastAsia="宋体" w:cs="宋体"/>
        </w:rPr>
      </w:pPr>
      <w:r>
        <w:rPr>
          <w:rFonts w:hint="eastAsia" w:ascii="宋体" w:hAnsi="宋体" w:eastAsia="宋体" w:cs="宋体"/>
        </w:rPr>
        <w:t>1、我们</w:t>
      </w:r>
      <w:r>
        <w:rPr>
          <w:rFonts w:hint="eastAsia" w:ascii="宋体" w:hAnsi="宋体" w:eastAsia="宋体" w:cs="宋体"/>
          <w:u w:val="single"/>
        </w:rPr>
        <w:t>（供应商1），（供应商2），……</w:t>
      </w:r>
      <w:r>
        <w:rPr>
          <w:rFonts w:hint="eastAsia" w:ascii="宋体" w:hAnsi="宋体" w:eastAsia="宋体" w:cs="宋体"/>
        </w:rPr>
        <w:t>自愿组成联合体，参加盐城市政府采购中心组织的采购编号为</w:t>
      </w:r>
      <w:r>
        <w:rPr>
          <w:rFonts w:hint="eastAsia" w:ascii="宋体" w:hAnsi="宋体" w:eastAsia="宋体" w:cs="宋体"/>
          <w:u w:val="single"/>
        </w:rPr>
        <w:t>（编号全称），（项目全称）</w:t>
      </w:r>
      <w:r>
        <w:rPr>
          <w:rFonts w:hint="eastAsia" w:ascii="宋体" w:hAnsi="宋体" w:eastAsia="宋体" w:cs="宋体"/>
        </w:rPr>
        <w:t>项目（分包号：**）的政府采购活动，我联合体指定</w:t>
      </w:r>
      <w:r>
        <w:rPr>
          <w:rFonts w:hint="eastAsia" w:ascii="宋体" w:hAnsi="宋体" w:eastAsia="宋体" w:cs="宋体"/>
          <w:u w:val="single"/>
        </w:rPr>
        <w:t>（供应商*）</w:t>
      </w:r>
      <w:r>
        <w:rPr>
          <w:rFonts w:hint="eastAsia" w:ascii="宋体" w:hAnsi="宋体" w:eastAsia="宋体" w:cs="宋体"/>
        </w:rPr>
        <w:t>为牵头单位（牵头单位必须为联合体成员）。</w:t>
      </w:r>
    </w:p>
    <w:p w14:paraId="71A68DC4">
      <w:pPr>
        <w:pStyle w:val="10"/>
        <w:spacing w:beforeAutospacing="0" w:afterAutospacing="0" w:line="460" w:lineRule="exact"/>
        <w:ind w:firstLine="476"/>
        <w:jc w:val="both"/>
        <w:rPr>
          <w:rFonts w:hint="eastAsia" w:ascii="宋体" w:hAnsi="宋体" w:eastAsia="宋体" w:cs="宋体"/>
        </w:rPr>
      </w:pPr>
      <w:r>
        <w:rPr>
          <w:rFonts w:hint="eastAsia" w:ascii="宋体" w:hAnsi="宋体" w:eastAsia="宋体" w:cs="宋体"/>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14:paraId="2BD2CAB9">
      <w:pPr>
        <w:pStyle w:val="10"/>
        <w:spacing w:beforeAutospacing="0" w:afterAutospacing="0" w:line="460" w:lineRule="exact"/>
        <w:ind w:firstLine="476"/>
        <w:jc w:val="both"/>
        <w:rPr>
          <w:rFonts w:hint="eastAsia" w:ascii="宋体" w:hAnsi="宋体" w:eastAsia="宋体" w:cs="宋体"/>
        </w:rPr>
      </w:pPr>
      <w:r>
        <w:rPr>
          <w:rFonts w:hint="eastAsia" w:ascii="宋体" w:hAnsi="宋体" w:eastAsia="宋体" w:cs="宋体"/>
        </w:rPr>
        <w:t>3、其中</w:t>
      </w:r>
      <w:r>
        <w:rPr>
          <w:rFonts w:hint="eastAsia" w:ascii="宋体" w:hAnsi="宋体" w:eastAsia="宋体" w:cs="宋体"/>
          <w:u w:val="single"/>
        </w:rPr>
        <w:t>     </w:t>
      </w:r>
      <w:r>
        <w:rPr>
          <w:rFonts w:hint="eastAsia" w:ascii="宋体" w:hAnsi="宋体" w:eastAsia="宋体" w:cs="宋体"/>
        </w:rPr>
        <w:t>（小型、微型企业/残疾人福利性单位/监狱企业全称）为</w:t>
      </w:r>
      <w:r>
        <w:rPr>
          <w:rFonts w:hint="eastAsia" w:ascii="宋体" w:hAnsi="宋体" w:eastAsia="宋体" w:cs="宋体"/>
          <w:u w:val="single"/>
        </w:rPr>
        <w:t>   </w:t>
      </w:r>
      <w:r>
        <w:rPr>
          <w:rFonts w:hint="eastAsia" w:ascii="宋体" w:hAnsi="宋体" w:eastAsia="宋体" w:cs="宋体"/>
        </w:rPr>
        <w:t>（小型、微型企业/残疾人福利性单位/监狱企业）企业，且我们约定该公司/单位所承担的合同金额将占本项目合同总金额的</w:t>
      </w:r>
      <w:r>
        <w:rPr>
          <w:rFonts w:hint="eastAsia" w:ascii="宋体" w:hAnsi="宋体" w:eastAsia="宋体" w:cs="宋体"/>
          <w:u w:val="single"/>
        </w:rPr>
        <w:t> </w:t>
      </w:r>
      <w:r>
        <w:rPr>
          <w:rFonts w:hint="eastAsia" w:ascii="宋体" w:hAnsi="宋体" w:eastAsia="宋体" w:cs="宋体"/>
        </w:rPr>
        <w:t>%。</w:t>
      </w:r>
    </w:p>
    <w:p w14:paraId="201CA77C">
      <w:pPr>
        <w:pStyle w:val="10"/>
        <w:spacing w:beforeAutospacing="0" w:afterAutospacing="0" w:line="460" w:lineRule="exact"/>
        <w:ind w:firstLine="476"/>
        <w:jc w:val="both"/>
        <w:rPr>
          <w:rFonts w:hint="eastAsia" w:ascii="宋体" w:hAnsi="宋体" w:eastAsia="宋体" w:cs="宋体"/>
        </w:rPr>
      </w:pPr>
      <w:r>
        <w:rPr>
          <w:rFonts w:hint="eastAsia" w:ascii="宋体" w:hAnsi="宋体" w:eastAsia="宋体" w:cs="宋体"/>
        </w:rPr>
        <w:t> </w:t>
      </w:r>
    </w:p>
    <w:p w14:paraId="2A192CAB">
      <w:pPr>
        <w:pStyle w:val="10"/>
        <w:spacing w:beforeAutospacing="0" w:afterAutospacing="0" w:line="460" w:lineRule="exact"/>
        <w:ind w:firstLine="476"/>
        <w:jc w:val="both"/>
        <w:rPr>
          <w:rFonts w:hint="eastAsia" w:ascii="宋体" w:hAnsi="宋体" w:eastAsia="宋体" w:cs="宋体"/>
        </w:rPr>
      </w:pPr>
      <w:r>
        <w:rPr>
          <w:rFonts w:hint="eastAsia" w:ascii="宋体" w:hAnsi="宋体" w:eastAsia="宋体" w:cs="宋体"/>
        </w:rPr>
        <w:t>备注：本招标文件中要求加盖CA电子签章的地方，仅需加盖牵头单位的CA电子签章。</w:t>
      </w:r>
    </w:p>
    <w:p w14:paraId="6F7CA1C5">
      <w:pPr>
        <w:pStyle w:val="10"/>
        <w:spacing w:beforeAutospacing="0" w:afterAutospacing="0" w:line="460" w:lineRule="exact"/>
        <w:ind w:firstLine="476"/>
        <w:jc w:val="both"/>
        <w:rPr>
          <w:rFonts w:hint="eastAsia" w:ascii="宋体" w:hAnsi="宋体" w:eastAsia="宋体" w:cs="宋体"/>
        </w:rPr>
      </w:pPr>
      <w:r>
        <w:rPr>
          <w:rFonts w:hint="eastAsia" w:ascii="宋体" w:hAnsi="宋体" w:eastAsia="宋体" w:cs="宋体"/>
        </w:rPr>
        <w:t>                              </w:t>
      </w:r>
    </w:p>
    <w:p w14:paraId="4F7EB073">
      <w:pPr>
        <w:pStyle w:val="10"/>
        <w:spacing w:beforeAutospacing="0" w:afterAutospacing="0" w:line="460" w:lineRule="exact"/>
        <w:ind w:firstLine="476"/>
        <w:jc w:val="right"/>
        <w:rPr>
          <w:rFonts w:hint="eastAsia" w:ascii="宋体" w:hAnsi="宋体" w:eastAsia="宋体" w:cs="宋体"/>
        </w:rPr>
      </w:pPr>
      <w:r>
        <w:rPr>
          <w:rFonts w:hint="eastAsia" w:ascii="宋体" w:hAnsi="宋体" w:eastAsia="宋体" w:cs="宋体"/>
        </w:rPr>
        <w:t>联合体中各供应商全称（公章）：    </w:t>
      </w:r>
    </w:p>
    <w:p w14:paraId="357767D4">
      <w:pPr>
        <w:pStyle w:val="10"/>
        <w:spacing w:beforeAutospacing="0" w:afterAutospacing="0" w:line="460" w:lineRule="exact"/>
        <w:ind w:firstLine="476"/>
        <w:jc w:val="both"/>
        <w:rPr>
          <w:rFonts w:hint="eastAsia" w:ascii="宋体" w:hAnsi="宋体" w:eastAsia="宋体" w:cs="宋体"/>
        </w:rPr>
      </w:pPr>
      <w:r>
        <w:rPr>
          <w:rFonts w:hint="eastAsia" w:ascii="宋体" w:hAnsi="宋体" w:eastAsia="宋体" w:cs="宋体"/>
        </w:rPr>
        <w:t>                                                               日期：</w:t>
      </w:r>
    </w:p>
    <w:p w14:paraId="4A8A625C">
      <w:pPr>
        <w:pStyle w:val="10"/>
        <w:spacing w:beforeAutospacing="0" w:afterAutospacing="0" w:line="0" w:lineRule="atLeast"/>
        <w:ind w:firstLine="476"/>
        <w:jc w:val="both"/>
        <w:rPr>
          <w:rFonts w:hint="eastAsia" w:ascii="宋体" w:hAnsi="宋体" w:eastAsia="宋体" w:cs="宋体"/>
        </w:rPr>
      </w:pPr>
      <w:r>
        <w:rPr>
          <w:rFonts w:hint="eastAsia" w:ascii="宋体" w:hAnsi="宋体" w:eastAsia="宋体" w:cs="宋体"/>
        </w:rPr>
        <w:t> </w:t>
      </w:r>
    </w:p>
    <w:p w14:paraId="760FA335">
      <w:pPr>
        <w:pStyle w:val="10"/>
        <w:spacing w:beforeAutospacing="0" w:afterAutospacing="0" w:line="0" w:lineRule="atLeast"/>
        <w:jc w:val="both"/>
        <w:rPr>
          <w:rFonts w:hint="eastAsia" w:ascii="宋体" w:hAnsi="宋体" w:eastAsia="宋体" w:cs="宋体"/>
        </w:rPr>
      </w:pPr>
      <w:r>
        <w:rPr>
          <w:rFonts w:hint="eastAsia" w:ascii="宋体" w:hAnsi="宋体" w:eastAsia="宋体" w:cs="宋体"/>
        </w:rPr>
        <w:t> </w:t>
      </w:r>
    </w:p>
    <w:p w14:paraId="78AB2BE6">
      <w:pPr>
        <w:pStyle w:val="10"/>
        <w:spacing w:beforeAutospacing="0" w:afterAutospacing="0" w:line="0" w:lineRule="atLeast"/>
        <w:jc w:val="both"/>
        <w:rPr>
          <w:rFonts w:hint="eastAsia" w:ascii="宋体" w:hAnsi="宋体" w:eastAsia="宋体" w:cs="宋体"/>
        </w:rPr>
      </w:pPr>
      <w:r>
        <w:rPr>
          <w:rFonts w:hint="eastAsia" w:ascii="宋体" w:hAnsi="宋体" w:eastAsia="宋体" w:cs="宋体"/>
        </w:rPr>
        <w:t> </w:t>
      </w:r>
    </w:p>
    <w:p w14:paraId="07ABD42C">
      <w:pPr>
        <w:pStyle w:val="10"/>
        <w:spacing w:beforeAutospacing="0" w:afterAutospacing="0" w:line="0" w:lineRule="atLeast"/>
        <w:jc w:val="both"/>
        <w:rPr>
          <w:rFonts w:hint="eastAsia" w:ascii="宋体" w:hAnsi="宋体" w:eastAsia="宋体" w:cs="宋体"/>
        </w:rPr>
      </w:pPr>
      <w:r>
        <w:rPr>
          <w:rFonts w:hint="eastAsia" w:ascii="宋体" w:hAnsi="宋体" w:eastAsia="宋体" w:cs="宋体"/>
        </w:rPr>
        <w:t> </w:t>
      </w:r>
    </w:p>
    <w:p w14:paraId="1A1FA21B">
      <w:pPr>
        <w:pStyle w:val="10"/>
        <w:spacing w:beforeAutospacing="0" w:afterAutospacing="0" w:line="0" w:lineRule="atLeast"/>
        <w:jc w:val="both"/>
        <w:rPr>
          <w:rFonts w:hint="eastAsia" w:ascii="宋体" w:hAnsi="宋体" w:eastAsia="宋体" w:cs="宋体"/>
        </w:rPr>
      </w:pPr>
      <w:r>
        <w:rPr>
          <w:rFonts w:hint="eastAsia" w:ascii="宋体" w:hAnsi="宋体" w:eastAsia="宋体" w:cs="宋体"/>
        </w:rPr>
        <w:t> </w:t>
      </w:r>
    </w:p>
    <w:p w14:paraId="429A8593">
      <w:pPr>
        <w:pStyle w:val="10"/>
        <w:spacing w:beforeAutospacing="0" w:afterAutospacing="0" w:line="0" w:lineRule="atLeast"/>
        <w:jc w:val="both"/>
        <w:rPr>
          <w:rFonts w:hint="eastAsia" w:ascii="宋体" w:hAnsi="宋体" w:eastAsia="宋体" w:cs="宋体"/>
        </w:rPr>
      </w:pPr>
      <w:r>
        <w:rPr>
          <w:rFonts w:hint="eastAsia" w:ascii="宋体" w:hAnsi="宋体" w:eastAsia="宋体" w:cs="宋体"/>
        </w:rPr>
        <w:t> </w:t>
      </w:r>
    </w:p>
    <w:p w14:paraId="6CD4DC75">
      <w:pPr>
        <w:pStyle w:val="10"/>
        <w:spacing w:beforeAutospacing="0" w:afterAutospacing="0" w:line="0" w:lineRule="atLeast"/>
        <w:jc w:val="both"/>
        <w:rPr>
          <w:rFonts w:hint="eastAsia" w:ascii="宋体" w:hAnsi="宋体" w:eastAsia="宋体" w:cs="宋体"/>
        </w:rPr>
      </w:pPr>
    </w:p>
    <w:p w14:paraId="268F115D">
      <w:pPr>
        <w:pStyle w:val="10"/>
        <w:spacing w:beforeAutospacing="0" w:afterAutospacing="0" w:line="0" w:lineRule="atLeast"/>
        <w:jc w:val="both"/>
        <w:rPr>
          <w:rFonts w:hint="eastAsia" w:ascii="宋体" w:hAnsi="宋体" w:eastAsia="宋体" w:cs="宋体"/>
        </w:rPr>
      </w:pPr>
    </w:p>
    <w:p w14:paraId="75BF6CEA">
      <w:pPr>
        <w:pStyle w:val="10"/>
        <w:spacing w:beforeAutospacing="0" w:afterAutospacing="0" w:line="0" w:lineRule="atLeast"/>
        <w:jc w:val="both"/>
        <w:rPr>
          <w:rFonts w:hint="eastAsia" w:ascii="宋体" w:hAnsi="宋体" w:eastAsia="宋体" w:cs="宋体"/>
        </w:rPr>
      </w:pPr>
    </w:p>
    <w:p w14:paraId="765439F3">
      <w:pPr>
        <w:pStyle w:val="10"/>
        <w:spacing w:beforeAutospacing="0" w:afterAutospacing="0" w:line="0" w:lineRule="atLeast"/>
        <w:jc w:val="both"/>
        <w:rPr>
          <w:rFonts w:hint="eastAsia" w:ascii="宋体" w:hAnsi="宋体" w:eastAsia="宋体" w:cs="宋体"/>
        </w:rPr>
      </w:pPr>
    </w:p>
    <w:p w14:paraId="799F9DA5">
      <w:pPr>
        <w:pStyle w:val="10"/>
        <w:spacing w:beforeAutospacing="0" w:afterAutospacing="0" w:line="0" w:lineRule="atLeast"/>
        <w:jc w:val="both"/>
        <w:rPr>
          <w:rFonts w:hint="eastAsia" w:ascii="宋体" w:hAnsi="宋体" w:eastAsia="宋体" w:cs="宋体"/>
        </w:rPr>
      </w:pPr>
    </w:p>
    <w:p w14:paraId="0E04896C">
      <w:pPr>
        <w:pStyle w:val="10"/>
        <w:spacing w:beforeAutospacing="0" w:afterAutospacing="0" w:line="0" w:lineRule="atLeast"/>
        <w:jc w:val="both"/>
        <w:rPr>
          <w:rFonts w:hint="eastAsia" w:ascii="宋体" w:hAnsi="宋体" w:eastAsia="宋体" w:cs="宋体"/>
        </w:rPr>
      </w:pPr>
    </w:p>
    <w:p w14:paraId="15D5EB34">
      <w:pPr>
        <w:pStyle w:val="10"/>
        <w:spacing w:beforeAutospacing="0" w:afterAutospacing="0" w:line="0" w:lineRule="atLeast"/>
        <w:jc w:val="both"/>
        <w:rPr>
          <w:rFonts w:hint="eastAsia" w:ascii="宋体" w:hAnsi="宋体" w:eastAsia="宋体" w:cs="宋体"/>
        </w:rPr>
      </w:pPr>
    </w:p>
    <w:p w14:paraId="5AE7FF9F">
      <w:pPr>
        <w:pStyle w:val="10"/>
        <w:spacing w:beforeAutospacing="0" w:afterAutospacing="0" w:line="0" w:lineRule="atLeast"/>
        <w:jc w:val="both"/>
        <w:rPr>
          <w:rFonts w:hint="eastAsia" w:ascii="宋体" w:hAnsi="宋体" w:eastAsia="宋体" w:cs="宋体"/>
        </w:rPr>
      </w:pPr>
    </w:p>
    <w:p w14:paraId="7C23F68C">
      <w:pPr>
        <w:pStyle w:val="10"/>
        <w:spacing w:beforeAutospacing="0" w:afterAutospacing="0"/>
        <w:jc w:val="both"/>
        <w:rPr>
          <w:rFonts w:hint="eastAsia" w:ascii="宋体" w:hAnsi="宋体" w:eastAsia="宋体" w:cs="宋体"/>
        </w:rPr>
      </w:pPr>
    </w:p>
    <w:p w14:paraId="423F5D13">
      <w:pPr>
        <w:pStyle w:val="10"/>
        <w:spacing w:beforeAutospacing="0" w:afterAutospacing="0"/>
        <w:ind w:firstLine="638"/>
        <w:jc w:val="center"/>
        <w:rPr>
          <w:rFonts w:hint="eastAsia" w:ascii="宋体" w:hAnsi="宋体" w:eastAsia="宋体" w:cs="宋体"/>
          <w:b/>
          <w:sz w:val="32"/>
          <w:szCs w:val="32"/>
        </w:rPr>
      </w:pPr>
    </w:p>
    <w:p w14:paraId="45112B7C">
      <w:pPr>
        <w:pStyle w:val="10"/>
        <w:numPr>
          <w:ilvl w:val="0"/>
          <w:numId w:val="3"/>
        </w:numPr>
        <w:spacing w:beforeAutospacing="0" w:afterAutospacing="0"/>
        <w:ind w:firstLine="638"/>
        <w:jc w:val="center"/>
        <w:rPr>
          <w:rFonts w:hint="eastAsia" w:ascii="宋体" w:hAnsi="宋体" w:eastAsia="宋体" w:cs="宋体"/>
          <w:b/>
          <w:sz w:val="32"/>
          <w:szCs w:val="32"/>
        </w:rPr>
      </w:pPr>
      <w:r>
        <w:rPr>
          <w:rFonts w:hint="eastAsia" w:ascii="宋体" w:hAnsi="宋体" w:eastAsia="宋体" w:cs="宋体"/>
          <w:b/>
          <w:sz w:val="32"/>
          <w:szCs w:val="32"/>
        </w:rPr>
        <w:t>投标分项报价表</w:t>
      </w:r>
    </w:p>
    <w:tbl>
      <w:tblPr>
        <w:tblStyle w:val="12"/>
        <w:tblW w:w="89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7"/>
        <w:gridCol w:w="1680"/>
        <w:gridCol w:w="2530"/>
        <w:gridCol w:w="682"/>
        <w:gridCol w:w="1210"/>
        <w:gridCol w:w="1296"/>
        <w:gridCol w:w="885"/>
      </w:tblGrid>
      <w:tr w14:paraId="650C4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blHeader/>
          <w:jc w:val="center"/>
        </w:trPr>
        <w:tc>
          <w:tcPr>
            <w:tcW w:w="687" w:type="dxa"/>
            <w:vAlign w:val="center"/>
          </w:tcPr>
          <w:p w14:paraId="057CA6F1">
            <w:pPr>
              <w:kinsoku w:val="0"/>
              <w:overflowPunct w:val="0"/>
              <w:snapToGrid w:val="0"/>
              <w:jc w:val="center"/>
              <w:rPr>
                <w:rFonts w:hint="eastAsia" w:asciiTheme="minorEastAsia" w:hAnsiTheme="minorEastAsia" w:cstheme="minorEastAsia"/>
                <w:b/>
                <w:color w:val="000000"/>
                <w:spacing w:val="-3"/>
                <w:kern w:val="0"/>
                <w:szCs w:val="21"/>
              </w:rPr>
            </w:pPr>
            <w:r>
              <w:rPr>
                <w:rFonts w:hint="eastAsia" w:ascii="宋体" w:hAnsi="宋体" w:eastAsia="宋体" w:cs="宋体"/>
                <w:b/>
                <w:color w:val="000000"/>
                <w:spacing w:val="6"/>
                <w:szCs w:val="21"/>
                <w:lang w:eastAsia="en-US"/>
              </w:rPr>
              <w:t>序号</w:t>
            </w:r>
          </w:p>
        </w:tc>
        <w:tc>
          <w:tcPr>
            <w:tcW w:w="1680" w:type="dxa"/>
            <w:vAlign w:val="center"/>
          </w:tcPr>
          <w:p w14:paraId="07803589">
            <w:pPr>
              <w:kinsoku w:val="0"/>
              <w:overflowPunct w:val="0"/>
              <w:snapToGrid w:val="0"/>
              <w:jc w:val="center"/>
              <w:rPr>
                <w:rFonts w:hint="eastAsia" w:asciiTheme="minorEastAsia" w:hAnsiTheme="minorEastAsia" w:cstheme="minorEastAsia"/>
                <w:b/>
                <w:color w:val="000000"/>
                <w:spacing w:val="-3"/>
                <w:kern w:val="0"/>
                <w:szCs w:val="21"/>
              </w:rPr>
            </w:pPr>
            <w:r>
              <w:rPr>
                <w:rFonts w:hint="eastAsia" w:ascii="宋体" w:hAnsi="宋体" w:eastAsia="宋体" w:cs="宋体"/>
                <w:b/>
                <w:color w:val="000000"/>
                <w:spacing w:val="6"/>
                <w:szCs w:val="21"/>
              </w:rPr>
              <w:t>服务</w:t>
            </w:r>
            <w:r>
              <w:rPr>
                <w:rFonts w:hint="eastAsia" w:ascii="宋体" w:hAnsi="宋体" w:eastAsia="宋体" w:cs="宋体"/>
                <w:b/>
                <w:color w:val="000000"/>
                <w:spacing w:val="6"/>
                <w:szCs w:val="21"/>
                <w:lang w:eastAsia="en-US"/>
              </w:rPr>
              <w:t>名称</w:t>
            </w:r>
          </w:p>
        </w:tc>
        <w:tc>
          <w:tcPr>
            <w:tcW w:w="2530" w:type="dxa"/>
            <w:vAlign w:val="center"/>
          </w:tcPr>
          <w:p w14:paraId="178CE10E">
            <w:pPr>
              <w:kinsoku w:val="0"/>
              <w:overflowPunct w:val="0"/>
              <w:snapToGrid w:val="0"/>
              <w:jc w:val="center"/>
              <w:rPr>
                <w:rFonts w:hint="eastAsia" w:asciiTheme="minorEastAsia" w:hAnsiTheme="minorEastAsia" w:cstheme="minorEastAsia"/>
                <w:b/>
                <w:color w:val="000000"/>
                <w:spacing w:val="-3"/>
                <w:kern w:val="0"/>
                <w:szCs w:val="21"/>
              </w:rPr>
            </w:pPr>
            <w:r>
              <w:rPr>
                <w:rFonts w:hint="eastAsia" w:ascii="宋体" w:hAnsi="宋体" w:eastAsia="宋体" w:cs="宋体"/>
                <w:b/>
                <w:color w:val="000000"/>
                <w:spacing w:val="6"/>
                <w:szCs w:val="21"/>
                <w:lang w:eastAsia="en-US"/>
              </w:rPr>
              <w:t>特征描述</w:t>
            </w:r>
          </w:p>
        </w:tc>
        <w:tc>
          <w:tcPr>
            <w:tcW w:w="682" w:type="dxa"/>
            <w:vAlign w:val="center"/>
          </w:tcPr>
          <w:p w14:paraId="3392F8E7">
            <w:pPr>
              <w:kinsoku w:val="0"/>
              <w:overflowPunct w:val="0"/>
              <w:snapToGrid w:val="0"/>
              <w:jc w:val="center"/>
              <w:rPr>
                <w:rFonts w:hint="eastAsia" w:asciiTheme="minorEastAsia" w:hAnsiTheme="minorEastAsia" w:cstheme="minorEastAsia"/>
                <w:b/>
                <w:color w:val="000000"/>
                <w:spacing w:val="-3"/>
                <w:kern w:val="0"/>
                <w:szCs w:val="21"/>
              </w:rPr>
            </w:pPr>
            <w:r>
              <w:rPr>
                <w:rFonts w:hint="eastAsia" w:ascii="宋体" w:hAnsi="宋体" w:eastAsia="宋体" w:cs="宋体"/>
                <w:b/>
                <w:color w:val="000000"/>
                <w:spacing w:val="6"/>
                <w:szCs w:val="21"/>
                <w:lang w:eastAsia="en-US"/>
              </w:rPr>
              <w:t>单位</w:t>
            </w:r>
          </w:p>
        </w:tc>
        <w:tc>
          <w:tcPr>
            <w:tcW w:w="1210" w:type="dxa"/>
            <w:vAlign w:val="center"/>
          </w:tcPr>
          <w:p w14:paraId="487D0CC1">
            <w:pPr>
              <w:kinsoku w:val="0"/>
              <w:overflowPunct w:val="0"/>
              <w:snapToGrid w:val="0"/>
              <w:jc w:val="center"/>
              <w:rPr>
                <w:rFonts w:hint="eastAsia" w:asciiTheme="minorEastAsia" w:hAnsiTheme="minorEastAsia" w:cstheme="minorEastAsia"/>
                <w:b/>
                <w:color w:val="000000"/>
                <w:spacing w:val="-3"/>
                <w:kern w:val="0"/>
                <w:szCs w:val="21"/>
              </w:rPr>
            </w:pPr>
            <w:r>
              <w:rPr>
                <w:rFonts w:hint="eastAsia" w:ascii="宋体" w:hAnsi="宋体" w:eastAsia="宋体" w:cs="宋体"/>
                <w:b/>
                <w:color w:val="000000"/>
                <w:spacing w:val="6"/>
                <w:szCs w:val="21"/>
                <w:lang w:eastAsia="en-US"/>
              </w:rPr>
              <w:t>工程量</w:t>
            </w:r>
          </w:p>
        </w:tc>
        <w:tc>
          <w:tcPr>
            <w:tcW w:w="1296" w:type="dxa"/>
            <w:vAlign w:val="center"/>
          </w:tcPr>
          <w:p w14:paraId="661DCD4D">
            <w:pPr>
              <w:kinsoku w:val="0"/>
              <w:overflowPunct w:val="0"/>
              <w:snapToGrid w:val="0"/>
              <w:jc w:val="center"/>
              <w:rPr>
                <w:rFonts w:hint="eastAsia" w:ascii="宋体" w:hAnsi="宋体" w:eastAsia="宋体" w:cs="宋体"/>
                <w:b/>
                <w:color w:val="000000"/>
                <w:spacing w:val="6"/>
                <w:szCs w:val="21"/>
              </w:rPr>
            </w:pPr>
            <w:r>
              <w:rPr>
                <w:rFonts w:hint="eastAsia" w:ascii="宋体" w:hAnsi="宋体" w:eastAsia="宋体" w:cs="宋体"/>
                <w:b/>
                <w:color w:val="000000"/>
                <w:spacing w:val="6"/>
                <w:szCs w:val="21"/>
                <w:lang w:val="en-US" w:eastAsia="zh-CN"/>
              </w:rPr>
              <w:t>全费用</w:t>
            </w:r>
            <w:r>
              <w:rPr>
                <w:rFonts w:hint="eastAsia" w:ascii="宋体" w:hAnsi="宋体" w:eastAsia="宋体" w:cs="宋体"/>
                <w:b/>
                <w:color w:val="000000"/>
                <w:spacing w:val="6"/>
                <w:szCs w:val="21"/>
              </w:rPr>
              <w:t>综合单价</w:t>
            </w:r>
          </w:p>
          <w:p w14:paraId="5AD2793F">
            <w:pPr>
              <w:kinsoku w:val="0"/>
              <w:overflowPunct w:val="0"/>
              <w:snapToGrid w:val="0"/>
              <w:jc w:val="center"/>
              <w:rPr>
                <w:rFonts w:hint="eastAsia" w:ascii="宋体" w:hAnsi="宋体" w:eastAsia="宋体" w:cs="宋体"/>
                <w:b/>
                <w:color w:val="000000"/>
                <w:spacing w:val="6"/>
                <w:szCs w:val="21"/>
              </w:rPr>
            </w:pPr>
            <w:r>
              <w:rPr>
                <w:rFonts w:hint="eastAsia" w:ascii="宋体" w:hAnsi="宋体" w:eastAsia="宋体" w:cs="宋体"/>
                <w:b/>
                <w:color w:val="000000"/>
                <w:spacing w:val="6"/>
                <w:szCs w:val="21"/>
              </w:rPr>
              <w:t>（元）</w:t>
            </w:r>
          </w:p>
        </w:tc>
        <w:tc>
          <w:tcPr>
            <w:tcW w:w="885" w:type="dxa"/>
            <w:vAlign w:val="center"/>
          </w:tcPr>
          <w:p w14:paraId="4F6A978B">
            <w:pPr>
              <w:kinsoku w:val="0"/>
              <w:overflowPunct w:val="0"/>
              <w:snapToGrid w:val="0"/>
              <w:jc w:val="center"/>
              <w:rPr>
                <w:rFonts w:hint="eastAsia" w:ascii="宋体" w:hAnsi="宋体" w:eastAsia="宋体" w:cs="宋体"/>
                <w:b/>
                <w:color w:val="000000"/>
                <w:spacing w:val="6"/>
                <w:szCs w:val="21"/>
              </w:rPr>
            </w:pPr>
            <w:r>
              <w:rPr>
                <w:rFonts w:hint="eastAsia" w:ascii="宋体" w:hAnsi="宋体" w:eastAsia="宋体" w:cs="宋体"/>
                <w:b/>
                <w:color w:val="000000"/>
                <w:spacing w:val="6"/>
                <w:szCs w:val="21"/>
              </w:rPr>
              <w:t>总价</w:t>
            </w:r>
          </w:p>
          <w:p w14:paraId="5947D9CF">
            <w:pPr>
              <w:kinsoku w:val="0"/>
              <w:overflowPunct w:val="0"/>
              <w:snapToGrid w:val="0"/>
              <w:jc w:val="center"/>
              <w:rPr>
                <w:rFonts w:hint="eastAsia" w:ascii="宋体" w:hAnsi="宋体" w:eastAsia="宋体" w:cs="宋体"/>
                <w:b/>
                <w:color w:val="000000"/>
                <w:spacing w:val="6"/>
                <w:szCs w:val="21"/>
              </w:rPr>
            </w:pPr>
            <w:r>
              <w:rPr>
                <w:rFonts w:hint="eastAsia" w:ascii="宋体" w:hAnsi="宋体" w:eastAsia="宋体" w:cs="宋体"/>
                <w:b/>
                <w:color w:val="000000"/>
                <w:spacing w:val="6"/>
                <w:szCs w:val="21"/>
              </w:rPr>
              <w:t>（元）</w:t>
            </w:r>
          </w:p>
        </w:tc>
      </w:tr>
      <w:tr w14:paraId="4B5B9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687" w:type="dxa"/>
            <w:vAlign w:val="center"/>
          </w:tcPr>
          <w:p w14:paraId="05EFE9C6">
            <w:pPr>
              <w:kinsoku w:val="0"/>
              <w:overflowPunct w:val="0"/>
              <w:snapToGrid w:val="0"/>
              <w:jc w:val="center"/>
              <w:rPr>
                <w:rFonts w:hint="eastAsia" w:asciiTheme="minorEastAsia" w:hAnsiTheme="minorEastAsia" w:cstheme="minorEastAsia"/>
                <w:color w:val="000000"/>
                <w:spacing w:val="-3"/>
                <w:kern w:val="0"/>
                <w:szCs w:val="21"/>
              </w:rPr>
            </w:pPr>
            <w:r>
              <w:rPr>
                <w:rFonts w:hint="eastAsia" w:asciiTheme="minorEastAsia" w:hAnsiTheme="minorEastAsia" w:cstheme="minorEastAsia"/>
                <w:color w:val="000000"/>
                <w:spacing w:val="-3"/>
                <w:kern w:val="0"/>
                <w:szCs w:val="21"/>
              </w:rPr>
              <w:t>1</w:t>
            </w:r>
          </w:p>
        </w:tc>
        <w:tc>
          <w:tcPr>
            <w:tcW w:w="1680" w:type="dxa"/>
            <w:shd w:val="clear" w:color="auto" w:fill="auto"/>
            <w:vAlign w:val="center"/>
          </w:tcPr>
          <w:p w14:paraId="68CD8B99">
            <w:pPr>
              <w:snapToGrid w:val="0"/>
              <w:spacing w:before="65"/>
              <w:ind w:firstLine="504"/>
              <w:jc w:val="center"/>
              <w:rPr>
                <w:rFonts w:hint="eastAsia" w:ascii="宋体" w:hAnsi="宋体" w:eastAsia="宋体" w:cs="宋体"/>
                <w:color w:val="000000"/>
                <w:spacing w:val="6"/>
                <w:szCs w:val="21"/>
                <w:lang w:eastAsia="en-US"/>
              </w:rPr>
            </w:pPr>
          </w:p>
        </w:tc>
        <w:tc>
          <w:tcPr>
            <w:tcW w:w="2530" w:type="dxa"/>
            <w:vAlign w:val="center"/>
          </w:tcPr>
          <w:p w14:paraId="7CE99EE9">
            <w:pPr>
              <w:kinsoku w:val="0"/>
              <w:overflowPunct w:val="0"/>
              <w:snapToGrid w:val="0"/>
              <w:ind w:firstLine="468"/>
              <w:jc w:val="center"/>
              <w:rPr>
                <w:rFonts w:hint="eastAsia" w:asciiTheme="minorEastAsia" w:hAnsiTheme="minorEastAsia" w:cstheme="minorEastAsia"/>
                <w:color w:val="000000"/>
                <w:spacing w:val="-3"/>
                <w:kern w:val="0"/>
                <w:szCs w:val="21"/>
              </w:rPr>
            </w:pPr>
          </w:p>
        </w:tc>
        <w:tc>
          <w:tcPr>
            <w:tcW w:w="682" w:type="dxa"/>
            <w:vAlign w:val="center"/>
          </w:tcPr>
          <w:p w14:paraId="0CA971FF">
            <w:pPr>
              <w:snapToGrid w:val="0"/>
              <w:spacing w:before="65"/>
              <w:ind w:firstLine="468"/>
              <w:jc w:val="center"/>
              <w:rPr>
                <w:rFonts w:hint="eastAsia" w:asciiTheme="minorEastAsia" w:hAnsiTheme="minorEastAsia" w:cstheme="minorEastAsia"/>
                <w:color w:val="000000"/>
                <w:spacing w:val="-3"/>
                <w:kern w:val="0"/>
                <w:szCs w:val="21"/>
              </w:rPr>
            </w:pPr>
          </w:p>
        </w:tc>
        <w:tc>
          <w:tcPr>
            <w:tcW w:w="1210" w:type="dxa"/>
            <w:vAlign w:val="center"/>
          </w:tcPr>
          <w:p w14:paraId="72EEE0A4">
            <w:pPr>
              <w:snapToGrid w:val="0"/>
              <w:spacing w:before="65"/>
              <w:ind w:firstLine="468"/>
              <w:jc w:val="center"/>
              <w:rPr>
                <w:rFonts w:hint="eastAsia" w:asciiTheme="minorEastAsia" w:hAnsiTheme="minorEastAsia" w:cstheme="minorEastAsia"/>
                <w:color w:val="000000"/>
                <w:spacing w:val="-3"/>
                <w:kern w:val="0"/>
                <w:szCs w:val="21"/>
              </w:rPr>
            </w:pPr>
          </w:p>
        </w:tc>
        <w:tc>
          <w:tcPr>
            <w:tcW w:w="1296" w:type="dxa"/>
            <w:vAlign w:val="center"/>
          </w:tcPr>
          <w:p w14:paraId="6345BD40">
            <w:pPr>
              <w:snapToGrid w:val="0"/>
              <w:spacing w:before="65"/>
              <w:ind w:firstLine="504"/>
              <w:jc w:val="right"/>
              <w:rPr>
                <w:rFonts w:hint="eastAsia" w:ascii="宋体" w:hAnsi="宋体" w:eastAsia="宋体" w:cs="宋体"/>
                <w:color w:val="000000"/>
                <w:spacing w:val="6"/>
                <w:szCs w:val="21"/>
                <w:lang w:eastAsia="en-US"/>
              </w:rPr>
            </w:pPr>
          </w:p>
        </w:tc>
        <w:tc>
          <w:tcPr>
            <w:tcW w:w="885" w:type="dxa"/>
            <w:vAlign w:val="center"/>
          </w:tcPr>
          <w:p w14:paraId="52672121">
            <w:pPr>
              <w:snapToGrid w:val="0"/>
              <w:spacing w:before="65"/>
              <w:ind w:firstLine="504"/>
              <w:jc w:val="right"/>
              <w:rPr>
                <w:rFonts w:hint="eastAsia" w:ascii="宋体" w:hAnsi="宋体" w:eastAsia="宋体" w:cs="宋体"/>
                <w:color w:val="000000"/>
                <w:spacing w:val="6"/>
                <w:szCs w:val="21"/>
                <w:lang w:eastAsia="en-US"/>
              </w:rPr>
            </w:pPr>
          </w:p>
        </w:tc>
      </w:tr>
      <w:tr w14:paraId="7C78E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687" w:type="dxa"/>
            <w:vAlign w:val="center"/>
          </w:tcPr>
          <w:p w14:paraId="6EE80FC8">
            <w:pPr>
              <w:kinsoku w:val="0"/>
              <w:overflowPunct w:val="0"/>
              <w:snapToGrid w:val="0"/>
              <w:jc w:val="center"/>
              <w:rPr>
                <w:rFonts w:hint="eastAsia" w:asciiTheme="minorEastAsia" w:hAnsiTheme="minorEastAsia" w:cstheme="minorEastAsia"/>
                <w:color w:val="000000"/>
                <w:spacing w:val="-3"/>
                <w:kern w:val="0"/>
                <w:szCs w:val="21"/>
              </w:rPr>
            </w:pPr>
            <w:r>
              <w:rPr>
                <w:rFonts w:hint="eastAsia" w:asciiTheme="minorEastAsia" w:hAnsiTheme="minorEastAsia" w:cstheme="minorEastAsia"/>
                <w:color w:val="000000"/>
                <w:spacing w:val="-3"/>
                <w:kern w:val="0"/>
                <w:szCs w:val="21"/>
              </w:rPr>
              <w:t>2</w:t>
            </w:r>
          </w:p>
        </w:tc>
        <w:tc>
          <w:tcPr>
            <w:tcW w:w="1680" w:type="dxa"/>
            <w:shd w:val="clear" w:color="auto" w:fill="auto"/>
            <w:vAlign w:val="center"/>
          </w:tcPr>
          <w:p w14:paraId="4D664EC3">
            <w:pPr>
              <w:snapToGrid w:val="0"/>
              <w:spacing w:before="65"/>
              <w:ind w:firstLine="504"/>
              <w:jc w:val="center"/>
              <w:rPr>
                <w:rFonts w:hint="eastAsia" w:ascii="宋体" w:hAnsi="宋体" w:eastAsia="宋体" w:cs="宋体"/>
                <w:color w:val="000000"/>
                <w:spacing w:val="6"/>
                <w:szCs w:val="21"/>
              </w:rPr>
            </w:pPr>
          </w:p>
        </w:tc>
        <w:tc>
          <w:tcPr>
            <w:tcW w:w="2530" w:type="dxa"/>
            <w:vAlign w:val="center"/>
          </w:tcPr>
          <w:p w14:paraId="58FD7966">
            <w:pPr>
              <w:kinsoku w:val="0"/>
              <w:overflowPunct w:val="0"/>
              <w:snapToGrid w:val="0"/>
              <w:ind w:firstLine="468"/>
              <w:jc w:val="center"/>
              <w:rPr>
                <w:rFonts w:hint="eastAsia" w:asciiTheme="minorEastAsia" w:hAnsiTheme="minorEastAsia" w:cstheme="minorEastAsia"/>
                <w:color w:val="000000"/>
                <w:spacing w:val="-3"/>
                <w:kern w:val="0"/>
                <w:szCs w:val="21"/>
              </w:rPr>
            </w:pPr>
          </w:p>
        </w:tc>
        <w:tc>
          <w:tcPr>
            <w:tcW w:w="682" w:type="dxa"/>
            <w:vAlign w:val="center"/>
          </w:tcPr>
          <w:p w14:paraId="6AED46E0">
            <w:pPr>
              <w:snapToGrid w:val="0"/>
              <w:spacing w:before="65"/>
              <w:ind w:firstLine="468"/>
              <w:jc w:val="center"/>
              <w:rPr>
                <w:rFonts w:hint="eastAsia" w:asciiTheme="minorEastAsia" w:hAnsiTheme="minorEastAsia" w:cstheme="minorEastAsia"/>
                <w:color w:val="000000"/>
                <w:spacing w:val="-3"/>
                <w:kern w:val="0"/>
                <w:szCs w:val="21"/>
              </w:rPr>
            </w:pPr>
          </w:p>
        </w:tc>
        <w:tc>
          <w:tcPr>
            <w:tcW w:w="1210" w:type="dxa"/>
            <w:vAlign w:val="center"/>
          </w:tcPr>
          <w:p w14:paraId="1B8122AE">
            <w:pPr>
              <w:snapToGrid w:val="0"/>
              <w:spacing w:before="65"/>
              <w:ind w:firstLine="468"/>
              <w:jc w:val="center"/>
              <w:rPr>
                <w:rFonts w:hint="eastAsia" w:asciiTheme="minorEastAsia" w:hAnsiTheme="minorEastAsia" w:cstheme="minorEastAsia"/>
                <w:color w:val="000000"/>
                <w:spacing w:val="-3"/>
                <w:kern w:val="0"/>
                <w:szCs w:val="21"/>
              </w:rPr>
            </w:pPr>
          </w:p>
        </w:tc>
        <w:tc>
          <w:tcPr>
            <w:tcW w:w="1296" w:type="dxa"/>
            <w:vAlign w:val="center"/>
          </w:tcPr>
          <w:p w14:paraId="3459AE75">
            <w:pPr>
              <w:snapToGrid w:val="0"/>
              <w:spacing w:before="65"/>
              <w:ind w:firstLine="504"/>
              <w:jc w:val="right"/>
              <w:rPr>
                <w:rFonts w:hint="eastAsia" w:ascii="宋体" w:hAnsi="宋体" w:eastAsia="宋体" w:cs="宋体"/>
                <w:color w:val="000000"/>
                <w:spacing w:val="6"/>
                <w:szCs w:val="21"/>
                <w:lang w:eastAsia="en-US"/>
              </w:rPr>
            </w:pPr>
          </w:p>
        </w:tc>
        <w:tc>
          <w:tcPr>
            <w:tcW w:w="885" w:type="dxa"/>
            <w:vAlign w:val="center"/>
          </w:tcPr>
          <w:p w14:paraId="21C3D00C">
            <w:pPr>
              <w:snapToGrid w:val="0"/>
              <w:spacing w:before="65"/>
              <w:ind w:firstLine="504"/>
              <w:jc w:val="right"/>
              <w:rPr>
                <w:rFonts w:hint="eastAsia" w:ascii="宋体" w:hAnsi="宋体" w:eastAsia="宋体" w:cs="宋体"/>
                <w:color w:val="000000"/>
                <w:spacing w:val="6"/>
                <w:szCs w:val="21"/>
                <w:lang w:eastAsia="en-US"/>
              </w:rPr>
            </w:pPr>
          </w:p>
        </w:tc>
      </w:tr>
      <w:tr w14:paraId="4EE12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687" w:type="dxa"/>
            <w:vAlign w:val="center"/>
          </w:tcPr>
          <w:p w14:paraId="23D0AF50">
            <w:pPr>
              <w:kinsoku w:val="0"/>
              <w:overflowPunct w:val="0"/>
              <w:snapToGrid w:val="0"/>
              <w:jc w:val="center"/>
              <w:rPr>
                <w:rFonts w:hint="eastAsia" w:asciiTheme="minorEastAsia" w:hAnsiTheme="minorEastAsia" w:cstheme="minorEastAsia"/>
                <w:color w:val="000000"/>
                <w:spacing w:val="-3"/>
                <w:kern w:val="0"/>
                <w:szCs w:val="21"/>
              </w:rPr>
            </w:pPr>
            <w:r>
              <w:rPr>
                <w:rFonts w:hint="eastAsia" w:asciiTheme="minorEastAsia" w:hAnsiTheme="minorEastAsia" w:cstheme="minorEastAsia"/>
                <w:color w:val="000000"/>
                <w:spacing w:val="-3"/>
                <w:kern w:val="0"/>
                <w:szCs w:val="21"/>
              </w:rPr>
              <w:t>3</w:t>
            </w:r>
          </w:p>
        </w:tc>
        <w:tc>
          <w:tcPr>
            <w:tcW w:w="1680" w:type="dxa"/>
            <w:shd w:val="clear" w:color="auto" w:fill="auto"/>
            <w:vAlign w:val="center"/>
          </w:tcPr>
          <w:p w14:paraId="4B03B636">
            <w:pPr>
              <w:snapToGrid w:val="0"/>
              <w:spacing w:before="65"/>
              <w:ind w:firstLine="504"/>
              <w:jc w:val="center"/>
              <w:rPr>
                <w:rFonts w:hint="eastAsia" w:ascii="宋体" w:hAnsi="宋体" w:eastAsia="宋体" w:cs="宋体"/>
                <w:color w:val="000000"/>
                <w:spacing w:val="6"/>
                <w:szCs w:val="21"/>
                <w:lang w:eastAsia="en-US"/>
              </w:rPr>
            </w:pPr>
          </w:p>
        </w:tc>
        <w:tc>
          <w:tcPr>
            <w:tcW w:w="2530" w:type="dxa"/>
            <w:vAlign w:val="center"/>
          </w:tcPr>
          <w:p w14:paraId="4F297B54">
            <w:pPr>
              <w:kinsoku w:val="0"/>
              <w:overflowPunct w:val="0"/>
              <w:snapToGrid w:val="0"/>
              <w:ind w:firstLine="468"/>
              <w:jc w:val="center"/>
              <w:rPr>
                <w:rFonts w:hint="eastAsia" w:asciiTheme="minorEastAsia" w:hAnsiTheme="minorEastAsia" w:cstheme="minorEastAsia"/>
                <w:color w:val="000000"/>
                <w:spacing w:val="-3"/>
                <w:kern w:val="0"/>
                <w:szCs w:val="21"/>
              </w:rPr>
            </w:pPr>
          </w:p>
        </w:tc>
        <w:tc>
          <w:tcPr>
            <w:tcW w:w="682" w:type="dxa"/>
            <w:vAlign w:val="center"/>
          </w:tcPr>
          <w:p w14:paraId="4EB15C6B">
            <w:pPr>
              <w:snapToGrid w:val="0"/>
              <w:spacing w:before="65"/>
              <w:ind w:firstLine="468"/>
              <w:jc w:val="center"/>
              <w:rPr>
                <w:rFonts w:hint="eastAsia" w:asciiTheme="minorEastAsia" w:hAnsiTheme="minorEastAsia" w:cstheme="minorEastAsia"/>
                <w:color w:val="000000"/>
                <w:spacing w:val="-3"/>
                <w:kern w:val="0"/>
                <w:szCs w:val="21"/>
              </w:rPr>
            </w:pPr>
          </w:p>
        </w:tc>
        <w:tc>
          <w:tcPr>
            <w:tcW w:w="1210" w:type="dxa"/>
            <w:vAlign w:val="center"/>
          </w:tcPr>
          <w:p w14:paraId="6FA2FE6A">
            <w:pPr>
              <w:snapToGrid w:val="0"/>
              <w:spacing w:before="65"/>
              <w:ind w:firstLine="468"/>
              <w:jc w:val="center"/>
              <w:rPr>
                <w:rFonts w:hint="eastAsia" w:asciiTheme="minorEastAsia" w:hAnsiTheme="minorEastAsia" w:cstheme="minorEastAsia"/>
                <w:color w:val="000000"/>
                <w:spacing w:val="-3"/>
                <w:kern w:val="0"/>
                <w:szCs w:val="21"/>
              </w:rPr>
            </w:pPr>
          </w:p>
        </w:tc>
        <w:tc>
          <w:tcPr>
            <w:tcW w:w="1296" w:type="dxa"/>
            <w:vAlign w:val="center"/>
          </w:tcPr>
          <w:p w14:paraId="4D531594">
            <w:pPr>
              <w:snapToGrid w:val="0"/>
              <w:spacing w:before="65"/>
              <w:ind w:firstLine="504"/>
              <w:jc w:val="right"/>
              <w:rPr>
                <w:rFonts w:hint="eastAsia" w:ascii="宋体" w:hAnsi="宋体" w:eastAsia="宋体" w:cs="宋体"/>
                <w:color w:val="000000"/>
                <w:spacing w:val="6"/>
                <w:szCs w:val="21"/>
                <w:lang w:eastAsia="en-US"/>
              </w:rPr>
            </w:pPr>
          </w:p>
        </w:tc>
        <w:tc>
          <w:tcPr>
            <w:tcW w:w="885" w:type="dxa"/>
            <w:vAlign w:val="center"/>
          </w:tcPr>
          <w:p w14:paraId="1F42EBB7">
            <w:pPr>
              <w:snapToGrid w:val="0"/>
              <w:spacing w:before="65"/>
              <w:ind w:firstLine="504"/>
              <w:jc w:val="right"/>
              <w:rPr>
                <w:rFonts w:hint="eastAsia" w:ascii="宋体" w:hAnsi="宋体" w:eastAsia="宋体" w:cs="宋体"/>
                <w:color w:val="000000"/>
                <w:spacing w:val="6"/>
                <w:szCs w:val="21"/>
                <w:lang w:eastAsia="en-US"/>
              </w:rPr>
            </w:pPr>
          </w:p>
        </w:tc>
      </w:tr>
      <w:tr w14:paraId="0DF63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687" w:type="dxa"/>
            <w:vAlign w:val="center"/>
          </w:tcPr>
          <w:p w14:paraId="5A05CD0D">
            <w:pPr>
              <w:kinsoku w:val="0"/>
              <w:overflowPunct w:val="0"/>
              <w:snapToGrid w:val="0"/>
              <w:jc w:val="center"/>
              <w:rPr>
                <w:rFonts w:hint="eastAsia" w:asciiTheme="minorEastAsia" w:hAnsiTheme="minorEastAsia" w:cstheme="minorEastAsia"/>
                <w:color w:val="000000"/>
                <w:spacing w:val="-3"/>
                <w:kern w:val="0"/>
                <w:szCs w:val="21"/>
              </w:rPr>
            </w:pPr>
            <w:r>
              <w:rPr>
                <w:rFonts w:hint="eastAsia" w:asciiTheme="minorEastAsia" w:hAnsiTheme="minorEastAsia" w:cstheme="minorEastAsia"/>
                <w:color w:val="000000"/>
                <w:spacing w:val="-3"/>
                <w:kern w:val="0"/>
                <w:szCs w:val="21"/>
              </w:rPr>
              <w:t>4</w:t>
            </w:r>
          </w:p>
        </w:tc>
        <w:tc>
          <w:tcPr>
            <w:tcW w:w="1680" w:type="dxa"/>
            <w:shd w:val="clear" w:color="auto" w:fill="auto"/>
            <w:vAlign w:val="center"/>
          </w:tcPr>
          <w:p w14:paraId="23D4A9CB">
            <w:pPr>
              <w:snapToGrid w:val="0"/>
              <w:spacing w:before="65"/>
              <w:ind w:firstLine="504"/>
              <w:jc w:val="center"/>
              <w:rPr>
                <w:rFonts w:hint="eastAsia" w:ascii="宋体" w:hAnsi="宋体" w:eastAsia="宋体" w:cs="宋体"/>
                <w:color w:val="000000"/>
                <w:spacing w:val="6"/>
                <w:szCs w:val="21"/>
              </w:rPr>
            </w:pPr>
          </w:p>
        </w:tc>
        <w:tc>
          <w:tcPr>
            <w:tcW w:w="2530" w:type="dxa"/>
            <w:vAlign w:val="center"/>
          </w:tcPr>
          <w:p w14:paraId="15C244D5">
            <w:pPr>
              <w:kinsoku w:val="0"/>
              <w:overflowPunct w:val="0"/>
              <w:snapToGrid w:val="0"/>
              <w:ind w:firstLine="468"/>
              <w:jc w:val="center"/>
              <w:rPr>
                <w:rFonts w:hint="eastAsia" w:asciiTheme="minorEastAsia" w:hAnsiTheme="minorEastAsia" w:cstheme="minorEastAsia"/>
                <w:color w:val="000000"/>
                <w:spacing w:val="-3"/>
                <w:kern w:val="0"/>
                <w:szCs w:val="21"/>
              </w:rPr>
            </w:pPr>
          </w:p>
        </w:tc>
        <w:tc>
          <w:tcPr>
            <w:tcW w:w="682" w:type="dxa"/>
            <w:vAlign w:val="center"/>
          </w:tcPr>
          <w:p w14:paraId="07A97D9F">
            <w:pPr>
              <w:snapToGrid w:val="0"/>
              <w:spacing w:before="65"/>
              <w:ind w:firstLine="504"/>
              <w:jc w:val="center"/>
              <w:rPr>
                <w:rFonts w:hint="eastAsia" w:ascii="宋体" w:hAnsi="宋体" w:eastAsia="宋体" w:cs="宋体"/>
                <w:color w:val="000000"/>
                <w:spacing w:val="6"/>
                <w:szCs w:val="21"/>
                <w:lang w:eastAsia="en-US"/>
              </w:rPr>
            </w:pPr>
          </w:p>
        </w:tc>
        <w:tc>
          <w:tcPr>
            <w:tcW w:w="1210" w:type="dxa"/>
            <w:vAlign w:val="center"/>
          </w:tcPr>
          <w:p w14:paraId="146E1EDF">
            <w:pPr>
              <w:snapToGrid w:val="0"/>
              <w:spacing w:before="65"/>
              <w:ind w:firstLine="468"/>
              <w:jc w:val="center"/>
              <w:rPr>
                <w:rFonts w:hint="eastAsia" w:asciiTheme="minorEastAsia" w:hAnsiTheme="minorEastAsia" w:cstheme="minorEastAsia"/>
                <w:color w:val="000000"/>
                <w:spacing w:val="-3"/>
                <w:kern w:val="0"/>
                <w:szCs w:val="21"/>
              </w:rPr>
            </w:pPr>
          </w:p>
        </w:tc>
        <w:tc>
          <w:tcPr>
            <w:tcW w:w="1296" w:type="dxa"/>
            <w:vAlign w:val="center"/>
          </w:tcPr>
          <w:p w14:paraId="432DBB07">
            <w:pPr>
              <w:snapToGrid w:val="0"/>
              <w:spacing w:before="65"/>
              <w:ind w:firstLine="504"/>
              <w:jc w:val="right"/>
              <w:rPr>
                <w:rFonts w:hint="eastAsia" w:ascii="宋体" w:hAnsi="宋体" w:eastAsia="宋体" w:cs="宋体"/>
                <w:color w:val="000000"/>
                <w:spacing w:val="6"/>
                <w:szCs w:val="21"/>
                <w:lang w:eastAsia="en-US"/>
              </w:rPr>
            </w:pPr>
          </w:p>
        </w:tc>
        <w:tc>
          <w:tcPr>
            <w:tcW w:w="885" w:type="dxa"/>
            <w:vAlign w:val="center"/>
          </w:tcPr>
          <w:p w14:paraId="7679961A">
            <w:pPr>
              <w:snapToGrid w:val="0"/>
              <w:spacing w:before="65"/>
              <w:ind w:firstLine="504"/>
              <w:jc w:val="right"/>
              <w:rPr>
                <w:rFonts w:hint="eastAsia" w:ascii="宋体" w:hAnsi="宋体" w:eastAsia="宋体" w:cs="宋体"/>
                <w:color w:val="000000"/>
                <w:spacing w:val="6"/>
                <w:szCs w:val="21"/>
                <w:lang w:eastAsia="en-US"/>
              </w:rPr>
            </w:pPr>
          </w:p>
        </w:tc>
      </w:tr>
      <w:tr w14:paraId="02D5C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687" w:type="dxa"/>
            <w:vAlign w:val="center"/>
          </w:tcPr>
          <w:p w14:paraId="042B87F9">
            <w:pPr>
              <w:kinsoku w:val="0"/>
              <w:overflowPunct w:val="0"/>
              <w:snapToGrid w:val="0"/>
              <w:ind w:firstLine="468"/>
              <w:jc w:val="center"/>
              <w:rPr>
                <w:rFonts w:hint="eastAsia" w:asciiTheme="minorEastAsia" w:hAnsiTheme="minorEastAsia" w:cstheme="minorEastAsia"/>
                <w:color w:val="000000"/>
                <w:spacing w:val="-3"/>
                <w:kern w:val="0"/>
                <w:szCs w:val="21"/>
              </w:rPr>
            </w:pPr>
          </w:p>
        </w:tc>
        <w:tc>
          <w:tcPr>
            <w:tcW w:w="1680" w:type="dxa"/>
            <w:shd w:val="clear" w:color="auto" w:fill="auto"/>
            <w:vAlign w:val="center"/>
          </w:tcPr>
          <w:p w14:paraId="49FF1460">
            <w:pPr>
              <w:snapToGrid w:val="0"/>
              <w:spacing w:before="65"/>
              <w:ind w:firstLine="504"/>
              <w:jc w:val="center"/>
              <w:rPr>
                <w:rFonts w:hint="eastAsia" w:ascii="宋体" w:hAnsi="宋体" w:eastAsia="宋体" w:cs="宋体"/>
                <w:color w:val="000000"/>
                <w:spacing w:val="6"/>
                <w:szCs w:val="21"/>
              </w:rPr>
            </w:pPr>
          </w:p>
        </w:tc>
        <w:tc>
          <w:tcPr>
            <w:tcW w:w="2530" w:type="dxa"/>
            <w:vAlign w:val="center"/>
          </w:tcPr>
          <w:p w14:paraId="3EFD6899">
            <w:pPr>
              <w:kinsoku w:val="0"/>
              <w:overflowPunct w:val="0"/>
              <w:snapToGrid w:val="0"/>
              <w:ind w:firstLine="468"/>
              <w:jc w:val="center"/>
              <w:rPr>
                <w:rFonts w:hint="eastAsia" w:asciiTheme="minorEastAsia" w:hAnsiTheme="minorEastAsia" w:cstheme="minorEastAsia"/>
                <w:color w:val="000000"/>
                <w:spacing w:val="-3"/>
                <w:kern w:val="0"/>
                <w:szCs w:val="21"/>
              </w:rPr>
            </w:pPr>
          </w:p>
        </w:tc>
        <w:tc>
          <w:tcPr>
            <w:tcW w:w="682" w:type="dxa"/>
            <w:vAlign w:val="center"/>
          </w:tcPr>
          <w:p w14:paraId="0EE27924">
            <w:pPr>
              <w:snapToGrid w:val="0"/>
              <w:spacing w:before="65"/>
              <w:ind w:firstLine="504"/>
              <w:jc w:val="center"/>
              <w:rPr>
                <w:rFonts w:hint="eastAsia" w:ascii="宋体" w:hAnsi="宋体" w:eastAsia="宋体" w:cs="宋体"/>
                <w:color w:val="000000"/>
                <w:spacing w:val="6"/>
                <w:szCs w:val="21"/>
                <w:lang w:eastAsia="en-US"/>
              </w:rPr>
            </w:pPr>
          </w:p>
        </w:tc>
        <w:tc>
          <w:tcPr>
            <w:tcW w:w="1210" w:type="dxa"/>
            <w:vAlign w:val="center"/>
          </w:tcPr>
          <w:p w14:paraId="6445507A">
            <w:pPr>
              <w:snapToGrid w:val="0"/>
              <w:spacing w:before="65"/>
              <w:ind w:firstLine="468"/>
              <w:jc w:val="center"/>
              <w:rPr>
                <w:rFonts w:hint="eastAsia" w:asciiTheme="minorEastAsia" w:hAnsiTheme="minorEastAsia" w:cstheme="minorEastAsia"/>
                <w:color w:val="000000"/>
                <w:spacing w:val="-3"/>
                <w:kern w:val="0"/>
                <w:szCs w:val="21"/>
              </w:rPr>
            </w:pPr>
          </w:p>
        </w:tc>
        <w:tc>
          <w:tcPr>
            <w:tcW w:w="1296" w:type="dxa"/>
            <w:vAlign w:val="center"/>
          </w:tcPr>
          <w:p w14:paraId="7CD4FC77">
            <w:pPr>
              <w:snapToGrid w:val="0"/>
              <w:spacing w:before="65"/>
              <w:ind w:firstLine="504"/>
              <w:jc w:val="right"/>
              <w:rPr>
                <w:rFonts w:hint="eastAsia" w:ascii="宋体" w:hAnsi="宋体" w:eastAsia="宋体" w:cs="宋体"/>
                <w:color w:val="000000"/>
                <w:spacing w:val="6"/>
                <w:szCs w:val="21"/>
                <w:lang w:eastAsia="en-US"/>
              </w:rPr>
            </w:pPr>
          </w:p>
        </w:tc>
        <w:tc>
          <w:tcPr>
            <w:tcW w:w="885" w:type="dxa"/>
            <w:vAlign w:val="center"/>
          </w:tcPr>
          <w:p w14:paraId="620692E1">
            <w:pPr>
              <w:snapToGrid w:val="0"/>
              <w:spacing w:before="65"/>
              <w:ind w:firstLine="504"/>
              <w:jc w:val="right"/>
              <w:rPr>
                <w:rFonts w:hint="eastAsia" w:ascii="宋体" w:hAnsi="宋体" w:eastAsia="宋体" w:cs="宋体"/>
                <w:color w:val="000000"/>
                <w:spacing w:val="6"/>
                <w:szCs w:val="21"/>
                <w:lang w:eastAsia="en-US"/>
              </w:rPr>
            </w:pPr>
          </w:p>
        </w:tc>
      </w:tr>
      <w:tr w14:paraId="7EF34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687" w:type="dxa"/>
            <w:vAlign w:val="center"/>
          </w:tcPr>
          <w:p w14:paraId="6F85F0E5">
            <w:pPr>
              <w:kinsoku w:val="0"/>
              <w:overflowPunct w:val="0"/>
              <w:snapToGrid w:val="0"/>
              <w:jc w:val="center"/>
              <w:rPr>
                <w:rFonts w:hint="eastAsia" w:asciiTheme="minorEastAsia" w:hAnsiTheme="minorEastAsia" w:cstheme="minorEastAsia"/>
                <w:color w:val="000000"/>
                <w:spacing w:val="-3"/>
                <w:kern w:val="0"/>
                <w:szCs w:val="21"/>
              </w:rPr>
            </w:pPr>
            <w:r>
              <w:rPr>
                <w:rFonts w:hint="eastAsia" w:asciiTheme="minorEastAsia" w:hAnsiTheme="minorEastAsia" w:cstheme="minorEastAsia"/>
                <w:color w:val="000000"/>
                <w:spacing w:val="-3"/>
                <w:kern w:val="0"/>
                <w:szCs w:val="21"/>
              </w:rPr>
              <w:t>……</w:t>
            </w:r>
          </w:p>
        </w:tc>
        <w:tc>
          <w:tcPr>
            <w:tcW w:w="1680" w:type="dxa"/>
            <w:shd w:val="clear" w:color="auto" w:fill="auto"/>
            <w:vAlign w:val="center"/>
          </w:tcPr>
          <w:p w14:paraId="2BE69523">
            <w:pPr>
              <w:snapToGrid w:val="0"/>
              <w:spacing w:before="65"/>
              <w:jc w:val="center"/>
              <w:rPr>
                <w:rFonts w:hint="eastAsia" w:ascii="宋体" w:hAnsi="宋体" w:eastAsia="宋体" w:cs="宋体"/>
                <w:color w:val="000000"/>
                <w:spacing w:val="6"/>
                <w:szCs w:val="21"/>
              </w:rPr>
            </w:pPr>
            <w:r>
              <w:rPr>
                <w:rFonts w:hint="eastAsia" w:asciiTheme="minorEastAsia" w:hAnsiTheme="minorEastAsia" w:cstheme="minorEastAsia"/>
                <w:color w:val="000000"/>
                <w:spacing w:val="-3"/>
                <w:kern w:val="0"/>
                <w:szCs w:val="21"/>
              </w:rPr>
              <w:t>……</w:t>
            </w:r>
          </w:p>
        </w:tc>
        <w:tc>
          <w:tcPr>
            <w:tcW w:w="2530" w:type="dxa"/>
            <w:vAlign w:val="center"/>
          </w:tcPr>
          <w:p w14:paraId="0974C5A7">
            <w:pPr>
              <w:kinsoku w:val="0"/>
              <w:overflowPunct w:val="0"/>
              <w:snapToGrid w:val="0"/>
              <w:ind w:firstLine="468"/>
              <w:jc w:val="center"/>
              <w:rPr>
                <w:rFonts w:hint="eastAsia" w:asciiTheme="minorEastAsia" w:hAnsiTheme="minorEastAsia" w:cstheme="minorEastAsia"/>
                <w:color w:val="000000"/>
                <w:spacing w:val="-3"/>
                <w:kern w:val="0"/>
                <w:szCs w:val="21"/>
              </w:rPr>
            </w:pPr>
          </w:p>
        </w:tc>
        <w:tc>
          <w:tcPr>
            <w:tcW w:w="682" w:type="dxa"/>
            <w:vAlign w:val="center"/>
          </w:tcPr>
          <w:p w14:paraId="2BDCBCCA">
            <w:pPr>
              <w:snapToGrid w:val="0"/>
              <w:spacing w:before="65"/>
              <w:ind w:firstLine="504"/>
              <w:jc w:val="center"/>
              <w:rPr>
                <w:rFonts w:hint="eastAsia" w:ascii="宋体" w:hAnsi="宋体" w:eastAsia="宋体" w:cs="宋体"/>
                <w:color w:val="000000"/>
                <w:spacing w:val="6"/>
                <w:szCs w:val="21"/>
                <w:lang w:eastAsia="en-US"/>
              </w:rPr>
            </w:pPr>
          </w:p>
        </w:tc>
        <w:tc>
          <w:tcPr>
            <w:tcW w:w="1210" w:type="dxa"/>
            <w:vAlign w:val="center"/>
          </w:tcPr>
          <w:p w14:paraId="333D072B">
            <w:pPr>
              <w:snapToGrid w:val="0"/>
              <w:spacing w:before="65"/>
              <w:ind w:firstLine="468"/>
              <w:jc w:val="center"/>
              <w:rPr>
                <w:rFonts w:hint="eastAsia" w:asciiTheme="minorEastAsia" w:hAnsiTheme="minorEastAsia" w:cstheme="minorEastAsia"/>
                <w:color w:val="000000"/>
                <w:spacing w:val="-3"/>
                <w:kern w:val="0"/>
                <w:szCs w:val="21"/>
              </w:rPr>
            </w:pPr>
          </w:p>
        </w:tc>
        <w:tc>
          <w:tcPr>
            <w:tcW w:w="1296" w:type="dxa"/>
            <w:vAlign w:val="center"/>
          </w:tcPr>
          <w:p w14:paraId="60649E4A">
            <w:pPr>
              <w:snapToGrid w:val="0"/>
              <w:spacing w:before="65"/>
              <w:ind w:firstLine="504"/>
              <w:jc w:val="right"/>
              <w:rPr>
                <w:rFonts w:hint="eastAsia" w:ascii="宋体" w:hAnsi="宋体" w:eastAsia="宋体" w:cs="宋体"/>
                <w:color w:val="000000"/>
                <w:spacing w:val="6"/>
                <w:szCs w:val="21"/>
                <w:lang w:eastAsia="en-US"/>
              </w:rPr>
            </w:pPr>
          </w:p>
        </w:tc>
        <w:tc>
          <w:tcPr>
            <w:tcW w:w="885" w:type="dxa"/>
            <w:vAlign w:val="center"/>
          </w:tcPr>
          <w:p w14:paraId="233F9E92">
            <w:pPr>
              <w:snapToGrid w:val="0"/>
              <w:spacing w:before="65"/>
              <w:ind w:firstLine="504"/>
              <w:jc w:val="right"/>
              <w:rPr>
                <w:rFonts w:hint="eastAsia" w:ascii="宋体" w:hAnsi="宋体" w:eastAsia="宋体" w:cs="宋体"/>
                <w:color w:val="000000"/>
                <w:spacing w:val="6"/>
                <w:szCs w:val="21"/>
                <w:lang w:eastAsia="en-US"/>
              </w:rPr>
            </w:pPr>
          </w:p>
        </w:tc>
      </w:tr>
      <w:tr w14:paraId="1B00C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jc w:val="center"/>
        </w:trPr>
        <w:tc>
          <w:tcPr>
            <w:tcW w:w="8085" w:type="dxa"/>
            <w:gridSpan w:val="6"/>
            <w:vAlign w:val="center"/>
          </w:tcPr>
          <w:p w14:paraId="4C6A9829">
            <w:pPr>
              <w:snapToGrid w:val="0"/>
              <w:spacing w:before="65"/>
              <w:jc w:val="center"/>
              <w:rPr>
                <w:rFonts w:hint="eastAsia" w:ascii="宋体" w:hAnsi="宋体" w:eastAsia="宋体" w:cs="宋体"/>
                <w:color w:val="000000"/>
                <w:spacing w:val="6"/>
                <w:szCs w:val="21"/>
                <w:lang w:eastAsia="en-US"/>
              </w:rPr>
            </w:pPr>
            <w:r>
              <w:rPr>
                <w:rFonts w:hint="eastAsia" w:ascii="宋体" w:hAnsi="宋体" w:eastAsia="宋体" w:cs="宋体"/>
              </w:rPr>
              <w:t>投标总报价（人民币：      元）</w:t>
            </w:r>
          </w:p>
        </w:tc>
        <w:tc>
          <w:tcPr>
            <w:tcW w:w="885" w:type="dxa"/>
            <w:vAlign w:val="center"/>
          </w:tcPr>
          <w:p w14:paraId="1C635718">
            <w:pPr>
              <w:snapToGrid w:val="0"/>
              <w:spacing w:before="65"/>
              <w:jc w:val="center"/>
              <w:rPr>
                <w:rFonts w:hint="eastAsia" w:ascii="宋体" w:hAnsi="宋体" w:eastAsia="宋体" w:cs="宋体"/>
              </w:rPr>
            </w:pPr>
          </w:p>
        </w:tc>
      </w:tr>
    </w:tbl>
    <w:p w14:paraId="0231FB4D">
      <w:pPr>
        <w:pStyle w:val="10"/>
        <w:spacing w:beforeAutospacing="0" w:afterAutospacing="0" w:line="460" w:lineRule="exact"/>
        <w:ind w:firstLine="480" w:firstLineChars="200"/>
        <w:rPr>
          <w:rFonts w:hint="eastAsia" w:ascii="宋体" w:hAnsi="宋体" w:eastAsia="宋体" w:cs="宋体"/>
        </w:rPr>
      </w:pPr>
      <w:r>
        <w:rPr>
          <w:rFonts w:hint="eastAsia" w:ascii="宋体" w:hAnsi="宋体" w:eastAsia="宋体" w:cs="宋体"/>
        </w:rPr>
        <w:t>备注：</w:t>
      </w:r>
    </w:p>
    <w:p w14:paraId="67D3C32D">
      <w:pPr>
        <w:pStyle w:val="10"/>
        <w:spacing w:beforeAutospacing="0" w:afterAutospacing="0" w:line="460" w:lineRule="exact"/>
        <w:ind w:firstLine="480" w:firstLineChars="200"/>
        <w:rPr>
          <w:rFonts w:hint="eastAsia" w:ascii="宋体" w:hAnsi="宋体" w:eastAsia="宋体" w:cs="宋体"/>
        </w:rPr>
      </w:pPr>
      <w:r>
        <w:rPr>
          <w:rFonts w:hint="eastAsia" w:ascii="宋体" w:hAnsi="宋体" w:eastAsia="宋体" w:cs="宋体"/>
        </w:rPr>
        <w:t>1.投标报价采用固定单价报价方式，“投标报价”应包括采购人需求的服务（包含与服务相关的货物）价格、质量保证费用、培训费用等，项目在指定地点、环境交付、安装、调试、验收以及完成招标文件规定的全部工作内容所需费用和所有相关税金费用及为完成整个项目所产生的其它所有费用，招标文件另有规定的除外。</w:t>
      </w:r>
    </w:p>
    <w:p w14:paraId="0456684A">
      <w:pPr>
        <w:pStyle w:val="10"/>
        <w:spacing w:beforeAutospacing="0" w:afterAutospacing="0" w:line="460" w:lineRule="exact"/>
        <w:ind w:firstLine="480" w:firstLineChars="200"/>
        <w:rPr>
          <w:rFonts w:hint="eastAsia" w:ascii="宋体" w:hAnsi="宋体" w:eastAsia="宋体" w:cs="宋体"/>
        </w:rPr>
      </w:pPr>
      <w:r>
        <w:rPr>
          <w:rFonts w:hint="eastAsia" w:ascii="宋体" w:hAnsi="宋体" w:eastAsia="宋体" w:cs="宋体"/>
        </w:rPr>
        <w:t>2.“投标分项报价表”中“投标总报价”数额应当与“开标一览表”中“投标总报价”数额一致。</w:t>
      </w:r>
    </w:p>
    <w:p w14:paraId="0180ED02">
      <w:pPr>
        <w:pStyle w:val="10"/>
        <w:spacing w:beforeAutospacing="0" w:afterAutospacing="0"/>
        <w:jc w:val="center"/>
        <w:rPr>
          <w:rFonts w:hint="eastAsia" w:ascii="宋体" w:hAnsi="宋体" w:eastAsia="宋体" w:cs="宋体"/>
        </w:rPr>
      </w:pPr>
    </w:p>
    <w:p w14:paraId="6F8C9A76">
      <w:pPr>
        <w:pStyle w:val="10"/>
        <w:spacing w:beforeAutospacing="0" w:afterAutospacing="0"/>
        <w:jc w:val="center"/>
        <w:rPr>
          <w:rFonts w:hint="eastAsia" w:ascii="宋体" w:hAnsi="宋体" w:eastAsia="宋体" w:cs="宋体"/>
        </w:rPr>
      </w:pPr>
    </w:p>
    <w:p w14:paraId="702479B6">
      <w:pPr>
        <w:pStyle w:val="10"/>
        <w:spacing w:beforeAutospacing="0" w:afterAutospacing="0"/>
        <w:jc w:val="center"/>
        <w:rPr>
          <w:rFonts w:hint="eastAsia" w:ascii="宋体" w:hAnsi="宋体" w:eastAsia="宋体" w:cs="宋体"/>
        </w:rPr>
      </w:pPr>
    </w:p>
    <w:p w14:paraId="4934D2D6">
      <w:pPr>
        <w:pStyle w:val="10"/>
        <w:spacing w:beforeAutospacing="0" w:afterAutospacing="0"/>
        <w:jc w:val="center"/>
        <w:rPr>
          <w:rFonts w:hint="eastAsia" w:ascii="宋体" w:hAnsi="宋体" w:eastAsia="宋体" w:cs="宋体"/>
        </w:rPr>
      </w:pPr>
    </w:p>
    <w:p w14:paraId="5B552C6E">
      <w:pPr>
        <w:pStyle w:val="10"/>
        <w:spacing w:beforeAutospacing="0" w:afterAutospacing="0"/>
        <w:jc w:val="center"/>
        <w:rPr>
          <w:rFonts w:hint="eastAsia" w:ascii="宋体" w:hAnsi="宋体" w:eastAsia="宋体" w:cs="宋体"/>
        </w:rPr>
      </w:pPr>
    </w:p>
    <w:p w14:paraId="46B270B7">
      <w:pPr>
        <w:pStyle w:val="10"/>
        <w:spacing w:beforeAutospacing="0" w:afterAutospacing="0"/>
        <w:jc w:val="center"/>
        <w:rPr>
          <w:rFonts w:hint="eastAsia" w:ascii="宋体" w:hAnsi="宋体" w:eastAsia="宋体" w:cs="宋体"/>
        </w:rPr>
      </w:pPr>
    </w:p>
    <w:p w14:paraId="72BDFB76">
      <w:pPr>
        <w:pStyle w:val="10"/>
        <w:spacing w:beforeAutospacing="0" w:afterAutospacing="0"/>
        <w:jc w:val="center"/>
        <w:rPr>
          <w:rFonts w:hint="eastAsia" w:ascii="宋体" w:hAnsi="宋体" w:eastAsia="宋体" w:cs="宋体"/>
        </w:rPr>
      </w:pPr>
    </w:p>
    <w:p w14:paraId="42CDB79B">
      <w:pPr>
        <w:pStyle w:val="10"/>
        <w:spacing w:beforeAutospacing="0" w:afterAutospacing="0"/>
        <w:jc w:val="center"/>
        <w:rPr>
          <w:rFonts w:hint="eastAsia" w:ascii="宋体" w:hAnsi="宋体" w:eastAsia="宋体" w:cs="宋体"/>
        </w:rPr>
      </w:pPr>
    </w:p>
    <w:p w14:paraId="4A9D5171">
      <w:pPr>
        <w:pStyle w:val="10"/>
        <w:spacing w:beforeAutospacing="0" w:afterAutospacing="0"/>
        <w:jc w:val="center"/>
        <w:rPr>
          <w:rFonts w:hint="eastAsia" w:ascii="宋体" w:hAnsi="宋体" w:eastAsia="宋体" w:cs="宋体"/>
        </w:rPr>
      </w:pPr>
    </w:p>
    <w:p w14:paraId="65FB04DC">
      <w:pPr>
        <w:pStyle w:val="10"/>
        <w:spacing w:beforeAutospacing="0" w:afterAutospacing="0"/>
        <w:jc w:val="center"/>
        <w:rPr>
          <w:rFonts w:hint="eastAsia" w:ascii="宋体" w:hAnsi="宋体" w:eastAsia="宋体" w:cs="宋体"/>
        </w:rPr>
      </w:pPr>
      <w:r>
        <w:rPr>
          <w:rFonts w:hint="eastAsia" w:ascii="宋体" w:hAnsi="宋体" w:eastAsia="宋体" w:cs="宋体"/>
        </w:rPr>
        <w:t> </w:t>
      </w:r>
    </w:p>
    <w:p w14:paraId="1F9426BD">
      <w:pPr>
        <w:pStyle w:val="10"/>
        <w:spacing w:beforeAutospacing="0" w:afterAutospacing="0"/>
        <w:jc w:val="center"/>
        <w:rPr>
          <w:rFonts w:hint="eastAsia" w:ascii="宋体" w:hAnsi="宋体" w:eastAsia="宋体" w:cs="宋体"/>
        </w:rPr>
      </w:pPr>
      <w:r>
        <w:rPr>
          <w:rFonts w:hint="eastAsia" w:ascii="宋体" w:hAnsi="宋体" w:eastAsia="宋体" w:cs="宋体"/>
        </w:rPr>
        <w:t> </w:t>
      </w:r>
    </w:p>
    <w:p w14:paraId="193EC2A9">
      <w:pPr>
        <w:ind w:firstLine="638"/>
        <w:rPr>
          <w:rFonts w:hint="eastAsia" w:ascii="宋体" w:hAnsi="宋体" w:eastAsia="宋体" w:cs="宋体"/>
          <w:b/>
          <w:sz w:val="32"/>
          <w:szCs w:val="32"/>
        </w:rPr>
      </w:pPr>
      <w:r>
        <w:rPr>
          <w:rFonts w:hint="eastAsia" w:ascii="宋体" w:hAnsi="宋体" w:eastAsia="宋体" w:cs="宋体"/>
          <w:b/>
          <w:sz w:val="32"/>
          <w:szCs w:val="32"/>
        </w:rPr>
        <w:br w:type="page"/>
      </w:r>
    </w:p>
    <w:p w14:paraId="5DFEF183">
      <w:pPr>
        <w:pStyle w:val="10"/>
        <w:spacing w:beforeAutospacing="0" w:afterAutospacing="0"/>
        <w:ind w:firstLine="638"/>
        <w:jc w:val="center"/>
        <w:rPr>
          <w:rFonts w:hint="eastAsia" w:ascii="宋体" w:hAnsi="宋体" w:eastAsia="宋体" w:cs="宋体"/>
        </w:rPr>
      </w:pPr>
      <w:r>
        <w:rPr>
          <w:rFonts w:hint="eastAsia" w:ascii="宋体" w:hAnsi="宋体" w:eastAsia="宋体" w:cs="宋体"/>
          <w:b/>
          <w:sz w:val="32"/>
          <w:szCs w:val="32"/>
        </w:rPr>
        <w:t>十三、技术要求响应及偏离表</w:t>
      </w:r>
    </w:p>
    <w:tbl>
      <w:tblPr>
        <w:tblStyle w:val="11"/>
        <w:tblW w:w="8520" w:type="dxa"/>
        <w:tblCellSpacing w:w="0" w:type="dxa"/>
        <w:tblInd w:w="10" w:type="dxa"/>
        <w:tblLayout w:type="fixed"/>
        <w:tblCellMar>
          <w:top w:w="0" w:type="dxa"/>
          <w:left w:w="108" w:type="dxa"/>
          <w:bottom w:w="0" w:type="dxa"/>
          <w:right w:w="108" w:type="dxa"/>
        </w:tblCellMar>
      </w:tblPr>
      <w:tblGrid>
        <w:gridCol w:w="767"/>
        <w:gridCol w:w="2797"/>
        <w:gridCol w:w="2608"/>
        <w:gridCol w:w="1247"/>
        <w:gridCol w:w="1101"/>
      </w:tblGrid>
      <w:tr w14:paraId="625CBE6B">
        <w:tblPrEx>
          <w:tblCellMar>
            <w:top w:w="0" w:type="dxa"/>
            <w:left w:w="108" w:type="dxa"/>
            <w:bottom w:w="0" w:type="dxa"/>
            <w:right w:w="108" w:type="dxa"/>
          </w:tblCellMar>
        </w:tblPrEx>
        <w:trPr>
          <w:tblCellSpacing w:w="0" w:type="dxa"/>
        </w:trPr>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AC0A1">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序号</w:t>
            </w:r>
          </w:p>
        </w:tc>
        <w:tc>
          <w:tcPr>
            <w:tcW w:w="27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73A0F">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7BF52">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6DCE3">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F05F7">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证明</w:t>
            </w:r>
          </w:p>
          <w:p w14:paraId="25D3837B">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材料</w:t>
            </w:r>
          </w:p>
        </w:tc>
      </w:tr>
      <w:tr w14:paraId="26CA2FF4">
        <w:tblPrEx>
          <w:tblCellMar>
            <w:top w:w="0" w:type="dxa"/>
            <w:left w:w="108" w:type="dxa"/>
            <w:bottom w:w="0" w:type="dxa"/>
            <w:right w:w="108" w:type="dxa"/>
          </w:tblCellMar>
        </w:tblPrEx>
        <w:trPr>
          <w:trHeight w:val="640" w:hRule="atLeast"/>
          <w:tblCellSpacing w:w="0" w:type="dxa"/>
        </w:trPr>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0C677">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27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04228">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02BE2">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14B92">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C0AFC">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r>
      <w:tr w14:paraId="6E3DB947">
        <w:tblPrEx>
          <w:tblCellMar>
            <w:top w:w="0" w:type="dxa"/>
            <w:left w:w="108" w:type="dxa"/>
            <w:bottom w:w="0" w:type="dxa"/>
            <w:right w:w="108" w:type="dxa"/>
          </w:tblCellMar>
        </w:tblPrEx>
        <w:trPr>
          <w:trHeight w:val="640" w:hRule="atLeast"/>
          <w:tblCellSpacing w:w="0" w:type="dxa"/>
        </w:trPr>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B7335">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27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B9EB6">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A7840">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4D8B4">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27132">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r>
      <w:tr w14:paraId="67158E8C">
        <w:tblPrEx>
          <w:tblCellMar>
            <w:top w:w="0" w:type="dxa"/>
            <w:left w:w="108" w:type="dxa"/>
            <w:bottom w:w="0" w:type="dxa"/>
            <w:right w:w="108" w:type="dxa"/>
          </w:tblCellMar>
        </w:tblPrEx>
        <w:trPr>
          <w:trHeight w:val="640" w:hRule="atLeast"/>
          <w:tblCellSpacing w:w="0" w:type="dxa"/>
        </w:trPr>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D948E">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27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E77DA">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4C44E">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372EA">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BA539">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r>
      <w:tr w14:paraId="24E2529A">
        <w:tblPrEx>
          <w:tblCellMar>
            <w:top w:w="0" w:type="dxa"/>
            <w:left w:w="108" w:type="dxa"/>
            <w:bottom w:w="0" w:type="dxa"/>
            <w:right w:w="108" w:type="dxa"/>
          </w:tblCellMar>
        </w:tblPrEx>
        <w:trPr>
          <w:trHeight w:val="640" w:hRule="atLeast"/>
          <w:tblCellSpacing w:w="0" w:type="dxa"/>
        </w:trPr>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9F797">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27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D1664">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AD5DA">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EA231">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C55B1">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r>
      <w:tr w14:paraId="2D8E65E0">
        <w:tblPrEx>
          <w:tblCellMar>
            <w:top w:w="0" w:type="dxa"/>
            <w:left w:w="108" w:type="dxa"/>
            <w:bottom w:w="0" w:type="dxa"/>
            <w:right w:w="108" w:type="dxa"/>
          </w:tblCellMar>
        </w:tblPrEx>
        <w:trPr>
          <w:trHeight w:val="640" w:hRule="atLeast"/>
          <w:tblCellSpacing w:w="0" w:type="dxa"/>
        </w:trPr>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EED30">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27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DB478">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C1CB1">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C4B3E">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8F82A">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r>
      <w:tr w14:paraId="05314817">
        <w:tblPrEx>
          <w:tblCellMar>
            <w:top w:w="0" w:type="dxa"/>
            <w:left w:w="108" w:type="dxa"/>
            <w:bottom w:w="0" w:type="dxa"/>
            <w:right w:w="108" w:type="dxa"/>
          </w:tblCellMar>
        </w:tblPrEx>
        <w:trPr>
          <w:trHeight w:val="640" w:hRule="atLeast"/>
          <w:tblCellSpacing w:w="0" w:type="dxa"/>
        </w:trPr>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DCEA5">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27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DBDB9">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6CAB1">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B6185">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C3057">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r>
      <w:tr w14:paraId="7DEC18EE">
        <w:tblPrEx>
          <w:tblCellMar>
            <w:top w:w="0" w:type="dxa"/>
            <w:left w:w="108" w:type="dxa"/>
            <w:bottom w:w="0" w:type="dxa"/>
            <w:right w:w="108" w:type="dxa"/>
          </w:tblCellMar>
        </w:tblPrEx>
        <w:trPr>
          <w:trHeight w:val="640" w:hRule="atLeast"/>
          <w:tblCellSpacing w:w="0" w:type="dxa"/>
        </w:trPr>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B1189">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27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235DF">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AA981">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119E9">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BC8DC">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r>
      <w:tr w14:paraId="3BD13544">
        <w:tblPrEx>
          <w:tblCellMar>
            <w:top w:w="0" w:type="dxa"/>
            <w:left w:w="108" w:type="dxa"/>
            <w:bottom w:w="0" w:type="dxa"/>
            <w:right w:w="108" w:type="dxa"/>
          </w:tblCellMar>
        </w:tblPrEx>
        <w:trPr>
          <w:trHeight w:val="640" w:hRule="atLeast"/>
          <w:tblCellSpacing w:w="0" w:type="dxa"/>
        </w:trPr>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A4A83">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27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001EB">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37D83">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FA3C1">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3BD30">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r>
    </w:tbl>
    <w:p w14:paraId="1AB6A289">
      <w:pPr>
        <w:pStyle w:val="10"/>
        <w:spacing w:beforeAutospacing="0" w:afterAutospacing="0"/>
        <w:jc w:val="both"/>
        <w:rPr>
          <w:rFonts w:hint="eastAsia" w:ascii="宋体" w:hAnsi="宋体" w:eastAsia="宋体" w:cs="宋体"/>
        </w:rPr>
      </w:pPr>
      <w:r>
        <w:rPr>
          <w:rFonts w:hint="eastAsia" w:ascii="宋体" w:hAnsi="宋体" w:eastAsia="宋体" w:cs="宋体"/>
        </w:rPr>
        <w:t>注：行数不够，可自行添加。</w:t>
      </w:r>
    </w:p>
    <w:p w14:paraId="0DDCB2A6">
      <w:pPr>
        <w:pStyle w:val="10"/>
        <w:spacing w:beforeAutospacing="0" w:afterAutospacing="0"/>
        <w:jc w:val="center"/>
        <w:rPr>
          <w:rFonts w:hint="eastAsia" w:ascii="宋体" w:hAnsi="宋体" w:eastAsia="宋体" w:cs="宋体"/>
        </w:rPr>
      </w:pPr>
      <w:r>
        <w:rPr>
          <w:rFonts w:hint="eastAsia" w:ascii="宋体" w:hAnsi="宋体" w:eastAsia="宋体" w:cs="宋体"/>
        </w:rPr>
        <w:t> </w:t>
      </w:r>
    </w:p>
    <w:p w14:paraId="22B47D24">
      <w:pPr>
        <w:pStyle w:val="10"/>
        <w:spacing w:beforeAutospacing="0" w:afterAutospacing="0"/>
        <w:jc w:val="center"/>
        <w:rPr>
          <w:rFonts w:hint="eastAsia" w:ascii="宋体" w:hAnsi="宋体" w:eastAsia="宋体" w:cs="宋体"/>
        </w:rPr>
      </w:pPr>
      <w:r>
        <w:rPr>
          <w:rFonts w:hint="eastAsia" w:ascii="宋体" w:hAnsi="宋体" w:eastAsia="宋体" w:cs="宋体"/>
        </w:rPr>
        <w:t> </w:t>
      </w:r>
    </w:p>
    <w:p w14:paraId="213DE475">
      <w:pPr>
        <w:pStyle w:val="10"/>
        <w:spacing w:beforeAutospacing="0" w:afterAutospacing="0"/>
        <w:jc w:val="center"/>
        <w:rPr>
          <w:rFonts w:hint="eastAsia" w:ascii="宋体" w:hAnsi="宋体" w:eastAsia="宋体" w:cs="宋体"/>
        </w:rPr>
      </w:pPr>
      <w:r>
        <w:rPr>
          <w:rFonts w:hint="eastAsia" w:ascii="宋体" w:hAnsi="宋体" w:eastAsia="宋体" w:cs="宋体"/>
        </w:rPr>
        <w:t> </w:t>
      </w:r>
    </w:p>
    <w:p w14:paraId="16C5163C">
      <w:pPr>
        <w:pStyle w:val="10"/>
        <w:spacing w:beforeAutospacing="0" w:afterAutospacing="0"/>
        <w:jc w:val="center"/>
        <w:rPr>
          <w:rFonts w:hint="eastAsia" w:ascii="宋体" w:hAnsi="宋体" w:eastAsia="宋体" w:cs="宋体"/>
        </w:rPr>
      </w:pPr>
      <w:r>
        <w:rPr>
          <w:rFonts w:hint="eastAsia" w:ascii="宋体" w:hAnsi="宋体" w:eastAsia="宋体" w:cs="宋体"/>
        </w:rPr>
        <w:t> </w:t>
      </w:r>
    </w:p>
    <w:p w14:paraId="6ACA5ABC">
      <w:pPr>
        <w:pStyle w:val="10"/>
        <w:spacing w:beforeAutospacing="0" w:afterAutospacing="0"/>
        <w:jc w:val="both"/>
        <w:rPr>
          <w:rFonts w:hint="eastAsia" w:ascii="宋体" w:hAnsi="宋体" w:eastAsia="宋体" w:cs="宋体"/>
        </w:rPr>
      </w:pPr>
      <w:r>
        <w:rPr>
          <w:rFonts w:hint="eastAsia" w:ascii="宋体" w:hAnsi="宋体" w:eastAsia="宋体" w:cs="宋体"/>
        </w:rPr>
        <w:t> </w:t>
      </w:r>
    </w:p>
    <w:p w14:paraId="7A541187">
      <w:pPr>
        <w:pStyle w:val="10"/>
        <w:spacing w:beforeAutospacing="0" w:afterAutospacing="0"/>
        <w:jc w:val="both"/>
        <w:rPr>
          <w:rFonts w:hint="eastAsia" w:ascii="宋体" w:hAnsi="宋体" w:eastAsia="宋体" w:cs="宋体"/>
        </w:rPr>
      </w:pPr>
      <w:r>
        <w:rPr>
          <w:rFonts w:hint="eastAsia" w:ascii="宋体" w:hAnsi="宋体" w:eastAsia="宋体" w:cs="宋体"/>
        </w:rPr>
        <w:t> </w:t>
      </w:r>
    </w:p>
    <w:p w14:paraId="31DA8EE3">
      <w:pPr>
        <w:pStyle w:val="10"/>
        <w:spacing w:beforeAutospacing="0" w:afterAutospacing="0"/>
        <w:jc w:val="both"/>
        <w:rPr>
          <w:rFonts w:hint="eastAsia" w:ascii="宋体" w:hAnsi="宋体" w:eastAsia="宋体" w:cs="宋体"/>
        </w:rPr>
      </w:pPr>
      <w:r>
        <w:rPr>
          <w:rFonts w:hint="eastAsia" w:ascii="宋体" w:hAnsi="宋体" w:eastAsia="宋体" w:cs="宋体"/>
        </w:rPr>
        <w:t> </w:t>
      </w:r>
    </w:p>
    <w:p w14:paraId="49049948">
      <w:pPr>
        <w:pStyle w:val="10"/>
        <w:spacing w:beforeAutospacing="0" w:afterAutospacing="0"/>
        <w:jc w:val="both"/>
        <w:rPr>
          <w:rFonts w:hint="eastAsia" w:ascii="宋体" w:hAnsi="宋体" w:eastAsia="宋体" w:cs="宋体"/>
        </w:rPr>
      </w:pPr>
      <w:r>
        <w:rPr>
          <w:rFonts w:hint="eastAsia" w:ascii="宋体" w:hAnsi="宋体" w:eastAsia="宋体" w:cs="宋体"/>
        </w:rPr>
        <w:t> </w:t>
      </w:r>
    </w:p>
    <w:p w14:paraId="6FF4ABD8">
      <w:pPr>
        <w:pStyle w:val="10"/>
        <w:spacing w:beforeAutospacing="0" w:afterAutospacing="0"/>
        <w:jc w:val="both"/>
        <w:rPr>
          <w:rFonts w:hint="eastAsia" w:ascii="宋体" w:hAnsi="宋体" w:eastAsia="宋体" w:cs="宋体"/>
        </w:rPr>
      </w:pPr>
    </w:p>
    <w:p w14:paraId="5C88829E">
      <w:pPr>
        <w:pStyle w:val="10"/>
        <w:spacing w:beforeAutospacing="0" w:afterAutospacing="0"/>
        <w:jc w:val="both"/>
        <w:rPr>
          <w:rFonts w:hint="eastAsia" w:ascii="宋体" w:hAnsi="宋体" w:eastAsia="宋体" w:cs="宋体"/>
        </w:rPr>
      </w:pPr>
    </w:p>
    <w:p w14:paraId="20F4AB93">
      <w:pPr>
        <w:pStyle w:val="10"/>
        <w:spacing w:beforeAutospacing="0" w:afterAutospacing="0"/>
        <w:jc w:val="both"/>
        <w:rPr>
          <w:rFonts w:hint="eastAsia" w:ascii="宋体" w:hAnsi="宋体" w:eastAsia="宋体" w:cs="宋体"/>
        </w:rPr>
      </w:pPr>
    </w:p>
    <w:p w14:paraId="4D77F239">
      <w:pPr>
        <w:pStyle w:val="10"/>
        <w:spacing w:beforeAutospacing="0" w:afterAutospacing="0"/>
        <w:jc w:val="both"/>
        <w:rPr>
          <w:rFonts w:hint="eastAsia" w:ascii="宋体" w:hAnsi="宋体" w:eastAsia="宋体" w:cs="宋体"/>
        </w:rPr>
      </w:pPr>
    </w:p>
    <w:p w14:paraId="35185FEE">
      <w:pPr>
        <w:pStyle w:val="10"/>
        <w:spacing w:beforeAutospacing="0" w:afterAutospacing="0"/>
        <w:jc w:val="both"/>
        <w:rPr>
          <w:rFonts w:hint="eastAsia" w:ascii="宋体" w:hAnsi="宋体" w:eastAsia="宋体" w:cs="宋体"/>
        </w:rPr>
      </w:pPr>
    </w:p>
    <w:p w14:paraId="422E911D">
      <w:pPr>
        <w:pStyle w:val="10"/>
        <w:spacing w:beforeAutospacing="0" w:afterAutospacing="0"/>
        <w:jc w:val="both"/>
        <w:rPr>
          <w:rFonts w:hint="eastAsia" w:ascii="宋体" w:hAnsi="宋体" w:eastAsia="宋体" w:cs="宋体"/>
        </w:rPr>
      </w:pPr>
    </w:p>
    <w:p w14:paraId="41AE4C8D">
      <w:pPr>
        <w:pStyle w:val="10"/>
        <w:spacing w:beforeAutospacing="0" w:afterAutospacing="0"/>
        <w:jc w:val="both"/>
        <w:rPr>
          <w:rFonts w:hint="eastAsia" w:ascii="宋体" w:hAnsi="宋体" w:eastAsia="宋体" w:cs="宋体"/>
        </w:rPr>
      </w:pPr>
    </w:p>
    <w:p w14:paraId="13046D2D">
      <w:pPr>
        <w:pStyle w:val="10"/>
        <w:spacing w:beforeAutospacing="0" w:afterAutospacing="0"/>
        <w:jc w:val="both"/>
        <w:rPr>
          <w:rFonts w:hint="eastAsia" w:ascii="宋体" w:hAnsi="宋体" w:eastAsia="宋体" w:cs="宋体"/>
        </w:rPr>
      </w:pPr>
    </w:p>
    <w:p w14:paraId="1D2BF7EE">
      <w:pPr>
        <w:pStyle w:val="10"/>
        <w:spacing w:beforeAutospacing="0" w:afterAutospacing="0"/>
        <w:jc w:val="both"/>
        <w:rPr>
          <w:rFonts w:hint="eastAsia" w:ascii="宋体" w:hAnsi="宋体" w:eastAsia="宋体" w:cs="宋体"/>
        </w:rPr>
      </w:pPr>
    </w:p>
    <w:p w14:paraId="1870B1CE">
      <w:pPr>
        <w:pStyle w:val="10"/>
        <w:spacing w:beforeAutospacing="0" w:afterAutospacing="0"/>
        <w:jc w:val="both"/>
        <w:rPr>
          <w:rFonts w:hint="eastAsia" w:ascii="宋体" w:hAnsi="宋体" w:eastAsia="宋体" w:cs="宋体"/>
        </w:rPr>
      </w:pPr>
    </w:p>
    <w:p w14:paraId="1B9537CD">
      <w:pPr>
        <w:pStyle w:val="10"/>
        <w:spacing w:beforeAutospacing="0" w:afterAutospacing="0"/>
        <w:jc w:val="both"/>
        <w:rPr>
          <w:rFonts w:hint="eastAsia" w:ascii="宋体" w:hAnsi="宋体" w:eastAsia="宋体" w:cs="宋体"/>
        </w:rPr>
      </w:pPr>
    </w:p>
    <w:p w14:paraId="3EC2D073">
      <w:pPr>
        <w:pStyle w:val="10"/>
        <w:spacing w:beforeAutospacing="0" w:afterAutospacing="0"/>
        <w:jc w:val="both"/>
        <w:rPr>
          <w:rFonts w:hint="eastAsia" w:ascii="宋体" w:hAnsi="宋体" w:eastAsia="宋体" w:cs="宋体"/>
        </w:rPr>
      </w:pPr>
    </w:p>
    <w:p w14:paraId="2BEFE76C">
      <w:pPr>
        <w:pStyle w:val="10"/>
        <w:spacing w:beforeAutospacing="0" w:afterAutospacing="0"/>
        <w:jc w:val="both"/>
        <w:rPr>
          <w:rFonts w:hint="eastAsia" w:ascii="宋体" w:hAnsi="宋体" w:eastAsia="宋体" w:cs="宋体"/>
        </w:rPr>
      </w:pPr>
    </w:p>
    <w:p w14:paraId="75857724">
      <w:pPr>
        <w:pStyle w:val="10"/>
        <w:spacing w:beforeAutospacing="0" w:afterAutospacing="0"/>
        <w:jc w:val="both"/>
        <w:rPr>
          <w:rFonts w:hint="eastAsia" w:ascii="宋体" w:hAnsi="宋体" w:eastAsia="宋体" w:cs="宋体"/>
        </w:rPr>
      </w:pPr>
      <w:r>
        <w:rPr>
          <w:rFonts w:hint="eastAsia" w:ascii="宋体" w:hAnsi="宋体" w:eastAsia="宋体" w:cs="宋体"/>
        </w:rPr>
        <w:t> </w:t>
      </w:r>
    </w:p>
    <w:p w14:paraId="6C0C938E">
      <w:pPr>
        <w:pStyle w:val="10"/>
        <w:spacing w:beforeAutospacing="0" w:afterAutospacing="0"/>
        <w:jc w:val="both"/>
        <w:rPr>
          <w:rFonts w:hint="eastAsia" w:ascii="宋体" w:hAnsi="宋体" w:eastAsia="宋体" w:cs="宋体"/>
        </w:rPr>
      </w:pPr>
      <w:r>
        <w:rPr>
          <w:rFonts w:hint="eastAsia" w:ascii="宋体" w:hAnsi="宋体" w:eastAsia="宋体" w:cs="宋体"/>
        </w:rPr>
        <w:t> </w:t>
      </w:r>
    </w:p>
    <w:p w14:paraId="5DF8A80C">
      <w:pPr>
        <w:pStyle w:val="10"/>
        <w:spacing w:beforeAutospacing="0" w:afterAutospacing="0"/>
        <w:ind w:firstLine="638"/>
        <w:jc w:val="center"/>
        <w:rPr>
          <w:rFonts w:hint="eastAsia" w:ascii="宋体" w:hAnsi="宋体" w:eastAsia="宋体" w:cs="宋体"/>
        </w:rPr>
      </w:pPr>
      <w:bookmarkStart w:id="220" w:name="_Hlt26955054"/>
      <w:r>
        <w:rPr>
          <w:rFonts w:hint="eastAsia" w:ascii="宋体" w:hAnsi="宋体" w:eastAsia="宋体" w:cs="宋体"/>
          <w:b/>
          <w:sz w:val="32"/>
          <w:szCs w:val="32"/>
        </w:rPr>
        <w:t>十四、商务要求响应及偏离表</w:t>
      </w:r>
    </w:p>
    <w:tbl>
      <w:tblPr>
        <w:tblStyle w:val="11"/>
        <w:tblW w:w="8520" w:type="dxa"/>
        <w:tblCellSpacing w:w="0" w:type="dxa"/>
        <w:tblInd w:w="10" w:type="dxa"/>
        <w:tblLayout w:type="fixed"/>
        <w:tblCellMar>
          <w:top w:w="0" w:type="dxa"/>
          <w:left w:w="108" w:type="dxa"/>
          <w:bottom w:w="0" w:type="dxa"/>
          <w:right w:w="108" w:type="dxa"/>
        </w:tblCellMar>
      </w:tblPr>
      <w:tblGrid>
        <w:gridCol w:w="886"/>
        <w:gridCol w:w="2244"/>
        <w:gridCol w:w="2645"/>
        <w:gridCol w:w="1480"/>
        <w:gridCol w:w="1265"/>
      </w:tblGrid>
      <w:tr w14:paraId="5CAAF7EF">
        <w:tblPrEx>
          <w:tblCellMar>
            <w:top w:w="0" w:type="dxa"/>
            <w:left w:w="108" w:type="dxa"/>
            <w:bottom w:w="0" w:type="dxa"/>
            <w:right w:w="108" w:type="dxa"/>
          </w:tblCellMar>
        </w:tblPrEx>
        <w:trPr>
          <w:tblCellSpacing w:w="0" w:type="dxa"/>
        </w:trPr>
        <w:tc>
          <w:tcPr>
            <w:tcW w:w="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6CF20">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bookmarkStart w:id="221" w:name="_Hlt26955064"/>
            <w:bookmarkStart w:id="222" w:name="_Hlt26782999"/>
            <w:bookmarkStart w:id="223" w:name="_Hlt26609391"/>
            <w:bookmarkStart w:id="224" w:name="_Hlt26671372"/>
            <w:bookmarkStart w:id="225" w:name="_Hlt26671343"/>
            <w:bookmarkStart w:id="226" w:name="_Hlt24879081"/>
            <w:bookmarkStart w:id="227" w:name="_Hlt26580838"/>
            <w:bookmarkStart w:id="228" w:name="_Hlt26955056"/>
            <w:r>
              <w:rPr>
                <w:rFonts w:hint="eastAsia" w:ascii="宋体" w:hAnsi="宋体" w:eastAsia="宋体" w:cs="宋体"/>
              </w:rPr>
              <w:t>序号</w:t>
            </w:r>
          </w:p>
          <w:bookmarkEnd w:id="221"/>
          <w:bookmarkEnd w:id="222"/>
          <w:bookmarkEnd w:id="223"/>
          <w:bookmarkEnd w:id="224"/>
          <w:bookmarkEnd w:id="225"/>
          <w:bookmarkEnd w:id="226"/>
          <w:bookmarkEnd w:id="227"/>
          <w:bookmarkEnd w:id="228"/>
        </w:tc>
        <w:tc>
          <w:tcPr>
            <w:tcW w:w="2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4E035">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招标文件要求</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685FF">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投标响应情况</w:t>
            </w:r>
          </w:p>
        </w:tc>
        <w:tc>
          <w:tcPr>
            <w:tcW w:w="1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760B7">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超出、符合或偏离</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0EE25">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证明</w:t>
            </w:r>
          </w:p>
          <w:p w14:paraId="5DCAFC01">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材料</w:t>
            </w:r>
          </w:p>
        </w:tc>
      </w:tr>
      <w:tr w14:paraId="024222D8">
        <w:tblPrEx>
          <w:tblCellMar>
            <w:top w:w="0" w:type="dxa"/>
            <w:left w:w="108" w:type="dxa"/>
            <w:bottom w:w="0" w:type="dxa"/>
            <w:right w:w="108" w:type="dxa"/>
          </w:tblCellMar>
        </w:tblPrEx>
        <w:trPr>
          <w:trHeight w:val="640" w:hRule="atLeast"/>
          <w:tblCellSpacing w:w="0" w:type="dxa"/>
        </w:trPr>
        <w:tc>
          <w:tcPr>
            <w:tcW w:w="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D3083">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2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613C8">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4302E">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1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31D00">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FE3B6">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r>
      <w:tr w14:paraId="5674C53E">
        <w:tblPrEx>
          <w:tblCellMar>
            <w:top w:w="0" w:type="dxa"/>
            <w:left w:w="108" w:type="dxa"/>
            <w:bottom w:w="0" w:type="dxa"/>
            <w:right w:w="108" w:type="dxa"/>
          </w:tblCellMar>
        </w:tblPrEx>
        <w:trPr>
          <w:trHeight w:val="640" w:hRule="atLeast"/>
          <w:tblCellSpacing w:w="0" w:type="dxa"/>
        </w:trPr>
        <w:tc>
          <w:tcPr>
            <w:tcW w:w="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CF5EA">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2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58798">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A6733">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1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B302D">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91362">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r>
      <w:tr w14:paraId="3E007A31">
        <w:tblPrEx>
          <w:tblCellMar>
            <w:top w:w="0" w:type="dxa"/>
            <w:left w:w="108" w:type="dxa"/>
            <w:bottom w:w="0" w:type="dxa"/>
            <w:right w:w="108" w:type="dxa"/>
          </w:tblCellMar>
        </w:tblPrEx>
        <w:trPr>
          <w:trHeight w:val="640" w:hRule="atLeast"/>
          <w:tblCellSpacing w:w="0" w:type="dxa"/>
        </w:trPr>
        <w:tc>
          <w:tcPr>
            <w:tcW w:w="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F311D">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2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F1D79">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AAD5B">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1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18E82">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427C3">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r>
      <w:tr w14:paraId="08535ED4">
        <w:tblPrEx>
          <w:tblCellMar>
            <w:top w:w="0" w:type="dxa"/>
            <w:left w:w="108" w:type="dxa"/>
            <w:bottom w:w="0" w:type="dxa"/>
            <w:right w:w="108" w:type="dxa"/>
          </w:tblCellMar>
        </w:tblPrEx>
        <w:trPr>
          <w:trHeight w:val="640" w:hRule="atLeast"/>
          <w:tblCellSpacing w:w="0" w:type="dxa"/>
        </w:trPr>
        <w:tc>
          <w:tcPr>
            <w:tcW w:w="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E7CDE">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2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9D3E8">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85B6C">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1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2EF72">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735AD">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r>
      <w:tr w14:paraId="1A99F811">
        <w:tblPrEx>
          <w:tblCellMar>
            <w:top w:w="0" w:type="dxa"/>
            <w:left w:w="108" w:type="dxa"/>
            <w:bottom w:w="0" w:type="dxa"/>
            <w:right w:w="108" w:type="dxa"/>
          </w:tblCellMar>
        </w:tblPrEx>
        <w:trPr>
          <w:trHeight w:val="640" w:hRule="atLeast"/>
          <w:tblCellSpacing w:w="0" w:type="dxa"/>
        </w:trPr>
        <w:tc>
          <w:tcPr>
            <w:tcW w:w="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2CC6F">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2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39403">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37C42">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1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1D81B">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4F578">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r>
      <w:tr w14:paraId="39BE5F9F">
        <w:tblPrEx>
          <w:tblCellMar>
            <w:top w:w="0" w:type="dxa"/>
            <w:left w:w="108" w:type="dxa"/>
            <w:bottom w:w="0" w:type="dxa"/>
            <w:right w:w="108" w:type="dxa"/>
          </w:tblCellMar>
        </w:tblPrEx>
        <w:trPr>
          <w:trHeight w:val="640" w:hRule="atLeast"/>
          <w:tblCellSpacing w:w="0" w:type="dxa"/>
        </w:trPr>
        <w:tc>
          <w:tcPr>
            <w:tcW w:w="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42AB2">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2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A8808">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C7EE4">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1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74157">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6BF9F">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r>
      <w:tr w14:paraId="58FE7C0E">
        <w:tblPrEx>
          <w:tblCellMar>
            <w:top w:w="0" w:type="dxa"/>
            <w:left w:w="108" w:type="dxa"/>
            <w:bottom w:w="0" w:type="dxa"/>
            <w:right w:w="108" w:type="dxa"/>
          </w:tblCellMar>
        </w:tblPrEx>
        <w:trPr>
          <w:trHeight w:val="640" w:hRule="atLeast"/>
          <w:tblCellSpacing w:w="0" w:type="dxa"/>
        </w:trPr>
        <w:tc>
          <w:tcPr>
            <w:tcW w:w="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9531E">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2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DA971">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BB930">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1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DB1B7">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9C295">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r>
      <w:tr w14:paraId="07AEB95E">
        <w:tblPrEx>
          <w:tblCellMar>
            <w:top w:w="0" w:type="dxa"/>
            <w:left w:w="108" w:type="dxa"/>
            <w:bottom w:w="0" w:type="dxa"/>
            <w:right w:w="108" w:type="dxa"/>
          </w:tblCellMar>
        </w:tblPrEx>
        <w:trPr>
          <w:trHeight w:val="640" w:hRule="atLeast"/>
          <w:tblCellSpacing w:w="0" w:type="dxa"/>
        </w:trPr>
        <w:tc>
          <w:tcPr>
            <w:tcW w:w="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13E0D">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2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08B24">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ABBB2">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1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064F1">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3E052">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r>
    </w:tbl>
    <w:p w14:paraId="45AF4C35">
      <w:pPr>
        <w:pStyle w:val="10"/>
        <w:spacing w:beforeAutospacing="0" w:afterAutospacing="0"/>
        <w:jc w:val="both"/>
        <w:rPr>
          <w:rFonts w:hint="eastAsia" w:ascii="宋体" w:hAnsi="宋体" w:eastAsia="宋体" w:cs="宋体"/>
        </w:rPr>
      </w:pPr>
      <w:r>
        <w:rPr>
          <w:rFonts w:hint="eastAsia" w:ascii="宋体" w:hAnsi="宋体" w:eastAsia="宋体" w:cs="宋体"/>
        </w:rPr>
        <w:t>注：行数不够，可自行添加。</w:t>
      </w:r>
    </w:p>
    <w:p w14:paraId="6B3FB8B0">
      <w:pPr>
        <w:pStyle w:val="10"/>
        <w:spacing w:beforeAutospacing="0" w:afterAutospacing="0" w:line="480" w:lineRule="auto"/>
        <w:jc w:val="both"/>
        <w:rPr>
          <w:rFonts w:hint="eastAsia" w:ascii="宋体" w:hAnsi="宋体" w:eastAsia="宋体" w:cs="宋体"/>
        </w:rPr>
      </w:pPr>
      <w:r>
        <w:rPr>
          <w:rFonts w:hint="eastAsia" w:ascii="宋体" w:hAnsi="宋体" w:eastAsia="宋体" w:cs="宋体"/>
        </w:rPr>
        <w:t> </w:t>
      </w:r>
    </w:p>
    <w:p w14:paraId="1532D885">
      <w:pPr>
        <w:pStyle w:val="10"/>
        <w:spacing w:beforeAutospacing="0" w:afterAutospacing="0" w:line="480" w:lineRule="auto"/>
        <w:jc w:val="both"/>
        <w:rPr>
          <w:rFonts w:hint="eastAsia" w:ascii="宋体" w:hAnsi="宋体" w:eastAsia="宋体" w:cs="宋体"/>
        </w:rPr>
      </w:pPr>
      <w:r>
        <w:rPr>
          <w:rFonts w:hint="eastAsia" w:ascii="宋体" w:hAnsi="宋体" w:eastAsia="宋体" w:cs="宋体"/>
        </w:rPr>
        <w:t> </w:t>
      </w:r>
    </w:p>
    <w:p w14:paraId="6E5CF401">
      <w:pPr>
        <w:pStyle w:val="10"/>
        <w:spacing w:beforeAutospacing="0" w:afterAutospacing="0"/>
        <w:jc w:val="center"/>
        <w:rPr>
          <w:rFonts w:hint="eastAsia" w:ascii="宋体" w:hAnsi="宋体" w:eastAsia="宋体" w:cs="宋体"/>
        </w:rPr>
      </w:pPr>
      <w:bookmarkStart w:id="229" w:name="_Toc462564146"/>
      <w:bookmarkStart w:id="230" w:name="_Hlt26955066"/>
      <w:bookmarkStart w:id="231" w:name="_Hlt26671374"/>
      <w:bookmarkStart w:id="232" w:name="_Hlt26609389"/>
      <w:bookmarkStart w:id="233" w:name="_格式2__法定代表人授权书"/>
      <w:r>
        <w:rPr>
          <w:rFonts w:hint="eastAsia" w:ascii="宋体" w:hAnsi="宋体" w:eastAsia="宋体" w:cs="宋体"/>
        </w:rPr>
        <w:t> </w:t>
      </w:r>
    </w:p>
    <w:p w14:paraId="1EA84BE3">
      <w:pPr>
        <w:pStyle w:val="10"/>
        <w:spacing w:beforeAutospacing="0" w:afterAutospacing="0"/>
        <w:jc w:val="both"/>
        <w:rPr>
          <w:rFonts w:hint="eastAsia" w:ascii="宋体" w:hAnsi="宋体" w:eastAsia="宋体" w:cs="宋体"/>
        </w:rPr>
      </w:pPr>
      <w:r>
        <w:rPr>
          <w:rFonts w:hint="eastAsia" w:ascii="宋体" w:hAnsi="宋体" w:eastAsia="宋体" w:cs="宋体"/>
        </w:rPr>
        <w:t> </w:t>
      </w:r>
    </w:p>
    <w:p w14:paraId="0F9BF1A7">
      <w:pPr>
        <w:pStyle w:val="10"/>
        <w:spacing w:beforeAutospacing="0" w:afterAutospacing="0"/>
        <w:jc w:val="both"/>
        <w:rPr>
          <w:rFonts w:hint="eastAsia" w:ascii="宋体" w:hAnsi="宋体" w:eastAsia="宋体" w:cs="宋体"/>
        </w:rPr>
      </w:pPr>
      <w:r>
        <w:rPr>
          <w:rFonts w:hint="eastAsia" w:ascii="宋体" w:hAnsi="宋体" w:eastAsia="宋体" w:cs="宋体"/>
        </w:rPr>
        <w:t> </w:t>
      </w:r>
    </w:p>
    <w:p w14:paraId="25455833">
      <w:pPr>
        <w:pStyle w:val="10"/>
        <w:spacing w:beforeAutospacing="0" w:afterAutospacing="0"/>
        <w:jc w:val="both"/>
        <w:rPr>
          <w:rFonts w:hint="eastAsia" w:ascii="宋体" w:hAnsi="宋体" w:eastAsia="宋体" w:cs="宋体"/>
        </w:rPr>
      </w:pPr>
    </w:p>
    <w:p w14:paraId="0FEACBA2">
      <w:pPr>
        <w:pStyle w:val="10"/>
        <w:spacing w:beforeAutospacing="0" w:afterAutospacing="0"/>
        <w:jc w:val="both"/>
        <w:rPr>
          <w:rFonts w:hint="eastAsia" w:ascii="宋体" w:hAnsi="宋体" w:eastAsia="宋体" w:cs="宋体"/>
        </w:rPr>
      </w:pPr>
    </w:p>
    <w:p w14:paraId="77F84D95">
      <w:pPr>
        <w:pStyle w:val="10"/>
        <w:spacing w:beforeAutospacing="0" w:afterAutospacing="0"/>
        <w:jc w:val="both"/>
        <w:rPr>
          <w:rFonts w:hint="eastAsia" w:ascii="宋体" w:hAnsi="宋体" w:eastAsia="宋体" w:cs="宋体"/>
        </w:rPr>
      </w:pPr>
    </w:p>
    <w:p w14:paraId="3808CE9F">
      <w:pPr>
        <w:pStyle w:val="10"/>
        <w:spacing w:beforeAutospacing="0" w:afterAutospacing="0"/>
        <w:jc w:val="both"/>
        <w:rPr>
          <w:rFonts w:hint="eastAsia" w:ascii="宋体" w:hAnsi="宋体" w:eastAsia="宋体" w:cs="宋体"/>
        </w:rPr>
      </w:pPr>
    </w:p>
    <w:p w14:paraId="4DB42EEB">
      <w:pPr>
        <w:pStyle w:val="10"/>
        <w:spacing w:beforeAutospacing="0" w:afterAutospacing="0"/>
        <w:jc w:val="both"/>
        <w:rPr>
          <w:rFonts w:hint="eastAsia" w:ascii="宋体" w:hAnsi="宋体" w:eastAsia="宋体" w:cs="宋体"/>
        </w:rPr>
      </w:pPr>
    </w:p>
    <w:p w14:paraId="135DF8A9">
      <w:pPr>
        <w:pStyle w:val="10"/>
        <w:spacing w:beforeAutospacing="0" w:afterAutospacing="0"/>
        <w:jc w:val="both"/>
        <w:rPr>
          <w:rFonts w:hint="eastAsia" w:ascii="宋体" w:hAnsi="宋体" w:eastAsia="宋体" w:cs="宋体"/>
        </w:rPr>
      </w:pPr>
    </w:p>
    <w:p w14:paraId="4E5DA613">
      <w:pPr>
        <w:pStyle w:val="10"/>
        <w:spacing w:beforeAutospacing="0" w:afterAutospacing="0"/>
        <w:jc w:val="both"/>
        <w:rPr>
          <w:rFonts w:hint="eastAsia" w:ascii="宋体" w:hAnsi="宋体" w:eastAsia="宋体" w:cs="宋体"/>
        </w:rPr>
      </w:pPr>
    </w:p>
    <w:p w14:paraId="4936FC5F">
      <w:pPr>
        <w:pStyle w:val="10"/>
        <w:spacing w:beforeAutospacing="0" w:afterAutospacing="0"/>
        <w:jc w:val="both"/>
        <w:rPr>
          <w:rFonts w:hint="eastAsia" w:ascii="宋体" w:hAnsi="宋体" w:eastAsia="宋体" w:cs="宋体"/>
        </w:rPr>
      </w:pPr>
    </w:p>
    <w:p w14:paraId="42957893">
      <w:pPr>
        <w:pStyle w:val="10"/>
        <w:spacing w:beforeAutospacing="0" w:afterAutospacing="0"/>
        <w:jc w:val="both"/>
        <w:rPr>
          <w:rFonts w:hint="eastAsia" w:ascii="宋体" w:hAnsi="宋体" w:eastAsia="宋体" w:cs="宋体"/>
        </w:rPr>
      </w:pPr>
    </w:p>
    <w:p w14:paraId="3A8430B0">
      <w:pPr>
        <w:pStyle w:val="10"/>
        <w:spacing w:beforeAutospacing="0" w:afterAutospacing="0"/>
        <w:jc w:val="both"/>
        <w:rPr>
          <w:rFonts w:hint="eastAsia" w:ascii="宋体" w:hAnsi="宋体" w:eastAsia="宋体" w:cs="宋体"/>
        </w:rPr>
      </w:pPr>
    </w:p>
    <w:p w14:paraId="3052F875">
      <w:pPr>
        <w:pStyle w:val="10"/>
        <w:spacing w:beforeAutospacing="0" w:afterAutospacing="0"/>
        <w:jc w:val="both"/>
        <w:rPr>
          <w:rFonts w:hint="eastAsia" w:ascii="宋体" w:hAnsi="宋体" w:eastAsia="宋体" w:cs="宋体"/>
        </w:rPr>
      </w:pPr>
    </w:p>
    <w:p w14:paraId="3DEFB0A7">
      <w:pPr>
        <w:pStyle w:val="10"/>
        <w:spacing w:beforeAutospacing="0" w:afterAutospacing="0"/>
        <w:jc w:val="both"/>
        <w:rPr>
          <w:rFonts w:hint="eastAsia" w:ascii="宋体" w:hAnsi="宋体" w:eastAsia="宋体" w:cs="宋体"/>
        </w:rPr>
      </w:pPr>
    </w:p>
    <w:p w14:paraId="3F07353A">
      <w:pPr>
        <w:pStyle w:val="10"/>
        <w:spacing w:beforeAutospacing="0" w:afterAutospacing="0"/>
        <w:jc w:val="both"/>
        <w:rPr>
          <w:rFonts w:hint="eastAsia" w:ascii="宋体" w:hAnsi="宋体" w:eastAsia="宋体" w:cs="宋体"/>
        </w:rPr>
      </w:pPr>
    </w:p>
    <w:p w14:paraId="6F6D394D">
      <w:pPr>
        <w:pStyle w:val="10"/>
        <w:spacing w:beforeAutospacing="0" w:afterAutospacing="0"/>
        <w:jc w:val="both"/>
        <w:rPr>
          <w:rFonts w:hint="eastAsia" w:ascii="宋体" w:hAnsi="宋体" w:eastAsia="宋体" w:cs="宋体"/>
        </w:rPr>
      </w:pPr>
    </w:p>
    <w:p w14:paraId="171B75E1">
      <w:pPr>
        <w:pStyle w:val="10"/>
        <w:spacing w:beforeAutospacing="0" w:afterAutospacing="0"/>
        <w:ind w:firstLine="638"/>
        <w:jc w:val="center"/>
        <w:rPr>
          <w:rFonts w:hint="eastAsia" w:ascii="宋体" w:hAnsi="宋体" w:eastAsia="宋体" w:cs="宋体"/>
          <w:b/>
          <w:sz w:val="32"/>
          <w:szCs w:val="32"/>
        </w:rPr>
      </w:pPr>
    </w:p>
    <w:p w14:paraId="6A68D8F7">
      <w:pPr>
        <w:widowControl/>
        <w:spacing w:before="50" w:after="50"/>
        <w:ind w:firstLine="638"/>
        <w:jc w:val="center"/>
        <w:rPr>
          <w:rFonts w:hint="eastAsia" w:ascii="宋体" w:hAnsi="宋体" w:eastAsia="宋体" w:cs="宋体"/>
          <w:b/>
          <w:bCs/>
          <w:sz w:val="24"/>
        </w:rPr>
      </w:pPr>
      <w:r>
        <w:rPr>
          <w:rFonts w:hint="eastAsia" w:ascii="宋体" w:hAnsi="宋体" w:eastAsia="宋体" w:cs="宋体"/>
          <w:b/>
          <w:sz w:val="32"/>
          <w:szCs w:val="32"/>
        </w:rPr>
        <w:t>十五、</w:t>
      </w:r>
      <w:r>
        <w:rPr>
          <w:rFonts w:hint="eastAsia" w:ascii="宋体" w:hAnsi="宋体" w:eastAsia="宋体" w:cs="宋体"/>
          <w:b/>
          <w:bCs/>
          <w:sz w:val="32"/>
          <w:szCs w:val="32"/>
        </w:rPr>
        <w:t>项目实施方案等</w:t>
      </w:r>
    </w:p>
    <w:p w14:paraId="1C2C8E77">
      <w:pPr>
        <w:pStyle w:val="10"/>
        <w:tabs>
          <w:tab w:val="left" w:pos="2160"/>
        </w:tabs>
        <w:spacing w:beforeAutospacing="0" w:afterAutospacing="0"/>
        <w:jc w:val="both"/>
        <w:rPr>
          <w:rFonts w:hint="eastAsia" w:ascii="宋体" w:hAnsi="宋体" w:eastAsia="宋体" w:cs="宋体"/>
        </w:rPr>
      </w:pPr>
    </w:p>
    <w:p w14:paraId="60B68F3B">
      <w:pPr>
        <w:widowControl/>
        <w:spacing w:line="499" w:lineRule="atLeast"/>
        <w:ind w:firstLine="636"/>
        <w:rPr>
          <w:rFonts w:hint="eastAsia" w:ascii="宋体" w:hAnsi="宋体" w:eastAsia="宋体" w:cs="宋体"/>
          <w:sz w:val="32"/>
          <w:szCs w:val="32"/>
        </w:rPr>
      </w:pPr>
    </w:p>
    <w:p w14:paraId="3B7D1737">
      <w:pPr>
        <w:widowControl/>
        <w:spacing w:line="499" w:lineRule="atLeast"/>
        <w:ind w:firstLine="636"/>
        <w:rPr>
          <w:rFonts w:hint="eastAsia" w:ascii="宋体" w:hAnsi="宋体" w:eastAsia="宋体" w:cs="宋体"/>
          <w:sz w:val="32"/>
          <w:szCs w:val="32"/>
        </w:rPr>
      </w:pPr>
    </w:p>
    <w:p w14:paraId="1A083894">
      <w:pPr>
        <w:widowControl/>
        <w:spacing w:line="499" w:lineRule="atLeast"/>
        <w:ind w:firstLine="636"/>
        <w:rPr>
          <w:rFonts w:hint="eastAsia" w:ascii="宋体" w:hAnsi="宋体" w:eastAsia="宋体" w:cs="宋体"/>
          <w:sz w:val="32"/>
          <w:szCs w:val="32"/>
        </w:rPr>
      </w:pPr>
    </w:p>
    <w:p w14:paraId="4E65587B">
      <w:pPr>
        <w:widowControl/>
        <w:spacing w:line="499" w:lineRule="atLeast"/>
        <w:ind w:firstLine="636"/>
        <w:rPr>
          <w:rFonts w:hint="eastAsia" w:ascii="宋体" w:hAnsi="宋体" w:eastAsia="宋体" w:cs="宋体"/>
          <w:sz w:val="32"/>
          <w:szCs w:val="32"/>
        </w:rPr>
      </w:pPr>
    </w:p>
    <w:p w14:paraId="2746ECB6">
      <w:pPr>
        <w:widowControl/>
        <w:spacing w:line="499" w:lineRule="atLeast"/>
        <w:ind w:firstLine="636"/>
        <w:rPr>
          <w:rFonts w:hint="eastAsia" w:ascii="宋体" w:hAnsi="宋体" w:eastAsia="宋体" w:cs="宋体"/>
          <w:sz w:val="32"/>
          <w:szCs w:val="32"/>
        </w:rPr>
      </w:pPr>
    </w:p>
    <w:p w14:paraId="5514E3E0">
      <w:pPr>
        <w:widowControl/>
        <w:spacing w:line="499" w:lineRule="atLeast"/>
        <w:ind w:firstLine="636"/>
        <w:rPr>
          <w:rFonts w:hint="eastAsia" w:ascii="宋体" w:hAnsi="宋体" w:eastAsia="宋体" w:cs="宋体"/>
          <w:sz w:val="32"/>
          <w:szCs w:val="32"/>
        </w:rPr>
      </w:pPr>
    </w:p>
    <w:p w14:paraId="654D8048">
      <w:pPr>
        <w:widowControl/>
        <w:spacing w:line="499" w:lineRule="atLeast"/>
        <w:ind w:firstLine="636"/>
        <w:rPr>
          <w:rFonts w:hint="eastAsia" w:ascii="宋体" w:hAnsi="宋体" w:eastAsia="宋体" w:cs="宋体"/>
          <w:sz w:val="32"/>
          <w:szCs w:val="32"/>
        </w:rPr>
      </w:pPr>
    </w:p>
    <w:p w14:paraId="0521AD80">
      <w:pPr>
        <w:widowControl/>
        <w:spacing w:line="499" w:lineRule="atLeast"/>
        <w:ind w:firstLine="636"/>
        <w:rPr>
          <w:rFonts w:hint="eastAsia" w:ascii="宋体" w:hAnsi="宋体" w:eastAsia="宋体" w:cs="宋体"/>
          <w:sz w:val="32"/>
          <w:szCs w:val="32"/>
        </w:rPr>
      </w:pPr>
    </w:p>
    <w:p w14:paraId="5E99A851">
      <w:pPr>
        <w:widowControl/>
        <w:spacing w:line="499" w:lineRule="atLeast"/>
        <w:ind w:firstLine="636"/>
        <w:rPr>
          <w:rFonts w:hint="eastAsia" w:ascii="宋体" w:hAnsi="宋体" w:eastAsia="宋体" w:cs="宋体"/>
          <w:sz w:val="32"/>
          <w:szCs w:val="32"/>
        </w:rPr>
      </w:pPr>
    </w:p>
    <w:p w14:paraId="0A9D2D3B">
      <w:pPr>
        <w:widowControl/>
        <w:spacing w:line="499" w:lineRule="atLeast"/>
        <w:ind w:firstLine="636"/>
        <w:rPr>
          <w:rFonts w:hint="eastAsia" w:ascii="宋体" w:hAnsi="宋体" w:eastAsia="宋体" w:cs="宋体"/>
          <w:sz w:val="32"/>
          <w:szCs w:val="32"/>
        </w:rPr>
      </w:pPr>
    </w:p>
    <w:p w14:paraId="11C6F21D">
      <w:pPr>
        <w:widowControl/>
        <w:spacing w:line="499" w:lineRule="atLeast"/>
        <w:ind w:firstLine="636"/>
        <w:rPr>
          <w:rFonts w:hint="eastAsia" w:ascii="宋体" w:hAnsi="宋体" w:eastAsia="宋体" w:cs="宋体"/>
          <w:sz w:val="32"/>
          <w:szCs w:val="32"/>
        </w:rPr>
      </w:pPr>
    </w:p>
    <w:p w14:paraId="33DD7A67">
      <w:pPr>
        <w:widowControl/>
        <w:spacing w:line="499" w:lineRule="atLeast"/>
        <w:ind w:firstLine="636"/>
        <w:rPr>
          <w:rFonts w:hint="eastAsia" w:ascii="宋体" w:hAnsi="宋体" w:eastAsia="宋体" w:cs="宋体"/>
          <w:sz w:val="32"/>
          <w:szCs w:val="32"/>
        </w:rPr>
      </w:pPr>
    </w:p>
    <w:p w14:paraId="5CAF3C02">
      <w:pPr>
        <w:widowControl/>
        <w:spacing w:line="499" w:lineRule="atLeast"/>
        <w:ind w:firstLine="636"/>
        <w:rPr>
          <w:rFonts w:hint="eastAsia" w:ascii="宋体" w:hAnsi="宋体" w:eastAsia="宋体" w:cs="宋体"/>
          <w:sz w:val="32"/>
          <w:szCs w:val="32"/>
        </w:rPr>
      </w:pPr>
    </w:p>
    <w:p w14:paraId="790C31A7">
      <w:pPr>
        <w:widowControl/>
        <w:spacing w:line="499" w:lineRule="atLeast"/>
        <w:ind w:firstLine="636"/>
        <w:rPr>
          <w:rFonts w:hint="eastAsia" w:ascii="宋体" w:hAnsi="宋体" w:eastAsia="宋体" w:cs="宋体"/>
          <w:sz w:val="32"/>
          <w:szCs w:val="32"/>
        </w:rPr>
      </w:pPr>
    </w:p>
    <w:p w14:paraId="27EBC9CD">
      <w:pPr>
        <w:widowControl/>
        <w:spacing w:line="499" w:lineRule="atLeast"/>
        <w:ind w:firstLine="636"/>
        <w:rPr>
          <w:rFonts w:hint="eastAsia" w:ascii="宋体" w:hAnsi="宋体" w:eastAsia="宋体" w:cs="宋体"/>
          <w:sz w:val="32"/>
          <w:szCs w:val="32"/>
        </w:rPr>
      </w:pPr>
    </w:p>
    <w:p w14:paraId="6C8A1BA8">
      <w:pPr>
        <w:widowControl/>
        <w:spacing w:line="499" w:lineRule="atLeast"/>
        <w:ind w:firstLine="636"/>
        <w:rPr>
          <w:rFonts w:hint="eastAsia" w:ascii="宋体" w:hAnsi="宋体" w:eastAsia="宋体" w:cs="宋体"/>
          <w:sz w:val="32"/>
          <w:szCs w:val="32"/>
        </w:rPr>
      </w:pPr>
    </w:p>
    <w:p w14:paraId="1CA05882">
      <w:pPr>
        <w:widowControl/>
        <w:spacing w:line="499" w:lineRule="atLeast"/>
        <w:ind w:firstLine="636"/>
        <w:rPr>
          <w:rFonts w:hint="eastAsia" w:ascii="宋体" w:hAnsi="宋体" w:eastAsia="宋体" w:cs="宋体"/>
          <w:sz w:val="32"/>
          <w:szCs w:val="32"/>
        </w:rPr>
      </w:pPr>
    </w:p>
    <w:p w14:paraId="6A84FD16">
      <w:pPr>
        <w:widowControl/>
        <w:spacing w:line="499" w:lineRule="atLeast"/>
        <w:ind w:firstLine="636"/>
        <w:rPr>
          <w:rFonts w:hint="eastAsia" w:ascii="宋体" w:hAnsi="宋体" w:eastAsia="宋体" w:cs="宋体"/>
          <w:sz w:val="32"/>
          <w:szCs w:val="32"/>
        </w:rPr>
      </w:pPr>
    </w:p>
    <w:p w14:paraId="404089A1">
      <w:pPr>
        <w:widowControl/>
        <w:spacing w:line="499" w:lineRule="atLeast"/>
        <w:ind w:firstLine="636"/>
        <w:rPr>
          <w:rFonts w:hint="eastAsia" w:ascii="宋体" w:hAnsi="宋体" w:eastAsia="宋体" w:cs="宋体"/>
          <w:sz w:val="32"/>
          <w:szCs w:val="32"/>
        </w:rPr>
      </w:pPr>
    </w:p>
    <w:p w14:paraId="0A4C23CE">
      <w:pPr>
        <w:spacing w:line="360" w:lineRule="auto"/>
        <w:ind w:firstLine="638"/>
        <w:jc w:val="center"/>
        <w:rPr>
          <w:rFonts w:hint="eastAsia" w:ascii="宋体" w:hAnsi="宋体" w:eastAsia="宋体" w:cs="宋体"/>
          <w:b/>
          <w:bCs/>
          <w:sz w:val="32"/>
          <w:szCs w:val="32"/>
        </w:rPr>
      </w:pPr>
    </w:p>
    <w:p w14:paraId="26B5C22E">
      <w:pPr>
        <w:spacing w:line="360" w:lineRule="auto"/>
        <w:ind w:firstLine="638"/>
        <w:jc w:val="center"/>
        <w:rPr>
          <w:rFonts w:hint="eastAsia" w:ascii="宋体" w:hAnsi="宋体" w:eastAsia="宋体" w:cs="宋体"/>
          <w:b/>
          <w:bCs/>
          <w:szCs w:val="21"/>
        </w:rPr>
      </w:pPr>
      <w:r>
        <w:rPr>
          <w:rFonts w:hint="eastAsia" w:ascii="宋体" w:hAnsi="宋体" w:eastAsia="宋体" w:cs="宋体"/>
          <w:b/>
          <w:bCs/>
          <w:sz w:val="32"/>
          <w:szCs w:val="32"/>
        </w:rPr>
        <w:t>十六、投标（响应）保证承诺书</w:t>
      </w:r>
    </w:p>
    <w:p w14:paraId="445801EE">
      <w:pPr>
        <w:spacing w:line="360" w:lineRule="auto"/>
        <w:ind w:firstLine="478"/>
        <w:jc w:val="center"/>
        <w:rPr>
          <w:rFonts w:hint="eastAsia" w:ascii="宋体" w:hAnsi="宋体" w:eastAsia="宋体" w:cs="宋体"/>
          <w:b/>
          <w:bCs/>
          <w:szCs w:val="21"/>
        </w:rPr>
      </w:pPr>
    </w:p>
    <w:p w14:paraId="7309E022">
      <w:pPr>
        <w:spacing w:line="360" w:lineRule="auto"/>
        <w:jc w:val="left"/>
        <w:rPr>
          <w:rFonts w:hint="eastAsia" w:ascii="宋体" w:hAnsi="宋体" w:eastAsia="宋体" w:cs="宋体"/>
          <w:sz w:val="24"/>
        </w:rPr>
      </w:pPr>
      <w:r>
        <w:rPr>
          <w:rFonts w:hint="eastAsia" w:ascii="宋体" w:hAnsi="宋体" w:eastAsia="宋体" w:cs="宋体"/>
          <w:sz w:val="24"/>
        </w:rPr>
        <w:t>致：</w:t>
      </w:r>
      <w:r>
        <w:rPr>
          <w:rFonts w:hint="eastAsia" w:ascii="宋体" w:hAnsi="宋体" w:eastAsia="宋体" w:cs="宋体"/>
          <w:sz w:val="24"/>
          <w:u w:val="single"/>
        </w:rPr>
        <w:t>（采购代理机构名称）</w:t>
      </w:r>
    </w:p>
    <w:p w14:paraId="191BA34D">
      <w:pPr>
        <w:spacing w:line="360" w:lineRule="auto"/>
        <w:ind w:firstLine="476"/>
        <w:jc w:val="left"/>
        <w:rPr>
          <w:rFonts w:hint="eastAsia" w:ascii="宋体" w:hAnsi="宋体" w:eastAsia="宋体" w:cs="宋体"/>
          <w:sz w:val="24"/>
        </w:rPr>
      </w:pPr>
      <w:r>
        <w:rPr>
          <w:rFonts w:hint="eastAsia" w:ascii="宋体" w:hAnsi="宋体" w:eastAsia="宋体" w:cs="宋体"/>
          <w:sz w:val="24"/>
        </w:rPr>
        <w:t>我（单位/本人，以下统称我单位）自愿参加</w:t>
      </w:r>
      <w:r>
        <w:rPr>
          <w:rFonts w:hint="eastAsia" w:ascii="宋体" w:hAnsi="宋体" w:eastAsia="宋体" w:cs="宋体"/>
          <w:sz w:val="24"/>
          <w:u w:val="single"/>
        </w:rPr>
        <w:t>（项目名称和项目编号）</w:t>
      </w:r>
      <w:r>
        <w:rPr>
          <w:rFonts w:hint="eastAsia" w:ascii="宋体" w:hAnsi="宋体" w:eastAsia="宋体" w:cs="宋体"/>
          <w:sz w:val="24"/>
        </w:rPr>
        <w:t>的投标（响应）,并做出如下承诺：</w:t>
      </w:r>
    </w:p>
    <w:p w14:paraId="16B2A92C">
      <w:pPr>
        <w:spacing w:line="360" w:lineRule="auto"/>
        <w:ind w:firstLine="476"/>
        <w:jc w:val="left"/>
        <w:rPr>
          <w:rFonts w:hint="eastAsia" w:ascii="宋体" w:hAnsi="宋体" w:eastAsia="宋体" w:cs="宋体"/>
          <w:sz w:val="24"/>
        </w:rPr>
      </w:pPr>
      <w:r>
        <w:rPr>
          <w:rFonts w:hint="eastAsia" w:ascii="宋体" w:hAnsi="宋体" w:eastAsia="宋体" w:cs="宋体"/>
          <w:sz w:val="24"/>
        </w:rPr>
        <w:t>一、除不可抗力外，我单位如果发生以下行为，将在行为发生的10个工作日内，向贵方</w:t>
      </w:r>
      <w:r>
        <w:rPr>
          <w:rFonts w:hint="eastAsia" w:ascii="宋体" w:hAnsi="宋体" w:eastAsia="宋体" w:cs="宋体"/>
          <w:sz w:val="24"/>
          <w:u w:val="single"/>
        </w:rPr>
        <w:t>（或采购人）</w:t>
      </w:r>
      <w:r>
        <w:rPr>
          <w:rFonts w:hint="eastAsia" w:ascii="宋体" w:hAnsi="宋体" w:eastAsia="宋体" w:cs="宋体"/>
          <w:sz w:val="24"/>
        </w:rPr>
        <w:t>支付本采购文件公布的预算金额（或最高限价）的2%作为违约赔偿金（数量不确定的单价采购须约定具体金额）。</w:t>
      </w:r>
    </w:p>
    <w:p w14:paraId="0BF2714B">
      <w:pPr>
        <w:spacing w:line="360" w:lineRule="auto"/>
        <w:ind w:firstLine="476"/>
        <w:jc w:val="left"/>
        <w:rPr>
          <w:rFonts w:hint="eastAsia" w:ascii="宋体" w:hAnsi="宋体" w:eastAsia="宋体" w:cs="宋体"/>
          <w:sz w:val="24"/>
        </w:rPr>
      </w:pPr>
      <w:r>
        <w:rPr>
          <w:rFonts w:hint="eastAsia" w:ascii="宋体" w:hAnsi="宋体" w:eastAsia="宋体" w:cs="宋体"/>
          <w:sz w:val="24"/>
        </w:rPr>
        <w:t>1.自投标（响应）截止时间至本项目发布中标（成交）公告为止，撤销投标（响应）；</w:t>
      </w:r>
    </w:p>
    <w:p w14:paraId="50EA0BE3">
      <w:pPr>
        <w:spacing w:line="360" w:lineRule="auto"/>
        <w:ind w:firstLine="476"/>
        <w:jc w:val="left"/>
        <w:rPr>
          <w:rFonts w:hint="eastAsia" w:ascii="宋体" w:hAnsi="宋体" w:eastAsia="宋体" w:cs="宋体"/>
          <w:sz w:val="24"/>
        </w:rPr>
      </w:pPr>
      <w:r>
        <w:rPr>
          <w:rFonts w:hint="eastAsia" w:ascii="宋体" w:hAnsi="宋体" w:eastAsia="宋体" w:cs="宋体"/>
          <w:sz w:val="24"/>
        </w:rPr>
        <w:t>2.中标（成交）后不依法与采购人签订合同；</w:t>
      </w:r>
    </w:p>
    <w:p w14:paraId="0F868C58">
      <w:pPr>
        <w:spacing w:line="360" w:lineRule="auto"/>
        <w:ind w:firstLine="476"/>
        <w:jc w:val="left"/>
        <w:rPr>
          <w:rFonts w:hint="eastAsia" w:ascii="宋体" w:hAnsi="宋体" w:eastAsia="宋体" w:cs="宋体"/>
          <w:sz w:val="24"/>
        </w:rPr>
      </w:pPr>
      <w:r>
        <w:rPr>
          <w:rFonts w:hint="eastAsia" w:ascii="宋体" w:hAnsi="宋体" w:eastAsia="宋体" w:cs="宋体"/>
          <w:sz w:val="24"/>
        </w:rPr>
        <w:t>3.中标（成交）后不按本采购文件规定向采购人提交履约保证金；</w:t>
      </w:r>
    </w:p>
    <w:p w14:paraId="702F2FF0">
      <w:pPr>
        <w:spacing w:line="360" w:lineRule="auto"/>
        <w:ind w:firstLine="476"/>
        <w:jc w:val="left"/>
        <w:rPr>
          <w:rFonts w:hint="eastAsia" w:ascii="宋体" w:hAnsi="宋体" w:eastAsia="宋体" w:cs="宋体"/>
          <w:sz w:val="24"/>
        </w:rPr>
      </w:pPr>
      <w:r>
        <w:rPr>
          <w:rFonts w:hint="eastAsia" w:ascii="宋体" w:hAnsi="宋体" w:eastAsia="宋体" w:cs="宋体"/>
          <w:sz w:val="24"/>
        </w:rPr>
        <w:t>4.中标（成交）后不按本采购文件规定向贵方缴纳采购代理费。</w:t>
      </w:r>
    </w:p>
    <w:p w14:paraId="0C0B37DD">
      <w:pPr>
        <w:spacing w:line="360" w:lineRule="auto"/>
        <w:ind w:firstLine="476"/>
        <w:jc w:val="left"/>
        <w:rPr>
          <w:rFonts w:hint="eastAsia" w:ascii="宋体" w:hAnsi="宋体" w:eastAsia="宋体" w:cs="宋体"/>
          <w:sz w:val="24"/>
        </w:rPr>
      </w:pPr>
      <w:r>
        <w:rPr>
          <w:rFonts w:hint="eastAsia" w:ascii="宋体" w:hAnsi="宋体" w:eastAsia="宋体" w:cs="宋体"/>
          <w:sz w:val="24"/>
        </w:rPr>
        <w:t>二、我单位知晓上述行为的法律后果，承认本承诺书作为贵方</w:t>
      </w:r>
      <w:r>
        <w:rPr>
          <w:rFonts w:hint="eastAsia" w:ascii="宋体" w:hAnsi="宋体" w:eastAsia="宋体" w:cs="宋体"/>
          <w:sz w:val="24"/>
          <w:u w:val="single"/>
        </w:rPr>
        <w:t>（或采购人）</w:t>
      </w:r>
      <w:r>
        <w:rPr>
          <w:rFonts w:hint="eastAsia" w:ascii="宋体" w:hAnsi="宋体" w:eastAsia="宋体" w:cs="宋体"/>
          <w:sz w:val="24"/>
        </w:rPr>
        <w:t>要求我单位履行违约赔偿义务的依据作用。</w:t>
      </w:r>
    </w:p>
    <w:p w14:paraId="0CC5A1E3">
      <w:pPr>
        <w:spacing w:line="360" w:lineRule="auto"/>
        <w:ind w:firstLine="476"/>
        <w:jc w:val="left"/>
        <w:rPr>
          <w:rFonts w:hint="eastAsia" w:ascii="宋体" w:hAnsi="宋体" w:eastAsia="宋体" w:cs="宋体"/>
          <w:sz w:val="24"/>
        </w:rPr>
      </w:pPr>
    </w:p>
    <w:p w14:paraId="22B350C8">
      <w:pPr>
        <w:spacing w:line="360" w:lineRule="auto"/>
        <w:jc w:val="left"/>
        <w:rPr>
          <w:rFonts w:hint="eastAsia" w:ascii="宋体" w:hAnsi="宋体" w:eastAsia="宋体" w:cs="宋体"/>
          <w:sz w:val="24"/>
        </w:rPr>
      </w:pPr>
    </w:p>
    <w:p w14:paraId="5C77E651">
      <w:pPr>
        <w:spacing w:line="360" w:lineRule="auto"/>
        <w:ind w:firstLine="420" w:firstLineChars="175"/>
        <w:jc w:val="left"/>
        <w:rPr>
          <w:rFonts w:hint="eastAsia" w:ascii="宋体" w:hAnsi="宋体" w:eastAsia="宋体" w:cs="宋体"/>
          <w:sz w:val="24"/>
        </w:rPr>
      </w:pPr>
      <w:r>
        <w:rPr>
          <w:rFonts w:hint="eastAsia" w:ascii="宋体" w:hAnsi="宋体" w:eastAsia="宋体" w:cs="宋体"/>
          <w:sz w:val="24"/>
        </w:rPr>
        <w:t>投标人（盖单位公章)：</w:t>
      </w:r>
    </w:p>
    <w:p w14:paraId="030F16E6">
      <w:pPr>
        <w:spacing w:line="360" w:lineRule="auto"/>
        <w:ind w:firstLine="420" w:firstLineChars="175"/>
        <w:jc w:val="left"/>
        <w:rPr>
          <w:rFonts w:hint="eastAsia" w:ascii="宋体" w:hAnsi="宋体" w:eastAsia="宋体" w:cs="宋体"/>
          <w:sz w:val="24"/>
        </w:rPr>
      </w:pPr>
      <w:r>
        <w:rPr>
          <w:rFonts w:hint="eastAsia" w:ascii="宋体" w:hAnsi="宋体" w:eastAsia="宋体" w:cs="宋体"/>
          <w:sz w:val="24"/>
        </w:rPr>
        <w:t>地址：</w:t>
      </w:r>
    </w:p>
    <w:p w14:paraId="00175D7A">
      <w:pPr>
        <w:spacing w:line="360" w:lineRule="auto"/>
        <w:ind w:firstLine="420" w:firstLineChars="175"/>
        <w:jc w:val="left"/>
        <w:rPr>
          <w:rFonts w:hint="eastAsia" w:ascii="宋体" w:hAnsi="宋体" w:eastAsia="宋体" w:cs="宋体"/>
          <w:sz w:val="24"/>
        </w:rPr>
      </w:pPr>
      <w:r>
        <w:rPr>
          <w:rFonts w:hint="eastAsia" w:ascii="宋体" w:hAnsi="宋体" w:eastAsia="宋体" w:cs="宋体"/>
          <w:sz w:val="24"/>
        </w:rPr>
        <w:t>电话：</w:t>
      </w:r>
    </w:p>
    <w:p w14:paraId="2AF4859A">
      <w:pPr>
        <w:spacing w:line="360" w:lineRule="auto"/>
        <w:ind w:firstLine="420" w:firstLineChars="175"/>
        <w:jc w:val="left"/>
        <w:rPr>
          <w:rFonts w:hint="eastAsia" w:ascii="宋体" w:hAnsi="宋体" w:eastAsia="宋体" w:cs="宋体"/>
          <w:sz w:val="24"/>
        </w:rPr>
      </w:pPr>
      <w:r>
        <w:rPr>
          <w:rFonts w:hint="eastAsia" w:ascii="宋体" w:hAnsi="宋体" w:eastAsia="宋体" w:cs="宋体"/>
          <w:sz w:val="24"/>
        </w:rPr>
        <w:t>传真：</w:t>
      </w:r>
    </w:p>
    <w:p w14:paraId="76D57936">
      <w:pPr>
        <w:spacing w:line="360" w:lineRule="auto"/>
        <w:ind w:firstLine="420" w:firstLineChars="175"/>
        <w:jc w:val="left"/>
        <w:rPr>
          <w:rFonts w:hint="eastAsia" w:ascii="宋体" w:hAnsi="宋体" w:eastAsia="宋体" w:cs="宋体"/>
          <w:sz w:val="24"/>
        </w:rPr>
      </w:pPr>
      <w:r>
        <w:rPr>
          <w:rFonts w:hint="eastAsia" w:ascii="宋体" w:hAnsi="宋体" w:eastAsia="宋体" w:cs="宋体"/>
          <w:sz w:val="24"/>
        </w:rPr>
        <w:t>电子邮件：</w:t>
      </w:r>
    </w:p>
    <w:p w14:paraId="67F20C43">
      <w:pPr>
        <w:spacing w:line="360" w:lineRule="auto"/>
        <w:ind w:firstLine="420" w:firstLineChars="175"/>
        <w:jc w:val="left"/>
        <w:rPr>
          <w:rFonts w:hint="eastAsia" w:ascii="宋体" w:hAnsi="宋体" w:eastAsia="宋体" w:cs="宋体"/>
          <w:sz w:val="24"/>
        </w:rPr>
      </w:pPr>
      <w:r>
        <w:rPr>
          <w:rFonts w:hint="eastAsia" w:ascii="宋体" w:hAnsi="宋体" w:eastAsia="宋体" w:cs="宋体"/>
          <w:sz w:val="24"/>
        </w:rPr>
        <w:t>邮编：</w:t>
      </w:r>
    </w:p>
    <w:p w14:paraId="0B63FFC0">
      <w:pPr>
        <w:spacing w:line="360" w:lineRule="auto"/>
        <w:ind w:firstLine="420" w:firstLineChars="175"/>
        <w:jc w:val="left"/>
        <w:rPr>
          <w:rFonts w:hint="eastAsia" w:ascii="宋体" w:hAnsi="宋体" w:eastAsia="宋体" w:cs="宋体"/>
          <w:sz w:val="24"/>
        </w:rPr>
      </w:pPr>
      <w:r>
        <w:rPr>
          <w:rFonts w:hint="eastAsia" w:ascii="宋体" w:hAnsi="宋体" w:eastAsia="宋体" w:cs="宋体"/>
          <w:sz w:val="24"/>
        </w:rPr>
        <w:t>法定代表人或委托代理人(签字或盖章)：</w:t>
      </w:r>
    </w:p>
    <w:p w14:paraId="7AA78924">
      <w:pPr>
        <w:widowControl/>
        <w:spacing w:line="499" w:lineRule="atLeast"/>
        <w:ind w:firstLine="420" w:firstLineChars="175"/>
        <w:rPr>
          <w:rFonts w:hint="eastAsia" w:ascii="宋体" w:hAnsi="宋体" w:eastAsia="宋体" w:cs="宋体"/>
          <w:b/>
          <w:bCs/>
          <w:sz w:val="24"/>
        </w:rPr>
      </w:pPr>
      <w:r>
        <w:rPr>
          <w:rFonts w:hint="eastAsia" w:ascii="宋体" w:hAnsi="宋体" w:eastAsia="宋体" w:cs="宋体"/>
          <w:sz w:val="24"/>
        </w:rPr>
        <w:t>日期：</w:t>
      </w:r>
      <w:r>
        <w:rPr>
          <w:rFonts w:hint="eastAsia" w:ascii="宋体" w:hAnsi="宋体" w:eastAsia="宋体" w:cs="宋体"/>
          <w:u w:val="single"/>
        </w:rPr>
        <w:t>    </w:t>
      </w:r>
      <w:r>
        <w:rPr>
          <w:rFonts w:hint="eastAsia" w:ascii="宋体" w:hAnsi="宋体" w:eastAsia="宋体" w:cs="宋体"/>
        </w:rPr>
        <w:t>年</w:t>
      </w:r>
      <w:r>
        <w:rPr>
          <w:rFonts w:hint="eastAsia" w:ascii="宋体" w:hAnsi="宋体" w:eastAsia="宋体" w:cs="宋体"/>
          <w:u w:val="single"/>
        </w:rPr>
        <w:t>  </w:t>
      </w:r>
      <w:r>
        <w:rPr>
          <w:rFonts w:hint="eastAsia" w:ascii="宋体" w:hAnsi="宋体" w:eastAsia="宋体" w:cs="宋体"/>
        </w:rPr>
        <w:t>月</w:t>
      </w:r>
      <w:r>
        <w:rPr>
          <w:rFonts w:hint="eastAsia" w:ascii="宋体" w:hAnsi="宋体" w:eastAsia="宋体" w:cs="宋体"/>
          <w:u w:val="single"/>
        </w:rPr>
        <w:t>  </w:t>
      </w:r>
      <w:r>
        <w:rPr>
          <w:rFonts w:hint="eastAsia" w:ascii="宋体" w:hAnsi="宋体" w:eastAsia="宋体" w:cs="宋体"/>
        </w:rPr>
        <w:t>日</w:t>
      </w:r>
    </w:p>
    <w:p w14:paraId="768D5A7B">
      <w:pPr>
        <w:ind w:firstLine="638"/>
        <w:rPr>
          <w:rFonts w:hint="eastAsia" w:ascii="宋体" w:hAnsi="宋体" w:eastAsia="宋体" w:cs="宋体"/>
          <w:b/>
          <w:bCs/>
          <w:sz w:val="32"/>
          <w:szCs w:val="32"/>
        </w:rPr>
      </w:pPr>
      <w:r>
        <w:rPr>
          <w:rFonts w:hint="eastAsia" w:ascii="宋体" w:hAnsi="宋体" w:eastAsia="宋体" w:cs="宋体"/>
          <w:b/>
          <w:bCs/>
          <w:sz w:val="32"/>
          <w:szCs w:val="32"/>
        </w:rPr>
        <w:br w:type="page"/>
      </w:r>
    </w:p>
    <w:p w14:paraId="71002F80">
      <w:pPr>
        <w:widowControl/>
        <w:spacing w:line="499" w:lineRule="atLeast"/>
        <w:jc w:val="center"/>
        <w:rPr>
          <w:rFonts w:hint="eastAsia" w:ascii="宋体" w:hAnsi="宋体" w:eastAsia="宋体" w:cs="宋体"/>
          <w:b/>
          <w:bCs/>
          <w:sz w:val="24"/>
        </w:rPr>
      </w:pPr>
      <w:r>
        <w:rPr>
          <w:rFonts w:hint="eastAsia" w:ascii="宋体" w:hAnsi="宋体" w:eastAsia="宋体" w:cs="宋体"/>
          <w:b/>
          <w:bCs/>
          <w:sz w:val="32"/>
          <w:szCs w:val="32"/>
        </w:rPr>
        <w:t>十七、盐城市政府采购事前信用承诺书</w:t>
      </w:r>
    </w:p>
    <w:p w14:paraId="4CA17F73">
      <w:pPr>
        <w:widowControl/>
        <w:spacing w:line="499" w:lineRule="atLeast"/>
        <w:ind w:firstLine="476"/>
        <w:jc w:val="left"/>
        <w:rPr>
          <w:rFonts w:hint="eastAsia" w:ascii="宋体" w:hAnsi="宋体" w:eastAsia="宋体" w:cs="宋体"/>
          <w:sz w:val="24"/>
        </w:rPr>
      </w:pPr>
      <w:r>
        <w:rPr>
          <w:rFonts w:hint="eastAsia" w:ascii="宋体" w:hAnsi="宋体" w:eastAsia="宋体" w:cs="宋体"/>
          <w:sz w:val="24"/>
        </w:rPr>
        <w:t>为营造我市公开、公平、公正、诚实守信的政府采购交易环境，树立诚信守法的投标人形象，本人代表本单位作出以下承诺：</w:t>
      </w:r>
    </w:p>
    <w:p w14:paraId="6AB34C48">
      <w:pPr>
        <w:widowControl/>
        <w:spacing w:line="499" w:lineRule="atLeast"/>
        <w:jc w:val="left"/>
        <w:rPr>
          <w:rFonts w:hint="eastAsia" w:ascii="宋体" w:hAnsi="宋体" w:eastAsia="宋体" w:cs="宋体"/>
          <w:sz w:val="24"/>
        </w:rPr>
      </w:pPr>
      <w:r>
        <w:rPr>
          <w:rFonts w:hint="eastAsia" w:ascii="宋体" w:hAnsi="宋体" w:eastAsia="宋体" w:cs="宋体"/>
          <w:sz w:val="24"/>
        </w:rPr>
        <w:t>  （一）本单位对所提交的企（事）业单位基本信息、企（事）业负责人、项目负责人、技术负责人、从业资质和资格、业绩、财务状况、信誉等所有资料，均合法、真实、准确、有效，无任何伪造、修改、虚假成分，并对所提供资料的真实性负责；</w:t>
      </w:r>
    </w:p>
    <w:p w14:paraId="4977F56D">
      <w:pPr>
        <w:widowControl/>
        <w:spacing w:line="499" w:lineRule="atLeast"/>
        <w:ind w:firstLine="476"/>
        <w:jc w:val="left"/>
        <w:rPr>
          <w:rFonts w:hint="eastAsia" w:ascii="宋体" w:hAnsi="宋体" w:eastAsia="宋体" w:cs="宋体"/>
          <w:sz w:val="24"/>
        </w:rPr>
      </w:pPr>
      <w:r>
        <w:rPr>
          <w:rFonts w:hint="eastAsia" w:ascii="宋体" w:hAnsi="宋体" w:eastAsia="宋体" w:cs="宋体"/>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24D91927">
      <w:pPr>
        <w:widowControl/>
        <w:spacing w:line="499" w:lineRule="atLeast"/>
        <w:jc w:val="left"/>
        <w:rPr>
          <w:rFonts w:hint="eastAsia" w:ascii="宋体" w:hAnsi="宋体" w:eastAsia="宋体" w:cs="宋体"/>
          <w:sz w:val="24"/>
        </w:rPr>
      </w:pPr>
      <w:r>
        <w:rPr>
          <w:rFonts w:hint="eastAsia" w:ascii="宋体" w:hAnsi="宋体" w:eastAsia="宋体" w:cs="宋体"/>
          <w:sz w:val="24"/>
        </w:rPr>
        <w:t>  （三）严格依照国家和省、市关于政府采购的法律、法规、规章、规范性文件，参加政府采购投标活动；积极履行社会责任，促进廉政建设；</w:t>
      </w:r>
    </w:p>
    <w:p w14:paraId="5AAC6250">
      <w:pPr>
        <w:widowControl/>
        <w:spacing w:line="499" w:lineRule="atLeast"/>
        <w:jc w:val="left"/>
        <w:rPr>
          <w:rFonts w:hint="eastAsia" w:ascii="宋体" w:hAnsi="宋体" w:eastAsia="宋体" w:cs="宋体"/>
          <w:sz w:val="24"/>
        </w:rPr>
      </w:pPr>
      <w:r>
        <w:rPr>
          <w:rFonts w:hint="eastAsia" w:ascii="宋体" w:hAnsi="宋体" w:eastAsia="宋体" w:cs="宋体"/>
          <w:sz w:val="24"/>
        </w:rPr>
        <w:t>  （四）严格遵守即时信息公示规定，及时维护和更新盐城市政府采购网中与本单位相关的信息；</w:t>
      </w:r>
    </w:p>
    <w:p w14:paraId="16E7A012">
      <w:pPr>
        <w:widowControl/>
        <w:spacing w:line="499" w:lineRule="atLeast"/>
        <w:jc w:val="left"/>
        <w:rPr>
          <w:rFonts w:hint="eastAsia" w:ascii="宋体" w:hAnsi="宋体" w:eastAsia="宋体" w:cs="宋体"/>
          <w:sz w:val="24"/>
        </w:rPr>
      </w:pPr>
      <w:r>
        <w:rPr>
          <w:rFonts w:hint="eastAsia" w:ascii="宋体" w:hAnsi="宋体" w:eastAsia="宋体" w:cs="宋体"/>
          <w:sz w:val="24"/>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27B55B8D">
      <w:pPr>
        <w:widowControl/>
        <w:spacing w:line="499" w:lineRule="atLeast"/>
        <w:jc w:val="left"/>
        <w:rPr>
          <w:rFonts w:hint="eastAsia" w:ascii="宋体" w:hAnsi="宋体" w:eastAsia="宋体" w:cs="宋体"/>
          <w:sz w:val="24"/>
        </w:rPr>
      </w:pPr>
      <w:r>
        <w:rPr>
          <w:rFonts w:hint="eastAsia" w:ascii="宋体" w:hAnsi="宋体" w:eastAsia="宋体" w:cs="宋体"/>
          <w:sz w:val="24"/>
        </w:rPr>
        <w:t>  （六）自觉接受政府、行业组织、社会公众、新闻舆论的监督；</w:t>
      </w:r>
    </w:p>
    <w:p w14:paraId="6EFB0D69">
      <w:pPr>
        <w:widowControl/>
        <w:spacing w:line="499" w:lineRule="atLeast"/>
        <w:ind w:firstLine="480" w:firstLineChars="200"/>
        <w:jc w:val="left"/>
        <w:rPr>
          <w:rFonts w:hint="eastAsia" w:ascii="宋体" w:hAnsi="宋体" w:eastAsia="宋体" w:cs="宋体"/>
          <w:sz w:val="24"/>
        </w:rPr>
      </w:pPr>
      <w:r>
        <w:rPr>
          <w:rFonts w:hint="eastAsia" w:ascii="宋体" w:hAnsi="宋体" w:eastAsia="宋体" w:cs="宋体"/>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0EBBFF42">
      <w:pPr>
        <w:widowControl/>
        <w:spacing w:line="499" w:lineRule="atLeast"/>
        <w:ind w:firstLine="480" w:firstLineChars="200"/>
        <w:jc w:val="left"/>
        <w:rPr>
          <w:rFonts w:hint="eastAsia" w:ascii="宋体" w:hAnsi="宋体" w:eastAsia="宋体" w:cs="宋体"/>
          <w:sz w:val="24"/>
        </w:rPr>
      </w:pPr>
      <w:r>
        <w:rPr>
          <w:rFonts w:hint="eastAsia" w:ascii="宋体" w:hAnsi="宋体" w:eastAsia="宋体" w:cs="宋体"/>
          <w:sz w:val="24"/>
        </w:rPr>
        <w:t>（八）本人已认真阅读了上述承诺，并向本单位员工作了宣传教育。</w:t>
      </w:r>
    </w:p>
    <w:p w14:paraId="5AF17A51">
      <w:pPr>
        <w:widowControl/>
        <w:spacing w:line="499" w:lineRule="atLeast"/>
        <w:jc w:val="left"/>
        <w:rPr>
          <w:rFonts w:hint="eastAsia" w:ascii="宋体" w:hAnsi="宋体" w:eastAsia="宋体" w:cs="宋体"/>
          <w:sz w:val="24"/>
        </w:rPr>
      </w:pPr>
      <w:r>
        <w:rPr>
          <w:rFonts w:hint="eastAsia" w:ascii="宋体" w:hAnsi="宋体" w:eastAsia="宋体" w:cs="宋体"/>
          <w:sz w:val="24"/>
        </w:rPr>
        <w:t>                 </w:t>
      </w:r>
    </w:p>
    <w:p w14:paraId="3B5C1237">
      <w:pPr>
        <w:widowControl/>
        <w:spacing w:line="499" w:lineRule="atLeast"/>
        <w:jc w:val="left"/>
        <w:rPr>
          <w:rFonts w:hint="eastAsia" w:ascii="宋体" w:hAnsi="宋体" w:eastAsia="宋体" w:cs="宋体"/>
          <w:sz w:val="24"/>
        </w:rPr>
      </w:pPr>
      <w:r>
        <w:rPr>
          <w:rFonts w:hint="eastAsia" w:ascii="宋体" w:hAnsi="宋体" w:eastAsia="宋体" w:cs="宋体"/>
          <w:sz w:val="24"/>
        </w:rPr>
        <w:t> 法定代表人签名：</w:t>
      </w:r>
    </w:p>
    <w:p w14:paraId="274A9B0F">
      <w:pPr>
        <w:widowControl/>
        <w:spacing w:line="499" w:lineRule="atLeast"/>
        <w:jc w:val="center"/>
        <w:rPr>
          <w:rFonts w:hint="eastAsia" w:ascii="宋体" w:hAnsi="宋体" w:eastAsia="宋体" w:cs="宋体"/>
          <w:sz w:val="24"/>
        </w:rPr>
      </w:pPr>
      <w:r>
        <w:rPr>
          <w:rFonts w:hint="eastAsia" w:ascii="宋体" w:hAnsi="宋体" w:eastAsia="宋体" w:cs="宋体"/>
          <w:sz w:val="24"/>
        </w:rPr>
        <w:t>                   单位名称（盖章）：</w:t>
      </w:r>
    </w:p>
    <w:p w14:paraId="7CC76AC8">
      <w:pPr>
        <w:widowControl/>
        <w:spacing w:line="499" w:lineRule="atLeast"/>
        <w:jc w:val="right"/>
        <w:rPr>
          <w:rFonts w:hint="eastAsia" w:ascii="宋体" w:hAnsi="宋体" w:eastAsia="宋体" w:cs="宋体"/>
          <w:sz w:val="24"/>
        </w:rPr>
      </w:pPr>
      <w:r>
        <w:rPr>
          <w:rFonts w:hint="eastAsia" w:ascii="宋体" w:hAnsi="宋体" w:eastAsia="宋体" w:cs="宋体"/>
          <w:sz w:val="24"/>
        </w:rPr>
        <w:t>                      年   月   日</w:t>
      </w:r>
    </w:p>
    <w:p w14:paraId="20A16779">
      <w:pPr>
        <w:pStyle w:val="10"/>
        <w:spacing w:beforeAutospacing="0" w:afterAutospacing="0"/>
        <w:jc w:val="center"/>
        <w:rPr>
          <w:rFonts w:hint="eastAsia" w:ascii="宋体" w:hAnsi="宋体" w:eastAsia="宋体" w:cs="宋体"/>
        </w:rPr>
      </w:pPr>
    </w:p>
    <w:bookmarkEnd w:id="32"/>
    <w:bookmarkEnd w:id="50"/>
    <w:bookmarkEnd w:id="95"/>
    <w:bookmarkEnd w:id="96"/>
    <w:bookmarkEnd w:id="97"/>
    <w:bookmarkEnd w:id="100"/>
    <w:bookmarkEnd w:id="101"/>
    <w:bookmarkEnd w:id="102"/>
    <w:bookmarkEnd w:id="103"/>
    <w:bookmarkEnd w:id="104"/>
    <w:bookmarkEnd w:id="105"/>
    <w:bookmarkEnd w:id="106"/>
    <w:bookmarkEnd w:id="107"/>
    <w:bookmarkEnd w:id="108"/>
    <w:bookmarkEnd w:id="109"/>
    <w:bookmarkEnd w:id="110"/>
    <w:bookmarkEnd w:id="111"/>
    <w:bookmarkEnd w:id="112"/>
    <w:bookmarkEnd w:id="117"/>
    <w:bookmarkEnd w:id="118"/>
    <w:bookmarkEnd w:id="119"/>
    <w:bookmarkEnd w:id="124"/>
    <w:bookmarkEnd w:id="125"/>
    <w:bookmarkEnd w:id="132"/>
    <w:bookmarkEnd w:id="180"/>
    <w:bookmarkEnd w:id="183"/>
    <w:bookmarkEnd w:id="214"/>
    <w:bookmarkEnd w:id="215"/>
    <w:bookmarkEnd w:id="217"/>
    <w:bookmarkEnd w:id="218"/>
    <w:bookmarkEnd w:id="219"/>
    <w:bookmarkEnd w:id="220"/>
    <w:bookmarkEnd w:id="229"/>
    <w:bookmarkEnd w:id="230"/>
    <w:bookmarkEnd w:id="231"/>
    <w:bookmarkEnd w:id="232"/>
    <w:bookmarkEnd w:id="233"/>
    <w:p w14:paraId="08B38A57">
      <w:pPr>
        <w:rPr>
          <w:rFonts w:hint="eastAsia" w:ascii="宋体" w:hAnsi="宋体" w:eastAsia="宋体" w:cs="宋体"/>
        </w:rPr>
      </w:pPr>
    </w:p>
    <w:sectPr>
      <w:footerReference r:id="rId4" w:type="default"/>
      <w:pgSz w:w="11906" w:h="16838"/>
      <w:pgMar w:top="1327" w:right="1576" w:bottom="1213" w:left="1576" w:header="851" w:footer="992" w:gutter="0"/>
      <w:pgNumType w:start="1"/>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方正小标宋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imesNewRomanPSMT">
    <w:altName w:val="Times New Roman"/>
    <w:panose1 w:val="00000000000000000000"/>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F2E0FD">
    <w:pPr>
      <w:widowControl/>
      <w:spacing w:line="218" w:lineRule="auto"/>
      <w:jc w:val="left"/>
      <w:rPr>
        <w:rFonts w:hint="eastAsia" w:ascii="宋体" w:hAnsi="宋体" w:eastAsia="宋体" w:cs="宋体"/>
        <w:color w:val="000000"/>
        <w:kern w:val="0"/>
        <w:sz w:val="19"/>
        <w:szCs w:val="19"/>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6EDB63">
    <w:pPr>
      <w:widowControl/>
      <w:spacing w:line="218" w:lineRule="auto"/>
      <w:ind w:firstLine="380"/>
      <w:jc w:val="left"/>
      <w:rPr>
        <w:rFonts w:hint="eastAsia" w:ascii="宋体" w:hAnsi="宋体" w:eastAsia="宋体" w:cs="宋体"/>
        <w:color w:val="000000"/>
        <w:kern w:val="0"/>
        <w:sz w:val="19"/>
        <w:szCs w:val="19"/>
        <w:lang w:eastAsia="en-US"/>
      </w:rPr>
    </w:pPr>
    <w:r>
      <w:rPr>
        <w:rFonts w:ascii="Arial" w:hAnsi="Arial" w:eastAsia="Arial" w:cs="Arial"/>
        <w:color w:val="000000"/>
        <w:kern w:val="0"/>
        <w:sz w:val="19"/>
        <w:szCs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9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F122D1D">
                          <w:pPr>
                            <w:rPr>
                              <w:rFonts w:ascii="Arial" w:hAnsi="Arial" w:eastAsia="Arial" w:cs="Arial"/>
                              <w:color w:val="000000"/>
                              <w:sz w:val="18"/>
                              <w:szCs w:val="18"/>
                              <w:lang w:eastAsia="en-US"/>
                            </w:rPr>
                          </w:pPr>
                          <w:r>
                            <w:rPr>
                              <w:rFonts w:ascii="Arial" w:hAnsi="Arial" w:eastAsia="Arial" w:cs="Arial"/>
                              <w:color w:val="000000"/>
                              <w:sz w:val="18"/>
                              <w:szCs w:val="18"/>
                              <w:lang w:eastAsia="en-US"/>
                            </w:rPr>
                            <w:fldChar w:fldCharType="begin"/>
                          </w:r>
                          <w:r>
                            <w:rPr>
                              <w:rFonts w:ascii="Arial" w:hAnsi="Arial" w:eastAsia="Arial" w:cs="Arial"/>
                              <w:color w:val="000000"/>
                              <w:sz w:val="18"/>
                              <w:szCs w:val="18"/>
                              <w:lang w:eastAsia="en-US"/>
                            </w:rPr>
                            <w:instrText xml:space="preserve"> PAGE  \* MERGEFORMAT </w:instrText>
                          </w:r>
                          <w:r>
                            <w:rPr>
                              <w:rFonts w:ascii="Arial" w:hAnsi="Arial" w:eastAsia="Arial" w:cs="Arial"/>
                              <w:color w:val="000000"/>
                              <w:sz w:val="18"/>
                              <w:szCs w:val="18"/>
                              <w:lang w:eastAsia="en-US"/>
                            </w:rPr>
                            <w:fldChar w:fldCharType="separate"/>
                          </w:r>
                          <w:r>
                            <w:rPr>
                              <w:rFonts w:ascii="Arial" w:hAnsi="Arial" w:eastAsia="Arial" w:cs="Arial"/>
                              <w:color w:val="000000"/>
                              <w:sz w:val="18"/>
                              <w:szCs w:val="18"/>
                              <w:lang w:eastAsia="en-US"/>
                            </w:rPr>
                            <w:t>28</w:t>
                          </w:r>
                          <w:r>
                            <w:rPr>
                              <w:rFonts w:ascii="Arial" w:hAnsi="Arial" w:eastAsia="Arial" w:cs="Arial"/>
                              <w:color w:val="000000"/>
                              <w:sz w:val="18"/>
                              <w:szCs w:val="18"/>
                              <w:lang w:eastAsia="en-US"/>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9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ImoYcs8AgAAcgQAAA4AAAAAAAAAAQAgAAAAHwEAAGRycy9lMm9E&#10;b2MueG1sUEsFBgAAAAAGAAYAWQEAAM0FAAAAAA==&#10;">
              <v:fill on="f" focussize="0,0"/>
              <v:stroke on="f" weight="0.5pt"/>
              <v:imagedata o:title=""/>
              <o:lock v:ext="edit" aspectratio="f"/>
              <v:textbox inset="0mm,0mm,0mm,0mm" style="mso-fit-shape-to-text:t;">
                <w:txbxContent>
                  <w:p w14:paraId="1F122D1D">
                    <w:pPr>
                      <w:rPr>
                        <w:rFonts w:ascii="Arial" w:hAnsi="Arial" w:eastAsia="Arial" w:cs="Arial"/>
                        <w:color w:val="000000"/>
                        <w:sz w:val="18"/>
                        <w:szCs w:val="18"/>
                        <w:lang w:eastAsia="en-US"/>
                      </w:rPr>
                    </w:pPr>
                    <w:r>
                      <w:rPr>
                        <w:rFonts w:ascii="Arial" w:hAnsi="Arial" w:eastAsia="Arial" w:cs="Arial"/>
                        <w:color w:val="000000"/>
                        <w:sz w:val="18"/>
                        <w:szCs w:val="18"/>
                        <w:lang w:eastAsia="en-US"/>
                      </w:rPr>
                      <w:fldChar w:fldCharType="begin"/>
                    </w:r>
                    <w:r>
                      <w:rPr>
                        <w:rFonts w:ascii="Arial" w:hAnsi="Arial" w:eastAsia="Arial" w:cs="Arial"/>
                        <w:color w:val="000000"/>
                        <w:sz w:val="18"/>
                        <w:szCs w:val="18"/>
                        <w:lang w:eastAsia="en-US"/>
                      </w:rPr>
                      <w:instrText xml:space="preserve"> PAGE  \* MERGEFORMAT </w:instrText>
                    </w:r>
                    <w:r>
                      <w:rPr>
                        <w:rFonts w:ascii="Arial" w:hAnsi="Arial" w:eastAsia="Arial" w:cs="Arial"/>
                        <w:color w:val="000000"/>
                        <w:sz w:val="18"/>
                        <w:szCs w:val="18"/>
                        <w:lang w:eastAsia="en-US"/>
                      </w:rPr>
                      <w:fldChar w:fldCharType="separate"/>
                    </w:r>
                    <w:r>
                      <w:rPr>
                        <w:rFonts w:ascii="Arial" w:hAnsi="Arial" w:eastAsia="Arial" w:cs="Arial"/>
                        <w:color w:val="000000"/>
                        <w:sz w:val="18"/>
                        <w:szCs w:val="18"/>
                        <w:lang w:eastAsia="en-US"/>
                      </w:rPr>
                      <w:t>28</w:t>
                    </w:r>
                    <w:r>
                      <w:rPr>
                        <w:rFonts w:ascii="Arial" w:hAnsi="Arial" w:eastAsia="Arial" w:cs="Arial"/>
                        <w:color w:val="000000"/>
                        <w:sz w:val="18"/>
                        <w:szCs w:val="18"/>
                        <w:lang w:eastAsia="en-US"/>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90B297"/>
    <w:multiLevelType w:val="singleLevel"/>
    <w:tmpl w:val="9190B297"/>
    <w:lvl w:ilvl="0" w:tentative="0">
      <w:start w:val="4"/>
      <w:numFmt w:val="chineseCounting"/>
      <w:suff w:val="nothing"/>
      <w:lvlText w:val="（%1）"/>
      <w:lvlJc w:val="left"/>
      <w:rPr>
        <w:rFonts w:hint="eastAsia"/>
      </w:rPr>
    </w:lvl>
  </w:abstractNum>
  <w:abstractNum w:abstractNumId="1">
    <w:nsid w:val="078C44CC"/>
    <w:multiLevelType w:val="singleLevel"/>
    <w:tmpl w:val="078C44CC"/>
    <w:lvl w:ilvl="0" w:tentative="0">
      <w:start w:val="4"/>
      <w:numFmt w:val="decimal"/>
      <w:suff w:val="nothing"/>
      <w:lvlText w:val="%1、"/>
      <w:lvlJc w:val="left"/>
    </w:lvl>
  </w:abstractNum>
  <w:abstractNum w:abstractNumId="2">
    <w:nsid w:val="67BB5347"/>
    <w:multiLevelType w:val="singleLevel"/>
    <w:tmpl w:val="67BB5347"/>
    <w:lvl w:ilvl="0" w:tentative="0">
      <w:start w:val="12"/>
      <w:numFmt w:val="chineseCounting"/>
      <w:suff w:val="nothing"/>
      <w:lvlText w:val="%1、"/>
      <w:lvlJc w:val="left"/>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M5NjQ4MDViNzI1OGY2YzE4MzhiZmY5ZTY1YTkxNGYifQ=="/>
  </w:docVars>
  <w:rsids>
    <w:rsidRoot w:val="00172A27"/>
    <w:rsid w:val="00075369"/>
    <w:rsid w:val="00077137"/>
    <w:rsid w:val="00093DD2"/>
    <w:rsid w:val="000E1064"/>
    <w:rsid w:val="00100CC0"/>
    <w:rsid w:val="00131CB1"/>
    <w:rsid w:val="00172A27"/>
    <w:rsid w:val="00177F0B"/>
    <w:rsid w:val="001A3225"/>
    <w:rsid w:val="001F02A8"/>
    <w:rsid w:val="001F4115"/>
    <w:rsid w:val="00215AA4"/>
    <w:rsid w:val="00251125"/>
    <w:rsid w:val="00251839"/>
    <w:rsid w:val="00277211"/>
    <w:rsid w:val="002A2CCB"/>
    <w:rsid w:val="002C1E6C"/>
    <w:rsid w:val="002E61F3"/>
    <w:rsid w:val="002F12F8"/>
    <w:rsid w:val="003410CC"/>
    <w:rsid w:val="003C1A89"/>
    <w:rsid w:val="003C2B3D"/>
    <w:rsid w:val="003C6894"/>
    <w:rsid w:val="0043276E"/>
    <w:rsid w:val="004529E6"/>
    <w:rsid w:val="00455E51"/>
    <w:rsid w:val="004670D5"/>
    <w:rsid w:val="00474047"/>
    <w:rsid w:val="00491F6E"/>
    <w:rsid w:val="004D3110"/>
    <w:rsid w:val="00502ACB"/>
    <w:rsid w:val="00516F69"/>
    <w:rsid w:val="00520AC5"/>
    <w:rsid w:val="00534667"/>
    <w:rsid w:val="00552DFB"/>
    <w:rsid w:val="005E57E9"/>
    <w:rsid w:val="006266E8"/>
    <w:rsid w:val="00654DEA"/>
    <w:rsid w:val="00674381"/>
    <w:rsid w:val="006932C0"/>
    <w:rsid w:val="006B6F15"/>
    <w:rsid w:val="007871B9"/>
    <w:rsid w:val="007A220C"/>
    <w:rsid w:val="007A5A61"/>
    <w:rsid w:val="007A7B98"/>
    <w:rsid w:val="007B1CF4"/>
    <w:rsid w:val="007F636B"/>
    <w:rsid w:val="00817A96"/>
    <w:rsid w:val="0088127E"/>
    <w:rsid w:val="008B090D"/>
    <w:rsid w:val="008E4636"/>
    <w:rsid w:val="00935693"/>
    <w:rsid w:val="00A4304F"/>
    <w:rsid w:val="00A62079"/>
    <w:rsid w:val="00A630AC"/>
    <w:rsid w:val="00A70028"/>
    <w:rsid w:val="00A80AB0"/>
    <w:rsid w:val="00AA2A8E"/>
    <w:rsid w:val="00B025AF"/>
    <w:rsid w:val="00B07FD4"/>
    <w:rsid w:val="00B454C4"/>
    <w:rsid w:val="00BE692E"/>
    <w:rsid w:val="00BE787D"/>
    <w:rsid w:val="00C30C78"/>
    <w:rsid w:val="00C310D9"/>
    <w:rsid w:val="00C36D58"/>
    <w:rsid w:val="00C36EC9"/>
    <w:rsid w:val="00C43211"/>
    <w:rsid w:val="00C83D22"/>
    <w:rsid w:val="00C86C58"/>
    <w:rsid w:val="00CB1DA8"/>
    <w:rsid w:val="00CB578B"/>
    <w:rsid w:val="00CE27DA"/>
    <w:rsid w:val="00D1282F"/>
    <w:rsid w:val="00D14E47"/>
    <w:rsid w:val="00D550E3"/>
    <w:rsid w:val="00D63F4B"/>
    <w:rsid w:val="00D93FCD"/>
    <w:rsid w:val="00DC03CB"/>
    <w:rsid w:val="00E15061"/>
    <w:rsid w:val="00E57898"/>
    <w:rsid w:val="00E6087B"/>
    <w:rsid w:val="00F130C8"/>
    <w:rsid w:val="00F264FD"/>
    <w:rsid w:val="00F33192"/>
    <w:rsid w:val="00F50207"/>
    <w:rsid w:val="00F8669E"/>
    <w:rsid w:val="00F957B2"/>
    <w:rsid w:val="00FC6132"/>
    <w:rsid w:val="00FE3C91"/>
    <w:rsid w:val="014036E0"/>
    <w:rsid w:val="01416DF2"/>
    <w:rsid w:val="015C3D17"/>
    <w:rsid w:val="01C209CB"/>
    <w:rsid w:val="02182ED7"/>
    <w:rsid w:val="02357688"/>
    <w:rsid w:val="02851591"/>
    <w:rsid w:val="02BD5381"/>
    <w:rsid w:val="02D505AD"/>
    <w:rsid w:val="03365B5E"/>
    <w:rsid w:val="034E4AD1"/>
    <w:rsid w:val="037E0789"/>
    <w:rsid w:val="03913FFC"/>
    <w:rsid w:val="03C96A83"/>
    <w:rsid w:val="04CF1FA6"/>
    <w:rsid w:val="056E5657"/>
    <w:rsid w:val="05AD05DE"/>
    <w:rsid w:val="05BD3D79"/>
    <w:rsid w:val="05D1541D"/>
    <w:rsid w:val="0621639E"/>
    <w:rsid w:val="062C42CE"/>
    <w:rsid w:val="06764670"/>
    <w:rsid w:val="06867FD2"/>
    <w:rsid w:val="068A6E34"/>
    <w:rsid w:val="06994FAF"/>
    <w:rsid w:val="06B12B65"/>
    <w:rsid w:val="06BD3726"/>
    <w:rsid w:val="071D689A"/>
    <w:rsid w:val="07887E6F"/>
    <w:rsid w:val="07994E3B"/>
    <w:rsid w:val="07A02A3F"/>
    <w:rsid w:val="07A40F48"/>
    <w:rsid w:val="07F651C7"/>
    <w:rsid w:val="080A468F"/>
    <w:rsid w:val="0854758E"/>
    <w:rsid w:val="08856993"/>
    <w:rsid w:val="08992D34"/>
    <w:rsid w:val="08C86899"/>
    <w:rsid w:val="09132265"/>
    <w:rsid w:val="09D92A42"/>
    <w:rsid w:val="09FE79EC"/>
    <w:rsid w:val="0A69090D"/>
    <w:rsid w:val="0AB319EF"/>
    <w:rsid w:val="0ABC363A"/>
    <w:rsid w:val="0AD8294B"/>
    <w:rsid w:val="0B4B3B00"/>
    <w:rsid w:val="0B8A23C1"/>
    <w:rsid w:val="0BA111B6"/>
    <w:rsid w:val="0BAE3813"/>
    <w:rsid w:val="0BFF003E"/>
    <w:rsid w:val="0C9413AC"/>
    <w:rsid w:val="0CFF0F1B"/>
    <w:rsid w:val="0D4D2FC1"/>
    <w:rsid w:val="0E0362D5"/>
    <w:rsid w:val="0E966A8C"/>
    <w:rsid w:val="0E9C279A"/>
    <w:rsid w:val="0EB21FBD"/>
    <w:rsid w:val="0EB36461"/>
    <w:rsid w:val="0EE61CD2"/>
    <w:rsid w:val="0F0A004B"/>
    <w:rsid w:val="0F655282"/>
    <w:rsid w:val="0F6D24BC"/>
    <w:rsid w:val="0F7D537E"/>
    <w:rsid w:val="0F8052FC"/>
    <w:rsid w:val="0FBC4A1F"/>
    <w:rsid w:val="0FE97C61"/>
    <w:rsid w:val="10007707"/>
    <w:rsid w:val="10B2533E"/>
    <w:rsid w:val="11072A94"/>
    <w:rsid w:val="111B4F65"/>
    <w:rsid w:val="11AB711C"/>
    <w:rsid w:val="11EB7CC0"/>
    <w:rsid w:val="12A21019"/>
    <w:rsid w:val="12D9220E"/>
    <w:rsid w:val="12F015A0"/>
    <w:rsid w:val="132711CC"/>
    <w:rsid w:val="13AA39F0"/>
    <w:rsid w:val="13AB624C"/>
    <w:rsid w:val="13D157F4"/>
    <w:rsid w:val="141C3335"/>
    <w:rsid w:val="143E4A1F"/>
    <w:rsid w:val="14477BA7"/>
    <w:rsid w:val="14684F24"/>
    <w:rsid w:val="157923E7"/>
    <w:rsid w:val="162C6AF9"/>
    <w:rsid w:val="163E3563"/>
    <w:rsid w:val="169263C8"/>
    <w:rsid w:val="16A61788"/>
    <w:rsid w:val="16AF4856"/>
    <w:rsid w:val="16FC471D"/>
    <w:rsid w:val="170045BA"/>
    <w:rsid w:val="174D6D27"/>
    <w:rsid w:val="174D7871"/>
    <w:rsid w:val="17666D47"/>
    <w:rsid w:val="176F0FD8"/>
    <w:rsid w:val="17732C32"/>
    <w:rsid w:val="178521C3"/>
    <w:rsid w:val="17884203"/>
    <w:rsid w:val="17A61AED"/>
    <w:rsid w:val="18BC4109"/>
    <w:rsid w:val="18D23988"/>
    <w:rsid w:val="193260E4"/>
    <w:rsid w:val="19835197"/>
    <w:rsid w:val="19A11C2E"/>
    <w:rsid w:val="19E404F5"/>
    <w:rsid w:val="1A1C3150"/>
    <w:rsid w:val="1A4F2C83"/>
    <w:rsid w:val="1AA839EE"/>
    <w:rsid w:val="1AD2708F"/>
    <w:rsid w:val="1AD75285"/>
    <w:rsid w:val="1AE6196C"/>
    <w:rsid w:val="1B193AF0"/>
    <w:rsid w:val="1B5508A0"/>
    <w:rsid w:val="1B5F5046"/>
    <w:rsid w:val="1B9509DF"/>
    <w:rsid w:val="1BA002D8"/>
    <w:rsid w:val="1C493F61"/>
    <w:rsid w:val="1CAC4347"/>
    <w:rsid w:val="1D00725B"/>
    <w:rsid w:val="1D1C1092"/>
    <w:rsid w:val="1D605A5A"/>
    <w:rsid w:val="1D812873"/>
    <w:rsid w:val="1DA8651E"/>
    <w:rsid w:val="1DDF4451"/>
    <w:rsid w:val="1DE2466D"/>
    <w:rsid w:val="1DFD1285"/>
    <w:rsid w:val="1E4E1D03"/>
    <w:rsid w:val="1E993C1F"/>
    <w:rsid w:val="1EC70509"/>
    <w:rsid w:val="1EE6018D"/>
    <w:rsid w:val="1F4A0271"/>
    <w:rsid w:val="1FA5245A"/>
    <w:rsid w:val="1FC7762D"/>
    <w:rsid w:val="2000702C"/>
    <w:rsid w:val="205C376D"/>
    <w:rsid w:val="20607ACB"/>
    <w:rsid w:val="20677E3C"/>
    <w:rsid w:val="20733730"/>
    <w:rsid w:val="209429D0"/>
    <w:rsid w:val="20A83FAF"/>
    <w:rsid w:val="20CE42A1"/>
    <w:rsid w:val="215025DE"/>
    <w:rsid w:val="21827A71"/>
    <w:rsid w:val="21CC717D"/>
    <w:rsid w:val="22424AA4"/>
    <w:rsid w:val="228C104B"/>
    <w:rsid w:val="22934188"/>
    <w:rsid w:val="22F62B8A"/>
    <w:rsid w:val="23151041"/>
    <w:rsid w:val="231844CE"/>
    <w:rsid w:val="23254D08"/>
    <w:rsid w:val="23534E2B"/>
    <w:rsid w:val="242C02D7"/>
    <w:rsid w:val="24533DC2"/>
    <w:rsid w:val="24BE643D"/>
    <w:rsid w:val="2532334D"/>
    <w:rsid w:val="25340D56"/>
    <w:rsid w:val="259B3353"/>
    <w:rsid w:val="25B30A3C"/>
    <w:rsid w:val="26750FF7"/>
    <w:rsid w:val="26971598"/>
    <w:rsid w:val="27194423"/>
    <w:rsid w:val="27206206"/>
    <w:rsid w:val="27290FC5"/>
    <w:rsid w:val="280F2F92"/>
    <w:rsid w:val="28BC3D0D"/>
    <w:rsid w:val="28FE41FC"/>
    <w:rsid w:val="29345C52"/>
    <w:rsid w:val="2996274E"/>
    <w:rsid w:val="29BD7D3C"/>
    <w:rsid w:val="2A185DC0"/>
    <w:rsid w:val="2A4648B7"/>
    <w:rsid w:val="2A9A62D0"/>
    <w:rsid w:val="2B005440"/>
    <w:rsid w:val="2BCA6741"/>
    <w:rsid w:val="2C03574A"/>
    <w:rsid w:val="2C0A4EA8"/>
    <w:rsid w:val="2C1125C1"/>
    <w:rsid w:val="2C7B3B05"/>
    <w:rsid w:val="2CC277F5"/>
    <w:rsid w:val="2CEA709A"/>
    <w:rsid w:val="2D110614"/>
    <w:rsid w:val="2D39592C"/>
    <w:rsid w:val="2DB0183B"/>
    <w:rsid w:val="2E0C4DEE"/>
    <w:rsid w:val="2E5E7AF7"/>
    <w:rsid w:val="2E9F2106"/>
    <w:rsid w:val="2EE73822"/>
    <w:rsid w:val="2FA80D19"/>
    <w:rsid w:val="2FAD4FD9"/>
    <w:rsid w:val="2FB346FB"/>
    <w:rsid w:val="2FFA5778"/>
    <w:rsid w:val="302B3597"/>
    <w:rsid w:val="30495C84"/>
    <w:rsid w:val="30650005"/>
    <w:rsid w:val="30872627"/>
    <w:rsid w:val="310333AD"/>
    <w:rsid w:val="3126266B"/>
    <w:rsid w:val="31522189"/>
    <w:rsid w:val="318E0F10"/>
    <w:rsid w:val="31DB0550"/>
    <w:rsid w:val="3234328B"/>
    <w:rsid w:val="32531113"/>
    <w:rsid w:val="329E6CD8"/>
    <w:rsid w:val="32AE0B6A"/>
    <w:rsid w:val="32E77BD8"/>
    <w:rsid w:val="33440753"/>
    <w:rsid w:val="334B4AB3"/>
    <w:rsid w:val="33773E42"/>
    <w:rsid w:val="34367069"/>
    <w:rsid w:val="34E14EA2"/>
    <w:rsid w:val="34E346A0"/>
    <w:rsid w:val="352C3725"/>
    <w:rsid w:val="359B1151"/>
    <w:rsid w:val="35A41DB0"/>
    <w:rsid w:val="35AD49A2"/>
    <w:rsid w:val="35BC534C"/>
    <w:rsid w:val="36172BC3"/>
    <w:rsid w:val="36721EAF"/>
    <w:rsid w:val="36CC7C95"/>
    <w:rsid w:val="36E076F0"/>
    <w:rsid w:val="36EB650A"/>
    <w:rsid w:val="37242DF0"/>
    <w:rsid w:val="375B1FDF"/>
    <w:rsid w:val="378133A9"/>
    <w:rsid w:val="383A233E"/>
    <w:rsid w:val="39101F1B"/>
    <w:rsid w:val="392D7EB3"/>
    <w:rsid w:val="39643D30"/>
    <w:rsid w:val="39720FC7"/>
    <w:rsid w:val="39987E7E"/>
    <w:rsid w:val="39A84137"/>
    <w:rsid w:val="39CD52E9"/>
    <w:rsid w:val="3A1C0AAF"/>
    <w:rsid w:val="3A575643"/>
    <w:rsid w:val="3A64388F"/>
    <w:rsid w:val="3AB02FA5"/>
    <w:rsid w:val="3B0B043D"/>
    <w:rsid w:val="3B702E61"/>
    <w:rsid w:val="3B9710EF"/>
    <w:rsid w:val="3BDF2457"/>
    <w:rsid w:val="3BDF7FE6"/>
    <w:rsid w:val="3CC36DCD"/>
    <w:rsid w:val="3D23372C"/>
    <w:rsid w:val="3D2823FA"/>
    <w:rsid w:val="3D581DFE"/>
    <w:rsid w:val="3D6A4AAA"/>
    <w:rsid w:val="3DF80C94"/>
    <w:rsid w:val="3DFD4754"/>
    <w:rsid w:val="3E064F5A"/>
    <w:rsid w:val="3E161B6B"/>
    <w:rsid w:val="3E496B6B"/>
    <w:rsid w:val="3E7F5998"/>
    <w:rsid w:val="3EED6576"/>
    <w:rsid w:val="3F0056DB"/>
    <w:rsid w:val="3F0156C1"/>
    <w:rsid w:val="3F1A3023"/>
    <w:rsid w:val="3F243A9D"/>
    <w:rsid w:val="3F6279B6"/>
    <w:rsid w:val="3FC26720"/>
    <w:rsid w:val="40260F22"/>
    <w:rsid w:val="402B33C8"/>
    <w:rsid w:val="40350295"/>
    <w:rsid w:val="406E1D8D"/>
    <w:rsid w:val="4155751F"/>
    <w:rsid w:val="42053C57"/>
    <w:rsid w:val="42214BD9"/>
    <w:rsid w:val="42324DFA"/>
    <w:rsid w:val="4276180B"/>
    <w:rsid w:val="42AF59D8"/>
    <w:rsid w:val="431353F3"/>
    <w:rsid w:val="43455446"/>
    <w:rsid w:val="43CC7D15"/>
    <w:rsid w:val="4404213E"/>
    <w:rsid w:val="44101B53"/>
    <w:rsid w:val="4450382F"/>
    <w:rsid w:val="44DA072F"/>
    <w:rsid w:val="454D0F8E"/>
    <w:rsid w:val="45890E3A"/>
    <w:rsid w:val="45FC0A54"/>
    <w:rsid w:val="461D469A"/>
    <w:rsid w:val="46576B83"/>
    <w:rsid w:val="466976E6"/>
    <w:rsid w:val="46A04578"/>
    <w:rsid w:val="46D32596"/>
    <w:rsid w:val="46D54038"/>
    <w:rsid w:val="46EA0CE7"/>
    <w:rsid w:val="470D4256"/>
    <w:rsid w:val="472208AE"/>
    <w:rsid w:val="475F5F1C"/>
    <w:rsid w:val="47704C41"/>
    <w:rsid w:val="47755C7D"/>
    <w:rsid w:val="477F6C5D"/>
    <w:rsid w:val="47B925F3"/>
    <w:rsid w:val="484D2103"/>
    <w:rsid w:val="48771F96"/>
    <w:rsid w:val="48910AEC"/>
    <w:rsid w:val="48913E27"/>
    <w:rsid w:val="489D725F"/>
    <w:rsid w:val="48B3170D"/>
    <w:rsid w:val="493C7DE9"/>
    <w:rsid w:val="496856CC"/>
    <w:rsid w:val="49D62B33"/>
    <w:rsid w:val="4A1E13B4"/>
    <w:rsid w:val="4A2C49B0"/>
    <w:rsid w:val="4A7D1B0F"/>
    <w:rsid w:val="4AAC50D1"/>
    <w:rsid w:val="4AF64A04"/>
    <w:rsid w:val="4AFA44F5"/>
    <w:rsid w:val="4B0C37B9"/>
    <w:rsid w:val="4B944949"/>
    <w:rsid w:val="4BC33B49"/>
    <w:rsid w:val="4BD12EAB"/>
    <w:rsid w:val="4C0C6ECB"/>
    <w:rsid w:val="4C5A2B74"/>
    <w:rsid w:val="4CC23329"/>
    <w:rsid w:val="4CCB08AB"/>
    <w:rsid w:val="4D2D20D9"/>
    <w:rsid w:val="4D317F76"/>
    <w:rsid w:val="4D3C69F8"/>
    <w:rsid w:val="4D784E5B"/>
    <w:rsid w:val="4DA074F7"/>
    <w:rsid w:val="4DA33F07"/>
    <w:rsid w:val="4DB75AF6"/>
    <w:rsid w:val="4DC93867"/>
    <w:rsid w:val="4DDE52C0"/>
    <w:rsid w:val="4EC618E3"/>
    <w:rsid w:val="4EDD03B5"/>
    <w:rsid w:val="4F337FD5"/>
    <w:rsid w:val="4F526BF1"/>
    <w:rsid w:val="4F8C7615"/>
    <w:rsid w:val="4FC2427A"/>
    <w:rsid w:val="4FE85A92"/>
    <w:rsid w:val="50A0169A"/>
    <w:rsid w:val="50A1397F"/>
    <w:rsid w:val="51166337"/>
    <w:rsid w:val="51292F36"/>
    <w:rsid w:val="51C75DFE"/>
    <w:rsid w:val="51DF4FAE"/>
    <w:rsid w:val="52741FCB"/>
    <w:rsid w:val="52CA1464"/>
    <w:rsid w:val="52D06B10"/>
    <w:rsid w:val="52D52291"/>
    <w:rsid w:val="53112879"/>
    <w:rsid w:val="533D58C6"/>
    <w:rsid w:val="53536515"/>
    <w:rsid w:val="536B21BA"/>
    <w:rsid w:val="53A862CC"/>
    <w:rsid w:val="542645AC"/>
    <w:rsid w:val="542A0FDA"/>
    <w:rsid w:val="545729B8"/>
    <w:rsid w:val="546C11F4"/>
    <w:rsid w:val="546E1AAF"/>
    <w:rsid w:val="54857525"/>
    <w:rsid w:val="54ED53D0"/>
    <w:rsid w:val="55091CCC"/>
    <w:rsid w:val="55C67DF5"/>
    <w:rsid w:val="55FA184D"/>
    <w:rsid w:val="56307253"/>
    <w:rsid w:val="56453199"/>
    <w:rsid w:val="56D3385E"/>
    <w:rsid w:val="582F6DAB"/>
    <w:rsid w:val="58366D88"/>
    <w:rsid w:val="588910E4"/>
    <w:rsid w:val="58977827"/>
    <w:rsid w:val="58AD45AF"/>
    <w:rsid w:val="58D4718C"/>
    <w:rsid w:val="58DA2D46"/>
    <w:rsid w:val="59274DA4"/>
    <w:rsid w:val="597131E7"/>
    <w:rsid w:val="599211F9"/>
    <w:rsid w:val="59A82CA5"/>
    <w:rsid w:val="5ABD109B"/>
    <w:rsid w:val="5AD514E8"/>
    <w:rsid w:val="5AD536B4"/>
    <w:rsid w:val="5AEA4CCC"/>
    <w:rsid w:val="5B031B11"/>
    <w:rsid w:val="5B2C4517"/>
    <w:rsid w:val="5B96574B"/>
    <w:rsid w:val="5BBF6A42"/>
    <w:rsid w:val="5C2A4141"/>
    <w:rsid w:val="5C5A652B"/>
    <w:rsid w:val="5CBC530C"/>
    <w:rsid w:val="5CE305DA"/>
    <w:rsid w:val="5CE928DB"/>
    <w:rsid w:val="5D3E5EBD"/>
    <w:rsid w:val="5DDD75C3"/>
    <w:rsid w:val="5DE138D8"/>
    <w:rsid w:val="5E1921ED"/>
    <w:rsid w:val="5EF07A1A"/>
    <w:rsid w:val="5F6062A9"/>
    <w:rsid w:val="5F7D5E8E"/>
    <w:rsid w:val="5F7F522A"/>
    <w:rsid w:val="5FD72BFF"/>
    <w:rsid w:val="5FFC4413"/>
    <w:rsid w:val="601337BB"/>
    <w:rsid w:val="60762DC3"/>
    <w:rsid w:val="60D51B2B"/>
    <w:rsid w:val="60E30846"/>
    <w:rsid w:val="617F2D1C"/>
    <w:rsid w:val="61891CD7"/>
    <w:rsid w:val="62312A9A"/>
    <w:rsid w:val="624A0E90"/>
    <w:rsid w:val="6283706E"/>
    <w:rsid w:val="62A87E16"/>
    <w:rsid w:val="62C43294"/>
    <w:rsid w:val="62CA561A"/>
    <w:rsid w:val="6313315F"/>
    <w:rsid w:val="63455C16"/>
    <w:rsid w:val="637172BE"/>
    <w:rsid w:val="63CD6C1F"/>
    <w:rsid w:val="64813139"/>
    <w:rsid w:val="64A56430"/>
    <w:rsid w:val="653A6C8B"/>
    <w:rsid w:val="65BB2793"/>
    <w:rsid w:val="65DD5A8E"/>
    <w:rsid w:val="65FB46E7"/>
    <w:rsid w:val="660E4DFA"/>
    <w:rsid w:val="667027CF"/>
    <w:rsid w:val="6688694C"/>
    <w:rsid w:val="668F1DF1"/>
    <w:rsid w:val="66B22301"/>
    <w:rsid w:val="66D41C46"/>
    <w:rsid w:val="670D4A21"/>
    <w:rsid w:val="672F4716"/>
    <w:rsid w:val="67B6759E"/>
    <w:rsid w:val="68076E78"/>
    <w:rsid w:val="68245589"/>
    <w:rsid w:val="68777DD2"/>
    <w:rsid w:val="68CF442F"/>
    <w:rsid w:val="69605A13"/>
    <w:rsid w:val="69983CE0"/>
    <w:rsid w:val="6A1C1694"/>
    <w:rsid w:val="6A303461"/>
    <w:rsid w:val="6A751DB0"/>
    <w:rsid w:val="6AB95533"/>
    <w:rsid w:val="6B037E0E"/>
    <w:rsid w:val="6B250CC2"/>
    <w:rsid w:val="6BDD2B0A"/>
    <w:rsid w:val="6BDE41BB"/>
    <w:rsid w:val="6BF40AC7"/>
    <w:rsid w:val="6C5462A8"/>
    <w:rsid w:val="6C684550"/>
    <w:rsid w:val="6C6B5D3C"/>
    <w:rsid w:val="6C7041BF"/>
    <w:rsid w:val="6C917FD7"/>
    <w:rsid w:val="6DEE183F"/>
    <w:rsid w:val="6E401402"/>
    <w:rsid w:val="6E511312"/>
    <w:rsid w:val="6E9E516B"/>
    <w:rsid w:val="6F3574FF"/>
    <w:rsid w:val="6F4713D3"/>
    <w:rsid w:val="6F6F7A6D"/>
    <w:rsid w:val="6F711F0A"/>
    <w:rsid w:val="6FBB0862"/>
    <w:rsid w:val="6FC7059A"/>
    <w:rsid w:val="70106954"/>
    <w:rsid w:val="70E01718"/>
    <w:rsid w:val="712849DF"/>
    <w:rsid w:val="71BB7860"/>
    <w:rsid w:val="71C1726B"/>
    <w:rsid w:val="72302515"/>
    <w:rsid w:val="72440385"/>
    <w:rsid w:val="72CC236B"/>
    <w:rsid w:val="73761484"/>
    <w:rsid w:val="73EA0CFB"/>
    <w:rsid w:val="74207D24"/>
    <w:rsid w:val="742D334E"/>
    <w:rsid w:val="743F3C99"/>
    <w:rsid w:val="74835482"/>
    <w:rsid w:val="74877DC7"/>
    <w:rsid w:val="74DB35C2"/>
    <w:rsid w:val="75890D8F"/>
    <w:rsid w:val="75B043EA"/>
    <w:rsid w:val="76D90F68"/>
    <w:rsid w:val="77280C7C"/>
    <w:rsid w:val="77660E93"/>
    <w:rsid w:val="779E1929"/>
    <w:rsid w:val="77A613DD"/>
    <w:rsid w:val="77BB58EB"/>
    <w:rsid w:val="77C1540B"/>
    <w:rsid w:val="783E7320"/>
    <w:rsid w:val="78C43643"/>
    <w:rsid w:val="78CB19C0"/>
    <w:rsid w:val="78F35EFE"/>
    <w:rsid w:val="78FF5669"/>
    <w:rsid w:val="793275BA"/>
    <w:rsid w:val="79A724F1"/>
    <w:rsid w:val="79B53B59"/>
    <w:rsid w:val="79C1605A"/>
    <w:rsid w:val="7A247643"/>
    <w:rsid w:val="7A4B7878"/>
    <w:rsid w:val="7A6D100D"/>
    <w:rsid w:val="7B4231CA"/>
    <w:rsid w:val="7B4A207F"/>
    <w:rsid w:val="7B825670"/>
    <w:rsid w:val="7B946370"/>
    <w:rsid w:val="7C3F1529"/>
    <w:rsid w:val="7C5F16F8"/>
    <w:rsid w:val="7C6929D9"/>
    <w:rsid w:val="7C9D3E10"/>
    <w:rsid w:val="7CA82FB1"/>
    <w:rsid w:val="7CAF2E48"/>
    <w:rsid w:val="7CB122FF"/>
    <w:rsid w:val="7CF03BAF"/>
    <w:rsid w:val="7D432F98"/>
    <w:rsid w:val="7D5D39EF"/>
    <w:rsid w:val="7D9C3094"/>
    <w:rsid w:val="7DA05FAF"/>
    <w:rsid w:val="7DBA67DE"/>
    <w:rsid w:val="7DF53ACA"/>
    <w:rsid w:val="7DF7159A"/>
    <w:rsid w:val="7E7C50A3"/>
    <w:rsid w:val="7F0E4C61"/>
    <w:rsid w:val="7F3A6090"/>
    <w:rsid w:val="7F7F4C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autoRedefine/>
    <w:semiHidden/>
    <w:unhideWhenUsed/>
    <w:qFormat/>
    <w:uiPriority w:val="0"/>
    <w:pPr>
      <w:spacing w:beforeAutospacing="1" w:afterAutospacing="1"/>
      <w:jc w:val="left"/>
      <w:outlineLvl w:val="1"/>
    </w:pPr>
    <w:rPr>
      <w:rFonts w:hint="eastAsia" w:ascii="宋体" w:hAnsi="宋体" w:eastAsia="宋体" w:cs="Times New Roman"/>
      <w:b/>
      <w:bCs/>
      <w:kern w:val="0"/>
      <w:sz w:val="36"/>
      <w:szCs w:val="36"/>
    </w:rPr>
  </w:style>
  <w:style w:type="paragraph" w:styleId="3">
    <w:name w:val="heading 3"/>
    <w:basedOn w:val="1"/>
    <w:next w:val="1"/>
    <w:semiHidden/>
    <w:unhideWhenUsed/>
    <w:qFormat/>
    <w:uiPriority w:val="0"/>
    <w:pPr>
      <w:spacing w:beforeAutospacing="1" w:afterAutospacing="1"/>
      <w:jc w:val="left"/>
      <w:outlineLvl w:val="2"/>
    </w:pPr>
    <w:rPr>
      <w:rFonts w:hint="eastAsia" w:ascii="宋体" w:hAnsi="宋体" w:eastAsia="宋体" w:cs="Times New Roman"/>
      <w:b/>
      <w:bCs/>
      <w:kern w:val="0"/>
      <w:sz w:val="27"/>
      <w:szCs w:val="27"/>
    </w:rPr>
  </w:style>
  <w:style w:type="character" w:default="1" w:styleId="13">
    <w:name w:val="Default Paragraph Font"/>
    <w:unhideWhenUsed/>
    <w:qFormat/>
    <w:uiPriority w:val="1"/>
  </w:style>
  <w:style w:type="table" w:default="1" w:styleId="11">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4">
    <w:name w:val="annotation text"/>
    <w:basedOn w:val="1"/>
    <w:autoRedefine/>
    <w:qFormat/>
    <w:uiPriority w:val="0"/>
    <w:pPr>
      <w:jc w:val="left"/>
    </w:pPr>
  </w:style>
  <w:style w:type="paragraph" w:styleId="5">
    <w:name w:val="Body Text"/>
    <w:basedOn w:val="1"/>
    <w:next w:val="1"/>
    <w:semiHidden/>
    <w:qFormat/>
    <w:uiPriority w:val="0"/>
    <w:rPr>
      <w:rFonts w:ascii="仿宋" w:hAnsi="仿宋" w:eastAsia="仿宋" w:cs="仿宋"/>
      <w:sz w:val="31"/>
      <w:szCs w:val="31"/>
      <w:lang w:eastAsia="en-US"/>
    </w:rPr>
  </w:style>
  <w:style w:type="paragraph" w:styleId="6">
    <w:name w:val="toc 5"/>
    <w:basedOn w:val="1"/>
    <w:next w:val="1"/>
    <w:autoRedefine/>
    <w:qFormat/>
    <w:uiPriority w:val="0"/>
    <w:pPr>
      <w:ind w:left="1680" w:leftChars="800"/>
    </w:pPr>
  </w:style>
  <w:style w:type="paragraph" w:styleId="7">
    <w:name w:val="footer"/>
    <w:basedOn w:val="1"/>
    <w:link w:val="19"/>
    <w:autoRedefine/>
    <w:qFormat/>
    <w:uiPriority w:val="0"/>
    <w:pPr>
      <w:tabs>
        <w:tab w:val="center" w:pos="4153"/>
        <w:tab w:val="right" w:pos="8306"/>
      </w:tabs>
      <w:snapToGrid w:val="0"/>
      <w:jc w:val="left"/>
    </w:pPr>
    <w:rPr>
      <w:sz w:val="18"/>
      <w:szCs w:val="18"/>
    </w:rPr>
  </w:style>
  <w:style w:type="paragraph" w:styleId="8">
    <w:name w:val="header"/>
    <w:basedOn w:val="1"/>
    <w:link w:val="18"/>
    <w:autoRedefine/>
    <w:qFormat/>
    <w:uiPriority w:val="0"/>
    <w:pPr>
      <w:pBdr>
        <w:bottom w:val="single" w:color="auto" w:sz="6" w:space="1"/>
      </w:pBdr>
      <w:tabs>
        <w:tab w:val="center" w:pos="4153"/>
        <w:tab w:val="right" w:pos="8306"/>
      </w:tabs>
      <w:snapToGrid w:val="0"/>
      <w:jc w:val="center"/>
    </w:pPr>
    <w:rPr>
      <w:sz w:val="18"/>
      <w:szCs w:val="18"/>
    </w:rPr>
  </w:style>
  <w:style w:type="paragraph" w:styleId="9">
    <w:name w:val="toc 1"/>
    <w:basedOn w:val="1"/>
    <w:next w:val="1"/>
    <w:qFormat/>
    <w:uiPriority w:val="0"/>
  </w:style>
  <w:style w:type="paragraph" w:styleId="10">
    <w:name w:val="Normal (Web)"/>
    <w:basedOn w:val="1"/>
    <w:autoRedefine/>
    <w:qFormat/>
    <w:uiPriority w:val="0"/>
    <w:pPr>
      <w:spacing w:beforeAutospacing="1" w:afterAutospacing="1"/>
      <w:jc w:val="left"/>
    </w:pPr>
    <w:rPr>
      <w:rFonts w:cs="Times New Roman"/>
      <w:kern w:val="0"/>
      <w:sz w:val="24"/>
    </w:rPr>
  </w:style>
  <w:style w:type="table" w:styleId="12">
    <w:name w:val="Table Grid"/>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4">
    <w:name w:val="Strong"/>
    <w:basedOn w:val="13"/>
    <w:qFormat/>
    <w:uiPriority w:val="0"/>
    <w:rPr>
      <w:b/>
    </w:rPr>
  </w:style>
  <w:style w:type="character" w:styleId="15">
    <w:name w:val="Emphasis"/>
    <w:qFormat/>
    <w:uiPriority w:val="0"/>
    <w:rPr>
      <w:i/>
    </w:rPr>
  </w:style>
  <w:style w:type="character" w:styleId="16">
    <w:name w:val="Hyperlink"/>
    <w:basedOn w:val="13"/>
    <w:qFormat/>
    <w:uiPriority w:val="0"/>
    <w:rPr>
      <w:color w:val="0563C1" w:themeColor="hyperlink"/>
      <w:u w:val="single"/>
      <w14:textFill>
        <w14:solidFill>
          <w14:schemeClr w14:val="hlink"/>
        </w14:solidFill>
      </w14:textFill>
    </w:rPr>
  </w:style>
  <w:style w:type="paragraph" w:customStyle="1" w:styleId="17">
    <w:name w:val="Default"/>
    <w:basedOn w:val="1"/>
    <w:semiHidden/>
    <w:qFormat/>
    <w:uiPriority w:val="0"/>
    <w:pPr>
      <w:autoSpaceDE w:val="0"/>
      <w:autoSpaceDN w:val="0"/>
      <w:adjustRightInd w:val="0"/>
      <w:jc w:val="left"/>
    </w:pPr>
    <w:rPr>
      <w:rFonts w:ascii="宋体" w:hAnsi="Calibri" w:cs="宋体"/>
      <w:color w:val="000000"/>
      <w:kern w:val="0"/>
      <w:sz w:val="24"/>
    </w:rPr>
  </w:style>
  <w:style w:type="character" w:customStyle="1" w:styleId="18">
    <w:name w:val="页眉 字符"/>
    <w:basedOn w:val="13"/>
    <w:link w:val="8"/>
    <w:autoRedefine/>
    <w:qFormat/>
    <w:uiPriority w:val="0"/>
    <w:rPr>
      <w:rFonts w:asciiTheme="minorHAnsi" w:hAnsiTheme="minorHAnsi" w:eastAsiaTheme="minorEastAsia" w:cstheme="minorBidi"/>
      <w:kern w:val="2"/>
      <w:sz w:val="18"/>
      <w:szCs w:val="18"/>
    </w:rPr>
  </w:style>
  <w:style w:type="character" w:customStyle="1" w:styleId="19">
    <w:name w:val="页脚 字符"/>
    <w:basedOn w:val="13"/>
    <w:link w:val="7"/>
    <w:autoRedefine/>
    <w:qFormat/>
    <w:uiPriority w:val="0"/>
    <w:rPr>
      <w:rFonts w:asciiTheme="minorHAnsi" w:hAnsiTheme="minorHAnsi" w:eastAsiaTheme="minorEastAsia" w:cstheme="minorBidi"/>
      <w:kern w:val="2"/>
      <w:sz w:val="18"/>
      <w:szCs w:val="18"/>
    </w:rPr>
  </w:style>
  <w:style w:type="paragraph" w:customStyle="1" w:styleId="20">
    <w:name w:val="普通正文"/>
    <w:basedOn w:val="1"/>
    <w:autoRedefine/>
    <w:qFormat/>
    <w:uiPriority w:val="0"/>
    <w:pPr>
      <w:adjustRightInd w:val="0"/>
      <w:spacing w:before="120" w:after="120" w:line="360" w:lineRule="auto"/>
      <w:ind w:firstLine="480"/>
      <w:jc w:val="left"/>
    </w:pPr>
    <w:rPr>
      <w:rFonts w:ascii="Arial" w:hAnsi="Arial" w:eastAsia="等线" w:cs="Arial"/>
      <w:sz w:val="24"/>
    </w:rPr>
  </w:style>
  <w:style w:type="paragraph" w:customStyle="1" w:styleId="21">
    <w:name w:val="正文首行缩进 21"/>
    <w:basedOn w:val="22"/>
    <w:qFormat/>
    <w:uiPriority w:val="0"/>
    <w:pPr>
      <w:ind w:firstLine="420"/>
    </w:pPr>
  </w:style>
  <w:style w:type="paragraph" w:customStyle="1" w:styleId="22">
    <w:name w:val="正文文本缩进1"/>
    <w:basedOn w:val="1"/>
    <w:qFormat/>
    <w:uiPriority w:val="0"/>
    <w:pPr>
      <w:spacing w:after="120"/>
      <w:ind w:left="420"/>
    </w:pPr>
  </w:style>
  <w:style w:type="table" w:customStyle="1" w:styleId="23">
    <w:name w:val="Table Normal"/>
    <w:semiHidden/>
    <w:unhideWhenUsed/>
    <w:qFormat/>
    <w:uiPriority w:val="0"/>
    <w:tblPr>
      <w:tblCellMar>
        <w:top w:w="0" w:type="dxa"/>
        <w:left w:w="0" w:type="dxa"/>
        <w:bottom w:w="0" w:type="dxa"/>
        <w:right w:w="0" w:type="dxa"/>
      </w:tblCellMar>
    </w:tblPr>
  </w:style>
  <w:style w:type="paragraph" w:styleId="24">
    <w:name w:val="List Paragraph"/>
    <w:basedOn w:val="1"/>
    <w:unhideWhenUsed/>
    <w:qFormat/>
    <w:uiPriority w:val="99"/>
    <w:pPr>
      <w:ind w:firstLine="420" w:firstLineChars="200"/>
    </w:pPr>
  </w:style>
  <w:style w:type="character" w:customStyle="1" w:styleId="25">
    <w:name w:val="未处理的提及1"/>
    <w:basedOn w:val="13"/>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77</Pages>
  <Words>30857</Words>
  <Characters>32800</Characters>
  <Lines>332</Lines>
  <Paragraphs>93</Paragraphs>
  <TotalTime>2</TotalTime>
  <ScaleCrop>false</ScaleCrop>
  <LinksUpToDate>false</LinksUpToDate>
  <CharactersWithSpaces>33318</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Apeace</cp:lastModifiedBy>
  <cp:lastPrinted>2026-05-19T02:23:00Z</cp:lastPrinted>
  <dcterms:modified xsi:type="dcterms:W3CDTF">2026-05-20T07:22:52Z</dcterms:modified>
  <cp:revision>281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A4FB614C774E49DE88A98FEF2593E6A5_13</vt:lpwstr>
  </property>
  <property fmtid="{D5CDD505-2E9C-101B-9397-08002B2CF9AE}" pid="4" name="KSOTemplateDocerSaveRecord">
    <vt:lpwstr>eyJoZGlkIjoiYjUzOGU5MTRkOTIxNTYzODdlMjFjOTkxNDU2ZGFiOTYiLCJ1c2VySWQiOiIyODExODU5NDUifQ==</vt:lpwstr>
  </property>
</Properties>
</file>