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760"/>
          <w:tab w:val="left" w:pos="6300"/>
        </w:tabs>
        <w:snapToGrid w:val="0"/>
        <w:spacing w:line="300" w:lineRule="auto"/>
        <w:jc w:val="lef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p>
    <w:p>
      <w:pPr>
        <w:spacing w:line="1160" w:lineRule="exact"/>
        <w:jc w:val="center"/>
        <w:rPr>
          <w:rFonts w:hint="eastAsia" w:ascii="宋体" w:hAnsi="宋体" w:cs="宋体"/>
          <w:b/>
          <w:bCs/>
          <w:color w:val="auto"/>
          <w:sz w:val="40"/>
          <w:szCs w:val="40"/>
          <w:highlight w:val="none"/>
          <w:lang w:eastAsia="zh-CN"/>
        </w:rPr>
      </w:pPr>
      <w:r>
        <w:rPr>
          <w:rFonts w:hint="eastAsia" w:ascii="宋体" w:hAnsi="宋体" w:eastAsia="宋体" w:cs="宋体"/>
          <w:b/>
          <w:bCs/>
          <w:color w:val="auto"/>
          <w:sz w:val="40"/>
          <w:szCs w:val="40"/>
          <w:highlight w:val="none"/>
          <w:lang w:eastAsia="zh-CN"/>
        </w:rPr>
        <w:t>南通市商务局</w:t>
      </w:r>
      <w:bookmarkStart w:id="0" w:name="OLE_LINK4"/>
      <w:r>
        <w:rPr>
          <w:rFonts w:hint="eastAsia" w:ascii="宋体" w:hAnsi="宋体" w:cs="宋体"/>
          <w:b/>
          <w:bCs/>
          <w:color w:val="auto"/>
          <w:sz w:val="40"/>
          <w:szCs w:val="40"/>
          <w:highlight w:val="none"/>
          <w:lang w:eastAsia="zh-CN"/>
        </w:rPr>
        <w:t>2026第五届</w:t>
      </w:r>
      <w:r>
        <w:rPr>
          <w:rFonts w:hint="eastAsia" w:ascii="宋体" w:hAnsi="宋体" w:eastAsia="宋体" w:cs="宋体"/>
          <w:b/>
          <w:bCs/>
          <w:color w:val="auto"/>
          <w:sz w:val="40"/>
          <w:szCs w:val="40"/>
          <w:highlight w:val="none"/>
          <w:lang w:eastAsia="zh-CN"/>
        </w:rPr>
        <w:t>南通啤酒</w:t>
      </w:r>
      <w:bookmarkEnd w:id="0"/>
      <w:r>
        <w:rPr>
          <w:rFonts w:hint="eastAsia" w:ascii="宋体" w:hAnsi="宋体" w:cs="宋体"/>
          <w:b/>
          <w:bCs/>
          <w:color w:val="auto"/>
          <w:sz w:val="40"/>
          <w:szCs w:val="40"/>
          <w:highlight w:val="none"/>
          <w:lang w:eastAsia="zh-CN"/>
        </w:rPr>
        <w:t>嘉</w:t>
      </w:r>
      <w:bookmarkStart w:id="109" w:name="_GoBack"/>
      <w:bookmarkEnd w:id="109"/>
      <w:r>
        <w:rPr>
          <w:rFonts w:hint="eastAsia" w:ascii="宋体" w:hAnsi="宋体" w:cs="宋体"/>
          <w:b/>
          <w:bCs/>
          <w:color w:val="auto"/>
          <w:sz w:val="40"/>
          <w:szCs w:val="40"/>
          <w:highlight w:val="none"/>
          <w:lang w:eastAsia="zh-CN"/>
        </w:rPr>
        <w:t>年华</w:t>
      </w:r>
    </w:p>
    <w:p>
      <w:pPr>
        <w:spacing w:line="1160" w:lineRule="exact"/>
        <w:jc w:val="center"/>
        <w:rPr>
          <w:rFonts w:hint="eastAsia" w:ascii="宋体" w:hAnsi="宋体" w:eastAsia="宋体" w:cs="宋体"/>
          <w:b/>
          <w:bCs/>
          <w:color w:val="auto"/>
          <w:sz w:val="40"/>
          <w:szCs w:val="40"/>
          <w:highlight w:val="none"/>
          <w:lang w:eastAsia="zh-CN"/>
        </w:rPr>
      </w:pPr>
      <w:r>
        <w:rPr>
          <w:rFonts w:hint="eastAsia" w:ascii="宋体" w:hAnsi="宋体" w:cs="宋体"/>
          <w:b/>
          <w:bCs/>
          <w:color w:val="auto"/>
          <w:sz w:val="40"/>
          <w:szCs w:val="40"/>
          <w:highlight w:val="none"/>
          <w:lang w:eastAsia="zh-CN"/>
        </w:rPr>
        <w:t>活动</w:t>
      </w:r>
      <w:r>
        <w:rPr>
          <w:rFonts w:hint="eastAsia" w:ascii="宋体" w:hAnsi="宋体" w:eastAsia="宋体" w:cs="宋体"/>
          <w:b/>
          <w:bCs/>
          <w:color w:val="auto"/>
          <w:sz w:val="40"/>
          <w:szCs w:val="40"/>
          <w:highlight w:val="none"/>
          <w:lang w:eastAsia="zh-CN"/>
        </w:rPr>
        <w:t>举办项目</w:t>
      </w:r>
    </w:p>
    <w:p>
      <w:pPr>
        <w:pStyle w:val="9"/>
        <w:rPr>
          <w:rFonts w:hint="eastAsia" w:ascii="宋体" w:hAnsi="宋体" w:eastAsia="宋体" w:cs="宋体"/>
          <w:color w:val="auto"/>
          <w:highlight w:val="none"/>
        </w:rPr>
      </w:pPr>
    </w:p>
    <w:p>
      <w:pPr>
        <w:spacing w:line="14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政府采购</w:t>
      </w:r>
    </w:p>
    <w:p>
      <w:pPr>
        <w:spacing w:line="14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竞争性磋商文件</w:t>
      </w:r>
    </w:p>
    <w:p>
      <w:pPr>
        <w:spacing w:line="72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（资格后审）</w:t>
      </w:r>
    </w:p>
    <w:p>
      <w:pPr>
        <w:snapToGrid w:val="0"/>
        <w:spacing w:line="360" w:lineRule="auto"/>
        <w:jc w:val="center"/>
        <w:rPr>
          <w:rFonts w:hint="eastAsia" w:ascii="宋体" w:hAnsi="宋体" w:eastAsia="宋体" w:cs="宋体"/>
          <w:b/>
          <w:color w:val="auto"/>
          <w:sz w:val="36"/>
          <w:highlight w:val="none"/>
        </w:rPr>
      </w:pPr>
    </w:p>
    <w:p>
      <w:pPr>
        <w:spacing w:line="720" w:lineRule="auto"/>
        <w:jc w:val="center"/>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rPr>
        <w:t>项目编号：</w:t>
      </w:r>
      <w:r>
        <w:rPr>
          <w:rFonts w:hint="eastAsia" w:ascii="宋体" w:hAnsi="宋体" w:cs="宋体"/>
          <w:b/>
          <w:color w:val="auto"/>
          <w:sz w:val="32"/>
          <w:szCs w:val="32"/>
          <w:highlight w:val="none"/>
          <w:lang w:eastAsia="zh-CN"/>
        </w:rPr>
        <w:t>JSZC-320600-ZYZB-C2026-0011</w:t>
      </w:r>
      <w:r>
        <w:rPr>
          <w:rFonts w:hint="eastAsia" w:ascii="宋体" w:hAnsi="宋体" w:eastAsia="宋体" w:cs="宋体"/>
          <w:b/>
          <w:color w:val="auto"/>
          <w:sz w:val="32"/>
          <w:szCs w:val="32"/>
          <w:highlight w:val="none"/>
          <w:lang w:val="en-US" w:eastAsia="zh-CN"/>
        </w:rPr>
        <w:t xml:space="preserve">  </w:t>
      </w:r>
    </w:p>
    <w:p>
      <w:pPr>
        <w:snapToGrid w:val="0"/>
        <w:spacing w:line="360" w:lineRule="auto"/>
        <w:rPr>
          <w:rFonts w:hint="eastAsia" w:ascii="宋体" w:hAnsi="宋体" w:eastAsia="宋体" w:cs="宋体"/>
          <w:b/>
          <w:color w:val="auto"/>
          <w:sz w:val="36"/>
          <w:highlight w:val="none"/>
        </w:rPr>
      </w:pPr>
    </w:p>
    <w:p>
      <w:pPr>
        <w:snapToGrid w:val="0"/>
        <w:spacing w:line="360" w:lineRule="auto"/>
        <w:jc w:val="center"/>
        <w:rPr>
          <w:rFonts w:hint="eastAsia" w:ascii="宋体" w:hAnsi="宋体" w:eastAsia="宋体" w:cs="宋体"/>
          <w:b/>
          <w:color w:val="auto"/>
          <w:sz w:val="36"/>
          <w:highlight w:val="none"/>
        </w:rPr>
      </w:pPr>
    </w:p>
    <w:p>
      <w:pPr>
        <w:adjustRightInd w:val="0"/>
        <w:snapToGrid w:val="0"/>
        <w:spacing w:line="360" w:lineRule="auto"/>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采购人</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eastAsia="zh-CN"/>
        </w:rPr>
        <w:t>南通市商务局</w:t>
      </w:r>
    </w:p>
    <w:p>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代理机构：江苏正扬招标代理有限公司</w:t>
      </w:r>
    </w:p>
    <w:p>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202</w:t>
      </w:r>
      <w:r>
        <w:rPr>
          <w:rFonts w:hint="eastAsia" w:ascii="宋体" w:hAnsi="宋体" w:cs="宋体"/>
          <w:b/>
          <w:color w:val="auto"/>
          <w:sz w:val="30"/>
          <w:szCs w:val="30"/>
          <w:highlight w:val="none"/>
          <w:lang w:val="en-US" w:eastAsia="zh-CN"/>
        </w:rPr>
        <w:t>6</w:t>
      </w:r>
      <w:r>
        <w:rPr>
          <w:rFonts w:hint="eastAsia" w:ascii="宋体" w:hAnsi="宋体" w:eastAsia="宋体" w:cs="宋体"/>
          <w:b/>
          <w:color w:val="auto"/>
          <w:sz w:val="30"/>
          <w:szCs w:val="30"/>
          <w:highlight w:val="none"/>
        </w:rPr>
        <w:t>年</w:t>
      </w:r>
      <w:r>
        <w:rPr>
          <w:rFonts w:hint="eastAsia" w:ascii="宋体" w:hAnsi="宋体" w:cs="宋体"/>
          <w:b/>
          <w:color w:val="auto"/>
          <w:sz w:val="30"/>
          <w:szCs w:val="30"/>
          <w:highlight w:val="none"/>
          <w:lang w:val="en-US" w:eastAsia="zh-CN"/>
        </w:rPr>
        <w:t>6</w:t>
      </w:r>
      <w:r>
        <w:rPr>
          <w:rFonts w:hint="eastAsia" w:ascii="宋体" w:hAnsi="宋体" w:eastAsia="宋体" w:cs="宋体"/>
          <w:b/>
          <w:color w:val="auto"/>
          <w:sz w:val="30"/>
          <w:szCs w:val="30"/>
          <w:highlight w:val="none"/>
        </w:rPr>
        <w:t>月</w:t>
      </w:r>
    </w:p>
    <w:p>
      <w:pPr>
        <w:pStyle w:val="7"/>
        <w:overflowPunct w:val="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pPr>
        <w:pStyle w:val="7"/>
        <w:overflowPunct w:val="0"/>
        <w:ind w:firstLine="0"/>
        <w:jc w:val="center"/>
        <w:rPr>
          <w:rFonts w:hint="eastAsia" w:ascii="宋体" w:hAnsi="宋体" w:eastAsia="宋体" w:cs="宋体"/>
          <w:b/>
          <w:color w:val="auto"/>
          <w:sz w:val="44"/>
          <w:szCs w:val="44"/>
          <w:highlight w:val="none"/>
        </w:rPr>
      </w:pPr>
    </w:p>
    <w:p>
      <w:pPr>
        <w:pStyle w:val="7"/>
        <w:overflowPunct w:val="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pPr>
        <w:pStyle w:val="7"/>
        <w:overflowPunct w:val="0"/>
        <w:ind w:firstLine="0"/>
        <w:jc w:val="center"/>
        <w:rPr>
          <w:rFonts w:hint="eastAsia" w:ascii="宋体" w:hAnsi="宋体" w:eastAsia="宋体" w:cs="宋体"/>
          <w:color w:val="auto"/>
          <w:sz w:val="30"/>
          <w:highlight w:val="none"/>
        </w:rPr>
      </w:pPr>
    </w:p>
    <w:p>
      <w:pPr>
        <w:pStyle w:val="19"/>
        <w:tabs>
          <w:tab w:val="right" w:leader="dot" w:pos="9528"/>
        </w:tabs>
        <w:spacing w:line="1200" w:lineRule="exact"/>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w:t>
      </w:r>
      <w:r>
        <w:rPr>
          <w:rFonts w:hint="eastAsia" w:ascii="宋体" w:hAnsi="宋体" w:eastAsia="宋体" w:cs="宋体"/>
          <w:color w:val="auto"/>
          <w:sz w:val="32"/>
          <w:szCs w:val="32"/>
          <w:highlight w:val="none"/>
          <w:lang w:val="en-US" w:eastAsia="zh-CN"/>
        </w:rPr>
        <w:t>磋商邀请</w:t>
      </w:r>
    </w:p>
    <w:p>
      <w:pPr>
        <w:pStyle w:val="19"/>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w:t>
      </w:r>
      <w:r>
        <w:rPr>
          <w:rFonts w:hint="eastAsia" w:ascii="宋体" w:hAnsi="宋体" w:eastAsia="宋体" w:cs="宋体"/>
          <w:color w:val="auto"/>
          <w:sz w:val="32"/>
          <w:szCs w:val="32"/>
          <w:highlight w:val="none"/>
          <w:lang w:val="en-US" w:eastAsia="zh-CN"/>
        </w:rPr>
        <w:t>供应商须知</w:t>
      </w:r>
    </w:p>
    <w:p>
      <w:pPr>
        <w:pStyle w:val="19"/>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第三章 项目需求</w:t>
      </w:r>
    </w:p>
    <w:p>
      <w:pPr>
        <w:pStyle w:val="19"/>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第四章 评审方法和程序</w:t>
      </w:r>
    </w:p>
    <w:p>
      <w:pPr>
        <w:spacing w:line="1200" w:lineRule="exact"/>
        <w:rPr>
          <w:rFonts w:hint="eastAsia" w:ascii="宋体" w:hAnsi="宋体" w:eastAsia="宋体" w:cs="宋体"/>
          <w:bCs/>
          <w:color w:val="auto"/>
          <w:sz w:val="32"/>
          <w:szCs w:val="32"/>
          <w:highlight w:val="none"/>
          <w:shd w:val="clear" w:color="auto" w:fill="auto"/>
        </w:rPr>
      </w:pPr>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 xml:space="preserve">章 </w:t>
      </w:r>
      <w:r>
        <w:rPr>
          <w:rFonts w:hint="eastAsia" w:ascii="宋体" w:hAnsi="宋体" w:eastAsia="宋体" w:cs="宋体"/>
          <w:bCs/>
          <w:color w:val="auto"/>
          <w:sz w:val="32"/>
          <w:szCs w:val="32"/>
          <w:highlight w:val="none"/>
          <w:shd w:val="clear" w:color="auto" w:fill="auto"/>
        </w:rPr>
        <w:t>合同格式</w:t>
      </w:r>
    </w:p>
    <w:p>
      <w:pPr>
        <w:spacing w:line="1200" w:lineRule="exact"/>
        <w:rPr>
          <w:rFonts w:hint="eastAsia" w:ascii="宋体" w:hAnsi="宋体" w:eastAsia="宋体" w:cs="宋体"/>
          <w:b/>
          <w:bCs/>
          <w:color w:val="auto"/>
          <w:sz w:val="36"/>
          <w:szCs w:val="36"/>
          <w:highlight w:val="none"/>
        </w:rPr>
      </w:pPr>
      <w:r>
        <w:rPr>
          <w:rFonts w:hint="eastAsia" w:ascii="宋体" w:hAnsi="宋体" w:eastAsia="宋体" w:cs="宋体"/>
          <w:bCs/>
          <w:color w:val="auto"/>
          <w:sz w:val="32"/>
          <w:szCs w:val="32"/>
          <w:highlight w:val="none"/>
          <w:shd w:val="clear" w:color="auto" w:fill="auto"/>
          <w:lang w:val="en-US" w:eastAsia="zh-CN"/>
        </w:rPr>
        <w:t xml:space="preserve">第六章 </w:t>
      </w:r>
      <w:r>
        <w:rPr>
          <w:rFonts w:hint="eastAsia" w:ascii="宋体" w:hAnsi="宋体" w:eastAsia="宋体" w:cs="宋体"/>
          <w:color w:val="auto"/>
          <w:sz w:val="32"/>
          <w:szCs w:val="32"/>
          <w:highlight w:val="none"/>
        </w:rPr>
        <w:t>响应文件组成</w:t>
      </w:r>
      <w:r>
        <w:rPr>
          <w:rFonts w:hint="eastAsia" w:ascii="宋体" w:hAnsi="宋体" w:eastAsia="宋体" w:cs="宋体"/>
          <w:b/>
          <w:bCs/>
          <w:color w:val="auto"/>
          <w:sz w:val="36"/>
          <w:szCs w:val="36"/>
          <w:highlight w:val="none"/>
        </w:rPr>
        <w:fldChar w:fldCharType="end"/>
      </w:r>
    </w:p>
    <w:p>
      <w:pPr>
        <w:rPr>
          <w:rFonts w:hint="eastAsia" w:ascii="宋体" w:hAnsi="宋体" w:eastAsia="宋体" w:cs="宋体"/>
          <w:b/>
          <w:bCs/>
          <w:color w:val="auto"/>
          <w:sz w:val="36"/>
          <w:szCs w:val="36"/>
          <w:highlight w:val="none"/>
        </w:rPr>
      </w:pPr>
    </w:p>
    <w:p>
      <w:pPr>
        <w:rPr>
          <w:rFonts w:hint="eastAsia" w:ascii="宋体" w:hAnsi="宋体" w:eastAsia="宋体" w:cs="宋体"/>
          <w:b/>
          <w:bCs/>
          <w:color w:val="auto"/>
          <w:sz w:val="36"/>
          <w:szCs w:val="36"/>
          <w:highlight w:val="none"/>
        </w:rPr>
      </w:pPr>
    </w:p>
    <w:p>
      <w:pPr>
        <w:rPr>
          <w:rFonts w:hint="eastAsia" w:ascii="宋体" w:hAnsi="宋体" w:eastAsia="宋体" w:cs="宋体"/>
          <w:b/>
          <w:bCs/>
          <w:color w:val="auto"/>
          <w:sz w:val="36"/>
          <w:szCs w:val="36"/>
          <w:highlight w:val="none"/>
        </w:rPr>
      </w:pPr>
    </w:p>
    <w:p>
      <w:pPr>
        <w:snapToGrid w:val="0"/>
        <w:spacing w:line="360" w:lineRule="auto"/>
        <w:rPr>
          <w:rFonts w:hint="eastAsia" w:ascii="宋体" w:hAnsi="宋体" w:eastAsia="宋体" w:cs="宋体"/>
          <w:b/>
          <w:color w:val="auto"/>
          <w:szCs w:val="21"/>
          <w:highlight w:val="none"/>
        </w:rPr>
      </w:pPr>
      <w:r>
        <w:rPr>
          <w:rFonts w:hint="eastAsia" w:ascii="宋体" w:hAnsi="宋体" w:eastAsia="宋体" w:cs="宋体"/>
          <w:color w:val="auto"/>
          <w:w w:val="80"/>
          <w:szCs w:val="44"/>
          <w:highlight w:val="none"/>
        </w:rPr>
        <w:br w:type="page"/>
      </w:r>
      <w:r>
        <w:rPr>
          <w:rFonts w:hint="eastAsia" w:ascii="宋体" w:hAnsi="宋体" w:eastAsia="宋体" w:cs="宋体"/>
          <w:b/>
          <w:color w:val="auto"/>
          <w:szCs w:val="21"/>
          <w:highlight w:val="none"/>
        </w:rPr>
        <w:t>尊敬的供应商：</w:t>
      </w:r>
    </w:p>
    <w:p>
      <w:pPr>
        <w:pStyle w:val="3"/>
        <w:keepNext w:val="0"/>
        <w:keepLines w:val="0"/>
        <w:adjustRightInd w:val="0"/>
        <w:snapToGrid w:val="0"/>
        <w:spacing w:before="0" w:after="0" w:line="360" w:lineRule="auto"/>
        <w:ind w:firstLine="420" w:firstLineChars="200"/>
        <w:jc w:val="left"/>
        <w:textAlignment w:val="baseline"/>
        <w:rPr>
          <w:rFonts w:hint="eastAsia" w:ascii="宋体" w:hAnsi="宋体" w:eastAsia="宋体" w:cs="宋体"/>
          <w:color w:val="auto"/>
          <w:w w:val="80"/>
          <w:szCs w:val="44"/>
          <w:highlight w:val="none"/>
        </w:rPr>
      </w:pPr>
      <w:r>
        <w:rPr>
          <w:rFonts w:hint="eastAsia" w:ascii="宋体" w:hAnsi="宋体" w:eastAsia="宋体" w:cs="宋体"/>
          <w:color w:val="auto"/>
          <w:kern w:val="2"/>
          <w:sz w:val="21"/>
          <w:szCs w:val="21"/>
          <w:highlight w:val="none"/>
        </w:rPr>
        <w:t>欢迎参加本采购项目的竞争性磋商。为了保证本次磋商项目顺利进行，请在制作响应文件之前，仔细阅读本竞争性磋商文件的各项条款，并按要求制作和递交响应文件。谢谢合作！</w:t>
      </w:r>
    </w:p>
    <w:p>
      <w:pPr>
        <w:pStyle w:val="3"/>
        <w:keepNext w:val="0"/>
        <w:keepLines w:val="0"/>
        <w:adjustRightInd w:val="0"/>
        <w:snapToGrid w:val="0"/>
        <w:spacing w:before="0" w:after="0" w:line="800" w:lineRule="exact"/>
        <w:jc w:val="center"/>
        <w:textAlignment w:val="baseline"/>
        <w:rPr>
          <w:rFonts w:hint="eastAsia" w:ascii="宋体" w:hAnsi="宋体" w:eastAsia="宋体" w:cs="宋体"/>
          <w:color w:val="auto"/>
          <w:w w:val="80"/>
          <w:szCs w:val="44"/>
          <w:highlight w:val="none"/>
          <w:lang w:val="en-US" w:eastAsia="zh-CN"/>
        </w:rPr>
      </w:pPr>
      <w:r>
        <w:rPr>
          <w:rFonts w:hint="eastAsia" w:ascii="宋体" w:hAnsi="宋体" w:eastAsia="宋体" w:cs="宋体"/>
          <w:color w:val="auto"/>
          <w:w w:val="80"/>
          <w:szCs w:val="44"/>
          <w:highlight w:val="none"/>
        </w:rPr>
        <w:t xml:space="preserve">第一章  </w:t>
      </w:r>
      <w:r>
        <w:rPr>
          <w:rFonts w:hint="eastAsia" w:ascii="宋体" w:hAnsi="宋体" w:eastAsia="宋体" w:cs="宋体"/>
          <w:color w:val="auto"/>
          <w:w w:val="80"/>
          <w:szCs w:val="44"/>
          <w:highlight w:val="none"/>
          <w:lang w:val="en-US" w:eastAsia="zh-CN"/>
        </w:rPr>
        <w:t>磋商邀请</w:t>
      </w:r>
    </w:p>
    <w:p>
      <w:pPr>
        <w:rPr>
          <w:rFonts w:hint="eastAsia" w:ascii="宋体" w:hAnsi="宋体" w:eastAsia="宋体" w:cs="宋体"/>
          <w:color w:val="auto"/>
          <w:highlight w:val="none"/>
        </w:rPr>
      </w:pPr>
    </w:p>
    <w:p>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Cs w:val="21"/>
          <w:highlight w:val="none"/>
          <w:shd w:val="clear" w:color="auto" w:fill="auto"/>
          <w:lang w:eastAsia="zh-CN"/>
        </w:rPr>
      </w:pPr>
      <w:r>
        <w:rPr>
          <w:rFonts w:hint="eastAsia" w:ascii="宋体" w:hAnsi="宋体" w:eastAsia="宋体" w:cs="宋体"/>
          <w:color w:val="auto"/>
          <w:kern w:val="0"/>
          <w:szCs w:val="21"/>
          <w:highlight w:val="none"/>
          <w:shd w:val="clear" w:color="auto" w:fill="auto"/>
          <w:lang w:eastAsia="zh-CN"/>
        </w:rPr>
        <w:t>项目概况</w:t>
      </w:r>
    </w:p>
    <w:p>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kern w:val="0"/>
          <w:szCs w:val="21"/>
          <w:highlight w:val="none"/>
          <w:shd w:val="clear" w:color="auto" w:fill="auto"/>
          <w:lang w:eastAsia="zh-CN"/>
        </w:rPr>
      </w:pPr>
      <w:r>
        <w:rPr>
          <w:rFonts w:hint="eastAsia" w:ascii="宋体" w:hAnsi="宋体" w:cs="宋体"/>
          <w:color w:val="auto"/>
          <w:kern w:val="0"/>
          <w:szCs w:val="21"/>
          <w:highlight w:val="none"/>
          <w:shd w:val="clear" w:color="auto" w:fill="auto"/>
          <w:lang w:eastAsia="zh-CN"/>
        </w:rPr>
        <w:t>南通市商务局2026第五届南通啤酒嘉年华举办项目</w:t>
      </w:r>
      <w:r>
        <w:rPr>
          <w:rFonts w:hint="eastAsia" w:ascii="宋体" w:hAnsi="宋体" w:eastAsia="宋体" w:cs="宋体"/>
          <w:color w:val="auto"/>
          <w:kern w:val="0"/>
          <w:szCs w:val="21"/>
          <w:highlight w:val="none"/>
          <w:shd w:val="clear" w:color="auto" w:fill="auto"/>
          <w:lang w:eastAsia="zh-CN"/>
        </w:rPr>
        <w:t>（</w:t>
      </w:r>
      <w:r>
        <w:rPr>
          <w:rFonts w:hint="eastAsia" w:ascii="宋体" w:hAnsi="宋体" w:cs="宋体"/>
          <w:color w:val="auto"/>
          <w:kern w:val="0"/>
          <w:szCs w:val="21"/>
          <w:highlight w:val="none"/>
          <w:shd w:val="clear" w:color="auto" w:fill="auto"/>
          <w:lang w:eastAsia="zh-CN"/>
        </w:rPr>
        <w:t>JSZC-320600-ZYZB-C2026-0011</w:t>
      </w:r>
      <w:r>
        <w:rPr>
          <w:rFonts w:hint="eastAsia" w:ascii="宋体" w:hAnsi="宋体" w:eastAsia="宋体" w:cs="宋体"/>
          <w:color w:val="auto"/>
          <w:kern w:val="0"/>
          <w:szCs w:val="21"/>
          <w:highlight w:val="none"/>
          <w:shd w:val="clear" w:color="auto" w:fill="auto"/>
          <w:lang w:eastAsia="zh-CN"/>
        </w:rPr>
        <w:t>）的潜在供</w:t>
      </w:r>
      <w:r>
        <w:rPr>
          <w:rFonts w:hint="eastAsia" w:ascii="宋体" w:hAnsi="宋体" w:eastAsia="宋体" w:cs="宋体"/>
          <w:color w:val="auto"/>
          <w:kern w:val="0"/>
          <w:szCs w:val="21"/>
          <w:highlight w:val="none"/>
          <w:shd w:val="clear" w:color="auto" w:fill="auto"/>
          <w:lang w:val="en-US" w:eastAsia="en-US"/>
        </w:rPr>
        <w:t>应商应在</w:t>
      </w:r>
      <w:r>
        <w:rPr>
          <w:rFonts w:hint="eastAsia" w:ascii="宋体" w:hAnsi="宋体" w:eastAsia="宋体" w:cs="宋体"/>
          <w:color w:val="auto"/>
          <w:kern w:val="0"/>
          <w:szCs w:val="21"/>
          <w:highlight w:val="none"/>
          <w:shd w:val="clear" w:color="auto" w:fill="auto"/>
          <w:lang w:val="en-US" w:eastAsia="zh-CN"/>
        </w:rPr>
        <w:t>苏采云系统</w:t>
      </w:r>
      <w:r>
        <w:rPr>
          <w:rFonts w:hint="eastAsia" w:ascii="宋体" w:hAnsi="宋体" w:eastAsia="宋体" w:cs="宋体"/>
          <w:color w:val="auto"/>
          <w:kern w:val="0"/>
          <w:szCs w:val="21"/>
          <w:highlight w:val="none"/>
          <w:shd w:val="clear" w:color="auto" w:fill="auto"/>
          <w:lang w:val="en-US" w:eastAsia="en-US"/>
        </w:rPr>
        <w:t>内</w:t>
      </w:r>
      <w:r>
        <w:rPr>
          <w:rFonts w:hint="eastAsia" w:ascii="宋体" w:hAnsi="宋体" w:eastAsia="宋体" w:cs="宋体"/>
          <w:color w:val="auto"/>
          <w:kern w:val="0"/>
          <w:szCs w:val="21"/>
          <w:highlight w:val="none"/>
          <w:shd w:val="clear" w:color="auto" w:fill="auto"/>
          <w:lang w:val="en-US" w:eastAsia="zh-CN"/>
        </w:rPr>
        <w:t>获取磋商文件</w:t>
      </w:r>
      <w:r>
        <w:rPr>
          <w:rFonts w:hint="eastAsia" w:ascii="宋体" w:hAnsi="宋体" w:eastAsia="宋体" w:cs="宋体"/>
          <w:color w:val="auto"/>
          <w:kern w:val="0"/>
          <w:szCs w:val="21"/>
          <w:highlight w:val="none"/>
          <w:shd w:val="clear" w:color="auto" w:fill="auto"/>
          <w:lang w:eastAsia="zh-CN"/>
        </w:rPr>
        <w:t>，并于</w:t>
      </w:r>
      <w:r>
        <w:rPr>
          <w:rFonts w:hint="eastAsia" w:ascii="宋体" w:hAnsi="宋体" w:cs="宋体"/>
          <w:color w:val="auto"/>
          <w:kern w:val="0"/>
          <w:szCs w:val="21"/>
          <w:highlight w:val="none"/>
          <w:shd w:val="clear" w:color="auto" w:fill="auto"/>
          <w:lang w:eastAsia="zh-CN"/>
        </w:rPr>
        <w:t>2026年</w:t>
      </w:r>
      <w:r>
        <w:rPr>
          <w:rFonts w:hint="eastAsia" w:ascii="宋体" w:hAnsi="宋体" w:cs="宋体"/>
          <w:color w:val="auto"/>
          <w:kern w:val="0"/>
          <w:szCs w:val="21"/>
          <w:highlight w:val="none"/>
          <w:shd w:val="clear" w:color="auto" w:fill="auto"/>
          <w:lang w:val="en-US" w:eastAsia="zh-CN"/>
        </w:rPr>
        <w:t>6</w:t>
      </w:r>
      <w:r>
        <w:rPr>
          <w:rFonts w:hint="eastAsia" w:ascii="宋体" w:hAnsi="宋体" w:cs="宋体"/>
          <w:color w:val="auto"/>
          <w:kern w:val="0"/>
          <w:szCs w:val="21"/>
          <w:highlight w:val="none"/>
          <w:shd w:val="clear" w:color="auto" w:fill="auto"/>
          <w:lang w:eastAsia="zh-CN"/>
        </w:rPr>
        <w:t>月</w:t>
      </w:r>
      <w:r>
        <w:rPr>
          <w:rFonts w:hint="eastAsia" w:ascii="宋体" w:hAnsi="宋体" w:cs="宋体"/>
          <w:color w:val="auto"/>
          <w:kern w:val="0"/>
          <w:szCs w:val="21"/>
          <w:highlight w:val="none"/>
          <w:shd w:val="clear" w:color="auto" w:fill="auto"/>
          <w:lang w:val="en-US" w:eastAsia="zh-CN"/>
        </w:rPr>
        <w:t>22</w:t>
      </w:r>
      <w:r>
        <w:rPr>
          <w:rFonts w:hint="eastAsia" w:ascii="宋体" w:hAnsi="宋体" w:cs="宋体"/>
          <w:color w:val="auto"/>
          <w:kern w:val="0"/>
          <w:szCs w:val="21"/>
          <w:highlight w:val="none"/>
          <w:shd w:val="clear" w:color="auto" w:fill="auto"/>
          <w:lang w:eastAsia="zh-CN"/>
        </w:rPr>
        <w:t>日</w:t>
      </w:r>
      <w:r>
        <w:rPr>
          <w:rFonts w:hint="eastAsia" w:ascii="宋体" w:hAnsi="宋体" w:eastAsia="宋体" w:cs="宋体"/>
          <w:color w:val="auto"/>
          <w:kern w:val="0"/>
          <w:szCs w:val="21"/>
          <w:highlight w:val="none"/>
          <w:shd w:val="clear" w:color="auto" w:fill="auto"/>
          <w:lang w:val="en-US" w:eastAsia="zh-CN"/>
        </w:rPr>
        <w:t>09点30分</w:t>
      </w:r>
      <w:r>
        <w:rPr>
          <w:rFonts w:hint="eastAsia" w:ascii="宋体" w:hAnsi="宋体" w:eastAsia="宋体" w:cs="宋体"/>
          <w:color w:val="auto"/>
          <w:kern w:val="0"/>
          <w:szCs w:val="21"/>
          <w:highlight w:val="none"/>
          <w:shd w:val="clear" w:color="auto" w:fill="auto"/>
          <w:lang w:eastAsia="zh-CN"/>
        </w:rPr>
        <w:t>（北京时间）前提交响应文件。</w:t>
      </w:r>
    </w:p>
    <w:p>
      <w:pPr>
        <w:rPr>
          <w:rFonts w:hint="eastAsia" w:ascii="宋体" w:hAnsi="宋体" w:eastAsia="宋体" w:cs="宋体"/>
          <w:color w:val="auto"/>
          <w:highlight w:val="none"/>
        </w:rPr>
      </w:pPr>
    </w:p>
    <w:p>
      <w:pPr>
        <w:pStyle w:val="4"/>
        <w:spacing w:before="0" w:after="0" w:line="440" w:lineRule="exact"/>
        <w:rPr>
          <w:rFonts w:hint="eastAsia" w:ascii="宋体" w:hAnsi="宋体" w:eastAsia="宋体" w:cs="宋体"/>
          <w:color w:val="auto"/>
          <w:sz w:val="21"/>
          <w:szCs w:val="21"/>
          <w:highlight w:val="none"/>
        </w:rPr>
      </w:pPr>
      <w:bookmarkStart w:id="1" w:name="_Toc35393798"/>
      <w:bookmarkStart w:id="2" w:name="_Toc35393629"/>
      <w:bookmarkStart w:id="3" w:name="_Toc28359089"/>
      <w:bookmarkStart w:id="4" w:name="_Toc28359012"/>
      <w:r>
        <w:rPr>
          <w:rFonts w:hint="eastAsia" w:ascii="宋体" w:hAnsi="宋体" w:eastAsia="宋体" w:cs="宋体"/>
          <w:color w:val="auto"/>
          <w:sz w:val="21"/>
          <w:szCs w:val="21"/>
          <w:highlight w:val="none"/>
        </w:rPr>
        <w:t>一、项目基本情况</w:t>
      </w:r>
      <w:bookmarkEnd w:id="1"/>
      <w:bookmarkEnd w:id="2"/>
      <w:bookmarkEnd w:id="3"/>
      <w:bookmarkEnd w:id="4"/>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lang w:eastAsia="zh-CN"/>
        </w:rPr>
        <w:t>JSZC-320600-ZYZB-C2026-0011</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lang w:eastAsia="zh-CN"/>
        </w:rPr>
        <w:t>南通市商务局2026第五届南通啤酒嘉年华举办项目</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.预算金额：</w:t>
      </w:r>
      <w:r>
        <w:rPr>
          <w:rFonts w:hint="eastAsia" w:ascii="宋体" w:hAnsi="宋体" w:cs="宋体"/>
          <w:color w:val="auto"/>
          <w:szCs w:val="21"/>
          <w:highlight w:val="none"/>
          <w:lang w:eastAsia="zh-CN"/>
        </w:rPr>
        <w:t>120万元</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.最高限价：</w:t>
      </w:r>
      <w:r>
        <w:rPr>
          <w:rFonts w:hint="eastAsia" w:ascii="宋体" w:hAnsi="宋体" w:cs="宋体"/>
          <w:color w:val="auto"/>
          <w:szCs w:val="21"/>
          <w:highlight w:val="none"/>
          <w:lang w:eastAsia="zh-CN"/>
        </w:rPr>
        <w:t>120万元；</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.采购需求：详见</w:t>
      </w:r>
      <w:r>
        <w:rPr>
          <w:rFonts w:hint="eastAsia" w:ascii="宋体" w:hAnsi="宋体" w:eastAsia="宋体" w:cs="宋体"/>
          <w:color w:val="auto"/>
          <w:szCs w:val="21"/>
          <w:highlight w:val="none"/>
          <w:lang w:val="en-US" w:eastAsia="zh-CN"/>
        </w:rPr>
        <w:t>采购文件</w:t>
      </w:r>
      <w:r>
        <w:rPr>
          <w:rFonts w:hint="eastAsia" w:ascii="宋体" w:hAnsi="宋体" w:eastAsia="宋体" w:cs="宋体"/>
          <w:color w:val="auto"/>
          <w:szCs w:val="21"/>
          <w:highlight w:val="none"/>
        </w:rPr>
        <w:t>第三章</w:t>
      </w:r>
      <w:r>
        <w:rPr>
          <w:rFonts w:hint="eastAsia" w:ascii="宋体" w:hAnsi="宋体" w:eastAsia="宋体" w:cs="宋体"/>
          <w:color w:val="auto"/>
          <w:szCs w:val="21"/>
          <w:highlight w:val="none"/>
          <w:lang w:val="en-US" w:eastAsia="en-US"/>
        </w:rPr>
        <w:t>，请仔细研究</w:t>
      </w:r>
      <w:r>
        <w:rPr>
          <w:rFonts w:hint="eastAsia" w:ascii="宋体" w:hAnsi="宋体" w:eastAsia="宋体" w:cs="宋体"/>
          <w:color w:val="auto"/>
          <w:szCs w:val="21"/>
          <w:highlight w:val="none"/>
        </w:rPr>
        <w:t>；</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.合</w:t>
      </w:r>
      <w:r>
        <w:rPr>
          <w:rFonts w:hint="eastAsia" w:ascii="宋体" w:hAnsi="宋体" w:eastAsia="宋体" w:cs="宋体"/>
          <w:color w:val="auto"/>
          <w:szCs w:val="21"/>
          <w:highlight w:val="none"/>
          <w:lang w:eastAsia="zh-CN"/>
        </w:rPr>
        <w:t>同履行期限：</w:t>
      </w:r>
      <w:bookmarkStart w:id="5" w:name="OLE_LINK1"/>
      <w:r>
        <w:rPr>
          <w:rFonts w:hint="eastAsia" w:ascii="宋体" w:hAnsi="宋体" w:eastAsia="宋体" w:cs="宋体"/>
          <w:color w:val="auto"/>
          <w:szCs w:val="21"/>
          <w:highlight w:val="none"/>
          <w:lang w:val="en-US" w:eastAsia="zh-CN"/>
        </w:rPr>
        <w:t>自合同签订之日起至2026年苏超赛季结束</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苏超南通比赛日及苏超半决赛、决赛场次的周六当天为一场活动周期；</w:t>
      </w:r>
    </w:p>
    <w:bookmarkEnd w:id="5"/>
    <w:p>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所属行业：</w:t>
      </w:r>
      <w:r>
        <w:rPr>
          <w:rFonts w:hint="eastAsia" w:ascii="宋体" w:hAnsi="宋体" w:eastAsia="宋体" w:cs="宋体"/>
          <w:color w:val="auto"/>
          <w:szCs w:val="21"/>
          <w:highlight w:val="none"/>
          <w:lang w:val="en-US" w:eastAsia="zh-CN"/>
        </w:rPr>
        <w:t>其他未列明行业；</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val="en-US" w:eastAsia="en-US"/>
        </w:rPr>
        <w:t>项目类型：</w:t>
      </w:r>
      <w:r>
        <w:rPr>
          <w:rFonts w:hint="eastAsia" w:ascii="宋体" w:hAnsi="宋体" w:eastAsia="宋体" w:cs="宋体"/>
          <w:color w:val="auto"/>
          <w:szCs w:val="21"/>
          <w:highlight w:val="none"/>
          <w:lang w:val="en-US" w:eastAsia="zh-CN"/>
        </w:rPr>
        <w:t>服务；</w:t>
      </w:r>
    </w:p>
    <w:p>
      <w:pPr>
        <w:spacing w:line="440" w:lineRule="exact"/>
        <w:ind w:firstLine="420" w:firstLineChars="20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en-US"/>
        </w:rPr>
        <w:t>本项目</w:t>
      </w:r>
      <w:r>
        <w:rPr>
          <w:rFonts w:hint="eastAsia" w:ascii="宋体" w:hAnsi="宋体" w:eastAsia="宋体" w:cs="宋体"/>
          <w:color w:val="auto"/>
          <w:szCs w:val="21"/>
          <w:highlight w:val="none"/>
          <w:lang w:val="en-US" w:eastAsia="zh-CN"/>
        </w:rPr>
        <w:t>不</w:t>
      </w:r>
      <w:r>
        <w:rPr>
          <w:rFonts w:hint="eastAsia" w:ascii="宋体" w:hAnsi="宋体" w:eastAsia="宋体" w:cs="宋体"/>
          <w:color w:val="auto"/>
          <w:szCs w:val="21"/>
          <w:highlight w:val="none"/>
          <w:lang w:val="en-US" w:eastAsia="en-US"/>
        </w:rPr>
        <w:t>接受联合体</w:t>
      </w:r>
      <w:r>
        <w:rPr>
          <w:rFonts w:hint="eastAsia" w:ascii="宋体" w:hAnsi="宋体" w:eastAsia="宋体" w:cs="宋体"/>
          <w:color w:val="auto"/>
          <w:szCs w:val="21"/>
          <w:highlight w:val="none"/>
          <w:lang w:val="en-US" w:eastAsia="zh-CN"/>
        </w:rPr>
        <w:t>参与磋商；</w:t>
      </w:r>
    </w:p>
    <w:p>
      <w:pPr>
        <w:spacing w:line="440" w:lineRule="exact"/>
        <w:ind w:firstLine="420" w:firstLineChars="20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val="en-US" w:eastAsia="en-US"/>
        </w:rPr>
        <w:t>本项目不接受分包。</w:t>
      </w:r>
    </w:p>
    <w:p>
      <w:pPr>
        <w:pStyle w:val="4"/>
        <w:spacing w:before="0" w:after="0" w:line="440" w:lineRule="exact"/>
        <w:rPr>
          <w:rFonts w:hint="eastAsia" w:ascii="宋体" w:hAnsi="宋体" w:eastAsia="宋体" w:cs="宋体"/>
          <w:color w:val="auto"/>
          <w:sz w:val="21"/>
          <w:szCs w:val="21"/>
          <w:highlight w:val="none"/>
        </w:rPr>
      </w:pPr>
      <w:bookmarkStart w:id="6" w:name="_Toc28359090"/>
      <w:bookmarkStart w:id="7" w:name="_Toc35393799"/>
      <w:bookmarkStart w:id="8" w:name="_Toc35393630"/>
      <w:bookmarkStart w:id="9" w:name="_Toc28359013"/>
      <w:r>
        <w:rPr>
          <w:rFonts w:hint="eastAsia" w:ascii="宋体" w:hAnsi="宋体" w:eastAsia="宋体" w:cs="宋体"/>
          <w:color w:val="auto"/>
          <w:sz w:val="21"/>
          <w:szCs w:val="21"/>
          <w:highlight w:val="none"/>
        </w:rPr>
        <w:t>二、</w:t>
      </w:r>
      <w:bookmarkEnd w:id="6"/>
      <w:bookmarkEnd w:id="7"/>
      <w:bookmarkEnd w:id="8"/>
      <w:bookmarkEnd w:id="9"/>
      <w:r>
        <w:rPr>
          <w:rFonts w:hint="eastAsia" w:ascii="宋体" w:hAnsi="宋体" w:eastAsia="宋体" w:cs="宋体"/>
          <w:color w:val="auto"/>
          <w:sz w:val="21"/>
          <w:szCs w:val="21"/>
          <w:highlight w:val="none"/>
        </w:rPr>
        <w:t>申请人的资格要求</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1.满足《中华人民共和国政府采购法》第二十二条规定，并提供</w:t>
      </w:r>
      <w:r>
        <w:rPr>
          <w:rFonts w:hint="eastAsia" w:ascii="宋体" w:hAnsi="宋体" w:eastAsia="宋体" w:cs="宋体"/>
          <w:color w:val="auto"/>
          <w:sz w:val="21"/>
          <w:szCs w:val="21"/>
          <w:highlight w:val="none"/>
          <w:lang w:val="en-US" w:eastAsia="zh-CN"/>
        </w:rPr>
        <w:t>下列</w:t>
      </w:r>
      <w:r>
        <w:rPr>
          <w:rFonts w:hint="eastAsia" w:ascii="宋体" w:hAnsi="宋体" w:eastAsia="宋体" w:cs="宋体"/>
          <w:color w:val="auto"/>
          <w:sz w:val="21"/>
          <w:szCs w:val="21"/>
          <w:highlight w:val="none"/>
          <w:lang w:val="en-US" w:eastAsia="en-US"/>
        </w:rPr>
        <w:t>材料:</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w:t>
      </w:r>
      <w:bookmarkStart w:id="10" w:name="OLE_LINK9"/>
      <w:r>
        <w:rPr>
          <w:rFonts w:hint="eastAsia" w:ascii="宋体" w:hAnsi="宋体" w:eastAsia="宋体" w:cs="宋体"/>
          <w:color w:val="auto"/>
          <w:szCs w:val="21"/>
          <w:highlight w:val="none"/>
          <w:shd w:val="clear" w:color="auto" w:fill="auto"/>
        </w:rPr>
        <w:t>具有独立承担民事责任的能力（提供法人或者其他组织的营业执照；供应商为自然人的，提供其身份证）</w:t>
      </w:r>
      <w:bookmarkEnd w:id="10"/>
      <w:r>
        <w:rPr>
          <w:rFonts w:hint="eastAsia" w:ascii="宋体" w:hAnsi="宋体" w:eastAsia="宋体" w:cs="宋体"/>
          <w:color w:val="auto"/>
          <w:szCs w:val="21"/>
          <w:highlight w:val="none"/>
          <w:shd w:val="clear" w:color="auto" w:fill="auto"/>
        </w:rPr>
        <w:t>；</w:t>
      </w:r>
    </w:p>
    <w:p>
      <w:pPr>
        <w:spacing w:line="360" w:lineRule="auto"/>
        <w:ind w:firstLine="48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w:t>
      </w:r>
      <w:bookmarkStart w:id="11" w:name="OLE_LINK10"/>
      <w:r>
        <w:rPr>
          <w:rFonts w:hint="eastAsia" w:ascii="宋体" w:hAnsi="宋体" w:eastAsia="宋体" w:cs="宋体"/>
          <w:color w:val="auto"/>
          <w:szCs w:val="21"/>
          <w:highlight w:val="none"/>
          <w:shd w:val="clear" w:color="auto" w:fill="auto"/>
        </w:rPr>
        <w:t>具有良好的商业信誉和健全的财务会计制度</w:t>
      </w:r>
      <w:r>
        <w:rPr>
          <w:rFonts w:hint="eastAsia" w:ascii="宋体" w:hAnsi="宋体" w:eastAsia="宋体" w:cs="宋体"/>
          <w:color w:val="auto"/>
          <w:szCs w:val="21"/>
          <w:highlight w:val="none"/>
          <w:shd w:val="clear" w:color="auto" w:fill="auto"/>
          <w:lang w:val="en-US" w:eastAsia="zh-CN"/>
        </w:rPr>
        <w:t>[</w:t>
      </w:r>
      <w:r>
        <w:rPr>
          <w:rFonts w:hint="eastAsia" w:ascii="宋体" w:hAnsi="宋体" w:cs="宋体"/>
          <w:color w:val="auto"/>
          <w:szCs w:val="21"/>
          <w:highlight w:val="none"/>
          <w:shd w:val="clear" w:color="auto" w:fill="auto"/>
          <w:lang w:val="en-US" w:eastAsia="zh-CN"/>
        </w:rPr>
        <w:t>提供2025年度的财务状况报告</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必须含资产负债表、利润表等证明材料</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成立不满一年不需提供</w:t>
      </w:r>
      <w:r>
        <w:rPr>
          <w:rFonts w:hint="eastAsia" w:ascii="宋体" w:hAnsi="宋体" w:eastAsia="宋体" w:cs="宋体"/>
          <w:color w:val="auto"/>
          <w:szCs w:val="21"/>
          <w:highlight w:val="none"/>
          <w:shd w:val="clear" w:color="auto" w:fill="auto"/>
          <w:lang w:val="en-US" w:eastAsia="zh-CN"/>
        </w:rPr>
        <w:t>]</w:t>
      </w:r>
      <w:bookmarkEnd w:id="11"/>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w:t>
      </w:r>
      <w:bookmarkStart w:id="12" w:name="OLE_LINK11"/>
      <w:r>
        <w:rPr>
          <w:rFonts w:hint="eastAsia" w:ascii="宋体" w:hAnsi="宋体" w:eastAsia="宋体" w:cs="宋体"/>
          <w:color w:val="auto"/>
          <w:szCs w:val="21"/>
          <w:highlight w:val="none"/>
          <w:shd w:val="clear" w:color="auto" w:fill="auto"/>
          <w:lang w:val="en-US" w:eastAsia="zh-CN"/>
        </w:rPr>
        <w:t>具有履行合同所必需的设备和专业技术能力</w:t>
      </w:r>
      <w:r>
        <w:rPr>
          <w:rFonts w:hint="eastAsia" w:ascii="宋体" w:hAnsi="宋体" w:eastAsia="宋体" w:cs="宋体"/>
          <w:color w:val="auto"/>
          <w:szCs w:val="21"/>
          <w:highlight w:val="none"/>
          <w:shd w:val="clear" w:color="auto" w:fill="auto"/>
        </w:rPr>
        <w:t>（提供承诺书）</w:t>
      </w:r>
      <w:bookmarkEnd w:id="12"/>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w:t>
      </w:r>
      <w:bookmarkStart w:id="13" w:name="OLE_LINK12"/>
      <w:r>
        <w:rPr>
          <w:rFonts w:hint="eastAsia" w:ascii="宋体" w:hAnsi="宋体" w:eastAsia="宋体" w:cs="宋体"/>
          <w:color w:val="auto"/>
          <w:szCs w:val="21"/>
          <w:highlight w:val="none"/>
          <w:shd w:val="clear" w:color="auto" w:fill="auto"/>
        </w:rPr>
        <w:t>有依法缴纳税收和社会保障资金的良好记录</w:t>
      </w:r>
      <w:r>
        <w:rPr>
          <w:rFonts w:hint="eastAsia" w:ascii="宋体" w:hAnsi="宋体" w:eastAsia="宋体" w:cs="宋体"/>
          <w:color w:val="auto"/>
          <w:szCs w:val="21"/>
          <w:highlight w:val="none"/>
          <w:shd w:val="clear" w:color="auto" w:fill="auto"/>
          <w:lang w:val="en-US" w:eastAsia="zh-CN"/>
        </w:rPr>
        <w:t>[</w:t>
      </w:r>
      <w:r>
        <w:rPr>
          <w:rFonts w:hint="eastAsia" w:ascii="宋体" w:hAnsi="宋体" w:eastAsia="宋体" w:cs="宋体"/>
          <w:color w:val="auto"/>
          <w:szCs w:val="21"/>
          <w:highlight w:val="none"/>
          <w:shd w:val="clear" w:color="auto" w:fill="auto"/>
        </w:rPr>
        <w:t>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szCs w:val="21"/>
          <w:highlight w:val="none"/>
          <w:shd w:val="clear" w:color="auto" w:fill="auto"/>
          <w:lang w:val="en-US" w:eastAsia="zh-CN"/>
        </w:rPr>
        <w:t>]</w:t>
      </w:r>
      <w:bookmarkEnd w:id="13"/>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w:t>
      </w:r>
      <w:bookmarkStart w:id="14" w:name="OLE_LINK13"/>
      <w:r>
        <w:rPr>
          <w:rFonts w:hint="eastAsia" w:ascii="宋体" w:hAnsi="宋体" w:eastAsia="宋体" w:cs="宋体"/>
          <w:color w:val="auto"/>
          <w:szCs w:val="21"/>
          <w:highlight w:val="none"/>
          <w:shd w:val="clear" w:color="auto" w:fill="auto"/>
        </w:rPr>
        <w:t>参加政府采购活动前三年内，在经营活动中没有重大违法记录（提供</w:t>
      </w:r>
      <w:r>
        <w:rPr>
          <w:rFonts w:hint="eastAsia" w:ascii="宋体" w:hAnsi="宋体" w:eastAsia="宋体" w:cs="宋体"/>
          <w:color w:val="auto"/>
          <w:szCs w:val="21"/>
          <w:highlight w:val="none"/>
          <w:shd w:val="clear" w:color="auto" w:fill="auto"/>
          <w:lang w:val="en-US" w:eastAsia="zh-CN"/>
        </w:rPr>
        <w:t>书面声明</w:t>
      </w:r>
      <w:r>
        <w:rPr>
          <w:rFonts w:hint="eastAsia" w:ascii="宋体" w:hAnsi="宋体" w:eastAsia="宋体" w:cs="宋体"/>
          <w:color w:val="auto"/>
          <w:szCs w:val="21"/>
          <w:highlight w:val="none"/>
          <w:shd w:val="clear" w:color="auto" w:fill="auto"/>
        </w:rPr>
        <w:t>）</w:t>
      </w:r>
      <w:bookmarkEnd w:id="14"/>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（6）法律、行政法规规定的其他条件：无。</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落实政府采购政策需满足的资格要求：</w:t>
      </w:r>
      <w:r>
        <w:rPr>
          <w:rFonts w:hint="eastAsia" w:ascii="宋体" w:hAnsi="宋体" w:eastAsia="宋体" w:cs="宋体"/>
          <w:color w:val="auto"/>
          <w:sz w:val="21"/>
          <w:szCs w:val="21"/>
          <w:highlight w:val="none"/>
          <w:lang w:val="en-US" w:eastAsia="en-US"/>
        </w:rPr>
        <w:t>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en-US"/>
        </w:rPr>
        <w:t>.本项目的特定资格要求：</w:t>
      </w:r>
      <w:r>
        <w:rPr>
          <w:rFonts w:hint="eastAsia" w:ascii="宋体" w:hAnsi="宋体" w:eastAsia="宋体" w:cs="宋体"/>
          <w:color w:val="auto"/>
          <w:sz w:val="21"/>
          <w:szCs w:val="21"/>
          <w:highlight w:val="none"/>
          <w:lang w:val="en-US" w:eastAsia="zh-CN"/>
        </w:rPr>
        <w:t>无。</w:t>
      </w:r>
    </w:p>
    <w:p>
      <w:pPr>
        <w:pStyle w:val="4"/>
        <w:spacing w:before="0" w:after="0" w:line="440" w:lineRule="exact"/>
        <w:rPr>
          <w:rFonts w:hint="eastAsia" w:ascii="宋体" w:hAnsi="宋体" w:eastAsia="宋体" w:cs="宋体"/>
          <w:color w:val="auto"/>
          <w:sz w:val="21"/>
          <w:szCs w:val="21"/>
          <w:highlight w:val="none"/>
        </w:rPr>
      </w:pPr>
      <w:bookmarkStart w:id="15" w:name="_Toc28359092"/>
      <w:bookmarkStart w:id="16" w:name="_Toc35393632"/>
      <w:bookmarkStart w:id="17" w:name="_Toc35393801"/>
      <w:bookmarkStart w:id="18" w:name="_Toc28359015"/>
      <w:r>
        <w:rPr>
          <w:rFonts w:hint="eastAsia" w:ascii="宋体" w:hAnsi="宋体" w:eastAsia="宋体" w:cs="宋体"/>
          <w:color w:val="auto"/>
          <w:sz w:val="21"/>
          <w:szCs w:val="21"/>
          <w:highlight w:val="none"/>
        </w:rPr>
        <w:t>三、获取采购文件</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zh-CN"/>
        </w:rPr>
      </w:pPr>
      <w:r>
        <w:rPr>
          <w:rStyle w:val="59"/>
          <w:rFonts w:hint="eastAsia" w:ascii="宋体" w:hAnsi="宋体" w:eastAsia="宋体" w:cs="宋体"/>
          <w:bCs/>
          <w:color w:val="auto"/>
          <w:sz w:val="21"/>
          <w:szCs w:val="21"/>
          <w:highlight w:val="none"/>
          <w:lang w:val="en-US" w:eastAsia="en-US"/>
        </w:rPr>
        <w:t>1.时间：</w:t>
      </w:r>
      <w:r>
        <w:rPr>
          <w:rStyle w:val="59"/>
          <w:rFonts w:hint="eastAsia" w:ascii="宋体" w:hAnsi="宋体" w:eastAsia="宋体" w:cs="宋体"/>
          <w:bCs/>
          <w:color w:val="auto"/>
          <w:szCs w:val="21"/>
          <w:highlight w:val="none"/>
          <w:lang w:eastAsia="en-US"/>
        </w:rPr>
        <w:t>自磋商文件公告发布之日起5个工作日</w:t>
      </w:r>
      <w:r>
        <w:rPr>
          <w:rStyle w:val="59"/>
          <w:rFonts w:hint="eastAsia" w:ascii="宋体" w:hAnsi="宋体" w:eastAsia="宋体" w:cs="宋体"/>
          <w:bCs/>
          <w:color w:val="auto"/>
          <w:sz w:val="21"/>
          <w:szCs w:val="21"/>
          <w:highlight w:val="none"/>
          <w:lang w:val="en-US" w:eastAsia="zh-CN"/>
        </w:rPr>
        <w:t>；</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zh-CN"/>
        </w:rPr>
      </w:pPr>
      <w:r>
        <w:rPr>
          <w:rStyle w:val="59"/>
          <w:rFonts w:hint="eastAsia" w:ascii="宋体" w:hAnsi="宋体" w:eastAsia="宋体" w:cs="宋体"/>
          <w:bCs/>
          <w:color w:val="auto"/>
          <w:sz w:val="21"/>
          <w:szCs w:val="21"/>
          <w:highlight w:val="none"/>
          <w:lang w:val="en-US" w:eastAsia="en-US"/>
        </w:rPr>
        <w:t>2.地点：</w:t>
      </w:r>
      <w:r>
        <w:rPr>
          <w:rFonts w:hint="eastAsia" w:ascii="宋体" w:hAnsi="宋体" w:eastAsia="宋体" w:cs="宋体"/>
          <w:bCs/>
          <w:color w:val="auto"/>
          <w:szCs w:val="21"/>
          <w:highlight w:val="none"/>
          <w:shd w:val="clear" w:color="auto" w:fill="auto"/>
          <w:lang w:val="en-US" w:eastAsia="zh-CN"/>
        </w:rPr>
        <w:t>苏采云系统</w:t>
      </w:r>
      <w:r>
        <w:rPr>
          <w:rStyle w:val="59"/>
          <w:rFonts w:hint="eastAsia" w:ascii="宋体" w:hAnsi="宋体" w:eastAsia="宋体" w:cs="宋体"/>
          <w:bCs/>
          <w:color w:val="auto"/>
          <w:sz w:val="21"/>
          <w:szCs w:val="21"/>
          <w:highlight w:val="none"/>
          <w:lang w:val="en-US" w:eastAsia="zh-CN"/>
        </w:rPr>
        <w:t>；</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zh-CN"/>
        </w:rPr>
      </w:pPr>
      <w:r>
        <w:rPr>
          <w:rStyle w:val="59"/>
          <w:rFonts w:hint="eastAsia" w:ascii="宋体" w:hAnsi="宋体" w:eastAsia="宋体" w:cs="宋体"/>
          <w:bCs/>
          <w:color w:val="auto"/>
          <w:sz w:val="21"/>
          <w:szCs w:val="21"/>
          <w:highlight w:val="none"/>
          <w:lang w:val="en-US" w:eastAsia="en-US"/>
        </w:rPr>
        <w:t>3.获取方式：</w:t>
      </w:r>
      <w:r>
        <w:rPr>
          <w:rStyle w:val="59"/>
          <w:rFonts w:hint="eastAsia" w:ascii="宋体" w:hAnsi="宋体" w:eastAsia="宋体" w:cs="宋体"/>
          <w:b/>
          <w:bCs w:val="0"/>
          <w:color w:val="auto"/>
          <w:sz w:val="21"/>
          <w:szCs w:val="21"/>
          <w:highlight w:val="none"/>
          <w:lang w:val="en-US" w:eastAsia="en-US"/>
        </w:rPr>
        <w:t>网上注册登记成功后系统内免费下载</w:t>
      </w:r>
      <w:r>
        <w:rPr>
          <w:rStyle w:val="59"/>
          <w:rFonts w:hint="eastAsia" w:ascii="宋体" w:hAnsi="宋体" w:eastAsia="宋体" w:cs="宋体"/>
          <w:bCs/>
          <w:color w:val="auto"/>
          <w:sz w:val="21"/>
          <w:szCs w:val="21"/>
          <w:highlight w:val="none"/>
          <w:lang w:val="en-US" w:eastAsia="zh-CN"/>
        </w:rPr>
        <w:t>；</w:t>
      </w:r>
    </w:p>
    <w:p>
      <w:pPr>
        <w:widowControl/>
        <w:snapToGrid w:val="0"/>
        <w:spacing w:line="420" w:lineRule="exact"/>
        <w:ind w:firstLine="420" w:firstLineChars="200"/>
        <w:jc w:val="left"/>
        <w:rPr>
          <w:rStyle w:val="59"/>
          <w:rFonts w:hint="eastAsia" w:ascii="宋体" w:hAnsi="宋体" w:eastAsia="宋体" w:cs="宋体"/>
          <w:b/>
          <w:bCs w:val="0"/>
          <w:color w:val="auto"/>
          <w:sz w:val="21"/>
          <w:szCs w:val="21"/>
          <w:highlight w:val="none"/>
          <w:lang w:val="en-US" w:eastAsia="en-US"/>
        </w:rPr>
      </w:pPr>
      <w:r>
        <w:rPr>
          <w:rStyle w:val="59"/>
          <w:rFonts w:hint="eastAsia" w:ascii="宋体" w:hAnsi="宋体" w:eastAsia="宋体" w:cs="宋体"/>
          <w:b/>
          <w:bCs w:val="0"/>
          <w:color w:val="auto"/>
          <w:sz w:val="21"/>
          <w:szCs w:val="21"/>
          <w:highlight w:val="none"/>
          <w:lang w:val="en-US" w:eastAsia="en-US"/>
        </w:rPr>
        <w:t>3.1潜在供应商访问电子招标响应交易平台的网络地址和方法：</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3.2潜在供应商访问“苏采云”系统的网络地址和方法：“苏采云”系统的网址：http://jszfcg.jsczt.cn/。</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3.3“CA数字证书”的获取：</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响应供应商需办理“CA 数字证书”，CA办理指南及“苏采云”操作手册可至江苏省政府采购网―办事指南-资料下载中心下载。</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通过苏采云系统首页（http://jszfcg.jscz.gov.cn/）的“苏采云控件驱动下载”，选择“政务CA、方正签章控件驱动安装包及安装说明”下载安装，具体安装方法详见下载文件内的《安装说明》。</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3.4采购文件（后缀名为“.kedt”）、供应商操作手册及政府采购客户端工具可通过“苏采云”系统--已报名项目--报名详情页面内相应链接进行下载。</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3.5采购人或采购代理机构将数据电文形式的采购文件加载至“苏采云”系统，供潜在供应商下载或者查阅。</w:t>
      </w:r>
    </w:p>
    <w:p>
      <w:pPr>
        <w:widowControl/>
        <w:snapToGrid w:val="0"/>
        <w:spacing w:line="420" w:lineRule="exact"/>
        <w:ind w:firstLine="420" w:firstLineChars="200"/>
        <w:jc w:val="left"/>
        <w:rPr>
          <w:rStyle w:val="59"/>
          <w:rFonts w:hint="eastAsia" w:ascii="宋体" w:hAnsi="宋体" w:eastAsia="宋体" w:cs="宋体"/>
          <w:bCs/>
          <w:color w:val="auto"/>
          <w:sz w:val="21"/>
          <w:szCs w:val="21"/>
          <w:highlight w:val="none"/>
          <w:lang w:val="en-US" w:eastAsia="en-US"/>
        </w:rPr>
      </w:pPr>
      <w:r>
        <w:rPr>
          <w:rStyle w:val="59"/>
          <w:rFonts w:hint="eastAsia" w:ascii="宋体" w:hAnsi="宋体" w:eastAsia="宋体" w:cs="宋体"/>
          <w:bCs/>
          <w:color w:val="auto"/>
          <w:sz w:val="21"/>
          <w:szCs w:val="21"/>
          <w:highlight w:val="none"/>
          <w:lang w:val="en-US" w:eastAsia="en-US"/>
        </w:rPr>
        <w:t>3.6请潜在供应商提前安装相应的控件（详见《江苏省政府采购管理交易系统（苏采云）供应商操作手册》）并使用谷歌浏览器登录“苏采云”系统参与不见面开评标。</w:t>
      </w:r>
    </w:p>
    <w:p>
      <w:pPr>
        <w:widowControl/>
        <w:snapToGrid w:val="0"/>
        <w:spacing w:line="420" w:lineRule="exact"/>
        <w:ind w:firstLine="420" w:firstLineChars="200"/>
        <w:jc w:val="left"/>
        <w:rPr>
          <w:rStyle w:val="59"/>
          <w:rFonts w:hint="eastAsia" w:ascii="宋体" w:hAnsi="宋体" w:eastAsia="宋体" w:cs="宋体"/>
          <w:b/>
          <w:bCs w:val="0"/>
          <w:color w:val="auto"/>
          <w:sz w:val="21"/>
          <w:szCs w:val="21"/>
          <w:highlight w:val="none"/>
          <w:lang w:val="en-US" w:eastAsia="zh-CN"/>
        </w:rPr>
      </w:pPr>
      <w:r>
        <w:rPr>
          <w:rStyle w:val="59"/>
          <w:rFonts w:hint="eastAsia" w:ascii="宋体" w:hAnsi="宋体" w:eastAsia="宋体" w:cs="宋体"/>
          <w:b/>
          <w:bCs w:val="0"/>
          <w:color w:val="auto"/>
          <w:sz w:val="21"/>
          <w:szCs w:val="21"/>
          <w:highlight w:val="none"/>
          <w:lang w:val="en-US" w:eastAsia="zh-CN"/>
        </w:rPr>
        <w:t>注：如潜在供应商未按上述要求操作，将自行承担所产生的风险。</w:t>
      </w:r>
    </w:p>
    <w:p>
      <w:pPr>
        <w:pStyle w:val="4"/>
        <w:spacing w:before="0" w:after="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四、响应文件提交</w:t>
      </w:r>
      <w:bookmarkEnd w:id="15"/>
      <w:bookmarkEnd w:id="16"/>
      <w:bookmarkEnd w:id="17"/>
      <w:bookmarkEnd w:id="18"/>
    </w:p>
    <w:p>
      <w:pPr>
        <w:spacing w:line="440" w:lineRule="exact"/>
        <w:ind w:firstLine="480"/>
        <w:jc w:val="both"/>
        <w:rPr>
          <w:rFonts w:hint="eastAsia" w:ascii="宋体" w:hAnsi="宋体" w:eastAsia="宋体" w:cs="宋体"/>
          <w:color w:val="auto"/>
          <w:sz w:val="21"/>
          <w:szCs w:val="21"/>
          <w:highlight w:val="none"/>
          <w:lang w:val="en-US" w:eastAsia="en-US"/>
        </w:rPr>
      </w:pPr>
      <w:bookmarkStart w:id="19" w:name="_Toc28359016"/>
      <w:bookmarkStart w:id="20" w:name="_Toc28359093"/>
      <w:bookmarkStart w:id="21" w:name="_Toc35393633"/>
      <w:bookmarkStart w:id="22" w:name="_Toc35393802"/>
      <w:r>
        <w:rPr>
          <w:rFonts w:hint="eastAsia" w:ascii="宋体" w:hAnsi="宋体" w:eastAsia="宋体" w:cs="宋体"/>
          <w:color w:val="auto"/>
          <w:sz w:val="21"/>
          <w:szCs w:val="21"/>
          <w:highlight w:val="none"/>
          <w:lang w:val="en-US" w:eastAsia="en-US"/>
        </w:rPr>
        <w:t>1.</w:t>
      </w:r>
      <w:r>
        <w:rPr>
          <w:rFonts w:hint="eastAsia" w:ascii="宋体" w:hAnsi="宋体" w:eastAsia="宋体" w:cs="宋体"/>
          <w:color w:val="auto"/>
          <w:sz w:val="21"/>
          <w:szCs w:val="21"/>
          <w:highlight w:val="none"/>
        </w:rPr>
        <w:t>响应文件提交</w:t>
      </w:r>
      <w:r>
        <w:rPr>
          <w:rFonts w:hint="eastAsia" w:ascii="宋体" w:hAnsi="宋体" w:eastAsia="宋体" w:cs="宋体"/>
          <w:color w:val="auto"/>
          <w:sz w:val="21"/>
          <w:szCs w:val="21"/>
          <w:highlight w:val="none"/>
          <w:lang w:val="en-US" w:eastAsia="en-US"/>
        </w:rPr>
        <w:t>截止时间：</w:t>
      </w:r>
      <w:r>
        <w:rPr>
          <w:rFonts w:hint="eastAsia" w:ascii="宋体" w:hAnsi="宋体" w:cs="宋体"/>
          <w:b/>
          <w:bCs/>
          <w:color w:val="auto"/>
          <w:sz w:val="21"/>
          <w:szCs w:val="21"/>
          <w:highlight w:val="none"/>
          <w:lang w:val="en-US" w:eastAsia="zh-CN"/>
        </w:rPr>
        <w:t>2026年6月22日</w:t>
      </w:r>
      <w:r>
        <w:rPr>
          <w:rFonts w:hint="eastAsia" w:ascii="宋体" w:hAnsi="宋体" w:eastAsia="宋体" w:cs="宋体"/>
          <w:b/>
          <w:bCs/>
          <w:color w:val="auto"/>
          <w:sz w:val="21"/>
          <w:szCs w:val="21"/>
          <w:highlight w:val="none"/>
          <w:lang w:val="en-US" w:eastAsia="zh-CN"/>
        </w:rPr>
        <w:t>09点30分</w:t>
      </w:r>
      <w:r>
        <w:rPr>
          <w:rFonts w:hint="eastAsia" w:ascii="宋体" w:hAnsi="宋体" w:eastAsia="宋体" w:cs="宋体"/>
          <w:b/>
          <w:bCs/>
          <w:color w:val="auto"/>
          <w:sz w:val="21"/>
          <w:szCs w:val="21"/>
          <w:highlight w:val="none"/>
          <w:lang w:val="en-US" w:eastAsia="en-US"/>
        </w:rPr>
        <w:t>（北京时间）</w:t>
      </w:r>
      <w:r>
        <w:rPr>
          <w:rFonts w:hint="eastAsia" w:ascii="宋体" w:hAnsi="宋体" w:eastAsia="宋体" w:cs="宋体"/>
          <w:color w:val="auto"/>
          <w:sz w:val="21"/>
          <w:szCs w:val="21"/>
          <w:highlight w:val="none"/>
          <w:lang w:val="en-US" w:eastAsia="en-US"/>
        </w:rPr>
        <w:t>。逾时，“苏采云”系统将拒绝接受上传响应文件电子文档。</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en-US"/>
        </w:rPr>
        <w:t>地点：“苏采云”系统（网址：http://jszfcg.jsczt.cn/）</w:t>
      </w:r>
    </w:p>
    <w:p>
      <w:pPr>
        <w:spacing w:line="440" w:lineRule="exact"/>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五、开启</w:t>
      </w:r>
    </w:p>
    <w:p>
      <w:pPr>
        <w:spacing w:line="44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时间：</w:t>
      </w:r>
      <w:r>
        <w:rPr>
          <w:rFonts w:hint="eastAsia" w:ascii="宋体" w:hAnsi="宋体" w:cs="宋体"/>
          <w:b/>
          <w:bCs/>
          <w:color w:val="auto"/>
          <w:sz w:val="21"/>
          <w:szCs w:val="21"/>
          <w:highlight w:val="none"/>
          <w:lang w:val="en-US" w:eastAsia="zh-CN"/>
        </w:rPr>
        <w:t>2026年6月22日</w:t>
      </w:r>
      <w:r>
        <w:rPr>
          <w:rFonts w:hint="eastAsia" w:ascii="宋体" w:hAnsi="宋体" w:eastAsia="宋体" w:cs="宋体"/>
          <w:b/>
          <w:bCs/>
          <w:color w:val="auto"/>
          <w:sz w:val="21"/>
          <w:szCs w:val="21"/>
          <w:highlight w:val="none"/>
          <w:lang w:val="en-US" w:eastAsia="zh-CN"/>
        </w:rPr>
        <w:t>09点30分</w:t>
      </w:r>
      <w:r>
        <w:rPr>
          <w:rFonts w:hint="eastAsia" w:ascii="宋体" w:hAnsi="宋体" w:eastAsia="宋体" w:cs="宋体"/>
          <w:b/>
          <w:bCs/>
          <w:color w:val="auto"/>
          <w:sz w:val="21"/>
          <w:szCs w:val="21"/>
          <w:highlight w:val="none"/>
          <w:lang w:val="en-US" w:eastAsia="en-US"/>
        </w:rPr>
        <w:t>（北京时间）</w:t>
      </w:r>
    </w:p>
    <w:p>
      <w:pPr>
        <w:spacing w:line="44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lang w:val="en-US" w:eastAsia="en-US"/>
        </w:rPr>
        <w:t>“苏采云”系统（网址：http://jszfcg.jsczt.cn/）“开标大厅”</w:t>
      </w:r>
    </w:p>
    <w:p>
      <w:pPr>
        <w:spacing w:line="440" w:lineRule="exact"/>
        <w:ind w:firstLine="420" w:firstLineChars="200"/>
        <w:jc w:val="both"/>
        <w:rPr>
          <w:rFonts w:hint="eastAsia" w:ascii="宋体" w:hAnsi="宋体" w:eastAsia="宋体" w:cs="宋体"/>
          <w:color w:val="auto"/>
          <w:sz w:val="21"/>
          <w:szCs w:val="21"/>
          <w:highlight w:val="none"/>
          <w:u w:val="single"/>
          <w:lang w:val="en-US" w:eastAsia="en-US"/>
        </w:rPr>
      </w:pPr>
      <w:r>
        <w:rPr>
          <w:rFonts w:hint="eastAsia" w:ascii="宋体" w:hAnsi="宋体" w:eastAsia="宋体" w:cs="宋体"/>
          <w:color w:val="auto"/>
          <w:sz w:val="21"/>
          <w:szCs w:val="21"/>
          <w:highlight w:val="none"/>
          <w:lang w:val="en-US" w:eastAsia="en-US"/>
        </w:rPr>
        <w:t>3.响应文件的解密：开标当天各供应商及时登录不见面开标大厅，响应文件递交截止时间后，通过开标会议区发出响应文件解密的指令，</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en-US" w:eastAsia="en-US"/>
        </w:rPr>
        <w:t>在开标室按规定时间自行实施远程解密，</w:t>
      </w:r>
      <w:r>
        <w:rPr>
          <w:rFonts w:hint="eastAsia" w:ascii="宋体" w:hAnsi="宋体" w:eastAsia="宋体" w:cs="宋体"/>
          <w:b/>
          <w:color w:val="auto"/>
          <w:sz w:val="21"/>
          <w:szCs w:val="21"/>
          <w:highlight w:val="none"/>
          <w:lang w:val="en-US" w:eastAsia="zh-CN"/>
        </w:rPr>
        <w:t>供应商</w:t>
      </w:r>
      <w:r>
        <w:rPr>
          <w:rFonts w:hint="eastAsia" w:ascii="宋体" w:hAnsi="宋体" w:eastAsia="宋体" w:cs="宋体"/>
          <w:b/>
          <w:color w:val="auto"/>
          <w:sz w:val="21"/>
          <w:szCs w:val="21"/>
          <w:highlight w:val="none"/>
          <w:lang w:val="en-US" w:eastAsia="en-US"/>
        </w:rPr>
        <w:t>解密限定在开标后30分钟之内完成</w:t>
      </w:r>
      <w:r>
        <w:rPr>
          <w:rFonts w:hint="eastAsia" w:ascii="宋体" w:hAnsi="宋体" w:eastAsia="宋体" w:cs="宋体"/>
          <w:color w:val="auto"/>
          <w:sz w:val="21"/>
          <w:szCs w:val="21"/>
          <w:highlight w:val="none"/>
          <w:lang w:val="en-US" w:eastAsia="en-US"/>
        </w:rPr>
        <w:t>。</w:t>
      </w:r>
      <w:r>
        <w:rPr>
          <w:rFonts w:hint="eastAsia" w:ascii="宋体" w:hAnsi="宋体" w:eastAsia="宋体" w:cs="宋体"/>
          <w:color w:val="auto"/>
          <w:sz w:val="21"/>
          <w:szCs w:val="21"/>
          <w:highlight w:val="none"/>
          <w:u w:val="single"/>
          <w:lang w:val="en-US" w:eastAsia="en-US"/>
        </w:rPr>
        <w:t>因</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lang w:val="en-US"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lang w:val="en-US" w:eastAsia="en-US"/>
        </w:rPr>
        <w:t>撤销其响应文件，系统内响应文件将被退回；因采购人</w:t>
      </w:r>
      <w:r>
        <w:rPr>
          <w:rFonts w:hint="eastAsia" w:ascii="宋体" w:hAnsi="宋体" w:eastAsia="宋体" w:cs="宋体"/>
          <w:color w:val="auto"/>
          <w:sz w:val="21"/>
          <w:szCs w:val="21"/>
          <w:highlight w:val="none"/>
          <w:u w:val="single"/>
          <w:lang w:val="en-US" w:eastAsia="zh-CN"/>
        </w:rPr>
        <w:t>（或采购代理机构）</w:t>
      </w:r>
      <w:r>
        <w:rPr>
          <w:rFonts w:hint="eastAsia" w:ascii="宋体" w:hAnsi="宋体" w:eastAsia="宋体" w:cs="宋体"/>
          <w:color w:val="auto"/>
          <w:sz w:val="21"/>
          <w:szCs w:val="21"/>
          <w:highlight w:val="none"/>
          <w:u w:val="single"/>
          <w:lang w:val="en-US" w:eastAsia="en-US"/>
        </w:rPr>
        <w:t>原因或网上招投标平台发生故障，导致无法按时完成响应文件解密或开、评标工作无法进行的，可根据实际情况相应延迟解密时间或调整开、评标时间。</w:t>
      </w:r>
    </w:p>
    <w:p>
      <w:pPr>
        <w:spacing w:line="440" w:lineRule="exact"/>
        <w:ind w:firstLine="420" w:firstLineChars="200"/>
        <w:jc w:val="both"/>
        <w:rPr>
          <w:rFonts w:hint="eastAsia" w:ascii="宋体" w:hAnsi="宋体" w:eastAsia="宋体" w:cs="宋体"/>
          <w:color w:val="auto"/>
          <w:sz w:val="21"/>
          <w:szCs w:val="21"/>
          <w:highlight w:val="none"/>
          <w:lang w:val="en-US" w:eastAsia="en-US"/>
        </w:rPr>
      </w:pPr>
      <w:r>
        <w:rPr>
          <w:rFonts w:hint="eastAsia" w:ascii="宋体" w:hAnsi="宋体" w:eastAsia="宋体" w:cs="宋体"/>
          <w:b/>
          <w:bCs/>
          <w:color w:val="auto"/>
          <w:sz w:val="21"/>
          <w:szCs w:val="21"/>
          <w:highlight w:val="none"/>
          <w:lang w:val="en-US" w:eastAsia="en-US"/>
        </w:rPr>
        <w:t>注：</w:t>
      </w:r>
      <w:r>
        <w:rPr>
          <w:rFonts w:hint="eastAsia" w:ascii="宋体" w:hAnsi="宋体" w:eastAsia="宋体" w:cs="宋体"/>
          <w:color w:val="auto"/>
          <w:sz w:val="21"/>
          <w:szCs w:val="21"/>
          <w:highlight w:val="none"/>
          <w:lang w:val="en-US" w:eastAsia="en-US"/>
        </w:rPr>
        <w:t>各供应商请关注开标大厅交流区，在开标结束后，请勿离开开标大厅</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采购人或采购代理机构通知最后报价填报后，所有的响应供应商须在</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en-US"/>
        </w:rPr>
        <w:t>分钟内填写并提交最后报价，未在规定时间内提交最后报价的，视作无效响应处理。</w:t>
      </w:r>
    </w:p>
    <w:bookmarkEnd w:id="19"/>
    <w:bookmarkEnd w:id="20"/>
    <w:bookmarkEnd w:id="21"/>
    <w:bookmarkEnd w:id="22"/>
    <w:p>
      <w:pPr>
        <w:snapToGrid w:val="0"/>
        <w:spacing w:line="440" w:lineRule="exact"/>
        <w:outlineLvl w:val="1"/>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lang w:val="en-US" w:eastAsia="zh-CN"/>
        </w:rPr>
        <w:t>六</w:t>
      </w:r>
      <w:r>
        <w:rPr>
          <w:rFonts w:hint="eastAsia" w:ascii="宋体" w:hAnsi="宋体" w:eastAsia="宋体" w:cs="宋体"/>
          <w:b/>
          <w:bCs/>
          <w:color w:val="auto"/>
          <w:szCs w:val="21"/>
          <w:highlight w:val="none"/>
        </w:rPr>
        <w:t>、公告期限：</w:t>
      </w:r>
      <w:r>
        <w:rPr>
          <w:rFonts w:hint="eastAsia" w:ascii="宋体" w:hAnsi="宋体" w:eastAsia="宋体" w:cs="宋体"/>
          <w:color w:val="auto"/>
          <w:szCs w:val="21"/>
          <w:highlight w:val="none"/>
        </w:rPr>
        <w:t>自</w:t>
      </w:r>
      <w:r>
        <w:rPr>
          <w:rFonts w:hint="eastAsia" w:ascii="宋体" w:hAnsi="宋体" w:eastAsia="宋体" w:cs="宋体"/>
          <w:bCs/>
          <w:color w:val="auto"/>
          <w:szCs w:val="21"/>
          <w:highlight w:val="none"/>
        </w:rPr>
        <w:t>本公告发布之日起3个工作日。</w:t>
      </w:r>
      <w:bookmarkStart w:id="23" w:name="_Toc35393635"/>
      <w:bookmarkStart w:id="24" w:name="_Toc35393804"/>
    </w:p>
    <w:bookmarkEnd w:id="23"/>
    <w:bookmarkEnd w:id="24"/>
    <w:p>
      <w:pPr>
        <w:snapToGrid w:val="0"/>
        <w:spacing w:line="440" w:lineRule="exact"/>
        <w:outlineLvl w:val="1"/>
        <w:rPr>
          <w:rFonts w:hint="eastAsia" w:ascii="宋体" w:hAnsi="宋体" w:eastAsia="宋体" w:cs="宋体"/>
          <w:b/>
          <w:bCs/>
          <w:color w:val="auto"/>
          <w:szCs w:val="21"/>
          <w:highlight w:val="none"/>
          <w:lang w:val="en-US" w:eastAsia="en-US"/>
        </w:rPr>
      </w:pPr>
      <w:r>
        <w:rPr>
          <w:rFonts w:hint="eastAsia" w:ascii="宋体" w:hAnsi="宋体" w:eastAsia="宋体" w:cs="宋体"/>
          <w:b/>
          <w:bCs/>
          <w:color w:val="auto"/>
          <w:szCs w:val="21"/>
          <w:highlight w:val="none"/>
          <w:lang w:val="en-US" w:eastAsia="zh-CN"/>
        </w:rPr>
        <w:t>七</w:t>
      </w:r>
      <w:r>
        <w:rPr>
          <w:rFonts w:hint="eastAsia" w:ascii="宋体" w:hAnsi="宋体" w:eastAsia="宋体" w:cs="宋体"/>
          <w:b/>
          <w:bCs/>
          <w:color w:val="auto"/>
          <w:szCs w:val="21"/>
          <w:highlight w:val="none"/>
          <w:lang w:val="en-US" w:eastAsia="en-US"/>
        </w:rPr>
        <w:t>、其他补充事宜</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1.磋商保证金：免收。</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2.项目磋商活动模式：不见面远程</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en-US"/>
        </w:rPr>
        <w:t xml:space="preserve">模式，供应商在各自地点通过不见面交易系统参加开标会。 </w:t>
      </w:r>
    </w:p>
    <w:p>
      <w:pPr>
        <w:spacing w:line="440" w:lineRule="exact"/>
        <w:ind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3.项目演示、样品、答辩等（如有请描述）：</w:t>
      </w:r>
      <w:r>
        <w:rPr>
          <w:rFonts w:hint="eastAsia" w:ascii="宋体" w:hAnsi="宋体" w:eastAsia="宋体" w:cs="宋体"/>
          <w:color w:val="auto"/>
          <w:sz w:val="21"/>
          <w:szCs w:val="21"/>
          <w:highlight w:val="none"/>
          <w:lang w:val="en-US" w:eastAsia="zh-CN"/>
        </w:rPr>
        <w:t>无。</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pPr>
        <w:spacing w:line="440" w:lineRule="exact"/>
        <w:ind w:firstLine="480"/>
        <w:jc w:val="both"/>
        <w:rPr>
          <w:rFonts w:hint="eastAsia" w:ascii="宋体" w:hAnsi="宋体" w:eastAsia="宋体" w:cs="宋体"/>
          <w:b/>
          <w:bCs/>
          <w:color w:val="auto"/>
          <w:sz w:val="21"/>
          <w:szCs w:val="21"/>
          <w:highlight w:val="none"/>
          <w:lang w:val="en-US" w:eastAsia="en-US"/>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en-US"/>
        </w:rPr>
        <w:t>.</w:t>
      </w:r>
      <w:r>
        <w:rPr>
          <w:rFonts w:hint="eastAsia" w:ascii="宋体" w:hAnsi="宋体" w:eastAsia="宋体" w:cs="宋体"/>
          <w:b/>
          <w:bCs/>
          <w:color w:val="auto"/>
          <w:sz w:val="21"/>
          <w:szCs w:val="21"/>
          <w:highlight w:val="none"/>
          <w:lang w:val="en-US" w:eastAsia="en-US"/>
        </w:rPr>
        <w:t>请各供应商充分考虑项目周期，谨慎参与交易，</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lang w:val="en-US" w:eastAsia="en-US"/>
        </w:rPr>
        <w:t>后不得以任何理由放弃</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lang w:val="en-US" w:eastAsia="en-US"/>
        </w:rPr>
        <w:t>资格或不按规定履约。</w:t>
      </w:r>
    </w:p>
    <w:p>
      <w:pPr>
        <w:pStyle w:val="4"/>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、凡对本次采购提出询问，请按以下方式联系</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信息：</w:t>
      </w:r>
    </w:p>
    <w:p>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名  称：南通市商务局；</w:t>
      </w:r>
    </w:p>
    <w:p>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地  址：南通市世纪大道8号南通报业大厦7～9楼；</w:t>
      </w:r>
    </w:p>
    <w:p>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李女士</w:t>
      </w:r>
      <w:r>
        <w:rPr>
          <w:rFonts w:hint="eastAsia" w:ascii="宋体" w:hAnsi="宋体" w:eastAsia="宋体" w:cs="宋体"/>
          <w:color w:val="auto"/>
          <w:highlight w:val="none"/>
        </w:rPr>
        <w:t xml:space="preserve">； </w:t>
      </w:r>
    </w:p>
    <w:p>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lang w:eastAsia="zh-CN"/>
        </w:rPr>
        <w:t>0513-</w:t>
      </w:r>
      <w:r>
        <w:rPr>
          <w:rFonts w:hint="eastAsia" w:ascii="宋体" w:hAnsi="宋体" w:cs="宋体"/>
          <w:color w:val="auto"/>
          <w:highlight w:val="none"/>
          <w:lang w:val="en-US" w:eastAsia="zh-CN"/>
        </w:rPr>
        <w:t>59001158</w:t>
      </w:r>
      <w:r>
        <w:rPr>
          <w:rFonts w:hint="eastAsia" w:ascii="宋体" w:hAnsi="宋体" w:eastAsia="宋体" w:cs="宋体"/>
          <w:color w:val="auto"/>
          <w:highlight w:val="none"/>
        </w:rPr>
        <w:t xml:space="preserve">； </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采购代理机构信息：</w:t>
      </w:r>
    </w:p>
    <w:p>
      <w:pPr>
        <w:spacing w:line="440" w:lineRule="exact"/>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名称：江苏正扬招标代理有限公司；</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地址：南通市崇川区青年中路153号4号楼213室；</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联系人：李</w:t>
      </w:r>
      <w:r>
        <w:rPr>
          <w:rFonts w:hint="eastAsia" w:ascii="宋体" w:hAnsi="宋体" w:eastAsia="宋体" w:cs="宋体"/>
          <w:color w:val="auto"/>
          <w:szCs w:val="21"/>
          <w:highlight w:val="none"/>
          <w:lang w:val="en-US" w:eastAsia="zh-CN"/>
        </w:rPr>
        <w:t>工</w:t>
      </w:r>
      <w:r>
        <w:rPr>
          <w:rFonts w:hint="eastAsia" w:ascii="宋体" w:hAnsi="宋体" w:eastAsia="宋体" w:cs="宋体"/>
          <w:color w:val="auto"/>
          <w:szCs w:val="21"/>
          <w:highlight w:val="none"/>
        </w:rPr>
        <w:t xml:space="preserve">；     </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联系电话：0513-85991998。</w:t>
      </w:r>
    </w:p>
    <w:p>
      <w:pPr>
        <w:spacing w:line="440" w:lineRule="exact"/>
        <w:ind w:firstLine="420" w:firstLineChars="200"/>
        <w:rPr>
          <w:rFonts w:hint="eastAsia" w:ascii="宋体" w:hAnsi="宋体" w:eastAsia="宋体" w:cs="宋体"/>
          <w:bCs/>
          <w:color w:val="auto"/>
          <w:szCs w:val="21"/>
          <w:highlight w:val="none"/>
          <w:shd w:val="clear" w:color="auto" w:fill="auto"/>
          <w:lang w:val="en-US" w:eastAsia="zh-CN"/>
        </w:rPr>
      </w:pPr>
      <w:r>
        <w:rPr>
          <w:rFonts w:hint="eastAsia" w:ascii="宋体" w:hAnsi="宋体" w:eastAsia="宋体" w:cs="宋体"/>
          <w:bCs/>
          <w:color w:val="auto"/>
          <w:szCs w:val="21"/>
          <w:highlight w:val="none"/>
          <w:shd w:val="clear" w:color="auto" w:fill="auto"/>
          <w:lang w:val="en-US" w:eastAsia="zh-CN"/>
        </w:rPr>
        <w:t>3</w:t>
      </w:r>
      <w:r>
        <w:rPr>
          <w:rFonts w:hint="eastAsia" w:ascii="宋体" w:hAnsi="宋体" w:eastAsia="宋体" w:cs="宋体"/>
          <w:bCs/>
          <w:color w:val="auto"/>
          <w:szCs w:val="21"/>
          <w:highlight w:val="none"/>
          <w:shd w:val="clear" w:color="auto" w:fill="auto"/>
          <w:lang w:val="en-US" w:eastAsia="en-US"/>
        </w:rPr>
        <w:t>.软件技术支持：0519-86722801</w:t>
      </w:r>
      <w:r>
        <w:rPr>
          <w:rFonts w:hint="eastAsia" w:ascii="宋体" w:hAnsi="宋体" w:eastAsia="宋体" w:cs="宋体"/>
          <w:bCs/>
          <w:color w:val="auto"/>
          <w:szCs w:val="21"/>
          <w:highlight w:val="none"/>
          <w:shd w:val="clear" w:color="auto" w:fill="auto"/>
          <w:lang w:val="en-US" w:eastAsia="zh-CN"/>
        </w:rPr>
        <w:t>。</w:t>
      </w:r>
    </w:p>
    <w:p>
      <w:pPr>
        <w:pStyle w:val="4"/>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附件:</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1.</w:t>
      </w:r>
      <w:r>
        <w:rPr>
          <w:rFonts w:hint="eastAsia" w:ascii="宋体" w:hAnsi="宋体" w:eastAsia="宋体" w:cs="宋体"/>
          <w:color w:val="auto"/>
          <w:sz w:val="21"/>
          <w:szCs w:val="21"/>
          <w:highlight w:val="none"/>
          <w:lang w:val="en-US" w:eastAsia="zh-CN"/>
        </w:rPr>
        <w:t>竞争性</w:t>
      </w:r>
      <w:r>
        <w:rPr>
          <w:rFonts w:hint="eastAsia" w:ascii="宋体" w:hAnsi="宋体" w:eastAsia="宋体" w:cs="宋体"/>
          <w:color w:val="auto"/>
          <w:sz w:val="21"/>
          <w:szCs w:val="21"/>
          <w:highlight w:val="none"/>
          <w:lang w:val="en-US" w:eastAsia="en-US"/>
        </w:rPr>
        <w:t>磋商文件</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2.采购人信用承诺书</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3.公平竞争审查</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.“苏采云”系统供应商操作手册</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en-US"/>
        </w:rPr>
        <w:t>政采贷和履约保证保险告知函</w:t>
      </w:r>
    </w:p>
    <w:p>
      <w:pPr>
        <w:spacing w:line="440" w:lineRule="exact"/>
        <w:ind w:firstLine="420" w:firstLineChars="200"/>
        <w:rPr>
          <w:rFonts w:hint="eastAsia" w:ascii="宋体" w:hAnsi="宋体" w:eastAsia="宋体" w:cs="宋体"/>
          <w:bCs/>
          <w:color w:val="auto"/>
          <w:szCs w:val="21"/>
          <w:highlight w:val="none"/>
          <w:shd w:val="clear" w:color="auto" w:fill="auto"/>
          <w:lang w:val="en-US" w:eastAsia="zh-CN"/>
        </w:rPr>
      </w:pPr>
    </w:p>
    <w:p>
      <w:pPr>
        <w:pStyle w:val="3"/>
        <w:keepNext w:val="0"/>
        <w:keepLines w:val="0"/>
        <w:adjustRightInd w:val="0"/>
        <w:snapToGrid w:val="0"/>
        <w:spacing w:before="0" w:after="0" w:line="800" w:lineRule="exact"/>
        <w:jc w:val="center"/>
        <w:textAlignment w:val="baseline"/>
        <w:rPr>
          <w:rFonts w:hint="eastAsia" w:ascii="宋体" w:hAnsi="宋体" w:eastAsia="宋体" w:cs="宋体"/>
          <w:color w:val="auto"/>
          <w:w w:val="80"/>
          <w:szCs w:val="44"/>
          <w:highlight w:val="none"/>
        </w:rPr>
      </w:pPr>
      <w:r>
        <w:rPr>
          <w:rFonts w:hint="eastAsia" w:ascii="宋体" w:hAnsi="宋体" w:eastAsia="宋体" w:cs="宋体"/>
          <w:color w:val="auto"/>
          <w:w w:val="80"/>
          <w:szCs w:val="44"/>
          <w:highlight w:val="none"/>
        </w:rPr>
        <w:br w:type="page"/>
      </w:r>
      <w:r>
        <w:rPr>
          <w:rFonts w:hint="eastAsia" w:ascii="宋体" w:hAnsi="宋体" w:eastAsia="宋体" w:cs="宋体"/>
          <w:color w:val="auto"/>
          <w:w w:val="80"/>
          <w:szCs w:val="44"/>
          <w:highlight w:val="none"/>
        </w:rPr>
        <w:t>第二</w:t>
      </w:r>
      <w:r>
        <w:rPr>
          <w:rFonts w:hint="eastAsia" w:ascii="宋体" w:hAnsi="宋体" w:eastAsia="宋体" w:cs="宋体"/>
          <w:color w:val="auto"/>
          <w:w w:val="80"/>
          <w:szCs w:val="44"/>
          <w:highlight w:val="none"/>
          <w:shd w:val="clear" w:color="auto" w:fill="auto"/>
        </w:rPr>
        <w:t xml:space="preserve">章  </w:t>
      </w:r>
      <w:r>
        <w:rPr>
          <w:rFonts w:hint="eastAsia" w:ascii="宋体" w:hAnsi="宋体" w:eastAsia="宋体" w:cs="宋体"/>
          <w:color w:val="auto"/>
          <w:w w:val="80"/>
          <w:szCs w:val="44"/>
          <w:highlight w:val="none"/>
          <w:shd w:val="clear" w:color="auto" w:fill="auto"/>
          <w:lang w:val="en-US" w:eastAsia="zh-CN"/>
        </w:rPr>
        <w:t>供应商须知</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bookmarkStart w:id="25" w:name="_Toc16938519"/>
      <w:bookmarkStart w:id="26" w:name="_Toc513029203"/>
      <w:bookmarkStart w:id="27" w:name="_Toc120614214"/>
      <w:bookmarkStart w:id="28" w:name="_Toc20823275"/>
      <w:bookmarkStart w:id="29" w:name="_Toc432763305"/>
      <w:r>
        <w:rPr>
          <w:rFonts w:hint="eastAsia" w:ascii="宋体" w:hAnsi="宋体" w:eastAsia="宋体" w:cs="宋体"/>
          <w:b/>
          <w:bCs/>
          <w:color w:val="auto"/>
          <w:sz w:val="24"/>
          <w:szCs w:val="24"/>
          <w:highlight w:val="none"/>
          <w:lang w:val="en-US" w:eastAsia="en-US"/>
        </w:rPr>
        <w:t>（一）总则</w:t>
      </w:r>
      <w:bookmarkEnd w:id="25"/>
      <w:bookmarkEnd w:id="26"/>
      <w:bookmarkEnd w:id="27"/>
      <w:bookmarkEnd w:id="28"/>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30" w:name="_Hlt16619475"/>
      <w:bookmarkEnd w:id="30"/>
      <w:bookmarkStart w:id="31" w:name="_Toc458694821"/>
      <w:bookmarkStart w:id="32" w:name="_Toc16938520"/>
      <w:bookmarkStart w:id="33" w:name="_Toc513029204"/>
      <w:bookmarkStart w:id="34" w:name="_Toc20823276"/>
      <w:r>
        <w:rPr>
          <w:rFonts w:hint="eastAsia" w:ascii="宋体" w:hAnsi="宋体" w:eastAsia="宋体" w:cs="宋体"/>
          <w:color w:val="auto"/>
          <w:sz w:val="24"/>
          <w:szCs w:val="24"/>
          <w:highlight w:val="none"/>
          <w:lang w:val="en-US" w:eastAsia="en-US"/>
        </w:rPr>
        <w:t>1</w:t>
      </w:r>
      <w:bookmarkEnd w:id="31"/>
      <w:r>
        <w:rPr>
          <w:rFonts w:hint="eastAsia" w:ascii="宋体" w:hAnsi="宋体" w:eastAsia="宋体" w:cs="宋体"/>
          <w:color w:val="auto"/>
          <w:sz w:val="24"/>
          <w:szCs w:val="24"/>
          <w:highlight w:val="none"/>
          <w:lang w:val="en-US" w:eastAsia="en-US"/>
        </w:rPr>
        <w:t>.采购方式</w:t>
      </w:r>
      <w:bookmarkEnd w:id="32"/>
      <w:bookmarkEnd w:id="33"/>
      <w:bookmarkEnd w:id="34"/>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1.1 </w:t>
      </w:r>
      <w:r>
        <w:rPr>
          <w:rFonts w:hint="eastAsia" w:ascii="宋体" w:hAnsi="宋体" w:eastAsia="宋体" w:cs="宋体"/>
          <w:color w:val="auto"/>
          <w:sz w:val="24"/>
          <w:szCs w:val="21"/>
          <w:highlight w:val="none"/>
        </w:rPr>
        <w:t>本次政府采购活动采取竞争性磋商(以下简称磋商)方式</w:t>
      </w:r>
      <w:r>
        <w:rPr>
          <w:rFonts w:hint="eastAsia" w:ascii="宋体" w:hAnsi="宋体" w:eastAsia="宋体" w:cs="宋体"/>
          <w:color w:val="auto"/>
          <w:sz w:val="24"/>
          <w:szCs w:val="24"/>
          <w:highlight w:val="none"/>
          <w:lang w:val="en-US" w:eastAsia="en-US"/>
        </w:rPr>
        <w:t>，本磋商文件仅适用于磋商公告中所述项目。</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35" w:name="_Toc16938521"/>
      <w:bookmarkStart w:id="36" w:name="_Toc20823277"/>
      <w:bookmarkStart w:id="37" w:name="_Toc513029205"/>
      <w:r>
        <w:rPr>
          <w:rFonts w:hint="eastAsia" w:ascii="宋体" w:hAnsi="宋体" w:eastAsia="宋体" w:cs="宋体"/>
          <w:color w:val="auto"/>
          <w:sz w:val="24"/>
          <w:szCs w:val="24"/>
          <w:highlight w:val="none"/>
          <w:lang w:val="en-US" w:eastAsia="en-US"/>
        </w:rPr>
        <w:t>2.合格的</w:t>
      </w:r>
      <w:bookmarkEnd w:id="35"/>
      <w:bookmarkEnd w:id="36"/>
      <w:bookmarkEnd w:id="37"/>
      <w:r>
        <w:rPr>
          <w:rFonts w:hint="eastAsia" w:ascii="宋体" w:hAnsi="宋体" w:eastAsia="宋体" w:cs="宋体"/>
          <w:color w:val="auto"/>
          <w:sz w:val="24"/>
          <w:szCs w:val="24"/>
          <w:highlight w:val="none"/>
          <w:lang w:val="en-US" w:eastAsia="en-US"/>
        </w:rPr>
        <w:t>供应商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2.1满足磋商公告中供应商的资格要求的规定。</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 </w:t>
      </w:r>
      <w:r>
        <w:rPr>
          <w:rFonts w:hint="eastAsia" w:ascii="宋体" w:hAnsi="宋体" w:eastAsia="宋体" w:cs="宋体"/>
          <w:color w:val="auto"/>
          <w:sz w:val="24"/>
          <w:szCs w:val="24"/>
          <w:highlight w:val="none"/>
        </w:rPr>
        <w:t>满足本磋商文件实质性要求和条件的规定</w:t>
      </w:r>
      <w:r>
        <w:rPr>
          <w:rFonts w:hint="eastAsia" w:ascii="宋体" w:hAnsi="宋体" w:eastAsia="宋体" w:cs="宋体"/>
          <w:color w:val="auto"/>
          <w:sz w:val="24"/>
          <w:szCs w:val="24"/>
          <w:highlight w:val="none"/>
          <w:lang w:val="en-US" w:eastAsia="en-US"/>
        </w:rPr>
        <w:t>。</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38" w:name="_Toc20823278"/>
      <w:bookmarkStart w:id="39" w:name="_Toc513029206"/>
      <w:bookmarkStart w:id="40" w:name="_Toc16938522"/>
      <w:r>
        <w:rPr>
          <w:rFonts w:hint="eastAsia" w:ascii="宋体" w:hAnsi="宋体" w:eastAsia="宋体" w:cs="宋体"/>
          <w:color w:val="auto"/>
          <w:sz w:val="24"/>
          <w:szCs w:val="24"/>
          <w:highlight w:val="none"/>
          <w:lang w:val="en-US" w:eastAsia="en-US"/>
        </w:rPr>
        <w:t>3.适用法律</w:t>
      </w:r>
      <w:bookmarkEnd w:id="38"/>
      <w:bookmarkEnd w:id="39"/>
      <w:bookmarkEnd w:id="40"/>
    </w:p>
    <w:p>
      <w:pPr>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3.1 本次</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及由此产生的合同受中华人民共和国有关的法律法规制约和保护。</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41" w:name="_Toc513029207"/>
      <w:bookmarkStart w:id="42" w:name="_Toc16938523"/>
      <w:bookmarkStart w:id="43" w:name="_Toc20823279"/>
      <w:bookmarkStart w:id="44" w:name="_Toc462564067"/>
      <w:r>
        <w:rPr>
          <w:rFonts w:hint="eastAsia" w:ascii="宋体" w:hAnsi="宋体" w:eastAsia="宋体" w:cs="宋体"/>
          <w:color w:val="auto"/>
          <w:sz w:val="24"/>
          <w:szCs w:val="24"/>
          <w:highlight w:val="none"/>
          <w:lang w:val="en-US" w:eastAsia="en-US"/>
        </w:rPr>
        <w:t>4.磋商费用</w:t>
      </w:r>
      <w:bookmarkEnd w:id="41"/>
      <w:bookmarkEnd w:id="42"/>
      <w:bookmarkEnd w:id="43"/>
      <w:bookmarkEnd w:id="44"/>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4.1 供应商应自行承担所有与参加磋商有关的费用，无论磋商过程中的做法和结果如何，采购人</w:t>
      </w:r>
      <w:r>
        <w:rPr>
          <w:rFonts w:hint="eastAsia" w:ascii="宋体" w:hAnsi="宋体" w:eastAsia="宋体" w:cs="宋体"/>
          <w:color w:val="auto"/>
          <w:sz w:val="24"/>
          <w:szCs w:val="24"/>
          <w:highlight w:val="none"/>
          <w:lang w:val="en-US" w:eastAsia="zh-CN"/>
        </w:rPr>
        <w:t>及代理机构</w:t>
      </w:r>
      <w:r>
        <w:rPr>
          <w:rFonts w:hint="eastAsia" w:ascii="宋体" w:hAnsi="宋体" w:eastAsia="宋体" w:cs="宋体"/>
          <w:color w:val="auto"/>
          <w:sz w:val="24"/>
          <w:szCs w:val="24"/>
          <w:highlight w:val="none"/>
          <w:lang w:val="en-US" w:eastAsia="en-US"/>
        </w:rPr>
        <w:t>在任何情况下均无义务和责任承担这些费用。</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4.</w:t>
      </w:r>
      <w:r>
        <w:rPr>
          <w:rFonts w:hint="eastAsia" w:ascii="宋体" w:hAnsi="宋体" w:eastAsia="宋体" w:cs="宋体"/>
          <w:color w:val="auto"/>
          <w:sz w:val="24"/>
          <w:szCs w:val="24"/>
          <w:highlight w:val="none"/>
          <w:lang w:val="en-US" w:eastAsia="zh-CN"/>
        </w:rPr>
        <w:t>2本项目采购人不收取任何费用。依据财政部《政府采购代理机构管理暂行办法》第十五条规定，本项目约定由成交供应商向招标代理机构支付代理服务费。</w:t>
      </w:r>
      <w:r>
        <w:rPr>
          <w:rFonts w:hint="eastAsia" w:ascii="宋体" w:hAnsi="宋体" w:eastAsia="宋体" w:cs="宋体"/>
          <w:color w:val="auto"/>
          <w:sz w:val="24"/>
          <w:szCs w:val="24"/>
          <w:highlight w:val="none"/>
        </w:rPr>
        <w:t>代理服务费收费标准：分档累计费率，</w:t>
      </w:r>
      <w:r>
        <w:rPr>
          <w:rFonts w:hint="eastAsia" w:ascii="宋体" w:hAnsi="宋体" w:cs="宋体"/>
          <w:color w:val="auto"/>
          <w:sz w:val="24"/>
          <w:szCs w:val="24"/>
          <w:highlight w:val="none"/>
          <w:lang w:val="en-US" w:eastAsia="zh-CN"/>
        </w:rPr>
        <w:t>100</w:t>
      </w:r>
      <w:r>
        <w:rPr>
          <w:rFonts w:hint="eastAsia" w:ascii="宋体" w:hAnsi="宋体" w:cs="宋体"/>
          <w:color w:val="auto"/>
          <w:sz w:val="24"/>
          <w:szCs w:val="24"/>
          <w:highlight w:val="none"/>
          <w:lang w:eastAsia="zh-CN"/>
        </w:rPr>
        <w:t>万元</w:t>
      </w:r>
      <w:r>
        <w:rPr>
          <w:rFonts w:hint="eastAsia" w:ascii="宋体" w:hAnsi="宋体" w:eastAsia="宋体" w:cs="宋体"/>
          <w:color w:val="auto"/>
          <w:sz w:val="24"/>
          <w:szCs w:val="24"/>
          <w:highlight w:val="none"/>
        </w:rPr>
        <w:t>以下0.975%，100～500万元0.520%，保底价2000元，最高收费20000元。此项费用含在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响应报价中，并不单独立项。</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r>
        <w:rPr>
          <w:rFonts w:hint="eastAsia" w:ascii="宋体" w:hAnsi="宋体" w:eastAsia="宋体" w:cs="宋体"/>
          <w:color w:val="auto"/>
          <w:sz w:val="24"/>
          <w:szCs w:val="24"/>
          <w:highlight w:val="none"/>
          <w:lang w:val="en-US" w:eastAsia="en-US"/>
        </w:rPr>
        <w:t>5.磋商文件的约束力</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w:t>
      </w:r>
      <w:r>
        <w:rPr>
          <w:rFonts w:hint="eastAsia" w:ascii="宋体" w:hAnsi="宋体" w:eastAsia="宋体" w:cs="宋体"/>
          <w:color w:val="auto"/>
          <w:sz w:val="24"/>
          <w:szCs w:val="24"/>
          <w:highlight w:val="none"/>
          <w:lang w:val="en-US" w:eastAsia="en-US"/>
        </w:rPr>
        <w:t xml:space="preserve"> 供应商一旦参加本项目采购活动，即被认为接受了本磋商文件的规定和约束。</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6.磋商文件的解释</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6.1</w:t>
      </w:r>
      <w:r>
        <w:rPr>
          <w:rFonts w:hint="eastAsia" w:ascii="宋体" w:hAnsi="宋体" w:eastAsia="宋体" w:cs="宋体"/>
          <w:color w:val="auto"/>
          <w:sz w:val="24"/>
          <w:szCs w:val="24"/>
          <w:highlight w:val="none"/>
          <w:lang w:val="en-US" w:eastAsia="en-US"/>
        </w:rPr>
        <w:t>磋商文件需求部分（供应商资格要求、项目需求、商务技术评分标准）由采购人解释，其它部分由采购代理机构解释。</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bookmarkStart w:id="45" w:name="_Toc513029209"/>
      <w:bookmarkStart w:id="46" w:name="_Toc20823281"/>
      <w:bookmarkStart w:id="47" w:name="_Toc16938525"/>
      <w:bookmarkStart w:id="48" w:name="_Toc120614215"/>
      <w:r>
        <w:rPr>
          <w:rFonts w:hint="eastAsia" w:ascii="宋体" w:hAnsi="宋体" w:eastAsia="宋体" w:cs="宋体"/>
          <w:b/>
          <w:bCs/>
          <w:color w:val="auto"/>
          <w:sz w:val="24"/>
          <w:szCs w:val="24"/>
          <w:highlight w:val="none"/>
          <w:lang w:val="en-US" w:eastAsia="en-US"/>
        </w:rPr>
        <w:t>（二）磋商文件</w:t>
      </w:r>
      <w:bookmarkEnd w:id="45"/>
      <w:bookmarkEnd w:id="46"/>
      <w:bookmarkEnd w:id="47"/>
      <w:bookmarkEnd w:id="48"/>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49" w:name="_Toc20823282"/>
      <w:bookmarkStart w:id="50" w:name="_Toc16938526"/>
      <w:bookmarkStart w:id="51" w:name="_Toc513029210"/>
      <w:r>
        <w:rPr>
          <w:rFonts w:hint="eastAsia" w:ascii="宋体" w:hAnsi="宋体" w:eastAsia="宋体" w:cs="宋体"/>
          <w:color w:val="auto"/>
          <w:sz w:val="24"/>
          <w:szCs w:val="24"/>
          <w:highlight w:val="none"/>
          <w:lang w:val="en-US" w:eastAsia="en-US"/>
        </w:rPr>
        <w:t>1.磋商文件构成</w:t>
      </w:r>
      <w:bookmarkEnd w:id="49"/>
      <w:bookmarkEnd w:id="50"/>
      <w:bookmarkEnd w:id="51"/>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w:t>
      </w:r>
      <w:r>
        <w:rPr>
          <w:rFonts w:hint="eastAsia" w:ascii="宋体" w:hAnsi="宋体" w:eastAsia="宋体" w:cs="宋体"/>
          <w:color w:val="auto"/>
          <w:sz w:val="24"/>
          <w:szCs w:val="24"/>
          <w:highlight w:val="none"/>
          <w:lang w:val="en-US" w:eastAsia="en-US"/>
        </w:rPr>
        <w:t xml:space="preserve"> 磋商文件由以下部分组成：</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（1）</w:t>
      </w:r>
      <w:r>
        <w:rPr>
          <w:rFonts w:hint="eastAsia" w:ascii="宋体" w:hAnsi="宋体" w:eastAsia="宋体" w:cs="宋体"/>
          <w:color w:val="auto"/>
          <w:sz w:val="24"/>
          <w:szCs w:val="24"/>
          <w:highlight w:val="none"/>
          <w:lang w:val="en-US" w:eastAsia="zh-CN"/>
        </w:rPr>
        <w:t>磋商邀请</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（2）</w:t>
      </w:r>
      <w:r>
        <w:rPr>
          <w:rFonts w:hint="eastAsia" w:ascii="宋体" w:hAnsi="宋体" w:eastAsia="宋体" w:cs="宋体"/>
          <w:color w:val="auto"/>
          <w:sz w:val="24"/>
          <w:szCs w:val="24"/>
          <w:highlight w:val="none"/>
          <w:lang w:val="en-US" w:eastAsia="zh-CN"/>
        </w:rPr>
        <w:t>供应商须知</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（3）项目需求</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（4）评审方法和评审标准</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（5）响应文件组成</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请仔细检查磋商文件是否齐全，如有缺漏请立即与</w:t>
      </w:r>
      <w:r>
        <w:rPr>
          <w:rFonts w:hint="eastAsia" w:ascii="宋体" w:hAnsi="宋体" w:eastAsia="宋体" w:cs="宋体"/>
          <w:bCs/>
          <w:color w:val="auto"/>
          <w:sz w:val="24"/>
          <w:szCs w:val="24"/>
          <w:highlight w:val="none"/>
          <w:lang w:val="en-US" w:eastAsia="en-US"/>
        </w:rPr>
        <w:t>采购人或采购代理机构</w:t>
      </w:r>
      <w:r>
        <w:rPr>
          <w:rFonts w:hint="eastAsia" w:ascii="宋体" w:hAnsi="宋体" w:eastAsia="宋体" w:cs="宋体"/>
          <w:color w:val="auto"/>
          <w:sz w:val="24"/>
          <w:szCs w:val="24"/>
          <w:highlight w:val="none"/>
          <w:lang w:val="en-US" w:eastAsia="en-US"/>
        </w:rPr>
        <w:t>联系解决。</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1.2</w:t>
      </w:r>
      <w:r>
        <w:rPr>
          <w:rFonts w:hint="eastAsia" w:ascii="宋体" w:hAnsi="宋体" w:eastAsia="宋体" w:cs="宋体"/>
          <w:color w:val="auto"/>
          <w:sz w:val="24"/>
          <w:szCs w:val="24"/>
          <w:highlight w:val="none"/>
          <w:lang w:val="en-US" w:eastAsia="en-US"/>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52" w:name="_Toc16938527"/>
      <w:bookmarkStart w:id="53" w:name="_Toc20823283"/>
      <w:bookmarkStart w:id="54" w:name="_Toc462564070"/>
      <w:bookmarkStart w:id="55" w:name="_Toc513029211"/>
      <w:r>
        <w:rPr>
          <w:rFonts w:hint="eastAsia" w:ascii="宋体" w:hAnsi="宋体" w:eastAsia="宋体" w:cs="宋体"/>
          <w:color w:val="auto"/>
          <w:sz w:val="24"/>
          <w:szCs w:val="24"/>
          <w:highlight w:val="none"/>
          <w:lang w:val="en-US" w:eastAsia="en-US"/>
        </w:rPr>
        <w:t>2.磋商文件的澄清</w:t>
      </w:r>
      <w:bookmarkEnd w:id="52"/>
      <w:bookmarkEnd w:id="53"/>
      <w:bookmarkEnd w:id="54"/>
      <w:bookmarkEnd w:id="55"/>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2.1</w:t>
      </w:r>
      <w:r>
        <w:rPr>
          <w:rFonts w:hint="eastAsia" w:ascii="宋体" w:hAnsi="宋体" w:eastAsia="宋体" w:cs="宋体"/>
          <w:color w:val="auto"/>
          <w:sz w:val="24"/>
          <w:szCs w:val="24"/>
          <w:highlight w:val="none"/>
          <w:lang w:val="en-US" w:eastAsia="en-US"/>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w:t>
      </w:r>
      <w:r>
        <w:rPr>
          <w:rFonts w:hint="eastAsia" w:ascii="宋体" w:hAnsi="宋体" w:eastAsia="宋体" w:cs="宋体"/>
          <w:bCs/>
          <w:color w:val="auto"/>
          <w:sz w:val="24"/>
          <w:szCs w:val="24"/>
          <w:highlight w:val="none"/>
          <w:lang w:val="en-US" w:eastAsia="en-US"/>
        </w:rPr>
        <w:t>采购人</w:t>
      </w:r>
      <w:r>
        <w:rPr>
          <w:rFonts w:hint="eastAsia" w:ascii="宋体" w:hAnsi="宋体" w:eastAsia="宋体" w:cs="宋体"/>
          <w:color w:val="auto"/>
          <w:sz w:val="24"/>
          <w:szCs w:val="21"/>
          <w:highlight w:val="none"/>
        </w:rPr>
        <w:t>可以视采购项目的具体情况，组织供应商进行现场考察或召开磋商前答疑会，但不单独或分别组织只有一个供应商参加的现场考察和答疑会。</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56" w:name="_Toc20823284"/>
      <w:bookmarkStart w:id="57" w:name="_Toc16938528"/>
      <w:bookmarkStart w:id="58" w:name="_Toc462564071"/>
      <w:bookmarkStart w:id="59" w:name="_Toc513029212"/>
      <w:r>
        <w:rPr>
          <w:rFonts w:hint="eastAsia" w:ascii="宋体" w:hAnsi="宋体" w:eastAsia="宋体" w:cs="宋体"/>
          <w:color w:val="auto"/>
          <w:sz w:val="24"/>
          <w:szCs w:val="24"/>
          <w:highlight w:val="none"/>
          <w:lang w:val="en-US" w:eastAsia="en-US"/>
        </w:rPr>
        <w:t>3.磋商文件的修改</w:t>
      </w:r>
      <w:bookmarkEnd w:id="56"/>
      <w:bookmarkEnd w:id="57"/>
      <w:bookmarkEnd w:id="58"/>
      <w:bookmarkEnd w:id="59"/>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3.1 在响应文件提交截止时间前，采购人或采购代理机构可以对磋商文件进行修改</w:t>
      </w:r>
      <w:r>
        <w:rPr>
          <w:rFonts w:hint="eastAsia" w:ascii="宋体" w:hAnsi="宋体" w:eastAsia="宋体" w:cs="宋体"/>
          <w:color w:val="auto"/>
          <w:sz w:val="24"/>
          <w:szCs w:val="21"/>
          <w:highlight w:val="none"/>
        </w:rPr>
        <w:t>,</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澄清或者修改的内容作为磋商文件的组成部分。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3.2 采购人或采购代理机构有权按照法定的要求推迟响应文件提交截止日期和磋商日期。</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3.3 磋商文件的修改将在江苏政府采购网公布，补充文件将作为磋商文件的组成部分，并对供应商具有约束力</w:t>
      </w:r>
      <w:r>
        <w:rPr>
          <w:rFonts w:hint="eastAsia" w:ascii="宋体" w:hAnsi="宋体" w:eastAsia="宋体" w:cs="宋体"/>
          <w:color w:val="auto"/>
          <w:sz w:val="24"/>
          <w:szCs w:val="24"/>
          <w:highlight w:val="none"/>
          <w:lang w:val="en-US" w:eastAsia="en-US"/>
        </w:rPr>
        <w:t>。</w:t>
      </w:r>
    </w:p>
    <w:p>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bCs/>
          <w:color w:val="auto"/>
          <w:sz w:val="24"/>
          <w:szCs w:val="24"/>
          <w:highlight w:val="none"/>
          <w:u w:val="single"/>
          <w:lang w:val="en-US" w:eastAsia="en-US"/>
        </w:rPr>
      </w:pPr>
      <w:r>
        <w:rPr>
          <w:rFonts w:hint="eastAsia" w:ascii="宋体" w:hAnsi="宋体" w:eastAsia="宋体" w:cs="宋体"/>
          <w:b/>
          <w:bCs/>
          <w:color w:val="auto"/>
          <w:sz w:val="24"/>
          <w:szCs w:val="24"/>
          <w:highlight w:val="none"/>
          <w:u w:val="single"/>
          <w:lang w:val="en-US" w:eastAsia="en-US"/>
        </w:rPr>
        <w:t>4.在响应文件提交截止时间前，</w:t>
      </w:r>
      <w:r>
        <w:rPr>
          <w:rFonts w:hint="eastAsia" w:ascii="宋体" w:hAnsi="宋体" w:eastAsia="宋体" w:cs="宋体"/>
          <w:b/>
          <w:bCs/>
          <w:color w:val="auto"/>
          <w:sz w:val="24"/>
          <w:szCs w:val="24"/>
          <w:highlight w:val="none"/>
          <w:u w:val="single"/>
          <w:lang w:val="en-US" w:eastAsia="zh-CN"/>
        </w:rPr>
        <w:t>采购人</w:t>
      </w:r>
      <w:r>
        <w:rPr>
          <w:rFonts w:hint="eastAsia" w:ascii="宋体" w:hAnsi="宋体" w:eastAsia="宋体" w:cs="宋体"/>
          <w:b/>
          <w:bCs/>
          <w:color w:val="auto"/>
          <w:sz w:val="24"/>
          <w:szCs w:val="24"/>
          <w:highlight w:val="none"/>
          <w:u w:val="single"/>
          <w:lang w:val="en-US" w:eastAsia="en-US"/>
        </w:rPr>
        <w:t>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5.供应商对采购人提供的采购文件所做出的推论、解释和结论，采购人概不负责。供应商由于对采购文件的任何推论和误解以及采购人对有关问题的口头解释所造成的后果，均由各潜在供应商自负。</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bookmarkStart w:id="60" w:name="_Toc16938529"/>
      <w:bookmarkStart w:id="61" w:name="_Toc20823285"/>
      <w:bookmarkStart w:id="62" w:name="_Toc513029213"/>
      <w:bookmarkStart w:id="63" w:name="_Toc120614216"/>
      <w:bookmarkStart w:id="64" w:name="_Toc462564072"/>
      <w:r>
        <w:rPr>
          <w:rFonts w:hint="eastAsia" w:ascii="宋体" w:hAnsi="宋体" w:eastAsia="宋体" w:cs="宋体"/>
          <w:b/>
          <w:bCs/>
          <w:color w:val="auto"/>
          <w:sz w:val="24"/>
          <w:szCs w:val="24"/>
          <w:highlight w:val="none"/>
          <w:lang w:val="en-US" w:eastAsia="en-US"/>
        </w:rPr>
        <w:t>（三）响应文件的编制</w:t>
      </w:r>
      <w:bookmarkEnd w:id="60"/>
      <w:bookmarkEnd w:id="61"/>
      <w:bookmarkEnd w:id="62"/>
      <w:bookmarkEnd w:id="63"/>
      <w:bookmarkEnd w:id="64"/>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Cs/>
          <w:color w:val="auto"/>
          <w:sz w:val="24"/>
          <w:szCs w:val="24"/>
          <w:highlight w:val="none"/>
          <w:lang w:val="en-US" w:eastAsia="en-US"/>
        </w:rPr>
      </w:pPr>
      <w:bookmarkStart w:id="65" w:name="_Toc513029214"/>
      <w:bookmarkStart w:id="66" w:name="_Toc462564073"/>
      <w:bookmarkStart w:id="67" w:name="_Toc20823286"/>
      <w:bookmarkStart w:id="68" w:name="_Toc16938530"/>
      <w:r>
        <w:rPr>
          <w:rFonts w:hint="eastAsia" w:ascii="宋体" w:hAnsi="宋体" w:eastAsia="宋体" w:cs="宋体"/>
          <w:color w:val="auto"/>
          <w:sz w:val="24"/>
          <w:szCs w:val="24"/>
          <w:highlight w:val="none"/>
          <w:lang w:val="en-US" w:eastAsia="en-US"/>
        </w:rPr>
        <w:t>1.响应文件的语言及度量衡单位</w:t>
      </w:r>
      <w:bookmarkEnd w:id="65"/>
      <w:bookmarkEnd w:id="66"/>
      <w:bookmarkEnd w:id="67"/>
      <w:bookmarkEnd w:id="68"/>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1.1供应商提交的响应文件以及供应商与采购人或采购代理机构就有关磋商的所有来往通知、函件和文件均应使用简体中文。</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1.2 除技术性能另有规定外，响应文件所使用的度量衡单位，均须采用国家法定计量单位</w:t>
      </w:r>
      <w:r>
        <w:rPr>
          <w:rFonts w:hint="eastAsia" w:ascii="宋体" w:hAnsi="宋体" w:eastAsia="宋体" w:cs="宋体"/>
          <w:color w:val="auto"/>
          <w:sz w:val="24"/>
          <w:szCs w:val="24"/>
          <w:highlight w:val="none"/>
          <w:lang w:val="en-US" w:eastAsia="en-US"/>
        </w:rPr>
        <w:t>。</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69" w:name="_Toc513029215"/>
      <w:bookmarkStart w:id="70" w:name="_Toc462564074"/>
      <w:bookmarkStart w:id="71" w:name="_Toc16938531"/>
      <w:bookmarkStart w:id="72" w:name="_Toc20823287"/>
      <w:r>
        <w:rPr>
          <w:rFonts w:hint="eastAsia" w:ascii="宋体" w:hAnsi="宋体" w:eastAsia="宋体" w:cs="宋体"/>
          <w:color w:val="auto"/>
          <w:sz w:val="24"/>
          <w:szCs w:val="24"/>
          <w:highlight w:val="none"/>
          <w:lang w:val="en-US" w:eastAsia="en-US"/>
        </w:rPr>
        <w:t>2.响应文件构成</w:t>
      </w:r>
      <w:bookmarkEnd w:id="69"/>
      <w:bookmarkEnd w:id="70"/>
      <w:bookmarkEnd w:id="71"/>
      <w:bookmarkEnd w:id="72"/>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2.1 供应商编写的响应文件应包括</w:t>
      </w:r>
      <w:r>
        <w:rPr>
          <w:rFonts w:hint="eastAsia" w:ascii="宋体" w:hAnsi="宋体" w:eastAsia="宋体" w:cs="宋体"/>
          <w:bCs/>
          <w:color w:val="auto"/>
          <w:sz w:val="24"/>
          <w:szCs w:val="24"/>
          <w:highlight w:val="none"/>
          <w:lang w:val="en-US" w:eastAsia="zh-CN"/>
        </w:rPr>
        <w:t>资格审查文件</w:t>
      </w:r>
      <w:r>
        <w:rPr>
          <w:rFonts w:hint="eastAsia" w:ascii="宋体" w:hAnsi="宋体" w:eastAsia="宋体" w:cs="宋体"/>
          <w:bCs/>
          <w:color w:val="auto"/>
          <w:sz w:val="24"/>
          <w:szCs w:val="24"/>
          <w:highlight w:val="none"/>
          <w:lang w:val="en-US" w:eastAsia="en-US"/>
        </w:rPr>
        <w:t>、</w:t>
      </w:r>
      <w:r>
        <w:rPr>
          <w:rFonts w:hint="eastAsia" w:ascii="宋体" w:hAnsi="宋体" w:eastAsia="宋体" w:cs="宋体"/>
          <w:bCs/>
          <w:color w:val="auto"/>
          <w:sz w:val="24"/>
          <w:szCs w:val="24"/>
          <w:highlight w:val="none"/>
          <w:lang w:val="en-US" w:eastAsia="zh-CN"/>
        </w:rPr>
        <w:t>商务技术响应文件</w:t>
      </w:r>
      <w:r>
        <w:rPr>
          <w:rFonts w:hint="eastAsia" w:ascii="宋体" w:hAnsi="宋体" w:eastAsia="宋体" w:cs="宋体"/>
          <w:bCs/>
          <w:color w:val="auto"/>
          <w:sz w:val="24"/>
          <w:szCs w:val="24"/>
          <w:highlight w:val="none"/>
          <w:lang w:val="en-US" w:eastAsia="en-US"/>
        </w:rPr>
        <w:t>、</w:t>
      </w:r>
      <w:r>
        <w:rPr>
          <w:rFonts w:hint="eastAsia" w:ascii="宋体" w:hAnsi="宋体" w:eastAsia="宋体" w:cs="宋体"/>
          <w:bCs/>
          <w:color w:val="auto"/>
          <w:sz w:val="24"/>
          <w:szCs w:val="24"/>
          <w:highlight w:val="none"/>
          <w:lang w:val="en-US" w:eastAsia="zh-CN"/>
        </w:rPr>
        <w:t>报价响应文件</w:t>
      </w:r>
      <w:r>
        <w:rPr>
          <w:rFonts w:hint="eastAsia" w:ascii="宋体" w:hAnsi="宋体" w:eastAsia="宋体" w:cs="宋体"/>
          <w:bCs/>
          <w:color w:val="auto"/>
          <w:sz w:val="24"/>
          <w:szCs w:val="24"/>
          <w:highlight w:val="none"/>
          <w:lang w:val="en-US" w:eastAsia="en-US"/>
        </w:rPr>
        <w:t>。供应商按“第五部分 响应文件组成”要求编写响应文件</w:t>
      </w:r>
      <w:r>
        <w:rPr>
          <w:rFonts w:hint="eastAsia" w:ascii="宋体" w:hAnsi="宋体" w:eastAsia="宋体" w:cs="宋体"/>
          <w:color w:val="auto"/>
          <w:sz w:val="24"/>
          <w:szCs w:val="24"/>
          <w:highlight w:val="none"/>
          <w:lang w:val="en-US" w:eastAsia="en-US"/>
        </w:rPr>
        <w:t>。</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73" w:name="_Hlt26668975"/>
      <w:bookmarkEnd w:id="73"/>
      <w:bookmarkStart w:id="74" w:name="_Hlt26954838"/>
      <w:bookmarkEnd w:id="74"/>
      <w:bookmarkStart w:id="75" w:name="_Hlt26670360"/>
      <w:bookmarkEnd w:id="75"/>
      <w:bookmarkStart w:id="76" w:name="_Toc49090511"/>
      <w:bookmarkStart w:id="77" w:name="_Toc14577360"/>
      <w:r>
        <w:rPr>
          <w:rFonts w:hint="eastAsia" w:ascii="宋体" w:hAnsi="宋体" w:eastAsia="宋体" w:cs="宋体"/>
          <w:color w:val="auto"/>
          <w:sz w:val="24"/>
          <w:szCs w:val="24"/>
          <w:highlight w:val="none"/>
          <w:lang w:val="en-US" w:eastAsia="en-US"/>
        </w:rPr>
        <w:t>3.</w:t>
      </w:r>
      <w:bookmarkEnd w:id="76"/>
      <w:bookmarkEnd w:id="77"/>
      <w:r>
        <w:rPr>
          <w:rFonts w:hint="eastAsia" w:ascii="宋体" w:hAnsi="宋体" w:eastAsia="宋体" w:cs="宋体"/>
          <w:color w:val="auto"/>
          <w:sz w:val="24"/>
          <w:szCs w:val="24"/>
          <w:highlight w:val="none"/>
          <w:lang w:val="en-US" w:eastAsia="en-US"/>
        </w:rPr>
        <w:t>磋商响应有效期</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3.1磋商响应有效期为采购文件规定的响应文件</w:t>
      </w:r>
      <w:r>
        <w:rPr>
          <w:rFonts w:hint="eastAsia" w:ascii="宋体" w:hAnsi="宋体" w:eastAsia="宋体" w:cs="宋体"/>
          <w:color w:val="auto"/>
          <w:sz w:val="24"/>
          <w:szCs w:val="24"/>
          <w:highlight w:val="none"/>
          <w:lang w:val="en-US" w:eastAsia="en-US"/>
        </w:rPr>
        <w:t>提交</w:t>
      </w:r>
      <w:r>
        <w:rPr>
          <w:rFonts w:hint="eastAsia" w:ascii="宋体" w:hAnsi="宋体" w:eastAsia="宋体" w:cs="宋体"/>
          <w:bCs/>
          <w:color w:val="auto"/>
          <w:sz w:val="24"/>
          <w:szCs w:val="24"/>
          <w:highlight w:val="none"/>
          <w:lang w:val="en-US" w:eastAsia="en-US"/>
        </w:rPr>
        <w:t>截止时间后</w:t>
      </w:r>
      <w:r>
        <w:rPr>
          <w:rFonts w:hint="eastAsia" w:ascii="宋体" w:hAnsi="宋体" w:eastAsia="宋体" w:cs="宋体"/>
          <w:b/>
          <w:color w:val="auto"/>
          <w:sz w:val="24"/>
          <w:szCs w:val="24"/>
          <w:highlight w:val="none"/>
          <w:u w:val="single"/>
          <w:lang w:val="en-US" w:eastAsia="en-US"/>
        </w:rPr>
        <w:t>六十（60）天</w:t>
      </w:r>
      <w:r>
        <w:rPr>
          <w:rFonts w:hint="eastAsia" w:ascii="宋体" w:hAnsi="宋体" w:eastAsia="宋体" w:cs="宋体"/>
          <w:bCs/>
          <w:color w:val="auto"/>
          <w:sz w:val="24"/>
          <w:szCs w:val="24"/>
          <w:highlight w:val="none"/>
          <w:lang w:val="en-US" w:eastAsia="en-US"/>
        </w:rPr>
        <w:t>。磋商响应有效期比规定短的将被视为非实质性响应而予以拒绝。</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r>
        <w:rPr>
          <w:rFonts w:hint="eastAsia" w:ascii="宋体" w:hAnsi="宋体" w:eastAsia="宋体" w:cs="宋体"/>
          <w:color w:val="auto"/>
          <w:sz w:val="24"/>
          <w:szCs w:val="24"/>
          <w:highlight w:val="none"/>
          <w:lang w:val="en-US" w:eastAsia="en-US"/>
        </w:rPr>
        <w:t>4. 磋商响应有效期的延长</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bookmarkStart w:id="78" w:name="_Hlt26954739"/>
      <w:bookmarkEnd w:id="78"/>
      <w:bookmarkStart w:id="79" w:name="_Hlt26954852"/>
      <w:bookmarkEnd w:id="79"/>
      <w:bookmarkStart w:id="80" w:name="_Toc20823296"/>
      <w:bookmarkStart w:id="81" w:name="_Toc120614217"/>
      <w:bookmarkStart w:id="82" w:name="_Toc16938540"/>
      <w:bookmarkStart w:id="83" w:name="_Toc513029224"/>
      <w:r>
        <w:rPr>
          <w:rFonts w:hint="eastAsia" w:ascii="宋体" w:hAnsi="宋体" w:eastAsia="宋体" w:cs="宋体"/>
          <w:bCs/>
          <w:color w:val="auto"/>
          <w:sz w:val="24"/>
          <w:szCs w:val="24"/>
          <w:highlight w:val="none"/>
          <w:lang w:val="en-US" w:eastAsia="en-US"/>
        </w:rPr>
        <w:t>5.电子响应文件其他要求</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5.1电子招标投标交易平台（即“苏采云”系统）相关要求是本采购文件的组成部分。</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5.2供应商应对CA证书妥善保管，如被他人盗用投标，因此带来的结果均由供应商自行承担。</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5.3供应商应当对采购文件提出的实质性要求和条件作出实质性响应，并在电子投标系统逐条应答。</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5.4供应商应对要求提供的资格证明文件（如资质证书、资格证书）、技术资料（如白皮书、彩页、手册、检测报告等）扫描上传至投标系统。 </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6.供应商应当在采购文件要求提交响应文件的截止时间前，将响应文件提交至“苏采云”系统，逾期提交的响应文件，“苏采云”系统将自动拒收。各供应商应在规定时间内凭CA证书进行网上解密。</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（四）响应文件的提交</w:t>
      </w:r>
      <w:bookmarkEnd w:id="80"/>
      <w:bookmarkEnd w:id="81"/>
      <w:bookmarkEnd w:id="82"/>
      <w:bookmarkEnd w:id="83"/>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84" w:name="_Toc513029225"/>
      <w:bookmarkStart w:id="85" w:name="_Toc16938541"/>
      <w:bookmarkStart w:id="86" w:name="_Toc462564084"/>
      <w:bookmarkStart w:id="87" w:name="_Toc20823297"/>
      <w:bookmarkStart w:id="88" w:name="_Toc513029229"/>
      <w:bookmarkStart w:id="89" w:name="_Toc120614218"/>
      <w:bookmarkStart w:id="90" w:name="_Toc20823301"/>
      <w:bookmarkStart w:id="91" w:name="_Toc16938545"/>
      <w:r>
        <w:rPr>
          <w:rFonts w:hint="eastAsia" w:ascii="宋体" w:hAnsi="宋体" w:eastAsia="宋体" w:cs="宋体"/>
          <w:color w:val="auto"/>
          <w:sz w:val="24"/>
          <w:szCs w:val="24"/>
          <w:highlight w:val="none"/>
          <w:lang w:val="en-US" w:eastAsia="en-US"/>
        </w:rPr>
        <w:t>1.响应文件</w:t>
      </w:r>
      <w:bookmarkEnd w:id="84"/>
      <w:bookmarkEnd w:id="85"/>
      <w:bookmarkEnd w:id="86"/>
      <w:bookmarkEnd w:id="87"/>
      <w:r>
        <w:rPr>
          <w:rFonts w:hint="eastAsia" w:ascii="宋体" w:hAnsi="宋体" w:eastAsia="宋体" w:cs="宋体"/>
          <w:color w:val="auto"/>
          <w:sz w:val="24"/>
          <w:szCs w:val="24"/>
          <w:highlight w:val="none"/>
          <w:lang w:val="en-US" w:eastAsia="en-US"/>
        </w:rPr>
        <w:t>的提交</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1.1线上提交与接收地点：供应商应当通过“苏采云”系统提交数据电文形式的响应文件（即电子投标），“苏采云”系统自动接收。</w:t>
      </w:r>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说明：电子响应文件应由其法定代表人或</w:t>
      </w:r>
      <w:r>
        <w:rPr>
          <w:rFonts w:hint="eastAsia" w:ascii="宋体" w:hAnsi="宋体" w:eastAsia="宋体" w:cs="宋体"/>
          <w:b/>
          <w:bCs/>
          <w:color w:val="auto"/>
          <w:sz w:val="24"/>
          <w:szCs w:val="24"/>
          <w:highlight w:val="none"/>
          <w:lang w:val="en-US" w:eastAsia="zh-CN"/>
        </w:rPr>
        <w:t>被授权人</w:t>
      </w:r>
      <w:r>
        <w:rPr>
          <w:rFonts w:hint="eastAsia" w:ascii="宋体" w:hAnsi="宋体" w:eastAsia="宋体" w:cs="宋体"/>
          <w:b/>
          <w:bCs/>
          <w:color w:val="auto"/>
          <w:sz w:val="24"/>
          <w:szCs w:val="24"/>
          <w:highlight w:val="none"/>
          <w:lang w:val="en-US" w:eastAsia="en-US"/>
        </w:rPr>
        <w:t>在规定的网上投标时间内，凭CA证书登录“苏采云”系统在线编制响应文件（电子数据），并在响应文件提交截止时间之前上传</w:t>
      </w:r>
      <w:r>
        <w:rPr>
          <w:rFonts w:hint="eastAsia" w:ascii="宋体" w:hAnsi="宋体" w:eastAsia="宋体" w:cs="宋体"/>
          <w:b/>
          <w:bCs/>
          <w:color w:val="auto"/>
          <w:sz w:val="24"/>
          <w:szCs w:val="24"/>
          <w:highlight w:val="none"/>
          <w:lang w:val="en-US" w:eastAsia="zh-CN"/>
        </w:rPr>
        <w:t>磋商响应文件</w:t>
      </w:r>
      <w:r>
        <w:rPr>
          <w:rFonts w:hint="eastAsia" w:ascii="宋体" w:hAnsi="宋体" w:eastAsia="宋体" w:cs="宋体"/>
          <w:b/>
          <w:bCs/>
          <w:color w:val="auto"/>
          <w:sz w:val="24"/>
          <w:szCs w:val="24"/>
          <w:highlight w:val="none"/>
          <w:lang w:val="en-US" w:eastAsia="en-US"/>
        </w:rPr>
        <w:t>。供应商应在达到开标时间后，使用CA数字证书解密各自</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lang w:val="en-US" w:eastAsia="en-US"/>
        </w:rPr>
        <w:t>响应文件。</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w:t>
      </w:r>
      <w:r>
        <w:rPr>
          <w:rFonts w:hint="eastAsia" w:ascii="宋体" w:hAnsi="宋体" w:eastAsia="宋体" w:cs="宋体"/>
          <w:bCs/>
          <w:color w:val="auto"/>
          <w:sz w:val="24"/>
          <w:szCs w:val="24"/>
          <w:highlight w:val="none"/>
          <w:lang w:val="en-US" w:eastAsia="zh-CN"/>
        </w:rPr>
        <w:t>提交</w:t>
      </w:r>
      <w:r>
        <w:rPr>
          <w:rFonts w:hint="eastAsia" w:ascii="宋体" w:hAnsi="宋体" w:eastAsia="宋体" w:cs="宋体"/>
          <w:bCs/>
          <w:color w:val="auto"/>
          <w:sz w:val="24"/>
          <w:szCs w:val="24"/>
          <w:highlight w:val="none"/>
          <w:lang w:val="en-US" w:eastAsia="en-US"/>
        </w:rPr>
        <w:t>响应文件截止日期</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2.1 供应商上传电子响应文件的时间不得迟于</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lang w:val="en-US" w:eastAsia="en-US"/>
        </w:rPr>
        <w:t>公告中规定的响应文件提交截止时间。</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供应商应充分考虑到网络环境、网络带宽等风险因素，如因供应商自身原因造成的电子响应文件上传不成功由供应商自行承担全部责任。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2.2 采购人或采购代理机构可以按照规定，通过修改响应文件酌情延长响应文件提交截止日期，在此情况下，供应商的所有权利和义务以及供应商受制的截止日期均应以延长后新的截止日期为准。</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3.响应文件的密封（加密）要求：</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3.1供应商应当按照采购文件和“苏采云”系统的要求编制并加密响应文件。本项目供应商须通过“苏采云”系统提供的政府采购客户端工具（使用“CA数字证书”）对其数据电文形式的响应文件加密。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3.2供应商须通过“苏采云”系统提供的政府采购客户端工具（使用“CA数字证书”）加盖电子签章。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说明：供应商应在用CA数字证书以及自备的能够登录“苏采云”系统的电脑，在达到开标时间后，使用CA数字证书解密各自响应文件。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3.3供应商未按规定加密的响应文件，“苏采云”系统</w:t>
      </w:r>
      <w:r>
        <w:rPr>
          <w:rFonts w:hint="eastAsia" w:ascii="宋体" w:hAnsi="宋体" w:eastAsia="宋体" w:cs="宋体"/>
          <w:bCs/>
          <w:color w:val="auto"/>
          <w:sz w:val="24"/>
          <w:szCs w:val="24"/>
          <w:highlight w:val="none"/>
          <w:lang w:val="en-US" w:eastAsia="zh-CN"/>
        </w:rPr>
        <w:t>将</w:t>
      </w:r>
      <w:r>
        <w:rPr>
          <w:rFonts w:hint="eastAsia" w:ascii="宋体" w:hAnsi="宋体" w:eastAsia="宋体" w:cs="宋体"/>
          <w:bCs/>
          <w:color w:val="auto"/>
          <w:sz w:val="24"/>
          <w:szCs w:val="24"/>
          <w:highlight w:val="none"/>
          <w:lang w:val="en-US" w:eastAsia="en-US"/>
        </w:rPr>
        <w:t>拒收并提示。</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4.响应文件的拒收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4.1 采购代理机构拒绝接收在其规定的响应文件提交截止时间后上传的任何响应文件。</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 响应文件的撤回和修改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 响应文件的撤回</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5.1.1 电子响应文件的撤回</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供应商可在响应文件提交截止时间前，撤回其电子响应文件，具体操作方法见“苏采云”系统供应商操作手册。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5.1.2 供应商撤回电子响应文件，则认为其不再参与本项目</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lang w:val="en-US" w:eastAsia="en-US"/>
        </w:rPr>
        <w:t>活动。</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5.2 响应文件的修改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供应商可在响应文件提交截止时间前，对其电子响应文件进行修改。具体操作方法见“苏采云”系统供应商操作手册。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5.3 在响应文件提交截止时间之后，供应商不得对其电子响应文件作任何修改。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5.4 在响应文件提交截止时间至</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lang w:val="en-US" w:eastAsia="en-US"/>
        </w:rPr>
        <w:t>文件中规定的</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lang w:val="en-US" w:eastAsia="en-US"/>
        </w:rPr>
        <w:t>响应有效期满之间的这段时间内，供应商不得撤回其响应文件。</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（五）</w:t>
      </w:r>
      <w:bookmarkEnd w:id="88"/>
      <w:bookmarkEnd w:id="89"/>
      <w:bookmarkEnd w:id="90"/>
      <w:bookmarkEnd w:id="91"/>
      <w:bookmarkStart w:id="92" w:name="_Toc20823302"/>
      <w:bookmarkStart w:id="93" w:name="_Toc513029230"/>
      <w:bookmarkStart w:id="94" w:name="_Toc16938546"/>
      <w:r>
        <w:rPr>
          <w:rFonts w:hint="eastAsia" w:ascii="宋体" w:hAnsi="宋体" w:eastAsia="宋体" w:cs="宋体"/>
          <w:b/>
          <w:bCs/>
          <w:color w:val="auto"/>
          <w:sz w:val="24"/>
          <w:szCs w:val="24"/>
          <w:highlight w:val="none"/>
          <w:lang w:val="en-US" w:eastAsia="en-US"/>
        </w:rPr>
        <w:t>磋商与评审</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1.磋商仪式</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1.1采购人或采购代理机构将在磋商公告中规定的时间和地点组织磋商开始仪式。</w:t>
      </w:r>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开标当天各供应商及时登录不见面开标大厅，响应文件提交截止时间后，采购</w:t>
      </w:r>
      <w:r>
        <w:rPr>
          <w:rFonts w:hint="eastAsia" w:ascii="宋体" w:hAnsi="宋体" w:eastAsia="宋体" w:cs="宋体"/>
          <w:b/>
          <w:color w:val="auto"/>
          <w:sz w:val="24"/>
          <w:szCs w:val="24"/>
          <w:highlight w:val="none"/>
          <w:lang w:val="en-US" w:eastAsia="zh-CN"/>
        </w:rPr>
        <w:t>代理机构</w:t>
      </w:r>
      <w:r>
        <w:rPr>
          <w:rFonts w:hint="eastAsia" w:ascii="宋体" w:hAnsi="宋体" w:eastAsia="宋体" w:cs="宋体"/>
          <w:b/>
          <w:color w:val="auto"/>
          <w:sz w:val="24"/>
          <w:szCs w:val="24"/>
          <w:highlight w:val="none"/>
          <w:lang w:val="en-US" w:eastAsia="en-US"/>
        </w:rPr>
        <w:t>将通过开标会议区发出响应文件解密的指令，</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lang w:val="en-US" w:eastAsia="en-US"/>
        </w:rPr>
        <w:t>按规定时间自行实施远程解密，</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lang w:val="en-US" w:eastAsia="en-US"/>
        </w:rPr>
        <w:t>解密限定在开标后</w:t>
      </w:r>
      <w:r>
        <w:rPr>
          <w:rFonts w:hint="eastAsia" w:ascii="宋体" w:hAnsi="宋体" w:eastAsia="宋体" w:cs="宋体"/>
          <w:b/>
          <w:color w:val="auto"/>
          <w:sz w:val="24"/>
          <w:szCs w:val="24"/>
          <w:highlight w:val="none"/>
          <w:u w:val="single"/>
          <w:lang w:val="en-US" w:eastAsia="en-US"/>
        </w:rPr>
        <w:t>30分钟</w:t>
      </w:r>
      <w:r>
        <w:rPr>
          <w:rFonts w:hint="eastAsia" w:ascii="宋体" w:hAnsi="宋体" w:eastAsia="宋体" w:cs="宋体"/>
          <w:b/>
          <w:color w:val="auto"/>
          <w:sz w:val="24"/>
          <w:szCs w:val="24"/>
          <w:highlight w:val="none"/>
          <w:lang w:val="en-US" w:eastAsia="en-US"/>
        </w:rPr>
        <w:t>之内完成。</w:t>
      </w:r>
      <w:r>
        <w:rPr>
          <w:rFonts w:hint="eastAsia" w:ascii="宋体" w:hAnsi="宋体" w:eastAsia="宋体" w:cs="宋体"/>
          <w:b/>
          <w:color w:val="auto"/>
          <w:sz w:val="24"/>
          <w:szCs w:val="24"/>
          <w:highlight w:val="none"/>
          <w:u w:val="single"/>
          <w:lang w:val="en-US" w:eastAsia="en-US"/>
        </w:rPr>
        <w:t>因</w:t>
      </w:r>
      <w:r>
        <w:rPr>
          <w:rFonts w:hint="eastAsia" w:ascii="宋体" w:hAnsi="宋体" w:eastAsia="宋体" w:cs="宋体"/>
          <w:b/>
          <w:color w:val="auto"/>
          <w:sz w:val="24"/>
          <w:szCs w:val="24"/>
          <w:highlight w:val="none"/>
          <w:u w:val="single"/>
          <w:lang w:val="en-US" w:eastAsia="zh-CN"/>
        </w:rPr>
        <w:t>供应商</w:t>
      </w:r>
      <w:r>
        <w:rPr>
          <w:rFonts w:hint="eastAsia" w:ascii="宋体" w:hAnsi="宋体" w:eastAsia="宋体" w:cs="宋体"/>
          <w:b/>
          <w:color w:val="auto"/>
          <w:sz w:val="24"/>
          <w:szCs w:val="24"/>
          <w:highlight w:val="none"/>
          <w:u w:val="single"/>
          <w:lang w:val="en-US"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auto"/>
          <w:sz w:val="24"/>
          <w:szCs w:val="24"/>
          <w:highlight w:val="none"/>
          <w:u w:val="single"/>
          <w:lang w:val="en-US" w:eastAsia="zh-CN"/>
        </w:rPr>
        <w:t>供应商</w:t>
      </w:r>
      <w:r>
        <w:rPr>
          <w:rFonts w:hint="eastAsia" w:ascii="宋体" w:hAnsi="宋体" w:eastAsia="宋体" w:cs="宋体"/>
          <w:b/>
          <w:color w:val="auto"/>
          <w:sz w:val="24"/>
          <w:szCs w:val="24"/>
          <w:highlight w:val="none"/>
          <w:u w:val="single"/>
          <w:lang w:val="en-US" w:eastAsia="en-US"/>
        </w:rPr>
        <w:t>撤销其响应文件，系统内响应文件将被退回；</w:t>
      </w:r>
      <w:r>
        <w:rPr>
          <w:rFonts w:hint="eastAsia" w:ascii="宋体" w:hAnsi="宋体" w:eastAsia="宋体" w:cs="宋体"/>
          <w:b/>
          <w:color w:val="auto"/>
          <w:sz w:val="24"/>
          <w:szCs w:val="24"/>
          <w:highlight w:val="none"/>
          <w:lang w:val="en-US" w:eastAsia="en-US"/>
        </w:rPr>
        <w:t>因采购人</w:t>
      </w:r>
      <w:r>
        <w:rPr>
          <w:rFonts w:hint="eastAsia" w:ascii="宋体" w:hAnsi="宋体" w:eastAsia="宋体" w:cs="宋体"/>
          <w:b/>
          <w:color w:val="auto"/>
          <w:sz w:val="24"/>
          <w:szCs w:val="24"/>
          <w:highlight w:val="none"/>
          <w:lang w:val="en-US" w:eastAsia="zh-CN"/>
        </w:rPr>
        <w:t>（或采购代理机构）</w:t>
      </w:r>
      <w:r>
        <w:rPr>
          <w:rFonts w:hint="eastAsia" w:ascii="宋体" w:hAnsi="宋体" w:eastAsia="宋体" w:cs="宋体"/>
          <w:b/>
          <w:color w:val="auto"/>
          <w:sz w:val="24"/>
          <w:szCs w:val="24"/>
          <w:highlight w:val="none"/>
          <w:lang w:val="en-US" w:eastAsia="en-US"/>
        </w:rPr>
        <w:t>原因或网上招投标平台发生故障，导致无法按时完成响应文件解密或开、评标工作无法进行的，可根据实际情况相应延迟解密时间或调整开、评标时间。</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1.2 磋商活动的文件解密工作由采购代理机构组织。</w:t>
      </w:r>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注：各供应商请关注开标大厅交流区，在开标结束后，请勿离开开标大厅，采购人或采购代理机构通知最后报价填报后，所有的响应供应商须在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4"/>
          <w:szCs w:val="24"/>
          <w:highlight w:val="none"/>
          <w:u w:val="single"/>
          <w:lang w:val="en-US" w:eastAsia="zh-CN"/>
        </w:rPr>
        <w:t>15</w:t>
      </w:r>
      <w:r>
        <w:rPr>
          <w:rFonts w:hint="eastAsia" w:ascii="宋体" w:hAnsi="宋体" w:eastAsia="宋体" w:cs="宋体"/>
          <w:b/>
          <w:color w:val="auto"/>
          <w:sz w:val="24"/>
          <w:szCs w:val="24"/>
          <w:highlight w:val="none"/>
          <w:u w:val="single"/>
          <w:lang w:val="en-US" w:eastAsia="en-US"/>
        </w:rPr>
        <w:t>分钟</w:t>
      </w:r>
      <w:r>
        <w:rPr>
          <w:rFonts w:hint="eastAsia" w:ascii="宋体" w:hAnsi="宋体" w:eastAsia="宋体" w:cs="宋体"/>
          <w:b/>
          <w:color w:val="auto"/>
          <w:sz w:val="24"/>
          <w:szCs w:val="24"/>
          <w:highlight w:val="none"/>
          <w:lang w:val="en-US" w:eastAsia="en-US"/>
        </w:rPr>
        <w:t>内填写并提交最后报价，未在规定时间内提交最后报价的，视作无效响应处理。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2.磋商小组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2.1磋商开始仪式结束后，采购人或采购代理机构将立即组织磋商小组进行评审。</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2.2磋商小组由采购人代表和评审专家共3人</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en-US"/>
        </w:rPr>
        <w:t>以上单数组成，其中评审专家人数不得少于磋商小组成员总数的2/3。采购人不得以评审专家身份参加本部门或本单位采购项目的评审。采购代理机构不得参加本机构代理的采购项目的评审。</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2.3超过公开招标限额标准的项目，磋商小组应当由5人</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en-US"/>
        </w:rPr>
        <w:t>以上单数组成。</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2.5磋商小组独立工作，负责评审所有响应文件并确定成交</w:t>
      </w:r>
      <w:r>
        <w:rPr>
          <w:rFonts w:hint="eastAsia" w:ascii="宋体" w:hAnsi="宋体" w:eastAsia="宋体" w:cs="宋体"/>
          <w:color w:val="auto"/>
          <w:sz w:val="24"/>
          <w:szCs w:val="24"/>
          <w:highlight w:val="none"/>
          <w:lang w:val="en-US" w:eastAsia="zh-CN"/>
        </w:rPr>
        <w:t>候</w:t>
      </w:r>
      <w:r>
        <w:rPr>
          <w:rFonts w:hint="eastAsia" w:ascii="宋体" w:hAnsi="宋体" w:eastAsia="宋体" w:cs="宋体"/>
          <w:color w:val="auto"/>
          <w:sz w:val="24"/>
          <w:szCs w:val="24"/>
          <w:highlight w:val="none"/>
          <w:lang w:val="en-US" w:eastAsia="en-US"/>
        </w:rPr>
        <w:t>选人。</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 磋商评审过程的保密与公正</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3.1磋商小组、采购人或采购代理机构、相关监督人员等与评审工作有关的人员，对评审情况以及在评审过程中获悉的国家秘密、商业秘密负有保密责任。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3.2在磋商评审过程中，磋商供应商不得以任何行为影响磋商评审过程，否则其响应文件将被作为无效响应文件。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3.4评审开始后，直至向成交供应商授予合同时止，凡是与审查、澄清、评价和比较响应的有关资料以及授标建议等，采购人、磋商小组、采购代理机构均不得向供应商或与评标无关的其他人员透露。</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3.5在评审期间，采购人或采购代理机构将设专门人员与供应商联系。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3.6采购人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采购代理机构和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小组不向未成交的供应商解释未成交原因，也不公布评审过程中的相关细节。</w:t>
      </w:r>
    </w:p>
    <w:p>
      <w:pPr>
        <w:pageBreakBefore w:val="0"/>
        <w:widowControl w:val="0"/>
        <w:tabs>
          <w:tab w:val="left" w:pos="900"/>
        </w:tabs>
        <w:kinsoku/>
        <w:wordWrap/>
        <w:overflowPunct/>
        <w:topLinePunct w:val="0"/>
        <w:autoSpaceDE/>
        <w:autoSpaceDN/>
        <w:bidi w:val="0"/>
        <w:adjustRightInd/>
        <w:snapToGrid/>
        <w:spacing w:line="360" w:lineRule="auto"/>
        <w:ind w:firstLine="478"/>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评审过程的澄清</w:t>
      </w:r>
    </w:p>
    <w:p>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4.1</w:t>
      </w:r>
      <w:r>
        <w:rPr>
          <w:rFonts w:hint="eastAsia" w:ascii="宋体" w:hAnsi="宋体" w:eastAsia="宋体" w:cs="宋体"/>
          <w:color w:val="auto"/>
          <w:sz w:val="24"/>
          <w:szCs w:val="24"/>
          <w:highlight w:val="none"/>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en-US"/>
        </w:rPr>
        <w:t>4.2</w:t>
      </w:r>
      <w:r>
        <w:rPr>
          <w:rFonts w:hint="eastAsia" w:ascii="宋体" w:hAnsi="宋体" w:eastAsia="宋体" w:cs="宋体"/>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4.3 </w:t>
      </w:r>
      <w:r>
        <w:rPr>
          <w:rFonts w:hint="eastAsia" w:ascii="宋体" w:hAnsi="宋体" w:eastAsia="宋体" w:cs="宋体"/>
          <w:color w:val="auto"/>
          <w:sz w:val="24"/>
          <w:szCs w:val="24"/>
          <w:highlight w:val="none"/>
        </w:rPr>
        <w:t>接到磋商小组澄清、说明和更正要求的供应商如未按规定做出澄清、说明和更正，其风险由供应商自行承担。</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en-US"/>
        </w:rPr>
        <w:t>5.对响应文件的</w:t>
      </w:r>
      <w:r>
        <w:rPr>
          <w:rFonts w:hint="eastAsia" w:ascii="宋体" w:hAnsi="宋体" w:eastAsia="宋体" w:cs="宋体"/>
          <w:bCs/>
          <w:color w:val="auto"/>
          <w:sz w:val="24"/>
          <w:szCs w:val="24"/>
          <w:highlight w:val="none"/>
          <w:lang w:val="en-US" w:eastAsia="zh-CN"/>
        </w:rPr>
        <w:t>审查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5.1响应文件初审分为资格性审查和符合性审查。</w:t>
      </w:r>
    </w:p>
    <w:p>
      <w:pPr>
        <w:spacing w:line="460" w:lineRule="exact"/>
        <w:ind w:firstLine="480" w:firstLineChars="20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5.1.1资格性检查：</w:t>
      </w:r>
      <w:r>
        <w:rPr>
          <w:rFonts w:hint="eastAsia" w:ascii="宋体" w:hAnsi="宋体" w:eastAsia="宋体" w:cs="宋体"/>
          <w:bCs/>
          <w:color w:val="auto"/>
          <w:sz w:val="24"/>
          <w:szCs w:val="21"/>
          <w:highlight w:val="none"/>
        </w:rPr>
        <w:t>由磋商小组依据法律法规和磋商文件的规定，对响应文件中的资格证明文件进行审查，以确定供应商是否具备参加磋商的资格。</w:t>
      </w:r>
    </w:p>
    <w:p>
      <w:pPr>
        <w:spacing w:line="460" w:lineRule="exact"/>
        <w:ind w:firstLine="480" w:firstLineChars="200"/>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lang w:val="en-US" w:eastAsia="en-US"/>
        </w:rPr>
        <w:t>在进行资格性审查的同时，</w:t>
      </w:r>
      <w:r>
        <w:rPr>
          <w:rFonts w:hint="eastAsia" w:ascii="宋体" w:hAnsi="宋体" w:eastAsia="宋体" w:cs="宋体"/>
          <w:b w:val="0"/>
          <w:bCs w:val="0"/>
          <w:color w:val="auto"/>
          <w:sz w:val="24"/>
          <w:szCs w:val="24"/>
          <w:highlight w:val="none"/>
          <w:lang w:val="en-US" w:eastAsia="zh-CN"/>
        </w:rPr>
        <w:t>将在</w:t>
      </w:r>
      <w:r>
        <w:rPr>
          <w:rFonts w:hint="eastAsia" w:ascii="宋体" w:hAnsi="宋体" w:eastAsia="宋体" w:cs="宋体"/>
          <w:b w:val="0"/>
          <w:bCs w:val="0"/>
          <w:color w:val="auto"/>
          <w:sz w:val="24"/>
          <w:szCs w:val="24"/>
          <w:highlight w:val="none"/>
          <w:lang w:val="en-US" w:eastAsia="en-US"/>
        </w:rPr>
        <w:t>“信用中国”网站查询供应商的信用记录，以确定供应商是否具备磋商资格。</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接受联合体的项目，两个以上的自然人、法人或者其他组织组成一个联合体，以一个供应商的身份共同参加政府采购活动的,联合体成员中任何一方存在不良信用记录的，视同联合体存在不良应用记录。</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5.1.2符合性审查：依据磋商文件的规定，由磋商小组从响应文件的有效性、完整性和对磋商文件的响应程度进行审查，以确定是否对磋商文件的实质性要求作出响应。</w:t>
      </w:r>
    </w:p>
    <w:p>
      <w:pPr>
        <w:spacing w:line="460" w:lineRule="exact"/>
        <w:ind w:firstLine="480" w:firstLineChars="20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5.1.3未通过资格审查或符合性审查的供应商，</w:t>
      </w:r>
      <w:r>
        <w:rPr>
          <w:rFonts w:hint="eastAsia" w:ascii="宋体" w:hAnsi="宋体" w:eastAsia="宋体" w:cs="宋体"/>
          <w:bCs/>
          <w:color w:val="auto"/>
          <w:sz w:val="24"/>
          <w:szCs w:val="21"/>
          <w:highlight w:val="none"/>
        </w:rPr>
        <w:t>磋商小组将在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中告知未通过资格审查或符合性审查的原因，评审结束后，磋商小组将不再告知未通过资格审查或符合性审查的原因。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5.2</w:t>
      </w:r>
      <w:r>
        <w:rPr>
          <w:rFonts w:hint="eastAsia" w:ascii="宋体" w:hAnsi="宋体" w:eastAsia="宋体" w:cs="宋体"/>
          <w:color w:val="auto"/>
          <w:sz w:val="24"/>
          <w:szCs w:val="24"/>
          <w:highlight w:val="none"/>
        </w:rPr>
        <w:t>在详细评审之前</w:t>
      </w:r>
      <w:r>
        <w:rPr>
          <w:rFonts w:hint="eastAsia" w:ascii="宋体" w:hAnsi="宋体" w:eastAsia="宋体" w:cs="宋体"/>
          <w:bCs/>
          <w:color w:val="auto"/>
          <w:sz w:val="24"/>
          <w:szCs w:val="24"/>
          <w:highlight w:val="none"/>
          <w:lang w:val="en-US" w:eastAsia="en-US"/>
        </w:rPr>
        <w:t>，磋商小组将首先审查每份响应文件是否实质性响应了磋商文件的要求。实质性响应的响应文件应该是与磋商文件要求的全部条款、条件和规格相符，没有重大负偏离或保留。</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5.3如果响应文件实质上没有响应磋商文件的要求，磋商小组将予以拒绝，供应商不得通过修改或撤销不合要求的偏离或保留而使其响应文件成为实质性响应的文件。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5.4磋商小组将对确定为实质性响应的文件进行进一步审核，看其是否有计算上或累加上的算术错误，修正错误的原则如下：</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（1）响应文件中报价总表内容与响应文件中相应内容不一致的，以报价总表为准。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（2）大写金额和小写金额不一致的，以大写金额为准。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（3）单价金额小数点或者百分比有明显错位的，以报价总表的总价为准，并修改单价。</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（4）总价金额与按单价汇总金额不一致的，以单价金额计算结果为准。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同时出现两种以上错误的，按照前款规定的顺序修正。</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5.5磋商小组将按上述修正错误的方法调整响应文件中的报价，</w:t>
      </w:r>
      <w:r>
        <w:rPr>
          <w:rFonts w:hint="eastAsia" w:ascii="宋体" w:hAnsi="宋体" w:eastAsia="宋体" w:cs="宋体"/>
          <w:bCs/>
          <w:color w:val="auto"/>
          <w:sz w:val="24"/>
          <w:szCs w:val="24"/>
          <w:highlight w:val="none"/>
          <w:lang w:val="en-US" w:eastAsia="zh-CN"/>
        </w:rPr>
        <w:t>通过“苏采云系统”</w:t>
      </w:r>
      <w:r>
        <w:rPr>
          <w:rFonts w:hint="eastAsia" w:ascii="宋体" w:hAnsi="宋体" w:eastAsia="宋体" w:cs="宋体"/>
          <w:b/>
          <w:color w:val="auto"/>
          <w:sz w:val="24"/>
          <w:szCs w:val="24"/>
          <w:highlight w:val="none"/>
          <w:lang w:val="en-US" w:eastAsia="en-US"/>
        </w:rPr>
        <w:t>开标</w:t>
      </w:r>
      <w:r>
        <w:rPr>
          <w:rFonts w:hint="eastAsia" w:ascii="宋体" w:hAnsi="宋体" w:eastAsia="宋体" w:cs="宋体"/>
          <w:b/>
          <w:color w:val="auto"/>
          <w:sz w:val="24"/>
          <w:szCs w:val="24"/>
          <w:highlight w:val="none"/>
          <w:lang w:val="en-US" w:eastAsia="zh-CN"/>
        </w:rPr>
        <w:t>大厅</w:t>
      </w:r>
      <w:r>
        <w:rPr>
          <w:rFonts w:hint="eastAsia" w:ascii="宋体" w:hAnsi="宋体" w:eastAsia="宋体" w:cs="宋体"/>
          <w:bCs/>
          <w:color w:val="auto"/>
          <w:sz w:val="24"/>
          <w:szCs w:val="24"/>
          <w:highlight w:val="none"/>
          <w:lang w:val="en-US" w:eastAsia="en-US"/>
        </w:rPr>
        <w:t>告知供应商，调整后的价格应对供应商具有约束力。如果供应商不接受修正后的价格，则其磋商</w:t>
      </w:r>
      <w:r>
        <w:rPr>
          <w:rFonts w:hint="eastAsia" w:ascii="宋体" w:hAnsi="宋体" w:eastAsia="宋体" w:cs="宋体"/>
          <w:bCs/>
          <w:color w:val="auto"/>
          <w:sz w:val="24"/>
          <w:szCs w:val="24"/>
          <w:highlight w:val="none"/>
          <w:lang w:val="en-US" w:eastAsia="zh-CN"/>
        </w:rPr>
        <w:t>响应文件</w:t>
      </w:r>
      <w:r>
        <w:rPr>
          <w:rFonts w:hint="eastAsia" w:ascii="宋体" w:hAnsi="宋体" w:eastAsia="宋体" w:cs="宋体"/>
          <w:bCs/>
          <w:color w:val="auto"/>
          <w:sz w:val="24"/>
          <w:szCs w:val="24"/>
          <w:highlight w:val="none"/>
          <w:lang w:val="en-US" w:eastAsia="en-US"/>
        </w:rPr>
        <w:t>将被拒绝。</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5.6磋商小组将允许修正响应文件中不构成重大偏离的、微小的、非正规的、不一致的或不规则的地方，但这些修改不能影响任何供应商相应的名次排列。</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en-US"/>
        </w:rPr>
        <w:t xml:space="preserve"> 供应商在评审全过程中应保持通讯畅通，并安排专人与采购人或采购代理机构及磋商小组联系</w:t>
      </w:r>
      <w:r>
        <w:rPr>
          <w:rFonts w:hint="eastAsia" w:ascii="宋体" w:hAnsi="宋体" w:eastAsia="宋体" w:cs="宋体"/>
          <w:color w:val="auto"/>
          <w:sz w:val="24"/>
          <w:szCs w:val="24"/>
          <w:highlight w:val="none"/>
          <w:lang w:val="en-US" w:eastAsia="en-US"/>
        </w:rPr>
        <w:t>。</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en-US"/>
        </w:rPr>
        <w:t>. 响应文件线上格式要求</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.1供应商应当通过“苏采云”系统提交数据电文形式的响应文件（即电子投标）。</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.2 通过“苏采云”系统提交政府采购客户端工具导出加密的响应文件（后缀名为zip）。响应文件不得超过150M！</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.3 本项目采用线上投标，即供应商响应文件从政府采购客户端工具制作通过“苏采云”系统提交，未提供线上响应文件的，投标无效。</w:t>
      </w:r>
      <w:bookmarkEnd w:id="92"/>
      <w:bookmarkEnd w:id="93"/>
      <w:bookmarkEnd w:id="94"/>
      <w:bookmarkStart w:id="95" w:name="_Toc120614219"/>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（六）</w:t>
      </w:r>
      <w:bookmarkEnd w:id="95"/>
      <w:r>
        <w:rPr>
          <w:rFonts w:hint="eastAsia" w:ascii="宋体" w:hAnsi="宋体" w:eastAsia="宋体" w:cs="宋体"/>
          <w:b/>
          <w:bCs/>
          <w:color w:val="auto"/>
          <w:sz w:val="24"/>
          <w:szCs w:val="24"/>
          <w:highlight w:val="none"/>
          <w:lang w:val="en-US" w:eastAsia="en-US"/>
        </w:rPr>
        <w:t>成交</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1.确定成交单位</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1.1成交候选供应商的选取原则和数量见磋商文件第四部分规定。</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1.2采购人授权磋商小组在成交候选供应商中直接确定成交供应商。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1.3 采购代理机构将在“江苏政府采购网”发布成交结果公告，公告期限为1个工作日。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 若有充分证据证明，成交供应商出现下列情况之一的，一经查实，将被取消成交资格：</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1.4.1提供虚假材料谋取成交的。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1.4.2向采购人或采购代理机构行贿或者评审专家提供其他不正当利益的。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1.4.3恶意竞争，</w:t>
      </w:r>
      <w:r>
        <w:rPr>
          <w:rFonts w:hint="eastAsia" w:ascii="宋体" w:hAnsi="宋体" w:eastAsia="宋体" w:cs="宋体"/>
          <w:color w:val="auto"/>
          <w:sz w:val="24"/>
          <w:szCs w:val="24"/>
          <w:highlight w:val="none"/>
          <w:lang w:val="en-US" w:eastAsia="zh-CN"/>
        </w:rPr>
        <w:t>最后报价</w:t>
      </w:r>
      <w:r>
        <w:rPr>
          <w:rFonts w:hint="eastAsia" w:ascii="宋体" w:hAnsi="宋体" w:eastAsia="宋体" w:cs="宋体"/>
          <w:color w:val="auto"/>
          <w:sz w:val="24"/>
          <w:szCs w:val="24"/>
          <w:highlight w:val="none"/>
          <w:lang w:val="en-US" w:eastAsia="en-US"/>
        </w:rPr>
        <w:t>明显低于其自身合理成本且又无法提供证明的。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1.4.4属于本文件规定的无效条件，但在评审过程中又未被磋商小组发现的。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lang w:val="en-US" w:eastAsia="en-US"/>
        </w:rPr>
      </w:pPr>
      <w:r>
        <w:rPr>
          <w:rFonts w:hint="eastAsia" w:ascii="宋体" w:hAnsi="宋体" w:eastAsia="宋体" w:cs="宋体"/>
          <w:color w:val="auto"/>
          <w:sz w:val="24"/>
          <w:szCs w:val="24"/>
          <w:highlight w:val="none"/>
          <w:lang w:val="en-US" w:eastAsia="en-US"/>
        </w:rPr>
        <w:t>1.4.5</w:t>
      </w:r>
      <w:r>
        <w:rPr>
          <w:rFonts w:hint="eastAsia" w:ascii="宋体" w:hAnsi="宋体" w:eastAsia="宋体" w:cs="宋体"/>
          <w:bCs/>
          <w:color w:val="auto"/>
          <w:sz w:val="24"/>
          <w:szCs w:val="21"/>
          <w:highlight w:val="none"/>
        </w:rPr>
        <w:t>与评审专家、采购人、其他供应商或者采购中心工作人员恶意串通的</w:t>
      </w:r>
      <w:r>
        <w:rPr>
          <w:rFonts w:hint="eastAsia" w:ascii="宋体" w:hAnsi="宋体" w:eastAsia="宋体" w:cs="宋体"/>
          <w:bCs/>
          <w:color w:val="auto"/>
          <w:sz w:val="24"/>
          <w:szCs w:val="21"/>
          <w:highlight w:val="none"/>
          <w:lang w:val="en-US" w:eastAsia="en-US"/>
        </w:rPr>
        <w:t>。</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en-US"/>
        </w:rPr>
        <w:t>1.4.6采取不正当手段诋毁、排挤其他供应商的。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1.4.7</w:t>
      </w:r>
      <w:r>
        <w:rPr>
          <w:rFonts w:hint="eastAsia" w:ascii="宋体" w:hAnsi="宋体" w:eastAsia="宋体" w:cs="宋体"/>
          <w:bCs/>
          <w:color w:val="auto"/>
          <w:sz w:val="24"/>
          <w:szCs w:val="21"/>
          <w:highlight w:val="none"/>
        </w:rPr>
        <w:t>成交后无正当理由拒不与采购人签订政府采购合同或者未按照磋商文件确定的事项签订政府采购合同的。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zh-CN"/>
        </w:rPr>
        <w:t>1.4.8</w:t>
      </w:r>
      <w:r>
        <w:rPr>
          <w:rFonts w:hint="eastAsia" w:ascii="宋体" w:hAnsi="宋体" w:eastAsia="宋体" w:cs="宋体"/>
          <w:bCs/>
          <w:color w:val="auto"/>
          <w:sz w:val="24"/>
          <w:szCs w:val="21"/>
          <w:highlight w:val="none"/>
        </w:rPr>
        <w:t>将政府采购合同转包的。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1.5.有下列情形之一的，视为供应商串通参与磋商，响应无效：</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1.5.1不同供应商的响应文件由同一单位或者个人编制；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1.5.2不同供应商委托同一单位或者个人办理磋商事宜；</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1.5.3不同供应商的响应文件载明的项目管理成员或者联系人员为同一人；</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1.5.4不同供应商的响应文件异常一致或者响应报价呈规律性差异。</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2.质疑处理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 提出质疑的供应商应当是参与所质疑项目采购活动的供应商。潜在供应商依法获取其可质疑的磋商文件的，可以对磋商文件提出质疑。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2.2.1对可以质疑的磋商文件提出质疑的，为收到磋商文件之日或者磋商文件公告期限届满之日；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2.2.2对采购过程提出质疑的，为各采购程序环节结束之日；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2.2.3对成交结果提出质疑的，为成交结果公告期限届满之日。</w:t>
      </w:r>
    </w:p>
    <w:p>
      <w:pPr>
        <w:snapToGrid w:val="0"/>
        <w:spacing w:line="48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en-US"/>
        </w:rPr>
        <w:t>供应商应当在法定质疑期内一次性提出针对同一采购程序环节的质疑。</w:t>
      </w:r>
      <w:r>
        <w:rPr>
          <w:rFonts w:hint="eastAsia" w:ascii="宋体" w:hAnsi="宋体" w:eastAsia="宋体" w:cs="宋体"/>
          <w:color w:val="auto"/>
          <w:kern w:val="0"/>
          <w:sz w:val="24"/>
          <w:szCs w:val="24"/>
          <w:highlight w:val="none"/>
        </w:rPr>
        <w:t>供应商如在法定期限内对同一采购程序环节提出多次质疑的，采购人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采购代理机构</w:t>
      </w:r>
      <w:r>
        <w:rPr>
          <w:rFonts w:hint="eastAsia" w:ascii="宋体" w:hAnsi="宋体" w:eastAsia="宋体" w:cs="宋体"/>
          <w:color w:val="auto"/>
          <w:kern w:val="0"/>
          <w:sz w:val="24"/>
          <w:szCs w:val="24"/>
          <w:highlight w:val="none"/>
        </w:rPr>
        <w:t>将只对供应商第一次质疑作出答复。</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2.3质疑函必须按照本磋商文件中《质疑函范本》要求的格式和内容进行填写。供应商如组成联合体参加磋商，则《质疑函范本》中要求签字、盖章、加盖公章之处，联合体各方均须按要求签字、盖章、加盖公章。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2.4质疑答复依据《政府采购质疑和投诉办法》（财政部令第94号）。</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采购人或采购代理机构质疑接收人及联系方式，见磋商文件第一部分。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 以下情形的质疑不予受理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2.5.1 内容不符合《政府采购质疑和投诉办法》第十二条规定的质疑。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2.5.2 超出政府采购法定期限的质疑。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2.5.3 未参加磋商活动的供应商或在磋商活动中自身权益未受到损害的供应商所提出的质疑。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2.5.4供应商组成联合体参加磋商，联合体中任何一方或多方未按要求签字、盖章、加盖公章的质疑。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投诉</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3.1质疑供应商对</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lang w:val="en-US" w:eastAsia="en-US"/>
        </w:rPr>
        <w:t>采购代理机构的答复不满意或者</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lang w:val="en-US" w:eastAsia="en-US"/>
        </w:rPr>
        <w:t>采购代理机构未在规定的时间内作出答复的，</w:t>
      </w:r>
      <w:r>
        <w:rPr>
          <w:rFonts w:hint="eastAsia" w:ascii="宋体" w:hAnsi="宋体" w:eastAsia="宋体" w:cs="宋体"/>
          <w:color w:val="auto"/>
          <w:sz w:val="24"/>
          <w:szCs w:val="24"/>
          <w:highlight w:val="none"/>
          <w:lang w:val="en-US" w:eastAsia="zh-CN"/>
        </w:rPr>
        <w:t>可以在答复期满后15个工作日内按照《政府采购质疑和投诉办法》的规定和要求向南通市政府采购监督管理部门投诉。</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3.2供应商投诉应当有明确的请求和必要的证明材料。供应商投诉的事项不得超出已质疑事项的范围。</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投诉人有下列行为之一的，属于严重失信行为，由财政部门列入不良行为记录名单，禁止其一至三年内参加政府采购活动。</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（1）投诉人在全国范围12个月内三次以上投诉查无实据的；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（2）采用捏造事实、提供虚假材料或者以非法手段取得证明材料等方式进行虚假、恶意投诉。</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（3）证据来源的合法性存在明显疑问，投诉人无法证明其取得方式合法的，视为以非法手段取得证明材料。</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eastAsia="en-US"/>
        </w:rPr>
        <w:t>成交通知书</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en-US"/>
        </w:rPr>
        <w:t>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成交通知书将是合同的一个组成部分。对采购人和成交供应商均具有法律效力。成交通知书发出后，采购人改变成交结果的，或者成交供应商放弃成交项目的，应当依法承担法律责任。</w:t>
      </w:r>
    </w:p>
    <w:p>
      <w:pPr>
        <w:keepNext w:val="0"/>
        <w:keepLines w:val="0"/>
        <w:pageBreakBefore w:val="0"/>
        <w:kinsoku/>
        <w:wordWrap/>
        <w:overflowPunct/>
        <w:topLinePunct w:val="0"/>
        <w:autoSpaceDE/>
        <w:autoSpaceDN/>
        <w:bidi w:val="0"/>
        <w:adjustRightInd/>
        <w:spacing w:line="360" w:lineRule="auto"/>
        <w:ind w:firstLine="57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特别说明：</w:t>
      </w:r>
      <w:r>
        <w:rPr>
          <w:rFonts w:hint="eastAsia" w:ascii="宋体" w:hAnsi="宋体" w:eastAsia="宋体" w:cs="宋体"/>
          <w:b/>
          <w:bCs/>
          <w:color w:val="auto"/>
          <w:sz w:val="24"/>
          <w:szCs w:val="24"/>
          <w:highlight w:val="none"/>
          <w:lang w:val="en-US" w:eastAsia="zh-CN"/>
        </w:rPr>
        <w:t>成交供应商</w:t>
      </w:r>
      <w:r>
        <w:rPr>
          <w:rFonts w:hint="eastAsia" w:ascii="宋体" w:hAnsi="宋体" w:eastAsia="宋体" w:cs="宋体"/>
          <w:b/>
          <w:bCs/>
          <w:color w:val="auto"/>
          <w:sz w:val="24"/>
          <w:szCs w:val="24"/>
          <w:highlight w:val="none"/>
          <w:lang w:val="en-US" w:eastAsia="en-US"/>
        </w:rPr>
        <w:t>在</w:t>
      </w:r>
      <w:r>
        <w:rPr>
          <w:rFonts w:hint="eastAsia" w:ascii="宋体" w:hAnsi="宋体" w:eastAsia="宋体" w:cs="宋体"/>
          <w:b/>
          <w:bCs/>
          <w:color w:val="auto"/>
          <w:sz w:val="24"/>
          <w:szCs w:val="24"/>
          <w:highlight w:val="none"/>
          <w:lang w:val="en-US" w:eastAsia="zh-CN"/>
        </w:rPr>
        <w:t>下载成交</w:t>
      </w:r>
      <w:r>
        <w:rPr>
          <w:rFonts w:hint="eastAsia" w:ascii="宋体" w:hAnsi="宋体" w:eastAsia="宋体" w:cs="宋体"/>
          <w:b/>
          <w:bCs/>
          <w:color w:val="auto"/>
          <w:sz w:val="24"/>
          <w:szCs w:val="24"/>
          <w:highlight w:val="none"/>
          <w:lang w:val="en-US" w:eastAsia="en-US"/>
        </w:rPr>
        <w:t>通知书</w:t>
      </w:r>
      <w:r>
        <w:rPr>
          <w:rFonts w:hint="eastAsia" w:ascii="宋体" w:hAnsi="宋体" w:eastAsia="宋体" w:cs="宋体"/>
          <w:b/>
          <w:bCs/>
          <w:color w:val="auto"/>
          <w:sz w:val="24"/>
          <w:szCs w:val="24"/>
          <w:highlight w:val="none"/>
          <w:lang w:val="en-US" w:eastAsia="zh-CN"/>
        </w:rPr>
        <w:t>后须</w:t>
      </w:r>
      <w:r>
        <w:rPr>
          <w:rFonts w:hint="eastAsia" w:ascii="宋体" w:hAnsi="宋体" w:eastAsia="宋体" w:cs="宋体"/>
          <w:b/>
          <w:bCs/>
          <w:color w:val="auto"/>
          <w:sz w:val="24"/>
          <w:szCs w:val="24"/>
          <w:highlight w:val="none"/>
          <w:lang w:val="en-US" w:eastAsia="en-US"/>
        </w:rPr>
        <w:t>提供</w:t>
      </w:r>
      <w:r>
        <w:rPr>
          <w:rFonts w:hint="eastAsia" w:ascii="宋体" w:hAnsi="宋体" w:eastAsia="宋体" w:cs="宋体"/>
          <w:b/>
          <w:bCs/>
          <w:color w:val="auto"/>
          <w:sz w:val="24"/>
          <w:szCs w:val="24"/>
          <w:highlight w:val="none"/>
          <w:u w:val="single"/>
          <w:lang w:val="en-US" w:eastAsia="zh-CN"/>
        </w:rPr>
        <w:t>2套</w:t>
      </w:r>
      <w:r>
        <w:rPr>
          <w:rFonts w:hint="eastAsia" w:ascii="宋体" w:hAnsi="宋体" w:eastAsia="宋体" w:cs="宋体"/>
          <w:b/>
          <w:bCs/>
          <w:color w:val="auto"/>
          <w:sz w:val="24"/>
          <w:szCs w:val="24"/>
          <w:highlight w:val="none"/>
          <w:lang w:val="en-US" w:eastAsia="en-US"/>
        </w:rPr>
        <w:t>加盖</w:t>
      </w:r>
      <w:r>
        <w:rPr>
          <w:rFonts w:hint="eastAsia" w:ascii="宋体" w:hAnsi="宋体" w:eastAsia="宋体" w:cs="宋体"/>
          <w:b/>
          <w:bCs/>
          <w:color w:val="auto"/>
          <w:sz w:val="24"/>
          <w:szCs w:val="24"/>
          <w:highlight w:val="none"/>
          <w:lang w:val="en-US" w:eastAsia="zh-CN"/>
        </w:rPr>
        <w:t>红</w:t>
      </w:r>
      <w:r>
        <w:rPr>
          <w:rFonts w:hint="eastAsia" w:ascii="宋体" w:hAnsi="宋体" w:eastAsia="宋体" w:cs="宋体"/>
          <w:b/>
          <w:bCs/>
          <w:color w:val="auto"/>
          <w:sz w:val="24"/>
          <w:szCs w:val="24"/>
          <w:highlight w:val="none"/>
          <w:lang w:val="en-US" w:eastAsia="en-US"/>
        </w:rPr>
        <w:t>章的系统内打印的纸质</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lang w:val="en-US" w:eastAsia="en-US"/>
        </w:rPr>
        <w:t>文件给采购代理机构。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lang w:val="en-US" w:eastAsia="en-US"/>
        </w:rPr>
        <w:t>）授予合同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1.签订合同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1.l成交供应商应当在成交通知书发出之日起三十日内，按照磋商文件确定的事项与采购人签订政府采购合同。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1.2磋商文件、成交供应商的响应文件及磋商过程中有关澄清、承诺文件均应作为合同附件。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1.3签订合同后，成交供应商不得将合同标的进行转包。未经采购人同意，</w:t>
      </w:r>
      <w:r>
        <w:rPr>
          <w:rFonts w:hint="eastAsia" w:ascii="宋体" w:hAnsi="宋体" w:eastAsia="宋体" w:cs="宋体"/>
          <w:color w:val="auto"/>
          <w:sz w:val="24"/>
          <w:szCs w:val="24"/>
          <w:highlight w:val="none"/>
        </w:rPr>
        <w:t>成交供应商也不得采用分包形式履行合同,否则采购人有权终止合同。转包或分包造成采购人损失的，成交供应商应承担相应赔偿责任。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标的物的追加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pPr>
        <w:pageBreakBefore w:val="0"/>
        <w:widowControl w:val="0"/>
        <w:numPr>
          <w:ilvl w:val="0"/>
          <w:numId w:val="2"/>
        </w:numPr>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政府采购合同信用融资扶持政策</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根据《关于深入开展南通市政府采购线上合同信用融资业务的通知》（通财购〔2022〕68号），</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 xml:space="preserve">可通过中征应收账款融资服务平台（简称“中征平台”）办理“政采贷”融资贷款，具体业务操作流程如下： </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val="en-US" w:eastAsia="en-US"/>
        </w:rPr>
        <w:t>确定融资意向。</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取得</w:t>
      </w:r>
      <w:r>
        <w:rPr>
          <w:rFonts w:hint="eastAsia" w:ascii="宋体" w:hAnsi="宋体" w:eastAsia="宋体" w:cs="宋体"/>
          <w:color w:val="auto"/>
          <w:sz w:val="24"/>
          <w:szCs w:val="24"/>
          <w:highlight w:val="none"/>
          <w:lang w:val="en-US" w:eastAsia="zh-CN"/>
        </w:rPr>
        <w:t>成交通知书</w:t>
      </w:r>
      <w:r>
        <w:rPr>
          <w:rFonts w:hint="eastAsia" w:ascii="宋体" w:hAnsi="宋体" w:eastAsia="宋体" w:cs="宋体"/>
          <w:color w:val="auto"/>
          <w:sz w:val="24"/>
          <w:szCs w:val="24"/>
          <w:highlight w:val="none"/>
          <w:lang w:val="en-US" w:eastAsia="en-US"/>
        </w:rPr>
        <w:t>后，联系意向金融机构，商治融资事项，确定融资意向。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签订采购合同。</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与采购人签订政府采购合同时，应将自身融资需求告知采购人或其委托的采购代理机构，提醒 (或协助 ) 其当天在“苏采云”上传合同的同时将“供应商是否融资”选为“是”</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提交融资申请。</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登录“中征平台”进行用户注册，查看“政采贷”融资产品，向确定合作的金融机构提交融资申请。</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确认回款账户。金融机构填写需要锁定的回款账户信息后</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应登录“中征平台”确认账户信息，以实现回款账户的锁定。</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lang w:val="en-US" w:eastAsia="en-US"/>
        </w:rPr>
        <w:t>）电子招标投标交易平台</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电子招标投标交易平台（即“苏采云”系统，网址：</w:t>
      </w:r>
      <w:r>
        <w:rPr>
          <w:rFonts w:hint="eastAsia" w:ascii="宋体" w:hAnsi="宋体" w:eastAsia="宋体" w:cs="宋体"/>
          <w:color w:val="auto"/>
          <w:sz w:val="24"/>
          <w:szCs w:val="24"/>
          <w:highlight w:val="none"/>
          <w:lang w:val="en-US" w:eastAsia="en-US"/>
        </w:rPr>
        <w:fldChar w:fldCharType="begin"/>
      </w:r>
      <w:r>
        <w:rPr>
          <w:rFonts w:hint="eastAsia" w:ascii="宋体" w:hAnsi="宋体" w:eastAsia="宋体" w:cs="宋体"/>
          <w:color w:val="auto"/>
          <w:sz w:val="24"/>
          <w:szCs w:val="24"/>
          <w:highlight w:val="none"/>
          <w:lang w:val="en-US" w:eastAsia="en-US"/>
        </w:rPr>
        <w:instrText xml:space="preserve"> HYPERLINK "http://jszfcg.jsczt.cn/）相关要求是本采购文件的组成部分。" </w:instrText>
      </w:r>
      <w:r>
        <w:rPr>
          <w:rFonts w:hint="eastAsia" w:ascii="宋体" w:hAnsi="宋体" w:eastAsia="宋体" w:cs="宋体"/>
          <w:color w:val="auto"/>
          <w:sz w:val="24"/>
          <w:szCs w:val="24"/>
          <w:highlight w:val="none"/>
          <w:lang w:val="en-US" w:eastAsia="en-US"/>
        </w:rPr>
        <w:fldChar w:fldCharType="separate"/>
      </w:r>
      <w:r>
        <w:rPr>
          <w:rFonts w:hint="eastAsia" w:ascii="宋体" w:hAnsi="宋体" w:eastAsia="宋体" w:cs="宋体"/>
          <w:color w:val="auto"/>
          <w:sz w:val="24"/>
          <w:szCs w:val="24"/>
          <w:highlight w:val="none"/>
          <w:lang w:val="en-US" w:eastAsia="en-US"/>
        </w:rPr>
        <w:t>http://jszfcg.jsczt.cn/）相关要求是本采购文件的组成部分。</w:t>
      </w:r>
      <w:r>
        <w:rPr>
          <w:rFonts w:hint="eastAsia" w:ascii="宋体" w:hAnsi="宋体" w:eastAsia="宋体" w:cs="宋体"/>
          <w:color w:val="auto"/>
          <w:sz w:val="24"/>
          <w:szCs w:val="24"/>
          <w:highlight w:val="none"/>
          <w:lang w:val="en-US" w:eastAsia="en-US"/>
        </w:rPr>
        <w:fldChar w:fldCharType="end"/>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lang w:val="en-US" w:eastAsia="en-US"/>
        </w:rPr>
        <w:t>未尽事宜</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按《中华人民共和国政府采购法》《政府采购竞争性磋商采购方式管理暂行办法》及其他有关法律法规的规定执行。</w:t>
      </w:r>
    </w:p>
    <w:p>
      <w:pPr>
        <w:rPr>
          <w:rFonts w:hint="eastAsia" w:ascii="宋体" w:hAnsi="宋体" w:eastAsia="宋体" w:cs="宋体"/>
          <w:color w:val="auto"/>
          <w:highlight w:val="none"/>
        </w:rPr>
        <w:sectPr>
          <w:footerReference r:id="rId3" w:type="default"/>
          <w:pgSz w:w="11906" w:h="16838"/>
          <w:pgMar w:top="1247" w:right="1418" w:bottom="1247" w:left="1418" w:header="851" w:footer="992" w:gutter="0"/>
          <w:cols w:space="720" w:num="1"/>
          <w:docGrid w:type="linesAndChars" w:linePitch="312" w:charSpace="0"/>
        </w:sectPr>
      </w:pPr>
    </w:p>
    <w:p>
      <w:pPr>
        <w:pStyle w:val="3"/>
        <w:keepNext w:val="0"/>
        <w:keepLines w:val="0"/>
        <w:adjustRightInd w:val="0"/>
        <w:snapToGrid w:val="0"/>
        <w:spacing w:before="0" w:after="0" w:line="360" w:lineRule="auto"/>
        <w:jc w:val="center"/>
        <w:textAlignment w:val="baseline"/>
        <w:rPr>
          <w:rFonts w:hint="eastAsia" w:ascii="宋体" w:hAnsi="宋体" w:eastAsia="宋体" w:cs="宋体"/>
          <w:color w:val="auto"/>
          <w:w w:val="80"/>
          <w:szCs w:val="44"/>
          <w:highlight w:val="none"/>
        </w:rPr>
      </w:pPr>
      <w:r>
        <w:rPr>
          <w:rFonts w:hint="eastAsia" w:ascii="宋体" w:hAnsi="宋体" w:eastAsia="宋体" w:cs="宋体"/>
          <w:color w:val="auto"/>
          <w:w w:val="80"/>
          <w:szCs w:val="44"/>
          <w:highlight w:val="none"/>
        </w:rPr>
        <w:t>第三章  项目需求</w:t>
      </w:r>
      <w:bookmarkEnd w:id="29"/>
      <w:bookmarkStart w:id="96" w:name="二、项目具体需求说明"/>
      <w:bookmarkEnd w:id="9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bookmarkStart w:id="97" w:name="OLE_LINK5"/>
      <w:r>
        <w:rPr>
          <w:rFonts w:hint="eastAsia" w:ascii="宋体" w:hAnsi="宋体" w:eastAsia="宋体" w:cs="宋体"/>
          <w:snapToGrid/>
          <w:color w:val="auto"/>
          <w:kern w:val="0"/>
          <w:sz w:val="24"/>
          <w:szCs w:val="24"/>
          <w:highlight w:val="none"/>
          <w:lang w:val="en-US" w:eastAsia="en-US" w:bidi="ar"/>
        </w:rPr>
        <w:t>供应商在制作响应文件时仔细研究项目需求说明。项目需求包括技术要求和商务要求:技术要求是指对采购标的功能和质量要求，包括性能、材料、结构、外观、安全，或者服务内容和标准等</w:t>
      </w:r>
      <w:r>
        <w:rPr>
          <w:rFonts w:hint="eastAsia" w:ascii="宋体" w:hAnsi="宋体" w:eastAsia="宋体" w:cs="宋体"/>
          <w:snapToGrid/>
          <w:color w:val="auto"/>
          <w:kern w:val="0"/>
          <w:sz w:val="24"/>
          <w:szCs w:val="24"/>
          <w:highlight w:val="none"/>
          <w:lang w:val="en-US" w:eastAsia="zh-CN" w:bidi="ar"/>
        </w:rPr>
        <w:t>；</w:t>
      </w:r>
      <w:r>
        <w:rPr>
          <w:rFonts w:hint="eastAsia" w:ascii="宋体" w:hAnsi="宋体" w:eastAsia="宋体" w:cs="宋体"/>
          <w:snapToGrid/>
          <w:color w:val="auto"/>
          <w:kern w:val="0"/>
          <w:sz w:val="24"/>
          <w:szCs w:val="24"/>
          <w:highlight w:val="none"/>
          <w:lang w:val="en-US" w:eastAsia="en-US" w:bidi="ar"/>
        </w:rPr>
        <w:t>商务要求是指取得采购标的的时间、地点、财务和服务要求，包括交付（实施）的时间（期限）和地点（范围），付款条件（进度和方法），包装和运输，售后服务，保险等。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textAlignment w:val="auto"/>
        <w:rPr>
          <w:rFonts w:hint="eastAsia" w:ascii="宋体" w:hAnsi="宋体" w:eastAsia="宋体" w:cs="宋体"/>
          <w:b/>
          <w:bCs/>
          <w:snapToGrid/>
          <w:color w:val="auto"/>
          <w:kern w:val="0"/>
          <w:sz w:val="24"/>
          <w:szCs w:val="24"/>
          <w:highlight w:val="none"/>
          <w:lang w:val="en-US" w:eastAsia="en-US" w:bidi="ar"/>
        </w:rPr>
      </w:pPr>
      <w:r>
        <w:rPr>
          <w:rFonts w:hint="eastAsia" w:ascii="宋体" w:hAnsi="宋体" w:eastAsia="宋体" w:cs="宋体"/>
          <w:b/>
          <w:bCs/>
          <w:snapToGrid/>
          <w:color w:val="auto"/>
          <w:kern w:val="0"/>
          <w:sz w:val="24"/>
          <w:szCs w:val="24"/>
          <w:highlight w:val="none"/>
          <w:lang w:val="en-US" w:eastAsia="en-US" w:bidi="ar"/>
        </w:rPr>
        <w:t>一、有关要求说明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1.优先采购：政府采购优先采购节能产品和环境标志产品。节能产品和环境标志产品是指列入财政部、发展改革委、生态环境部、市场监管总局制定的《节能产品政府采购品目清单》。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2.产品要求：产品必须是全新、未使用过的原装合格正品，完全符合采购文件规定的质量、规格和性能的要求，达到国家或行业规定的标准，实行生产许可证制度的，应提供生产许可证；属于国家强制认证的产品，必须通过认证。</w:t>
      </w:r>
    </w:p>
    <w:bookmarkEnd w:id="97"/>
    <w:p>
      <w:pPr>
        <w:keepNext w:val="0"/>
        <w:keepLines w:val="0"/>
        <w:widowControl/>
        <w:suppressLineNumbers w:val="0"/>
        <w:spacing w:line="360" w:lineRule="auto"/>
        <w:jc w:val="lef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二、</w:t>
      </w:r>
      <w:r>
        <w:rPr>
          <w:rFonts w:hint="eastAsia" w:ascii="宋体" w:hAnsi="宋体" w:eastAsia="宋体" w:cs="宋体"/>
          <w:b/>
          <w:bCs/>
          <w:color w:val="auto"/>
          <w:kern w:val="2"/>
          <w:sz w:val="24"/>
          <w:szCs w:val="24"/>
          <w:highlight w:val="none"/>
        </w:rPr>
        <w:t>采购标的需实现的功能或者目标, 以及为落实政府采购政策需满足的要求</w:t>
      </w:r>
    </w:p>
    <w:p>
      <w:pPr>
        <w:spacing w:line="360" w:lineRule="auto"/>
        <w:ind w:firstLine="480" w:firstLineChars="200"/>
        <w:jc w:val="lef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南通市商务局拟</w:t>
      </w:r>
      <w:r>
        <w:rPr>
          <w:rFonts w:hint="eastAsia" w:ascii="宋体" w:hAnsi="宋体" w:eastAsia="宋体" w:cs="宋体"/>
          <w:bCs/>
          <w:color w:val="auto"/>
          <w:sz w:val="24"/>
          <w:szCs w:val="24"/>
          <w:highlight w:val="none"/>
          <w:lang w:val="zh-CN" w:eastAsia="zh-CN"/>
        </w:rPr>
        <w:t>通过</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lang w:val="zh-CN" w:eastAsia="zh-CN"/>
        </w:rPr>
        <w:t>方式，</w:t>
      </w:r>
      <w:r>
        <w:rPr>
          <w:rFonts w:hint="eastAsia" w:ascii="宋体" w:hAnsi="宋体" w:eastAsia="宋体" w:cs="宋体"/>
          <w:bCs/>
          <w:color w:val="auto"/>
          <w:sz w:val="24"/>
          <w:szCs w:val="24"/>
          <w:highlight w:val="none"/>
          <w:lang w:val="en-US" w:eastAsia="zh-CN"/>
        </w:rPr>
        <w:t>继续</w:t>
      </w:r>
      <w:r>
        <w:rPr>
          <w:rFonts w:hint="eastAsia" w:ascii="宋体" w:hAnsi="宋体" w:eastAsia="宋体" w:cs="宋体"/>
          <w:bCs/>
          <w:color w:val="auto"/>
          <w:sz w:val="24"/>
          <w:szCs w:val="24"/>
          <w:highlight w:val="none"/>
          <w:lang w:val="zh-CN" w:eastAsia="zh-CN"/>
        </w:rPr>
        <w:t>举办</w:t>
      </w:r>
      <w:r>
        <w:rPr>
          <w:rFonts w:hint="eastAsia" w:ascii="宋体" w:hAnsi="宋体" w:cs="宋体"/>
          <w:bCs/>
          <w:color w:val="auto"/>
          <w:sz w:val="24"/>
          <w:szCs w:val="24"/>
          <w:highlight w:val="none"/>
          <w:lang w:val="zh-CN" w:eastAsia="zh-CN"/>
        </w:rPr>
        <w:t>2026第五届</w:t>
      </w:r>
      <w:r>
        <w:rPr>
          <w:rFonts w:hint="eastAsia" w:ascii="宋体" w:hAnsi="宋体" w:eastAsia="宋体" w:cs="宋体"/>
          <w:bCs/>
          <w:color w:val="auto"/>
          <w:sz w:val="24"/>
          <w:szCs w:val="24"/>
          <w:highlight w:val="none"/>
          <w:lang w:val="zh-CN" w:eastAsia="zh-CN"/>
        </w:rPr>
        <w:t>南通啤酒</w:t>
      </w:r>
      <w:r>
        <w:rPr>
          <w:rFonts w:hint="eastAsia" w:ascii="宋体" w:hAnsi="宋体" w:cs="宋体"/>
          <w:bCs/>
          <w:color w:val="auto"/>
          <w:sz w:val="24"/>
          <w:szCs w:val="24"/>
          <w:highlight w:val="none"/>
          <w:lang w:val="zh-CN" w:eastAsia="zh-CN"/>
        </w:rPr>
        <w:t>嘉年华</w:t>
      </w: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kern w:val="2"/>
          <w:sz w:val="24"/>
          <w:szCs w:val="24"/>
          <w:highlight w:val="none"/>
          <w:lang w:val="zh-CN" w:eastAsia="zh-CN"/>
        </w:rPr>
        <w:t>旨在进一步激活消费市场，推动相关产业的发展，同时为我市夜经济的繁荣贡献力量。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本项目专门面向中小企业采购。本项目所有服务须全部由符合政策要求的中小企业承接。提供服务的供应商须为中小微企业、监狱企业或残疾人福利性单位。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textAlignment w:val="auto"/>
        <w:rPr>
          <w:rFonts w:hint="eastAsia" w:ascii="宋体" w:hAnsi="宋体" w:eastAsia="宋体" w:cs="宋体"/>
          <w:b/>
          <w:bCs/>
          <w:snapToGrid/>
          <w:color w:val="auto"/>
          <w:kern w:val="0"/>
          <w:sz w:val="24"/>
          <w:szCs w:val="24"/>
          <w:highlight w:val="none"/>
          <w:lang w:val="en-US" w:eastAsia="zh-CN" w:bidi="ar"/>
        </w:rPr>
      </w:pPr>
      <w:r>
        <w:rPr>
          <w:rFonts w:hint="eastAsia" w:ascii="宋体" w:hAnsi="宋体" w:eastAsia="宋体" w:cs="宋体"/>
          <w:b/>
          <w:bCs/>
          <w:snapToGrid/>
          <w:color w:val="auto"/>
          <w:kern w:val="0"/>
          <w:sz w:val="24"/>
          <w:szCs w:val="24"/>
          <w:highlight w:val="none"/>
          <w:lang w:val="en-US" w:eastAsia="zh-CN" w:bidi="ar"/>
        </w:rPr>
        <w:t>三、采购标的需执行的国家相关标准、行业标准、地方标准或者其他标准、规范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bCs/>
          <w:color w:val="auto"/>
          <w:kern w:val="2"/>
          <w:sz w:val="24"/>
          <w:szCs w:val="24"/>
          <w:highlight w:val="none"/>
        </w:rPr>
      </w:pPr>
      <w:r>
        <w:rPr>
          <w:rFonts w:hint="eastAsia" w:ascii="宋体" w:hAnsi="宋体" w:eastAsia="宋体" w:cs="宋体"/>
          <w:snapToGrid/>
          <w:color w:val="auto"/>
          <w:kern w:val="0"/>
          <w:sz w:val="24"/>
          <w:szCs w:val="24"/>
          <w:highlight w:val="none"/>
          <w:lang w:val="en-US" w:eastAsia="zh-CN" w:bidi="ar"/>
        </w:rPr>
        <w:t>采购标的的技术标准按国家标准执行，无国家标准的，按行业标准执行，无国家和行业标准的，按企业标准执行；但在磋商文件中有特别要求的，按磋商文件中规定的要求执行，并且符合相关法律、法规规定的要求。</w:t>
      </w:r>
    </w:p>
    <w:p>
      <w:pPr>
        <w:keepNext w:val="0"/>
        <w:keepLines w:val="0"/>
        <w:pageBreakBefore w:val="0"/>
        <w:numPr>
          <w:ilvl w:val="0"/>
          <w:numId w:val="0"/>
        </w:numPr>
        <w:tabs>
          <w:tab w:val="left" w:pos="0"/>
        </w:tabs>
        <w:kinsoku/>
        <w:wordWrap/>
        <w:overflowPunct/>
        <w:topLinePunct w:val="0"/>
        <w:bidi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四、</w:t>
      </w:r>
      <w:r>
        <w:rPr>
          <w:rFonts w:hint="eastAsia" w:ascii="宋体" w:hAnsi="宋体" w:eastAsia="宋体" w:cs="宋体"/>
          <w:b/>
          <w:bCs/>
          <w:color w:val="auto"/>
          <w:kern w:val="2"/>
          <w:sz w:val="24"/>
          <w:szCs w:val="24"/>
          <w:highlight w:val="none"/>
        </w:rPr>
        <w:t>采购标的需满足的质量、安全、技术规格、物理特性等要求</w:t>
      </w:r>
    </w:p>
    <w:p>
      <w:pPr>
        <w:keepNext w:val="0"/>
        <w:keepLines w:val="0"/>
        <w:pageBreakBefore w:val="0"/>
        <w:kinsoku/>
        <w:wordWrap/>
        <w:overflowPunct/>
        <w:topLinePunct w:val="0"/>
        <w:autoSpaceDE/>
        <w:autoSpaceDN/>
        <w:bidi w:val="0"/>
        <w:spacing w:line="52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rPr>
        <w:t>）总体要求</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供应商应按要求提交项目方案，包括</w:t>
      </w:r>
      <w:r>
        <w:rPr>
          <w:rFonts w:hint="eastAsia" w:ascii="宋体" w:hAnsi="宋体" w:cs="宋体"/>
          <w:bCs/>
          <w:color w:val="auto"/>
          <w:sz w:val="24"/>
          <w:szCs w:val="24"/>
          <w:highlight w:val="none"/>
          <w:lang w:val="zh-CN"/>
        </w:rPr>
        <w:t>2026第五届</w:t>
      </w:r>
      <w:r>
        <w:rPr>
          <w:rFonts w:hint="eastAsia" w:ascii="宋体" w:hAnsi="宋体" w:eastAsia="宋体" w:cs="宋体"/>
          <w:bCs/>
          <w:color w:val="auto"/>
          <w:sz w:val="24"/>
          <w:szCs w:val="24"/>
          <w:highlight w:val="none"/>
        </w:rPr>
        <w:t>南通啤酒</w:t>
      </w:r>
      <w:r>
        <w:rPr>
          <w:rFonts w:hint="eastAsia" w:ascii="宋体" w:hAnsi="宋体" w:cs="宋体"/>
          <w:bCs/>
          <w:color w:val="auto"/>
          <w:sz w:val="24"/>
          <w:szCs w:val="24"/>
          <w:highlight w:val="none"/>
          <w:lang w:eastAsia="zh-CN"/>
        </w:rPr>
        <w:t>嘉年华</w:t>
      </w:r>
      <w:r>
        <w:rPr>
          <w:rFonts w:hint="eastAsia" w:ascii="宋体" w:hAnsi="宋体" w:eastAsia="宋体" w:cs="宋体"/>
          <w:bCs/>
          <w:color w:val="auto"/>
          <w:sz w:val="24"/>
          <w:szCs w:val="24"/>
          <w:highlight w:val="none"/>
        </w:rPr>
        <w:t>的策划、</w:t>
      </w:r>
      <w:r>
        <w:rPr>
          <w:rFonts w:hint="eastAsia" w:ascii="宋体" w:hAnsi="宋体" w:cs="宋体"/>
          <w:bCs/>
          <w:color w:val="auto"/>
          <w:sz w:val="24"/>
          <w:szCs w:val="24"/>
          <w:highlight w:val="none"/>
          <w:lang w:val="en-US" w:eastAsia="zh-CN"/>
        </w:rPr>
        <w:t>前期</w:t>
      </w:r>
      <w:r>
        <w:rPr>
          <w:rFonts w:hint="eastAsia" w:ascii="宋体" w:hAnsi="宋体" w:eastAsia="宋体" w:cs="宋体"/>
          <w:bCs/>
          <w:color w:val="auto"/>
          <w:sz w:val="24"/>
          <w:szCs w:val="24"/>
          <w:highlight w:val="none"/>
        </w:rPr>
        <w:t>筹备</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组织实施</w:t>
      </w:r>
      <w:r>
        <w:rPr>
          <w:rFonts w:hint="eastAsia" w:ascii="宋体" w:hAnsi="宋体" w:cs="宋体"/>
          <w:bCs/>
          <w:color w:val="auto"/>
          <w:sz w:val="24"/>
          <w:szCs w:val="24"/>
          <w:highlight w:val="none"/>
          <w:lang w:eastAsia="zh-CN"/>
        </w:rPr>
        <w:t>；</w:t>
      </w:r>
      <w:r>
        <w:rPr>
          <w:rFonts w:hint="eastAsia" w:ascii="宋体" w:hAnsi="宋体" w:eastAsia="宋体" w:cs="宋体"/>
          <w:bCs/>
          <w:strike w:val="0"/>
          <w:dstrike w:val="0"/>
          <w:color w:val="auto"/>
          <w:kern w:val="2"/>
          <w:sz w:val="24"/>
          <w:szCs w:val="24"/>
          <w:highlight w:val="none"/>
          <w:lang w:val="en-US" w:eastAsia="zh-CN" w:bidi="ar-SA"/>
        </w:rPr>
        <w:t>平面设计、场景设计、推广视觉设计方案</w:t>
      </w:r>
      <w:r>
        <w:rPr>
          <w:rFonts w:hint="eastAsia" w:ascii="宋体" w:hAnsi="宋体" w:cs="宋体"/>
          <w:bCs/>
          <w:strike w:val="0"/>
          <w:dstrike w:val="0"/>
          <w:color w:val="auto"/>
          <w:kern w:val="2"/>
          <w:sz w:val="24"/>
          <w:szCs w:val="24"/>
          <w:highlight w:val="none"/>
          <w:lang w:val="en-US" w:eastAsia="zh-CN" w:bidi="ar-SA"/>
        </w:rPr>
        <w:t>及</w:t>
      </w:r>
      <w:r>
        <w:rPr>
          <w:rFonts w:hint="eastAsia" w:ascii="宋体" w:hAnsi="宋体" w:eastAsia="宋体" w:cs="宋体"/>
          <w:bCs/>
          <w:color w:val="auto"/>
          <w:sz w:val="24"/>
          <w:szCs w:val="24"/>
          <w:highlight w:val="none"/>
        </w:rPr>
        <w:t>相应的管理保障措施等具体内容，编制费用预算明细，并根据确定的方案以及预算加以执行。</w:t>
      </w:r>
    </w:p>
    <w:p>
      <w:pPr>
        <w:keepNext w:val="0"/>
        <w:keepLines w:val="0"/>
        <w:pageBreakBefore w:val="0"/>
        <w:numPr>
          <w:ilvl w:val="0"/>
          <w:numId w:val="0"/>
        </w:numPr>
        <w:kinsoku/>
        <w:wordWrap/>
        <w:overflowPunct/>
        <w:topLinePunct w:val="0"/>
        <w:autoSpaceDE/>
        <w:autoSpaceDN/>
        <w:bidi w:val="0"/>
        <w:spacing w:line="520" w:lineRule="exact"/>
        <w:ind w:firstLine="482" w:firstLineChars="200"/>
        <w:rPr>
          <w:rFonts w:hint="eastAsia" w:ascii="宋体" w:hAnsi="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（二）活动时间：</w:t>
      </w:r>
      <w:r>
        <w:rPr>
          <w:rFonts w:hint="eastAsia" w:ascii="宋体" w:hAnsi="宋体" w:cs="宋体"/>
          <w:bCs/>
          <w:color w:val="auto"/>
          <w:sz w:val="24"/>
          <w:szCs w:val="24"/>
          <w:highlight w:val="none"/>
          <w:lang w:val="en-US" w:eastAsia="zh-CN"/>
        </w:rPr>
        <w:t>自合同签订之日起至2026年苏超赛季结束，苏超南通比赛日及苏超半决赛、决赛场次的周六当天为一场活动周期。</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活动地点：</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场地设置原则</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本次啤酒嘉年华活动需在</w:t>
      </w:r>
      <w:r>
        <w:rPr>
          <w:rFonts w:hint="eastAsia" w:ascii="宋体" w:hAnsi="宋体" w:cs="宋体"/>
          <w:color w:val="auto"/>
          <w:sz w:val="24"/>
          <w:szCs w:val="24"/>
          <w:highlight w:val="none"/>
          <w:lang w:val="en-US" w:eastAsia="zh-CN"/>
        </w:rPr>
        <w:t>南通市</w:t>
      </w:r>
      <w:r>
        <w:rPr>
          <w:rFonts w:hint="eastAsia" w:ascii="宋体" w:hAnsi="宋体" w:eastAsia="宋体" w:cs="宋体"/>
          <w:color w:val="auto"/>
          <w:sz w:val="24"/>
          <w:szCs w:val="24"/>
          <w:highlight w:val="none"/>
        </w:rPr>
        <w:t>主城区范围内设置南、北两个活动场地，形成“一南一北、双核联动”的布局，</w:t>
      </w:r>
      <w:r>
        <w:rPr>
          <w:rFonts w:hint="eastAsia" w:ascii="宋体" w:hAnsi="宋体" w:cs="宋体"/>
          <w:bCs/>
          <w:color w:val="auto"/>
          <w:sz w:val="24"/>
          <w:szCs w:val="24"/>
          <w:highlight w:val="none"/>
          <w:lang w:val="en-US" w:eastAsia="zh-CN"/>
        </w:rPr>
        <w:t>每片场地活动场次不少于8场，</w:t>
      </w:r>
      <w:r>
        <w:rPr>
          <w:rFonts w:hint="eastAsia" w:ascii="宋体" w:hAnsi="宋体" w:eastAsia="宋体" w:cs="宋体"/>
          <w:color w:val="auto"/>
          <w:sz w:val="24"/>
          <w:szCs w:val="24"/>
          <w:highlight w:val="none"/>
        </w:rPr>
        <w:t>以实现对主城区居民及游客的广泛覆盖与便捷参与。</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场地具体要求</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单个场地面积不低于【</w:t>
      </w:r>
      <w:r>
        <w:rPr>
          <w:rFonts w:hint="eastAsia" w:ascii="宋体" w:hAnsi="宋体" w:cs="宋体"/>
          <w:bCs/>
          <w:color w:val="auto"/>
          <w:sz w:val="24"/>
          <w:szCs w:val="24"/>
          <w:highlight w:val="none"/>
          <w:lang w:val="en-US" w:eastAsia="zh-CN"/>
        </w:rPr>
        <w:t>5000</w:t>
      </w:r>
      <w:r>
        <w:rPr>
          <w:rFonts w:hint="eastAsia" w:ascii="宋体" w:hAnsi="宋体" w:eastAsia="宋体" w:cs="宋体"/>
          <w:bCs/>
          <w:color w:val="auto"/>
          <w:sz w:val="24"/>
          <w:szCs w:val="24"/>
          <w:highlight w:val="none"/>
        </w:rPr>
        <w:t>】平方米，可容纳【</w:t>
      </w:r>
      <w:r>
        <w:rPr>
          <w:rFonts w:hint="eastAsia" w:ascii="宋体" w:hAnsi="宋体" w:cs="宋体"/>
          <w:bCs/>
          <w:color w:val="auto"/>
          <w:sz w:val="24"/>
          <w:szCs w:val="24"/>
          <w:highlight w:val="none"/>
          <w:lang w:val="en-US" w:eastAsia="zh-CN"/>
        </w:rPr>
        <w:t>1000</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人</w:t>
      </w:r>
      <w:r>
        <w:rPr>
          <w:rFonts w:hint="eastAsia" w:ascii="宋体" w:hAnsi="宋体" w:eastAsia="宋体" w:cs="宋体"/>
          <w:bCs/>
          <w:color w:val="auto"/>
          <w:sz w:val="24"/>
          <w:szCs w:val="24"/>
          <w:highlight w:val="none"/>
        </w:rPr>
        <w:t>以上观众。</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具备临时搭建舞台、</w:t>
      </w:r>
      <w:r>
        <w:rPr>
          <w:rFonts w:hint="eastAsia" w:ascii="宋体" w:hAnsi="宋体" w:cs="宋体"/>
          <w:bCs/>
          <w:color w:val="auto"/>
          <w:sz w:val="24"/>
          <w:szCs w:val="24"/>
          <w:highlight w:val="none"/>
          <w:lang w:val="en-US" w:eastAsia="zh-CN"/>
        </w:rPr>
        <w:t>氛围营造、入场道路指引、</w:t>
      </w:r>
      <w:r>
        <w:rPr>
          <w:rFonts w:hint="eastAsia" w:ascii="宋体" w:hAnsi="宋体" w:eastAsia="宋体" w:cs="宋体"/>
          <w:bCs/>
          <w:color w:val="auto"/>
          <w:sz w:val="24"/>
          <w:szCs w:val="24"/>
          <w:highlight w:val="none"/>
        </w:rPr>
        <w:t>展位</w:t>
      </w:r>
      <w:r>
        <w:rPr>
          <w:rFonts w:hint="eastAsia" w:ascii="宋体" w:hAnsi="宋体" w:cs="宋体"/>
          <w:bCs/>
          <w:color w:val="auto"/>
          <w:sz w:val="24"/>
          <w:szCs w:val="24"/>
          <w:highlight w:val="none"/>
          <w:lang w:val="en-US" w:eastAsia="zh-CN"/>
        </w:rPr>
        <w:t>搭建</w:t>
      </w:r>
      <w:r>
        <w:rPr>
          <w:rFonts w:hint="eastAsia" w:ascii="宋体" w:hAnsi="宋体" w:eastAsia="宋体" w:cs="宋体"/>
          <w:bCs/>
          <w:color w:val="auto"/>
          <w:sz w:val="24"/>
          <w:szCs w:val="24"/>
          <w:highlight w:val="none"/>
        </w:rPr>
        <w:t>、围栏、临时厕所等设施的条件，地面平整或可进行必要改造。</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水电接口充足，周边交通便利，并配备一定规模的停车场或临时停车协调能力。</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符合消防、安全、防疫等相关要求，无历史地质灾害或使用纠纷。</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便于开展户外活动，具备较强的客流承载与引流能力。打造集赛事直播、啤酒美食、好物市集、亲子玩趣</w:t>
      </w:r>
      <w:r>
        <w:rPr>
          <w:rFonts w:hint="eastAsia" w:ascii="宋体" w:hAnsi="宋体" w:cs="宋体"/>
          <w:bCs/>
          <w:color w:val="auto"/>
          <w:sz w:val="24"/>
          <w:szCs w:val="24"/>
          <w:highlight w:val="none"/>
          <w:lang w:val="en-US" w:eastAsia="zh-CN"/>
        </w:rPr>
        <w:t>等</w:t>
      </w:r>
      <w:r>
        <w:rPr>
          <w:rFonts w:hint="eastAsia" w:ascii="宋体" w:hAnsi="宋体" w:eastAsia="宋体" w:cs="宋体"/>
          <w:bCs/>
          <w:color w:val="auto"/>
          <w:sz w:val="24"/>
          <w:szCs w:val="24"/>
          <w:highlight w:val="none"/>
        </w:rPr>
        <w:t>于一体的全民消费盛宴。</w:t>
      </w:r>
    </w:p>
    <w:p>
      <w:pPr>
        <w:keepNext w:val="0"/>
        <w:keepLines w:val="0"/>
        <w:pageBreakBefore w:val="0"/>
        <w:numPr>
          <w:ilvl w:val="0"/>
          <w:numId w:val="0"/>
        </w:numPr>
        <w:kinsoku/>
        <w:wordWrap/>
        <w:overflowPunct/>
        <w:topLinePunct w:val="0"/>
        <w:autoSpaceDE/>
        <w:autoSpaceDN/>
        <w:bidi w:val="0"/>
        <w:spacing w:line="52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rPr>
        <w:t>）活动内容</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需负责本</w:t>
      </w:r>
      <w:r>
        <w:rPr>
          <w:rFonts w:hint="eastAsia" w:ascii="宋体" w:hAnsi="宋体" w:cs="宋体"/>
          <w:bCs/>
          <w:color w:val="auto"/>
          <w:sz w:val="24"/>
          <w:szCs w:val="24"/>
          <w:highlight w:val="none"/>
          <w:lang w:val="en-US" w:eastAsia="zh-CN"/>
        </w:rPr>
        <w:t>项目</w:t>
      </w:r>
      <w:r>
        <w:rPr>
          <w:rFonts w:hint="eastAsia" w:ascii="宋体" w:hAnsi="宋体" w:eastAsia="宋体" w:cs="宋体"/>
          <w:bCs/>
          <w:color w:val="auto"/>
          <w:sz w:val="24"/>
          <w:szCs w:val="24"/>
          <w:highlight w:val="none"/>
        </w:rPr>
        <w:t>会场的整体策划、设计搭建、活动执行、运营保障等工作，</w:t>
      </w:r>
      <w:r>
        <w:rPr>
          <w:rFonts w:hint="eastAsia" w:ascii="宋体" w:hAnsi="宋体" w:eastAsia="宋体" w:cs="宋体"/>
          <w:bCs/>
          <w:color w:val="auto"/>
          <w:sz w:val="24"/>
          <w:szCs w:val="24"/>
          <w:highlight w:val="none"/>
          <w:lang w:val="en-US" w:eastAsia="zh-CN"/>
        </w:rPr>
        <w:t>活动</w:t>
      </w:r>
      <w:r>
        <w:rPr>
          <w:rFonts w:hint="eastAsia" w:ascii="宋体" w:hAnsi="宋体" w:eastAsia="宋体" w:cs="宋体"/>
          <w:bCs/>
          <w:color w:val="auto"/>
          <w:sz w:val="24"/>
          <w:szCs w:val="24"/>
          <w:highlight w:val="none"/>
        </w:rPr>
        <w:t>场地租赁和协调，由</w:t>
      </w:r>
      <w:r>
        <w:rPr>
          <w:rFonts w:hint="eastAsia" w:ascii="宋体" w:hAnsi="宋体" w:eastAsia="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rPr>
        <w:t>自行对接</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并与场地方达成一致，确保每场活动的顺利进行。</w:t>
      </w:r>
      <w:r>
        <w:rPr>
          <w:rFonts w:hint="eastAsia" w:ascii="宋体" w:hAnsi="宋体" w:eastAsia="宋体" w:cs="宋体"/>
          <w:color w:val="auto"/>
          <w:sz w:val="24"/>
          <w:szCs w:val="24"/>
          <w:highlight w:val="none"/>
        </w:rPr>
        <w:t>围绕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啤酒+</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主线，设置并运营以下功能区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两个场地合计</w:t>
      </w:r>
      <w:r>
        <w:rPr>
          <w:rFonts w:hint="eastAsia" w:ascii="宋体" w:hAnsi="宋体" w:eastAsia="宋体" w:cs="宋体"/>
          <w:color w:val="auto"/>
          <w:sz w:val="24"/>
          <w:szCs w:val="24"/>
          <w:highlight w:val="none"/>
          <w:lang w:val="en-US" w:eastAsia="zh-CN"/>
        </w:rPr>
        <w:t>不少于</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lang w:val="en-US" w:eastAsia="zh-CN"/>
        </w:rPr>
        <w:t>个摊位，</w:t>
      </w:r>
      <w:r>
        <w:rPr>
          <w:rFonts w:hint="eastAsia" w:ascii="宋体" w:hAnsi="宋体" w:eastAsia="宋体" w:cs="宋体"/>
          <w:color w:val="auto"/>
          <w:sz w:val="24"/>
          <w:szCs w:val="24"/>
          <w:highlight w:val="none"/>
        </w:rPr>
        <w:t>具体要求如下：</w:t>
      </w:r>
    </w:p>
    <w:p>
      <w:pPr>
        <w:keepNext w:val="0"/>
        <w:keepLines w:val="0"/>
        <w:pageBreakBefore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以啤酒+音乐</w:t>
      </w:r>
      <w:r>
        <w:rPr>
          <w:rFonts w:hint="eastAsia" w:ascii="宋体" w:hAnsi="宋体" w:eastAsia="宋体" w:cs="宋体"/>
          <w:color w:val="auto"/>
          <w:sz w:val="24"/>
          <w:szCs w:val="24"/>
          <w:highlight w:val="none"/>
          <w:lang w:val="en-US" w:eastAsia="zh-CN"/>
        </w:rPr>
        <w:t>+足球</w:t>
      </w:r>
      <w:r>
        <w:rPr>
          <w:rFonts w:hint="eastAsia" w:ascii="宋体" w:hAnsi="宋体" w:eastAsia="宋体" w:cs="宋体"/>
          <w:color w:val="auto"/>
          <w:sz w:val="24"/>
          <w:szCs w:val="24"/>
          <w:highlight w:val="none"/>
        </w:rPr>
        <w:t>为主线，同步融合赛事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文博、美食、演艺等元素，开展集聚人气的活动，有力吸引市内外消费者现场体验消费，充分激发市场消费活力。现场设置包括但不限于</w:t>
      </w:r>
      <w:r>
        <w:rPr>
          <w:rFonts w:hint="eastAsia" w:ascii="宋体" w:hAnsi="宋体" w:cs="宋体"/>
          <w:color w:val="auto"/>
          <w:sz w:val="24"/>
          <w:szCs w:val="24"/>
          <w:highlight w:val="none"/>
          <w:lang w:val="en-US" w:eastAsia="zh-CN"/>
        </w:rPr>
        <w:t>舞台区、</w:t>
      </w:r>
      <w:r>
        <w:rPr>
          <w:rFonts w:hint="eastAsia" w:ascii="宋体" w:hAnsi="宋体" w:eastAsia="宋体" w:cs="宋体"/>
          <w:color w:val="auto"/>
          <w:sz w:val="24"/>
          <w:szCs w:val="24"/>
          <w:highlight w:val="none"/>
          <w:lang w:val="en-US" w:eastAsia="zh-CN"/>
        </w:rPr>
        <w:t>转播区、</w:t>
      </w:r>
      <w:r>
        <w:rPr>
          <w:rFonts w:hint="eastAsia" w:ascii="宋体" w:hAnsi="宋体" w:cs="宋体"/>
          <w:color w:val="auto"/>
          <w:sz w:val="24"/>
          <w:szCs w:val="24"/>
          <w:highlight w:val="none"/>
          <w:lang w:val="en-US" w:eastAsia="zh-CN"/>
        </w:rPr>
        <w:t>美食区、打酒</w:t>
      </w:r>
      <w:r>
        <w:rPr>
          <w:rFonts w:hint="eastAsia" w:ascii="宋体" w:hAnsi="宋体" w:eastAsia="宋体" w:cs="宋体"/>
          <w:snapToGrid w:val="0"/>
          <w:color w:val="auto"/>
          <w:kern w:val="0"/>
          <w:sz w:val="24"/>
          <w:szCs w:val="24"/>
          <w:highlight w:val="none"/>
        </w:rPr>
        <w:t>区、网红打卡点等。</w:t>
      </w:r>
      <w:r>
        <w:rPr>
          <w:rFonts w:hint="eastAsia" w:ascii="宋体" w:hAnsi="宋体" w:eastAsia="宋体" w:cs="宋体"/>
          <w:color w:val="auto"/>
          <w:sz w:val="24"/>
          <w:szCs w:val="24"/>
          <w:highlight w:val="none"/>
        </w:rPr>
        <w:t>详细方案由供应商自行设计。主要包含以下几个方面：</w:t>
      </w:r>
    </w:p>
    <w:p>
      <w:pPr>
        <w:pStyle w:val="39"/>
        <w:keepNext w:val="0"/>
        <w:keepLines w:val="0"/>
        <w:pageBreakBefore w:val="0"/>
        <w:numPr>
          <w:ilvl w:val="0"/>
          <w:numId w:val="0"/>
        </w:numPr>
        <w:kinsoku/>
        <w:wordWrap/>
        <w:overflowPunct/>
        <w:topLinePunct w:val="0"/>
        <w:autoSpaceDE/>
        <w:autoSpaceDN/>
        <w:bidi w:val="0"/>
        <w:spacing w:line="52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1.场地相关费用</w:t>
      </w:r>
    </w:p>
    <w:p>
      <w:pPr>
        <w:pStyle w:val="39"/>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承担项目地点场地使用所产生的费用。</w:t>
      </w:r>
    </w:p>
    <w:p>
      <w:pPr>
        <w:pStyle w:val="39"/>
        <w:keepNext w:val="0"/>
        <w:keepLines w:val="0"/>
        <w:pageBreakBefore w:val="0"/>
        <w:numPr>
          <w:ilvl w:val="0"/>
          <w:numId w:val="0"/>
        </w:numPr>
        <w:kinsoku/>
        <w:wordWrap/>
        <w:overflowPunct/>
        <w:topLinePunct w:val="0"/>
        <w:autoSpaceDE/>
        <w:autoSpaceDN/>
        <w:bidi w:val="0"/>
        <w:spacing w:line="520" w:lineRule="exact"/>
        <w:ind w:left="630"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硬体搭建</w:t>
      </w:r>
    </w:p>
    <w:p>
      <w:pPr>
        <w:pStyle w:val="39"/>
        <w:keepNext w:val="0"/>
        <w:keepLines w:val="0"/>
        <w:pageBreakBefore w:val="0"/>
        <w:numPr>
          <w:ilvl w:val="0"/>
          <w:numId w:val="0"/>
        </w:numPr>
        <w:kinsoku/>
        <w:wordWrap/>
        <w:overflowPunct/>
        <w:topLinePunct w:val="0"/>
        <w:autoSpaceDE/>
        <w:autoSpaceDN/>
        <w:bidi w:val="0"/>
        <w:spacing w:line="520" w:lineRule="exact"/>
        <w:ind w:left="630" w:leftChars="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以下内容均为“每场次”必须满足，不再另外强调</w:t>
      </w:r>
      <w:r>
        <w:rPr>
          <w:rFonts w:hint="eastAsia" w:ascii="宋体" w:hAnsi="宋体" w:cs="宋体"/>
          <w:b/>
          <w:bCs/>
          <w:color w:val="auto"/>
          <w:sz w:val="24"/>
          <w:szCs w:val="24"/>
          <w:highlight w:val="none"/>
          <w:lang w:eastAsia="zh-CN"/>
        </w:rPr>
        <w:t>）</w:t>
      </w:r>
    </w:p>
    <w:p>
      <w:pPr>
        <w:keepNext w:val="0"/>
        <w:keepLines w:val="0"/>
        <w:pageBreakBefore w:val="0"/>
        <w:widowControl w:val="0"/>
        <w:kinsoku/>
        <w:wordWrap/>
        <w:overflowPunct/>
        <w:topLinePunct w:val="0"/>
        <w:autoSpaceDE/>
        <w:autoSpaceDN/>
        <w:bidi w:val="0"/>
        <w:snapToGrid/>
        <w:spacing w:line="520" w:lineRule="exact"/>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观赛演艺：区域需考虑防雨抗风</w:t>
      </w:r>
    </w:p>
    <w:p>
      <w:pPr>
        <w:pStyle w:val="7"/>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kern w:val="2"/>
          <w:sz w:val="24"/>
          <w:szCs w:val="24"/>
          <w:highlight w:val="none"/>
        </w:rPr>
      </w:pPr>
      <w:r>
        <w:rPr>
          <w:rFonts w:hint="eastAsia" w:ascii="宋体" w:hAnsi="宋体" w:eastAsia="宋体" w:cs="宋体"/>
          <w:snapToGrid w:val="0"/>
          <w:color w:val="auto"/>
          <w:kern w:val="0"/>
          <w:sz w:val="24"/>
          <w:szCs w:val="24"/>
          <w:highlight w:val="none"/>
        </w:rPr>
        <w:t>①</w:t>
      </w:r>
      <w:r>
        <w:rPr>
          <w:rFonts w:hint="eastAsia" w:ascii="宋体" w:hAnsi="宋体" w:eastAsia="宋体" w:cs="宋体"/>
          <w:color w:val="auto"/>
          <w:kern w:val="2"/>
          <w:sz w:val="24"/>
          <w:szCs w:val="24"/>
          <w:highlight w:val="none"/>
        </w:rPr>
        <w:t>舞台要求：</w:t>
      </w:r>
      <w:r>
        <w:rPr>
          <w:rFonts w:hint="eastAsia" w:ascii="宋体" w:hAnsi="宋体" w:eastAsia="宋体" w:cs="宋体"/>
          <w:bCs/>
          <w:color w:val="auto"/>
          <w:sz w:val="24"/>
          <w:szCs w:val="24"/>
          <w:highlight w:val="none"/>
          <w:lang w:val="en-US" w:eastAsia="zh-CN"/>
        </w:rPr>
        <w:t>每个场地</w:t>
      </w:r>
      <w:r>
        <w:rPr>
          <w:rFonts w:hint="eastAsia" w:ascii="宋体" w:hAnsi="宋体" w:eastAsia="宋体" w:cs="宋体"/>
          <w:color w:val="auto"/>
          <w:kern w:val="2"/>
          <w:sz w:val="24"/>
          <w:szCs w:val="24"/>
          <w:highlight w:val="none"/>
        </w:rPr>
        <w:t>舞台尺寸不得小于</w:t>
      </w:r>
      <w:r>
        <w:rPr>
          <w:rFonts w:hint="eastAsia" w:ascii="宋体" w:hAnsi="宋体" w:eastAsia="宋体" w:cs="宋体"/>
          <w:color w:val="auto"/>
          <w:kern w:val="2"/>
          <w:sz w:val="24"/>
          <w:szCs w:val="24"/>
          <w:highlight w:val="none"/>
          <w:lang w:val="en-US" w:eastAsia="zh-CN"/>
        </w:rPr>
        <w:t>80</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舞</w:t>
      </w:r>
      <w:r>
        <w:rPr>
          <w:rFonts w:hint="eastAsia" w:ascii="宋体" w:hAnsi="宋体" w:eastAsia="宋体" w:cs="宋体"/>
          <w:color w:val="auto"/>
          <w:kern w:val="2"/>
          <w:sz w:val="24"/>
          <w:szCs w:val="24"/>
          <w:highlight w:val="none"/>
        </w:rPr>
        <w:t>台满足演出使用规格和</w:t>
      </w:r>
      <w:r>
        <w:rPr>
          <w:rFonts w:hint="eastAsia" w:ascii="宋体" w:hAnsi="宋体" w:eastAsia="宋体" w:cs="宋体"/>
          <w:color w:val="auto"/>
          <w:kern w:val="2"/>
          <w:sz w:val="24"/>
          <w:szCs w:val="24"/>
          <w:highlight w:val="none"/>
          <w:lang w:val="en-US" w:eastAsia="zh-CN"/>
        </w:rPr>
        <w:t>灯光音响</w:t>
      </w:r>
      <w:r>
        <w:rPr>
          <w:rFonts w:hint="eastAsia" w:ascii="宋体" w:hAnsi="宋体" w:eastAsia="宋体" w:cs="宋体"/>
          <w:color w:val="auto"/>
          <w:kern w:val="2"/>
          <w:sz w:val="24"/>
          <w:szCs w:val="24"/>
          <w:highlight w:val="none"/>
        </w:rPr>
        <w:t>。</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kern w:val="0"/>
          <w:sz w:val="24"/>
          <w:szCs w:val="24"/>
          <w:highlight w:val="none"/>
        </w:rPr>
        <w:t>②</w:t>
      </w:r>
      <w:r>
        <w:rPr>
          <w:rFonts w:hint="eastAsia" w:ascii="宋体" w:hAnsi="宋体" w:eastAsia="宋体" w:cs="宋体"/>
          <w:color w:val="auto"/>
          <w:sz w:val="24"/>
          <w:szCs w:val="24"/>
          <w:highlight w:val="none"/>
          <w:lang w:val="en-US" w:eastAsia="zh-CN"/>
        </w:rPr>
        <w:t>LED</w:t>
      </w:r>
      <w:r>
        <w:rPr>
          <w:rFonts w:hint="eastAsia" w:ascii="宋体" w:hAnsi="宋体" w:eastAsia="宋体" w:cs="宋体"/>
          <w:color w:val="auto"/>
          <w:sz w:val="24"/>
          <w:szCs w:val="24"/>
          <w:highlight w:val="none"/>
        </w:rPr>
        <w:t>屏要求：</w:t>
      </w:r>
      <w:r>
        <w:rPr>
          <w:rFonts w:hint="eastAsia" w:ascii="宋体" w:hAnsi="宋体" w:eastAsia="宋体" w:cs="宋体"/>
          <w:bCs/>
          <w:color w:val="auto"/>
          <w:sz w:val="24"/>
          <w:szCs w:val="24"/>
          <w:highlight w:val="none"/>
          <w:lang w:val="en-US" w:eastAsia="zh-CN"/>
        </w:rPr>
        <w:t>每个场地</w:t>
      </w:r>
      <w:r>
        <w:rPr>
          <w:rFonts w:hint="eastAsia" w:ascii="宋体" w:hAnsi="宋体" w:eastAsia="宋体" w:cs="宋体"/>
          <w:color w:val="auto"/>
          <w:sz w:val="24"/>
          <w:szCs w:val="24"/>
          <w:highlight w:val="none"/>
          <w:lang w:val="en-US" w:eastAsia="zh-CN"/>
        </w:rPr>
        <w:t>LED屏幕</w:t>
      </w:r>
      <w:r>
        <w:rPr>
          <w:rFonts w:hint="eastAsia" w:ascii="宋体" w:hAnsi="宋体" w:eastAsia="宋体" w:cs="宋体"/>
          <w:color w:val="auto"/>
          <w:sz w:val="24"/>
          <w:szCs w:val="24"/>
          <w:highlight w:val="none"/>
        </w:rPr>
        <w:t>尺寸不得小于</w:t>
      </w:r>
      <w:r>
        <w:rPr>
          <w:rFonts w:hint="eastAsia" w:ascii="宋体" w:hAnsi="宋体" w:cs="宋体"/>
          <w:color w:val="auto"/>
          <w:sz w:val="24"/>
          <w:szCs w:val="24"/>
          <w:highlight w:val="none"/>
          <w:lang w:val="en-US" w:eastAsia="zh-CN"/>
        </w:rPr>
        <w:t>70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户外高精度显示屏，15度倾斜角，抗台风处理。</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rPr>
        <w:t>③</w:t>
      </w:r>
      <w:r>
        <w:rPr>
          <w:rFonts w:hint="eastAsia" w:ascii="宋体" w:hAnsi="宋体" w:eastAsia="宋体" w:cs="宋体"/>
          <w:color w:val="auto"/>
          <w:sz w:val="24"/>
          <w:szCs w:val="24"/>
          <w:highlight w:val="none"/>
        </w:rPr>
        <w:t>音响要求：符合演出要求，</w:t>
      </w:r>
      <w:r>
        <w:rPr>
          <w:rFonts w:hint="eastAsia" w:ascii="宋体" w:hAnsi="宋体" w:eastAsia="宋体" w:cs="宋体"/>
          <w:bCs/>
          <w:color w:val="auto"/>
          <w:sz w:val="24"/>
          <w:szCs w:val="24"/>
          <w:highlight w:val="none"/>
          <w:lang w:val="en-US" w:eastAsia="zh-CN"/>
        </w:rPr>
        <w:t>每个场地</w:t>
      </w:r>
      <w:r>
        <w:rPr>
          <w:rFonts w:hint="eastAsia" w:ascii="宋体" w:hAnsi="宋体" w:cs="宋体"/>
          <w:bCs/>
          <w:color w:val="auto"/>
          <w:sz w:val="24"/>
          <w:szCs w:val="24"/>
          <w:highlight w:val="none"/>
          <w:lang w:val="en-US" w:eastAsia="zh-CN"/>
        </w:rPr>
        <w:t>均需配备</w:t>
      </w:r>
      <w:r>
        <w:rPr>
          <w:rFonts w:hint="eastAsia" w:ascii="宋体" w:hAnsi="宋体" w:eastAsia="宋体" w:cs="宋体"/>
          <w:color w:val="auto"/>
          <w:sz w:val="24"/>
          <w:szCs w:val="24"/>
          <w:highlight w:val="none"/>
        </w:rPr>
        <w:t>双15寸及以上规格全频音响，符合演出要求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场地</w:t>
      </w:r>
      <w:r>
        <w:rPr>
          <w:rFonts w:hint="eastAsia" w:ascii="宋体" w:hAnsi="宋体" w:eastAsia="宋体" w:cs="宋体"/>
          <w:color w:val="auto"/>
          <w:sz w:val="24"/>
          <w:szCs w:val="24"/>
          <w:highlight w:val="none"/>
        </w:rPr>
        <w:t>设备要满足乐队要求，音响师需有资质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④灯光要求：灯光数量满足现场规划的要求，技术团队需有资质</w:t>
      </w:r>
      <w:r>
        <w:rPr>
          <w:rFonts w:hint="eastAsia" w:ascii="宋体" w:hAnsi="宋体" w:eastAsia="宋体" w:cs="宋体"/>
          <w:color w:val="auto"/>
          <w:sz w:val="24"/>
          <w:szCs w:val="24"/>
          <w:highlight w:val="none"/>
          <w:lang w:eastAsia="zh-CN"/>
        </w:rPr>
        <w:t>。</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 5 \* GB3 \* MERGEFORMAT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⑤</w:t>
      </w:r>
      <w:r>
        <w:rPr>
          <w:rFonts w:hint="eastAsia" w:ascii="宋体" w:hAnsi="宋体" w:eastAsia="宋体" w:cs="宋体"/>
          <w:b w:val="0"/>
          <w:bCs w:val="0"/>
          <w:color w:val="auto"/>
          <w:sz w:val="24"/>
          <w:szCs w:val="24"/>
          <w:highlight w:val="none"/>
        </w:rPr>
        <w:fldChar w:fldCharType="end"/>
      </w:r>
      <w:r>
        <w:rPr>
          <w:rFonts w:hint="eastAsia" w:ascii="宋体" w:hAnsi="宋体" w:eastAsia="宋体" w:cs="宋体"/>
          <w:b w:val="0"/>
          <w:bCs w:val="0"/>
          <w:color w:val="auto"/>
          <w:sz w:val="24"/>
          <w:szCs w:val="24"/>
          <w:highlight w:val="none"/>
        </w:rPr>
        <w:t>直播信号传输</w:t>
      </w:r>
      <w:r>
        <w:rPr>
          <w:rFonts w:hint="eastAsia" w:ascii="宋体" w:hAnsi="宋体" w:eastAsia="宋体" w:cs="宋体"/>
          <w:b w:val="0"/>
          <w:bCs w:val="0"/>
          <w:color w:val="auto"/>
          <w:sz w:val="24"/>
          <w:szCs w:val="24"/>
          <w:highlight w:val="none"/>
          <w:lang w:val="en-US" w:eastAsia="zh-CN"/>
        </w:rPr>
        <w:t>要求：</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苏超</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color w:val="auto"/>
          <w:sz w:val="24"/>
          <w:szCs w:val="24"/>
          <w:highlight w:val="none"/>
        </w:rPr>
        <w:t>直播信号传输必须使用</w:t>
      </w:r>
      <w:r>
        <w:rPr>
          <w:rFonts w:hint="eastAsia" w:ascii="宋体" w:hAnsi="宋体" w:eastAsia="宋体" w:cs="宋体"/>
          <w:color w:val="auto"/>
          <w:sz w:val="24"/>
          <w:szCs w:val="24"/>
          <w:highlight w:val="none"/>
          <w:lang w:val="en-US" w:eastAsia="zh-CN"/>
        </w:rPr>
        <w:t>经官方授权</w:t>
      </w:r>
      <w:r>
        <w:rPr>
          <w:rFonts w:hint="eastAsia" w:ascii="宋体" w:hAnsi="宋体" w:eastAsia="宋体" w:cs="宋体"/>
          <w:color w:val="auto"/>
          <w:sz w:val="24"/>
          <w:szCs w:val="24"/>
          <w:highlight w:val="none"/>
        </w:rPr>
        <w:t>的专网专线，确保赛事直播视听效果。</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lang w:val="en-US" w:eastAsia="zh-CN"/>
        </w:rPr>
        <w:t>就餐</w:t>
      </w:r>
      <w:r>
        <w:rPr>
          <w:rFonts w:hint="eastAsia" w:ascii="宋体" w:hAnsi="宋体" w:cs="宋体"/>
          <w:color w:val="auto"/>
          <w:sz w:val="24"/>
          <w:szCs w:val="24"/>
          <w:highlight w:val="none"/>
          <w:lang w:val="en-US" w:eastAsia="zh-CN"/>
        </w:rPr>
        <w:t>休闲</w:t>
      </w:r>
      <w:r>
        <w:rPr>
          <w:rFonts w:hint="eastAsia" w:ascii="宋体" w:hAnsi="宋体" w:eastAsia="宋体" w:cs="宋体"/>
          <w:color w:val="auto"/>
          <w:sz w:val="24"/>
          <w:szCs w:val="24"/>
          <w:highlight w:val="none"/>
        </w:rPr>
        <w:t>区</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每个场地均需配备桌椅，一桌四人位，不得少于50套，现场服务人员不少于5人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面积不得小于</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0㎡。</w:t>
      </w:r>
    </w:p>
    <w:p>
      <w:pPr>
        <w:pStyle w:val="7"/>
        <w:keepNext w:val="0"/>
        <w:keepLines w:val="0"/>
        <w:pageBreakBefore w:val="0"/>
        <w:widowControl w:val="0"/>
        <w:kinsoku/>
        <w:wordWrap/>
        <w:overflowPunct/>
        <w:topLinePunct w:val="0"/>
        <w:autoSpaceDE/>
        <w:autoSpaceDN/>
        <w:bidi w:val="0"/>
        <w:snapToGrid/>
        <w:spacing w:line="520" w:lineRule="exact"/>
        <w:ind w:left="0"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（3）市集区</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80" w:firstLineChars="200"/>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kern w:val="0"/>
          <w:sz w:val="24"/>
          <w:szCs w:val="24"/>
          <w:highlight w:val="none"/>
        </w:rPr>
        <w:t>①美食区：</w:t>
      </w:r>
      <w:r>
        <w:rPr>
          <w:rFonts w:hint="eastAsia" w:ascii="宋体" w:hAnsi="宋体" w:cs="宋体"/>
          <w:snapToGrid w:val="0"/>
          <w:color w:val="auto"/>
          <w:kern w:val="0"/>
          <w:sz w:val="24"/>
          <w:szCs w:val="24"/>
          <w:highlight w:val="none"/>
          <w:lang w:val="en-US" w:eastAsia="zh-CN"/>
        </w:rPr>
        <w:t>每个场地</w:t>
      </w:r>
      <w:r>
        <w:rPr>
          <w:rFonts w:hint="eastAsia" w:ascii="宋体" w:hAnsi="宋体" w:eastAsia="宋体" w:cs="宋体"/>
          <w:snapToGrid w:val="0"/>
          <w:color w:val="auto"/>
          <w:kern w:val="0"/>
          <w:sz w:val="24"/>
          <w:szCs w:val="24"/>
          <w:highlight w:val="none"/>
          <w:lang w:val="en-US" w:eastAsia="zh-CN"/>
        </w:rPr>
        <w:t>需</w:t>
      </w:r>
      <w:r>
        <w:rPr>
          <w:rFonts w:hint="eastAsia" w:ascii="宋体" w:hAnsi="宋体" w:cs="宋体"/>
          <w:snapToGrid w:val="0"/>
          <w:color w:val="auto"/>
          <w:kern w:val="0"/>
          <w:sz w:val="24"/>
          <w:szCs w:val="24"/>
          <w:highlight w:val="none"/>
          <w:lang w:val="en-US" w:eastAsia="zh-CN"/>
        </w:rPr>
        <w:t>设置</w:t>
      </w:r>
      <w:r>
        <w:rPr>
          <w:rFonts w:hint="eastAsia" w:ascii="宋体" w:hAnsi="宋体" w:eastAsia="宋体" w:cs="宋体"/>
          <w:color w:val="auto"/>
          <w:kern w:val="2"/>
          <w:sz w:val="24"/>
          <w:szCs w:val="24"/>
          <w:highlight w:val="none"/>
          <w:lang w:val="en-US" w:eastAsia="zh-CN" w:bidi="ar-SA"/>
        </w:rPr>
        <w:t>“南通好味</w:t>
      </w:r>
      <w:r>
        <w:rPr>
          <w:rFonts w:hint="eastAsia" w:ascii="宋体" w:hAnsi="宋体" w:cs="宋体"/>
          <w:snapToGrid w:val="0"/>
          <w:color w:val="auto"/>
          <w:kern w:val="0"/>
          <w:sz w:val="24"/>
          <w:szCs w:val="24"/>
          <w:highlight w:val="none"/>
          <w:lang w:val="en-US" w:eastAsia="zh-CN"/>
        </w:rPr>
        <w:t>”专区，</w:t>
      </w:r>
      <w:r>
        <w:rPr>
          <w:rFonts w:hint="eastAsia" w:ascii="宋体" w:hAnsi="宋体" w:eastAsia="宋体" w:cs="宋体"/>
          <w:snapToGrid w:val="0"/>
          <w:color w:val="auto"/>
          <w:kern w:val="0"/>
          <w:sz w:val="24"/>
          <w:szCs w:val="24"/>
          <w:highlight w:val="none"/>
        </w:rPr>
        <w:t>融合多种餐饮美食元素，邀请</w:t>
      </w:r>
      <w:r>
        <w:rPr>
          <w:rFonts w:hint="eastAsia" w:ascii="宋体" w:hAnsi="宋体" w:cs="宋体"/>
          <w:snapToGrid w:val="0"/>
          <w:color w:val="auto"/>
          <w:kern w:val="0"/>
          <w:sz w:val="24"/>
          <w:szCs w:val="24"/>
          <w:highlight w:val="none"/>
          <w:lang w:val="en-US" w:eastAsia="zh-CN"/>
        </w:rPr>
        <w:t>全市老字号、餐饮</w:t>
      </w:r>
      <w:r>
        <w:rPr>
          <w:rFonts w:hint="eastAsia" w:ascii="宋体" w:hAnsi="宋体" w:eastAsia="宋体" w:cs="宋体"/>
          <w:snapToGrid w:val="0"/>
          <w:color w:val="auto"/>
          <w:kern w:val="0"/>
          <w:sz w:val="24"/>
          <w:szCs w:val="24"/>
          <w:highlight w:val="none"/>
        </w:rPr>
        <w:t>企业、本土特色小吃、网红美食品牌</w:t>
      </w:r>
      <w:r>
        <w:rPr>
          <w:rFonts w:hint="eastAsia" w:ascii="宋体" w:hAnsi="宋体" w:cs="宋体"/>
          <w:snapToGrid w:val="0"/>
          <w:color w:val="auto"/>
          <w:kern w:val="0"/>
          <w:sz w:val="24"/>
          <w:szCs w:val="24"/>
          <w:highlight w:val="none"/>
          <w:lang w:val="en-US" w:eastAsia="zh-CN"/>
        </w:rPr>
        <w:t>等</w:t>
      </w:r>
      <w:r>
        <w:rPr>
          <w:rFonts w:hint="eastAsia" w:ascii="宋体" w:hAnsi="宋体" w:eastAsia="宋体" w:cs="宋体"/>
          <w:snapToGrid w:val="0"/>
          <w:color w:val="auto"/>
          <w:kern w:val="0"/>
          <w:sz w:val="24"/>
          <w:szCs w:val="24"/>
          <w:highlight w:val="none"/>
        </w:rPr>
        <w:t>入驻</w:t>
      </w:r>
      <w:r>
        <w:rPr>
          <w:rFonts w:hint="eastAsia" w:ascii="宋体" w:hAnsi="宋体" w:eastAsia="宋体" w:cs="宋体"/>
          <w:snapToGrid w:val="0"/>
          <w:color w:val="auto"/>
          <w:kern w:val="0"/>
          <w:sz w:val="24"/>
          <w:szCs w:val="24"/>
          <w:highlight w:val="none"/>
          <w:lang w:eastAsia="zh-CN"/>
        </w:rPr>
        <w:t>，</w:t>
      </w:r>
      <w:r>
        <w:rPr>
          <w:rFonts w:hint="eastAsia" w:ascii="宋体" w:hAnsi="宋体" w:cs="宋体"/>
          <w:bCs/>
          <w:color w:val="auto"/>
          <w:sz w:val="24"/>
          <w:szCs w:val="24"/>
          <w:highlight w:val="none"/>
          <w:lang w:val="en-US" w:eastAsia="zh-CN"/>
        </w:rPr>
        <w:t>每个</w:t>
      </w:r>
      <w:r>
        <w:rPr>
          <w:rFonts w:hint="eastAsia" w:ascii="宋体" w:hAnsi="宋体" w:eastAsia="宋体" w:cs="宋体"/>
          <w:bCs/>
          <w:color w:val="auto"/>
          <w:sz w:val="24"/>
          <w:szCs w:val="24"/>
          <w:highlight w:val="none"/>
          <w:lang w:val="en-US" w:eastAsia="zh-CN"/>
        </w:rPr>
        <w:t>场地</w:t>
      </w:r>
      <w:r>
        <w:rPr>
          <w:rFonts w:hint="eastAsia" w:ascii="宋体" w:hAnsi="宋体" w:eastAsia="宋体" w:cs="宋体"/>
          <w:snapToGrid w:val="0"/>
          <w:color w:val="auto"/>
          <w:kern w:val="0"/>
          <w:sz w:val="24"/>
          <w:szCs w:val="24"/>
          <w:highlight w:val="none"/>
        </w:rPr>
        <w:t>美食商家不少于</w:t>
      </w:r>
      <w:r>
        <w:rPr>
          <w:rFonts w:hint="eastAsia" w:ascii="宋体" w:hAnsi="宋体" w:cs="宋体"/>
          <w:snapToGrid w:val="0"/>
          <w:color w:val="auto"/>
          <w:kern w:val="0"/>
          <w:sz w:val="24"/>
          <w:szCs w:val="24"/>
          <w:highlight w:val="none"/>
          <w:lang w:val="en-US" w:eastAsia="zh-CN"/>
        </w:rPr>
        <w:t>15</w:t>
      </w:r>
      <w:r>
        <w:rPr>
          <w:rFonts w:hint="eastAsia" w:ascii="宋体" w:hAnsi="宋体" w:eastAsia="宋体" w:cs="宋体"/>
          <w:snapToGrid w:val="0"/>
          <w:color w:val="auto"/>
          <w:kern w:val="0"/>
          <w:sz w:val="24"/>
          <w:szCs w:val="24"/>
          <w:highlight w:val="none"/>
        </w:rPr>
        <w:t>家，主场比赛日现场派送餐饮</w:t>
      </w:r>
      <w:r>
        <w:rPr>
          <w:rFonts w:hint="eastAsia" w:ascii="宋体" w:hAnsi="宋体" w:cs="宋体"/>
          <w:snapToGrid w:val="0"/>
          <w:color w:val="auto"/>
          <w:kern w:val="0"/>
          <w:sz w:val="24"/>
          <w:szCs w:val="24"/>
          <w:highlight w:val="none"/>
          <w:lang w:val="en-US" w:eastAsia="zh-CN"/>
        </w:rPr>
        <w:t>/</w:t>
      </w:r>
      <w:r>
        <w:rPr>
          <w:rFonts w:hint="eastAsia" w:ascii="宋体" w:hAnsi="宋体" w:eastAsia="宋体" w:cs="宋体"/>
          <w:snapToGrid w:val="0"/>
          <w:color w:val="auto"/>
          <w:kern w:val="0"/>
          <w:sz w:val="24"/>
          <w:szCs w:val="24"/>
          <w:highlight w:val="none"/>
        </w:rPr>
        <w:t>酒店住宿消费券</w:t>
      </w:r>
      <w:r>
        <w:rPr>
          <w:rFonts w:hint="eastAsia" w:ascii="宋体" w:hAnsi="宋体" w:cs="宋体"/>
          <w:snapToGrid w:val="0"/>
          <w:color w:val="auto"/>
          <w:kern w:val="0"/>
          <w:sz w:val="24"/>
          <w:szCs w:val="24"/>
          <w:highlight w:val="none"/>
          <w:lang w:val="en-US" w:eastAsia="zh-CN"/>
        </w:rPr>
        <w:t>/</w:t>
      </w:r>
      <w:r>
        <w:rPr>
          <w:rFonts w:hint="eastAsia" w:ascii="宋体" w:hAnsi="宋体" w:eastAsia="宋体" w:cs="宋体"/>
          <w:snapToGrid w:val="0"/>
          <w:color w:val="auto"/>
          <w:kern w:val="0"/>
          <w:sz w:val="24"/>
          <w:szCs w:val="24"/>
          <w:highlight w:val="none"/>
        </w:rPr>
        <w:t>南通特色美食</w:t>
      </w:r>
      <w:r>
        <w:rPr>
          <w:rFonts w:hint="eastAsia" w:ascii="宋体" w:hAnsi="宋体" w:cs="宋体"/>
          <w:snapToGrid w:val="0"/>
          <w:color w:val="auto"/>
          <w:kern w:val="0"/>
          <w:sz w:val="24"/>
          <w:szCs w:val="24"/>
          <w:highlight w:val="none"/>
          <w:lang w:val="en-US" w:eastAsia="zh-CN"/>
        </w:rPr>
        <w:t>等福利</w:t>
      </w:r>
      <w:r>
        <w:rPr>
          <w:rFonts w:hint="eastAsia" w:ascii="宋体" w:hAnsi="宋体" w:eastAsia="宋体" w:cs="宋体"/>
          <w:snapToGrid w:val="0"/>
          <w:color w:val="auto"/>
          <w:kern w:val="0"/>
          <w:sz w:val="24"/>
          <w:szCs w:val="24"/>
          <w:highlight w:val="none"/>
        </w:rPr>
        <w:t>。按风格分设不同区域，招引足量的经营主体形态，让市民在畅饮啤酒的同时，畅享美味</w:t>
      </w:r>
      <w:r>
        <w:rPr>
          <w:rFonts w:hint="eastAsia" w:ascii="宋体" w:hAnsi="宋体" w:eastAsia="宋体" w:cs="宋体"/>
          <w:snapToGrid w:val="0"/>
          <w:color w:val="auto"/>
          <w:kern w:val="0"/>
          <w:sz w:val="24"/>
          <w:szCs w:val="24"/>
          <w:highlight w:val="none"/>
          <w:lang w:eastAsia="zh-CN"/>
        </w:rPr>
        <w:t>。</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napToGrid w:val="0"/>
          <w:color w:val="auto"/>
          <w:kern w:val="0"/>
          <w:sz w:val="24"/>
          <w:szCs w:val="24"/>
          <w:highlight w:val="none"/>
        </w:rPr>
        <w:t>②</w:t>
      </w:r>
      <w:r>
        <w:rPr>
          <w:rFonts w:hint="eastAsia" w:ascii="宋体" w:hAnsi="宋体" w:cs="宋体"/>
          <w:color w:val="auto"/>
          <w:kern w:val="2"/>
          <w:sz w:val="24"/>
          <w:szCs w:val="24"/>
          <w:highlight w:val="none"/>
          <w:lang w:val="en-US" w:eastAsia="zh-CN" w:bidi="ar-SA"/>
        </w:rPr>
        <w:t>好品区</w:t>
      </w: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每个场地</w:t>
      </w:r>
      <w:r>
        <w:rPr>
          <w:rFonts w:hint="eastAsia" w:ascii="宋体" w:hAnsi="宋体" w:eastAsia="宋体" w:cs="宋体"/>
          <w:color w:val="auto"/>
          <w:kern w:val="2"/>
          <w:sz w:val="24"/>
          <w:szCs w:val="24"/>
          <w:highlight w:val="none"/>
          <w:lang w:val="en-US" w:eastAsia="zh-CN" w:bidi="ar-SA"/>
        </w:rPr>
        <w:t>需设置“南通好品”</w:t>
      </w:r>
      <w:r>
        <w:rPr>
          <w:rFonts w:hint="eastAsia" w:ascii="宋体" w:hAnsi="宋体" w:cs="宋体"/>
          <w:color w:val="auto"/>
          <w:kern w:val="2"/>
          <w:sz w:val="24"/>
          <w:szCs w:val="24"/>
          <w:highlight w:val="none"/>
          <w:lang w:val="en-US" w:eastAsia="zh-CN" w:bidi="ar-SA"/>
        </w:rPr>
        <w:t>专区，邀请</w:t>
      </w:r>
      <w:r>
        <w:rPr>
          <w:rFonts w:hint="eastAsia" w:ascii="宋体" w:hAnsi="宋体" w:eastAsia="宋体" w:cs="宋体"/>
          <w:color w:val="auto"/>
          <w:kern w:val="2"/>
          <w:sz w:val="24"/>
          <w:szCs w:val="24"/>
          <w:highlight w:val="none"/>
          <w:lang w:val="en-US" w:eastAsia="zh-CN" w:bidi="ar-SA"/>
        </w:rPr>
        <w:t>文创、非遗、农产品等特色市集</w:t>
      </w:r>
      <w:r>
        <w:rPr>
          <w:rFonts w:hint="eastAsia" w:ascii="宋体" w:hAnsi="宋体" w:cs="宋体"/>
          <w:color w:val="auto"/>
          <w:kern w:val="2"/>
          <w:sz w:val="24"/>
          <w:szCs w:val="24"/>
          <w:highlight w:val="none"/>
          <w:lang w:val="en-US" w:eastAsia="zh-CN" w:bidi="ar-SA"/>
        </w:rPr>
        <w:t>入驻</w:t>
      </w:r>
      <w:r>
        <w:rPr>
          <w:rFonts w:hint="eastAsia" w:ascii="宋体" w:hAnsi="宋体" w:eastAsia="宋体" w:cs="宋体"/>
          <w:color w:val="auto"/>
          <w:kern w:val="2"/>
          <w:sz w:val="24"/>
          <w:szCs w:val="24"/>
          <w:highlight w:val="none"/>
          <w:lang w:val="en-US" w:eastAsia="zh-CN" w:bidi="ar-SA"/>
        </w:rPr>
        <w:t>。推出与“苏超”及南通队IP联名的文创产品、特色大礼包。</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80" w:firstLineChars="200"/>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snapToGrid w:val="0"/>
          <w:color w:val="auto"/>
          <w:kern w:val="0"/>
          <w:sz w:val="24"/>
          <w:szCs w:val="24"/>
          <w:highlight w:val="none"/>
        </w:rPr>
        <w:t>③</w:t>
      </w:r>
      <w:r>
        <w:rPr>
          <w:rFonts w:hint="eastAsia" w:ascii="宋体" w:hAnsi="宋体" w:eastAsia="宋体" w:cs="宋体"/>
          <w:color w:val="auto"/>
          <w:kern w:val="2"/>
          <w:sz w:val="24"/>
          <w:szCs w:val="24"/>
          <w:highlight w:val="none"/>
        </w:rPr>
        <w:t>打酒区：</w:t>
      </w:r>
      <w:r>
        <w:rPr>
          <w:rFonts w:hint="eastAsia" w:ascii="宋体" w:hAnsi="宋体" w:eastAsia="宋体" w:cs="宋体"/>
          <w:bCs/>
          <w:color w:val="auto"/>
          <w:sz w:val="24"/>
          <w:szCs w:val="24"/>
          <w:highlight w:val="none"/>
          <w:lang w:val="en-US" w:eastAsia="zh-CN"/>
        </w:rPr>
        <w:t>每</w:t>
      </w:r>
      <w:r>
        <w:rPr>
          <w:rFonts w:hint="eastAsia" w:ascii="宋体" w:hAnsi="宋体" w:eastAsia="宋体" w:cs="宋体"/>
          <w:color w:val="auto"/>
          <w:kern w:val="2"/>
          <w:sz w:val="24"/>
          <w:szCs w:val="24"/>
          <w:highlight w:val="none"/>
          <w:lang w:val="en-US" w:eastAsia="zh-CN"/>
        </w:rPr>
        <w:t>个场地均</w:t>
      </w:r>
      <w:r>
        <w:rPr>
          <w:rFonts w:hint="eastAsia" w:ascii="宋体" w:hAnsi="宋体" w:eastAsia="宋体" w:cs="宋体"/>
          <w:color w:val="auto"/>
          <w:kern w:val="2"/>
          <w:sz w:val="24"/>
          <w:szCs w:val="24"/>
          <w:highlight w:val="none"/>
          <w:lang w:eastAsia="zh-CN"/>
        </w:rPr>
        <w:t>需配备</w:t>
      </w:r>
      <w:r>
        <w:rPr>
          <w:rFonts w:hint="eastAsia" w:ascii="宋体" w:hAnsi="宋体" w:eastAsia="宋体" w:cs="宋体"/>
          <w:color w:val="auto"/>
          <w:kern w:val="2"/>
          <w:sz w:val="24"/>
          <w:szCs w:val="24"/>
          <w:highlight w:val="none"/>
          <w:lang w:val="en-US" w:eastAsia="zh-CN"/>
        </w:rPr>
        <w:t>特装展位</w:t>
      </w:r>
      <w:r>
        <w:rPr>
          <w:rFonts w:hint="eastAsia" w:ascii="宋体" w:hAnsi="宋体" w:eastAsia="宋体" w:cs="宋体"/>
          <w:color w:val="auto"/>
          <w:kern w:val="2"/>
          <w:sz w:val="24"/>
          <w:szCs w:val="24"/>
          <w:highlight w:val="none"/>
          <w:lang w:eastAsia="zh-CN"/>
        </w:rPr>
        <w:t>打酒</w:t>
      </w:r>
      <w:r>
        <w:rPr>
          <w:rFonts w:hint="eastAsia" w:ascii="宋体" w:hAnsi="宋体" w:eastAsia="宋体" w:cs="宋体"/>
          <w:color w:val="auto"/>
          <w:kern w:val="2"/>
          <w:sz w:val="24"/>
          <w:szCs w:val="24"/>
          <w:highlight w:val="none"/>
          <w:lang w:val="en-US" w:eastAsia="zh-CN"/>
        </w:rPr>
        <w:t>区</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展位不小于15平米</w:t>
      </w:r>
      <w:r>
        <w:rPr>
          <w:rFonts w:hint="eastAsia" w:ascii="宋体" w:hAnsi="宋体" w:eastAsia="宋体" w:cs="宋体"/>
          <w:color w:val="auto"/>
          <w:kern w:val="2"/>
          <w:sz w:val="24"/>
          <w:szCs w:val="24"/>
          <w:highlight w:val="none"/>
          <w:lang w:eastAsia="zh-CN"/>
        </w:rPr>
        <w:t>，须同时满足仓储、打酒及卫生标准，引进知名品牌啤酒、南通本土精酿啤酒，设置啤酒畅饮专区，</w:t>
      </w:r>
      <w:r>
        <w:rPr>
          <w:rFonts w:hint="eastAsia" w:ascii="宋体" w:hAnsi="宋体" w:eastAsia="宋体" w:cs="宋体"/>
          <w:color w:val="auto"/>
          <w:kern w:val="2"/>
          <w:sz w:val="24"/>
          <w:szCs w:val="24"/>
          <w:highlight w:val="none"/>
          <w:lang w:val="en-US" w:eastAsia="zh-CN"/>
        </w:rPr>
        <w:t>每个场地</w:t>
      </w:r>
      <w:r>
        <w:rPr>
          <w:rFonts w:hint="eastAsia" w:ascii="宋体" w:hAnsi="宋体" w:eastAsia="宋体" w:cs="宋体"/>
          <w:color w:val="auto"/>
          <w:sz w:val="24"/>
          <w:szCs w:val="24"/>
          <w:highlight w:val="none"/>
          <w:lang w:val="en-US" w:eastAsia="zh-CN"/>
        </w:rPr>
        <w:t>啤酒品类至少</w:t>
      </w:r>
      <w:r>
        <w:rPr>
          <w:rFonts w:hint="eastAsia" w:ascii="宋体" w:hAnsi="宋体" w:eastAsia="宋体" w:cs="宋体"/>
          <w:color w:val="auto"/>
          <w:sz w:val="24"/>
          <w:szCs w:val="24"/>
          <w:highlight w:val="none"/>
        </w:rPr>
        <w:t>包含</w:t>
      </w:r>
      <w:r>
        <w:rPr>
          <w:rFonts w:hint="eastAsia" w:ascii="宋体" w:hAnsi="宋体" w:eastAsia="宋体" w:cs="宋体"/>
          <w:color w:val="auto"/>
          <w:sz w:val="24"/>
          <w:szCs w:val="24"/>
          <w:highlight w:val="none"/>
          <w:lang w:val="en-US" w:eastAsia="zh-CN"/>
        </w:rPr>
        <w:t>10个</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rPr>
        <w:t>潮玩互动区</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每个场地</w:t>
      </w:r>
      <w:r>
        <w:rPr>
          <w:rFonts w:hint="eastAsia" w:ascii="宋体" w:hAnsi="宋体" w:cs="宋体"/>
          <w:bCs/>
          <w:color w:val="auto"/>
          <w:sz w:val="24"/>
          <w:szCs w:val="24"/>
          <w:highlight w:val="none"/>
          <w:lang w:val="en-US" w:eastAsia="zh-CN"/>
        </w:rPr>
        <w:t>均需</w:t>
      </w:r>
      <w:r>
        <w:rPr>
          <w:rFonts w:hint="eastAsia" w:ascii="宋体" w:hAnsi="宋体" w:eastAsia="宋体" w:cs="宋体"/>
          <w:color w:val="auto"/>
          <w:sz w:val="24"/>
          <w:szCs w:val="24"/>
          <w:highlight w:val="none"/>
          <w:lang w:val="en-US" w:eastAsia="zh-CN"/>
        </w:rPr>
        <w:t>置入不得少于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处精神堡垒、</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处网红打卡点、</w:t>
      </w:r>
      <w:r>
        <w:rPr>
          <w:rFonts w:hint="eastAsia" w:ascii="宋体" w:hAnsi="宋体" w:eastAsia="宋体" w:cs="宋体"/>
          <w:color w:val="auto"/>
          <w:sz w:val="24"/>
          <w:szCs w:val="24"/>
          <w:highlight w:val="none"/>
        </w:rPr>
        <w:t>不得少于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种互动</w:t>
      </w:r>
      <w:r>
        <w:rPr>
          <w:rFonts w:hint="eastAsia" w:ascii="宋体" w:hAnsi="宋体" w:eastAsia="宋体" w:cs="宋体"/>
          <w:color w:val="auto"/>
          <w:sz w:val="24"/>
          <w:szCs w:val="24"/>
          <w:highlight w:val="none"/>
          <w:lang w:val="en-US" w:eastAsia="zh-CN"/>
        </w:rPr>
        <w:t>运动</w:t>
      </w:r>
      <w:r>
        <w:rPr>
          <w:rFonts w:hint="eastAsia" w:ascii="宋体" w:hAnsi="宋体" w:eastAsia="宋体" w:cs="宋体"/>
          <w:color w:val="auto"/>
          <w:sz w:val="24"/>
          <w:szCs w:val="24"/>
          <w:highlight w:val="none"/>
        </w:rPr>
        <w:t>体验游戏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制作</w:t>
      </w:r>
      <w:r>
        <w:rPr>
          <w:rFonts w:hint="eastAsia" w:ascii="宋体" w:hAnsi="宋体" w:eastAsia="宋体" w:cs="宋体"/>
          <w:bCs w:val="0"/>
          <w:strike w:val="0"/>
          <w:dstrike w:val="0"/>
          <w:color w:val="auto"/>
          <w:kern w:val="2"/>
          <w:sz w:val="24"/>
          <w:szCs w:val="24"/>
          <w:highlight w:val="none"/>
          <w:lang w:val="en-US" w:eastAsia="zh-CN" w:bidi="ar-SA"/>
        </w:rPr>
        <w:t>创意道具</w:t>
      </w:r>
      <w:r>
        <w:rPr>
          <w:rFonts w:hint="eastAsia" w:ascii="宋体" w:hAnsi="宋体" w:cs="宋体"/>
          <w:bCs w:val="0"/>
          <w:strike w:val="0"/>
          <w:dstrike w:val="0"/>
          <w:color w:val="auto"/>
          <w:kern w:val="2"/>
          <w:sz w:val="24"/>
          <w:szCs w:val="24"/>
          <w:highlight w:val="none"/>
          <w:lang w:val="en-US" w:eastAsia="zh-CN" w:bidi="ar-SA"/>
        </w:rPr>
        <w:t>，</w:t>
      </w:r>
      <w:r>
        <w:rPr>
          <w:rFonts w:hint="eastAsia" w:ascii="宋体" w:hAnsi="宋体" w:eastAsia="宋体" w:cs="宋体"/>
          <w:color w:val="auto"/>
          <w:sz w:val="24"/>
          <w:szCs w:val="24"/>
          <w:highlight w:val="none"/>
          <w:lang w:val="en-US" w:eastAsia="zh-CN"/>
        </w:rPr>
        <w:t>其中精神堡垒高度在5米以上，打卡点长度不小于3米。</w:t>
      </w:r>
    </w:p>
    <w:p>
      <w:pPr>
        <w:pStyle w:val="7"/>
        <w:keepNext w:val="0"/>
        <w:keepLines w:val="0"/>
        <w:pageBreakBefore w:val="0"/>
        <w:numPr>
          <w:ilvl w:val="0"/>
          <w:numId w:val="3"/>
        </w:numPr>
        <w:kinsoku/>
        <w:wordWrap/>
        <w:overflowPunct/>
        <w:topLinePunct w:val="0"/>
        <w:autoSpaceDE/>
        <w:autoSpaceDN/>
        <w:bidi w:val="0"/>
        <w:spacing w:line="520" w:lineRule="exact"/>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施工配套</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根据现场需求配备水电设备，水电设备须符合国家最新规格标准。同时每个场地现场需配备2名以上持证电工寻场，以保证现场用电安全。</w:t>
      </w:r>
    </w:p>
    <w:p>
      <w:pPr>
        <w:pStyle w:val="7"/>
        <w:keepNext w:val="0"/>
        <w:keepLines w:val="0"/>
        <w:pageBreakBefore w:val="0"/>
        <w:kinsoku/>
        <w:wordWrap/>
        <w:overflowPunct/>
        <w:topLinePunct w:val="0"/>
        <w:autoSpaceDE/>
        <w:autoSpaceDN/>
        <w:bidi w:val="0"/>
        <w:spacing w:line="520" w:lineRule="exact"/>
        <w:ind w:left="0" w:leftChars="0"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3</w:t>
      </w:r>
      <w:r>
        <w:rPr>
          <w:rFonts w:hint="eastAsia" w:ascii="宋体" w:hAnsi="宋体" w:eastAsia="宋体" w:cs="宋体"/>
          <w:b/>
          <w:bCs/>
          <w:color w:val="auto"/>
          <w:kern w:val="2"/>
          <w:sz w:val="24"/>
          <w:szCs w:val="24"/>
          <w:highlight w:val="none"/>
        </w:rPr>
        <w:t>.配套活动</w:t>
      </w:r>
    </w:p>
    <w:p>
      <w:pPr>
        <w:pStyle w:val="7"/>
        <w:keepNext w:val="0"/>
        <w:keepLines w:val="0"/>
        <w:pageBreakBefore w:val="0"/>
        <w:widowControl w:val="0"/>
        <w:kinsoku/>
        <w:wordWrap/>
        <w:overflowPunct/>
        <w:topLinePunct w:val="0"/>
        <w:autoSpaceDE/>
        <w:autoSpaceDN/>
        <w:bidi w:val="0"/>
        <w:snapToGrid/>
        <w:spacing w:line="520" w:lineRule="exact"/>
        <w:ind w:left="0" w:firstLine="480" w:firstLineChars="200"/>
        <w:rPr>
          <w:rFonts w:hint="eastAsia" w:ascii="宋体" w:hAnsi="宋体" w:eastAsia="宋体" w:cs="宋体"/>
          <w:b/>
          <w:bCs/>
          <w:color w:val="auto"/>
          <w:kern w:val="2"/>
          <w:sz w:val="24"/>
          <w:szCs w:val="24"/>
          <w:highlight w:val="none"/>
        </w:rPr>
      </w:pPr>
      <w:r>
        <w:rPr>
          <w:rFonts w:hint="eastAsia" w:ascii="宋体" w:hAnsi="宋体" w:eastAsia="宋体" w:cs="宋体"/>
          <w:bCs/>
          <w:color w:val="auto"/>
          <w:kern w:val="2"/>
          <w:sz w:val="24"/>
          <w:szCs w:val="24"/>
          <w:highlight w:val="none"/>
        </w:rPr>
        <w:t>啤酒</w:t>
      </w:r>
      <w:r>
        <w:rPr>
          <w:rFonts w:hint="eastAsia" w:ascii="宋体" w:hAnsi="宋体" w:eastAsia="宋体" w:cs="宋体"/>
          <w:bCs/>
          <w:color w:val="auto"/>
          <w:kern w:val="2"/>
          <w:sz w:val="24"/>
          <w:szCs w:val="24"/>
          <w:highlight w:val="none"/>
          <w:lang w:val="en-US" w:eastAsia="zh-CN"/>
        </w:rPr>
        <w:t>嘉年华</w:t>
      </w:r>
      <w:r>
        <w:rPr>
          <w:rFonts w:hint="eastAsia" w:ascii="宋体" w:hAnsi="宋体" w:eastAsia="宋体" w:cs="宋体"/>
          <w:bCs/>
          <w:color w:val="auto"/>
          <w:kern w:val="2"/>
          <w:sz w:val="24"/>
          <w:szCs w:val="24"/>
          <w:highlight w:val="none"/>
        </w:rPr>
        <w:t>期间，举办亮点人气活动，活动内容健康，形式新颖。</w:t>
      </w:r>
    </w:p>
    <w:p>
      <w:pPr>
        <w:pStyle w:val="7"/>
        <w:keepNext w:val="0"/>
        <w:keepLines w:val="0"/>
        <w:pageBreakBefore w:val="0"/>
        <w:widowControl w:val="0"/>
        <w:numPr>
          <w:ilvl w:val="0"/>
          <w:numId w:val="4"/>
        </w:numPr>
        <w:tabs>
          <w:tab w:val="left" w:pos="5670"/>
        </w:tabs>
        <w:kinsoku/>
        <w:wordWrap/>
        <w:overflowPunct/>
        <w:topLinePunct w:val="0"/>
        <w:autoSpaceDE/>
        <w:autoSpaceDN/>
        <w:bidi w:val="0"/>
        <w:snapToGrid/>
        <w:spacing w:line="520" w:lineRule="exact"/>
        <w:ind w:left="0" w:firstLine="480" w:firstLineChars="200"/>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演出节目：</w:t>
      </w:r>
      <w:r>
        <w:rPr>
          <w:rFonts w:hint="eastAsia" w:ascii="宋体" w:hAnsi="宋体" w:eastAsia="宋体" w:cs="宋体"/>
          <w:bCs/>
          <w:color w:val="auto"/>
          <w:kern w:val="2"/>
          <w:sz w:val="24"/>
          <w:szCs w:val="24"/>
          <w:highlight w:val="none"/>
          <w:lang w:val="en-US" w:eastAsia="zh-CN"/>
        </w:rPr>
        <w:t>现场安排乐队演出，每个场地演出节目不得少于4个。</w:t>
      </w:r>
    </w:p>
    <w:p>
      <w:pPr>
        <w:keepNext w:val="0"/>
        <w:keepLines w:val="0"/>
        <w:pageBreakBefore w:val="0"/>
        <w:numPr>
          <w:ilvl w:val="0"/>
          <w:numId w:val="0"/>
        </w:numPr>
        <w:kinsoku/>
        <w:wordWrap/>
        <w:overflowPunct/>
        <w:topLinePunct w:val="0"/>
        <w:bidi w:val="0"/>
        <w:spacing w:line="520" w:lineRule="exact"/>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（2）互动体验活动：推出“苏超”联赛竞猜、足球技能挑战赛、酒王争霸赛等。</w:t>
      </w:r>
    </w:p>
    <w:p>
      <w:pPr>
        <w:keepNext w:val="0"/>
        <w:keepLines w:val="0"/>
        <w:pageBreakBefore w:val="0"/>
        <w:widowControl w:val="0"/>
        <w:kinsoku/>
        <w:wordWrap/>
        <w:overflowPunct/>
        <w:topLinePunct w:val="0"/>
        <w:autoSpaceDE/>
        <w:autoSpaceDN/>
        <w:bidi w:val="0"/>
        <w:snapToGrid/>
        <w:spacing w:line="520" w:lineRule="exact"/>
        <w:ind w:left="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.亮化工程</w:t>
      </w:r>
    </w:p>
    <w:p>
      <w:pPr>
        <w:pStyle w:val="7"/>
        <w:keepNext w:val="0"/>
        <w:keepLines w:val="0"/>
        <w:pageBreakBefore w:val="0"/>
        <w:widowControl w:val="0"/>
        <w:kinsoku/>
        <w:wordWrap/>
        <w:overflowPunct/>
        <w:topLinePunct w:val="0"/>
        <w:autoSpaceDE/>
        <w:autoSpaceDN/>
        <w:bidi w:val="0"/>
        <w:snapToGrid/>
        <w:spacing w:line="520" w:lineRule="exact"/>
        <w:ind w:left="0" w:firstLine="480" w:firstLineChars="200"/>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sz w:val="24"/>
          <w:szCs w:val="24"/>
          <w:highlight w:val="none"/>
          <w:lang w:val="en-US" w:eastAsia="zh-CN"/>
        </w:rPr>
        <w:t>每个场地</w:t>
      </w:r>
      <w:r>
        <w:rPr>
          <w:rFonts w:hint="eastAsia" w:ascii="宋体" w:hAnsi="宋体" w:eastAsia="宋体" w:cs="宋体"/>
          <w:bCs/>
          <w:color w:val="auto"/>
          <w:kern w:val="2"/>
          <w:sz w:val="24"/>
          <w:szCs w:val="24"/>
          <w:highlight w:val="none"/>
          <w:lang w:val="en-US" w:eastAsia="zh-CN"/>
        </w:rPr>
        <w:t>门头长度不得少于9米，主出入口周围也需设计相应风格的亮化设计。</w:t>
      </w:r>
    </w:p>
    <w:p>
      <w:pPr>
        <w:keepNext w:val="0"/>
        <w:keepLines w:val="0"/>
        <w:pageBreakBefore w:val="0"/>
        <w:kinsoku/>
        <w:wordWrap/>
        <w:overflowPunct/>
        <w:topLinePunct w:val="0"/>
        <w:autoSpaceDE/>
        <w:autoSpaceDN/>
        <w:bidi w:val="0"/>
        <w:spacing w:line="52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）活动保障</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成交供应商须</w:t>
      </w:r>
      <w:r>
        <w:rPr>
          <w:rFonts w:hint="eastAsia" w:ascii="宋体" w:hAnsi="宋体" w:eastAsia="宋体" w:cs="宋体"/>
          <w:bCs/>
          <w:color w:val="auto"/>
          <w:sz w:val="24"/>
          <w:szCs w:val="24"/>
          <w:highlight w:val="none"/>
        </w:rPr>
        <w:t>做好以下工作</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所产生的费用由成交供应商支付</w:t>
      </w:r>
      <w:r>
        <w:rPr>
          <w:rFonts w:hint="eastAsia" w:ascii="宋体" w:hAnsi="宋体" w:eastAsia="宋体" w:cs="宋体"/>
          <w:bCs/>
          <w:color w:val="auto"/>
          <w:sz w:val="24"/>
          <w:szCs w:val="24"/>
          <w:highlight w:val="none"/>
        </w:rPr>
        <w:t>：</w:t>
      </w:r>
    </w:p>
    <w:p>
      <w:pPr>
        <w:widowControl/>
        <w:shd w:val="solid" w:color="FFFFFF" w:fill="auto"/>
        <w:spacing w:before="75" w:after="75" w:line="520" w:lineRule="exact"/>
        <w:ind w:left="0" w:leftChars="0" w:firstLine="480" w:firstLineChars="200"/>
        <w:rPr>
          <w:rFonts w:hint="eastAsia" w:ascii="宋体" w:hAnsi="宋体" w:cs="宋体"/>
          <w:bCs/>
          <w:strike w:val="0"/>
          <w:dstrike w:val="0"/>
          <w:color w:val="auto"/>
          <w:kern w:val="2"/>
          <w:sz w:val="24"/>
          <w:szCs w:val="24"/>
          <w:highlight w:val="none"/>
          <w:lang w:val="en-US" w:eastAsia="zh-CN" w:bidi="ar-SA"/>
        </w:rPr>
      </w:pPr>
      <w:r>
        <w:rPr>
          <w:rFonts w:hint="eastAsia" w:ascii="宋体" w:hAnsi="宋体" w:cs="宋体"/>
          <w:bCs/>
          <w:strike w:val="0"/>
          <w:dstrike w:val="0"/>
          <w:color w:val="auto"/>
          <w:kern w:val="2"/>
          <w:sz w:val="24"/>
          <w:szCs w:val="24"/>
          <w:highlight w:val="none"/>
          <w:lang w:val="en-US" w:eastAsia="zh-CN" w:bidi="ar-SA"/>
        </w:rPr>
        <w:t>1.策划执行团队</w:t>
      </w:r>
    </w:p>
    <w:p>
      <w:pPr>
        <w:widowControl/>
        <w:shd w:val="solid" w:color="FFFFFF" w:fill="auto"/>
        <w:spacing w:before="75" w:after="75" w:line="520" w:lineRule="exact"/>
        <w:ind w:left="0" w:leftChars="0" w:firstLine="480" w:firstLineChars="200"/>
        <w:rPr>
          <w:rFonts w:hint="eastAsia" w:ascii="宋体" w:hAnsi="宋体" w:eastAsia="宋体" w:cs="宋体"/>
          <w:bCs/>
          <w:strike w:val="0"/>
          <w:dstrike w:val="0"/>
          <w:color w:val="auto"/>
          <w:kern w:val="2"/>
          <w:sz w:val="24"/>
          <w:szCs w:val="24"/>
          <w:highlight w:val="none"/>
          <w:lang w:val="en-US" w:eastAsia="zh-CN" w:bidi="ar-SA"/>
        </w:rPr>
      </w:pPr>
      <w:r>
        <w:rPr>
          <w:rFonts w:hint="eastAsia" w:ascii="宋体" w:hAnsi="宋体" w:cs="宋体"/>
          <w:bCs/>
          <w:strike w:val="0"/>
          <w:dstrike w:val="0"/>
          <w:color w:val="auto"/>
          <w:kern w:val="2"/>
          <w:sz w:val="24"/>
          <w:szCs w:val="24"/>
          <w:highlight w:val="none"/>
          <w:lang w:val="en-US" w:eastAsia="zh-CN" w:bidi="ar-SA"/>
        </w:rPr>
        <w:t>供应商须</w:t>
      </w:r>
      <w:r>
        <w:rPr>
          <w:rFonts w:hint="eastAsia" w:ascii="宋体" w:hAnsi="宋体" w:eastAsia="宋体" w:cs="宋体"/>
          <w:bCs/>
          <w:strike w:val="0"/>
          <w:dstrike w:val="0"/>
          <w:color w:val="auto"/>
          <w:kern w:val="2"/>
          <w:sz w:val="24"/>
          <w:szCs w:val="24"/>
          <w:highlight w:val="none"/>
          <w:lang w:val="en-US" w:eastAsia="zh-CN" w:bidi="ar-SA"/>
        </w:rPr>
        <w:t>为本项目提供专业的策划执行团队，包括但不限于策划执行人员、主持人、技术人员、场控人员等。</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.安全保卫执勤及消防：</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保卫执勤：根据活动前期、活动中期、撤展期间定制相对应的安全保卫执勤方案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活动场地安保人数不少于</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rPr>
        <w:t>；</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通信保障：在活动期间通信保持畅通，及时规范应答；</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消防响应：制定消防方案，配合公安，消防部门，对火灾现场进行勘验。</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.突发事件应急：</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为保障活动顺利进行，及时、有力、高效处置突发事件，制定突发事件应急方案。须为活动购买大型活动保险。</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.卫生保障</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负责整个活动的卫生保洁工作，</w:t>
      </w:r>
      <w:r>
        <w:rPr>
          <w:rFonts w:hint="eastAsia" w:ascii="宋体" w:hAnsi="宋体" w:cs="宋体"/>
          <w:bCs/>
          <w:color w:val="auto"/>
          <w:sz w:val="24"/>
          <w:szCs w:val="24"/>
          <w:highlight w:val="none"/>
          <w:lang w:val="en-US" w:eastAsia="zh-CN"/>
        </w:rPr>
        <w:t>每个场地</w:t>
      </w:r>
      <w:r>
        <w:rPr>
          <w:rFonts w:hint="eastAsia" w:ascii="宋体" w:hAnsi="宋体" w:eastAsia="宋体" w:cs="宋体"/>
          <w:bCs/>
          <w:color w:val="auto"/>
          <w:sz w:val="24"/>
          <w:szCs w:val="24"/>
          <w:highlight w:val="none"/>
        </w:rPr>
        <w:t>垃圾桶不得少于</w:t>
      </w:r>
      <w:r>
        <w:rPr>
          <w:rFonts w:hint="eastAsia" w:ascii="宋体" w:hAnsi="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个，</w:t>
      </w:r>
      <w:r>
        <w:rPr>
          <w:rFonts w:hint="eastAsia" w:ascii="宋体" w:hAnsi="宋体" w:cs="宋体"/>
          <w:bCs/>
          <w:color w:val="auto"/>
          <w:sz w:val="24"/>
          <w:szCs w:val="24"/>
          <w:highlight w:val="none"/>
          <w:lang w:val="en-US" w:eastAsia="zh-CN"/>
        </w:rPr>
        <w:t>每个场地</w:t>
      </w:r>
      <w:r>
        <w:rPr>
          <w:rFonts w:hint="eastAsia" w:ascii="宋体" w:hAnsi="宋体" w:eastAsia="宋体" w:cs="宋体"/>
          <w:bCs/>
          <w:color w:val="auto"/>
          <w:sz w:val="24"/>
          <w:szCs w:val="24"/>
          <w:highlight w:val="none"/>
          <w:lang w:val="en-US" w:eastAsia="zh-CN"/>
        </w:rPr>
        <w:t>现场保洁人数不少</w:t>
      </w:r>
      <w:r>
        <w:rPr>
          <w:rFonts w:hint="eastAsia" w:ascii="宋体" w:hAnsi="宋体" w:cs="宋体"/>
          <w:bCs/>
          <w:color w:val="auto"/>
          <w:sz w:val="24"/>
          <w:szCs w:val="24"/>
          <w:highlight w:val="none"/>
          <w:lang w:val="en-US" w:eastAsia="zh-CN"/>
        </w:rPr>
        <w:t>于5</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rPr>
        <w:t>保持活动场地的整洁。垃圾日产日清，及时清运至指定地点。</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w:t>
      </w:r>
      <w:r>
        <w:rPr>
          <w:rFonts w:hint="eastAsia" w:ascii="宋体" w:hAnsi="宋体" w:eastAsia="宋体" w:cs="宋体"/>
          <w:bCs/>
          <w:strike w:val="0"/>
          <w:dstrike w:val="0"/>
          <w:color w:val="auto"/>
          <w:kern w:val="2"/>
          <w:sz w:val="24"/>
          <w:szCs w:val="24"/>
          <w:highlight w:val="none"/>
          <w:lang w:val="en-US" w:eastAsia="zh-CN" w:bidi="ar-SA"/>
        </w:rPr>
        <w:t>水电设施配备、</w:t>
      </w:r>
      <w:r>
        <w:rPr>
          <w:rFonts w:hint="eastAsia" w:ascii="宋体" w:hAnsi="宋体" w:eastAsia="宋体" w:cs="宋体"/>
          <w:bCs/>
          <w:color w:val="auto"/>
          <w:sz w:val="24"/>
          <w:szCs w:val="24"/>
          <w:highlight w:val="none"/>
        </w:rPr>
        <w:t xml:space="preserve">交通疏导、停车安排 </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Cs/>
          <w:strike w:val="0"/>
          <w:dstrike w:val="0"/>
          <w:color w:val="auto"/>
          <w:kern w:val="2"/>
          <w:sz w:val="24"/>
          <w:szCs w:val="24"/>
          <w:highlight w:val="none"/>
          <w:lang w:val="en-US" w:eastAsia="zh-CN" w:bidi="ar-SA"/>
        </w:rPr>
        <w:t>根据场地的设置合理规划、设置水电，保障各项活动正常开展</w:t>
      </w:r>
      <w:r>
        <w:rPr>
          <w:rFonts w:hint="eastAsia" w:ascii="宋体" w:hAnsi="宋体" w:cs="宋体"/>
          <w:bCs/>
          <w:strike w:val="0"/>
          <w:dstrike w:val="0"/>
          <w:color w:val="auto"/>
          <w:kern w:val="2"/>
          <w:sz w:val="24"/>
          <w:szCs w:val="24"/>
          <w:highlight w:val="none"/>
          <w:lang w:val="en-US" w:eastAsia="zh-CN" w:bidi="ar-SA"/>
        </w:rPr>
        <w:t>；</w:t>
      </w:r>
      <w:r>
        <w:rPr>
          <w:rFonts w:hint="eastAsia" w:ascii="宋体" w:hAnsi="宋体" w:eastAsia="宋体" w:cs="宋体"/>
          <w:bCs/>
          <w:color w:val="auto"/>
          <w:sz w:val="24"/>
          <w:szCs w:val="24"/>
          <w:highlight w:val="none"/>
        </w:rPr>
        <w:t>合理规划停车区域，并安排人员进行交通疏导，确保活动期间交通顺畅。</w:t>
      </w:r>
    </w:p>
    <w:p>
      <w:pPr>
        <w:keepNext w:val="0"/>
        <w:keepLines w:val="0"/>
        <w:pageBreakBefore w:val="0"/>
        <w:widowControl/>
        <w:numPr>
          <w:ilvl w:val="-1"/>
          <w:numId w:val="0"/>
        </w:numPr>
        <w:shd w:val="solid" w:color="FFFFFF" w:fill="auto"/>
        <w:kinsoku/>
        <w:wordWrap/>
        <w:overflowPunct/>
        <w:topLinePunct w:val="0"/>
        <w:autoSpaceDE/>
        <w:autoSpaceDN/>
        <w:bidi w:val="0"/>
        <w:spacing w:before="75" w:after="75" w:line="52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其他需求：完成采购人交办的其他与活动相关的工作内容。</w:t>
      </w:r>
    </w:p>
    <w:p>
      <w:pPr>
        <w:keepNext w:val="0"/>
        <w:keepLines w:val="0"/>
        <w:pageBreakBefore w:val="0"/>
        <w:kinsoku/>
        <w:wordWrap/>
        <w:overflowPunct/>
        <w:topLinePunct w:val="0"/>
        <w:autoSpaceDE/>
        <w:autoSpaceDN/>
        <w:bidi w:val="0"/>
        <w:spacing w:line="520" w:lineRule="exact"/>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w:t>
      </w:r>
      <w:r>
        <w:rPr>
          <w:rFonts w:hint="eastAsia" w:ascii="宋体" w:hAnsi="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lang w:val="en-US" w:eastAsia="zh-CN"/>
        </w:rPr>
        <w:t>）宣传要求</w:t>
      </w:r>
    </w:p>
    <w:p>
      <w:pPr>
        <w:keepNext w:val="0"/>
        <w:keepLines w:val="0"/>
        <w:pageBreakBefore w:val="0"/>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宣传报道需在南通市级以上或官方媒体发布，每场活动均需进行现场报道、短视频传播。需在主城区利用不少于2处市区主干道固定画面、电子屏进行活动宣传，在公交站台</w:t>
      </w:r>
      <w:r>
        <w:rPr>
          <w:rFonts w:hint="eastAsia" w:ascii="宋体" w:hAnsi="宋体" w:cs="宋体"/>
          <w:bCs/>
          <w:color w:val="auto"/>
          <w:sz w:val="24"/>
          <w:szCs w:val="24"/>
          <w:highlight w:val="none"/>
          <w:lang w:val="en-US" w:eastAsia="zh-CN"/>
        </w:rPr>
        <w:t>或</w:t>
      </w:r>
      <w:r>
        <w:rPr>
          <w:rFonts w:hint="eastAsia" w:ascii="宋体" w:hAnsi="宋体" w:eastAsia="宋体" w:cs="宋体"/>
          <w:bCs/>
          <w:color w:val="auto"/>
          <w:sz w:val="24"/>
          <w:szCs w:val="24"/>
          <w:highlight w:val="none"/>
          <w:lang w:val="en-US" w:eastAsia="zh-CN"/>
        </w:rPr>
        <w:t>地铁站等进行宣传。</w:t>
      </w:r>
    </w:p>
    <w:p>
      <w:pPr>
        <w:spacing w:line="520" w:lineRule="exact"/>
        <w:ind w:firstLine="482" w:firstLineChars="200"/>
        <w:rPr>
          <w:rFonts w:hint="eastAsia" w:ascii="宋体" w:hAnsi="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w:t>
      </w:r>
      <w:r>
        <w:rPr>
          <w:rFonts w:hint="eastAsia" w:ascii="宋体" w:hAnsi="宋体"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val="0"/>
          <w:strike w:val="0"/>
          <w:dstrike w:val="0"/>
          <w:color w:val="auto"/>
          <w:kern w:val="2"/>
          <w:sz w:val="24"/>
          <w:szCs w:val="24"/>
          <w:highlight w:val="none"/>
          <w:lang w:val="en-US" w:eastAsia="zh-CN" w:bidi="ar-SA"/>
        </w:rPr>
        <w:t>活动效果</w:t>
      </w:r>
    </w:p>
    <w:p>
      <w:pPr>
        <w:spacing w:line="520" w:lineRule="exact"/>
        <w:ind w:firstLine="480" w:firstLineChars="200"/>
        <w:rPr>
          <w:rFonts w:hint="default"/>
          <w:color w:val="auto"/>
          <w:highlight w:val="none"/>
          <w:lang w:val="en-US" w:eastAsia="zh-CN"/>
        </w:rPr>
      </w:pPr>
      <w:r>
        <w:rPr>
          <w:rFonts w:hint="eastAsia" w:ascii="宋体" w:hAnsi="宋体" w:eastAsia="宋体" w:cs="宋体"/>
          <w:bCs/>
          <w:strike w:val="0"/>
          <w:dstrike w:val="0"/>
          <w:color w:val="auto"/>
          <w:kern w:val="2"/>
          <w:sz w:val="24"/>
          <w:szCs w:val="24"/>
          <w:highlight w:val="none"/>
          <w:lang w:val="en-US" w:eastAsia="zh-CN" w:bidi="ar-SA"/>
        </w:rPr>
        <w:t>针对本项目制定的完整的引流方案及提高消费者满意度方案</w:t>
      </w:r>
      <w:r>
        <w:rPr>
          <w:rFonts w:hint="eastAsia" w:ascii="宋体" w:hAnsi="宋体" w:cs="宋体"/>
          <w:bCs/>
          <w:strike w:val="0"/>
          <w:dstrike w:val="0"/>
          <w:color w:val="auto"/>
          <w:kern w:val="2"/>
          <w:sz w:val="24"/>
          <w:szCs w:val="24"/>
          <w:highlight w:val="none"/>
          <w:lang w:val="en-US" w:eastAsia="zh-CN" w:bidi="ar-SA"/>
        </w:rPr>
        <w:t>，</w:t>
      </w:r>
      <w:r>
        <w:rPr>
          <w:rFonts w:hint="eastAsia" w:ascii="宋体" w:hAnsi="宋体" w:eastAsia="宋体" w:cs="宋体"/>
          <w:bCs/>
          <w:color w:val="auto"/>
          <w:sz w:val="24"/>
          <w:szCs w:val="24"/>
          <w:highlight w:val="none"/>
          <w:lang w:val="en-US" w:eastAsia="zh-CN"/>
        </w:rPr>
        <w:t>平均</w:t>
      </w:r>
      <w:r>
        <w:rPr>
          <w:rFonts w:hint="eastAsia" w:ascii="宋体" w:hAnsi="宋体" w:cs="宋体"/>
          <w:bCs/>
          <w:color w:val="auto"/>
          <w:sz w:val="24"/>
          <w:szCs w:val="24"/>
          <w:highlight w:val="none"/>
          <w:lang w:val="en-US" w:eastAsia="zh-CN"/>
        </w:rPr>
        <w:t>每个场地</w:t>
      </w:r>
      <w:r>
        <w:rPr>
          <w:rFonts w:hint="eastAsia" w:ascii="宋体" w:hAnsi="宋体" w:eastAsia="宋体" w:cs="宋体"/>
          <w:bCs/>
          <w:color w:val="auto"/>
          <w:sz w:val="24"/>
          <w:szCs w:val="24"/>
          <w:highlight w:val="none"/>
          <w:lang w:val="en-US" w:eastAsia="zh-CN"/>
        </w:rPr>
        <w:t>每场人</w:t>
      </w:r>
      <w:r>
        <w:rPr>
          <w:rFonts w:hint="eastAsia" w:ascii="宋体" w:hAnsi="宋体" w:cs="宋体"/>
          <w:bCs/>
          <w:color w:val="auto"/>
          <w:sz w:val="24"/>
          <w:szCs w:val="24"/>
          <w:highlight w:val="none"/>
          <w:lang w:val="en-US" w:eastAsia="zh-CN"/>
        </w:rPr>
        <w:t>流量</w:t>
      </w:r>
      <w:r>
        <w:rPr>
          <w:rFonts w:hint="eastAsia" w:ascii="宋体" w:hAnsi="宋体" w:eastAsia="宋体" w:cs="宋体"/>
          <w:bCs/>
          <w:color w:val="auto"/>
          <w:sz w:val="24"/>
          <w:szCs w:val="24"/>
          <w:highlight w:val="none"/>
          <w:lang w:val="en-US" w:eastAsia="zh-CN"/>
        </w:rPr>
        <w:t>不少于1000人次</w:t>
      </w:r>
      <w:r>
        <w:rPr>
          <w:rFonts w:hint="eastAsia" w:ascii="宋体" w:hAnsi="宋体" w:cs="宋体"/>
          <w:bCs/>
          <w:color w:val="auto"/>
          <w:sz w:val="24"/>
          <w:szCs w:val="24"/>
          <w:highlight w:val="none"/>
          <w:lang w:val="en-US" w:eastAsia="zh-CN"/>
        </w:rPr>
        <w:t>。</w:t>
      </w:r>
    </w:p>
    <w:p>
      <w:pPr>
        <w:pStyle w:val="16"/>
        <w:keepNext w:val="0"/>
        <w:keepLines w:val="0"/>
        <w:pageBreakBefore w:val="0"/>
        <w:numPr>
          <w:ilvl w:val="0"/>
          <w:numId w:val="0"/>
        </w:numPr>
        <w:tabs>
          <w:tab w:val="left" w:pos="0"/>
        </w:tabs>
        <w:kinsoku/>
        <w:wordWrap/>
        <w:overflowPunct/>
        <w:topLinePunct w:val="0"/>
        <w:bidi w:val="0"/>
        <w:snapToGrid w:val="0"/>
        <w:spacing w:before="120" w:beforeAutospacing="0" w:after="120" w:afterAutospacing="0" w:line="520" w:lineRule="exact"/>
        <w:ind w:right="0" w:rightChars="0" w:firstLine="482" w:firstLineChars="200"/>
        <w:textAlignment w:val="auto"/>
        <w:rPr>
          <w:rFonts w:hint="eastAsia" w:ascii="宋体" w:hAnsi="宋体" w:eastAsia="宋体" w:cs="宋体"/>
          <w:b/>
          <w:bCs/>
          <w:color w:val="auto"/>
          <w:kern w:val="2"/>
          <w:sz w:val="24"/>
          <w:szCs w:val="24"/>
          <w:highlight w:val="none"/>
          <w:lang w:val="en-US" w:eastAsia="zh-Hans"/>
        </w:rPr>
      </w:pPr>
      <w:r>
        <w:rPr>
          <w:rFonts w:hint="eastAsia" w:hAnsi="宋体" w:cs="宋体"/>
          <w:b/>
          <w:bCs/>
          <w:color w:val="auto"/>
          <w:kern w:val="2"/>
          <w:sz w:val="24"/>
          <w:szCs w:val="24"/>
          <w:highlight w:val="none"/>
          <w:lang w:val="en-US" w:eastAsia="zh-CN"/>
        </w:rPr>
        <w:t>六</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lang w:val="en-US" w:eastAsia="zh-Hans"/>
        </w:rPr>
        <w:t>采购标的数量、采购项目交付或者实施的时间和地点</w:t>
      </w:r>
    </w:p>
    <w:p>
      <w:pPr>
        <w:pStyle w:val="10"/>
        <w:keepNext w:val="0"/>
        <w:keepLines w:val="0"/>
        <w:pageBreakBefore w:val="0"/>
        <w:kinsoku/>
        <w:wordWrap/>
        <w:overflowPunct/>
        <w:topLinePunct w:val="0"/>
        <w:bidi w:val="0"/>
        <w:spacing w:line="520" w:lineRule="exact"/>
        <w:ind w:firstLine="480" w:firstLineChars="20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（一）项目地点：</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本次啤酒嘉年华活动需在</w:t>
      </w:r>
      <w:r>
        <w:rPr>
          <w:rFonts w:hint="eastAsia" w:ascii="宋体" w:hAnsi="宋体" w:cs="宋体"/>
          <w:color w:val="auto"/>
          <w:sz w:val="24"/>
          <w:szCs w:val="24"/>
          <w:highlight w:val="none"/>
          <w:lang w:val="en-US" w:eastAsia="zh-CN"/>
        </w:rPr>
        <w:t>南通市</w:t>
      </w:r>
      <w:r>
        <w:rPr>
          <w:rFonts w:hint="eastAsia" w:ascii="宋体" w:hAnsi="宋体" w:eastAsia="宋体" w:cs="宋体"/>
          <w:color w:val="auto"/>
          <w:sz w:val="24"/>
          <w:szCs w:val="24"/>
          <w:highlight w:val="none"/>
        </w:rPr>
        <w:t>主城区范围内设置南、北两个活动场地，形成“一南一北、双核联动”的布局，以实现对主城区居民及游客的广泛覆盖与便捷参与。</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（二）项目时间：</w:t>
      </w:r>
      <w:r>
        <w:rPr>
          <w:rFonts w:hint="eastAsia" w:ascii="宋体" w:hAnsi="宋体" w:cs="宋体"/>
          <w:bCs/>
          <w:color w:val="auto"/>
          <w:sz w:val="24"/>
          <w:szCs w:val="24"/>
          <w:highlight w:val="none"/>
          <w:lang w:val="en-US" w:eastAsia="zh-CN"/>
        </w:rPr>
        <w:t>自合同签订之日起至2026年苏超赛季结束，苏超南通比赛日及苏超半决赛、决赛场次的周六当天为一场活动周期。</w:t>
      </w:r>
    </w:p>
    <w:p>
      <w:pPr>
        <w:keepNext w:val="0"/>
        <w:keepLines w:val="0"/>
        <w:pageBreakBefore w:val="0"/>
        <w:numPr>
          <w:ilvl w:val="0"/>
          <w:numId w:val="0"/>
        </w:numPr>
        <w:kinsoku/>
        <w:wordWrap/>
        <w:overflowPunct/>
        <w:topLinePunct w:val="0"/>
        <w:autoSpaceDE/>
        <w:autoSpaceDN/>
        <w:bidi w:val="0"/>
        <w:spacing w:line="520" w:lineRule="exact"/>
        <w:ind w:firstLine="480" w:firstLineChars="200"/>
        <w:rPr>
          <w:rFonts w:hint="eastAsia" w:ascii="宋体" w:hAnsi="宋体" w:cs="宋体"/>
          <w:bCs/>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（三）</w:t>
      </w:r>
      <w:r>
        <w:rPr>
          <w:rFonts w:hint="eastAsia" w:ascii="宋体" w:hAnsi="宋体" w:cs="宋体"/>
          <w:bCs/>
          <w:color w:val="auto"/>
          <w:sz w:val="24"/>
          <w:szCs w:val="24"/>
          <w:highlight w:val="none"/>
          <w:lang w:val="en-US" w:eastAsia="zh-CN"/>
        </w:rPr>
        <w:t>特别提醒：场地租赁和协调，由供应商自行对接考虑。如场地方要求恢复的，需在每场活动结束后及时恢复原样。如因天气等不可抗力原因造成某场次无法举办的，成交供应商在征得采购人同意后可延期举办，如不延期举办的，对应场次所有相关费用采购人不予支付；因采购人原因造成某场次无法如期举办的，经双方对接，可延期举办；成交供应商可根据实际需要和采购人协商后新增场次，如新增场次导致费用增加，经审计超过本项目预算金额的，以项目预算金额进行结算。</w:t>
      </w:r>
    </w:p>
    <w:p>
      <w:pPr>
        <w:pStyle w:val="16"/>
        <w:keepNext w:val="0"/>
        <w:keepLines w:val="0"/>
        <w:pageBreakBefore w:val="0"/>
        <w:numPr>
          <w:ilvl w:val="0"/>
          <w:numId w:val="0"/>
        </w:numPr>
        <w:tabs>
          <w:tab w:val="left" w:pos="0"/>
        </w:tabs>
        <w:kinsoku/>
        <w:wordWrap/>
        <w:overflowPunct/>
        <w:topLinePunct w:val="0"/>
        <w:bidi w:val="0"/>
        <w:snapToGrid w:val="0"/>
        <w:spacing w:before="120" w:beforeAutospacing="0" w:after="120" w:afterAutospacing="0" w:line="520" w:lineRule="exact"/>
        <w:ind w:right="0" w:rightChars="0" w:firstLine="482" w:firstLineChars="200"/>
        <w:textAlignment w:val="auto"/>
        <w:rPr>
          <w:rFonts w:hint="eastAsia" w:ascii="宋体" w:hAnsi="宋体" w:eastAsia="宋体" w:cs="宋体"/>
          <w:b/>
          <w:bCs/>
          <w:color w:val="auto"/>
          <w:kern w:val="2"/>
          <w:sz w:val="24"/>
          <w:szCs w:val="24"/>
          <w:highlight w:val="none"/>
          <w:lang w:val="en-US" w:eastAsia="zh-Hans"/>
        </w:rPr>
      </w:pPr>
      <w:r>
        <w:rPr>
          <w:rFonts w:hint="eastAsia" w:hAnsi="宋体" w:cs="宋体"/>
          <w:b/>
          <w:bCs/>
          <w:color w:val="auto"/>
          <w:kern w:val="2"/>
          <w:sz w:val="24"/>
          <w:szCs w:val="24"/>
          <w:highlight w:val="none"/>
          <w:lang w:val="en-US" w:eastAsia="zh-CN"/>
        </w:rPr>
        <w:t>七</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lang w:val="en-US" w:eastAsia="zh-Hans"/>
        </w:rPr>
        <w:t>采购标的验收标准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firstLine="480" w:firstLineChars="20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Hans"/>
        </w:rPr>
        <w:t>按合同约定积极配合供应商履约，验收由采购人组织，验收合格的作为支付款项的依据。</w:t>
      </w:r>
    </w:p>
    <w:p>
      <w:pPr>
        <w:pStyle w:val="16"/>
        <w:keepNext w:val="0"/>
        <w:keepLines w:val="0"/>
        <w:pageBreakBefore w:val="0"/>
        <w:numPr>
          <w:ilvl w:val="0"/>
          <w:numId w:val="0"/>
        </w:numPr>
        <w:tabs>
          <w:tab w:val="left" w:pos="0"/>
        </w:tabs>
        <w:kinsoku/>
        <w:wordWrap/>
        <w:overflowPunct/>
        <w:topLinePunct w:val="0"/>
        <w:bidi w:val="0"/>
        <w:snapToGrid w:val="0"/>
        <w:spacing w:before="120" w:beforeAutospacing="0" w:after="120" w:afterAutospacing="0" w:line="520" w:lineRule="exact"/>
        <w:ind w:right="0" w:rightChars="0" w:firstLine="482" w:firstLineChars="200"/>
        <w:rPr>
          <w:rFonts w:hint="eastAsia" w:ascii="宋体" w:hAnsi="宋体" w:eastAsia="宋体" w:cs="宋体"/>
          <w:b/>
          <w:bCs/>
          <w:color w:val="auto"/>
          <w:kern w:val="2"/>
          <w:sz w:val="24"/>
          <w:szCs w:val="24"/>
          <w:highlight w:val="none"/>
          <w:lang w:eastAsia="zh-CN"/>
        </w:rPr>
      </w:pPr>
      <w:r>
        <w:rPr>
          <w:rFonts w:hint="eastAsia" w:hAnsi="宋体" w:cs="宋体"/>
          <w:b/>
          <w:bCs/>
          <w:color w:val="auto"/>
          <w:kern w:val="2"/>
          <w:sz w:val="24"/>
          <w:szCs w:val="24"/>
          <w:highlight w:val="none"/>
          <w:lang w:val="en-US" w:eastAsia="zh-CN"/>
        </w:rPr>
        <w:t>八</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rPr>
        <w:t>采购标的其他技术、服务等要求</w:t>
      </w:r>
      <w:r>
        <w:rPr>
          <w:rFonts w:hint="eastAsia" w:ascii="宋体" w:hAnsi="宋体" w:eastAsia="宋体" w:cs="宋体"/>
          <w:b/>
          <w:bCs/>
          <w:color w:val="auto"/>
          <w:kern w:val="2"/>
          <w:sz w:val="24"/>
          <w:szCs w:val="24"/>
          <w:highlight w:val="none"/>
          <w:lang w:eastAsia="zh-CN"/>
        </w:rPr>
        <w:t>：</w:t>
      </w:r>
    </w:p>
    <w:p>
      <w:pPr>
        <w:keepNext w:val="0"/>
        <w:keepLines w:val="0"/>
        <w:pageBreakBefore w:val="0"/>
        <w:kinsoku/>
        <w:wordWrap/>
        <w:overflowPunct/>
        <w:topLinePunct w:val="0"/>
        <w:autoSpaceDE/>
        <w:autoSpaceDN/>
        <w:bidi w:val="0"/>
        <w:spacing w:line="520" w:lineRule="exact"/>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 xml:space="preserve">相关要求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1.本项目的设计、施工过程和布展工作必须严格按照施工质量应符合现行国家技术、施工及验收规范规程，对施工工艺的特殊要求，按设计图纸及国家有关规定执行。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2.质量要求：按相关工程施工质量验收规范合格标准。设计、制作安装等服务应响应迅速，施工及时并符合采购人及</w:t>
      </w:r>
      <w:r>
        <w:rPr>
          <w:rFonts w:hint="eastAsia" w:ascii="宋体" w:hAnsi="宋体" w:eastAsia="宋体" w:cs="宋体"/>
          <w:color w:val="auto"/>
          <w:sz w:val="24"/>
          <w:szCs w:val="24"/>
          <w:highlight w:val="none"/>
          <w:lang w:val="en-US" w:eastAsia="zh-CN"/>
        </w:rPr>
        <w:t>活动举办场地</w:t>
      </w:r>
      <w:r>
        <w:rPr>
          <w:rFonts w:hint="eastAsia" w:ascii="宋体" w:hAnsi="宋体" w:eastAsia="宋体" w:cs="宋体"/>
          <w:color w:val="auto"/>
          <w:sz w:val="24"/>
          <w:szCs w:val="24"/>
          <w:highlight w:val="none"/>
        </w:rPr>
        <w:t xml:space="preserve">要求。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要求：要求在开工前和布展（或布置）实施期间做好安全文明标化管理，要求在磋商响应文件中阐述有关布展（或布置）实施方案和管理措施，并作出相应承诺，确保场内外道路清洁畅通，确保来往车辆、人员、施工安全。符合布展制作及施工安装等安全要求，涉及到电气布线、安装等应符合消防安全要求，确保安全可靠。在项目实施过程（包括搭建及活动期间等）期间以及一切由于供应商实施的工作问题导致的安全责任均由供应商承担，采购人概不负责。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4.技术规格：设计施工符合规范要求，制作工艺细致。整体外观与设计效果保持一致，现场安装施工严谨精细，标识、画面等内容无错误。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5.施工要求：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舞台搭建施工：依据设计方案，负责设备的租赁、安装、布置、活动期间本展区活动的技术、人员及设备保障。施工时能较好理解设计意图，用材适当并与环境相协调，性价比高，多媒体设备选配科学、合理，保证活动期间设备的稳定耐用；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（2）工程组织周密。要科学制定合理的施工组织实施方案，统筹协调布展进度，使各分项组织实施的全过程及各个环节始终处于受控状态，施工工艺满足国家、省、市现行标准、规范的相关文件要求；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（3）坚持安全施工。要强化安全生产意识，建立规范化、标准化、制度化的管理体系，确保施工现场的结构安全、消防安全、电气安全，以及人身安全等，以达到优质的展示效果。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场地布置验收标准：满足采购人要求，包括规划、设计、施工与采购人需求一致，准确无误。制作工艺细致，符合消防标准。发光字、供电电源、照明灯管应质量优良，安装合理。画面色彩均匀、清晰、饱满，观感良好。灯箱透光性均匀，美观大方，胶接牢固等。 </w:t>
      </w:r>
    </w:p>
    <w:p>
      <w:pPr>
        <w:keepNext w:val="0"/>
        <w:keepLines w:val="0"/>
        <w:pageBreakBefore w:val="0"/>
        <w:kinsoku/>
        <w:wordWrap/>
        <w:overflowPunct/>
        <w:topLinePunct w:val="0"/>
        <w:autoSpaceDE/>
        <w:autoSpaceDN/>
        <w:bidi w:val="0"/>
        <w:spacing w:line="520" w:lineRule="exact"/>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7.场地布置竣工时间：</w:t>
      </w:r>
      <w:r>
        <w:rPr>
          <w:rFonts w:hint="eastAsia" w:ascii="宋体" w:hAnsi="宋体" w:cs="宋体"/>
          <w:color w:val="auto"/>
          <w:sz w:val="24"/>
          <w:szCs w:val="24"/>
          <w:highlight w:val="none"/>
          <w:lang w:val="en-US" w:eastAsia="zh-CN"/>
        </w:rPr>
        <w:t>每场活动举办当日</w:t>
      </w:r>
      <w:r>
        <w:rPr>
          <w:rFonts w:hint="eastAsia" w:ascii="宋体" w:hAnsi="宋体" w:eastAsia="宋体" w:cs="宋体"/>
          <w:color w:val="auto"/>
          <w:sz w:val="24"/>
          <w:szCs w:val="24"/>
          <w:highlight w:val="none"/>
        </w:rPr>
        <w:t xml:space="preserve">中午12:00前完成所有场地布置并验收合格。 </w:t>
      </w:r>
    </w:p>
    <w:p>
      <w:pPr>
        <w:keepNext w:val="0"/>
        <w:keepLines w:val="0"/>
        <w:pageBreakBefore w:val="0"/>
        <w:kinsoku/>
        <w:wordWrap/>
        <w:overflowPunct/>
        <w:topLinePunct w:val="0"/>
        <w:autoSpaceDE/>
        <w:autoSpaceDN/>
        <w:bidi w:val="0"/>
        <w:spacing w:line="520" w:lineRule="exact"/>
        <w:ind w:left="479" w:leftChars="228"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8.服务标准、效率：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（1）服务标准：设计和施工满足采购人要求，符合我国相关技术规范和质量标准；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（2）服务效率：根据采购人要求及时修改方案、及时施工、及时响应。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9.总体要求风格大气、国际化、简洁不失品味，让人眼前一亮。设计新颖、特色鲜明、主题突出、颜色搭配适当，既要合理布局，又要确保内容丰富全面。 </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10.本次活动形成的设计方案、视频等知识产权归属采购人所有。</w:t>
      </w:r>
    </w:p>
    <w:p>
      <w:pPr>
        <w:keepNext w:val="0"/>
        <w:keepLines w:val="0"/>
        <w:pageBreakBefore w:val="0"/>
        <w:kinsoku/>
        <w:wordWrap/>
        <w:overflowPunct/>
        <w:topLinePunct w:val="0"/>
        <w:autoSpaceDE/>
        <w:autoSpaceDN/>
        <w:bidi w:val="0"/>
        <w:spacing w:line="52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11.活动现场须包含与江苏省城市足球联赛相关的宣传内容等。</w:t>
      </w:r>
    </w:p>
    <w:p>
      <w:pPr>
        <w:pStyle w:val="2"/>
        <w:keepNext w:val="0"/>
        <w:keepLines w:val="0"/>
        <w:pageBreakBefore w:val="0"/>
        <w:kinsoku/>
        <w:wordWrap/>
        <w:overflowPunct/>
        <w:topLinePunct w:val="0"/>
        <w:autoSpaceDE/>
        <w:autoSpaceDN/>
        <w:bidi w:val="0"/>
        <w:spacing w:line="520" w:lineRule="exact"/>
        <w:ind w:left="0" w:leftChars="0" w:firstLine="0" w:firstLineChars="0"/>
        <w:rPr>
          <w:rFonts w:hint="eastAsia" w:ascii="宋体" w:hAnsi="宋体" w:eastAsia="宋体" w:cs="宋体"/>
          <w:b/>
          <w:bCs/>
          <w:color w:val="auto"/>
          <w:kern w:val="2"/>
          <w:sz w:val="24"/>
          <w:szCs w:val="24"/>
          <w:highlight w:val="none"/>
          <w:lang w:eastAsia="zh-CN"/>
        </w:rPr>
      </w:pPr>
      <w:r>
        <w:rPr>
          <w:rFonts w:hint="eastAsia" w:ascii="宋体" w:hAnsi="宋体" w:cs="宋体"/>
          <w:b/>
          <w:bCs/>
          <w:color w:val="auto"/>
          <w:kern w:val="2"/>
          <w:sz w:val="24"/>
          <w:szCs w:val="24"/>
          <w:highlight w:val="none"/>
          <w:lang w:val="en-US" w:eastAsia="zh-CN"/>
        </w:rPr>
        <w:t>九</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rPr>
        <w:t>采购需求中必须满足的实质性要求（请单独列出）</w:t>
      </w:r>
      <w:r>
        <w:rPr>
          <w:rFonts w:hint="eastAsia" w:ascii="宋体" w:hAnsi="宋体" w:eastAsia="宋体" w:cs="宋体"/>
          <w:b/>
          <w:bCs/>
          <w:color w:val="auto"/>
          <w:kern w:val="2"/>
          <w:sz w:val="24"/>
          <w:szCs w:val="24"/>
          <w:highlight w:val="none"/>
          <w:lang w:eastAsia="zh-CN"/>
        </w:rPr>
        <w:t>：</w:t>
      </w:r>
    </w:p>
    <w:p>
      <w:pPr>
        <w:pStyle w:val="16"/>
        <w:numPr>
          <w:ilvl w:val="0"/>
          <w:numId w:val="0"/>
        </w:numPr>
        <w:tabs>
          <w:tab w:val="left" w:pos="0"/>
        </w:tabs>
        <w:snapToGrid w:val="0"/>
        <w:spacing w:before="120" w:beforeAutospacing="0" w:after="120" w:afterAutospacing="0" w:line="360" w:lineRule="auto"/>
        <w:ind w:leftChars="0" w:right="0" w:rightChars="0" w:firstLine="482" w:firstLineChars="200"/>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rPr>
        <w:t>本项目第三章项目需求所有内容均为</w:t>
      </w:r>
      <w:r>
        <w:rPr>
          <w:rFonts w:hint="eastAsia" w:ascii="宋体" w:hAnsi="宋体" w:eastAsia="宋体" w:cs="宋体"/>
          <w:b/>
          <w:bCs/>
          <w:color w:val="auto"/>
          <w:kern w:val="2"/>
          <w:sz w:val="24"/>
          <w:szCs w:val="24"/>
          <w:highlight w:val="none"/>
        </w:rPr>
        <w:t>必须满足的实质性要求</w:t>
      </w:r>
      <w:r>
        <w:rPr>
          <w:rFonts w:hint="eastAsia" w:ascii="宋体" w:hAnsi="宋体" w:eastAsia="宋体" w:cs="宋体"/>
          <w:b/>
          <w:bCs/>
          <w:color w:val="auto"/>
          <w:kern w:val="2"/>
          <w:sz w:val="24"/>
          <w:szCs w:val="24"/>
          <w:highlight w:val="none"/>
          <w:lang w:eastAsia="zh-CN"/>
        </w:rPr>
        <w:t>。</w:t>
      </w:r>
    </w:p>
    <w:p>
      <w:pPr>
        <w:pStyle w:val="16"/>
        <w:numPr>
          <w:ilvl w:val="0"/>
          <w:numId w:val="0"/>
        </w:numPr>
        <w:tabs>
          <w:tab w:val="left" w:pos="0"/>
        </w:tabs>
        <w:snapToGrid w:val="0"/>
        <w:spacing w:before="120" w:beforeAutospacing="0" w:after="120" w:afterAutospacing="0" w:line="360" w:lineRule="auto"/>
        <w:ind w:leftChars="0" w:right="0" w:rightChars="0"/>
        <w:rPr>
          <w:rFonts w:hint="eastAsia" w:ascii="宋体" w:hAnsi="宋体" w:eastAsia="宋体" w:cs="宋体"/>
          <w:b/>
          <w:bCs/>
          <w:color w:val="auto"/>
          <w:kern w:val="2"/>
          <w:sz w:val="24"/>
          <w:szCs w:val="24"/>
          <w:highlight w:val="none"/>
        </w:rPr>
      </w:pPr>
      <w:r>
        <w:rPr>
          <w:rFonts w:hint="eastAsia" w:hAnsi="宋体" w:cs="宋体"/>
          <w:b/>
          <w:bCs/>
          <w:color w:val="auto"/>
          <w:kern w:val="2"/>
          <w:sz w:val="24"/>
          <w:szCs w:val="24"/>
          <w:highlight w:val="none"/>
          <w:lang w:val="en-US" w:eastAsia="zh-CN"/>
        </w:rPr>
        <w:t>十</w:t>
      </w:r>
      <w:r>
        <w:rPr>
          <w:rFonts w:hint="eastAsia" w:ascii="宋体" w:hAnsi="宋体" w:eastAsia="宋体" w:cs="宋体"/>
          <w:b/>
          <w:bCs/>
          <w:color w:val="auto"/>
          <w:kern w:val="2"/>
          <w:sz w:val="24"/>
          <w:szCs w:val="24"/>
          <w:highlight w:val="none"/>
          <w:lang w:val="en-US" w:eastAsia="zh-CN"/>
        </w:rPr>
        <w:t>、</w:t>
      </w:r>
      <w:r>
        <w:rPr>
          <w:rFonts w:hint="eastAsia" w:ascii="宋体" w:hAnsi="宋体" w:eastAsia="宋体" w:cs="宋体"/>
          <w:b/>
          <w:bCs/>
          <w:color w:val="auto"/>
          <w:kern w:val="2"/>
          <w:sz w:val="24"/>
          <w:szCs w:val="24"/>
          <w:highlight w:val="none"/>
        </w:rPr>
        <w:t>付款方式</w:t>
      </w:r>
    </w:p>
    <w:p>
      <w:pPr>
        <w:keepNext w:val="0"/>
        <w:keepLines w:val="0"/>
        <w:pageBreakBefore w:val="0"/>
        <w:widowControl/>
        <w:shd w:val="solid" w:color="FFFFFF" w:fill="auto"/>
        <w:kinsoku/>
        <w:wordWrap/>
        <w:overflowPunct/>
        <w:topLinePunct w:val="0"/>
        <w:autoSpaceDE/>
        <w:autoSpaceDN/>
        <w:bidi w:val="0"/>
        <w:spacing w:before="75" w:after="75"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1.签订合同后支付合同总额</w:t>
      </w:r>
      <w:r>
        <w:rPr>
          <w:rFonts w:hint="eastAsia" w:ascii="宋体" w:hAnsi="宋体" w:cs="宋体"/>
          <w:bCs/>
          <w:color w:val="auto"/>
          <w:sz w:val="24"/>
          <w:szCs w:val="24"/>
          <w:highlight w:val="none"/>
        </w:rPr>
        <w:t>（签约预估价）</w:t>
      </w:r>
      <w:r>
        <w:rPr>
          <w:rFonts w:hint="eastAsia" w:ascii="宋体" w:hAnsi="宋体" w:eastAsia="宋体" w:cs="宋体"/>
          <w:bCs/>
          <w:color w:val="auto"/>
          <w:sz w:val="24"/>
          <w:szCs w:val="24"/>
          <w:highlight w:val="none"/>
          <w:lang w:val="en-US" w:eastAsia="zh-CN"/>
        </w:rPr>
        <w:t>的30%。</w:t>
      </w:r>
    </w:p>
    <w:p>
      <w:pPr>
        <w:keepNext w:val="0"/>
        <w:keepLines w:val="0"/>
        <w:pageBreakBefore w:val="0"/>
        <w:widowControl/>
        <w:shd w:val="solid" w:color="FFFFFF" w:fill="auto"/>
        <w:kinsoku/>
        <w:wordWrap/>
        <w:overflowPunct/>
        <w:topLinePunct w:val="0"/>
        <w:autoSpaceDE/>
        <w:autoSpaceDN/>
        <w:bidi w:val="0"/>
        <w:spacing w:before="75" w:after="75"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2.由采购人确定的第三方审计机构对活动进行专项审计，审计结果作为结算依据。活动结束后</w:t>
      </w:r>
      <w:r>
        <w:rPr>
          <w:rFonts w:hint="eastAsia" w:ascii="宋体" w:hAnsi="宋体" w:eastAsia="宋体" w:cs="宋体"/>
          <w:bCs/>
          <w:color w:val="auto"/>
          <w:sz w:val="24"/>
          <w:szCs w:val="24"/>
          <w:highlight w:val="none"/>
        </w:rPr>
        <w:t>成交供应商</w:t>
      </w:r>
      <w:r>
        <w:rPr>
          <w:rFonts w:hint="eastAsia" w:ascii="宋体" w:hAnsi="宋体" w:eastAsia="宋体" w:cs="宋体"/>
          <w:bCs/>
          <w:color w:val="auto"/>
          <w:sz w:val="24"/>
          <w:szCs w:val="24"/>
          <w:highlight w:val="none"/>
          <w:lang w:val="en-US" w:eastAsia="zh-CN"/>
        </w:rPr>
        <w:t>提交整体活动流程图文资料，经第三方机构审计结束后支付尾款（审定价扣除已支付金额所剩余的款项）。</w:t>
      </w:r>
    </w:p>
    <w:p>
      <w:pPr>
        <w:keepNext w:val="0"/>
        <w:keepLines w:val="0"/>
        <w:pageBreakBefore w:val="0"/>
        <w:widowControl/>
        <w:shd w:val="solid" w:color="FFFFFF" w:fill="auto"/>
        <w:kinsoku/>
        <w:wordWrap/>
        <w:overflowPunct/>
        <w:topLinePunct w:val="0"/>
        <w:autoSpaceDE/>
        <w:autoSpaceDN/>
        <w:bidi w:val="0"/>
        <w:spacing w:before="75" w:after="75"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3.以上付款均不计利息，每次付款前</w:t>
      </w:r>
      <w:r>
        <w:rPr>
          <w:rFonts w:hint="eastAsia" w:ascii="宋体" w:hAnsi="宋体" w:eastAsia="宋体" w:cs="宋体"/>
          <w:bCs/>
          <w:color w:val="auto"/>
          <w:sz w:val="24"/>
          <w:szCs w:val="24"/>
          <w:highlight w:val="none"/>
        </w:rPr>
        <w:t>成交供应商</w:t>
      </w:r>
      <w:r>
        <w:rPr>
          <w:rFonts w:hint="eastAsia" w:ascii="宋体" w:hAnsi="宋体" w:eastAsia="宋体" w:cs="宋体"/>
          <w:bCs/>
          <w:color w:val="auto"/>
          <w:sz w:val="24"/>
          <w:szCs w:val="24"/>
          <w:highlight w:val="none"/>
          <w:lang w:val="en-US" w:eastAsia="zh-CN"/>
        </w:rPr>
        <w:t>须出具同等金额的正规发票。</w:t>
      </w:r>
    </w:p>
    <w:p>
      <w:pPr>
        <w:rPr>
          <w:color w:val="auto"/>
          <w:highlight w:val="none"/>
        </w:rPr>
      </w:pPr>
    </w:p>
    <w:p>
      <w:pPr>
        <w:rPr>
          <w:rFonts w:hint="eastAsia" w:ascii="宋体" w:hAnsi="宋体" w:eastAsia="宋体" w:cs="宋体"/>
          <w:b/>
          <w:color w:val="auto"/>
          <w:w w:val="80"/>
          <w:kern w:val="44"/>
          <w:sz w:val="44"/>
          <w:szCs w:val="44"/>
          <w:highlight w:val="none"/>
        </w:rPr>
      </w:pPr>
      <w:r>
        <w:rPr>
          <w:rFonts w:hint="eastAsia" w:ascii="宋体" w:hAnsi="宋体" w:eastAsia="宋体" w:cs="宋体"/>
          <w:b/>
          <w:color w:val="auto"/>
          <w:w w:val="80"/>
          <w:kern w:val="44"/>
          <w:sz w:val="44"/>
          <w:szCs w:val="44"/>
          <w:highlight w:val="none"/>
        </w:rPr>
        <w:br w:type="page"/>
      </w:r>
    </w:p>
    <w:p>
      <w:pPr>
        <w:pStyle w:val="16"/>
        <w:numPr>
          <w:ilvl w:val="0"/>
          <w:numId w:val="0"/>
        </w:numPr>
        <w:tabs>
          <w:tab w:val="left" w:pos="0"/>
        </w:tabs>
        <w:snapToGrid w:val="0"/>
        <w:spacing w:before="120" w:beforeAutospacing="0" w:after="120" w:afterAutospacing="0" w:line="360" w:lineRule="auto"/>
        <w:ind w:leftChars="0" w:right="0" w:rightChars="0"/>
        <w:jc w:val="center"/>
        <w:rPr>
          <w:rFonts w:hint="eastAsia" w:ascii="宋体" w:hAnsi="宋体" w:eastAsia="宋体" w:cs="宋体"/>
          <w:color w:val="auto"/>
          <w:w w:val="80"/>
          <w:szCs w:val="44"/>
          <w:highlight w:val="none"/>
        </w:rPr>
      </w:pPr>
      <w:r>
        <w:rPr>
          <w:rFonts w:hint="eastAsia" w:ascii="宋体" w:hAnsi="宋体" w:eastAsia="宋体" w:cs="宋体"/>
          <w:b/>
          <w:color w:val="auto"/>
          <w:w w:val="80"/>
          <w:kern w:val="44"/>
          <w:sz w:val="44"/>
          <w:szCs w:val="44"/>
          <w:highlight w:val="none"/>
        </w:rPr>
        <w:t xml:space="preserve">第四章  </w:t>
      </w:r>
      <w:bookmarkStart w:id="98" w:name="_Toc85627670"/>
      <w:bookmarkStart w:id="99" w:name="_Toc37322565"/>
      <w:bookmarkStart w:id="100" w:name="_Toc43217893"/>
      <w:bookmarkStart w:id="101" w:name="_Toc38121794"/>
      <w:bookmarkStart w:id="102" w:name="_Toc182848996"/>
      <w:r>
        <w:rPr>
          <w:rFonts w:hint="eastAsia" w:ascii="宋体" w:hAnsi="宋体" w:eastAsia="宋体" w:cs="宋体"/>
          <w:b/>
          <w:color w:val="auto"/>
          <w:w w:val="80"/>
          <w:kern w:val="44"/>
          <w:sz w:val="44"/>
          <w:szCs w:val="44"/>
          <w:highlight w:val="none"/>
        </w:rPr>
        <w:t>评审方法和程序</w:t>
      </w:r>
    </w:p>
    <w:bookmarkEnd w:id="98"/>
    <w:bookmarkEnd w:id="99"/>
    <w:bookmarkEnd w:id="100"/>
    <w:bookmarkEnd w:id="101"/>
    <w:bookmarkEnd w:id="102"/>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color w:val="auto"/>
          <w:sz w:val="24"/>
          <w:szCs w:val="24"/>
          <w:highlight w:val="none"/>
          <w:lang w:val="en-US" w:eastAsia="zh-CN"/>
        </w:rPr>
      </w:pPr>
      <w:bookmarkStart w:id="103" w:name="_Toc363573857"/>
      <w:bookmarkEnd w:id="103"/>
      <w:r>
        <w:rPr>
          <w:rFonts w:hint="eastAsia" w:ascii="宋体" w:hAnsi="宋体" w:eastAsia="宋体" w:cs="宋体"/>
          <w:b/>
          <w:color w:val="auto"/>
          <w:sz w:val="24"/>
          <w:szCs w:val="24"/>
          <w:highlight w:val="none"/>
          <w:lang w:val="en-US" w:eastAsia="en-US"/>
        </w:rPr>
        <w:t>一、磋商</w:t>
      </w:r>
      <w:r>
        <w:rPr>
          <w:rFonts w:hint="eastAsia" w:ascii="宋体" w:hAnsi="宋体" w:eastAsia="宋体" w:cs="宋体"/>
          <w:b/>
          <w:color w:val="auto"/>
          <w:sz w:val="24"/>
          <w:szCs w:val="24"/>
          <w:highlight w:val="none"/>
          <w:lang w:val="en-US" w:eastAsia="zh-CN"/>
        </w:rPr>
        <w:t>模式</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en-US"/>
        </w:rPr>
      </w:pPr>
      <w:r>
        <w:rPr>
          <w:rFonts w:hint="eastAsia" w:ascii="宋体" w:hAnsi="宋体" w:eastAsia="宋体" w:cs="宋体"/>
          <w:b w:val="0"/>
          <w:bCs/>
          <w:color w:val="auto"/>
          <w:sz w:val="24"/>
          <w:szCs w:val="24"/>
          <w:highlight w:val="none"/>
          <w:lang w:val="en-US" w:eastAsia="en-US"/>
        </w:rPr>
        <w:t>不见面远程</w:t>
      </w:r>
      <w:r>
        <w:rPr>
          <w:rFonts w:hint="eastAsia" w:ascii="宋体" w:hAnsi="宋体" w:eastAsia="宋体" w:cs="宋体"/>
          <w:b w:val="0"/>
          <w:bCs/>
          <w:color w:val="auto"/>
          <w:sz w:val="24"/>
          <w:szCs w:val="24"/>
          <w:highlight w:val="none"/>
        </w:rPr>
        <w:t>磋商</w:t>
      </w:r>
      <w:r>
        <w:rPr>
          <w:rFonts w:hint="eastAsia" w:ascii="宋体" w:hAnsi="宋体" w:eastAsia="宋体" w:cs="宋体"/>
          <w:b w:val="0"/>
          <w:bCs/>
          <w:color w:val="auto"/>
          <w:sz w:val="24"/>
          <w:szCs w:val="24"/>
          <w:highlight w:val="none"/>
          <w:lang w:val="en-US" w:eastAsia="en-US"/>
        </w:rPr>
        <w:t>模式：开标当天各供应商</w:t>
      </w:r>
      <w:r>
        <w:rPr>
          <w:rFonts w:hint="eastAsia" w:ascii="宋体" w:hAnsi="宋体" w:eastAsia="宋体" w:cs="宋体"/>
          <w:b w:val="0"/>
          <w:bCs/>
          <w:color w:val="auto"/>
          <w:sz w:val="24"/>
          <w:szCs w:val="24"/>
          <w:highlight w:val="none"/>
        </w:rPr>
        <w:t>在各自地点通过</w:t>
      </w:r>
      <w:r>
        <w:rPr>
          <w:rFonts w:hint="eastAsia" w:ascii="宋体" w:hAnsi="宋体" w:eastAsia="宋体" w:cs="宋体"/>
          <w:b w:val="0"/>
          <w:bCs/>
          <w:color w:val="auto"/>
          <w:sz w:val="24"/>
          <w:szCs w:val="24"/>
          <w:highlight w:val="none"/>
          <w:lang w:val="en-US" w:eastAsia="zh-CN"/>
        </w:rPr>
        <w:t>苏采云系统</w:t>
      </w:r>
      <w:r>
        <w:rPr>
          <w:rFonts w:hint="eastAsia" w:ascii="宋体" w:hAnsi="宋体" w:eastAsia="宋体" w:cs="宋体"/>
          <w:b w:val="0"/>
          <w:bCs/>
          <w:color w:val="auto"/>
          <w:sz w:val="24"/>
          <w:szCs w:val="24"/>
          <w:highlight w:val="none"/>
          <w:lang w:val="en-US" w:eastAsia="en-US"/>
        </w:rPr>
        <w:t>及时登录不见面开标大厅</w:t>
      </w:r>
      <w:r>
        <w:rPr>
          <w:rFonts w:hint="eastAsia" w:ascii="宋体" w:hAnsi="宋体" w:eastAsia="宋体" w:cs="宋体"/>
          <w:b w:val="0"/>
          <w:bCs/>
          <w:color w:val="auto"/>
          <w:sz w:val="24"/>
          <w:szCs w:val="24"/>
          <w:highlight w:val="none"/>
          <w:lang w:val="en-US" w:eastAsia="zh-CN"/>
        </w:rPr>
        <w:t>，参加磋商活动</w:t>
      </w:r>
      <w:r>
        <w:rPr>
          <w:rFonts w:hint="eastAsia" w:ascii="宋体" w:hAnsi="宋体" w:eastAsia="宋体" w:cs="宋体"/>
          <w:b w:val="0"/>
          <w:bCs/>
          <w:color w:val="auto"/>
          <w:sz w:val="24"/>
          <w:szCs w:val="24"/>
          <w:highlight w:val="none"/>
          <w:lang w:val="en-US" w:eastAsia="en-US"/>
        </w:rPr>
        <w:t>。</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二、磋商组织及磋商小组职责</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1.本次竞争性磋商依据《中华人民共和国政府采购法》《政府采购竞争性磋商采购方式管理暂行办法》及有关法规成立磋商小组。磋商小组由采购人代表和评审专家共3人及以上单数组成。</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2.磋商小组的职责：</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（2）磋商文件内容违反国家有关强制性规定的，磋商小组应当停止评审并向采购人或者采购代理机构说明情况</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（3）磋商小组成员应当遵守评审工作纪律，不得泄露评审情况和评审中获悉的商业秘密，对个人的评审意见承担法律责任；</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（4）磋商小组成员在评审过程中发现供应商有行贿、提供虚假材料或者串通等违法行为的，应当及时向财政部门报告。</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（5）磋商小组成员在评审过程中受到非法干涉的，应当及时向财政、监察等部门举报。</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（6）配合采购人答复供应商提出的质疑；配合财政部门的投诉处理和监督检查工作。</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3.评审有关记录由磋商小组成员签名，存档备查。</w:t>
      </w:r>
    </w:p>
    <w:p>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、评审步骤</w:t>
      </w:r>
    </w:p>
    <w:p>
      <w:pPr>
        <w:keepNext w:val="0"/>
        <w:keepLines w:val="0"/>
        <w:pageBreakBefore w:val="0"/>
        <w:kinsoku/>
        <w:wordWrap/>
        <w:overflowPunct/>
        <w:topLinePunct w:val="0"/>
        <w:autoSpaceDE/>
        <w:autoSpaceDN/>
        <w:bidi w:val="0"/>
        <w:adjustRightInd/>
        <w:spacing w:line="360" w:lineRule="auto"/>
        <w:ind w:firstLine="494"/>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第一阶段：</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zh-CN"/>
        </w:rPr>
        <w:t>对每个供应商的资格进行审查。</w:t>
      </w:r>
      <w:r>
        <w:rPr>
          <w:rFonts w:hint="eastAsia" w:ascii="宋体" w:hAnsi="宋体" w:eastAsia="宋体" w:cs="宋体"/>
          <w:color w:val="auto"/>
          <w:sz w:val="24"/>
          <w:szCs w:val="24"/>
          <w:highlight w:val="none"/>
          <w:lang w:val="en-US" w:eastAsia="en-US"/>
        </w:rPr>
        <w:t>供应商资格不合格的，其响应文件判定为无效响应文件。</w:t>
      </w:r>
    </w:p>
    <w:p>
      <w:pPr>
        <w:keepNext w:val="0"/>
        <w:keepLines w:val="0"/>
        <w:pageBreakBefore w:val="0"/>
        <w:kinsoku/>
        <w:wordWrap/>
        <w:overflowPunct/>
        <w:topLinePunct w:val="0"/>
        <w:autoSpaceDE/>
        <w:autoSpaceDN/>
        <w:bidi w:val="0"/>
        <w:adjustRightInd/>
        <w:spacing w:line="360" w:lineRule="auto"/>
        <w:ind w:firstLine="494"/>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第二阶段：</w:t>
      </w:r>
      <w:r>
        <w:rPr>
          <w:rFonts w:hint="eastAsia" w:ascii="宋体" w:hAnsi="宋体" w:eastAsia="宋体" w:cs="宋体"/>
          <w:color w:val="auto"/>
          <w:sz w:val="24"/>
          <w:szCs w:val="24"/>
          <w:highlight w:val="none"/>
          <w:lang w:val="en-US" w:eastAsia="en-US"/>
        </w:rPr>
        <w:t>依据磋商文件的规定，由磋商小组</w:t>
      </w:r>
      <w:r>
        <w:rPr>
          <w:rFonts w:hint="eastAsia" w:ascii="宋体" w:hAnsi="宋体" w:eastAsia="宋体" w:cs="宋体"/>
          <w:color w:val="auto"/>
          <w:sz w:val="24"/>
          <w:szCs w:val="24"/>
          <w:highlight w:val="none"/>
          <w:lang w:val="zh-CN"/>
        </w:rPr>
        <w:t>对每个符合资格要求的供应商</w:t>
      </w:r>
      <w:r>
        <w:rPr>
          <w:rFonts w:hint="eastAsia" w:ascii="宋体" w:hAnsi="宋体" w:eastAsia="宋体" w:cs="宋体"/>
          <w:color w:val="auto"/>
          <w:sz w:val="24"/>
          <w:szCs w:val="24"/>
          <w:highlight w:val="none"/>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 </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zh-CN"/>
        </w:rPr>
        <w:t>结束后，</w:t>
      </w:r>
      <w:r>
        <w:rPr>
          <w:rFonts w:hint="eastAsia" w:ascii="宋体" w:hAnsi="宋体" w:eastAsia="宋体" w:cs="宋体"/>
          <w:bCs/>
          <w:color w:val="auto"/>
          <w:sz w:val="24"/>
          <w:szCs w:val="24"/>
          <w:highlight w:val="none"/>
          <w:lang w:val="en-US" w:eastAsia="en-US"/>
        </w:rPr>
        <w:t>系统进入报价环节</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磋商程序见本章第四条</w:t>
      </w:r>
      <w:r>
        <w:rPr>
          <w:rFonts w:hint="eastAsia" w:ascii="宋体" w:hAnsi="宋体" w:eastAsia="宋体" w:cs="宋体"/>
          <w:color w:val="auto"/>
          <w:sz w:val="24"/>
          <w:szCs w:val="24"/>
          <w:highlight w:val="none"/>
          <w:lang w:val="zh-CN"/>
        </w:rPr>
        <w:t>）。</w:t>
      </w:r>
    </w:p>
    <w:p>
      <w:pPr>
        <w:keepNext w:val="0"/>
        <w:keepLines w:val="0"/>
        <w:pageBreakBefore w:val="0"/>
        <w:kinsoku/>
        <w:wordWrap/>
        <w:overflowPunct/>
        <w:topLinePunct w:val="0"/>
        <w:autoSpaceDE/>
        <w:autoSpaceDN/>
        <w:bidi w:val="0"/>
        <w:adjustRightInd/>
        <w:spacing w:line="360" w:lineRule="auto"/>
        <w:ind w:firstLine="555"/>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lang w:val="zh-CN"/>
        </w:rPr>
        <w:t>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val="zh-CN"/>
        </w:rPr>
        <w:t>阶段：</w:t>
      </w:r>
      <w:r>
        <w:rPr>
          <w:rFonts w:hint="eastAsia" w:ascii="宋体" w:hAnsi="宋体" w:eastAsia="宋体" w:cs="宋体"/>
          <w:bCs/>
          <w:color w:val="auto"/>
          <w:sz w:val="24"/>
          <w:szCs w:val="24"/>
          <w:highlight w:val="none"/>
          <w:lang w:val="en-US" w:eastAsia="en-US"/>
        </w:rPr>
        <w:t>系统最后报价环节结束后，磋商小组对响应报价的供应商进行商务技术部分评审。</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lang w:val="en-US" w:eastAsia="en-US"/>
        </w:rPr>
        <w:t>、</w:t>
      </w:r>
      <w:r>
        <w:rPr>
          <w:rFonts w:hint="eastAsia" w:ascii="宋体" w:hAnsi="宋体" w:eastAsia="宋体" w:cs="宋体"/>
          <w:b/>
          <w:bCs w:val="0"/>
          <w:color w:val="auto"/>
          <w:sz w:val="24"/>
          <w:szCs w:val="24"/>
          <w:highlight w:val="none"/>
          <w:lang w:val="en-US" w:eastAsia="zh-CN"/>
        </w:rPr>
        <w:t>磋商程序</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w:t>
      </w:r>
      <w:r>
        <w:rPr>
          <w:rFonts w:hint="eastAsia" w:ascii="宋体" w:hAnsi="宋体" w:eastAsia="宋体" w:cs="宋体"/>
          <w:b/>
          <w:bCs/>
          <w:color w:val="auto"/>
          <w:sz w:val="24"/>
          <w:szCs w:val="24"/>
          <w:highlight w:val="none"/>
          <w:u w:val="single"/>
        </w:rPr>
        <w:t>采购需求中的技术、服务要求以及合同草案条款。</w:t>
      </w:r>
      <w:r>
        <w:rPr>
          <w:rFonts w:hint="eastAsia" w:ascii="宋体" w:hAnsi="宋体" w:eastAsia="宋体" w:cs="宋体"/>
          <w:color w:val="auto"/>
          <w:sz w:val="24"/>
          <w:szCs w:val="24"/>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 w:val="0"/>
          <w:bCs/>
          <w:color w:val="auto"/>
          <w:sz w:val="24"/>
          <w:szCs w:val="24"/>
          <w:highlight w:val="none"/>
          <w:lang w:val="en-US" w:eastAsia="en-US"/>
        </w:rPr>
        <w:t>在</w:t>
      </w:r>
      <w:r>
        <w:rPr>
          <w:rFonts w:hint="eastAsia" w:ascii="宋体" w:hAnsi="宋体" w:eastAsia="宋体" w:cs="宋体"/>
          <w:b/>
          <w:bCs w:val="0"/>
          <w:color w:val="auto"/>
          <w:sz w:val="24"/>
          <w:szCs w:val="24"/>
          <w:highlight w:val="none"/>
          <w:lang w:val="en-US" w:eastAsia="zh-CN"/>
        </w:rPr>
        <w:t>15</w:t>
      </w:r>
      <w:r>
        <w:rPr>
          <w:rFonts w:hint="eastAsia" w:ascii="宋体" w:hAnsi="宋体" w:eastAsia="宋体" w:cs="宋体"/>
          <w:b/>
          <w:bCs w:val="0"/>
          <w:color w:val="auto"/>
          <w:sz w:val="24"/>
          <w:szCs w:val="24"/>
          <w:highlight w:val="none"/>
          <w:lang w:val="en-US" w:eastAsia="en-US"/>
        </w:rPr>
        <w:t>分钟内</w:t>
      </w:r>
      <w:r>
        <w:rPr>
          <w:rFonts w:hint="eastAsia" w:ascii="宋体" w:hAnsi="宋体" w:eastAsia="宋体" w:cs="宋体"/>
          <w:color w:val="auto"/>
          <w:sz w:val="24"/>
          <w:szCs w:val="24"/>
          <w:highlight w:val="none"/>
        </w:rPr>
        <w:t>提交最后报价。</w:t>
      </w:r>
    </w:p>
    <w:p>
      <w:pPr>
        <w:tabs>
          <w:tab w:val="left" w:pos="900"/>
        </w:tabs>
        <w:spacing w:after="145" w:afterLines="5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采购人</w:t>
      </w:r>
      <w:r>
        <w:rPr>
          <w:rFonts w:hint="eastAsia" w:ascii="宋体" w:hAnsi="宋体" w:eastAsia="宋体" w:cs="宋体"/>
          <w:b/>
          <w:color w:val="auto"/>
          <w:sz w:val="24"/>
          <w:szCs w:val="24"/>
          <w:highlight w:val="none"/>
        </w:rPr>
        <w:t>不接受供应商高于自己前一轮的磋商报价</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在磋商中，磋商的任何一方不得透露与磋商有关的其他响应磋商的供应商的技术资料、价格及其他信息。</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lang w:val="en-US" w:eastAsia="en-US"/>
        </w:rPr>
        <w:t>评审方法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lang w:val="en-US" w:eastAsia="en-US"/>
        </w:rPr>
        <w:t>评审方法</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综合评分法</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经磋商确定最终采购需求和提交最后报价的供应商后，由磋商小组采用综合评分法对系统提交最后报价</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lang w:val="en-US" w:eastAsia="en-US"/>
        </w:rPr>
        <w:t>供应商的</w:t>
      </w:r>
      <w:r>
        <w:rPr>
          <w:rFonts w:hint="eastAsia" w:ascii="宋体" w:hAnsi="宋体" w:eastAsia="宋体" w:cs="宋体"/>
          <w:bCs/>
          <w:color w:val="auto"/>
          <w:sz w:val="24"/>
          <w:szCs w:val="24"/>
          <w:highlight w:val="none"/>
          <w:lang w:val="en-US" w:eastAsia="zh-CN"/>
        </w:rPr>
        <w:t>响应文件和最后报价</w:t>
      </w:r>
      <w:r>
        <w:rPr>
          <w:rFonts w:hint="eastAsia" w:ascii="宋体" w:hAnsi="宋体" w:eastAsia="宋体" w:cs="宋体"/>
          <w:bCs/>
          <w:color w:val="auto"/>
          <w:sz w:val="24"/>
          <w:szCs w:val="24"/>
          <w:highlight w:val="none"/>
          <w:lang w:val="en-US" w:eastAsia="en-US"/>
        </w:rPr>
        <w:t>进行综合评分。</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en-US"/>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auto"/>
          <w:sz w:val="24"/>
          <w:szCs w:val="24"/>
          <w:highlight w:val="none"/>
        </w:rPr>
        <w:t>（计算结果均四舍五入保留两位小数）。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3.本次项目磋商的商务技术和报价评审总分值为100分。两部分评审因素比重如下： </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商务技术分</w:t>
      </w:r>
      <w:r>
        <w:rPr>
          <w:rFonts w:hint="eastAsia" w:ascii="宋体" w:hAnsi="宋体" w:eastAsia="宋体" w:cs="宋体"/>
          <w:color w:val="auto"/>
          <w:sz w:val="24"/>
          <w:szCs w:val="24"/>
          <w:highlight w:val="none"/>
        </w:rPr>
        <w:t>值占总分值的比重为</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0%（权重）</w:t>
      </w:r>
      <w:r>
        <w:rPr>
          <w:rFonts w:hint="eastAsia" w:ascii="宋体" w:hAnsi="宋体" w:eastAsia="宋体" w:cs="宋体"/>
          <w:color w:val="auto"/>
          <w:sz w:val="24"/>
          <w:szCs w:val="24"/>
          <w:highlight w:val="none"/>
        </w:rPr>
        <w:t>（四舍五入保留两位小数）；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报价分值占总分值的比重为</w:t>
      </w:r>
      <w:r>
        <w:rPr>
          <w:rFonts w:hint="eastAsia" w:ascii="宋体" w:hAnsi="宋体" w:eastAsia="宋体" w:cs="宋体"/>
          <w:b/>
          <w:color w:val="auto"/>
          <w:sz w:val="24"/>
          <w:szCs w:val="24"/>
          <w:highlight w:val="none"/>
          <w:u w:val="single"/>
          <w:lang w:val="en-US" w:eastAsia="zh-CN"/>
        </w:rPr>
        <w:t>1</w:t>
      </w:r>
      <w:r>
        <w:rPr>
          <w:rFonts w:hint="eastAsia" w:ascii="宋体" w:hAnsi="宋体" w:eastAsia="宋体" w:cs="宋体"/>
          <w:b/>
          <w:color w:val="auto"/>
          <w:sz w:val="24"/>
          <w:szCs w:val="24"/>
          <w:highlight w:val="none"/>
          <w:u w:val="single"/>
        </w:rPr>
        <w:t>0%（权重）</w:t>
      </w:r>
      <w:r>
        <w:rPr>
          <w:rFonts w:hint="eastAsia" w:ascii="宋体" w:hAnsi="宋体" w:eastAsia="宋体" w:cs="宋体"/>
          <w:color w:val="auto"/>
          <w:sz w:val="24"/>
          <w:szCs w:val="24"/>
          <w:highlight w:val="none"/>
        </w:rPr>
        <w:t>（四舍五入保留两位小数）。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商务技术分</w:t>
      </w:r>
      <w:r>
        <w:rPr>
          <w:rFonts w:hint="eastAsia" w:ascii="宋体" w:hAnsi="宋体" w:eastAsia="宋体" w:cs="宋体"/>
          <w:color w:val="auto"/>
          <w:sz w:val="24"/>
          <w:szCs w:val="24"/>
          <w:highlight w:val="none"/>
        </w:rPr>
        <w:t>按算术平均值计算，分值四舍五入保留两位小数。</w:t>
      </w:r>
    </w:p>
    <w:p>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Cs/>
          <w:color w:val="auto"/>
          <w:sz w:val="24"/>
          <w:szCs w:val="24"/>
          <w:highlight w:val="none"/>
          <w:lang w:val="en-US" w:eastAsia="en-US"/>
        </w:rPr>
        <w:t>供应商价格部分和商务技术部分的合计分值，为该供应商的评审总得分</w:t>
      </w:r>
      <w:r>
        <w:rPr>
          <w:rFonts w:hint="eastAsia" w:ascii="宋体" w:hAnsi="宋体" w:eastAsia="宋体" w:cs="宋体"/>
          <w:color w:val="auto"/>
          <w:sz w:val="24"/>
          <w:szCs w:val="24"/>
          <w:highlight w:val="none"/>
        </w:rPr>
        <w:t>（四舍五入保留两位小数）。</w:t>
      </w:r>
    </w:p>
    <w:p>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评委在认真审阅响应文件的基础上，根据各响应文件的响应程度独立评判，不得统一打分</w:t>
      </w:r>
      <w:r>
        <w:rPr>
          <w:rFonts w:hint="eastAsia" w:ascii="宋体" w:hAnsi="宋体" w:eastAsia="宋体" w:cs="宋体"/>
          <w:color w:val="auto"/>
          <w:sz w:val="24"/>
          <w:szCs w:val="24"/>
          <w:highlight w:val="none"/>
          <w:lang w:val="en-US" w:eastAsia="en-US"/>
        </w:rPr>
        <w:t>。</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lang w:val="en-US" w:eastAsia="en-US"/>
        </w:rPr>
        <w:t>、综合评分评审标准</w:t>
      </w:r>
    </w:p>
    <w:p>
      <w:pPr>
        <w:keepNext w:val="0"/>
        <w:keepLines w:val="0"/>
        <w:pageBreakBefore w:val="0"/>
        <w:kinsoku/>
        <w:wordWrap/>
        <w:overflowPunct/>
        <w:topLinePunct w:val="0"/>
        <w:autoSpaceDE/>
        <w:autoSpaceDN/>
        <w:bidi w:val="0"/>
        <w:adjustRightInd/>
        <w:spacing w:line="360" w:lineRule="auto"/>
        <w:ind w:firstLine="494"/>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 </w:t>
      </w: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商务技术分（</w:t>
      </w: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lang w:eastAsia="zh-CN"/>
        </w:rPr>
        <w:t>0分）</w:t>
      </w:r>
    </w:p>
    <w:tbl>
      <w:tblPr>
        <w:tblStyle w:val="24"/>
        <w:tblW w:w="896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48"/>
        <w:gridCol w:w="7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Hans" w:bidi="ar-SA"/>
              </w:rPr>
            </w:pPr>
            <w:r>
              <w:rPr>
                <w:rFonts w:hint="eastAsia" w:ascii="宋体" w:hAnsi="宋体" w:eastAsia="宋体" w:cs="宋体"/>
                <w:bCs/>
                <w:strike w:val="0"/>
                <w:dstrike w:val="0"/>
                <w:color w:val="auto"/>
                <w:kern w:val="2"/>
                <w:sz w:val="21"/>
                <w:szCs w:val="21"/>
                <w:highlight w:val="none"/>
                <w:lang w:val="en-US" w:eastAsia="zh-Hans" w:bidi="ar-SA"/>
              </w:rPr>
              <w:t>评审项目</w:t>
            </w:r>
          </w:p>
        </w:tc>
        <w:tc>
          <w:tcPr>
            <w:tcW w:w="7921"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Hans" w:bidi="ar-SA"/>
              </w:rPr>
            </w:pPr>
            <w:r>
              <w:rPr>
                <w:rFonts w:hint="eastAsia" w:ascii="宋体" w:hAnsi="宋体" w:eastAsia="宋体" w:cs="宋体"/>
                <w:bCs/>
                <w:strike w:val="0"/>
                <w:dstrike w:val="0"/>
                <w:color w:val="auto"/>
                <w:kern w:val="2"/>
                <w:sz w:val="21"/>
                <w:szCs w:val="21"/>
                <w:highlight w:val="none"/>
                <w:lang w:val="en-US" w:eastAsia="zh-Hans" w:bidi="ar-SA"/>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048" w:type="dxa"/>
            <w:vMerge w:val="restart"/>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前期筹备及氛围布置方案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25分</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前期筹备工作方案（3分）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供应商提供的啤酒嘉年华前期筹备工作方案，在充分了解活动主题、内容的基础上，制定啤酒嘉年华方案活动内容。</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前期筹备工作完善，与活动主题、内容充分契合，得3分；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前期筹备工作基本完整，符合活动主题，得2分；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前期筹备工作完整度一般，未能较好体现活动主题，得1分；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3"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规划布置方案（7分）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根据项目需求对活动地点进行选择并做相应规划布置。</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bookmarkStart w:id="104" w:name="OLE_LINK3"/>
            <w:r>
              <w:rPr>
                <w:rFonts w:hint="eastAsia" w:ascii="宋体" w:hAnsi="宋体" w:eastAsia="宋体" w:cs="宋体"/>
                <w:bCs/>
                <w:strike w:val="0"/>
                <w:dstrike w:val="0"/>
                <w:color w:val="auto"/>
                <w:kern w:val="2"/>
                <w:sz w:val="21"/>
                <w:szCs w:val="21"/>
                <w:highlight w:val="none"/>
                <w:lang w:val="en-US" w:eastAsia="zh-CN" w:bidi="ar-SA"/>
              </w:rPr>
              <w:t>地点选择符合要求，</w:t>
            </w:r>
            <w:bookmarkEnd w:id="104"/>
            <w:r>
              <w:rPr>
                <w:rFonts w:hint="eastAsia" w:ascii="宋体" w:hAnsi="宋体" w:eastAsia="宋体" w:cs="宋体"/>
                <w:bCs/>
                <w:strike w:val="0"/>
                <w:dstrike w:val="0"/>
                <w:color w:val="auto"/>
                <w:kern w:val="2"/>
                <w:sz w:val="21"/>
                <w:szCs w:val="21"/>
                <w:highlight w:val="none"/>
                <w:lang w:val="en-US" w:eastAsia="zh-CN" w:bidi="ar-SA"/>
              </w:rPr>
              <w:t>规划布置合理，氛围营造及入场道路指引完善，啤酒嘉年华氛围主旨突出、重要环节突出现场气氛，美观舒适，得7分；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地点选择符合要求，规划布置较合理，有氛围营造及入场道路指引，能够体现啤酒嘉年华氛围主旨，美观舒适，得4分；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地点选择符合要求，但规划布置一般，活动氛围未能很好地体现，得1分；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活动地点选择不符合项目需求的要求或未提供本项方案的不得分。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5"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物料配置（5分）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供应商提供相关氛围物料制作及搭建方案，包括但不限于舞台、主屏、音响、创意道具等。</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现场物料设计方案完整全面，与主题呼应度高，科学新颖且吸引力强为优，得5分；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现场物料设计方案较完整，与主题呼应度较高，吸引力较强为良，得3分；</w:t>
            </w:r>
          </w:p>
          <w:p>
            <w:pPr>
              <w:pStyle w:val="7"/>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bCs/>
                <w:strike w:val="0"/>
                <w:dstrike w:val="0"/>
                <w:color w:val="auto"/>
                <w:kern w:val="2"/>
                <w:sz w:val="21"/>
                <w:szCs w:val="21"/>
                <w:highlight w:val="none"/>
                <w:lang w:val="en-US" w:eastAsia="zh-CN" w:bidi="ar-SA"/>
              </w:rPr>
              <w:t>现场物料设计方案不完整，与主题不呼应或未提供为差，不得分。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5"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人员配置（5分）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为本项目提供专业的策划执行团队，包括但不限于策划执行人员、主持人、技术人员、场控人员等。</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策划执行团队各专业配备完善，且有丰富的大型活动经验，得5分；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策划执行团队各专业配备较完善，有大型活动经验，得3分；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策划执行团队各专业配备一般，得1分；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50"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平面设计、场景设计、推广视觉设计方案（5分）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供应商提供活动所需</w:t>
            </w:r>
            <w:r>
              <w:rPr>
                <w:rFonts w:hint="eastAsia" w:ascii="宋体" w:hAnsi="宋体" w:eastAsia="宋体" w:cs="宋体"/>
                <w:bCs/>
                <w:strike w:val="0"/>
                <w:dstrike w:val="0"/>
                <w:color w:val="auto"/>
                <w:kern w:val="2"/>
                <w:sz w:val="21"/>
                <w:szCs w:val="21"/>
                <w:highlight w:val="none"/>
                <w:lang w:val="zh-CN" w:eastAsia="zh-CN" w:bidi="ar-SA"/>
              </w:rPr>
              <w:t>主视觉</w:t>
            </w:r>
            <w:r>
              <w:rPr>
                <w:rFonts w:hint="eastAsia" w:ascii="宋体" w:hAnsi="宋体" w:eastAsia="宋体" w:cs="宋体"/>
                <w:bCs/>
                <w:strike w:val="0"/>
                <w:dstrike w:val="0"/>
                <w:color w:val="auto"/>
                <w:kern w:val="2"/>
                <w:sz w:val="21"/>
                <w:szCs w:val="21"/>
                <w:highlight w:val="none"/>
                <w:lang w:val="en-US" w:eastAsia="zh-CN" w:bidi="ar-SA"/>
              </w:rPr>
              <w:t>方案及其他设计延展方案，在活动现场营造活动氛围。</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zh-CN" w:eastAsia="zh-CN" w:bidi="ar-SA"/>
              </w:rPr>
              <w:t>主视觉</w:t>
            </w:r>
            <w:r>
              <w:rPr>
                <w:rFonts w:hint="eastAsia" w:ascii="宋体" w:hAnsi="宋体" w:eastAsia="宋体" w:cs="宋体"/>
                <w:bCs/>
                <w:strike w:val="0"/>
                <w:dstrike w:val="0"/>
                <w:color w:val="auto"/>
                <w:kern w:val="2"/>
                <w:sz w:val="21"/>
                <w:szCs w:val="21"/>
                <w:highlight w:val="none"/>
                <w:lang w:val="en-US" w:eastAsia="zh-CN" w:bidi="ar-SA"/>
              </w:rPr>
              <w:t>方案及延展方案设计新颖美观，主题布置方案活动氛围营造度高为优，得5分；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zh-CN" w:eastAsia="zh-CN" w:bidi="ar-SA"/>
              </w:rPr>
              <w:t>主视觉</w:t>
            </w:r>
            <w:r>
              <w:rPr>
                <w:rFonts w:hint="eastAsia" w:ascii="宋体" w:hAnsi="宋体" w:eastAsia="宋体" w:cs="宋体"/>
                <w:bCs/>
                <w:strike w:val="0"/>
                <w:dstrike w:val="0"/>
                <w:color w:val="auto"/>
                <w:kern w:val="2"/>
                <w:sz w:val="21"/>
                <w:szCs w:val="21"/>
                <w:highlight w:val="none"/>
                <w:lang w:val="en-US" w:eastAsia="zh-CN" w:bidi="ar-SA"/>
              </w:rPr>
              <w:t>方案及延展方案设计较美观，主题布置方案活动氛围营造度较高为良，得3分；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zh-CN" w:eastAsia="zh-CN" w:bidi="ar-SA"/>
              </w:rPr>
              <w:t>主视觉</w:t>
            </w:r>
            <w:r>
              <w:rPr>
                <w:rFonts w:hint="eastAsia" w:ascii="宋体" w:hAnsi="宋体" w:eastAsia="宋体" w:cs="宋体"/>
                <w:bCs/>
                <w:strike w:val="0"/>
                <w:dstrike w:val="0"/>
                <w:color w:val="auto"/>
                <w:kern w:val="2"/>
                <w:sz w:val="21"/>
                <w:szCs w:val="21"/>
                <w:highlight w:val="none"/>
                <w:lang w:val="en-US" w:eastAsia="zh-CN" w:bidi="ar-SA"/>
              </w:rPr>
              <w:t>方案及延展方案设计美观度较差，主题布置方案活动氛围营造度差，得1分；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1"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活动整体区域划分方案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10分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活动整体区域划分方案，包括周边区域的设计方案（10分）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根据项目需求及选择的场地进行整体规划布局，包括但不限于转播区、品酒区域、美食区域、乐队表演区域等。此外，现场还须设置多个网红打卡点，提升整体氛围效果。详细方案由供应商自行设计。</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整体规划布局合理，动线流畅。区域划分精准，区域完全满足采购文件面积要求及数量要求，各区域设计能够体现相应区域特色，所有区域均按各自风格提供美化方案及亮化方案。得10分；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整体规划布局较合理，有合适的区域动线。每个区域有设计图，区域特色可以体现，得6分；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整体规划布局一般，有每个区域的设计图，单区域特色未能很好地体现，得2分；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配套活动方案10分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2026第五届南通啤酒嘉年华举办期间，举办亮点人气活动（10分）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活动内容健康，形式新颖有亮点，有吸引力，提供详细活动方案，得10分。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活动内容健康，吸引力较强，活动方案基本完整，得6分。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活动内容健康，吸引力一般，有活动方案，得2分；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 w:hRule="atLeast"/>
        </w:trPr>
        <w:tc>
          <w:tcPr>
            <w:tcW w:w="1048" w:type="dxa"/>
            <w:vMerge w:val="restart"/>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活动保障方案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19分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安全保卫执勤及消防保障方案（5分）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根据活动前期、活动中期、撤展期间定制相对应的安全保卫执勤方案、通信保障及消防响应方案；</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安全保卫执行情方案、通信保障及消防响应方案完善合理、可操作性强，得5分；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安全保卫执行情方案、通信保障及消防响应方案基本合理可操作，得3分；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安全保卫执行情方案、通信保障及消防响应方案一般，得1分；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1"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突发事件应急方案（5分）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突发事件应急方案完善合理，能够有力、高效处置突发事件，为本次活动购买大型活动保险保障度高，得5分；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突发事件应急方案较合理，能够有效的处置突发事件，为本次活动购买大型活动保险保障度较高，得3分；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有突发事件应急方案，能够处置突发事件，为本次活动购买大型活动保险保障度一般，得1分；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9"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卫生保障（6分）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供应商卫生保洁工作人员配备充足，垃圾桶配备充足，临时厕所设施配备充足，能够充分保持活动场地的整洁，垃圾日产日清，及时清运至指定地点，得6分；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供应商卫生保洁工作人员配备、垃圾桶配备、临时厕所设施配备能够基本满足活动需要，能够保持活动场地的整洁，垃圾日产日清，及时清运至指定地点，得4分；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供应商卫生保洁工作人员配备、垃圾桶配备、临时厕所设施配备较少，能够基本保持活动场地的整洁，垃圾日产日清，及时清运至指定地点，得2分；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水电设施配备、交通疏导、停车安排 （3分）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供应商需根据场地的设置合理规划、设置水电，保障各项活动正常开展。合理规划停车区域，并安排人员进行交通疏导，确保活动期间交通顺畅，得3分。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供应商水电设施配备较完善及停车区域规划较合理，得1分；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1"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活动效果保障承诺6分</w:t>
            </w:r>
          </w:p>
        </w:tc>
        <w:tc>
          <w:tcPr>
            <w:tcW w:w="7921" w:type="dxa"/>
            <w:vAlign w:val="center"/>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供应商针对本项目制定的完整的引流方案及提高消费者满意度方案，方案合理可操作性强，得6分；方案较合理可操作，得4分；方案合理性一般，可操作度一般，得2分；未提供不得分。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9" w:hRule="atLeast"/>
        </w:trPr>
        <w:tc>
          <w:tcPr>
            <w:tcW w:w="1048" w:type="dxa"/>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施工工期安排方案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5分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搭建效果保障措施完善、施工工期安排计划表详细合理可行，撤场方案条理清楚，得5分；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搭建效果保障措施较完善、施工工期安排计划及撤场方案可操作，得3分；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有搭建效果保障措施、施工工期安排计划及撤场方案，可操作性一般，得1分；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1048" w:type="dxa"/>
            <w:vMerge w:val="restart"/>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招商方案及定价方案</w:t>
            </w:r>
          </w:p>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15分</w:t>
            </w: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招商方案（10分）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根据本项目制定酒类、餐饮类招商方案，至少招引10个啤酒品类精酿等多种酒类品牌；融合多种餐饮美食元素。</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招商品类完整、知名度高、餐饮美食元素多样，得10分；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招商品类较完整、知名度较高、有多重餐饮美食元素，得6分；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招商品类少、知名度一般、餐饮美食元素较单一，得2分；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6" w:hRule="atLeast"/>
        </w:trPr>
        <w:tc>
          <w:tcPr>
            <w:tcW w:w="1048" w:type="dxa"/>
            <w:vMerge w:val="continue"/>
            <w:vAlign w:val="center"/>
          </w:tcPr>
          <w:p>
            <w:pPr>
              <w:pStyle w:val="7"/>
              <w:ind w:left="0" w:leftChars="0" w:firstLine="0" w:firstLineChars="0"/>
              <w:jc w:val="center"/>
              <w:rPr>
                <w:rFonts w:hint="eastAsia" w:ascii="宋体" w:hAnsi="宋体" w:eastAsia="宋体" w:cs="宋体"/>
                <w:bCs/>
                <w:strike w:val="0"/>
                <w:dstrike w:val="0"/>
                <w:color w:val="auto"/>
                <w:kern w:val="2"/>
                <w:sz w:val="21"/>
                <w:szCs w:val="21"/>
                <w:highlight w:val="none"/>
                <w:lang w:val="en-US" w:eastAsia="zh-CN" w:bidi="ar-SA"/>
              </w:rPr>
            </w:pPr>
          </w:p>
        </w:tc>
        <w:tc>
          <w:tcPr>
            <w:tcW w:w="7921" w:type="dxa"/>
          </w:tcPr>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定价方案（5分）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供应商制定酒类、餐饮类价格保障方案及违反价格保障的处理措施。</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方案及处理措施切实可行，能够确保本次活动各类消费合理，提高消费者满意度，得5分；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方案及处理措施可操作，能够较好的保证本次活动各类消费合理，提高消费者满意度，得3分；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有方案及处理措施，但可操作性较差，不能很好的提高消费者满意度，得1分；</w:t>
            </w:r>
          </w:p>
          <w:p>
            <w:pPr>
              <w:pStyle w:val="7"/>
              <w:ind w:left="0" w:leftChars="0" w:firstLine="0" w:firstLineChars="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未提供不得分。</w:t>
            </w:r>
          </w:p>
        </w:tc>
      </w:tr>
    </w:tbl>
    <w:p>
      <w:pPr>
        <w:rPr>
          <w:rFonts w:hint="eastAsia" w:ascii="宋体" w:hAnsi="宋体" w:eastAsia="宋体" w:cs="宋体"/>
          <w:color w:val="auto"/>
          <w:highlight w:val="none"/>
        </w:rPr>
      </w:pP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0分）</w:t>
      </w:r>
    </w:p>
    <w:p>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1.最高限价：</w:t>
      </w:r>
      <w:r>
        <w:rPr>
          <w:rFonts w:hint="eastAsia" w:ascii="宋体" w:hAnsi="宋体" w:cs="宋体"/>
          <w:b/>
          <w:bCs/>
          <w:color w:val="auto"/>
          <w:sz w:val="24"/>
          <w:szCs w:val="24"/>
          <w:highlight w:val="none"/>
          <w:lang w:val="en-US" w:eastAsia="zh-CN"/>
        </w:rPr>
        <w:t>120万元</w:t>
      </w:r>
      <w:r>
        <w:rPr>
          <w:rFonts w:hint="eastAsia" w:ascii="宋体" w:hAnsi="宋体" w:eastAsia="宋体" w:cs="宋体"/>
          <w:b/>
          <w:bCs/>
          <w:color w:val="auto"/>
          <w:sz w:val="24"/>
          <w:szCs w:val="24"/>
          <w:highlight w:val="none"/>
        </w:rPr>
        <w:t>。报价超过最高限价做无效</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处理。</w:t>
      </w:r>
    </w:p>
    <w:p>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2.满足磋商文件要求且最后报价最低的供应商的价格为磋商基准价，其</w:t>
      </w: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为满分。其他供应商的</w:t>
      </w: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统一按照下列公式计算：</w:t>
      </w:r>
    </w:p>
    <w:p>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 xml:space="preserve"> =（磋商基准价/最后磋商报价）×</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0%×100。</w:t>
      </w:r>
    </w:p>
    <w:p>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.评审过程中出现下列情形之一的，磋商小组应当启动异常低价响应审查程序：</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（1）响应报价低于全部通过符合性审查供应商响应报价平均值50%的，即响应报价&lt;全部通过符合性审查供应商响应报价平均值×50%；</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（2）响应报价低于通过符合性审查的次低报价供应商响应报价50%的，即响应报价&lt;通过符合性审查的次低报价供应商响应报价×50%；</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（3）响应报价低于采购项目最高限价45%的，即响应报价&lt;采购项目最高限价×45%；</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（4）</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小组基于专业判断，认定的供应商报价过低、有可能影响产品质量或者不能诚信履约的其他情形。</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小组启动异常低价响应审查后，属于前述第（1）项至第（4）项情形的，应当要求相关供应商在30分钟内对响应价格作出解释</w:t>
      </w:r>
      <w:r>
        <w:rPr>
          <w:rFonts w:hint="eastAsia" w:ascii="Times New Roman" w:hAnsi="宋体" w:eastAsia="宋体" w:cs="Times New Roman"/>
          <w:color w:val="auto"/>
          <w:sz w:val="24"/>
          <w:szCs w:val="24"/>
          <w:highlight w:val="none"/>
          <w:lang w:eastAsia="zh-CN"/>
        </w:rPr>
        <w:t>，并</w:t>
      </w:r>
      <w:r>
        <w:rPr>
          <w:rFonts w:hint="eastAsia" w:ascii="Times New Roman" w:hAnsi="宋体" w:eastAsia="宋体" w:cs="Times New Roman"/>
          <w:color w:val="auto"/>
          <w:sz w:val="24"/>
          <w:szCs w:val="24"/>
          <w:highlight w:val="none"/>
        </w:rPr>
        <w:t>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小组依据专业经验，参考同类项目</w:t>
      </w:r>
      <w:r>
        <w:rPr>
          <w:rFonts w:hint="eastAsia" w:hAnsi="宋体" w:cs="Times New Roman"/>
          <w:color w:val="auto"/>
          <w:sz w:val="24"/>
          <w:szCs w:val="24"/>
          <w:highlight w:val="none"/>
          <w:lang w:eastAsia="zh-CN"/>
        </w:rPr>
        <w:t>成交</w:t>
      </w:r>
      <w:r>
        <w:rPr>
          <w:rFonts w:hint="eastAsia" w:ascii="Times New Roman" w:hAnsi="宋体" w:eastAsia="宋体" w:cs="Times New Roman"/>
          <w:color w:val="auto"/>
          <w:sz w:val="24"/>
          <w:szCs w:val="24"/>
          <w:highlight w:val="none"/>
        </w:rPr>
        <w:t>（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小组应当将其作为无效响应处理。</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采购人、采购代理机构应当为</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小组在评审现场及时获取同类项目</w:t>
      </w:r>
      <w:r>
        <w:rPr>
          <w:rFonts w:hint="eastAsia" w:hAnsi="宋体" w:cs="Times New Roman"/>
          <w:color w:val="auto"/>
          <w:sz w:val="24"/>
          <w:szCs w:val="24"/>
          <w:highlight w:val="none"/>
          <w:lang w:eastAsia="zh-CN"/>
        </w:rPr>
        <w:t>成交</w:t>
      </w:r>
      <w:r>
        <w:rPr>
          <w:rFonts w:hint="eastAsia" w:ascii="Times New Roman" w:hAnsi="宋体" w:eastAsia="宋体" w:cs="Times New Roman"/>
          <w:color w:val="auto"/>
          <w:sz w:val="24"/>
          <w:szCs w:val="24"/>
          <w:highlight w:val="none"/>
        </w:rPr>
        <w:t>（成交）价格、类似产品市场价格水平、行业人工费用标准、国家有关部门指导行业协会发布的行业平均成本等相关信息资料提供便利。</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小组借助互联网等渠道查询相关信息的，应当严格遵守评审工作纪律，不得实施影响评审公正的行为。</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异常低价响应审查的启动原因、审查意见和审查结果应当在评审报告中记录，并随供应商提供的相关书面说明及证明材料，以及</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小组有关互联网浏览、查询历史一并归档。</w:t>
      </w:r>
    </w:p>
    <w:p>
      <w:pPr>
        <w:keepNext w:val="0"/>
        <w:keepLines w:val="0"/>
        <w:pageBreakBefore w:val="0"/>
        <w:kinsoku/>
        <w:wordWrap/>
        <w:overflowPunct/>
        <w:topLinePunct w:val="0"/>
        <w:autoSpaceDE/>
        <w:autoSpaceDN/>
        <w:bidi w:val="0"/>
        <w:adjustRightInd/>
        <w:spacing w:line="360" w:lineRule="auto"/>
        <w:ind w:firstLine="361"/>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val="en-US" w:eastAsia="en-US"/>
        </w:rPr>
        <w:t>）成交供应商的确定</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en-US"/>
        </w:rPr>
        <w:t>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.磋商评审时，评委对评审的细则若</w:t>
      </w:r>
      <w:r>
        <w:rPr>
          <w:rFonts w:hint="eastAsia" w:ascii="宋体" w:hAnsi="宋体" w:eastAsia="宋体" w:cs="宋体"/>
          <w:color w:val="auto"/>
          <w:sz w:val="24"/>
          <w:szCs w:val="24"/>
          <w:highlight w:val="none"/>
          <w:lang w:val="en-US" w:eastAsia="en-US"/>
        </w:rPr>
        <w:t>有争议，由磋商小组集体讨论确定，并对未尽情况有最终解释权。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.对落标的供应商不做落标原因的解释。</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采购人委托磋商小组直接确定排名第一的成交候选人为成交供应商。</w:t>
      </w:r>
    </w:p>
    <w:p>
      <w:pPr>
        <w:keepNext w:val="0"/>
        <w:keepLines w:val="0"/>
        <w:pageBreakBefore w:val="0"/>
        <w:kinsoku/>
        <w:wordWrap/>
        <w:overflowPunct/>
        <w:topLinePunct w:val="0"/>
        <w:autoSpaceDE/>
        <w:autoSpaceDN/>
        <w:bidi w:val="0"/>
        <w:adjustRightInd/>
        <w:spacing w:line="360" w:lineRule="auto"/>
        <w:ind w:firstLine="482"/>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lang w:val="en-US" w:eastAsia="en-US"/>
        </w:rPr>
        <w:t>）公告成交结果</w:t>
      </w:r>
    </w:p>
    <w:p>
      <w:pPr>
        <w:keepNext w:val="0"/>
        <w:keepLines w:val="0"/>
        <w:pageBreakBefore w:val="0"/>
        <w:kinsoku/>
        <w:wordWrap/>
        <w:overflowPunct/>
        <w:topLinePunct w:val="0"/>
        <w:autoSpaceDE/>
        <w:autoSpaceDN/>
        <w:bidi w:val="0"/>
        <w:adjustRightInd/>
        <w:spacing w:line="360" w:lineRule="auto"/>
        <w:ind w:firstLine="57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自确定成交供应商之日起2个工作日内，在江苏政府采购网公告成交结果，公告期限为1个工作日。</w:t>
      </w:r>
    </w:p>
    <w:p>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lang w:val="en-US" w:eastAsia="en-US"/>
        </w:rPr>
        <w:t xml:space="preserve"> 出现下列情形之一的，作无效响应处理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同一供应商提交两个（含两个）以上不同的响应报价的。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 xml:space="preserve">不具备磋商文件中规定的资格要求的。 </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 xml:space="preserve">响应报价超过了采购预算或最高限价的。 </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未通过符合性检查的。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不符合法律、法规和磋商文件中规定的其他实质性要求的。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6</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7</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响应文件含有采购人不能接受的附加条件的。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color w:val="auto"/>
          <w:highlight w:val="none"/>
          <w:lang w:val="en-US" w:eastAsia="en-US"/>
        </w:rPr>
      </w:pPr>
      <w:r>
        <w:rPr>
          <w:rFonts w:hint="eastAsia" w:ascii="宋体" w:hAnsi="宋体" w:eastAsia="宋体" w:cs="宋体"/>
          <w:bCs/>
          <w:color w:val="auto"/>
          <w:sz w:val="24"/>
          <w:szCs w:val="24"/>
          <w:highlight w:val="none"/>
          <w:lang w:val="en-US" w:eastAsia="en-US"/>
        </w:rPr>
        <w:t>8</w:t>
      </w:r>
      <w:r>
        <w:rPr>
          <w:rFonts w:hint="eastAsia" w:ascii="宋体" w:hAnsi="宋体" w:eastAsia="宋体" w:cs="宋体"/>
          <w:bCs/>
          <w:color w:val="auto"/>
          <w:sz w:val="24"/>
          <w:szCs w:val="24"/>
          <w:highlight w:val="none"/>
          <w:lang w:val="en-US" w:eastAsia="zh-CN"/>
        </w:rPr>
        <w:t>.</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小组依据专业经验，参考同类项目</w:t>
      </w:r>
      <w:r>
        <w:rPr>
          <w:rFonts w:hint="eastAsia" w:hAnsi="宋体" w:cs="Times New Roman"/>
          <w:color w:val="auto"/>
          <w:sz w:val="24"/>
          <w:szCs w:val="24"/>
          <w:highlight w:val="none"/>
          <w:lang w:eastAsia="zh-CN"/>
        </w:rPr>
        <w:t>成交</w:t>
      </w:r>
      <w:r>
        <w:rPr>
          <w:rFonts w:hint="eastAsia" w:ascii="Times New Roman" w:hAnsi="宋体" w:eastAsia="宋体" w:cs="Times New Roman"/>
          <w:color w:val="auto"/>
          <w:sz w:val="24"/>
          <w:szCs w:val="24"/>
          <w:highlight w:val="none"/>
        </w:rPr>
        <w:t>（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小组应当将其作为无效响应处理。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9</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color w:val="auto"/>
          <w:sz w:val="24"/>
          <w:szCs w:val="24"/>
          <w:highlight w:val="none"/>
          <w:lang w:val="en-US" w:eastAsia="zh-CN"/>
        </w:rPr>
        <w:t>扫描件</w:t>
      </w:r>
      <w:r>
        <w:rPr>
          <w:rFonts w:hint="eastAsia" w:ascii="宋体" w:hAnsi="宋体" w:eastAsia="宋体" w:cs="宋体"/>
          <w:bCs/>
          <w:color w:val="auto"/>
          <w:sz w:val="24"/>
          <w:szCs w:val="24"/>
          <w:highlight w:val="none"/>
          <w:lang w:val="en-US" w:eastAsia="en-US"/>
        </w:rPr>
        <w:t>）。</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10</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响应文件未按照磋商文件要求加盖电子签章。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highlight w:val="none"/>
          <w:lang w:val="en-US" w:eastAsia="en-US"/>
        </w:rPr>
      </w:pPr>
      <w:r>
        <w:rPr>
          <w:rFonts w:hint="eastAsia" w:ascii="宋体" w:hAnsi="宋体" w:eastAsia="宋体" w:cs="宋体"/>
          <w:bCs/>
          <w:color w:val="auto"/>
          <w:sz w:val="24"/>
          <w:szCs w:val="24"/>
          <w:highlight w:val="none"/>
          <w:lang w:val="en-US" w:eastAsia="en-US"/>
        </w:rPr>
        <w:t>11</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en-US"/>
        </w:rPr>
        <w:t>的商务技术部分得分相差悬殊，</w:t>
      </w:r>
      <w:r>
        <w:rPr>
          <w:rFonts w:hint="eastAsia" w:ascii="宋体" w:hAnsi="宋体" w:eastAsia="宋体" w:cs="宋体"/>
          <w:bCs/>
          <w:color w:val="auto"/>
          <w:sz w:val="24"/>
          <w:szCs w:val="24"/>
          <w:highlight w:val="none"/>
          <w:lang w:val="en-US" w:eastAsia="zh-CN"/>
        </w:rPr>
        <w:t>磋商小组</w:t>
      </w:r>
      <w:r>
        <w:rPr>
          <w:rFonts w:hint="eastAsia" w:ascii="宋体" w:hAnsi="宋体" w:eastAsia="宋体" w:cs="宋体"/>
          <w:bCs/>
          <w:color w:val="auto"/>
          <w:sz w:val="24"/>
          <w:szCs w:val="24"/>
          <w:highlight w:val="none"/>
          <w:lang w:val="en-US" w:eastAsia="en-US"/>
        </w:rPr>
        <w:t>一致认为得分畸低者有可能影响产品质量或者不能诚信履约的。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供应商在系统规定的时间内未成功解密电子响应文件的。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lang w:val="en-US" w:eastAsia="en-US"/>
        </w:rPr>
        <w:t>供应商在规定的时间内未</w:t>
      </w:r>
      <w:r>
        <w:rPr>
          <w:rFonts w:hint="eastAsia" w:ascii="宋体" w:hAnsi="宋体" w:eastAsia="宋体" w:cs="宋体"/>
          <w:bCs/>
          <w:color w:val="auto"/>
          <w:sz w:val="24"/>
          <w:szCs w:val="24"/>
          <w:highlight w:val="none"/>
          <w:lang w:val="en-US" w:eastAsia="zh-CN"/>
        </w:rPr>
        <w:t>提交最终报价</w:t>
      </w:r>
      <w:r>
        <w:rPr>
          <w:rFonts w:hint="eastAsia" w:ascii="宋体" w:hAnsi="宋体" w:eastAsia="宋体" w:cs="宋体"/>
          <w:bCs/>
          <w:color w:val="auto"/>
          <w:sz w:val="24"/>
          <w:szCs w:val="24"/>
          <w:highlight w:val="none"/>
          <w:lang w:val="en-US" w:eastAsia="en-US"/>
        </w:rPr>
        <w:t>的</w:t>
      </w:r>
      <w:r>
        <w:rPr>
          <w:rFonts w:hint="eastAsia" w:ascii="宋体" w:hAnsi="宋体" w:eastAsia="宋体" w:cs="宋体"/>
          <w:bCs/>
          <w:color w:val="auto"/>
          <w:sz w:val="24"/>
          <w:szCs w:val="24"/>
          <w:highlight w:val="none"/>
          <w:lang w:val="en-US" w:eastAsia="zh-CN"/>
        </w:rPr>
        <w:t>。</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en-US"/>
        </w:rPr>
        <w:t>未完整上传响应文件电子文档的,或上传的文件打不开的。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en-US"/>
        </w:rPr>
        <w:t>不同的供应商响应文件制作机器码、文件创建标识码一致的。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其他法律、法规及本磋商文件规定的属无效响应的情形。</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rPr>
        <w:t>出现下列情形之一的，本次竞争性磋商采购活动将被终止</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en-US"/>
        </w:rPr>
        <w:t>因情况变化，不再符合规定的竞争性磋商采购方式适用情形的。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en-US"/>
        </w:rPr>
        <w:t>出现影响采购公正的违法、违规行为的。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en-US"/>
        </w:rPr>
        <w:t>除《政府采购竞争性磋商采购方式理暂行办法》第三条第一款第四项及《财政部关于竞争性磋商采购方式管理暂行办法有关问题的补充通知》（财库[2015]124号）规定的情形外，在采购过程中符合要求的供应商或者最后报价未超过采购预算的供应商不足3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en-US"/>
        </w:rPr>
        <w:t>在苏采云系统规定时间内成功解密电子响应文件的供应商不足3家的。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en-US"/>
        </w:rPr>
        <w:t>因重大变故，采购任务取消的。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磋商小组认定磋商文件存在歧义、重大缺陷导致评审工作无法进行。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en-US"/>
        </w:rPr>
        <w:t>因系统故障原因造成磋商</w:t>
      </w:r>
      <w:r>
        <w:rPr>
          <w:rFonts w:hint="eastAsia" w:ascii="宋体" w:hAnsi="宋体" w:eastAsia="宋体" w:cs="宋体"/>
          <w:bCs/>
          <w:color w:val="auto"/>
          <w:sz w:val="24"/>
          <w:szCs w:val="24"/>
          <w:highlight w:val="none"/>
          <w:lang w:val="en-US" w:eastAsia="zh-CN"/>
        </w:rPr>
        <w:t>无法继续进行</w:t>
      </w:r>
      <w:r>
        <w:rPr>
          <w:rFonts w:hint="eastAsia" w:ascii="宋体" w:hAnsi="宋体" w:eastAsia="宋体" w:cs="宋体"/>
          <w:bCs/>
          <w:color w:val="auto"/>
          <w:sz w:val="24"/>
          <w:szCs w:val="24"/>
          <w:highlight w:val="none"/>
          <w:lang w:val="en-US" w:eastAsia="en-US"/>
        </w:rPr>
        <w:t>的。</w:t>
      </w:r>
    </w:p>
    <w:p>
      <w:pPr>
        <w:rPr>
          <w:rFonts w:hint="eastAsia" w:ascii="宋体" w:hAnsi="宋体" w:eastAsia="宋体" w:cs="宋体"/>
          <w:color w:val="auto"/>
          <w:highlight w:val="none"/>
        </w:rPr>
      </w:pPr>
    </w:p>
    <w:p>
      <w:pPr>
        <w:snapToGrid w:val="0"/>
        <w:spacing w:line="480" w:lineRule="exact"/>
        <w:rPr>
          <w:rFonts w:hint="eastAsia" w:ascii="宋体" w:hAnsi="宋体" w:eastAsia="宋体" w:cs="宋体"/>
          <w:b/>
          <w:color w:val="auto"/>
          <w:w w:val="80"/>
          <w:kern w:val="44"/>
          <w:sz w:val="44"/>
          <w:szCs w:val="44"/>
          <w:highlight w:val="none"/>
        </w:rPr>
      </w:pPr>
    </w:p>
    <w:p>
      <w:pPr>
        <w:adjustRightInd w:val="0"/>
        <w:snapToGrid w:val="0"/>
        <w:spacing w:line="480" w:lineRule="exact"/>
        <w:jc w:val="center"/>
        <w:outlineLvl w:val="1"/>
        <w:rPr>
          <w:rFonts w:hint="eastAsia" w:ascii="宋体" w:hAnsi="宋体" w:eastAsia="宋体" w:cs="宋体"/>
          <w:b/>
          <w:color w:val="auto"/>
          <w:w w:val="80"/>
          <w:kern w:val="44"/>
          <w:sz w:val="44"/>
          <w:szCs w:val="44"/>
          <w:highlight w:val="none"/>
          <w:lang w:val="en-US" w:eastAsia="zh-CN"/>
        </w:rPr>
      </w:pPr>
      <w:r>
        <w:rPr>
          <w:rFonts w:hint="eastAsia" w:ascii="宋体" w:hAnsi="宋体" w:eastAsia="宋体" w:cs="宋体"/>
          <w:b/>
          <w:color w:val="auto"/>
          <w:w w:val="80"/>
          <w:kern w:val="44"/>
          <w:sz w:val="44"/>
          <w:szCs w:val="44"/>
          <w:highlight w:val="none"/>
        </w:rPr>
        <w:br w:type="page"/>
      </w:r>
      <w:r>
        <w:rPr>
          <w:rFonts w:hint="eastAsia" w:ascii="宋体" w:hAnsi="宋体" w:eastAsia="宋体" w:cs="宋体"/>
          <w:b/>
          <w:color w:val="auto"/>
          <w:w w:val="80"/>
          <w:kern w:val="44"/>
          <w:sz w:val="44"/>
          <w:szCs w:val="44"/>
          <w:highlight w:val="none"/>
          <w:lang w:val="en-US" w:eastAsia="zh-CN"/>
        </w:rPr>
        <w:t>第五章 合同格式</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采购人</w:t>
      </w:r>
      <w:r>
        <w:rPr>
          <w:rFonts w:hint="eastAsia" w:ascii="宋体" w:hAnsi="宋体" w:eastAsia="宋体" w:cs="宋体"/>
          <w:b w:val="0"/>
          <w:bCs w:val="0"/>
          <w:color w:val="auto"/>
          <w:sz w:val="21"/>
          <w:szCs w:val="21"/>
          <w:highlight w:val="none"/>
          <w:lang w:eastAsia="zh-CN"/>
        </w:rPr>
        <w:t>（或称甲方）：</w:t>
      </w:r>
      <w:r>
        <w:rPr>
          <w:rFonts w:hint="eastAsia" w:ascii="宋体" w:hAnsi="宋体" w:eastAsia="宋体" w:cs="宋体"/>
          <w:b w:val="0"/>
          <w:bCs w:val="0"/>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成交供应商</w:t>
      </w:r>
      <w:r>
        <w:rPr>
          <w:rFonts w:hint="eastAsia" w:ascii="宋体" w:hAnsi="宋体" w:eastAsia="宋体" w:cs="宋体"/>
          <w:b w:val="0"/>
          <w:bCs w:val="0"/>
          <w:color w:val="auto"/>
          <w:sz w:val="21"/>
          <w:szCs w:val="21"/>
          <w:highlight w:val="none"/>
          <w:lang w:eastAsia="zh-CN"/>
        </w:rPr>
        <w:t>（或称乙方）：</w:t>
      </w:r>
      <w:r>
        <w:rPr>
          <w:rFonts w:hint="eastAsia" w:ascii="宋体" w:hAnsi="宋体" w:eastAsia="宋体" w:cs="宋体"/>
          <w:b w:val="0"/>
          <w:bCs w:val="0"/>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签订地点：南通</w:t>
      </w:r>
    </w:p>
    <w:p>
      <w:pPr>
        <w:pageBreakBefore w:val="0"/>
        <w:shd w:val="clear" w:color="auto" w:fill="auto"/>
        <w:spacing w:line="360" w:lineRule="auto"/>
        <w:ind w:firstLine="420"/>
        <w:jc w:val="left"/>
        <w:rPr>
          <w:rFonts w:hint="eastAsia" w:ascii="宋体" w:hAnsi="宋体" w:eastAsia="宋体" w:cs="宋体"/>
          <w:color w:val="auto"/>
          <w:sz w:val="21"/>
          <w:szCs w:val="21"/>
          <w:highlight w:val="none"/>
          <w:shd w:val="clear" w:color="auto" w:fill="auto"/>
        </w:rPr>
      </w:pP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rPr>
        <w:t>南通市商务局2026第五届南通啤酒嘉年华举办项目</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en-US" w:eastAsia="zh-CN"/>
        </w:rPr>
        <w:t>竞争性磋商方式</w:t>
      </w:r>
      <w:r>
        <w:rPr>
          <w:rFonts w:hint="eastAsia" w:ascii="宋体" w:hAnsi="宋体" w:eastAsia="宋体" w:cs="宋体"/>
          <w:color w:val="auto"/>
          <w:sz w:val="21"/>
          <w:szCs w:val="21"/>
          <w:highlight w:val="none"/>
        </w:rPr>
        <w:t>进行釆购，确定乙方为</w:t>
      </w:r>
      <w:r>
        <w:rPr>
          <w:rFonts w:hint="eastAsia" w:ascii="宋体" w:hAnsi="宋体" w:cs="宋体"/>
          <w:color w:val="auto"/>
          <w:sz w:val="21"/>
          <w:szCs w:val="21"/>
          <w:highlight w:val="none"/>
          <w:lang w:val="en-US" w:eastAsia="zh-CN"/>
        </w:rPr>
        <w:t>成交供应商</w:t>
      </w:r>
      <w:r>
        <w:rPr>
          <w:rFonts w:hint="eastAsia" w:ascii="宋体" w:hAnsi="宋体" w:eastAsia="宋体" w:cs="宋体"/>
          <w:color w:val="auto"/>
          <w:sz w:val="21"/>
          <w:szCs w:val="21"/>
          <w:highlight w:val="none"/>
        </w:rPr>
        <w:t>。为明确双方的权利、义务和责任，根据采购文件、</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和</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确定事项，甲、乙双方经平等、自愿、协商一致，就</w:t>
      </w:r>
      <w:r>
        <w:rPr>
          <w:rFonts w:hint="eastAsia" w:ascii="宋体" w:hAnsi="宋体" w:eastAsia="宋体" w:cs="宋体"/>
          <w:b w:val="0"/>
          <w:bCs w:val="0"/>
          <w:color w:val="auto"/>
          <w:sz w:val="21"/>
          <w:szCs w:val="21"/>
          <w:highlight w:val="none"/>
          <w:lang w:eastAsia="zh-CN"/>
        </w:rPr>
        <w:t>南通市商务局2026第五届南通啤酒嘉年华举办项目</w:t>
      </w:r>
      <w:r>
        <w:rPr>
          <w:rFonts w:hint="eastAsia" w:ascii="宋体" w:hAnsi="宋体" w:eastAsia="宋体" w:cs="宋体"/>
          <w:color w:val="auto"/>
          <w:sz w:val="21"/>
          <w:szCs w:val="21"/>
          <w:highlight w:val="none"/>
        </w:rPr>
        <w:t>的相关事宜达成一致</w:t>
      </w:r>
      <w:r>
        <w:rPr>
          <w:rFonts w:hint="eastAsia" w:ascii="宋体" w:hAnsi="宋体" w:eastAsia="宋体" w:cs="宋体"/>
          <w:color w:val="auto"/>
          <w:sz w:val="21"/>
          <w:szCs w:val="21"/>
          <w:highlight w:val="none"/>
          <w:lang w:eastAsia="zh-CN"/>
        </w:rPr>
        <w:t>意</w:t>
      </w:r>
      <w:r>
        <w:rPr>
          <w:rFonts w:hint="eastAsia" w:ascii="宋体" w:hAnsi="宋体" w:eastAsia="宋体" w:cs="宋体"/>
          <w:color w:val="auto"/>
          <w:sz w:val="21"/>
          <w:szCs w:val="21"/>
          <w:highlight w:val="none"/>
        </w:rPr>
        <w:t>见，签订本合同。</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一、项目概况</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1.项目名称：南通市商务局2026第五届南通啤酒嘉年华举办项目；</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2.合同履行期限：自合同签订之日起至2026年苏超赛季结束，苏超南通比赛日及苏超半决赛、决赛场次的周六当天为一场活动周期。</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本次啤酒嘉年华活动需在</w:t>
      </w:r>
      <w:r>
        <w:rPr>
          <w:rFonts w:hint="eastAsia" w:ascii="宋体" w:hAnsi="宋体" w:eastAsia="宋体" w:cs="宋体"/>
          <w:color w:val="auto"/>
          <w:sz w:val="21"/>
          <w:szCs w:val="21"/>
          <w:highlight w:val="none"/>
          <w:lang w:val="en-US" w:eastAsia="zh-CN"/>
        </w:rPr>
        <w:t>南通市</w:t>
      </w:r>
      <w:r>
        <w:rPr>
          <w:rFonts w:hint="eastAsia" w:ascii="宋体" w:hAnsi="宋体" w:eastAsia="宋体" w:cs="宋体"/>
          <w:color w:val="auto"/>
          <w:sz w:val="21"/>
          <w:szCs w:val="21"/>
          <w:highlight w:val="none"/>
        </w:rPr>
        <w:t>主城区范围内设置南、北两个活动场地，形成“一南一北、双核联动”的布局，</w:t>
      </w:r>
      <w:r>
        <w:rPr>
          <w:rFonts w:hint="eastAsia" w:ascii="宋体" w:hAnsi="宋体" w:eastAsia="宋体" w:cs="宋体"/>
          <w:bCs/>
          <w:color w:val="auto"/>
          <w:sz w:val="21"/>
          <w:szCs w:val="21"/>
          <w:highlight w:val="none"/>
          <w:lang w:val="en-US" w:eastAsia="zh-CN"/>
        </w:rPr>
        <w:t>每片场地活动场次不少于8场，</w:t>
      </w:r>
      <w:r>
        <w:rPr>
          <w:rFonts w:hint="eastAsia" w:ascii="宋体" w:hAnsi="宋体" w:eastAsia="宋体" w:cs="宋体"/>
          <w:color w:val="auto"/>
          <w:sz w:val="21"/>
          <w:szCs w:val="21"/>
          <w:highlight w:val="none"/>
        </w:rPr>
        <w:t>以实现对主城区居民及游客的广泛覆盖与便捷参与。</w:t>
      </w:r>
    </w:p>
    <w:p>
      <w:pPr>
        <w:pStyle w:val="10"/>
        <w:keepNext w:val="0"/>
        <w:keepLines w:val="0"/>
        <w:pageBreakBefore w:val="0"/>
        <w:kinsoku/>
        <w:wordWrap/>
        <w:overflowPunct/>
        <w:topLinePunct w:val="0"/>
        <w:bidi w:val="0"/>
        <w:spacing w:line="520" w:lineRule="exact"/>
        <w:ind w:firstLine="420" w:firstLineChars="200"/>
        <w:textAlignment w:val="auto"/>
        <w:rPr>
          <w:rFonts w:hint="eastAsia" w:ascii="宋体" w:hAnsi="宋体" w:eastAsia="宋体" w:cs="宋体"/>
          <w:bCs w:val="0"/>
          <w:color w:val="auto"/>
          <w:kern w:val="0"/>
          <w:sz w:val="21"/>
          <w:szCs w:val="21"/>
          <w:highlight w:val="none"/>
          <w:lang w:val="en-US" w:eastAsia="zh-CN"/>
        </w:rPr>
      </w:pPr>
      <w:r>
        <w:rPr>
          <w:rFonts w:hint="eastAsia" w:ascii="宋体" w:hAnsi="宋体" w:eastAsia="宋体" w:cs="宋体"/>
          <w:bCs/>
          <w:color w:val="auto"/>
          <w:sz w:val="21"/>
          <w:szCs w:val="21"/>
          <w:highlight w:val="none"/>
          <w:lang w:val="en-US" w:eastAsia="zh-CN"/>
        </w:rPr>
        <w:t>项目地点1</w:t>
      </w:r>
      <w:r>
        <w:rPr>
          <w:rFonts w:hint="eastAsia" w:ascii="宋体" w:hAnsi="宋体" w:eastAsia="宋体" w:cs="宋体"/>
          <w:bCs/>
          <w:color w:val="auto"/>
          <w:sz w:val="21"/>
          <w:szCs w:val="21"/>
          <w:highlight w:val="none"/>
          <w:lang w:eastAsia="zh-CN"/>
        </w:rPr>
        <w:t>：</w:t>
      </w:r>
      <w:r>
        <w:rPr>
          <w:rFonts w:hint="eastAsia" w:ascii="宋体" w:hAnsi="宋体" w:eastAsia="宋体" w:cs="宋体"/>
          <w:color w:val="auto"/>
          <w:sz w:val="21"/>
          <w:szCs w:val="21"/>
          <w:highlight w:val="none"/>
          <w:lang w:val="en-US" w:eastAsia="zh-CN"/>
        </w:rPr>
        <w:t>_____,</w:t>
      </w:r>
      <w:r>
        <w:rPr>
          <w:rFonts w:hint="eastAsia" w:ascii="宋体" w:hAnsi="宋体" w:eastAsia="宋体" w:cs="宋体"/>
          <w:bCs/>
          <w:color w:val="auto"/>
          <w:sz w:val="21"/>
          <w:szCs w:val="21"/>
          <w:highlight w:val="none"/>
          <w:lang w:val="en-US" w:eastAsia="zh-CN"/>
        </w:rPr>
        <w:t>项目地点2</w:t>
      </w:r>
      <w:r>
        <w:rPr>
          <w:rFonts w:hint="eastAsia" w:ascii="宋体" w:hAnsi="宋体" w:eastAsia="宋体" w:cs="宋体"/>
          <w:bCs/>
          <w:color w:val="auto"/>
          <w:sz w:val="21"/>
          <w:szCs w:val="21"/>
          <w:highlight w:val="none"/>
          <w:lang w:eastAsia="zh-CN"/>
        </w:rPr>
        <w:t>：</w:t>
      </w:r>
      <w:r>
        <w:rPr>
          <w:rFonts w:hint="eastAsia" w:ascii="宋体" w:hAnsi="宋体" w:eastAsia="宋体" w:cs="宋体"/>
          <w:color w:val="auto"/>
          <w:sz w:val="21"/>
          <w:szCs w:val="21"/>
          <w:highlight w:val="none"/>
          <w:lang w:val="en-US" w:eastAsia="zh-CN"/>
        </w:rPr>
        <w:t>_____,</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单个场地面积不低于【</w:t>
      </w:r>
      <w:r>
        <w:rPr>
          <w:rFonts w:hint="eastAsia" w:ascii="宋体" w:hAnsi="宋体" w:cs="宋体"/>
          <w:bCs/>
          <w:color w:val="auto"/>
          <w:sz w:val="21"/>
          <w:szCs w:val="21"/>
          <w:highlight w:val="none"/>
          <w:lang w:val="en-US" w:eastAsia="zh-CN"/>
        </w:rPr>
        <w:t>5000</w:t>
      </w:r>
      <w:r>
        <w:rPr>
          <w:rFonts w:hint="eastAsia" w:ascii="宋体" w:hAnsi="宋体" w:eastAsia="宋体" w:cs="宋体"/>
          <w:bCs/>
          <w:color w:val="auto"/>
          <w:sz w:val="21"/>
          <w:szCs w:val="21"/>
          <w:highlight w:val="none"/>
        </w:rPr>
        <w:t>】平方米，可容纳【</w:t>
      </w:r>
      <w:r>
        <w:rPr>
          <w:rFonts w:hint="eastAsia" w:ascii="宋体" w:hAnsi="宋体" w:cs="宋体"/>
          <w:bCs/>
          <w:color w:val="auto"/>
          <w:sz w:val="21"/>
          <w:szCs w:val="21"/>
          <w:highlight w:val="none"/>
          <w:lang w:val="en-US" w:eastAsia="zh-CN"/>
        </w:rPr>
        <w:t>1000</w:t>
      </w:r>
      <w:r>
        <w:rPr>
          <w:rFonts w:hint="eastAsia" w:ascii="宋体" w:hAnsi="宋体" w:eastAsia="宋体" w:cs="宋体"/>
          <w:bCs/>
          <w:color w:val="auto"/>
          <w:sz w:val="21"/>
          <w:szCs w:val="21"/>
          <w:highlight w:val="none"/>
        </w:rPr>
        <w:t>】以上观众。</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具备临时搭建舞台、</w:t>
      </w:r>
      <w:r>
        <w:rPr>
          <w:rFonts w:hint="eastAsia" w:ascii="宋体" w:hAnsi="宋体" w:eastAsia="宋体" w:cs="宋体"/>
          <w:bCs/>
          <w:color w:val="auto"/>
          <w:sz w:val="21"/>
          <w:szCs w:val="21"/>
          <w:highlight w:val="none"/>
          <w:lang w:val="en-US" w:eastAsia="zh-CN"/>
        </w:rPr>
        <w:t>氛围营造、入场道路指引、</w:t>
      </w:r>
      <w:r>
        <w:rPr>
          <w:rFonts w:hint="eastAsia" w:ascii="宋体" w:hAnsi="宋体" w:eastAsia="宋体" w:cs="宋体"/>
          <w:bCs/>
          <w:color w:val="auto"/>
          <w:sz w:val="21"/>
          <w:szCs w:val="21"/>
          <w:highlight w:val="none"/>
        </w:rPr>
        <w:t>展位</w:t>
      </w:r>
      <w:r>
        <w:rPr>
          <w:rFonts w:hint="eastAsia" w:ascii="宋体" w:hAnsi="宋体" w:eastAsia="宋体" w:cs="宋体"/>
          <w:bCs/>
          <w:color w:val="auto"/>
          <w:sz w:val="21"/>
          <w:szCs w:val="21"/>
          <w:highlight w:val="none"/>
          <w:lang w:val="en-US" w:eastAsia="zh-CN"/>
        </w:rPr>
        <w:t>搭建</w:t>
      </w:r>
      <w:r>
        <w:rPr>
          <w:rFonts w:hint="eastAsia" w:ascii="宋体" w:hAnsi="宋体" w:eastAsia="宋体" w:cs="宋体"/>
          <w:bCs/>
          <w:color w:val="auto"/>
          <w:sz w:val="21"/>
          <w:szCs w:val="21"/>
          <w:highlight w:val="none"/>
        </w:rPr>
        <w:t>、围栏、临时厕所等设施的条件，地面平整或可进行必要改造。</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水电接口充足，周边交通便利，并配备一定规模的停车场或临时停车协调能力。</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符合消防、安全、防疫等相关要求，无历史地质灾害或使用纠纷。</w:t>
      </w:r>
    </w:p>
    <w:p>
      <w:pPr>
        <w:keepNext w:val="0"/>
        <w:keepLines w:val="0"/>
        <w:pageBreakBefore w:val="0"/>
        <w:numPr>
          <w:ilvl w:val="0"/>
          <w:numId w:val="0"/>
        </w:numPr>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便于开展户外活动，具备较强的客流承载与引流能力。打造集赛事直播、啤酒美食、好物市集、亲子玩趣、电商直播展示于一体的全民消费盛宴。</w:t>
      </w:r>
    </w:p>
    <w:p>
      <w:pPr>
        <w:keepNext w:val="0"/>
        <w:keepLines w:val="0"/>
        <w:pageBreakBefore w:val="0"/>
        <w:kinsoku/>
        <w:wordWrap/>
        <w:overflowPunct/>
        <w:topLinePunct w:val="0"/>
        <w:autoSpaceDE/>
        <w:autoSpaceDN/>
        <w:bidi w:val="0"/>
        <w:snapToGrid/>
        <w:spacing w:line="360" w:lineRule="auto"/>
        <w:ind w:firstLine="422" w:firstLineChars="200"/>
        <w:textAlignment w:va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lang w:val="en-US" w:eastAsia="zh-CN"/>
        </w:rPr>
        <w:t>特别提醒：场地租赁和协调，由乙方自行对接考虑,并与场地方达成一致，确保每场活动的顺利进行。如场地方要求恢复的，需在每场活动结束后及时恢复原样。如因场地原因造成活动延期或停办，乙方需按照所报对应场次费用的30%支付违约金</w:t>
      </w:r>
      <w:r>
        <w:rPr>
          <w:rFonts w:hint="eastAsia" w:ascii="宋体" w:hAnsi="宋体" w:eastAsia="宋体" w:cs="宋体"/>
          <w:b/>
          <w:bCs/>
          <w:color w:val="auto"/>
          <w:sz w:val="21"/>
          <w:szCs w:val="21"/>
          <w:highlight w:val="none"/>
        </w:rPr>
        <w:t>，造成活动停办的，对应场次所有相关费用甲方不予支付。</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4.项目金额（</w:t>
      </w:r>
      <w:r>
        <w:rPr>
          <w:rFonts w:hint="eastAsia" w:ascii="宋体" w:hAnsi="宋体" w:eastAsia="宋体" w:cs="宋体"/>
          <w:color w:val="auto"/>
          <w:sz w:val="21"/>
          <w:szCs w:val="21"/>
          <w:highlight w:val="none"/>
        </w:rPr>
        <w:t>预估价、</w:t>
      </w:r>
      <w:r>
        <w:rPr>
          <w:rFonts w:hint="eastAsia" w:ascii="宋体" w:hAnsi="宋体" w:eastAsia="宋体" w:cs="宋体"/>
          <w:color w:val="auto"/>
          <w:sz w:val="21"/>
          <w:szCs w:val="21"/>
          <w:highlight w:val="none"/>
          <w:lang w:val="en-US" w:eastAsia="zh-CN"/>
        </w:rPr>
        <w:t>含税）：</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元整（</w:t>
      </w:r>
      <w:r>
        <w:rPr>
          <w:rFonts w:hint="eastAsia" w:ascii="宋体" w:hAnsi="宋体" w:eastAsia="宋体" w:cs="宋体"/>
          <w:color w:val="auto"/>
          <w:sz w:val="21"/>
          <w:szCs w:val="21"/>
          <w:highlight w:val="none"/>
          <w:lang w:val="en-US" w:eastAsia="en-US"/>
        </w:rPr>
        <w:t>¥</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lang w:val="en-US" w:eastAsia="zh-CN"/>
        </w:rPr>
        <w:t>元</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前述价款</w:t>
      </w:r>
      <w:r>
        <w:rPr>
          <w:rFonts w:hint="eastAsia" w:ascii="宋体" w:hAnsi="宋体" w:eastAsia="宋体" w:cs="宋体"/>
          <w:color w:val="auto"/>
          <w:sz w:val="21"/>
          <w:szCs w:val="21"/>
          <w:highlight w:val="none"/>
          <w:lang w:val="en-US" w:eastAsia="zh-CN"/>
        </w:rPr>
        <w:t>包含但不限于场地、舞台搭建、现场布置、策划执行、</w:t>
      </w:r>
      <w:r>
        <w:rPr>
          <w:rFonts w:hint="eastAsia" w:ascii="宋体" w:hAnsi="宋体" w:eastAsia="宋体" w:cs="宋体"/>
          <w:color w:val="auto"/>
          <w:sz w:val="21"/>
          <w:szCs w:val="21"/>
          <w:highlight w:val="none"/>
        </w:rPr>
        <w:t>知识产权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设备及物料、水电、人员劳务、交通通讯、安保、保洁、宣传引流、工作餐、保险（公共责任险及火灾险等各类保险费用）、招商、管理费用、利润、税金等工作所发生的全部费用和政策性文件规定及合同包含的所有风险、责任，即响应磋商项目需求中的全部工作量和服务及完成本项目工作所需的一切费用。</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二、服务内容</w:t>
      </w:r>
      <w:r>
        <w:rPr>
          <w:rFonts w:hint="eastAsia" w:ascii="宋体" w:hAnsi="宋体" w:eastAsia="宋体" w:cs="宋体"/>
          <w:b/>
          <w:bCs/>
          <w:color w:val="auto"/>
          <w:sz w:val="21"/>
          <w:szCs w:val="21"/>
          <w:highlight w:val="none"/>
          <w:lang w:val="en-US" w:eastAsia="zh-CN"/>
        </w:rPr>
        <w:t>及明细清单</w:t>
      </w:r>
    </w:p>
    <w:p>
      <w:pPr>
        <w:keepNext w:val="0"/>
        <w:keepLines w:val="0"/>
        <w:pageBreakBefore w:val="0"/>
        <w:numPr>
          <w:ilvl w:val="0"/>
          <w:numId w:val="0"/>
        </w:numPr>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乙方在充分了解活动主题、内容的基础上，制定</w:t>
      </w:r>
      <w:r>
        <w:rPr>
          <w:rFonts w:hint="eastAsia" w:ascii="宋体" w:hAnsi="宋体" w:eastAsia="宋体" w:cs="宋体"/>
          <w:color w:val="auto"/>
          <w:sz w:val="21"/>
          <w:szCs w:val="21"/>
          <w:highlight w:val="none"/>
          <w:lang w:eastAsia="zh-CN"/>
        </w:rPr>
        <w:t>南通市商务局2026第五届南通啤酒嘉年华举办项目</w:t>
      </w:r>
      <w:r>
        <w:rPr>
          <w:rFonts w:hint="eastAsia" w:ascii="宋体" w:hAnsi="宋体" w:eastAsia="宋体" w:cs="宋体"/>
          <w:color w:val="auto"/>
          <w:sz w:val="21"/>
          <w:szCs w:val="21"/>
          <w:highlight w:val="none"/>
        </w:rPr>
        <w:t>工作方案，围绕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啤酒+</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主线，设置并运营以下六大功能区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两个场地合计不少于60个摊位。</w:t>
      </w:r>
      <w:r>
        <w:rPr>
          <w:rFonts w:hint="eastAsia" w:ascii="宋体" w:hAnsi="宋体" w:eastAsia="宋体" w:cs="宋体"/>
          <w:color w:val="auto"/>
          <w:sz w:val="21"/>
          <w:szCs w:val="21"/>
          <w:highlight w:val="none"/>
        </w:rPr>
        <w:t>以啤酒+音乐</w:t>
      </w:r>
      <w:r>
        <w:rPr>
          <w:rFonts w:hint="eastAsia" w:ascii="宋体" w:hAnsi="宋体" w:eastAsia="宋体" w:cs="宋体"/>
          <w:color w:val="auto"/>
          <w:sz w:val="21"/>
          <w:szCs w:val="21"/>
          <w:highlight w:val="none"/>
          <w:lang w:val="en-US" w:eastAsia="zh-CN"/>
        </w:rPr>
        <w:t>+足球</w:t>
      </w:r>
      <w:r>
        <w:rPr>
          <w:rFonts w:hint="eastAsia" w:ascii="宋体" w:hAnsi="宋体" w:eastAsia="宋体" w:cs="宋体"/>
          <w:color w:val="auto"/>
          <w:sz w:val="21"/>
          <w:szCs w:val="21"/>
          <w:highlight w:val="none"/>
        </w:rPr>
        <w:t>为主线，同步融合赛事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文博、美食、演艺等元素，开展集聚人气的活动，有力吸引市内外消费者现场体验消费，充分激发市场消费活力。现场设置包括但不限于</w:t>
      </w:r>
      <w:r>
        <w:rPr>
          <w:rFonts w:hint="eastAsia" w:ascii="宋体" w:hAnsi="宋体" w:eastAsia="宋体" w:cs="宋体"/>
          <w:color w:val="auto"/>
          <w:sz w:val="21"/>
          <w:szCs w:val="21"/>
          <w:highlight w:val="none"/>
          <w:lang w:val="en-US" w:eastAsia="zh-CN"/>
        </w:rPr>
        <w:t>转播区、</w:t>
      </w:r>
      <w:r>
        <w:rPr>
          <w:rFonts w:hint="eastAsia" w:ascii="宋体" w:hAnsi="宋体" w:eastAsia="宋体" w:cs="宋体"/>
          <w:snapToGrid w:val="0"/>
          <w:color w:val="auto"/>
          <w:kern w:val="0"/>
          <w:sz w:val="21"/>
          <w:szCs w:val="21"/>
          <w:highlight w:val="none"/>
        </w:rPr>
        <w:t>品酒区域、美食区域、</w:t>
      </w:r>
      <w:r>
        <w:rPr>
          <w:rFonts w:hint="eastAsia" w:ascii="宋体" w:hAnsi="宋体" w:eastAsia="宋体" w:cs="宋体"/>
          <w:snapToGrid w:val="0"/>
          <w:color w:val="auto"/>
          <w:kern w:val="0"/>
          <w:sz w:val="21"/>
          <w:szCs w:val="21"/>
          <w:highlight w:val="none"/>
          <w:lang w:val="en-US" w:eastAsia="zh-CN"/>
        </w:rPr>
        <w:t>乐队</w:t>
      </w:r>
      <w:r>
        <w:rPr>
          <w:rFonts w:hint="eastAsia" w:ascii="宋体" w:hAnsi="宋体" w:eastAsia="宋体" w:cs="宋体"/>
          <w:snapToGrid w:val="0"/>
          <w:color w:val="auto"/>
          <w:kern w:val="0"/>
          <w:sz w:val="21"/>
          <w:szCs w:val="21"/>
          <w:highlight w:val="none"/>
        </w:rPr>
        <w:t>表演区域、网红打卡点等</w:t>
      </w:r>
      <w:r>
        <w:rPr>
          <w:rFonts w:hint="eastAsia" w:ascii="宋体" w:hAnsi="宋体" w:eastAsia="宋体" w:cs="宋体"/>
          <w:snapToGrid w:val="0"/>
          <w:color w:val="auto"/>
          <w:kern w:val="0"/>
          <w:sz w:val="21"/>
          <w:szCs w:val="21"/>
          <w:highlight w:val="none"/>
          <w:lang w:eastAsia="zh-CN"/>
        </w:rPr>
        <w:t>。</w:t>
      </w:r>
      <w:r>
        <w:rPr>
          <w:rFonts w:hint="eastAsia" w:ascii="宋体" w:hAnsi="宋体" w:eastAsia="宋体" w:cs="宋体"/>
          <w:color w:val="auto"/>
          <w:sz w:val="21"/>
          <w:szCs w:val="21"/>
          <w:highlight w:val="none"/>
          <w:lang w:val="en-US" w:eastAsia="zh-CN"/>
        </w:rPr>
        <w:t>主要</w:t>
      </w:r>
      <w:r>
        <w:rPr>
          <w:rFonts w:hint="eastAsia" w:ascii="宋体" w:hAnsi="宋体" w:eastAsia="宋体" w:cs="宋体"/>
          <w:color w:val="auto"/>
          <w:sz w:val="21"/>
          <w:szCs w:val="21"/>
          <w:highlight w:val="none"/>
        </w:rPr>
        <w:t>包含以下内容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详细方案以</w:t>
      </w:r>
      <w:r>
        <w:rPr>
          <w:rFonts w:hint="eastAsia" w:ascii="宋体" w:hAnsi="宋体" w:eastAsia="宋体" w:cs="宋体"/>
          <w:b w:val="0"/>
          <w:bCs w:val="0"/>
          <w:color w:val="auto"/>
          <w:sz w:val="21"/>
          <w:szCs w:val="21"/>
          <w:highlight w:val="none"/>
          <w:lang w:val="en-US" w:eastAsia="zh-CN"/>
        </w:rPr>
        <w:t>乙方磋商响应文件</w:t>
      </w:r>
      <w:r>
        <w:rPr>
          <w:rFonts w:hint="eastAsia" w:ascii="宋体" w:hAnsi="宋体" w:eastAsia="宋体" w:cs="宋体"/>
          <w:color w:val="auto"/>
          <w:sz w:val="21"/>
          <w:szCs w:val="21"/>
          <w:highlight w:val="none"/>
        </w:rPr>
        <w:t>为基础，甲方最终确认为准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pPr>
        <w:pStyle w:val="39"/>
        <w:keepNext w:val="0"/>
        <w:keepLines w:val="0"/>
        <w:pageBreakBefore w:val="0"/>
        <w:numPr>
          <w:ilvl w:val="0"/>
          <w:numId w:val="0"/>
        </w:numPr>
        <w:kinsoku/>
        <w:wordWrap/>
        <w:overflowPunct/>
        <w:topLinePunct w:val="0"/>
        <w:autoSpaceDE/>
        <w:autoSpaceDN/>
        <w:bidi w:val="0"/>
        <w:spacing w:line="520" w:lineRule="exact"/>
        <w:ind w:leftChars="200" w:firstLine="211" w:firstLineChars="1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1.场地相关费用</w:t>
      </w:r>
    </w:p>
    <w:p>
      <w:pPr>
        <w:pStyle w:val="39"/>
        <w:keepNext w:val="0"/>
        <w:keepLines w:val="0"/>
        <w:pageBreakBefore w:val="0"/>
        <w:numPr>
          <w:ilvl w:val="0"/>
          <w:numId w:val="0"/>
        </w:numPr>
        <w:kinsoku/>
        <w:wordWrap/>
        <w:overflowPunct/>
        <w:topLinePunct w:val="0"/>
        <w:autoSpaceDE/>
        <w:autoSpaceDN/>
        <w:bidi w:val="0"/>
        <w:spacing w:line="520" w:lineRule="exact"/>
        <w:ind w:leftChars="200" w:firstLine="210" w:firstLineChars="1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乙方承担项目地点场地使用所产生的费用。</w:t>
      </w:r>
    </w:p>
    <w:p>
      <w:pPr>
        <w:pStyle w:val="39"/>
        <w:keepNext w:val="0"/>
        <w:keepLines w:val="0"/>
        <w:pageBreakBefore w:val="0"/>
        <w:numPr>
          <w:ilvl w:val="0"/>
          <w:numId w:val="0"/>
        </w:numPr>
        <w:kinsoku/>
        <w:wordWrap/>
        <w:overflowPunct/>
        <w:topLinePunct w:val="0"/>
        <w:autoSpaceDE/>
        <w:autoSpaceDN/>
        <w:bidi w:val="0"/>
        <w:spacing w:line="520" w:lineRule="exact"/>
        <w:ind w:left="63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硬体搭建</w:t>
      </w:r>
    </w:p>
    <w:p>
      <w:pPr>
        <w:pStyle w:val="39"/>
        <w:keepNext w:val="0"/>
        <w:keepLines w:val="0"/>
        <w:pageBreakBefore w:val="0"/>
        <w:numPr>
          <w:ilvl w:val="0"/>
          <w:numId w:val="0"/>
        </w:numPr>
        <w:kinsoku/>
        <w:wordWrap/>
        <w:overflowPunct/>
        <w:topLinePunct w:val="0"/>
        <w:autoSpaceDE/>
        <w:autoSpaceDN/>
        <w:bidi w:val="0"/>
        <w:spacing w:line="520" w:lineRule="exact"/>
        <w:ind w:left="630" w:leftChars="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以下内容均为“每场次”必须满足，不再另外强调</w:t>
      </w:r>
      <w:r>
        <w:rPr>
          <w:rFonts w:hint="eastAsia" w:ascii="宋体" w:hAnsi="宋体" w:eastAsia="宋体" w:cs="宋体"/>
          <w:b/>
          <w:bCs/>
          <w:color w:val="auto"/>
          <w:sz w:val="21"/>
          <w:szCs w:val="21"/>
          <w:highlight w:val="none"/>
          <w:lang w:eastAsia="zh-CN"/>
        </w:rPr>
        <w:t>）</w:t>
      </w:r>
    </w:p>
    <w:p>
      <w:pPr>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观赛演艺：区域需考虑防雨抗风</w:t>
      </w:r>
    </w:p>
    <w:p>
      <w:pPr>
        <w:pStyle w:val="7"/>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kern w:val="2"/>
          <w:sz w:val="21"/>
          <w:szCs w:val="21"/>
          <w:highlight w:val="none"/>
        </w:rPr>
      </w:pPr>
      <w:r>
        <w:rPr>
          <w:rFonts w:hint="eastAsia" w:ascii="宋体" w:hAnsi="宋体" w:eastAsia="宋体" w:cs="宋体"/>
          <w:snapToGrid w:val="0"/>
          <w:color w:val="auto"/>
          <w:kern w:val="0"/>
          <w:sz w:val="21"/>
          <w:szCs w:val="21"/>
          <w:highlight w:val="none"/>
        </w:rPr>
        <w:t>①</w:t>
      </w:r>
      <w:r>
        <w:rPr>
          <w:rFonts w:hint="eastAsia" w:ascii="宋体" w:hAnsi="宋体" w:eastAsia="宋体" w:cs="宋体"/>
          <w:color w:val="auto"/>
          <w:kern w:val="2"/>
          <w:sz w:val="21"/>
          <w:szCs w:val="21"/>
          <w:highlight w:val="none"/>
        </w:rPr>
        <w:t>舞台要求：</w:t>
      </w: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color w:val="auto"/>
          <w:kern w:val="2"/>
          <w:sz w:val="21"/>
          <w:szCs w:val="21"/>
          <w:highlight w:val="none"/>
        </w:rPr>
        <w:t>舞台尺寸不得小于</w:t>
      </w:r>
      <w:r>
        <w:rPr>
          <w:rFonts w:hint="eastAsia" w:ascii="宋体" w:hAnsi="宋体" w:eastAsia="宋体" w:cs="宋体"/>
          <w:color w:val="auto"/>
          <w:kern w:val="2"/>
          <w:sz w:val="21"/>
          <w:szCs w:val="21"/>
          <w:highlight w:val="none"/>
          <w:lang w:val="en-US" w:eastAsia="zh-CN"/>
        </w:rPr>
        <w:t>80</w:t>
      </w: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lang w:val="en-US" w:eastAsia="zh-CN"/>
        </w:rPr>
        <w:t>舞</w:t>
      </w:r>
      <w:r>
        <w:rPr>
          <w:rFonts w:hint="eastAsia" w:ascii="宋体" w:hAnsi="宋体" w:eastAsia="宋体" w:cs="宋体"/>
          <w:color w:val="auto"/>
          <w:kern w:val="2"/>
          <w:sz w:val="21"/>
          <w:szCs w:val="21"/>
          <w:highlight w:val="none"/>
        </w:rPr>
        <w:t>台满足演出使用规格和</w:t>
      </w:r>
      <w:r>
        <w:rPr>
          <w:rFonts w:hint="eastAsia" w:ascii="宋体" w:hAnsi="宋体" w:eastAsia="宋体" w:cs="宋体"/>
          <w:color w:val="auto"/>
          <w:kern w:val="2"/>
          <w:sz w:val="21"/>
          <w:szCs w:val="21"/>
          <w:highlight w:val="none"/>
          <w:lang w:val="en-US" w:eastAsia="zh-CN"/>
        </w:rPr>
        <w:t>灯光音响</w:t>
      </w:r>
      <w:r>
        <w:rPr>
          <w:rFonts w:hint="eastAsia" w:ascii="宋体" w:hAnsi="宋体" w:eastAsia="宋体" w:cs="宋体"/>
          <w:color w:val="auto"/>
          <w:kern w:val="2"/>
          <w:sz w:val="21"/>
          <w:szCs w:val="21"/>
          <w:highlight w:val="none"/>
        </w:rPr>
        <w:t>。</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color w:val="auto"/>
          <w:kern w:val="0"/>
          <w:sz w:val="21"/>
          <w:szCs w:val="21"/>
          <w:highlight w:val="none"/>
        </w:rPr>
        <w:t>②</w:t>
      </w:r>
      <w:r>
        <w:rPr>
          <w:rFonts w:hint="eastAsia" w:ascii="宋体" w:hAnsi="宋体" w:eastAsia="宋体" w:cs="宋体"/>
          <w:color w:val="auto"/>
          <w:sz w:val="21"/>
          <w:szCs w:val="21"/>
          <w:highlight w:val="none"/>
          <w:lang w:val="en-US" w:eastAsia="zh-CN"/>
        </w:rPr>
        <w:t>LED</w:t>
      </w:r>
      <w:r>
        <w:rPr>
          <w:rFonts w:hint="eastAsia" w:ascii="宋体" w:hAnsi="宋体" w:eastAsia="宋体" w:cs="宋体"/>
          <w:color w:val="auto"/>
          <w:sz w:val="21"/>
          <w:szCs w:val="21"/>
          <w:highlight w:val="none"/>
        </w:rPr>
        <w:t>屏要求：</w:t>
      </w: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color w:val="auto"/>
          <w:sz w:val="21"/>
          <w:szCs w:val="21"/>
          <w:highlight w:val="none"/>
          <w:lang w:val="en-US" w:eastAsia="zh-CN"/>
        </w:rPr>
        <w:t>LED屏幕</w:t>
      </w:r>
      <w:r>
        <w:rPr>
          <w:rFonts w:hint="eastAsia" w:ascii="宋体" w:hAnsi="宋体" w:eastAsia="宋体" w:cs="宋体"/>
          <w:color w:val="auto"/>
          <w:sz w:val="21"/>
          <w:szCs w:val="21"/>
          <w:highlight w:val="none"/>
        </w:rPr>
        <w:t>尺寸不得小于</w:t>
      </w:r>
      <w:r>
        <w:rPr>
          <w:rFonts w:hint="eastAsia" w:ascii="宋体" w:hAnsi="宋体" w:eastAsia="宋体" w:cs="宋体"/>
          <w:color w:val="auto"/>
          <w:sz w:val="21"/>
          <w:szCs w:val="21"/>
          <w:highlight w:val="none"/>
          <w:lang w:val="en-US" w:eastAsia="zh-CN"/>
        </w:rPr>
        <w:t>70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需</w:t>
      </w:r>
      <w:r>
        <w:rPr>
          <w:rFonts w:hint="eastAsia" w:ascii="宋体" w:hAnsi="宋体" w:eastAsia="宋体" w:cs="宋体"/>
          <w:color w:val="auto"/>
          <w:sz w:val="21"/>
          <w:szCs w:val="21"/>
          <w:highlight w:val="none"/>
        </w:rPr>
        <w:t>户外高精度显示屏，15度倾斜角，抗台风处理。</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rPr>
        <w:t>③</w:t>
      </w:r>
      <w:r>
        <w:rPr>
          <w:rFonts w:hint="eastAsia" w:ascii="宋体" w:hAnsi="宋体" w:eastAsia="宋体" w:cs="宋体"/>
          <w:color w:val="auto"/>
          <w:sz w:val="21"/>
          <w:szCs w:val="21"/>
          <w:highlight w:val="none"/>
        </w:rPr>
        <w:t>音响要求：符合演出要求，</w:t>
      </w:r>
      <w:r>
        <w:rPr>
          <w:rFonts w:hint="eastAsia" w:ascii="宋体" w:hAnsi="宋体" w:eastAsia="宋体" w:cs="宋体"/>
          <w:bCs/>
          <w:color w:val="auto"/>
          <w:sz w:val="21"/>
          <w:szCs w:val="21"/>
          <w:highlight w:val="none"/>
          <w:lang w:val="en-US" w:eastAsia="zh-CN"/>
        </w:rPr>
        <w:t>每个场地均需配备</w:t>
      </w:r>
      <w:r>
        <w:rPr>
          <w:rFonts w:hint="eastAsia" w:ascii="宋体" w:hAnsi="宋体" w:eastAsia="宋体" w:cs="宋体"/>
          <w:color w:val="auto"/>
          <w:sz w:val="21"/>
          <w:szCs w:val="21"/>
          <w:highlight w:val="none"/>
        </w:rPr>
        <w:t>双15寸及以上规格全频音响，符合演出要求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场地</w:t>
      </w:r>
      <w:r>
        <w:rPr>
          <w:rFonts w:hint="eastAsia" w:ascii="宋体" w:hAnsi="宋体" w:eastAsia="宋体" w:cs="宋体"/>
          <w:color w:val="auto"/>
          <w:sz w:val="21"/>
          <w:szCs w:val="21"/>
          <w:highlight w:val="none"/>
        </w:rPr>
        <w:t>设备要满足乐队要求，音响师需有资质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④灯光要求：灯光数量满足现场规划的要求，技术团队需有资质</w:t>
      </w:r>
      <w:r>
        <w:rPr>
          <w:rFonts w:hint="eastAsia" w:ascii="宋体" w:hAnsi="宋体" w:eastAsia="宋体" w:cs="宋体"/>
          <w:color w:val="auto"/>
          <w:sz w:val="21"/>
          <w:szCs w:val="21"/>
          <w:highlight w:val="none"/>
          <w:lang w:eastAsia="zh-CN"/>
        </w:rPr>
        <w:t>。</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5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rPr>
        <w:fldChar w:fldCharType="end"/>
      </w:r>
      <w:r>
        <w:rPr>
          <w:rFonts w:hint="eastAsia" w:ascii="宋体" w:hAnsi="宋体" w:eastAsia="宋体" w:cs="宋体"/>
          <w:b/>
          <w:bCs/>
          <w:color w:val="auto"/>
          <w:sz w:val="21"/>
          <w:szCs w:val="21"/>
          <w:highlight w:val="none"/>
        </w:rPr>
        <w:t>直播信号传输</w:t>
      </w:r>
      <w:r>
        <w:rPr>
          <w:rFonts w:hint="eastAsia" w:ascii="宋体" w:hAnsi="宋体" w:eastAsia="宋体" w:cs="宋体"/>
          <w:b/>
          <w:bCs/>
          <w:color w:val="auto"/>
          <w:sz w:val="21"/>
          <w:szCs w:val="21"/>
          <w:highlight w:val="none"/>
          <w:lang w:val="en-US" w:eastAsia="zh-CN"/>
        </w:rPr>
        <w:t>要求</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苏超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直播信号传输必须使用</w:t>
      </w:r>
      <w:r>
        <w:rPr>
          <w:rFonts w:hint="eastAsia" w:ascii="宋体" w:hAnsi="宋体" w:eastAsia="宋体" w:cs="宋体"/>
          <w:color w:val="auto"/>
          <w:sz w:val="21"/>
          <w:szCs w:val="21"/>
          <w:highlight w:val="none"/>
          <w:lang w:val="en-US" w:eastAsia="zh-CN"/>
        </w:rPr>
        <w:t>经官方授权</w:t>
      </w:r>
      <w:r>
        <w:rPr>
          <w:rFonts w:hint="eastAsia" w:ascii="宋体" w:hAnsi="宋体" w:eastAsia="宋体" w:cs="宋体"/>
          <w:color w:val="auto"/>
          <w:sz w:val="21"/>
          <w:szCs w:val="21"/>
          <w:highlight w:val="none"/>
        </w:rPr>
        <w:t>的专网专线，确保赛事直播视听效果。</w:t>
      </w:r>
    </w:p>
    <w:p>
      <w:pPr>
        <w:pStyle w:val="39"/>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就餐</w:t>
      </w:r>
      <w:r>
        <w:rPr>
          <w:rFonts w:hint="eastAsia" w:ascii="宋体" w:hAnsi="宋体" w:eastAsia="宋体" w:cs="宋体"/>
          <w:color w:val="auto"/>
          <w:sz w:val="21"/>
          <w:szCs w:val="21"/>
          <w:highlight w:val="none"/>
        </w:rPr>
        <w:t>区：</w:t>
      </w:r>
      <w:r>
        <w:rPr>
          <w:rFonts w:hint="eastAsia" w:ascii="宋体" w:hAnsi="宋体" w:eastAsia="宋体" w:cs="宋体"/>
          <w:color w:val="auto"/>
          <w:sz w:val="21"/>
          <w:szCs w:val="21"/>
          <w:highlight w:val="none"/>
          <w:lang w:val="en-US" w:eastAsia="zh-CN"/>
        </w:rPr>
        <w:t>每个场地均需配备桌椅，一桌四人位，不得少于50套，现场服务人员不少于5人，面积不得小于200㎡。</w:t>
      </w:r>
    </w:p>
    <w:p>
      <w:pPr>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snapToGrid w:val="0"/>
          <w:color w:val="auto"/>
          <w:kern w:val="0"/>
          <w:sz w:val="21"/>
          <w:szCs w:val="21"/>
          <w:highlight w:val="none"/>
          <w:lang w:val="en-US"/>
        </w:rPr>
      </w:pPr>
    </w:p>
    <w:p>
      <w:pPr>
        <w:pStyle w:val="7"/>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（3）市集区</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20" w:firstLineChars="200"/>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rPr>
        <w:t>①美食区：</w:t>
      </w:r>
      <w:r>
        <w:rPr>
          <w:rFonts w:hint="eastAsia" w:ascii="宋体" w:hAnsi="宋体" w:cs="宋体"/>
          <w:snapToGrid w:val="0"/>
          <w:color w:val="auto"/>
          <w:kern w:val="0"/>
          <w:sz w:val="21"/>
          <w:szCs w:val="21"/>
          <w:highlight w:val="none"/>
          <w:lang w:val="en-US" w:eastAsia="zh-CN"/>
        </w:rPr>
        <w:t>每个场地</w:t>
      </w:r>
      <w:r>
        <w:rPr>
          <w:rFonts w:hint="eastAsia" w:ascii="宋体" w:hAnsi="宋体" w:eastAsia="宋体" w:cs="宋体"/>
          <w:snapToGrid w:val="0"/>
          <w:color w:val="auto"/>
          <w:kern w:val="0"/>
          <w:sz w:val="21"/>
          <w:szCs w:val="21"/>
          <w:highlight w:val="none"/>
          <w:lang w:val="en-US" w:eastAsia="zh-CN"/>
        </w:rPr>
        <w:t>需</w:t>
      </w:r>
      <w:r>
        <w:rPr>
          <w:rFonts w:hint="eastAsia" w:ascii="宋体" w:hAnsi="宋体" w:cs="宋体"/>
          <w:snapToGrid w:val="0"/>
          <w:color w:val="auto"/>
          <w:kern w:val="0"/>
          <w:sz w:val="21"/>
          <w:szCs w:val="21"/>
          <w:highlight w:val="none"/>
          <w:lang w:val="en-US" w:eastAsia="zh-CN"/>
        </w:rPr>
        <w:t>设置</w:t>
      </w:r>
      <w:r>
        <w:rPr>
          <w:rFonts w:hint="eastAsia" w:ascii="宋体" w:hAnsi="宋体" w:eastAsia="宋体" w:cs="宋体"/>
          <w:snapToGrid w:val="0"/>
          <w:color w:val="auto"/>
          <w:kern w:val="0"/>
          <w:sz w:val="21"/>
          <w:szCs w:val="21"/>
          <w:highlight w:val="none"/>
          <w:lang w:val="en-US" w:eastAsia="zh-CN" w:bidi="ar-SA"/>
        </w:rPr>
        <w:t>“南通好味</w:t>
      </w:r>
      <w:r>
        <w:rPr>
          <w:rFonts w:hint="eastAsia" w:ascii="宋体" w:hAnsi="宋体" w:cs="宋体"/>
          <w:snapToGrid w:val="0"/>
          <w:color w:val="auto"/>
          <w:kern w:val="0"/>
          <w:sz w:val="21"/>
          <w:szCs w:val="21"/>
          <w:highlight w:val="none"/>
          <w:lang w:val="en-US" w:eastAsia="zh-CN"/>
        </w:rPr>
        <w:t>”专区，</w:t>
      </w:r>
      <w:r>
        <w:rPr>
          <w:rFonts w:hint="eastAsia" w:ascii="宋体" w:hAnsi="宋体" w:eastAsia="宋体" w:cs="宋体"/>
          <w:snapToGrid w:val="0"/>
          <w:color w:val="auto"/>
          <w:kern w:val="0"/>
          <w:sz w:val="21"/>
          <w:szCs w:val="21"/>
          <w:highlight w:val="none"/>
        </w:rPr>
        <w:t>融合多种餐饮美食元素，邀请</w:t>
      </w:r>
      <w:r>
        <w:rPr>
          <w:rFonts w:hint="eastAsia" w:ascii="宋体" w:hAnsi="宋体" w:cs="宋体"/>
          <w:snapToGrid w:val="0"/>
          <w:color w:val="auto"/>
          <w:kern w:val="0"/>
          <w:sz w:val="21"/>
          <w:szCs w:val="21"/>
          <w:highlight w:val="none"/>
          <w:lang w:val="en-US" w:eastAsia="zh-CN"/>
        </w:rPr>
        <w:t>全市老字号、餐饮</w:t>
      </w:r>
      <w:r>
        <w:rPr>
          <w:rFonts w:hint="eastAsia" w:ascii="宋体" w:hAnsi="宋体" w:eastAsia="宋体" w:cs="宋体"/>
          <w:snapToGrid w:val="0"/>
          <w:color w:val="auto"/>
          <w:kern w:val="0"/>
          <w:sz w:val="21"/>
          <w:szCs w:val="21"/>
          <w:highlight w:val="none"/>
        </w:rPr>
        <w:t>企业、本土特色小吃、网红美食品牌</w:t>
      </w:r>
      <w:r>
        <w:rPr>
          <w:rFonts w:hint="eastAsia" w:ascii="宋体" w:hAnsi="宋体" w:eastAsia="宋体" w:cs="宋体"/>
          <w:snapToGrid w:val="0"/>
          <w:color w:val="auto"/>
          <w:kern w:val="0"/>
          <w:sz w:val="21"/>
          <w:szCs w:val="21"/>
          <w:highlight w:val="none"/>
          <w:lang w:val="en-US" w:eastAsia="zh-CN"/>
        </w:rPr>
        <w:t>等</w:t>
      </w:r>
      <w:r>
        <w:rPr>
          <w:rFonts w:hint="eastAsia" w:ascii="宋体" w:hAnsi="宋体" w:eastAsia="宋体" w:cs="宋体"/>
          <w:snapToGrid w:val="0"/>
          <w:color w:val="auto"/>
          <w:kern w:val="0"/>
          <w:sz w:val="21"/>
          <w:szCs w:val="21"/>
          <w:highlight w:val="none"/>
        </w:rPr>
        <w:t>入驻</w:t>
      </w:r>
      <w:r>
        <w:rPr>
          <w:rFonts w:hint="eastAsia" w:ascii="宋体" w:hAnsi="宋体" w:eastAsia="宋体" w:cs="宋体"/>
          <w:snapToGrid w:val="0"/>
          <w:color w:val="auto"/>
          <w:kern w:val="0"/>
          <w:sz w:val="21"/>
          <w:szCs w:val="21"/>
          <w:highlight w:val="none"/>
          <w:lang w:eastAsia="zh-CN"/>
        </w:rPr>
        <w:t>，</w:t>
      </w: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snapToGrid w:val="0"/>
          <w:color w:val="auto"/>
          <w:kern w:val="0"/>
          <w:sz w:val="21"/>
          <w:szCs w:val="21"/>
          <w:highlight w:val="none"/>
        </w:rPr>
        <w:t>美食商家不少于</w:t>
      </w:r>
      <w:r>
        <w:rPr>
          <w:rFonts w:hint="eastAsia" w:ascii="宋体" w:hAnsi="宋体" w:eastAsia="宋体" w:cs="宋体"/>
          <w:snapToGrid w:val="0"/>
          <w:color w:val="auto"/>
          <w:kern w:val="0"/>
          <w:sz w:val="21"/>
          <w:szCs w:val="21"/>
          <w:highlight w:val="none"/>
          <w:lang w:val="en-US" w:eastAsia="zh-CN"/>
        </w:rPr>
        <w:t>15</w:t>
      </w:r>
      <w:r>
        <w:rPr>
          <w:rFonts w:hint="eastAsia" w:ascii="宋体" w:hAnsi="宋体" w:eastAsia="宋体" w:cs="宋体"/>
          <w:snapToGrid w:val="0"/>
          <w:color w:val="auto"/>
          <w:kern w:val="0"/>
          <w:sz w:val="21"/>
          <w:szCs w:val="21"/>
          <w:highlight w:val="none"/>
        </w:rPr>
        <w:t>家，主场比赛日现场派送餐饮</w:t>
      </w:r>
      <w:r>
        <w:rPr>
          <w:rFonts w:hint="eastAsia" w:ascii="宋体" w:hAnsi="宋体" w:eastAsia="宋体" w:cs="宋体"/>
          <w:snapToGrid w:val="0"/>
          <w:color w:val="auto"/>
          <w:kern w:val="0"/>
          <w:sz w:val="21"/>
          <w:szCs w:val="21"/>
          <w:highlight w:val="none"/>
          <w:lang w:val="en-US" w:eastAsia="zh-CN"/>
        </w:rPr>
        <w:t>/</w:t>
      </w:r>
      <w:r>
        <w:rPr>
          <w:rFonts w:hint="eastAsia" w:ascii="宋体" w:hAnsi="宋体" w:eastAsia="宋体" w:cs="宋体"/>
          <w:snapToGrid w:val="0"/>
          <w:color w:val="auto"/>
          <w:kern w:val="0"/>
          <w:sz w:val="21"/>
          <w:szCs w:val="21"/>
          <w:highlight w:val="none"/>
        </w:rPr>
        <w:t>酒店住宿消费券</w:t>
      </w:r>
      <w:r>
        <w:rPr>
          <w:rFonts w:hint="eastAsia" w:ascii="宋体" w:hAnsi="宋体" w:eastAsia="宋体" w:cs="宋体"/>
          <w:snapToGrid w:val="0"/>
          <w:color w:val="auto"/>
          <w:kern w:val="0"/>
          <w:sz w:val="21"/>
          <w:szCs w:val="21"/>
          <w:highlight w:val="none"/>
          <w:lang w:val="en-US" w:eastAsia="zh-CN"/>
        </w:rPr>
        <w:t>/</w:t>
      </w:r>
      <w:r>
        <w:rPr>
          <w:rFonts w:hint="eastAsia" w:ascii="宋体" w:hAnsi="宋体" w:eastAsia="宋体" w:cs="宋体"/>
          <w:snapToGrid w:val="0"/>
          <w:color w:val="auto"/>
          <w:kern w:val="0"/>
          <w:sz w:val="21"/>
          <w:szCs w:val="21"/>
          <w:highlight w:val="none"/>
        </w:rPr>
        <w:t>南通特色美食</w:t>
      </w:r>
      <w:r>
        <w:rPr>
          <w:rFonts w:hint="eastAsia" w:ascii="宋体" w:hAnsi="宋体" w:eastAsia="宋体" w:cs="宋体"/>
          <w:snapToGrid w:val="0"/>
          <w:color w:val="auto"/>
          <w:kern w:val="0"/>
          <w:sz w:val="21"/>
          <w:szCs w:val="21"/>
          <w:highlight w:val="none"/>
          <w:lang w:val="en-US" w:eastAsia="zh-CN"/>
        </w:rPr>
        <w:t>等福利</w:t>
      </w:r>
      <w:r>
        <w:rPr>
          <w:rFonts w:hint="eastAsia" w:ascii="宋体" w:hAnsi="宋体" w:eastAsia="宋体" w:cs="宋体"/>
          <w:snapToGrid w:val="0"/>
          <w:color w:val="auto"/>
          <w:kern w:val="0"/>
          <w:sz w:val="21"/>
          <w:szCs w:val="21"/>
          <w:highlight w:val="none"/>
        </w:rPr>
        <w:t>。按风格分设不同区域，招引足量的经营主体形态，让市民在畅饮啤酒的同时，畅享美味</w:t>
      </w:r>
      <w:r>
        <w:rPr>
          <w:rFonts w:hint="eastAsia" w:ascii="宋体" w:hAnsi="宋体" w:eastAsia="宋体" w:cs="宋体"/>
          <w:snapToGrid w:val="0"/>
          <w:color w:val="auto"/>
          <w:kern w:val="0"/>
          <w:sz w:val="21"/>
          <w:szCs w:val="21"/>
          <w:highlight w:val="none"/>
          <w:lang w:eastAsia="zh-CN"/>
        </w:rPr>
        <w:t>。</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napToGrid w:val="0"/>
          <w:color w:val="auto"/>
          <w:kern w:val="0"/>
          <w:sz w:val="21"/>
          <w:szCs w:val="21"/>
          <w:highlight w:val="none"/>
        </w:rPr>
        <w:t>②</w:t>
      </w:r>
      <w:r>
        <w:rPr>
          <w:rFonts w:hint="eastAsia" w:ascii="宋体" w:hAnsi="宋体" w:eastAsia="宋体" w:cs="宋体"/>
          <w:color w:val="auto"/>
          <w:kern w:val="2"/>
          <w:sz w:val="21"/>
          <w:szCs w:val="21"/>
          <w:highlight w:val="none"/>
          <w:lang w:val="en-US" w:eastAsia="zh-CN" w:bidi="ar-SA"/>
        </w:rPr>
        <w:t>好品区：每个场地需设置“南通好品”专区，邀请文创、非遗、农产品等特色市集入驻。推出与“苏超”及南通队IP联名的文创产品、特色大礼包。</w:t>
      </w:r>
    </w:p>
    <w:p>
      <w:pPr>
        <w:keepNext w:val="0"/>
        <w:keepLines w:val="0"/>
        <w:pageBreakBefore w:val="0"/>
        <w:widowControl/>
        <w:shd w:val="solid" w:color="FFFFFF" w:fill="auto"/>
        <w:kinsoku/>
        <w:wordWrap/>
        <w:overflowPunct/>
        <w:topLinePunct w:val="0"/>
        <w:autoSpaceDE/>
        <w:autoSpaceDN/>
        <w:bidi w:val="0"/>
        <w:adjustRightInd/>
        <w:snapToGrid/>
        <w:spacing w:line="520" w:lineRule="exact"/>
        <w:ind w:firstLine="420" w:firstLineChars="200"/>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rPr>
        <w:t>③</w:t>
      </w:r>
      <w:r>
        <w:rPr>
          <w:rFonts w:hint="eastAsia" w:ascii="宋体" w:hAnsi="宋体" w:eastAsia="宋体" w:cs="宋体"/>
          <w:color w:val="auto"/>
          <w:kern w:val="2"/>
          <w:sz w:val="21"/>
          <w:szCs w:val="21"/>
          <w:highlight w:val="none"/>
        </w:rPr>
        <w:t>打酒区：</w:t>
      </w:r>
      <w:r>
        <w:rPr>
          <w:rFonts w:hint="eastAsia" w:ascii="宋体" w:hAnsi="宋体" w:eastAsia="宋体" w:cs="宋体"/>
          <w:bCs/>
          <w:color w:val="auto"/>
          <w:sz w:val="21"/>
          <w:szCs w:val="21"/>
          <w:highlight w:val="none"/>
          <w:lang w:val="en-US" w:eastAsia="zh-CN"/>
        </w:rPr>
        <w:t>每</w:t>
      </w:r>
      <w:r>
        <w:rPr>
          <w:rFonts w:hint="eastAsia" w:ascii="宋体" w:hAnsi="宋体" w:eastAsia="宋体" w:cs="宋体"/>
          <w:color w:val="auto"/>
          <w:kern w:val="2"/>
          <w:sz w:val="21"/>
          <w:szCs w:val="21"/>
          <w:highlight w:val="none"/>
          <w:lang w:val="en-US" w:eastAsia="zh-CN"/>
        </w:rPr>
        <w:t>个场地均</w:t>
      </w:r>
      <w:r>
        <w:rPr>
          <w:rFonts w:hint="eastAsia" w:ascii="宋体" w:hAnsi="宋体" w:eastAsia="宋体" w:cs="宋体"/>
          <w:color w:val="auto"/>
          <w:kern w:val="2"/>
          <w:sz w:val="21"/>
          <w:szCs w:val="21"/>
          <w:highlight w:val="none"/>
          <w:lang w:eastAsia="zh-CN"/>
        </w:rPr>
        <w:t>需配备</w:t>
      </w:r>
      <w:r>
        <w:rPr>
          <w:rFonts w:hint="eastAsia" w:ascii="宋体" w:hAnsi="宋体" w:eastAsia="宋体" w:cs="宋体"/>
          <w:color w:val="auto"/>
          <w:kern w:val="2"/>
          <w:sz w:val="21"/>
          <w:szCs w:val="21"/>
          <w:highlight w:val="none"/>
          <w:lang w:val="en-US" w:eastAsia="zh-CN"/>
        </w:rPr>
        <w:t>特装展位</w:t>
      </w:r>
      <w:r>
        <w:rPr>
          <w:rFonts w:hint="eastAsia" w:ascii="宋体" w:hAnsi="宋体" w:eastAsia="宋体" w:cs="宋体"/>
          <w:color w:val="auto"/>
          <w:kern w:val="2"/>
          <w:sz w:val="21"/>
          <w:szCs w:val="21"/>
          <w:highlight w:val="none"/>
          <w:lang w:eastAsia="zh-CN"/>
        </w:rPr>
        <w:t>打酒</w:t>
      </w:r>
      <w:r>
        <w:rPr>
          <w:rFonts w:hint="eastAsia" w:ascii="宋体" w:hAnsi="宋体" w:eastAsia="宋体" w:cs="宋体"/>
          <w:color w:val="auto"/>
          <w:kern w:val="2"/>
          <w:sz w:val="21"/>
          <w:szCs w:val="21"/>
          <w:highlight w:val="none"/>
          <w:lang w:val="en-US" w:eastAsia="zh-CN"/>
        </w:rPr>
        <w:t>区</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展位不小于15平米</w:t>
      </w:r>
      <w:r>
        <w:rPr>
          <w:rFonts w:hint="eastAsia" w:ascii="宋体" w:hAnsi="宋体" w:eastAsia="宋体" w:cs="宋体"/>
          <w:color w:val="auto"/>
          <w:kern w:val="2"/>
          <w:sz w:val="21"/>
          <w:szCs w:val="21"/>
          <w:highlight w:val="none"/>
          <w:lang w:eastAsia="zh-CN"/>
        </w:rPr>
        <w:t>，须同时满足仓储、打酒及卫生标准，引进知名品牌啤酒、南通本土精酿啤酒，设置啤酒畅饮专区，</w:t>
      </w:r>
      <w:r>
        <w:rPr>
          <w:rFonts w:hint="eastAsia" w:ascii="宋体" w:hAnsi="宋体" w:eastAsia="宋体" w:cs="宋体"/>
          <w:color w:val="auto"/>
          <w:kern w:val="2"/>
          <w:sz w:val="21"/>
          <w:szCs w:val="21"/>
          <w:highlight w:val="none"/>
          <w:lang w:val="en-US" w:eastAsia="zh-CN"/>
        </w:rPr>
        <w:t>每个场地</w:t>
      </w:r>
      <w:r>
        <w:rPr>
          <w:rFonts w:hint="eastAsia" w:ascii="宋体" w:hAnsi="宋体" w:eastAsia="宋体" w:cs="宋体"/>
          <w:color w:val="auto"/>
          <w:sz w:val="21"/>
          <w:szCs w:val="21"/>
          <w:highlight w:val="none"/>
          <w:lang w:val="en-US" w:eastAsia="zh-CN"/>
        </w:rPr>
        <w:t>啤酒品类至少</w:t>
      </w:r>
      <w:r>
        <w:rPr>
          <w:rFonts w:hint="eastAsia" w:ascii="宋体" w:hAnsi="宋体" w:eastAsia="宋体" w:cs="宋体"/>
          <w:color w:val="auto"/>
          <w:sz w:val="21"/>
          <w:szCs w:val="21"/>
          <w:highlight w:val="none"/>
        </w:rPr>
        <w:t>包含</w:t>
      </w:r>
      <w:r>
        <w:rPr>
          <w:rFonts w:hint="eastAsia" w:ascii="宋体" w:hAnsi="宋体" w:eastAsia="宋体" w:cs="宋体"/>
          <w:color w:val="auto"/>
          <w:sz w:val="21"/>
          <w:szCs w:val="21"/>
          <w:highlight w:val="none"/>
          <w:lang w:val="en-US" w:eastAsia="zh-CN"/>
        </w:rPr>
        <w:t>10个</w:t>
      </w:r>
      <w:r>
        <w:rPr>
          <w:rFonts w:hint="eastAsia" w:ascii="宋体" w:hAnsi="宋体" w:eastAsia="宋体" w:cs="宋体"/>
          <w:color w:val="auto"/>
          <w:sz w:val="21"/>
          <w:szCs w:val="21"/>
          <w:highlight w:val="none"/>
          <w:lang w:eastAsia="zh-CN"/>
        </w:rPr>
        <w:t>。</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rPr>
        <w:t>潮玩互动区</w:t>
      </w:r>
    </w:p>
    <w:p>
      <w:pPr>
        <w:keepNext w:val="0"/>
        <w:keepLines w:val="0"/>
        <w:pageBreakBefore w:val="0"/>
        <w:widowControl w:val="0"/>
        <w:numPr>
          <w:ilvl w:val="0"/>
          <w:numId w:val="0"/>
        </w:numPr>
        <w:kinsoku/>
        <w:wordWrap/>
        <w:overflowPunct/>
        <w:topLinePunct w:val="0"/>
        <w:autoSpaceDE/>
        <w:autoSpaceDN/>
        <w:bidi w:val="0"/>
        <w:snapToGrid/>
        <w:spacing w:line="520" w:lineRule="exact"/>
        <w:ind w:left="0" w:leftChars="0"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每个场地均需</w:t>
      </w:r>
      <w:r>
        <w:rPr>
          <w:rFonts w:hint="eastAsia" w:ascii="宋体" w:hAnsi="宋体" w:eastAsia="宋体" w:cs="宋体"/>
          <w:color w:val="auto"/>
          <w:sz w:val="21"/>
          <w:szCs w:val="21"/>
          <w:highlight w:val="none"/>
          <w:lang w:val="en-US" w:eastAsia="zh-CN"/>
        </w:rPr>
        <w:t>置入不得少于2处精神堡垒、3处网红打卡点、</w:t>
      </w:r>
      <w:r>
        <w:rPr>
          <w:rFonts w:hint="eastAsia" w:ascii="宋体" w:hAnsi="宋体" w:eastAsia="宋体" w:cs="宋体"/>
          <w:color w:val="auto"/>
          <w:sz w:val="21"/>
          <w:szCs w:val="21"/>
          <w:highlight w:val="none"/>
        </w:rPr>
        <w:t>不得少于</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种互动</w:t>
      </w:r>
      <w:r>
        <w:rPr>
          <w:rFonts w:hint="eastAsia" w:ascii="宋体" w:hAnsi="宋体" w:eastAsia="宋体" w:cs="宋体"/>
          <w:color w:val="auto"/>
          <w:sz w:val="21"/>
          <w:szCs w:val="21"/>
          <w:highlight w:val="none"/>
          <w:lang w:val="en-US" w:eastAsia="zh-CN"/>
        </w:rPr>
        <w:t>运动</w:t>
      </w:r>
      <w:r>
        <w:rPr>
          <w:rFonts w:hint="eastAsia" w:ascii="宋体" w:hAnsi="宋体" w:eastAsia="宋体" w:cs="宋体"/>
          <w:color w:val="auto"/>
          <w:sz w:val="21"/>
          <w:szCs w:val="21"/>
          <w:highlight w:val="none"/>
        </w:rPr>
        <w:t>体验游戏</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制作</w:t>
      </w:r>
      <w:r>
        <w:rPr>
          <w:rFonts w:hint="eastAsia" w:ascii="宋体" w:hAnsi="宋体" w:eastAsia="宋体" w:cs="宋体"/>
          <w:bCs w:val="0"/>
          <w:strike w:val="0"/>
          <w:dstrike w:val="0"/>
          <w:color w:val="auto"/>
          <w:kern w:val="2"/>
          <w:sz w:val="21"/>
          <w:szCs w:val="21"/>
          <w:highlight w:val="none"/>
          <w:lang w:val="en-US" w:eastAsia="zh-CN" w:bidi="ar-SA"/>
        </w:rPr>
        <w:t>创意道具，</w:t>
      </w:r>
      <w:r>
        <w:rPr>
          <w:rFonts w:hint="eastAsia" w:ascii="宋体" w:hAnsi="宋体" w:eastAsia="宋体" w:cs="宋体"/>
          <w:color w:val="auto"/>
          <w:sz w:val="21"/>
          <w:szCs w:val="21"/>
          <w:highlight w:val="none"/>
          <w:lang w:val="en-US" w:eastAsia="zh-CN"/>
        </w:rPr>
        <w:t>其中精神堡垒高度在5米以上，打卡点长度不小于3米。</w:t>
      </w:r>
    </w:p>
    <w:p>
      <w:pPr>
        <w:pStyle w:val="7"/>
        <w:keepNext w:val="0"/>
        <w:keepLines w:val="0"/>
        <w:pageBreakBefore w:val="0"/>
        <w:kinsoku/>
        <w:wordWrap/>
        <w:overflowPunct/>
        <w:topLinePunct w:val="0"/>
        <w:autoSpaceDE/>
        <w:autoSpaceDN/>
        <w:bidi w:val="0"/>
        <w:spacing w:line="52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施工配套：根据现场需求配备水电设备，水电设备须符合国家最新规格标准。</w:t>
      </w:r>
      <w:r>
        <w:rPr>
          <w:rFonts w:hint="eastAsia" w:ascii="宋体" w:hAnsi="宋体" w:eastAsia="宋体" w:cs="宋体"/>
          <w:color w:val="auto"/>
          <w:sz w:val="21"/>
          <w:szCs w:val="21"/>
          <w:highlight w:val="none"/>
          <w:lang w:val="en-US" w:eastAsia="zh-CN"/>
        </w:rPr>
        <w:t>同时每个场地现场需配备2名以上持证电工寻场，以保证现场用电安全。</w:t>
      </w:r>
    </w:p>
    <w:p>
      <w:pPr>
        <w:pStyle w:val="7"/>
        <w:keepNext w:val="0"/>
        <w:keepLines w:val="0"/>
        <w:pageBreakBefore w:val="0"/>
        <w:kinsoku/>
        <w:wordWrap/>
        <w:overflowPunct/>
        <w:topLinePunct w:val="0"/>
        <w:autoSpaceDE/>
        <w:autoSpaceDN/>
        <w:bidi w:val="0"/>
        <w:spacing w:line="520" w:lineRule="exact"/>
        <w:ind w:left="0" w:leftChars="0" w:firstLine="422" w:firstLineChars="200"/>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lang w:val="en-US" w:eastAsia="zh-CN"/>
        </w:rPr>
        <w:t>3</w:t>
      </w:r>
      <w:r>
        <w:rPr>
          <w:rFonts w:hint="eastAsia" w:ascii="宋体" w:hAnsi="宋体" w:eastAsia="宋体" w:cs="宋体"/>
          <w:b/>
          <w:bCs/>
          <w:color w:val="auto"/>
          <w:kern w:val="2"/>
          <w:sz w:val="21"/>
          <w:szCs w:val="21"/>
          <w:highlight w:val="none"/>
        </w:rPr>
        <w:t>.配套活动</w:t>
      </w:r>
    </w:p>
    <w:p>
      <w:pPr>
        <w:pStyle w:val="7"/>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b/>
          <w:bCs/>
          <w:color w:val="auto"/>
          <w:kern w:val="2"/>
          <w:sz w:val="21"/>
          <w:szCs w:val="21"/>
          <w:highlight w:val="none"/>
        </w:rPr>
      </w:pPr>
      <w:r>
        <w:rPr>
          <w:rFonts w:hint="eastAsia" w:ascii="宋体" w:hAnsi="宋体" w:eastAsia="宋体" w:cs="宋体"/>
          <w:bCs/>
          <w:color w:val="auto"/>
          <w:kern w:val="2"/>
          <w:sz w:val="21"/>
          <w:szCs w:val="21"/>
          <w:highlight w:val="none"/>
        </w:rPr>
        <w:t>啤酒</w:t>
      </w:r>
      <w:r>
        <w:rPr>
          <w:rFonts w:hint="eastAsia" w:ascii="宋体" w:hAnsi="宋体" w:eastAsia="宋体" w:cs="宋体"/>
          <w:bCs/>
          <w:color w:val="auto"/>
          <w:kern w:val="2"/>
          <w:sz w:val="21"/>
          <w:szCs w:val="21"/>
          <w:highlight w:val="none"/>
          <w:lang w:val="en-US" w:eastAsia="zh-CN"/>
        </w:rPr>
        <w:t>嘉年华</w:t>
      </w:r>
      <w:r>
        <w:rPr>
          <w:rFonts w:hint="eastAsia" w:ascii="宋体" w:hAnsi="宋体" w:eastAsia="宋体" w:cs="宋体"/>
          <w:bCs/>
          <w:color w:val="auto"/>
          <w:kern w:val="2"/>
          <w:sz w:val="21"/>
          <w:szCs w:val="21"/>
          <w:highlight w:val="none"/>
        </w:rPr>
        <w:t>期间，举办亮点人气活动，活动内容健康，形式新颖。</w:t>
      </w:r>
    </w:p>
    <w:p>
      <w:pPr>
        <w:pStyle w:val="7"/>
        <w:keepNext w:val="0"/>
        <w:keepLines w:val="0"/>
        <w:pageBreakBefore w:val="0"/>
        <w:widowControl w:val="0"/>
        <w:numPr>
          <w:ilvl w:val="-1"/>
          <w:numId w:val="0"/>
        </w:numPr>
        <w:tabs>
          <w:tab w:val="left" w:pos="5670"/>
        </w:tabs>
        <w:kinsoku/>
        <w:wordWrap/>
        <w:overflowPunct/>
        <w:topLinePunct w:val="0"/>
        <w:autoSpaceDE/>
        <w:autoSpaceDN/>
        <w:bidi w:val="0"/>
        <w:snapToGrid/>
        <w:spacing w:line="520" w:lineRule="exact"/>
        <w:ind w:left="420" w:leftChars="200" w:firstLine="0" w:firstLineChars="0"/>
        <w:rPr>
          <w:rFonts w:hint="eastAsia" w:ascii="宋体" w:hAnsi="宋体" w:eastAsia="宋体" w:cs="宋体"/>
          <w:bCs/>
          <w:color w:val="auto"/>
          <w:kern w:val="2"/>
          <w:sz w:val="21"/>
          <w:szCs w:val="21"/>
          <w:highlight w:val="none"/>
        </w:rPr>
      </w:pP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lang w:val="en-US" w:eastAsia="zh-CN"/>
        </w:rPr>
        <w:t>1</w:t>
      </w:r>
      <w:r>
        <w:rPr>
          <w:rFonts w:hint="eastAsia" w:ascii="宋体" w:hAnsi="宋体" w:eastAsia="宋体" w:cs="宋体"/>
          <w:bCs/>
          <w:color w:val="auto"/>
          <w:kern w:val="2"/>
          <w:sz w:val="21"/>
          <w:szCs w:val="21"/>
          <w:highlight w:val="none"/>
          <w:lang w:eastAsia="zh-CN"/>
        </w:rPr>
        <w:t>）</w:t>
      </w:r>
      <w:r>
        <w:rPr>
          <w:rFonts w:hint="eastAsia" w:ascii="宋体" w:hAnsi="宋体" w:eastAsia="宋体" w:cs="宋体"/>
          <w:bCs/>
          <w:color w:val="auto"/>
          <w:kern w:val="2"/>
          <w:sz w:val="21"/>
          <w:szCs w:val="21"/>
          <w:highlight w:val="none"/>
        </w:rPr>
        <w:t>演出节目：</w:t>
      </w:r>
      <w:r>
        <w:rPr>
          <w:rFonts w:hint="eastAsia" w:ascii="宋体" w:hAnsi="宋体" w:eastAsia="宋体" w:cs="宋体"/>
          <w:bCs/>
          <w:color w:val="auto"/>
          <w:kern w:val="2"/>
          <w:sz w:val="21"/>
          <w:szCs w:val="21"/>
          <w:highlight w:val="none"/>
          <w:lang w:val="en-US" w:eastAsia="zh-CN"/>
        </w:rPr>
        <w:t>现场安排乐队演出，每个场地演出节目不得少于4个。</w:t>
      </w:r>
    </w:p>
    <w:p>
      <w:pPr>
        <w:pStyle w:val="7"/>
        <w:keepNext w:val="0"/>
        <w:keepLines w:val="0"/>
        <w:pageBreakBefore w:val="0"/>
        <w:numPr>
          <w:ilvl w:val="0"/>
          <w:numId w:val="4"/>
        </w:numPr>
        <w:kinsoku/>
        <w:wordWrap/>
        <w:overflowPunct/>
        <w:topLinePunct w:val="0"/>
        <w:bidi w:val="0"/>
        <w:spacing w:line="520" w:lineRule="exact"/>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互动体验活动：推出“苏超”联赛竞猜、足球技能挑战赛、酒王争霸赛等。</w:t>
      </w:r>
    </w:p>
    <w:p>
      <w:pPr>
        <w:keepNext w:val="0"/>
        <w:keepLines w:val="0"/>
        <w:pageBreakBefore w:val="0"/>
        <w:widowControl w:val="0"/>
        <w:kinsoku/>
        <w:wordWrap/>
        <w:overflowPunct/>
        <w:topLinePunct w:val="0"/>
        <w:autoSpaceDE/>
        <w:autoSpaceDN/>
        <w:bidi w:val="0"/>
        <w:snapToGrid/>
        <w:spacing w:line="520" w:lineRule="exact"/>
        <w:ind w:left="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.亮化工程</w:t>
      </w:r>
    </w:p>
    <w:p>
      <w:pPr>
        <w:pStyle w:val="7"/>
        <w:keepNext w:val="0"/>
        <w:keepLines w:val="0"/>
        <w:pageBreakBefore w:val="0"/>
        <w:widowControl w:val="0"/>
        <w:kinsoku/>
        <w:wordWrap/>
        <w:overflowPunct/>
        <w:topLinePunct w:val="0"/>
        <w:autoSpaceDE/>
        <w:autoSpaceDN/>
        <w:bidi w:val="0"/>
        <w:snapToGrid/>
        <w:spacing w:line="520" w:lineRule="exact"/>
        <w:ind w:left="0" w:firstLine="420" w:firstLineChars="200"/>
        <w:rPr>
          <w:rFonts w:hint="eastAsia" w:ascii="宋体" w:hAnsi="宋体" w:eastAsia="宋体" w:cs="宋体"/>
          <w:bCs/>
          <w:color w:val="auto"/>
          <w:kern w:val="2"/>
          <w:sz w:val="21"/>
          <w:szCs w:val="21"/>
          <w:highlight w:val="none"/>
          <w:lang w:val="en-US" w:eastAsia="zh-CN"/>
        </w:rPr>
      </w:pP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bCs/>
          <w:color w:val="auto"/>
          <w:kern w:val="2"/>
          <w:sz w:val="21"/>
          <w:szCs w:val="21"/>
          <w:highlight w:val="none"/>
          <w:lang w:val="en-US" w:eastAsia="zh-CN"/>
        </w:rPr>
        <w:t>门头长度不得少于9米，主出入口周围也需设计相应风格的亮化设计。</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活动保障</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乙方须</w:t>
      </w:r>
      <w:r>
        <w:rPr>
          <w:rFonts w:hint="eastAsia" w:ascii="宋体" w:hAnsi="宋体" w:eastAsia="宋体" w:cs="宋体"/>
          <w:bCs/>
          <w:color w:val="auto"/>
          <w:sz w:val="21"/>
          <w:szCs w:val="21"/>
          <w:highlight w:val="none"/>
        </w:rPr>
        <w:t>做好以下工作</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所产生的费用由乙方支付</w:t>
      </w:r>
      <w:r>
        <w:rPr>
          <w:rFonts w:hint="eastAsia" w:ascii="宋体" w:hAnsi="宋体" w:eastAsia="宋体" w:cs="宋体"/>
          <w:bCs/>
          <w:color w:val="auto"/>
          <w:sz w:val="21"/>
          <w:szCs w:val="21"/>
          <w:highlight w:val="none"/>
        </w:rPr>
        <w:t>：</w:t>
      </w:r>
    </w:p>
    <w:p>
      <w:pPr>
        <w:widowControl/>
        <w:shd w:val="solid" w:color="FFFFFF" w:fill="auto"/>
        <w:spacing w:before="75" w:after="75" w:line="520" w:lineRule="exact"/>
        <w:ind w:left="0" w:leftChars="0" w:firstLine="420" w:firstLineChars="20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cs="宋体"/>
          <w:bCs/>
          <w:strike w:val="0"/>
          <w:dstrike w:val="0"/>
          <w:color w:val="auto"/>
          <w:kern w:val="2"/>
          <w:sz w:val="21"/>
          <w:szCs w:val="21"/>
          <w:highlight w:val="none"/>
          <w:lang w:val="en-US" w:eastAsia="zh-CN" w:bidi="ar-SA"/>
        </w:rPr>
        <w:t>（1）</w:t>
      </w:r>
      <w:r>
        <w:rPr>
          <w:rFonts w:hint="eastAsia" w:ascii="宋体" w:hAnsi="宋体" w:eastAsia="宋体" w:cs="宋体"/>
          <w:bCs/>
          <w:strike w:val="0"/>
          <w:dstrike w:val="0"/>
          <w:color w:val="auto"/>
          <w:kern w:val="2"/>
          <w:sz w:val="21"/>
          <w:szCs w:val="21"/>
          <w:highlight w:val="none"/>
          <w:lang w:val="en-US" w:eastAsia="zh-CN" w:bidi="ar-SA"/>
        </w:rPr>
        <w:t>策划执行团队</w:t>
      </w:r>
    </w:p>
    <w:p>
      <w:pPr>
        <w:widowControl/>
        <w:shd w:val="solid" w:color="FFFFFF" w:fill="auto"/>
        <w:spacing w:before="75" w:after="75" w:line="520" w:lineRule="exact"/>
        <w:ind w:left="0" w:leftChars="0" w:firstLine="420" w:firstLineChars="200"/>
        <w:rPr>
          <w:rFonts w:hint="eastAsia" w:ascii="宋体" w:hAnsi="宋体" w:eastAsia="宋体" w:cs="宋体"/>
          <w:bCs/>
          <w:strike w:val="0"/>
          <w:dstrike w:val="0"/>
          <w:color w:val="auto"/>
          <w:kern w:val="2"/>
          <w:sz w:val="21"/>
          <w:szCs w:val="21"/>
          <w:highlight w:val="none"/>
          <w:lang w:val="en-US" w:eastAsia="zh-CN" w:bidi="ar-SA"/>
        </w:rPr>
      </w:pPr>
      <w:r>
        <w:rPr>
          <w:rFonts w:hint="eastAsia" w:ascii="宋体" w:hAnsi="宋体" w:eastAsia="宋体" w:cs="宋体"/>
          <w:bCs/>
          <w:strike w:val="0"/>
          <w:dstrike w:val="0"/>
          <w:color w:val="auto"/>
          <w:kern w:val="2"/>
          <w:sz w:val="21"/>
          <w:szCs w:val="21"/>
          <w:highlight w:val="none"/>
          <w:lang w:val="en-US" w:eastAsia="zh-CN" w:bidi="ar-SA"/>
        </w:rPr>
        <w:t>乙方须为本项目提供专业的策划执行团队，包括但不限于策划执行人员、主持人、技术人员、场控人员等。</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安全保卫执勤及消防：</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保卫执勤：根据活动前期、活动中期、撤展期间定制相对应的安全保卫执勤方案</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活动场地安保人数不少于10人</w:t>
      </w:r>
      <w:r>
        <w:rPr>
          <w:rFonts w:hint="eastAsia" w:ascii="宋体" w:hAnsi="宋体" w:eastAsia="宋体" w:cs="宋体"/>
          <w:bCs/>
          <w:color w:val="auto"/>
          <w:sz w:val="21"/>
          <w:szCs w:val="21"/>
          <w:highlight w:val="none"/>
        </w:rPr>
        <w:t>；</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通信保障：在活动期间通信保持畅通，及时规范应答；</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消防响应：制定消防方案，配合公安，消防部门，对火灾现场进行勘验。</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突发事件应急：</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为保障活动顺利进行，及时、有力、高效处置突发事件，制定突发事件应急方案。须为活动购买大型活动保险。</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卫生保障</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负责整个活动的卫生保洁工作，</w:t>
      </w:r>
      <w:r>
        <w:rPr>
          <w:rFonts w:hint="eastAsia" w:ascii="宋体" w:hAnsi="宋体" w:eastAsia="宋体" w:cs="宋体"/>
          <w:bCs/>
          <w:color w:val="auto"/>
          <w:sz w:val="21"/>
          <w:szCs w:val="21"/>
          <w:highlight w:val="none"/>
          <w:lang w:val="en-US" w:eastAsia="zh-CN"/>
        </w:rPr>
        <w:t>每个场地</w:t>
      </w:r>
      <w:r>
        <w:rPr>
          <w:rFonts w:hint="eastAsia" w:ascii="宋体" w:hAnsi="宋体" w:eastAsia="宋体" w:cs="宋体"/>
          <w:bCs/>
          <w:color w:val="auto"/>
          <w:sz w:val="21"/>
          <w:szCs w:val="21"/>
          <w:highlight w:val="none"/>
        </w:rPr>
        <w:t>垃圾桶不得少于</w:t>
      </w:r>
      <w:r>
        <w:rPr>
          <w:rFonts w:hint="eastAsia" w:ascii="宋体" w:hAnsi="宋体" w:eastAsia="宋体" w:cs="宋体"/>
          <w:bCs/>
          <w:color w:val="auto"/>
          <w:sz w:val="21"/>
          <w:szCs w:val="21"/>
          <w:highlight w:val="none"/>
          <w:lang w:val="en-US" w:eastAsia="zh-CN"/>
        </w:rPr>
        <w:t>20</w:t>
      </w:r>
      <w:r>
        <w:rPr>
          <w:rFonts w:hint="eastAsia" w:ascii="宋体" w:hAnsi="宋体" w:eastAsia="宋体" w:cs="宋体"/>
          <w:bCs/>
          <w:color w:val="auto"/>
          <w:sz w:val="21"/>
          <w:szCs w:val="21"/>
          <w:highlight w:val="none"/>
        </w:rPr>
        <w:t>个，</w:t>
      </w:r>
      <w:r>
        <w:rPr>
          <w:rFonts w:hint="eastAsia" w:ascii="宋体" w:hAnsi="宋体" w:eastAsia="宋体" w:cs="宋体"/>
          <w:bCs/>
          <w:color w:val="auto"/>
          <w:sz w:val="21"/>
          <w:szCs w:val="21"/>
          <w:highlight w:val="none"/>
          <w:lang w:val="en-US" w:eastAsia="zh-CN"/>
        </w:rPr>
        <w:t>每个场地现场保洁人数不少</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eastAsia="zh-CN"/>
        </w:rPr>
        <w:t>人，</w:t>
      </w:r>
      <w:r>
        <w:rPr>
          <w:rFonts w:hint="eastAsia" w:ascii="宋体" w:hAnsi="宋体" w:eastAsia="宋体" w:cs="宋体"/>
          <w:bCs/>
          <w:color w:val="auto"/>
          <w:sz w:val="21"/>
          <w:szCs w:val="21"/>
          <w:highlight w:val="none"/>
        </w:rPr>
        <w:t>保持活动场地的整洁。垃圾日产日清，及时清运至指定地点。</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w:t>
      </w:r>
      <w:r>
        <w:rPr>
          <w:rFonts w:hint="eastAsia" w:ascii="宋体" w:hAnsi="宋体" w:cs="宋体"/>
          <w:bCs/>
          <w:color w:val="auto"/>
          <w:sz w:val="21"/>
          <w:szCs w:val="21"/>
          <w:highlight w:val="none"/>
          <w:lang w:val="en-US" w:eastAsia="zh-CN"/>
        </w:rPr>
        <w:t>5</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strike w:val="0"/>
          <w:dstrike w:val="0"/>
          <w:color w:val="auto"/>
          <w:kern w:val="2"/>
          <w:sz w:val="21"/>
          <w:szCs w:val="21"/>
          <w:highlight w:val="none"/>
          <w:lang w:val="en-US" w:eastAsia="zh-CN" w:bidi="ar-SA"/>
        </w:rPr>
        <w:t>水电设施配备、</w:t>
      </w:r>
      <w:r>
        <w:rPr>
          <w:rFonts w:hint="eastAsia" w:ascii="宋体" w:hAnsi="宋体" w:eastAsia="宋体" w:cs="宋体"/>
          <w:bCs/>
          <w:color w:val="auto"/>
          <w:sz w:val="21"/>
          <w:szCs w:val="21"/>
          <w:highlight w:val="none"/>
        </w:rPr>
        <w:t xml:space="preserve">交通疏导、停车安排 </w:t>
      </w:r>
    </w:p>
    <w:p>
      <w:pPr>
        <w:keepNext w:val="0"/>
        <w:keepLines w:val="0"/>
        <w:pageBreakBefore w:val="0"/>
        <w:widowControl/>
        <w:shd w:val="solid" w:color="FFFFFF" w:fill="auto"/>
        <w:kinsoku/>
        <w:wordWrap/>
        <w:overflowPunct/>
        <w:topLinePunct w:val="0"/>
        <w:autoSpaceDE/>
        <w:autoSpaceDN/>
        <w:bidi w:val="0"/>
        <w:spacing w:before="75" w:after="75" w:line="5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strike w:val="0"/>
          <w:dstrike w:val="0"/>
          <w:color w:val="auto"/>
          <w:kern w:val="2"/>
          <w:sz w:val="21"/>
          <w:szCs w:val="21"/>
          <w:highlight w:val="none"/>
          <w:lang w:val="en-US" w:eastAsia="zh-CN" w:bidi="ar-SA"/>
        </w:rPr>
        <w:t>根据场地的设置合理规划、设置水电，保障各项活动正常开展</w:t>
      </w:r>
      <w:r>
        <w:rPr>
          <w:rFonts w:hint="eastAsia" w:ascii="宋体" w:hAnsi="宋体" w:cs="宋体"/>
          <w:bCs/>
          <w:strike w:val="0"/>
          <w:dstrike w:val="0"/>
          <w:color w:val="auto"/>
          <w:kern w:val="2"/>
          <w:sz w:val="21"/>
          <w:szCs w:val="21"/>
          <w:highlight w:val="none"/>
          <w:lang w:val="en-US" w:eastAsia="zh-CN" w:bidi="ar-SA"/>
        </w:rPr>
        <w:t>；</w:t>
      </w:r>
      <w:r>
        <w:rPr>
          <w:rFonts w:hint="eastAsia" w:ascii="宋体" w:hAnsi="宋体" w:eastAsia="宋体" w:cs="宋体"/>
          <w:bCs/>
          <w:color w:val="auto"/>
          <w:sz w:val="21"/>
          <w:szCs w:val="21"/>
          <w:highlight w:val="none"/>
        </w:rPr>
        <w:t>合理规划停车区域，并安排人员进行交通疏导，确保活动期间交通顺畅。</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w:t>
      </w:r>
      <w:r>
        <w:rPr>
          <w:rFonts w:hint="eastAsia" w:ascii="宋体" w:hAnsi="宋体" w:cs="宋体"/>
          <w:bCs/>
          <w:color w:val="auto"/>
          <w:sz w:val="21"/>
          <w:szCs w:val="21"/>
          <w:highlight w:val="none"/>
          <w:lang w:val="en-US" w:eastAsia="zh-CN"/>
        </w:rPr>
        <w:t>6</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其他需求：完成</w:t>
      </w:r>
      <w:r>
        <w:rPr>
          <w:rFonts w:hint="eastAsia" w:ascii="宋体" w:hAnsi="宋体" w:eastAsia="宋体" w:cs="宋体"/>
          <w:bCs/>
          <w:color w:val="auto"/>
          <w:sz w:val="21"/>
          <w:szCs w:val="21"/>
          <w:highlight w:val="none"/>
          <w:lang w:eastAsia="zh-CN"/>
        </w:rPr>
        <w:t>甲方</w:t>
      </w:r>
      <w:r>
        <w:rPr>
          <w:rFonts w:hint="eastAsia" w:ascii="宋体" w:hAnsi="宋体" w:eastAsia="宋体" w:cs="宋体"/>
          <w:bCs/>
          <w:color w:val="auto"/>
          <w:sz w:val="21"/>
          <w:szCs w:val="21"/>
          <w:highlight w:val="none"/>
        </w:rPr>
        <w:t>交办的其他与活动相关的工作内容。</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6.宣传要求</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宣传报道需在南通市级以上或官方媒体发布，每场活动均需进行现场报道、短视频传播。需在主城区利用不少于2处市区主干道固定画面、电子屏进行活动宣传，在公交站台、地铁站等进行宣传。</w:t>
      </w:r>
    </w:p>
    <w:p>
      <w:pPr>
        <w:keepNext w:val="0"/>
        <w:keepLines w:val="0"/>
        <w:pageBreakBefore w:val="0"/>
        <w:kinsoku/>
        <w:wordWrap/>
        <w:overflowPunct/>
        <w:topLinePunct w:val="0"/>
        <w:autoSpaceDE/>
        <w:autoSpaceDN/>
        <w:bidi w:val="0"/>
        <w:spacing w:line="52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 w:val="0"/>
          <w:bCs/>
          <w:strike w:val="0"/>
          <w:dstrike w:val="0"/>
          <w:color w:val="auto"/>
          <w:kern w:val="2"/>
          <w:sz w:val="21"/>
          <w:szCs w:val="21"/>
          <w:highlight w:val="none"/>
          <w:lang w:val="en-US" w:eastAsia="zh-CN" w:bidi="ar-SA"/>
        </w:rPr>
        <w:t>活动效果</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strike w:val="0"/>
          <w:dstrike w:val="0"/>
          <w:color w:val="auto"/>
          <w:kern w:val="2"/>
          <w:sz w:val="21"/>
          <w:szCs w:val="21"/>
          <w:highlight w:val="none"/>
          <w:lang w:val="en-US" w:eastAsia="zh-CN" w:bidi="ar-SA"/>
        </w:rPr>
        <w:t>针对本项目制定的完整的引流方案及提高消费者满意度方案</w:t>
      </w:r>
      <w:r>
        <w:rPr>
          <w:rFonts w:hint="eastAsia" w:ascii="宋体" w:hAnsi="宋体" w:cs="宋体"/>
          <w:bCs/>
          <w:strike w:val="0"/>
          <w:dstrike w:val="0"/>
          <w:color w:val="auto"/>
          <w:kern w:val="2"/>
          <w:sz w:val="21"/>
          <w:szCs w:val="21"/>
          <w:highlight w:val="none"/>
          <w:lang w:val="en-US" w:eastAsia="zh-CN" w:bidi="ar-SA"/>
        </w:rPr>
        <w:t>，</w:t>
      </w:r>
      <w:r>
        <w:rPr>
          <w:rFonts w:hint="eastAsia" w:ascii="宋体" w:hAnsi="宋体" w:eastAsia="宋体" w:cs="宋体"/>
          <w:bCs/>
          <w:color w:val="auto"/>
          <w:sz w:val="21"/>
          <w:szCs w:val="21"/>
          <w:highlight w:val="none"/>
          <w:lang w:val="en-US" w:eastAsia="zh-CN"/>
        </w:rPr>
        <w:t>平均每场人次不少于1000人次。</w:t>
      </w:r>
    </w:p>
    <w:p>
      <w:pPr>
        <w:keepNext w:val="0"/>
        <w:keepLines w:val="0"/>
        <w:pageBreakBefore w:val="0"/>
        <w:widowControl/>
        <w:numPr>
          <w:ilvl w:val="0"/>
          <w:numId w:val="0"/>
        </w:numPr>
        <w:shd w:val="solid" w:color="FFFFFF" w:fill="auto"/>
        <w:kinsoku/>
        <w:wordWrap/>
        <w:overflowPunct/>
        <w:topLinePunct w:val="0"/>
        <w:autoSpaceDE/>
        <w:autoSpaceDN/>
        <w:bidi w:val="0"/>
        <w:spacing w:before="75" w:after="75" w:line="360" w:lineRule="auto"/>
        <w:ind w:firstLine="422" w:firstLineChars="200"/>
        <w:rPr>
          <w:rFonts w:hint="eastAsia" w:ascii="宋体" w:hAnsi="宋体" w:eastAsia="宋体" w:cs="宋体"/>
          <w:b/>
          <w:bCs/>
          <w:color w:val="auto"/>
          <w:kern w:val="0"/>
          <w:sz w:val="21"/>
          <w:szCs w:val="21"/>
          <w:highlight w:val="none"/>
          <w:lang w:val="zh-CN" w:eastAsia="zh-CN" w:bidi="ar"/>
        </w:rPr>
      </w:pPr>
      <w:r>
        <w:rPr>
          <w:rFonts w:hint="eastAsia" w:ascii="宋体" w:hAnsi="宋体" w:eastAsia="宋体" w:cs="宋体"/>
          <w:b/>
          <w:bCs/>
          <w:color w:val="auto"/>
          <w:kern w:val="0"/>
          <w:sz w:val="21"/>
          <w:szCs w:val="21"/>
          <w:highlight w:val="none"/>
          <w:lang w:val="en-US" w:eastAsia="zh-CN" w:bidi="ar"/>
        </w:rPr>
        <w:t>8.明细清单如下</w:t>
      </w:r>
      <w:r>
        <w:rPr>
          <w:rFonts w:hint="eastAsia" w:ascii="宋体" w:hAnsi="宋体" w:eastAsia="宋体" w:cs="宋体"/>
          <w:b/>
          <w:bCs/>
          <w:color w:val="auto"/>
          <w:kern w:val="0"/>
          <w:sz w:val="21"/>
          <w:szCs w:val="21"/>
          <w:highlight w:val="none"/>
          <w:lang w:val="zh-CN" w:eastAsia="zh-CN" w:bidi="ar"/>
        </w:rPr>
        <w:t>：</w:t>
      </w:r>
    </w:p>
    <w:tbl>
      <w:tblPr>
        <w:tblStyle w:val="24"/>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1099"/>
        <w:gridCol w:w="1400"/>
        <w:gridCol w:w="6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序号</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项目</w:t>
            </w:r>
          </w:p>
        </w:tc>
        <w:tc>
          <w:tcPr>
            <w:tcW w:w="1400"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rPr>
              <w:t>报价</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lang w:val="en-US" w:eastAsia="zh-CN"/>
              </w:rPr>
              <w:t>元</w:t>
            </w:r>
            <w:r>
              <w:rPr>
                <w:rFonts w:hint="eastAsia" w:ascii="宋体" w:hAnsi="宋体" w:eastAsia="宋体" w:cs="宋体"/>
                <w:b w:val="0"/>
                <w:bCs w:val="0"/>
                <w:color w:val="auto"/>
                <w:kern w:val="0"/>
                <w:sz w:val="21"/>
                <w:szCs w:val="21"/>
                <w:highlight w:val="none"/>
                <w:lang w:eastAsia="zh-CN"/>
              </w:rPr>
              <w:t>）</w:t>
            </w:r>
          </w:p>
        </w:tc>
        <w:tc>
          <w:tcPr>
            <w:tcW w:w="6148"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报价项目详细清单或描述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1400"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6148" w:type="dxa"/>
            <w:shd w:val="clear" w:color="auto" w:fill="auto"/>
            <w:noWrap/>
            <w:vAlign w:val="center"/>
          </w:tcPr>
          <w:p>
            <w:pPr>
              <w:widowControl/>
              <w:textAlignment w:val="baseline"/>
              <w:rPr>
                <w:rFonts w:hint="eastAsia" w:ascii="宋体" w:hAnsi="宋体" w:eastAsia="宋体" w:cs="宋体"/>
                <w:b w:val="0"/>
                <w:bCs w:val="0"/>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1400" w:type="dxa"/>
            <w:shd w:val="clear" w:color="auto" w:fill="auto"/>
            <w:noWrap/>
            <w:vAlign w:val="center"/>
          </w:tcPr>
          <w:p>
            <w:pPr>
              <w:jc w:val="center"/>
              <w:textAlignment w:val="baseline"/>
              <w:rPr>
                <w:rFonts w:hint="eastAsia" w:ascii="宋体" w:hAnsi="宋体" w:eastAsia="宋体" w:cs="宋体"/>
                <w:b w:val="0"/>
                <w:bCs w:val="0"/>
                <w:color w:val="auto"/>
                <w:kern w:val="0"/>
                <w:sz w:val="21"/>
                <w:szCs w:val="21"/>
                <w:highlight w:val="none"/>
              </w:rPr>
            </w:pPr>
          </w:p>
        </w:tc>
        <w:tc>
          <w:tcPr>
            <w:tcW w:w="6148" w:type="dxa"/>
            <w:shd w:val="clear" w:color="auto" w:fill="auto"/>
            <w:noWrap/>
            <w:vAlign w:val="center"/>
          </w:tcPr>
          <w:p>
            <w:pPr>
              <w:pStyle w:val="14"/>
              <w:ind w:left="0" w:leftChars="0"/>
              <w:rPr>
                <w:rFonts w:hint="eastAsia" w:ascii="宋体" w:hAnsi="宋体" w:eastAsia="宋体" w:cs="宋体"/>
                <w:b w:val="0"/>
                <w:bCs w:val="0"/>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1400" w:type="dxa"/>
            <w:shd w:val="clear" w:color="auto" w:fill="auto"/>
            <w:noWrap/>
            <w:vAlign w:val="center"/>
          </w:tcPr>
          <w:p>
            <w:pPr>
              <w:jc w:val="center"/>
              <w:textAlignment w:val="baseline"/>
              <w:rPr>
                <w:rFonts w:hint="eastAsia" w:ascii="宋体" w:hAnsi="宋体" w:eastAsia="宋体" w:cs="宋体"/>
                <w:b w:val="0"/>
                <w:bCs w:val="0"/>
                <w:color w:val="auto"/>
                <w:kern w:val="0"/>
                <w:sz w:val="21"/>
                <w:szCs w:val="21"/>
                <w:highlight w:val="none"/>
              </w:rPr>
            </w:pPr>
          </w:p>
        </w:tc>
        <w:tc>
          <w:tcPr>
            <w:tcW w:w="6148" w:type="dxa"/>
            <w:shd w:val="clear" w:color="auto" w:fill="auto"/>
            <w:noWrap/>
            <w:vAlign w:val="center"/>
          </w:tcPr>
          <w:p>
            <w:pPr>
              <w:pStyle w:val="14"/>
              <w:ind w:left="0" w:leftChars="0"/>
              <w:rPr>
                <w:rFonts w:hint="eastAsia" w:ascii="宋体" w:hAnsi="宋体" w:eastAsia="宋体" w:cs="宋体"/>
                <w:b w:val="0"/>
                <w:bCs w:val="0"/>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w:t>
            </w:r>
          </w:p>
        </w:tc>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1400" w:type="dxa"/>
            <w:shd w:val="clear" w:color="auto" w:fill="auto"/>
            <w:noWrap/>
            <w:vAlign w:val="center"/>
          </w:tcPr>
          <w:p>
            <w:pPr>
              <w:jc w:val="center"/>
              <w:textAlignment w:val="baseline"/>
              <w:rPr>
                <w:rFonts w:hint="eastAsia" w:ascii="宋体" w:hAnsi="宋体" w:eastAsia="宋体" w:cs="宋体"/>
                <w:b w:val="0"/>
                <w:bCs w:val="0"/>
                <w:color w:val="auto"/>
                <w:kern w:val="0"/>
                <w:sz w:val="21"/>
                <w:szCs w:val="21"/>
                <w:highlight w:val="none"/>
              </w:rPr>
            </w:pPr>
          </w:p>
        </w:tc>
        <w:tc>
          <w:tcPr>
            <w:tcW w:w="6148" w:type="dxa"/>
            <w:shd w:val="clear" w:color="auto" w:fill="auto"/>
            <w:noWrap/>
            <w:vAlign w:val="center"/>
          </w:tcPr>
          <w:p>
            <w:pPr>
              <w:pStyle w:val="14"/>
              <w:ind w:left="0" w:leftChars="0"/>
              <w:rPr>
                <w:rFonts w:hint="eastAsia" w:ascii="宋体" w:hAnsi="宋体" w:eastAsia="宋体" w:cs="宋体"/>
                <w:b w:val="0"/>
                <w:bCs w:val="0"/>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99" w:type="dxa"/>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p>
        </w:tc>
        <w:tc>
          <w:tcPr>
            <w:tcW w:w="8647" w:type="dxa"/>
            <w:gridSpan w:val="3"/>
            <w:shd w:val="clear" w:color="auto" w:fill="auto"/>
            <w:noWrap/>
            <w:vAlign w:val="center"/>
          </w:tcPr>
          <w:p>
            <w:pPr>
              <w:widowControl/>
              <w:jc w:val="center"/>
              <w:textAlignment w:val="baseline"/>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合计（人民币大写：</w:t>
            </w:r>
            <w:r>
              <w:rPr>
                <w:rFonts w:hint="eastAsia" w:ascii="宋体" w:hAnsi="宋体" w:eastAsia="宋体" w:cs="宋体"/>
                <w:b w:val="0"/>
                <w:bCs w:val="0"/>
                <w:color w:val="auto"/>
                <w:kern w:val="0"/>
                <w:sz w:val="21"/>
                <w:szCs w:val="21"/>
                <w:highlight w:val="none"/>
                <w:lang w:val="en-US" w:eastAsia="zh-CN"/>
              </w:rPr>
              <w:t xml:space="preserve"> _________</w:t>
            </w: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 _________</w:t>
            </w:r>
            <w:r>
              <w:rPr>
                <w:rFonts w:hint="eastAsia" w:ascii="宋体" w:hAnsi="宋体" w:eastAsia="宋体" w:cs="宋体"/>
                <w:b w:val="0"/>
                <w:bCs w:val="0"/>
                <w:color w:val="auto"/>
                <w:kern w:val="0"/>
                <w:sz w:val="21"/>
                <w:szCs w:val="21"/>
                <w:highlight w:val="none"/>
              </w:rPr>
              <w:t>元</w:t>
            </w:r>
          </w:p>
        </w:tc>
      </w:tr>
    </w:tbl>
    <w:p>
      <w:pPr>
        <w:pStyle w:val="9"/>
        <w:rPr>
          <w:rFonts w:hint="eastAsia" w:ascii="宋体" w:hAnsi="宋体" w:eastAsia="宋体" w:cs="宋体"/>
          <w:color w:val="auto"/>
          <w:sz w:val="21"/>
          <w:szCs w:val="21"/>
          <w:highlight w:val="none"/>
        </w:rPr>
      </w:pPr>
    </w:p>
    <w:p>
      <w:pPr>
        <w:keepNext w:val="0"/>
        <w:keepLines w:val="0"/>
        <w:pageBreakBefore w:val="0"/>
        <w:kinsoku/>
        <w:wordWrap/>
        <w:overflowPunct/>
        <w:topLinePunct w:val="0"/>
        <w:autoSpaceDE/>
        <w:autoSpaceDN/>
        <w:bidi w:val="0"/>
        <w:snapToGrid/>
        <w:spacing w:line="360" w:lineRule="auto"/>
        <w:ind w:firstLine="422"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三、相关要求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1.本项目的设计、施工过程和布展工作必须严格按照施工质量应符合现行国家技术、施工及验收规范规程，对施工工艺的特殊要求，按设计图纸及国家有关规定执行。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2.质量要求：按相关工程施工质量验收规范合格标准。设计、制作安装等服务应响应迅速，施工及时并符合</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及</w:t>
      </w:r>
      <w:r>
        <w:rPr>
          <w:rFonts w:hint="eastAsia" w:ascii="宋体" w:hAnsi="宋体" w:eastAsia="宋体" w:cs="宋体"/>
          <w:b w:val="0"/>
          <w:bCs w:val="0"/>
          <w:color w:val="auto"/>
          <w:sz w:val="21"/>
          <w:szCs w:val="21"/>
          <w:highlight w:val="none"/>
          <w:lang w:val="en-US" w:eastAsia="zh-CN"/>
        </w:rPr>
        <w:t>活动举办场地</w:t>
      </w:r>
      <w:r>
        <w:rPr>
          <w:rFonts w:hint="eastAsia" w:ascii="宋体" w:hAnsi="宋体" w:eastAsia="宋体" w:cs="宋体"/>
          <w:color w:val="auto"/>
          <w:sz w:val="21"/>
          <w:szCs w:val="21"/>
          <w:highlight w:val="none"/>
        </w:rPr>
        <w:t xml:space="preserve">要求。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安全要求：要求在开工前和布展（或布置）实施期间做好安全文明标化管理，要求在磋商响应文件中阐述有关布展（或布置）实施方案和管理措施，并作出相应承诺，确保场内外道路清洁畅通，确保来往车辆、人员、施工安全。符合布展制作及施工安装等安全要求，涉及到电气布线、安装等应符合消防安全要求，确保安全可靠。在项目实施过程（包括搭建及活动期间等）期间以及一切由于</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实施的工作问题导致的安全责任均由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承担，</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 xml:space="preserve">概不负责。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4.技术规格：设计施工符合规范要求，制作工艺细致。整体外观与设计效果保持一致，现场安装施工严谨精细，标识、画面等内容无错误。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5.施工要求：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舞台搭建施工：依据设计方案，负责设备的租赁、安装、布置、活动期间本展区活动的技术、人员及设备保障。施工时能较好理解设计意图，用材适当并与环境相协调，性价比高，多媒体设备选配科学、合理，保证活动期间设备的稳定耐用；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（2）工程组织周密。要科学制定合理的施工组织实施方案，统筹协调布展进度，使各分项组织实施的全过程及各个环节始终处于受控状态，施工工艺满足国家、省、市现行标准、规范的相关文件要求；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（3）坚持安全施工。要强化安全生产意识，建立规范化、标准化、制度化的管理体系，确保施工现场的结构安全、消防安全、电气安全，以及人身安全等，以达到优质的展示效果。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6.场地布置验收标准：满足</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要求，包括规划、设计、施工与</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 xml:space="preserve">需求一致，准确无误。制作工艺细致，符合消防标准。发光字、供电电源、照明灯管应质量优良，安装合理。画面色彩均匀、清晰、饱满，观感良好。灯箱透光性均匀，美观大方，胶接牢固等。 </w:t>
      </w:r>
    </w:p>
    <w:p>
      <w:pPr>
        <w:keepNext w:val="0"/>
        <w:keepLines w:val="0"/>
        <w:pageBreakBefore w:val="0"/>
        <w:kinsoku/>
        <w:wordWrap/>
        <w:overflowPunct/>
        <w:topLinePunct w:val="0"/>
        <w:autoSpaceDE/>
        <w:autoSpaceDN/>
        <w:bidi w:val="0"/>
        <w:spacing w:line="520" w:lineRule="exact"/>
        <w:ind w:left="479" w:leftChars="228"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7.场地布置竣工时间：</w:t>
      </w:r>
      <w:r>
        <w:rPr>
          <w:rFonts w:hint="eastAsia" w:ascii="宋体" w:hAnsi="宋体" w:eastAsia="宋体" w:cs="宋体"/>
          <w:color w:val="auto"/>
          <w:sz w:val="21"/>
          <w:szCs w:val="21"/>
          <w:highlight w:val="none"/>
          <w:lang w:val="en-US" w:eastAsia="zh-CN"/>
        </w:rPr>
        <w:t>每场活动举办当日</w:t>
      </w:r>
      <w:r>
        <w:rPr>
          <w:rFonts w:hint="eastAsia" w:ascii="宋体" w:hAnsi="宋体" w:eastAsia="宋体" w:cs="宋体"/>
          <w:color w:val="auto"/>
          <w:sz w:val="21"/>
          <w:szCs w:val="21"/>
          <w:highlight w:val="none"/>
        </w:rPr>
        <w:t xml:space="preserve">中午12:00前完成所有场地布置并验收合格。 </w:t>
      </w:r>
    </w:p>
    <w:p>
      <w:pPr>
        <w:keepNext w:val="0"/>
        <w:keepLines w:val="0"/>
        <w:pageBreakBefore w:val="0"/>
        <w:kinsoku/>
        <w:wordWrap/>
        <w:overflowPunct/>
        <w:topLinePunct w:val="0"/>
        <w:autoSpaceDE/>
        <w:autoSpaceDN/>
        <w:bidi w:val="0"/>
        <w:spacing w:line="520" w:lineRule="exact"/>
        <w:ind w:left="479" w:leftChars="228"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8.服务标准、效率：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（1）服务标准：设计和施工满足</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 xml:space="preserve">要求，符合我国相关技术规范和质量标准；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（2）服务效率：根据</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 xml:space="preserve">要求及时修改方案、及时施工、及时响应。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9.总体要求风格大气、国际化、简洁不失品味，让人眼前一亮。设计新颖、特色鲜明、主题突出、颜色搭配适当，既要合理布局，又要确保内容丰富全面。 </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10.本次活动形成的设计方案、视频等知识产权归属甲方所有。</w:t>
      </w:r>
    </w:p>
    <w:p>
      <w:pPr>
        <w:keepNext w:val="0"/>
        <w:keepLines w:val="0"/>
        <w:pageBreakBefore w:val="0"/>
        <w:kinsoku/>
        <w:wordWrap/>
        <w:overflowPunct/>
        <w:topLinePunct w:val="0"/>
        <w:autoSpaceDE/>
        <w:autoSpaceDN/>
        <w:bidi w:val="0"/>
        <w:spacing w:line="52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11.活动现场须包含与江苏省城市足球联赛相关的宣传内容等。</w:t>
      </w:r>
    </w:p>
    <w:p>
      <w:pPr>
        <w:keepNext w:val="0"/>
        <w:keepLines w:val="0"/>
        <w:pageBreakBefore w:val="0"/>
        <w:numPr>
          <w:ilvl w:val="0"/>
          <w:numId w:val="0"/>
        </w:numPr>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bidi="ar"/>
        </w:rPr>
        <w:t>四</w:t>
      </w:r>
      <w:r>
        <w:rPr>
          <w:rFonts w:hint="eastAsia" w:ascii="宋体" w:hAnsi="宋体" w:eastAsia="宋体" w:cs="宋体"/>
          <w:b/>
          <w:bCs/>
          <w:color w:val="auto"/>
          <w:sz w:val="21"/>
          <w:szCs w:val="21"/>
          <w:highlight w:val="none"/>
          <w:lang w:bidi="ar"/>
        </w:rPr>
        <w:t>、甲方的权利和义务</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.甲方应履行相应的配合协同义务，包括按照合同约定及时进行验收，及早提岀需求变更，及时提出修改意见等，方便乙方履行相关义务。</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.甲方应按照合同约定向乙方支付合同款。</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3.本次活动形成的设计方案、视频等知识产权归属甲方所有。</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、乙方的权利和义务</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乙方应按照采购文件釆购需求、</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及承诺以及有关补充协议或约定等，全面充分履行合同义务，履行项目质量、标准和安全管控。</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42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乙方对合作过程中所获得知晓的商业秘密（包括但不限于本合同项下所涉及的商家及人员姓名、联系电话、电子邮件地址、即时通讯方式或社交网络地址、家庭地址等）负有保密义务，未经甲方书面许可，不得披露给任何第三方，同时还应遵守法律法规和规章的相关规定。</w:t>
      </w:r>
      <w:r>
        <w:rPr>
          <w:rFonts w:hint="eastAsia" w:ascii="宋体" w:hAnsi="宋体" w:eastAsia="宋体" w:cs="宋体"/>
          <w:color w:val="auto"/>
          <w:sz w:val="21"/>
          <w:szCs w:val="21"/>
          <w:highlight w:val="none"/>
        </w:rPr>
        <w:t>乙方项目人员及乙方其他可能获得甲方涉密资料的关联人员违反保密条款约定的，视同乙方违约。</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3.除甲方许可外，乙方不得以自己或乙方关联方名义针对本项目进行任何形式的对外宣传。如有违反，乙方应在接到甲方通知后【1】小时内删除所有宣传内容。</w:t>
      </w:r>
    </w:p>
    <w:p>
      <w:pPr>
        <w:pStyle w:val="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保证其在履行合同的过程中及因履行本合同所形成的成果不侵犯任何第三方包括但不限于知识产权在内的合法权利、不违反法律法规规定和政策规定。如因乙方违反前述约定导致甲方在使用、接受本合同服务或其任何一部分过程中出现争议或纠纷，乙方应当应甲方要求立即采取充分的补救措施并独立承担由此引发的全部责任。同时，甲方有权根据具体情况单方解除本协议，要求乙方返还所有已支付的款项，并要求乙方赔偿甲方由此遭受的全部经济损失（包括但不限于诉讼费、律师费、和解金、赔偿金等）。</w:t>
      </w:r>
    </w:p>
    <w:p>
      <w:pPr>
        <w:pStyle w:val="2"/>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5.乙方为履行本合同与第三方签订包括但不限于买卖合同、租赁合同、服务合同等合同的，应独立承担相应责任，因乙方对第三方违约产生的违约金、赔偿费用等，与甲方无关，不得计入本项目成本。</w:t>
      </w:r>
    </w:p>
    <w:p>
      <w:pPr>
        <w:ind w:firstLine="420"/>
        <w:rPr>
          <w:rFonts w:hint="eastAsia" w:ascii="宋体" w:hAnsi="宋体" w:eastAsia="宋体" w:cs="宋体"/>
          <w:color w:val="auto"/>
          <w:sz w:val="21"/>
          <w:szCs w:val="21"/>
          <w:highlight w:val="none"/>
        </w:rPr>
      </w:pPr>
    </w:p>
    <w:p>
      <w:pPr>
        <w:keepNext w:val="0"/>
        <w:keepLines w:val="0"/>
        <w:pageBreakBefore w:val="0"/>
        <w:kinsoku/>
        <w:wordWrap/>
        <w:overflowPunct/>
        <w:topLinePunct w:val="0"/>
        <w:autoSpaceDE/>
        <w:autoSpaceDN/>
        <w:bidi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六</w:t>
      </w:r>
      <w:r>
        <w:rPr>
          <w:rFonts w:hint="eastAsia" w:ascii="宋体" w:hAnsi="宋体" w:eastAsia="宋体" w:cs="宋体"/>
          <w:b/>
          <w:bCs/>
          <w:color w:val="auto"/>
          <w:sz w:val="21"/>
          <w:szCs w:val="21"/>
          <w:highlight w:val="none"/>
          <w:lang w:bidi="ar"/>
        </w:rPr>
        <w:t>、</w:t>
      </w:r>
      <w:r>
        <w:rPr>
          <w:rFonts w:hint="eastAsia" w:ascii="宋体" w:hAnsi="宋体" w:eastAsia="宋体" w:cs="宋体"/>
          <w:b/>
          <w:bCs/>
          <w:color w:val="auto"/>
          <w:sz w:val="21"/>
          <w:szCs w:val="21"/>
          <w:highlight w:val="none"/>
        </w:rPr>
        <w:t>验收标准</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验收标准为</w:t>
      </w:r>
      <w:r>
        <w:rPr>
          <w:rFonts w:hint="eastAsia" w:ascii="宋体" w:hAnsi="宋体" w:eastAsia="宋体" w:cs="宋体"/>
          <w:color w:val="auto"/>
          <w:sz w:val="21"/>
          <w:szCs w:val="21"/>
          <w:highlight w:val="none"/>
        </w:rPr>
        <w:t>本合同约定</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项目内容、质量、标准和要求，采购文件、釆购需求、</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及承诺、有关补充协议约定项目、要求等。</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、付款及支付方式</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（一）付款方式</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1.签订合同后</w:t>
      </w:r>
      <w:r>
        <w:rPr>
          <w:rFonts w:hint="eastAsia" w:ascii="宋体" w:hAnsi="宋体" w:eastAsia="宋体" w:cs="宋体"/>
          <w:color w:val="auto"/>
          <w:sz w:val="21"/>
          <w:szCs w:val="21"/>
          <w:highlight w:val="none"/>
        </w:rPr>
        <w:t>支付项目预估金额</w:t>
      </w:r>
      <w:r>
        <w:rPr>
          <w:rFonts w:hint="eastAsia" w:ascii="宋体" w:hAnsi="宋体" w:eastAsia="宋体" w:cs="宋体"/>
          <w:color w:val="auto"/>
          <w:sz w:val="21"/>
          <w:szCs w:val="21"/>
          <w:highlight w:val="none"/>
          <w:lang w:val="en-US" w:eastAsia="zh-CN"/>
        </w:rPr>
        <w:t>的30%。</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2.由甲方确定的第三方审计机构对活动进行专项审计，</w:t>
      </w:r>
      <w:r>
        <w:rPr>
          <w:rFonts w:hint="eastAsia" w:ascii="宋体" w:hAnsi="宋体" w:eastAsia="宋体" w:cs="宋体"/>
          <w:b w:val="0"/>
          <w:bCs w:val="0"/>
          <w:color w:val="auto"/>
          <w:sz w:val="21"/>
          <w:szCs w:val="21"/>
          <w:highlight w:val="none"/>
          <w:lang w:val="en-US" w:eastAsia="zh-CN"/>
        </w:rPr>
        <w:t>审计结果作为结算依据。活动</w:t>
      </w:r>
      <w:r>
        <w:rPr>
          <w:rFonts w:hint="eastAsia" w:ascii="宋体" w:hAnsi="宋体" w:eastAsia="宋体" w:cs="宋体"/>
          <w:color w:val="auto"/>
          <w:sz w:val="21"/>
          <w:szCs w:val="21"/>
          <w:highlight w:val="none"/>
          <w:lang w:val="en-US" w:eastAsia="zh-CN"/>
        </w:rPr>
        <w:t>结束后乙方提交整体活动流程图文资料，经第三方机构审计结束后支付尾款（审定价扣除已支付金额所剩余的款项）。</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3.以上付款均不计利息，每次付款前乙方须出具同等金额的正规发票。</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甲方开票信息</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纳税人识别号：</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地址、电话：</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开户行及账号：</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乙方收款账户信息</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户名：</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开户行：</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lang w:val="en-US" w:eastAsia="zh-CN"/>
        </w:rPr>
        <w:t xml:space="preserve"> </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、违约责任</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执行活动不符合竞争性磋商文件要求及磋商响应文件承诺或</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批准的活动方案的，如出现漏项或错项，每发生一次，应向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支付项目预估金额0.5%或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漏项错项对应活动费用金额3倍的违约金（以高者为准）；发生如下情况之一，视为</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重大违约，乙方应在甲方规定时间内进行整改，</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有权单方解除本合同，出现违约行为的活动场次，所有款项不予支付：</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(1)工作进度缓慢将会导致活动无法按期举办的：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(2)未按约定时间开始活动的；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(3)活动主要人员未按时到场参加活动的；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(4)发生安全事故且</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负有责任的：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(5)活动质量、效果明显不能达到</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或本活动相关单位名义对外从事与本合同履行无关的任何行为的；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(7)未按照</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批准的策划及执行方案实施具体工作的</w:t>
      </w:r>
      <w:r>
        <w:rPr>
          <w:rFonts w:hint="eastAsia" w:ascii="宋体" w:hAnsi="宋体" w:eastAsia="宋体" w:cs="宋体"/>
          <w:color w:val="auto"/>
          <w:sz w:val="21"/>
          <w:szCs w:val="21"/>
          <w:highlight w:val="none"/>
          <w:lang w:eastAsia="zh-CN"/>
        </w:rPr>
        <w:t>；</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)乙方违反法律法规规定和政策规定或侵犯第三方知识产权的。</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违反相关条款，给</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造成损失或负面影响，</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应赔偿</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的损失；如</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认为</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违约情节严重，</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有权解除本合同。</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3.如乙方在活动举办过程中，被消费者投诉，经查属实的，发生一次有效投诉扣除</w:t>
      </w:r>
      <w:r>
        <w:rPr>
          <w:rFonts w:hint="eastAsia" w:ascii="宋体" w:hAnsi="宋体" w:eastAsia="宋体" w:cs="宋体"/>
          <w:color w:val="auto"/>
          <w:sz w:val="21"/>
          <w:szCs w:val="21"/>
          <w:highlight w:val="none"/>
        </w:rPr>
        <w:t>项目预估金额</w:t>
      </w:r>
      <w:r>
        <w:rPr>
          <w:rFonts w:hint="eastAsia" w:ascii="宋体" w:hAnsi="宋体" w:eastAsia="宋体" w:cs="宋体"/>
          <w:color w:val="auto"/>
          <w:sz w:val="21"/>
          <w:szCs w:val="21"/>
          <w:highlight w:val="none"/>
          <w:lang w:val="en-US" w:eastAsia="zh-CN"/>
        </w:rPr>
        <w:t>的1‰。</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.如</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在活动中无故泄露</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提供的资料及与本合同有关的任何内容，或丑化</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或本活动相关单位形象的，</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有权解除本合同；此外，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应按</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要求予以纠正，如造成</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损失的，则</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w:t>
      </w:r>
      <w:r>
        <w:rPr>
          <w:rFonts w:hint="eastAsia" w:ascii="宋体" w:hAnsi="宋体" w:eastAsia="宋体" w:cs="宋体"/>
          <w:color w:val="auto"/>
          <w:sz w:val="21"/>
          <w:szCs w:val="21"/>
          <w:highlight w:val="none"/>
          <w:lang w:val="en-US" w:eastAsia="zh-CN"/>
        </w:rPr>
        <w:t>予</w:t>
      </w:r>
      <w:r>
        <w:rPr>
          <w:rFonts w:hint="eastAsia" w:ascii="宋体" w:hAnsi="宋体" w:eastAsia="宋体" w:cs="宋体"/>
          <w:color w:val="auto"/>
          <w:sz w:val="21"/>
          <w:szCs w:val="21"/>
          <w:highlight w:val="none"/>
        </w:rPr>
        <w:t xml:space="preserve">以赔偿，赔偿金额不少于本合同约定项目预估金额的20%。 </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如有其它任何违约行为，未按照</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要求期限及时改正的，每逾期一日，</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支付项目预估金额的0.5%；逾期达到10日的，</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有权解除本合同。</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违约导致本合同提前终止（包括</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行使合同解除权的情况）的，</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无需向</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支付任何费用，且</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支付项目预估金额20%的违约金，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仍有其他损失的，由</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继续赔偿。</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应向</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支付的违约金、赔偿金等任何费用，</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可直接从应付款项中扣除，</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不持异议。</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.本活动除因不可抗力的因素影响外，</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必须按时保质保量完成活动全部工作，否则</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应承担相应违约责任。</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.其它未尽事宜，以《中华人民共和国民法典》和其它有关法律、法规规定为准，无相关规定的，双方协商解决。</w:t>
      </w:r>
    </w:p>
    <w:p>
      <w:pPr>
        <w:keepNext w:val="0"/>
        <w:keepLines w:val="0"/>
        <w:pageBreakBefore w:val="0"/>
        <w:kinsoku/>
        <w:wordWrap/>
        <w:overflowPunct/>
        <w:topLinePunct w:val="0"/>
        <w:autoSpaceDE/>
        <w:autoSpaceDN/>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乙方应按本合同的约定完全履行相关义务，若乙方违约，给甲方造成损失的，应承担相应的赔偿责任（包括但不限于甲方因此支出的律师费、保全费、公证费、差旅费等）。</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rPr>
        <w:t>、免责条款</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任何一方由于不可抗力原因不能履行合同时，应第一时间向对方通报，以减轻可能给对方造成的损失，在取得有关机构的不可抗力证明或双方谅解确认后，允许延期履行或修订合同，并可根据具体情况部分或全部免于承担违约责任。</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由于订立合同所依据的客观情况发生重大或较大变化，以及由于政府政策等甲方不能预见且不可抗拒的原因致使合同无法履行或使合同履行变得不必要，甲方有权部分或全部解除、终止合同，并免于承担违约责任，对乙方实际合理支出作出合理补偿。</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3.本次活动若因不可抗力不能按时举办，由甲乙双方协商具体举办时间。</w:t>
      </w:r>
    </w:p>
    <w:p>
      <w:pPr>
        <w:keepNext w:val="0"/>
        <w:keepLines w:val="0"/>
        <w:pageBreakBefore w:val="0"/>
        <w:widowControl/>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val="en-US" w:eastAsia="zh-CN" w:bidi="ar"/>
        </w:rPr>
        <w:t>十</w:t>
      </w:r>
      <w:r>
        <w:rPr>
          <w:rFonts w:hint="eastAsia" w:ascii="宋体" w:hAnsi="宋体" w:eastAsia="宋体" w:cs="宋体"/>
          <w:b/>
          <w:bCs/>
          <w:color w:val="auto"/>
          <w:kern w:val="2"/>
          <w:sz w:val="21"/>
          <w:szCs w:val="21"/>
          <w:highlight w:val="none"/>
          <w:lang w:bidi="ar"/>
        </w:rPr>
        <w:t>、争议的解决</w:t>
      </w:r>
    </w:p>
    <w:p>
      <w:pPr>
        <w:pStyle w:val="63"/>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本合同相关及因合同履行引起的任何争议，双方协商解决，若协商不成，均提交</w:t>
      </w:r>
      <w:r>
        <w:rPr>
          <w:rFonts w:hint="eastAsia" w:ascii="宋体" w:hAnsi="宋体" w:eastAsia="宋体" w:cs="宋体"/>
          <w:color w:val="auto"/>
          <w:sz w:val="21"/>
          <w:szCs w:val="21"/>
          <w:highlight w:val="none"/>
          <w:lang w:val="en-US" w:eastAsia="zh-CN"/>
        </w:rPr>
        <w:t>甲方所在地有管辖权的人民法院提起诉讼</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十</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、合同的附件及补充</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1.釆购文件、</w:t>
      </w:r>
      <w:r>
        <w:rPr>
          <w:rFonts w:hint="eastAsia" w:ascii="宋体" w:hAnsi="宋体" w:eastAsia="宋体" w:cs="宋体"/>
          <w:color w:val="auto"/>
          <w:sz w:val="21"/>
          <w:szCs w:val="21"/>
          <w:highlight w:val="none"/>
          <w:lang w:eastAsia="zh-CN"/>
        </w:rPr>
        <w:t>磋商响应文件</w:t>
      </w:r>
      <w:r>
        <w:rPr>
          <w:rFonts w:hint="eastAsia" w:ascii="宋体" w:hAnsi="宋体" w:eastAsia="宋体" w:cs="宋体"/>
          <w:color w:val="auto"/>
          <w:sz w:val="21"/>
          <w:szCs w:val="21"/>
          <w:highlight w:val="none"/>
        </w:rPr>
        <w:t>及评审确定事项为本合同的附件，与本合同具有同等法律效力，双方应共同遵守执行。若合同附件与本合同存在不一致的，则以本合同及甲方采购需求为准。</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.在履行合同过程中，甲方</w:t>
      </w:r>
      <w:r>
        <w:rPr>
          <w:rFonts w:hint="eastAsia" w:ascii="宋体" w:hAnsi="宋体" w:eastAsia="宋体" w:cs="宋体"/>
          <w:color w:val="auto"/>
          <w:sz w:val="21"/>
          <w:szCs w:val="21"/>
          <w:highlight w:val="none"/>
          <w:lang w:val="en-US" w:eastAsia="zh-CN"/>
        </w:rPr>
        <w:t>如有方案修改意见，应</w:t>
      </w:r>
      <w:r>
        <w:rPr>
          <w:rFonts w:hint="eastAsia" w:ascii="宋体" w:hAnsi="宋体" w:eastAsia="宋体" w:cs="宋体"/>
          <w:color w:val="auto"/>
          <w:sz w:val="21"/>
          <w:szCs w:val="21"/>
          <w:highlight w:val="none"/>
        </w:rPr>
        <w:t>及早提岀需求变更，及时提出修改意见，方便乙方履行相关义务。</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在履行合同过程中，甲方审定并确认的方案设计、效果图，所有经双方签署确认的文件（包括会议纪要、补充协议、往来信函）均为本合同的有效组成部分，与本合同具有同等法律效力，有时间先后的，以时间在后的为准。</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.合同未尽事宜，双方协商作补充协议，补充协议与合同具有同等法律效力。</w:t>
      </w:r>
    </w:p>
    <w:p>
      <w:pPr>
        <w:keepNext w:val="0"/>
        <w:keepLines w:val="0"/>
        <w:pageBreakBefore w:val="0"/>
        <w:kinsoku/>
        <w:wordWrap/>
        <w:overflowPunct/>
        <w:topLinePunct w:val="0"/>
        <w:autoSpaceDE/>
        <w:autoSpaceDN/>
        <w:bidi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、合同的生效</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1.本合同经双方盖章并代表签字之日起生效。</w:t>
      </w:r>
    </w:p>
    <w:p>
      <w:pPr>
        <w:keepNext w:val="0"/>
        <w:keepLines w:val="0"/>
        <w:pageBreakBefore w:val="0"/>
        <w:kinsoku/>
        <w:wordWrap/>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2.本合同一式四份，甲、乙双方各执二份，具有同等法律效力。</w:t>
      </w:r>
    </w:p>
    <w:p>
      <w:pPr>
        <w:pStyle w:val="2"/>
        <w:keepNext w:val="0"/>
        <w:keepLines w:val="0"/>
        <w:pageBreakBefore w:val="0"/>
        <w:kinsoku/>
        <w:wordWrap/>
        <w:overflowPunct/>
        <w:topLinePunct w:val="0"/>
        <w:autoSpaceDE/>
        <w:autoSpaceDN/>
        <w:bidi w:val="0"/>
        <w:spacing w:line="360" w:lineRule="auto"/>
        <w:ind w:left="0" w:leftChars="0" w:firstLine="0" w:firstLineChars="0"/>
        <w:rPr>
          <w:rFonts w:hint="eastAsia" w:ascii="宋体" w:hAnsi="宋体" w:eastAsia="宋体" w:cs="宋体"/>
          <w:color w:val="auto"/>
          <w:sz w:val="21"/>
          <w:szCs w:val="21"/>
          <w:highlight w:val="none"/>
        </w:rPr>
      </w:pPr>
    </w:p>
    <w:p>
      <w:pPr>
        <w:pStyle w:val="2"/>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甲方：南通市商务局（章）             乙方：</w:t>
      </w:r>
      <w:r>
        <w:rPr>
          <w:rFonts w:hint="eastAsia" w:ascii="宋体" w:hAnsi="宋体" w:eastAsia="宋体" w:cs="宋体"/>
          <w:color w:val="auto"/>
          <w:sz w:val="21"/>
          <w:szCs w:val="21"/>
          <w:highlight w:val="none"/>
          <w:lang w:val="en-US" w:eastAsia="zh-CN"/>
        </w:rPr>
        <w:t xml:space="preserve"> </w:t>
      </w:r>
    </w:p>
    <w:p>
      <w:pPr>
        <w:pStyle w:val="2"/>
        <w:keepNext w:val="0"/>
        <w:keepLines w:val="0"/>
        <w:pageBreakBefore w:val="0"/>
        <w:kinsoku/>
        <w:wordWrap/>
        <w:overflowPunct/>
        <w:topLinePunct w:val="0"/>
        <w:autoSpaceDE/>
        <w:autoSpaceDN/>
        <w:bidi w:val="0"/>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法人或负责人（签字）：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法人或负责人（签字）：</w:t>
      </w:r>
    </w:p>
    <w:p>
      <w:pPr>
        <w:ind w:firstLine="420" w:firstLineChars="200"/>
        <w:rPr>
          <w:rFonts w:hint="eastAsia" w:ascii="宋体" w:hAnsi="宋体" w:eastAsia="宋体" w:cs="宋体"/>
          <w:b/>
          <w:color w:val="auto"/>
          <w:w w:val="80"/>
          <w:kern w:val="44"/>
          <w:sz w:val="21"/>
          <w:szCs w:val="21"/>
          <w:highlight w:val="none"/>
          <w:lang w:val="en-US" w:eastAsia="zh-CN"/>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日                 </w:t>
      </w: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 xml:space="preserve">   日</w:t>
      </w:r>
    </w:p>
    <w:p>
      <w:pPr>
        <w:rPr>
          <w:rFonts w:hint="eastAsia" w:ascii="宋体" w:hAnsi="宋体" w:eastAsia="宋体" w:cs="宋体"/>
          <w:b/>
          <w:color w:val="auto"/>
          <w:w w:val="80"/>
          <w:kern w:val="44"/>
          <w:sz w:val="21"/>
          <w:szCs w:val="21"/>
          <w:highlight w:val="none"/>
          <w:lang w:val="en-US" w:eastAsia="zh-CN"/>
        </w:rPr>
      </w:pPr>
    </w:p>
    <w:p>
      <w:pPr>
        <w:rPr>
          <w:rFonts w:hint="eastAsia" w:ascii="宋体" w:hAnsi="宋体" w:eastAsia="宋体" w:cs="宋体"/>
          <w:color w:val="auto"/>
          <w:sz w:val="21"/>
          <w:szCs w:val="21"/>
          <w:highlight w:val="none"/>
        </w:rPr>
      </w:pPr>
    </w:p>
    <w:p>
      <w:pPr>
        <w:rPr>
          <w:rFonts w:hint="eastAsia" w:ascii="宋体" w:hAnsi="宋体" w:eastAsia="宋体" w:cs="宋体"/>
          <w:b/>
          <w:color w:val="auto"/>
          <w:w w:val="80"/>
          <w:kern w:val="44"/>
          <w:sz w:val="44"/>
          <w:szCs w:val="44"/>
          <w:highlight w:val="none"/>
          <w:lang w:val="en-US" w:eastAsia="zh-CN"/>
        </w:rPr>
      </w:pPr>
      <w:r>
        <w:rPr>
          <w:rFonts w:hint="eastAsia" w:ascii="宋体" w:hAnsi="宋体" w:eastAsia="宋体" w:cs="宋体"/>
          <w:b/>
          <w:color w:val="auto"/>
          <w:w w:val="80"/>
          <w:kern w:val="44"/>
          <w:sz w:val="44"/>
          <w:szCs w:val="44"/>
          <w:highlight w:val="none"/>
          <w:lang w:val="en-US" w:eastAsia="zh-CN"/>
        </w:rPr>
        <w:br w:type="page"/>
      </w:r>
    </w:p>
    <w:p>
      <w:pPr>
        <w:adjustRightInd w:val="0"/>
        <w:snapToGrid w:val="0"/>
        <w:spacing w:line="480" w:lineRule="exact"/>
        <w:jc w:val="center"/>
        <w:outlineLvl w:val="1"/>
        <w:rPr>
          <w:rFonts w:hint="eastAsia" w:ascii="宋体" w:hAnsi="宋体" w:eastAsia="宋体" w:cs="宋体"/>
          <w:b/>
          <w:color w:val="auto"/>
          <w:w w:val="80"/>
          <w:kern w:val="44"/>
          <w:sz w:val="44"/>
          <w:szCs w:val="44"/>
          <w:highlight w:val="none"/>
        </w:rPr>
      </w:pPr>
      <w:r>
        <w:rPr>
          <w:rFonts w:hint="eastAsia" w:ascii="宋体" w:hAnsi="宋体" w:eastAsia="宋体" w:cs="宋体"/>
          <w:b/>
          <w:color w:val="auto"/>
          <w:w w:val="80"/>
          <w:kern w:val="44"/>
          <w:sz w:val="44"/>
          <w:szCs w:val="44"/>
          <w:highlight w:val="none"/>
          <w:lang w:val="en-US" w:eastAsia="zh-CN"/>
        </w:rPr>
        <w:t>第六</w:t>
      </w:r>
      <w:r>
        <w:rPr>
          <w:rFonts w:hint="eastAsia" w:ascii="宋体" w:hAnsi="宋体" w:eastAsia="宋体" w:cs="宋体"/>
          <w:b/>
          <w:color w:val="auto"/>
          <w:w w:val="80"/>
          <w:kern w:val="44"/>
          <w:sz w:val="44"/>
          <w:szCs w:val="44"/>
          <w:highlight w:val="none"/>
        </w:rPr>
        <w:t>章  响应文件组成及格式</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一、基本目录</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kern w:val="0"/>
          <w:szCs w:val="24"/>
          <w:highlight w:val="none"/>
          <w:lang w:val="en-US" w:eastAsia="zh-CN"/>
        </w:rPr>
      </w:pPr>
      <w:r>
        <w:rPr>
          <w:rFonts w:hint="eastAsia" w:ascii="宋体" w:hAnsi="宋体" w:eastAsia="宋体" w:cs="宋体"/>
          <w:color w:val="auto"/>
          <w:highlight w:val="none"/>
          <w:shd w:val="clear" w:color="auto" w:fill="auto"/>
          <w:lang w:val="zh-CN"/>
        </w:rPr>
        <w:t>1.</w:t>
      </w:r>
      <w:bookmarkStart w:id="105" w:name="OLE_LINK2"/>
      <w:r>
        <w:rPr>
          <w:rFonts w:hint="eastAsia" w:ascii="宋体" w:hAnsi="宋体" w:eastAsia="宋体" w:cs="宋体"/>
          <w:color w:val="auto"/>
          <w:kern w:val="0"/>
          <w:szCs w:val="24"/>
          <w:highlight w:val="none"/>
          <w:lang w:val="en-US" w:eastAsia="zh-CN"/>
        </w:rPr>
        <w:t>目录；</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kern w:val="0"/>
          <w:szCs w:val="24"/>
          <w:highlight w:val="none"/>
          <w:lang w:val="en-US" w:eastAsia="zh-CN"/>
        </w:rPr>
        <w:t>2.</w:t>
      </w:r>
      <w:r>
        <w:rPr>
          <w:rFonts w:hint="eastAsia" w:ascii="宋体" w:hAnsi="宋体" w:eastAsia="宋体" w:cs="宋体"/>
          <w:color w:val="auto"/>
          <w:highlight w:val="none"/>
          <w:shd w:val="clear" w:color="auto" w:fill="auto"/>
          <w:lang w:val="en-US" w:eastAsia="zh-CN"/>
        </w:rPr>
        <w:t>磋商报价表</w:t>
      </w:r>
      <w:bookmarkEnd w:id="105"/>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lang w:val="zh-CN"/>
        </w:rPr>
        <w:t>.</w:t>
      </w:r>
      <w:r>
        <w:rPr>
          <w:rFonts w:hint="eastAsia" w:ascii="宋体" w:hAnsi="宋体" w:eastAsia="宋体" w:cs="宋体"/>
          <w:color w:val="auto"/>
          <w:highlight w:val="none"/>
          <w:shd w:val="clear" w:color="auto" w:fill="auto"/>
          <w:lang w:val="en-US" w:eastAsia="zh-CN"/>
        </w:rPr>
        <w:t>磋商响应报价明细表</w:t>
      </w:r>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lang w:val="zh-CN"/>
        </w:rPr>
        <w:t>.法人授权书（格式见附件）；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lang w:val="zh-CN"/>
        </w:rPr>
        <w:t>.其他材料。</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二、</w:t>
      </w:r>
      <w:r>
        <w:rPr>
          <w:rFonts w:hint="eastAsia" w:ascii="宋体" w:hAnsi="宋体" w:eastAsia="宋体" w:cs="宋体"/>
          <w:b/>
          <w:bCs/>
          <w:color w:val="auto"/>
          <w:highlight w:val="none"/>
          <w:shd w:val="clear" w:color="auto" w:fill="auto"/>
          <w:lang w:val="zh-CN"/>
        </w:rPr>
        <w:t>资格</w:t>
      </w:r>
      <w:r>
        <w:rPr>
          <w:rFonts w:hint="eastAsia" w:ascii="宋体" w:hAnsi="宋体" w:eastAsia="宋体" w:cs="宋体"/>
          <w:b/>
          <w:bCs/>
          <w:color w:val="auto"/>
          <w:highlight w:val="none"/>
          <w:shd w:val="clear" w:color="auto" w:fill="auto"/>
        </w:rPr>
        <w:t>条件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1.</w:t>
      </w:r>
      <w:r>
        <w:rPr>
          <w:rFonts w:hint="eastAsia" w:ascii="宋体" w:hAnsi="宋体" w:eastAsia="宋体" w:cs="宋体"/>
          <w:color w:val="auto"/>
          <w:highlight w:val="none"/>
          <w:shd w:val="clear" w:color="auto" w:fill="auto"/>
        </w:rPr>
        <w:t>具有独立承担民事责任的能力（提供法人或者其他组织的营业执照；供应商为自然人的，提供其身份证）；</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2.</w:t>
      </w:r>
      <w:r>
        <w:rPr>
          <w:rFonts w:hint="eastAsia" w:ascii="宋体" w:hAnsi="宋体" w:eastAsia="宋体" w:cs="宋体"/>
          <w:color w:val="auto"/>
          <w:highlight w:val="none"/>
          <w:shd w:val="clear" w:color="auto" w:fill="auto"/>
        </w:rPr>
        <w:t>具有良好的商业信誉和健全的财务会计制度</w:t>
      </w:r>
      <w:r>
        <w:rPr>
          <w:rFonts w:hint="eastAsia" w:ascii="宋体" w:hAnsi="宋体" w:eastAsia="宋体" w:cs="宋体"/>
          <w:color w:val="auto"/>
          <w:szCs w:val="21"/>
          <w:highlight w:val="none"/>
          <w:shd w:val="clear" w:color="auto" w:fill="auto"/>
          <w:lang w:val="en-US" w:eastAsia="zh-CN"/>
        </w:rPr>
        <w:t>[</w:t>
      </w:r>
      <w:r>
        <w:rPr>
          <w:rFonts w:hint="eastAsia" w:ascii="宋体" w:hAnsi="宋体" w:cs="宋体"/>
          <w:color w:val="auto"/>
          <w:szCs w:val="21"/>
          <w:highlight w:val="none"/>
          <w:shd w:val="clear" w:color="auto" w:fill="auto"/>
          <w:lang w:val="en-US" w:eastAsia="zh-CN"/>
        </w:rPr>
        <w:t>提供2025年度的财务状况报告</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必须含资产负债表、利润表等证明材料</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成立不满一年不需提供</w:t>
      </w:r>
      <w:r>
        <w:rPr>
          <w:rFonts w:hint="eastAsia" w:ascii="宋体" w:hAnsi="宋体" w:eastAsia="宋体" w:cs="宋体"/>
          <w:color w:val="auto"/>
          <w:szCs w:val="21"/>
          <w:highlight w:val="none"/>
          <w:shd w:val="clear" w:color="auto" w:fill="auto"/>
          <w:lang w:val="en-US" w:eastAsia="zh-CN"/>
        </w:rPr>
        <w:t>]</w:t>
      </w:r>
      <w:r>
        <w:rPr>
          <w:rFonts w:hint="eastAsia" w:ascii="宋体" w:hAnsi="宋体" w:eastAsia="宋体" w:cs="宋体"/>
          <w:color w:val="auto"/>
          <w:szCs w:val="21"/>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3.具有履行合同所必需的设备和专业技术能力</w:t>
      </w:r>
      <w:r>
        <w:rPr>
          <w:rFonts w:hint="eastAsia" w:ascii="宋体" w:hAnsi="宋体" w:eastAsia="宋体" w:cs="宋体"/>
          <w:color w:val="auto"/>
          <w:highlight w:val="none"/>
          <w:shd w:val="clear" w:color="auto" w:fill="auto"/>
        </w:rPr>
        <w:t>（提供承诺书</w:t>
      </w:r>
      <w:r>
        <w:rPr>
          <w:rFonts w:hint="eastAsia" w:ascii="宋体" w:hAnsi="宋体" w:eastAsia="宋体" w:cs="宋体"/>
          <w:color w:val="auto"/>
          <w:highlight w:val="none"/>
          <w:shd w:val="clear" w:color="auto" w:fill="auto"/>
          <w:lang w:eastAsia="zh-CN"/>
        </w:rPr>
        <w:t>，格式见附件</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有依法缴纳税收和社会保障资金的良好记录</w:t>
      </w:r>
      <w:r>
        <w:rPr>
          <w:rFonts w:hint="eastAsia" w:ascii="宋体" w:hAnsi="宋体" w:eastAsia="宋体"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rPr>
        <w:t>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rPr>
        <w:t>参加政府采购活动前三年内，在经营活动中没有重大违法记录（提供</w:t>
      </w:r>
      <w:r>
        <w:rPr>
          <w:rFonts w:hint="eastAsia" w:ascii="宋体" w:hAnsi="宋体" w:eastAsia="宋体" w:cs="宋体"/>
          <w:color w:val="auto"/>
          <w:highlight w:val="none"/>
          <w:shd w:val="clear" w:color="auto" w:fill="auto"/>
          <w:lang w:val="en-US" w:eastAsia="zh-CN"/>
        </w:rPr>
        <w:t>书面声明，</w:t>
      </w:r>
      <w:r>
        <w:rPr>
          <w:rFonts w:hint="eastAsia" w:ascii="宋体" w:hAnsi="宋体" w:eastAsia="宋体" w:cs="宋体"/>
          <w:color w:val="auto"/>
          <w:highlight w:val="none"/>
          <w:shd w:val="clear" w:color="auto" w:fill="auto"/>
          <w:lang w:eastAsia="zh-CN"/>
        </w:rPr>
        <w:t>格式见附件</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6.</w:t>
      </w:r>
      <w:r>
        <w:rPr>
          <w:rFonts w:hint="eastAsia" w:ascii="宋体" w:hAnsi="宋体" w:eastAsia="宋体" w:cs="宋体"/>
          <w:color w:val="auto"/>
          <w:highlight w:val="none"/>
          <w:shd w:val="clear" w:color="auto" w:fill="auto"/>
          <w:lang w:eastAsia="zh-CN"/>
        </w:rPr>
        <w:t>本项目专门面向中小企业采购</w:t>
      </w:r>
      <w:r>
        <w:rPr>
          <w:rFonts w:hint="eastAsia" w:ascii="宋体" w:hAnsi="宋体" w:eastAsia="宋体" w:cs="宋体"/>
          <w:color w:val="auto"/>
          <w:highlight w:val="none"/>
          <w:shd w:val="clear" w:color="auto" w:fill="auto"/>
          <w:lang w:eastAsia="en-US"/>
        </w:rPr>
        <w:t>。</w:t>
      </w:r>
      <w:r>
        <w:rPr>
          <w:rFonts w:hint="eastAsia" w:ascii="宋体" w:hAnsi="宋体" w:eastAsia="宋体" w:cs="宋体"/>
          <w:color w:val="auto"/>
          <w:highlight w:val="none"/>
          <w:shd w:val="clear" w:color="auto" w:fill="auto"/>
        </w:rPr>
        <w:t>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三、符合条件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eastAsia="zh-CN"/>
        </w:rPr>
      </w:pPr>
      <w:r>
        <w:rPr>
          <w:rFonts w:hint="eastAsia" w:ascii="宋体" w:hAnsi="宋体" w:eastAsia="宋体" w:cs="宋体"/>
          <w:color w:val="auto"/>
          <w:highlight w:val="none"/>
          <w:shd w:val="clear" w:color="auto" w:fill="auto"/>
          <w:lang w:val="en-US" w:eastAsia="zh-CN"/>
        </w:rPr>
        <w:t>1.</w:t>
      </w:r>
      <w:r>
        <w:rPr>
          <w:rFonts w:hint="eastAsia" w:ascii="宋体" w:hAnsi="宋体" w:eastAsia="宋体" w:cs="宋体"/>
          <w:color w:val="auto"/>
          <w:highlight w:val="none"/>
          <w:shd w:val="clear" w:color="auto" w:fill="auto"/>
          <w:lang w:val="zh-CN"/>
        </w:rPr>
        <w:t>报价符合性审查</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评审过程中出现</w:t>
      </w:r>
      <w:r>
        <w:rPr>
          <w:rFonts w:hint="eastAsia" w:ascii="宋体" w:hAnsi="宋体" w:eastAsia="宋体" w:cs="宋体"/>
          <w:color w:val="auto"/>
          <w:highlight w:val="none"/>
          <w:shd w:val="clear" w:color="auto" w:fill="auto"/>
          <w:lang w:val="en-US" w:eastAsia="zh-CN"/>
        </w:rPr>
        <w:t>第四章第六条第二点异常低价</w:t>
      </w:r>
      <w:r>
        <w:rPr>
          <w:rFonts w:hint="eastAsia" w:ascii="宋体" w:hAnsi="宋体" w:eastAsia="宋体" w:cs="宋体"/>
          <w:color w:val="auto"/>
          <w:highlight w:val="none"/>
          <w:shd w:val="clear" w:color="auto" w:fill="auto"/>
          <w:lang w:val="zh-CN"/>
        </w:rPr>
        <w:t>情形之一的，磋商小组应当启动异常低价响应审查程序</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属于</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响应报价低于采购项目最高限价45%的，即响应报价&lt;采购项目最高限价×45%</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情形，供应商</w:t>
      </w:r>
      <w:r>
        <w:rPr>
          <w:rFonts w:hint="eastAsia" w:ascii="宋体" w:hAnsi="宋体" w:eastAsia="宋体" w:cs="宋体"/>
          <w:color w:val="auto"/>
          <w:highlight w:val="none"/>
          <w:shd w:val="clear" w:color="auto" w:fill="auto"/>
          <w:lang w:val="en-US" w:eastAsia="zh-CN"/>
        </w:rPr>
        <w:t>可</w:t>
      </w:r>
      <w:r>
        <w:rPr>
          <w:rFonts w:hint="eastAsia" w:ascii="宋体" w:hAnsi="宋体" w:eastAsia="宋体" w:cs="宋体"/>
          <w:color w:val="auto"/>
          <w:highlight w:val="none"/>
          <w:shd w:val="clear" w:color="auto" w:fill="auto"/>
          <w:lang w:val="zh-CN"/>
        </w:rPr>
        <w:t>随响应文件一并提交相关书面说明及必要的证明材料</w:t>
      </w:r>
      <w:r>
        <w:rPr>
          <w:rFonts w:hint="eastAsia" w:ascii="宋体" w:hAnsi="宋体" w:eastAsia="宋体" w:cs="宋体"/>
          <w:color w:val="auto"/>
          <w:highlight w:val="none"/>
          <w:shd w:val="clear" w:color="auto" w:fill="auto"/>
          <w:lang w:val="zh-CN" w:eastAsia="zh-CN"/>
        </w:rPr>
        <w:t>）</w:t>
      </w:r>
      <w:r>
        <w:rPr>
          <w:rFonts w:hint="eastAsia" w:ascii="宋体" w:hAnsi="宋体" w:cs="宋体"/>
          <w:color w:val="auto"/>
          <w:highlight w:val="none"/>
          <w:shd w:val="clear" w:color="auto" w:fill="auto"/>
          <w:lang w:val="zh-CN" w:eastAsia="zh-CN"/>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cs="宋体"/>
          <w:color w:val="auto"/>
          <w:highlight w:val="none"/>
          <w:shd w:val="clear" w:color="auto" w:fill="auto"/>
          <w:lang w:val="en-US" w:eastAsia="zh-CN"/>
        </w:rPr>
        <w:t>2</w:t>
      </w:r>
      <w:r>
        <w:rPr>
          <w:rFonts w:hint="eastAsia" w:ascii="宋体" w:hAnsi="宋体" w:eastAsia="宋体" w:cs="宋体"/>
          <w:color w:val="auto"/>
          <w:highlight w:val="none"/>
          <w:shd w:val="clear" w:color="auto" w:fill="auto"/>
        </w:rPr>
        <w:t>.报价承诺函</w:t>
      </w:r>
      <w:r>
        <w:rPr>
          <w:rFonts w:hint="eastAsia" w:ascii="宋体" w:hAnsi="宋体" w:eastAsia="宋体" w:cs="宋体"/>
          <w:color w:val="auto"/>
          <w:highlight w:val="none"/>
          <w:shd w:val="clear" w:color="auto" w:fill="auto"/>
          <w:lang w:val="zh-CN"/>
        </w:rPr>
        <w:t>（格式见附件）</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eastAsia="zh-CN"/>
        </w:rPr>
        <w:t>竞争性磋商响应函</w:t>
      </w:r>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zh-CN"/>
        </w:rPr>
        <w:t>实质性</w:t>
      </w:r>
      <w:r>
        <w:rPr>
          <w:rFonts w:hint="eastAsia" w:ascii="宋体" w:hAnsi="宋体" w:eastAsia="宋体" w:cs="宋体"/>
          <w:color w:val="auto"/>
          <w:highlight w:val="none"/>
          <w:shd w:val="clear" w:color="auto" w:fill="auto"/>
        </w:rPr>
        <w:t>响应承诺函</w:t>
      </w:r>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lang w:val="zh-CN"/>
        </w:rPr>
        <w:t>商务部分正负偏离表（格式见附件）；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6</w:t>
      </w:r>
      <w:r>
        <w:rPr>
          <w:rFonts w:hint="eastAsia" w:ascii="宋体" w:hAnsi="宋体" w:eastAsia="宋体" w:cs="宋体"/>
          <w:color w:val="auto"/>
          <w:highlight w:val="none"/>
          <w:shd w:val="clear" w:color="auto" w:fill="auto"/>
          <w:lang w:val="zh-CN"/>
        </w:rPr>
        <w:t>.技术部分正负偏离表（格式见附件）</w:t>
      </w:r>
      <w:r>
        <w:rPr>
          <w:rFonts w:hint="eastAsia" w:ascii="宋体" w:hAnsi="宋体" w:cs="宋体"/>
          <w:color w:val="auto"/>
          <w:highlight w:val="none"/>
          <w:shd w:val="clear" w:color="auto" w:fill="auto"/>
          <w:lang w:val="zh-CN"/>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四、综合评审评分项</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商务技术分评审标准中所涉及的事项需提供的所有资料。</w:t>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附件：</w:t>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一、</w:t>
      </w:r>
      <w:r>
        <w:rPr>
          <w:rFonts w:hint="eastAsia" w:ascii="宋体" w:hAnsi="宋体" w:eastAsia="宋体" w:cs="宋体"/>
          <w:b/>
          <w:bCs/>
          <w:color w:val="auto"/>
          <w:szCs w:val="21"/>
          <w:highlight w:val="none"/>
          <w:shd w:val="clear" w:color="auto" w:fill="auto"/>
          <w:lang w:val="en-US" w:eastAsia="zh-CN"/>
        </w:rPr>
        <w:t>磋商报价表</w:t>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磋商报价表</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本次为首次</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货币单位：人民币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 </w:t>
      </w:r>
    </w:p>
    <w:tbl>
      <w:tblPr>
        <w:tblStyle w:val="24"/>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265"/>
        <w:gridCol w:w="2260"/>
        <w:gridCol w:w="3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223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项目内容</w:t>
            </w:r>
          </w:p>
        </w:tc>
        <w:tc>
          <w:tcPr>
            <w:tcW w:w="33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项目名称 </w:t>
            </w:r>
          </w:p>
        </w:tc>
        <w:tc>
          <w:tcPr>
            <w:tcW w:w="223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详见响应文件</w:t>
            </w:r>
          </w:p>
        </w:tc>
        <w:tc>
          <w:tcPr>
            <w:tcW w:w="33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____________ </w:t>
            </w:r>
            <w:r>
              <w:rPr>
                <w:rFonts w:hint="eastAsia" w:ascii="宋体" w:hAnsi="宋体" w:eastAsia="宋体" w:cs="宋体"/>
                <w:color w:val="auto"/>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总价（大写）：</w:t>
            </w:r>
          </w:p>
        </w:tc>
        <w:tc>
          <w:tcPr>
            <w:tcW w:w="5560" w:type="dxa"/>
            <w:gridSpan w:val="2"/>
            <w:shd w:val="clear" w:color="auto" w:fill="auto"/>
            <w:vAlign w:val="center"/>
          </w:tcPr>
          <w:p>
            <w:pPr>
              <w:pStyle w:val="22"/>
              <w:keepNext w:val="0"/>
              <w:keepLines w:val="0"/>
              <w:widowControl/>
              <w:suppressLineNumbers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金额大写</w:t>
            </w:r>
            <w:r>
              <w:rPr>
                <w:rFonts w:hint="eastAsia" w:ascii="宋体" w:hAnsi="宋体" w:eastAsia="宋体" w:cs="宋体"/>
                <w:color w:val="auto"/>
                <w:highlight w:val="none"/>
                <w:lang w:val="en-US" w:eastAsia="zh-CN"/>
              </w:rPr>
              <w:t>_____________</w:t>
            </w:r>
          </w:p>
        </w:tc>
      </w:tr>
    </w:tbl>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报价说明：</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报价包括完成项目的所有费用。采购人不再支付报价以外的任何费用。</w:t>
      </w:r>
    </w:p>
    <w:p>
      <w:pPr>
        <w:kinsoku w:val="0"/>
        <w:topLinePunct/>
        <w:snapToGrid w:val="0"/>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报价以总价为准，大小写不一致以大写为准</w:t>
      </w:r>
      <w:r>
        <w:rPr>
          <w:rFonts w:hint="eastAsia" w:ascii="宋体" w:hAnsi="宋体" w:eastAsia="宋体" w:cs="宋体"/>
          <w:color w:val="auto"/>
          <w:sz w:val="21"/>
          <w:szCs w:val="21"/>
          <w:highlight w:val="none"/>
          <w:lang w:eastAsia="zh-CN"/>
        </w:rPr>
        <w:t>。</w:t>
      </w:r>
    </w:p>
    <w:p>
      <w:pPr>
        <w:kinsoku w:val="0"/>
        <w:topLinePunct/>
        <w:snapToGrid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偏离说明：详见《偏离表》</w:t>
      </w:r>
      <w:r>
        <w:rPr>
          <w:rFonts w:hint="eastAsia" w:ascii="宋体" w:hAnsi="宋体" w:eastAsia="宋体" w:cs="宋体"/>
          <w:color w:val="auto"/>
          <w:sz w:val="21"/>
          <w:szCs w:val="21"/>
          <w:highlight w:val="none"/>
          <w:lang w:eastAsia="zh-CN"/>
        </w:rPr>
        <w:t>。</w:t>
      </w:r>
    </w:p>
    <w:p>
      <w:pPr>
        <w:kinsoku w:val="0"/>
        <w:topLinePunct/>
        <w:snapToGrid w:val="0"/>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响应单位（</w:t>
      </w:r>
      <w:r>
        <w:rPr>
          <w:rFonts w:hint="eastAsia" w:ascii="宋体" w:hAnsi="宋体" w:eastAsia="宋体" w:cs="宋体"/>
          <w:color w:val="auto"/>
          <w:sz w:val="21"/>
          <w:szCs w:val="21"/>
          <w:highlight w:val="none"/>
          <w:shd w:val="clear" w:color="auto" w:fill="auto"/>
          <w:lang w:val="en-US" w:eastAsia="zh-CN"/>
        </w:rPr>
        <w:t>加盖CA电子</w:t>
      </w:r>
      <w:r>
        <w:rPr>
          <w:rFonts w:hint="eastAsia" w:ascii="宋体" w:hAnsi="宋体" w:eastAsia="宋体" w:cs="宋体"/>
          <w:color w:val="auto"/>
          <w:sz w:val="21"/>
          <w:szCs w:val="21"/>
          <w:highlight w:val="none"/>
          <w:shd w:val="clear" w:color="auto" w:fill="auto"/>
        </w:rPr>
        <w:t>公章</w:t>
      </w:r>
      <w:r>
        <w:rPr>
          <w:rFonts w:hint="eastAsia" w:ascii="宋体" w:hAnsi="宋体" w:eastAsia="宋体" w:cs="宋体"/>
          <w:color w:val="auto"/>
          <w:sz w:val="21"/>
          <w:szCs w:val="21"/>
          <w:highlight w:val="none"/>
        </w:rPr>
        <w:t>）：</w:t>
      </w:r>
    </w:p>
    <w:p>
      <w:pPr>
        <w:kinsoku w:val="0"/>
        <w:topLinePunct/>
        <w:snapToGrid w:val="0"/>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法定代表人或授权代表（签字或盖章）：</w:t>
      </w:r>
    </w:p>
    <w:p>
      <w:pPr>
        <w:ind w:firstLine="480"/>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r>
    </w:p>
    <w:p>
      <w:pPr>
        <w:pStyle w:val="2"/>
        <w:ind w:left="0" w:firstLine="0" w:firstLineChars="0"/>
        <w:rPr>
          <w:rFonts w:hint="eastAsia" w:ascii="宋体" w:hAnsi="宋体" w:eastAsia="宋体" w:cs="宋体"/>
          <w:b/>
          <w:bCs/>
          <w:color w:val="auto"/>
          <w:kern w:val="2"/>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二、</w:t>
      </w:r>
      <w:r>
        <w:rPr>
          <w:rFonts w:hint="eastAsia" w:ascii="宋体" w:hAnsi="宋体" w:eastAsia="宋体" w:cs="宋体"/>
          <w:b/>
          <w:bCs/>
          <w:color w:val="auto"/>
          <w:kern w:val="2"/>
          <w:sz w:val="21"/>
          <w:szCs w:val="21"/>
          <w:highlight w:val="none"/>
          <w:shd w:val="clear" w:color="auto" w:fill="auto"/>
          <w:lang w:val="en-US" w:eastAsia="zh-CN"/>
        </w:rPr>
        <w:t>磋商响应报价明细表</w:t>
      </w:r>
    </w:p>
    <w:p>
      <w:pPr>
        <w:spacing w:line="480" w:lineRule="auto"/>
        <w:rPr>
          <w:rFonts w:hint="eastAsia" w:ascii="宋体" w:hAnsi="宋体" w:eastAsia="宋体" w:cs="宋体"/>
          <w:b/>
          <w:bCs/>
          <w:color w:val="auto"/>
          <w:szCs w:val="21"/>
          <w:highlight w:val="none"/>
          <w:shd w:val="clear" w:color="auto" w:fill="auto"/>
          <w:lang w:eastAsia="en-US"/>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磋商响应报价明细表</w:t>
      </w:r>
    </w:p>
    <w:tbl>
      <w:tblPr>
        <w:tblStyle w:val="2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657"/>
        <w:gridCol w:w="1447"/>
        <w:gridCol w:w="1127"/>
        <w:gridCol w:w="1234"/>
        <w:gridCol w:w="1426"/>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pPr>
              <w:spacing w:line="0" w:lineRule="atLeast"/>
              <w:jc w:val="center"/>
              <w:rPr>
                <w:rFonts w:hint="eastAsia" w:ascii="宋体" w:hAnsi="宋体" w:eastAsia="宋体" w:cs="宋体"/>
                <w:color w:val="auto"/>
                <w:sz w:val="24"/>
                <w:szCs w:val="24"/>
                <w:highlight w:val="none"/>
              </w:rPr>
            </w:pP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分项服务名称</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kern w:val="0"/>
                <w:sz w:val="21"/>
                <w:szCs w:val="21"/>
                <w:highlight w:val="none"/>
              </w:rPr>
              <w:t>报价项目详细清单或描述</w:t>
            </w: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分项单位</w:t>
            </w: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839" w:type="dxa"/>
            <w:gridSpan w:val="6"/>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总报价（人民币：元）</w:t>
            </w:r>
          </w:p>
        </w:tc>
        <w:tc>
          <w:tcPr>
            <w:tcW w:w="1214" w:type="dxa"/>
            <w:noWrap w:val="0"/>
            <w:vAlign w:val="top"/>
          </w:tcPr>
          <w:p>
            <w:pPr>
              <w:spacing w:line="0" w:lineRule="atLeast"/>
              <w:rPr>
                <w:rFonts w:hint="eastAsia" w:ascii="宋体" w:hAnsi="宋体" w:eastAsia="宋体" w:cs="宋体"/>
                <w:color w:val="auto"/>
                <w:sz w:val="24"/>
                <w:szCs w:val="24"/>
                <w:highlight w:val="none"/>
              </w:rPr>
            </w:pPr>
          </w:p>
        </w:tc>
      </w:tr>
    </w:tbl>
    <w:p>
      <w:pPr>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备注：</w:t>
      </w:r>
    </w:p>
    <w:p>
      <w:pPr>
        <w:numPr>
          <w:ilvl w:val="0"/>
          <w:numId w:val="0"/>
        </w:numPr>
        <w:kinsoku w:val="0"/>
        <w:topLinePunct/>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磋商报价（以人民币计价）包括但不限于</w:t>
      </w:r>
      <w:r>
        <w:rPr>
          <w:rFonts w:hint="eastAsia" w:ascii="宋体" w:hAnsi="宋体" w:eastAsia="宋体" w:cs="宋体"/>
          <w:color w:val="auto"/>
          <w:szCs w:val="21"/>
          <w:highlight w:val="none"/>
        </w:rPr>
        <w:t>场地、舞台搭建、</w:t>
      </w:r>
      <w:r>
        <w:rPr>
          <w:rFonts w:hint="eastAsia" w:ascii="宋体" w:hAnsi="宋体" w:eastAsia="宋体" w:cs="宋体"/>
          <w:color w:val="auto"/>
          <w:szCs w:val="21"/>
          <w:highlight w:val="none"/>
          <w:lang w:val="en-US" w:eastAsia="zh-CN"/>
        </w:rPr>
        <w:t>现场</w:t>
      </w:r>
      <w:r>
        <w:rPr>
          <w:rFonts w:hint="eastAsia" w:ascii="宋体" w:hAnsi="宋体" w:eastAsia="宋体" w:cs="宋体"/>
          <w:color w:val="auto"/>
          <w:szCs w:val="21"/>
          <w:highlight w:val="none"/>
        </w:rPr>
        <w:t>布置、策划执行、</w:t>
      </w:r>
      <w:r>
        <w:rPr>
          <w:rFonts w:hint="eastAsia" w:ascii="宋体" w:hAnsi="宋体" w:cs="宋体"/>
          <w:color w:val="auto"/>
          <w:szCs w:val="21"/>
          <w:highlight w:val="none"/>
        </w:rPr>
        <w:t>知识产权</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设备及物料、</w:t>
      </w:r>
      <w:r>
        <w:rPr>
          <w:rFonts w:hint="eastAsia" w:ascii="宋体" w:hAnsi="宋体" w:eastAsia="宋体" w:cs="宋体"/>
          <w:color w:val="auto"/>
          <w:szCs w:val="21"/>
          <w:highlight w:val="none"/>
          <w:lang w:val="en-US" w:eastAsia="zh-CN"/>
        </w:rPr>
        <w:t>水电、</w:t>
      </w:r>
      <w:r>
        <w:rPr>
          <w:rFonts w:hint="eastAsia" w:ascii="宋体" w:hAnsi="宋体" w:eastAsia="宋体" w:cs="宋体"/>
          <w:color w:val="auto"/>
          <w:szCs w:val="21"/>
          <w:highlight w:val="none"/>
        </w:rPr>
        <w:t>人员劳务、交通通讯、安保、</w:t>
      </w:r>
      <w:r>
        <w:rPr>
          <w:rFonts w:hint="eastAsia" w:ascii="宋体" w:hAnsi="宋体" w:eastAsia="宋体" w:cs="宋体"/>
          <w:color w:val="auto"/>
          <w:szCs w:val="21"/>
          <w:highlight w:val="none"/>
          <w:lang w:val="en-US" w:eastAsia="zh-CN"/>
        </w:rPr>
        <w:t>保洁、</w:t>
      </w:r>
      <w:r>
        <w:rPr>
          <w:rFonts w:hint="eastAsia" w:ascii="宋体" w:hAnsi="宋体" w:eastAsia="宋体" w:cs="宋体"/>
          <w:color w:val="auto"/>
          <w:szCs w:val="21"/>
          <w:highlight w:val="none"/>
        </w:rPr>
        <w:t>宣传</w:t>
      </w:r>
      <w:r>
        <w:rPr>
          <w:rFonts w:hint="eastAsia" w:ascii="宋体" w:hAnsi="宋体" w:eastAsia="宋体" w:cs="宋体"/>
          <w:color w:val="auto"/>
          <w:szCs w:val="21"/>
          <w:highlight w:val="none"/>
          <w:lang w:val="en-US" w:eastAsia="zh-CN"/>
        </w:rPr>
        <w:t>引流</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工作餐、</w:t>
      </w:r>
      <w:r>
        <w:rPr>
          <w:rFonts w:hint="eastAsia" w:ascii="宋体" w:hAnsi="宋体" w:eastAsia="宋体" w:cs="宋体"/>
          <w:color w:val="auto"/>
          <w:szCs w:val="21"/>
          <w:highlight w:val="none"/>
        </w:rPr>
        <w:t>保险（公共责任险及火灾险等各类保险费用）、</w:t>
      </w:r>
      <w:r>
        <w:rPr>
          <w:rFonts w:hint="eastAsia" w:ascii="宋体" w:hAnsi="宋体" w:eastAsia="宋体" w:cs="宋体"/>
          <w:color w:val="auto"/>
          <w:szCs w:val="21"/>
          <w:highlight w:val="none"/>
          <w:lang w:val="en-US" w:eastAsia="zh-CN"/>
        </w:rPr>
        <w:t>招商、</w:t>
      </w:r>
      <w:r>
        <w:rPr>
          <w:rFonts w:hint="eastAsia" w:ascii="宋体" w:hAnsi="宋体" w:eastAsia="宋体" w:cs="宋体"/>
          <w:color w:val="auto"/>
          <w:szCs w:val="21"/>
          <w:highlight w:val="none"/>
        </w:rPr>
        <w:t>管理费用、利润、税金等工作所发生的全部费用和政策性文件规定及合同包含的所有风险、责任，即响应磋商项目需求中的全部工作量和服务及完成本项目工作所需的一切费用。</w:t>
      </w:r>
    </w:p>
    <w:p>
      <w:pPr>
        <w:kinsoku w:val="0"/>
        <w:topLinePunct/>
        <w:snapToGrid w:val="0"/>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最终报价</w:t>
      </w:r>
      <w:r>
        <w:rPr>
          <w:rFonts w:hint="eastAsia" w:ascii="宋体" w:hAnsi="宋体" w:eastAsia="宋体" w:cs="宋体"/>
          <w:b/>
          <w:color w:val="auto"/>
          <w:sz w:val="21"/>
          <w:szCs w:val="21"/>
          <w:highlight w:val="none"/>
          <w:lang w:val="en-US" w:eastAsia="zh-CN"/>
        </w:rPr>
        <w:t>提交后</w:t>
      </w:r>
      <w:r>
        <w:rPr>
          <w:rFonts w:hint="eastAsia" w:ascii="宋体" w:hAnsi="宋体" w:eastAsia="宋体" w:cs="宋体"/>
          <w:b/>
          <w:color w:val="auto"/>
          <w:sz w:val="21"/>
          <w:szCs w:val="21"/>
          <w:highlight w:val="none"/>
        </w:rPr>
        <w:t>，磋商响应报价明细表按同比例下浮。</w:t>
      </w:r>
    </w:p>
    <w:p>
      <w:pPr>
        <w:kinsoku w:val="0"/>
        <w:topLinePunct/>
        <w:snapToGrid w:val="0"/>
        <w:spacing w:line="520" w:lineRule="exact"/>
        <w:jc w:val="center"/>
        <w:rPr>
          <w:rFonts w:hint="eastAsia" w:ascii="宋体" w:hAnsi="宋体" w:eastAsia="宋体" w:cs="宋体"/>
          <w:color w:val="auto"/>
          <w:szCs w:val="21"/>
          <w:highlight w:val="none"/>
          <w:shd w:val="clear" w:color="auto" w:fill="auto"/>
        </w:rPr>
      </w:pPr>
    </w:p>
    <w:p>
      <w:pPr>
        <w:pStyle w:val="35"/>
        <w:rPr>
          <w:rFonts w:hint="eastAsia" w:ascii="宋体" w:hAnsi="宋体" w:eastAsia="宋体" w:cs="宋体"/>
          <w:color w:val="auto"/>
          <w:highlight w:val="none"/>
          <w:shd w:val="clear" w:color="auto" w:fill="auto"/>
        </w:rPr>
      </w:pPr>
    </w:p>
    <w:p>
      <w:pPr>
        <w:kinsoku w:val="0"/>
        <w:topLinePunct/>
        <w:snapToGrid w:val="0"/>
        <w:spacing w:line="520" w:lineRule="exact"/>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供应商：（加盖CA电子公章）</w:t>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三、提供法人授权书</w:t>
      </w:r>
    </w:p>
    <w:p>
      <w:pPr>
        <w:spacing w:line="480" w:lineRule="auto"/>
        <w:ind w:firstLine="480"/>
        <w:rPr>
          <w:rFonts w:hint="eastAsia" w:ascii="宋体" w:hAnsi="宋体" w:eastAsia="宋体" w:cs="宋体"/>
          <w:b/>
          <w:bCs/>
          <w:color w:val="auto"/>
          <w:szCs w:val="21"/>
          <w:highlight w:val="none"/>
          <w:shd w:val="clear" w:color="auto" w:fill="auto"/>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法人授权书</w:t>
      </w:r>
    </w:p>
    <w:p>
      <w:pPr>
        <w:tabs>
          <w:tab w:val="left" w:pos="360"/>
        </w:tabs>
        <w:spacing w:line="360" w:lineRule="auto"/>
        <w:ind w:firstLine="420" w:firstLineChars="200"/>
        <w:rPr>
          <w:rFonts w:hint="eastAsia" w:ascii="宋体" w:hAnsi="宋体" w:eastAsia="宋体" w:cs="宋体"/>
          <w:color w:val="auto"/>
          <w:szCs w:val="21"/>
          <w:highlight w:val="none"/>
          <w:shd w:val="clear" w:color="auto" w:fill="auto"/>
        </w:rPr>
      </w:pP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本授权书声明：</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（供应商名称）授权</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（被授权人的姓名）为我方</w:t>
      </w:r>
      <w:r>
        <w:rPr>
          <w:rFonts w:hint="eastAsia" w:ascii="宋体" w:hAnsi="宋体" w:eastAsia="宋体" w:cs="宋体"/>
          <w:i w:val="0"/>
          <w:iCs/>
          <w:color w:val="auto"/>
          <w:sz w:val="21"/>
          <w:szCs w:val="21"/>
          <w:highlight w:val="none"/>
          <w:shd w:val="clear" w:color="auto" w:fill="auto"/>
          <w:lang w:val="en-US" w:eastAsia="zh-CN"/>
        </w:rPr>
        <w:t xml:space="preserve"> </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号</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lang w:val="en-US" w:eastAsia="zh-CN"/>
        </w:rPr>
        <w:t>项目编号</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lang w:val="en-US" w:eastAsia="zh-CN"/>
        </w:rPr>
        <w:t>______________</w:t>
      </w:r>
      <w:r>
        <w:rPr>
          <w:rFonts w:hint="eastAsia" w:ascii="宋体" w:hAnsi="宋体" w:eastAsia="宋体" w:cs="宋体"/>
          <w:i w:val="0"/>
          <w:iCs/>
          <w:color w:val="auto"/>
          <w:sz w:val="21"/>
          <w:szCs w:val="21"/>
          <w:highlight w:val="none"/>
          <w:shd w:val="clear" w:color="auto" w:fill="auto"/>
        </w:rPr>
        <w:t>项目</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lang w:val="en-US" w:eastAsia="zh-CN"/>
        </w:rPr>
        <w:t>项目名称</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rPr>
        <w:t>采购活动的合法代理人，以本单位名义全权处理一切与该项目采购有关的事务。</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本授权书于______年____月____日起生效，特此声明。</w:t>
      </w:r>
    </w:p>
    <w:p>
      <w:pPr>
        <w:keepNext w:val="0"/>
        <w:keepLines w:val="0"/>
        <w:pageBreakBefore w:val="0"/>
        <w:widowControl w:val="0"/>
        <w:tabs>
          <w:tab w:val="left" w:pos="360"/>
        </w:tabs>
        <w:kinsoku/>
        <w:wordWrap/>
        <w:overflowPunct/>
        <w:topLinePunct w:val="0"/>
        <w:autoSpaceDE/>
        <w:autoSpaceDN/>
        <w:bidi w:val="0"/>
        <w:adjustRightInd/>
        <w:spacing w:line="360" w:lineRule="auto"/>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被授权人身份证号码：</w:t>
      </w:r>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tabs>
          <w:tab w:val="left" w:pos="360"/>
        </w:tabs>
        <w:kinsoku/>
        <w:wordWrap/>
        <w:overflowPunct/>
        <w:topLinePunct w:val="0"/>
        <w:autoSpaceDE/>
        <w:autoSpaceDN/>
        <w:bidi w:val="0"/>
        <w:adjustRightInd/>
        <w:spacing w:line="360" w:lineRule="auto"/>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被授权人联系电话：（手机）</w:t>
      </w:r>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授权单位名称：</w:t>
      </w:r>
      <w:r>
        <w:rPr>
          <w:rFonts w:hint="eastAsia" w:ascii="宋体" w:hAnsi="宋体" w:eastAsia="宋体" w:cs="宋体"/>
          <w:i w:val="0"/>
          <w:iCs/>
          <w:color w:val="auto"/>
          <w:sz w:val="21"/>
          <w:szCs w:val="21"/>
          <w:highlight w:val="none"/>
          <w:u w:val="single"/>
          <w:shd w:val="clear" w:color="auto" w:fill="auto"/>
        </w:rPr>
        <w:t>（加盖CA电子公章）</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单位地址：</w:t>
      </w:r>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日期：</w:t>
      </w:r>
      <w:bookmarkStart w:id="106" w:name="_格式3__银行出具的资信证明"/>
      <w:bookmarkEnd w:id="106"/>
      <w:bookmarkStart w:id="107" w:name="_Hlt26671380"/>
      <w:bookmarkEnd w:id="107"/>
      <w:bookmarkStart w:id="108" w:name="_Hlt26955070"/>
      <w:bookmarkEnd w:id="108"/>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1050" w:firstLineChars="500"/>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法定代表人身份证复印件</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（粘贴此处）</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被授权人身份证复印件</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（粘贴此处）</w:t>
      </w:r>
    </w:p>
    <w:p>
      <w:pPr>
        <w:pStyle w:val="9"/>
        <w:rPr>
          <w:rFonts w:hint="eastAsia" w:ascii="宋体" w:hAnsi="宋体" w:eastAsia="宋体" w:cs="宋体"/>
          <w:color w:val="auto"/>
          <w:highlight w:val="none"/>
          <w:shd w:val="clear" w:color="auto" w:fill="auto"/>
        </w:rPr>
      </w:pPr>
    </w:p>
    <w:p>
      <w:pPr>
        <w:snapToGrid w:val="0"/>
        <w:spacing w:line="360" w:lineRule="auto"/>
        <w:jc w:val="center"/>
        <w:rPr>
          <w:rFonts w:hint="eastAsia" w:ascii="宋体" w:hAnsi="宋体" w:eastAsia="宋体" w:cs="宋体"/>
          <w:b/>
          <w:bCs/>
          <w:color w:val="auto"/>
          <w:szCs w:val="21"/>
          <w:highlight w:val="none"/>
          <w:shd w:val="clear" w:color="auto" w:fill="auto"/>
        </w:rPr>
      </w:pP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四、</w:t>
      </w:r>
      <w:r>
        <w:rPr>
          <w:rFonts w:hint="eastAsia" w:ascii="宋体" w:hAnsi="宋体" w:eastAsia="宋体" w:cs="宋体"/>
          <w:b/>
          <w:bCs/>
          <w:color w:val="auto"/>
          <w:szCs w:val="21"/>
          <w:highlight w:val="none"/>
          <w:shd w:val="clear" w:color="auto" w:fill="auto"/>
          <w:lang w:eastAsia="zh-CN"/>
        </w:rPr>
        <w:t>具有履行合同所必需的设备和专业技术能力</w:t>
      </w:r>
      <w:r>
        <w:rPr>
          <w:rFonts w:hint="eastAsia" w:ascii="宋体" w:hAnsi="宋体" w:eastAsia="宋体" w:cs="宋体"/>
          <w:b/>
          <w:bCs/>
          <w:color w:val="auto"/>
          <w:szCs w:val="21"/>
          <w:highlight w:val="none"/>
          <w:shd w:val="clear" w:color="auto" w:fill="auto"/>
        </w:rPr>
        <w:t>的证明材料（提供承诺书）；</w:t>
      </w:r>
    </w:p>
    <w:p>
      <w:pPr>
        <w:spacing w:line="460" w:lineRule="exact"/>
        <w:ind w:firstLine="492"/>
        <w:jc w:val="center"/>
        <w:rPr>
          <w:rFonts w:hint="eastAsia" w:ascii="宋体" w:hAnsi="宋体" w:eastAsia="宋体" w:cs="宋体"/>
          <w:b/>
          <w:bCs/>
          <w:color w:val="auto"/>
          <w:szCs w:val="21"/>
          <w:highlight w:val="none"/>
          <w:shd w:val="clear" w:color="auto" w:fill="auto"/>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承诺书</w:t>
      </w:r>
    </w:p>
    <w:p>
      <w:pPr>
        <w:spacing w:line="460" w:lineRule="exac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eastAsia="zh-CN"/>
        </w:rPr>
        <w:t>南通市商务局</w:t>
      </w:r>
      <w:r>
        <w:rPr>
          <w:rFonts w:hint="eastAsia" w:ascii="宋体" w:hAnsi="宋体" w:eastAsia="宋体" w:cs="宋体"/>
          <w:color w:val="auto"/>
          <w:szCs w:val="21"/>
          <w:highlight w:val="none"/>
          <w:shd w:val="clear" w:color="auto" w:fill="auto"/>
        </w:rPr>
        <w:t>：</w:t>
      </w:r>
    </w:p>
    <w:p>
      <w:pPr>
        <w:spacing w:line="460" w:lineRule="exact"/>
        <w:ind w:firstLine="492"/>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我单位郑重承诺：我单位具</w:t>
      </w:r>
      <w:r>
        <w:rPr>
          <w:rFonts w:hint="eastAsia" w:ascii="宋体" w:hAnsi="宋体" w:eastAsia="宋体" w:cs="宋体"/>
          <w:b w:val="0"/>
          <w:bCs w:val="0"/>
          <w:color w:val="auto"/>
          <w:szCs w:val="21"/>
          <w:highlight w:val="none"/>
          <w:shd w:val="clear" w:color="auto" w:fill="auto"/>
          <w:lang w:eastAsia="zh-CN"/>
        </w:rPr>
        <w:t>有</w:t>
      </w:r>
      <w:r>
        <w:rPr>
          <w:rFonts w:hint="eastAsia" w:ascii="宋体" w:hAnsi="宋体" w:eastAsia="宋体" w:cs="宋体"/>
          <w:color w:val="auto"/>
          <w:szCs w:val="21"/>
          <w:highlight w:val="none"/>
          <w:shd w:val="clear" w:color="auto" w:fill="auto"/>
        </w:rPr>
        <w:t>履行本项采购合同所必需的设备和专业技术能力，为履行本项采购合同我公司具备如下主要设备和主要专业技术能力：</w:t>
      </w:r>
    </w:p>
    <w:p>
      <w:pPr>
        <w:spacing w:line="460" w:lineRule="exact"/>
        <w:ind w:firstLine="492"/>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主要设备有：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w:t>
      </w:r>
    </w:p>
    <w:p>
      <w:pPr>
        <w:spacing w:line="460" w:lineRule="exact"/>
        <w:ind w:firstLine="492"/>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主要专业技术能力有：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rPr>
        <w:t>。</w:t>
      </w:r>
    </w:p>
    <w:p>
      <w:pPr>
        <w:spacing w:line="460" w:lineRule="exact"/>
        <w:ind w:firstLine="492"/>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供应商：（加盖CA电子公章）</w:t>
      </w:r>
    </w:p>
    <w:p>
      <w:pPr>
        <w:pStyle w:val="7"/>
        <w:jc w:val="right"/>
        <w:rPr>
          <w:rFonts w:hint="eastAsia" w:ascii="宋体" w:hAnsi="宋体" w:eastAsia="宋体" w:cs="宋体"/>
          <w:color w:val="auto"/>
          <w:sz w:val="21"/>
          <w:szCs w:val="21"/>
          <w:highlight w:val="none"/>
          <w:shd w:val="clear" w:color="auto" w:fill="auto"/>
        </w:rPr>
      </w:pPr>
    </w:p>
    <w:p>
      <w:pPr>
        <w:spacing w:line="400" w:lineRule="exact"/>
        <w:ind w:firstLine="540"/>
        <w:contextualSpacing/>
        <w:jc w:val="right"/>
        <w:rPr>
          <w:rFonts w:hint="eastAsia" w:ascii="宋体" w:hAnsi="宋体" w:eastAsia="宋体" w:cs="宋体"/>
          <w:b/>
          <w:color w:val="auto"/>
          <w:szCs w:val="21"/>
          <w:highlight w:val="none"/>
          <w:shd w:val="clear" w:color="auto" w:fill="auto"/>
          <w:lang w:val="zh-CN"/>
        </w:rPr>
      </w:pPr>
      <w:r>
        <w:rPr>
          <w:rFonts w:hint="eastAsia" w:ascii="宋体" w:hAnsi="宋体" w:eastAsia="宋体" w:cs="宋体"/>
          <w:color w:val="auto"/>
          <w:kern w:val="2"/>
          <w:szCs w:val="21"/>
          <w:highlight w:val="none"/>
          <w:shd w:val="clear" w:color="auto" w:fill="auto"/>
        </w:rPr>
        <w:t xml:space="preserve">   年</w:t>
      </w:r>
      <w:r>
        <w:rPr>
          <w:rFonts w:hint="eastAsia" w:ascii="宋体" w:hAnsi="宋体" w:eastAsia="宋体" w:cs="宋体"/>
          <w:color w:val="auto"/>
          <w:kern w:val="2"/>
          <w:szCs w:val="21"/>
          <w:highlight w:val="none"/>
          <w:shd w:val="clear" w:color="auto" w:fill="auto"/>
        </w:rPr>
        <w:tab/>
      </w:r>
      <w:r>
        <w:rPr>
          <w:rFonts w:hint="eastAsia" w:ascii="宋体" w:hAnsi="宋体" w:eastAsia="宋体" w:cs="宋体"/>
          <w:color w:val="auto"/>
          <w:kern w:val="2"/>
          <w:szCs w:val="21"/>
          <w:highlight w:val="none"/>
          <w:shd w:val="clear" w:color="auto" w:fill="auto"/>
        </w:rPr>
        <w:t xml:space="preserve"> 月 </w:t>
      </w:r>
      <w:r>
        <w:rPr>
          <w:rFonts w:hint="eastAsia" w:ascii="宋体" w:hAnsi="宋体" w:eastAsia="宋体" w:cs="宋体"/>
          <w:color w:val="auto"/>
          <w:kern w:val="2"/>
          <w:szCs w:val="21"/>
          <w:highlight w:val="none"/>
          <w:shd w:val="clear" w:color="auto" w:fill="auto"/>
        </w:rPr>
        <w:tab/>
      </w:r>
      <w:r>
        <w:rPr>
          <w:rFonts w:hint="eastAsia" w:ascii="宋体" w:hAnsi="宋体" w:eastAsia="宋体" w:cs="宋体"/>
          <w:color w:val="auto"/>
          <w:kern w:val="2"/>
          <w:szCs w:val="21"/>
          <w:highlight w:val="none"/>
          <w:shd w:val="clear" w:color="auto" w:fill="auto"/>
        </w:rPr>
        <w:t>日</w:t>
      </w: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r>
    </w:p>
    <w:p>
      <w:pP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五、参加政府采购活动前3年内在经营活动中没有重大违法记录的书面声明</w:t>
      </w:r>
    </w:p>
    <w:p>
      <w:pPr>
        <w:pStyle w:val="6"/>
        <w:jc w:val="both"/>
        <w:rPr>
          <w:rFonts w:hint="eastAsia" w:ascii="宋体" w:hAnsi="宋体" w:eastAsia="宋体" w:cs="宋体"/>
          <w:color w:val="auto"/>
          <w:sz w:val="21"/>
          <w:highlight w:val="none"/>
          <w:shd w:val="clear" w:color="auto" w:fill="auto"/>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无重大违法记录声明函</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lang w:eastAsia="zh-CN"/>
        </w:rPr>
        <w:t>南通市商务局</w:t>
      </w:r>
      <w:r>
        <w:rPr>
          <w:rStyle w:val="59"/>
          <w:rFonts w:hint="eastAsia" w:ascii="宋体" w:hAnsi="宋体" w:eastAsia="宋体" w:cs="宋体"/>
          <w:color w:val="auto"/>
          <w:szCs w:val="21"/>
          <w:highlight w:val="none"/>
          <w:shd w:val="clear" w:color="auto" w:fill="auto"/>
        </w:rPr>
        <w:t>：</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我单位</w:t>
      </w:r>
      <w:r>
        <w:rPr>
          <w:rStyle w:val="59"/>
          <w:rFonts w:hint="eastAsia" w:ascii="宋体" w:hAnsi="宋体" w:eastAsia="宋体" w:cs="宋体"/>
          <w:color w:val="auto"/>
          <w:szCs w:val="21"/>
          <w:highlight w:val="none"/>
          <w:shd w:val="clear" w:color="auto" w:fill="auto"/>
          <w:lang w:val="en-US" w:eastAsia="zh-CN"/>
        </w:rPr>
        <w:t>______________</w:t>
      </w:r>
      <w:r>
        <w:rPr>
          <w:rStyle w:val="59"/>
          <w:rFonts w:hint="eastAsia" w:ascii="宋体" w:hAnsi="宋体" w:eastAsia="宋体" w:cs="宋体"/>
          <w:color w:val="auto"/>
          <w:szCs w:val="21"/>
          <w:highlight w:val="none"/>
          <w:shd w:val="clear" w:color="auto" w:fill="auto"/>
        </w:rPr>
        <w:t>（供应商名称）郑重声明：</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参加本次采购活动前3年内，我方在经营活动中没有因违法经营受到刑事处罚或者责令停产停业、吊销许可证或者执照、较大数额罚款等行政处罚。</w:t>
      </w:r>
    </w:p>
    <w:p>
      <w:pPr>
        <w:snapToGrid w:val="0"/>
        <w:spacing w:line="500" w:lineRule="exact"/>
        <w:ind w:firstLine="420" w:firstLineChars="200"/>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在本项目</w:t>
      </w:r>
      <w:r>
        <w:rPr>
          <w:rStyle w:val="59"/>
          <w:rFonts w:hint="eastAsia" w:ascii="宋体" w:hAnsi="宋体" w:eastAsia="宋体" w:cs="宋体"/>
          <w:color w:val="auto"/>
          <w:szCs w:val="21"/>
          <w:highlight w:val="none"/>
          <w:shd w:val="clear" w:color="auto" w:fill="auto"/>
          <w:lang w:eastAsia="zh-CN"/>
        </w:rPr>
        <w:t>磋商响应文件</w:t>
      </w:r>
      <w:r>
        <w:rPr>
          <w:rStyle w:val="59"/>
          <w:rFonts w:hint="eastAsia" w:ascii="宋体" w:hAnsi="宋体" w:eastAsia="宋体" w:cs="宋体"/>
          <w:color w:val="auto"/>
          <w:szCs w:val="21"/>
          <w:highlight w:val="none"/>
          <w:shd w:val="clear" w:color="auto" w:fill="auto"/>
        </w:rPr>
        <w:t>接收截止时间前，没有被“信用中国”（www.creditchina.gov.cn）、“中国政府采购网”（www.ccgp.gov.cn）网站列入失信被执行人、重大税收违法案件当事人名单、政府采购严重违法失信行为记录名单。</w:t>
      </w:r>
    </w:p>
    <w:p>
      <w:pPr>
        <w:snapToGrid w:val="0"/>
        <w:spacing w:line="500" w:lineRule="exact"/>
        <w:ind w:firstLine="420" w:firstLineChars="200"/>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highlight w:val="none"/>
          <w:shd w:val="clear" w:color="auto" w:fill="auto"/>
          <w:lang w:val="en-US" w:eastAsia="zh-CN"/>
        </w:rPr>
        <w:t>我单位满足</w:t>
      </w:r>
      <w:r>
        <w:rPr>
          <w:rStyle w:val="59"/>
          <w:rFonts w:hint="eastAsia" w:ascii="宋体" w:hAnsi="宋体" w:eastAsia="宋体" w:cs="宋体"/>
          <w:color w:val="auto"/>
          <w:highlight w:val="none"/>
          <w:shd w:val="clear" w:color="auto" w:fill="auto"/>
        </w:rPr>
        <w:t>法律、行政法规规定的其他条件</w:t>
      </w:r>
      <w:r>
        <w:rPr>
          <w:rStyle w:val="59"/>
          <w:rFonts w:hint="eastAsia" w:ascii="宋体" w:hAnsi="宋体" w:eastAsia="宋体" w:cs="宋体"/>
          <w:color w:val="auto"/>
          <w:highlight w:val="none"/>
          <w:shd w:val="clear" w:color="auto" w:fill="auto"/>
          <w:lang w:eastAsia="zh-CN"/>
        </w:rPr>
        <w:t>。</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（加盖CA电子公章）</w:t>
      </w:r>
    </w:p>
    <w:p>
      <w:pPr>
        <w:snapToGrid w:val="0"/>
        <w:spacing w:line="500" w:lineRule="exact"/>
        <w:jc w:val="center"/>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年     月    日</w:t>
      </w:r>
    </w:p>
    <w:p>
      <w:pPr>
        <w:snapToGrid w:val="0"/>
        <w:spacing w:line="500" w:lineRule="exact"/>
        <w:rPr>
          <w:rStyle w:val="59"/>
          <w:rFonts w:hint="eastAsia" w:ascii="宋体" w:hAnsi="宋体" w:eastAsia="宋体" w:cs="宋体"/>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widowControl/>
        <w:autoSpaceDE/>
        <w:autoSpaceDN/>
        <w:snapToGrid w:val="0"/>
        <w:spacing w:line="360" w:lineRule="auto"/>
        <w:textAlignment w:val="baseline"/>
        <w:outlineLvl w:val="0"/>
        <w:rPr>
          <w:rFonts w:hint="eastAsia" w:ascii="宋体" w:hAnsi="宋体" w:eastAsia="宋体" w:cs="宋体"/>
          <w:b/>
          <w:bCs w:val="0"/>
          <w:color w:val="auto"/>
          <w:szCs w:val="21"/>
          <w:highlight w:val="none"/>
          <w:shd w:val="clear" w:color="auto" w:fill="auto"/>
          <w:lang w:val="en-US" w:eastAsia="en-US"/>
        </w:rPr>
      </w:pPr>
      <w:r>
        <w:rPr>
          <w:rFonts w:hint="eastAsia" w:ascii="宋体" w:hAnsi="宋体" w:eastAsia="宋体" w:cs="宋体"/>
          <w:b/>
          <w:color w:val="auto"/>
          <w:szCs w:val="21"/>
          <w:highlight w:val="none"/>
          <w:shd w:val="clear" w:color="auto" w:fill="auto"/>
          <w:lang w:val="zh-CN"/>
        </w:rPr>
        <w:br w:type="page" w:clear="all"/>
      </w:r>
      <w:r>
        <w:rPr>
          <w:rFonts w:hint="eastAsia" w:ascii="宋体" w:hAnsi="宋体" w:eastAsia="宋体" w:cs="宋体"/>
          <w:b/>
          <w:color w:val="auto"/>
          <w:szCs w:val="21"/>
          <w:highlight w:val="none"/>
          <w:shd w:val="clear" w:color="auto" w:fill="auto"/>
          <w:lang w:val="en-US" w:eastAsia="zh-CN"/>
        </w:rPr>
        <w:t>六、</w:t>
      </w:r>
      <w:r>
        <w:rPr>
          <w:rFonts w:hint="eastAsia" w:ascii="宋体" w:hAnsi="宋体" w:eastAsia="宋体" w:cs="宋体"/>
          <w:b/>
          <w:bCs w:val="0"/>
          <w:color w:val="auto"/>
          <w:szCs w:val="21"/>
          <w:highlight w:val="none"/>
          <w:shd w:val="clear" w:color="auto" w:fill="auto"/>
          <w:lang w:val="en-US" w:eastAsia="zh-CN"/>
        </w:rPr>
        <w:t>本项目</w:t>
      </w:r>
      <w:r>
        <w:rPr>
          <w:rFonts w:hint="eastAsia" w:ascii="宋体" w:hAnsi="宋体" w:eastAsia="宋体" w:cs="宋体"/>
          <w:b/>
          <w:bCs w:val="0"/>
          <w:color w:val="auto"/>
          <w:szCs w:val="21"/>
          <w:highlight w:val="none"/>
          <w:shd w:val="clear" w:color="auto" w:fill="auto"/>
          <w:lang w:val="en-US" w:eastAsia="en-US"/>
        </w:rPr>
        <w:t>专门面向中小企业采购</w:t>
      </w:r>
      <w:r>
        <w:rPr>
          <w:rFonts w:hint="eastAsia" w:ascii="宋体" w:hAnsi="宋体" w:eastAsia="宋体" w:cs="宋体"/>
          <w:b/>
          <w:bCs w:val="0"/>
          <w:color w:val="auto"/>
          <w:szCs w:val="21"/>
          <w:highlight w:val="none"/>
          <w:shd w:val="clear" w:color="auto" w:fill="auto"/>
          <w:lang w:val="en-US" w:eastAsia="zh-CN"/>
        </w:rPr>
        <w:t>。本项目所有服务须全部由符合政策要求的中小企业承接。提供服务的供应商须为中小微企业、监狱企业或残疾人福利性单位</w:t>
      </w:r>
      <w:r>
        <w:rPr>
          <w:rFonts w:hint="eastAsia" w:ascii="宋体" w:hAnsi="宋体" w:eastAsia="宋体" w:cs="宋体"/>
          <w:b/>
          <w:bCs w:val="0"/>
          <w:color w:val="auto"/>
          <w:szCs w:val="21"/>
          <w:highlight w:val="none"/>
          <w:u w:val="double"/>
          <w:shd w:val="clear" w:color="auto" w:fill="auto"/>
          <w:lang w:val="en-US" w:eastAsia="zh-CN"/>
        </w:rPr>
        <w:t>，所有参与投标的供应商</w:t>
      </w:r>
      <w:r>
        <w:rPr>
          <w:rFonts w:hint="eastAsia" w:ascii="宋体" w:hAnsi="宋体" w:eastAsia="宋体" w:cs="宋体"/>
          <w:b/>
          <w:bCs w:val="0"/>
          <w:color w:val="auto"/>
          <w:szCs w:val="21"/>
          <w:highlight w:val="none"/>
          <w:shd w:val="clear" w:color="auto" w:fill="auto"/>
          <w:lang w:val="en-US" w:eastAsia="zh-CN"/>
        </w:rPr>
        <w:t>均需按照采购文件要求提供《中小企业声明函》《残疾人福利性单位声明函》或《监狱和戒毒企业证明材料》</w:t>
      </w:r>
    </w:p>
    <w:p>
      <w:pPr>
        <w:keepNext w:val="0"/>
        <w:keepLines w:val="0"/>
        <w:pageBreakBefore w:val="0"/>
        <w:widowControl w:val="0"/>
        <w:numPr>
          <w:ilvl w:val="0"/>
          <w:numId w:val="0"/>
        </w:numPr>
        <w:kinsoku/>
        <w:wordWrap/>
        <w:overflowPunct/>
        <w:topLinePunct w:val="0"/>
        <w:autoSpaceDE/>
        <w:autoSpaceDN/>
        <w:bidi w:val="0"/>
        <w:spacing w:line="480" w:lineRule="auto"/>
        <w:jc w:val="both"/>
        <w:textAlignment w:val="auto"/>
        <w:rPr>
          <w:rFonts w:hint="eastAsia" w:ascii="宋体" w:hAnsi="宋体" w:eastAsia="宋体" w:cs="宋体"/>
          <w:b/>
          <w:color w:val="auto"/>
          <w:szCs w:val="21"/>
          <w:highlight w:val="none"/>
          <w:shd w:val="clear" w:color="auto" w:fill="auto"/>
          <w:lang w:val="en-US" w:eastAsia="zh-CN"/>
        </w:rPr>
      </w:pPr>
    </w:p>
    <w:p>
      <w:pPr>
        <w:spacing w:line="300" w:lineRule="auto"/>
        <w:jc w:val="center"/>
        <w:outlineLvl w:val="0"/>
        <w:rPr>
          <w:rFonts w:hint="eastAsia" w:ascii="宋体" w:hAnsi="宋体" w:eastAsia="宋体" w:cs="宋体"/>
          <w:b/>
          <w:bCs/>
          <w:color w:val="auto"/>
          <w:sz w:val="21"/>
          <w:szCs w:val="21"/>
          <w:highlight w:val="none"/>
          <w:shd w:val="clear" w:color="auto" w:fill="auto"/>
          <w:lang w:bidi="zh-CN"/>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中小企业声明函</w:t>
      </w:r>
    </w:p>
    <w:p>
      <w:pPr>
        <w:pStyle w:val="9"/>
        <w:spacing w:line="360" w:lineRule="auto"/>
        <w:ind w:right="415" w:firstLine="64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本公司郑重声明，根据《政府采购促进中小企业发展管理办法》（财库﹝2020﹞46 号）的规定，本公司参加</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w:t>
      </w:r>
      <w:r>
        <w:rPr>
          <w:rFonts w:hint="eastAsia" w:ascii="宋体" w:hAnsi="宋体" w:cs="宋体"/>
          <w:color w:val="auto"/>
          <w:sz w:val="21"/>
          <w:szCs w:val="21"/>
          <w:highlight w:val="none"/>
          <w:u w:val="single"/>
          <w:shd w:val="clear" w:color="auto" w:fill="auto"/>
          <w:lang w:val="en-US" w:eastAsia="zh-CN"/>
        </w:rPr>
        <w:t>采购</w:t>
      </w:r>
      <w:r>
        <w:rPr>
          <w:rFonts w:hint="eastAsia" w:ascii="宋体" w:hAnsi="宋体" w:eastAsia="宋体" w:cs="宋体"/>
          <w:color w:val="auto"/>
          <w:w w:val="96"/>
          <w:sz w:val="21"/>
          <w:szCs w:val="21"/>
          <w:highlight w:val="none"/>
          <w:u w:val="single"/>
          <w:shd w:val="clear" w:color="auto" w:fill="auto"/>
        </w:rPr>
        <w:t>单位名称</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sz w:val="21"/>
          <w:szCs w:val="21"/>
          <w:highlight w:val="none"/>
          <w:shd w:val="clear" w:color="auto" w:fill="auto"/>
        </w:rPr>
        <w:t>的</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w w:val="96"/>
          <w:sz w:val="21"/>
          <w:szCs w:val="21"/>
          <w:highlight w:val="none"/>
          <w:u w:val="single"/>
          <w:shd w:val="clear" w:color="auto" w:fill="auto"/>
        </w:rPr>
        <w:t>项目名称</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sz w:val="21"/>
          <w:szCs w:val="21"/>
          <w:highlight w:val="none"/>
          <w:shd w:val="clear" w:color="auto" w:fill="auto"/>
        </w:rPr>
        <w:t>采购活动，服务全部由符合政策要求的中小企业承接。相关企业的具体情况如下：</w:t>
      </w:r>
    </w:p>
    <w:p>
      <w:pPr>
        <w:pStyle w:val="39"/>
        <w:numPr>
          <w:ilvl w:val="0"/>
          <w:numId w:val="5"/>
        </w:numPr>
        <w:tabs>
          <w:tab w:val="left" w:pos="1243"/>
        </w:tabs>
        <w:spacing w:line="360" w:lineRule="auto"/>
        <w:ind w:left="420" w:leftChars="200" w:firstLine="0" w:firstLineChars="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（标的名称）</w:t>
      </w:r>
      <w:r>
        <w:rPr>
          <w:rFonts w:hint="eastAsia" w:ascii="宋体" w:hAnsi="宋体" w:eastAsia="宋体" w:cs="宋体"/>
          <w:color w:val="auto"/>
          <w:w w:val="99"/>
          <w:sz w:val="21"/>
          <w:szCs w:val="21"/>
          <w:highlight w:val="none"/>
          <w:shd w:val="clear" w:color="auto" w:fill="auto"/>
        </w:rPr>
        <w:t>，属于</w:t>
      </w:r>
      <w:r>
        <w:rPr>
          <w:rFonts w:hint="eastAsia" w:ascii="宋体" w:hAnsi="宋体" w:eastAsia="宋体" w:cs="宋体"/>
          <w:color w:val="auto"/>
          <w:w w:val="99"/>
          <w:sz w:val="21"/>
          <w:szCs w:val="21"/>
          <w:highlight w:val="non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lang w:val="en-US" w:eastAsia="zh-CN"/>
        </w:rPr>
        <w:t>其他未列明行业</w:t>
      </w:r>
      <w:r>
        <w:rPr>
          <w:rFonts w:hint="eastAsia" w:ascii="宋体" w:hAnsi="宋体" w:eastAsia="宋体" w:cs="宋体"/>
          <w:color w:val="auto"/>
          <w:w w:val="96"/>
          <w:sz w:val="21"/>
          <w:szCs w:val="21"/>
          <w:highlight w:val="none"/>
          <w:u w:val="single"/>
          <w:shd w:val="clear" w:color="auto" w:fill="auto"/>
        </w:rPr>
        <w:t>（采购文件中明确的所属行业）</w:t>
      </w:r>
      <w:r>
        <w:rPr>
          <w:rFonts w:hint="eastAsia" w:ascii="宋体" w:hAnsi="宋体" w:eastAsia="宋体" w:cs="宋体"/>
          <w:color w:val="auto"/>
          <w:w w:val="99"/>
          <w:sz w:val="21"/>
          <w:szCs w:val="21"/>
          <w:highlight w:val="none"/>
          <w:shd w:val="clear" w:color="auto" w:fill="auto"/>
        </w:rPr>
        <w:t>；承接企业为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（企业名称）</w:t>
      </w:r>
      <w:r>
        <w:rPr>
          <w:rFonts w:hint="eastAsia" w:ascii="宋体" w:hAnsi="宋体" w:eastAsia="宋体" w:cs="宋体"/>
          <w:color w:val="auto"/>
          <w:w w:val="99"/>
          <w:sz w:val="21"/>
          <w:szCs w:val="21"/>
          <w:highlight w:val="none"/>
          <w:shd w:val="clear" w:color="auto" w:fill="auto"/>
        </w:rPr>
        <w:t>，从业人员</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9"/>
          <w:sz w:val="21"/>
          <w:szCs w:val="21"/>
          <w:highlight w:val="none"/>
          <w:shd w:val="clear" w:color="auto" w:fill="auto"/>
        </w:rPr>
        <w:t>人，营业</w:t>
      </w:r>
      <w:r>
        <w:rPr>
          <w:rFonts w:hint="eastAsia" w:ascii="宋体" w:hAnsi="宋体" w:eastAsia="宋体" w:cs="宋体"/>
          <w:color w:val="auto"/>
          <w:sz w:val="21"/>
          <w:szCs w:val="21"/>
          <w:highlight w:val="none"/>
          <w:shd w:val="clear" w:color="auto" w:fill="auto"/>
        </w:rPr>
        <w:t>收入为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万元，资产总额为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万元，属于</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（中型企业、</w:t>
      </w:r>
      <w:r>
        <w:rPr>
          <w:rFonts w:hint="eastAsia" w:ascii="宋体" w:hAnsi="宋体" w:eastAsia="宋体" w:cs="宋体"/>
          <w:color w:val="auto"/>
          <w:w w:val="96"/>
          <w:sz w:val="21"/>
          <w:szCs w:val="21"/>
          <w:highlight w:val="none"/>
          <w:u w:val="single"/>
          <w:shd w:val="clear" w:color="auto" w:fill="auto"/>
        </w:rPr>
        <w:t>小型企业、微型企业）</w:t>
      </w:r>
      <w:r>
        <w:rPr>
          <w:rFonts w:hint="eastAsia" w:ascii="宋体" w:hAnsi="宋体" w:eastAsia="宋体" w:cs="宋体"/>
          <w:color w:val="auto"/>
          <w:w w:val="99"/>
          <w:sz w:val="21"/>
          <w:szCs w:val="21"/>
          <w:highlight w:val="none"/>
          <w:shd w:val="clear" w:color="auto" w:fill="auto"/>
        </w:rPr>
        <w:t>；</w:t>
      </w:r>
    </w:p>
    <w:p>
      <w:pPr>
        <w:pStyle w:val="39"/>
        <w:numPr>
          <w:ilvl w:val="0"/>
          <w:numId w:val="0"/>
        </w:numPr>
        <w:tabs>
          <w:tab w:val="left" w:pos="1243"/>
        </w:tabs>
        <w:spacing w:line="360" w:lineRule="auto"/>
        <w:ind w:left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w w:val="96"/>
          <w:sz w:val="21"/>
          <w:szCs w:val="21"/>
          <w:highlight w:val="none"/>
          <w:shd w:val="clear" w:color="auto" w:fill="auto"/>
        </w:rPr>
        <w:t>2.</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（标的名称）</w:t>
      </w:r>
      <w:r>
        <w:rPr>
          <w:rFonts w:hint="eastAsia" w:ascii="宋体" w:hAnsi="宋体" w:eastAsia="宋体" w:cs="宋体"/>
          <w:color w:val="auto"/>
          <w:w w:val="99"/>
          <w:sz w:val="21"/>
          <w:szCs w:val="21"/>
          <w:highlight w:val="none"/>
          <w:shd w:val="clear" w:color="auto" w:fill="auto"/>
        </w:rPr>
        <w:t>，属于</w:t>
      </w:r>
      <w:r>
        <w:rPr>
          <w:rFonts w:hint="eastAsia" w:ascii="宋体" w:hAnsi="宋体" w:eastAsia="宋体" w:cs="宋体"/>
          <w:color w:val="auto"/>
          <w:w w:val="99"/>
          <w:sz w:val="21"/>
          <w:szCs w:val="21"/>
          <w:highlight w:val="non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lang w:val="en-US" w:eastAsia="zh-CN"/>
        </w:rPr>
        <w:t>其他未列明行业（采</w:t>
      </w:r>
      <w:r>
        <w:rPr>
          <w:rFonts w:hint="eastAsia" w:ascii="宋体" w:hAnsi="宋体" w:eastAsia="宋体" w:cs="宋体"/>
          <w:color w:val="auto"/>
          <w:w w:val="96"/>
          <w:sz w:val="21"/>
          <w:szCs w:val="21"/>
          <w:highlight w:val="none"/>
          <w:u w:val="single"/>
          <w:shd w:val="clear" w:color="auto" w:fill="auto"/>
        </w:rPr>
        <w:t>购文件中明确的所属行业）</w:t>
      </w:r>
      <w:r>
        <w:rPr>
          <w:rFonts w:hint="eastAsia" w:ascii="宋体" w:hAnsi="宋体" w:eastAsia="宋体" w:cs="宋体"/>
          <w:color w:val="auto"/>
          <w:w w:val="99"/>
          <w:sz w:val="21"/>
          <w:szCs w:val="21"/>
          <w:highlight w:val="none"/>
          <w:shd w:val="clear" w:color="auto" w:fill="auto"/>
        </w:rPr>
        <w:t>；承接企业为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（企业名称）</w:t>
      </w:r>
      <w:r>
        <w:rPr>
          <w:rFonts w:hint="eastAsia" w:ascii="宋体" w:hAnsi="宋体" w:eastAsia="宋体" w:cs="宋体"/>
          <w:color w:val="auto"/>
          <w:w w:val="99"/>
          <w:sz w:val="21"/>
          <w:szCs w:val="21"/>
          <w:highlight w:val="none"/>
          <w:shd w:val="clear" w:color="auto" w:fill="auto"/>
        </w:rPr>
        <w:t>，从业人员</w:t>
      </w:r>
      <w:r>
        <w:rPr>
          <w:rFonts w:hint="eastAsia" w:ascii="宋体" w:hAnsi="宋体" w:eastAsia="宋体" w:cs="宋体"/>
          <w:color w:val="auto"/>
          <w:w w:val="99"/>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w w:val="99"/>
          <w:sz w:val="21"/>
          <w:szCs w:val="21"/>
          <w:highlight w:val="none"/>
          <w:shd w:val="clear" w:color="auto" w:fill="auto"/>
        </w:rPr>
        <w:t>人，营业</w:t>
      </w:r>
      <w:r>
        <w:rPr>
          <w:rFonts w:hint="eastAsia" w:ascii="宋体" w:hAnsi="宋体" w:eastAsia="宋体" w:cs="宋体"/>
          <w:color w:val="auto"/>
          <w:sz w:val="21"/>
          <w:szCs w:val="21"/>
          <w:highlight w:val="none"/>
          <w:shd w:val="clear" w:color="auto" w:fill="auto"/>
        </w:rPr>
        <w:t>收入为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万元，资产总额为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万元，属于</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（中型企业、</w:t>
      </w:r>
      <w:r>
        <w:rPr>
          <w:rFonts w:hint="eastAsia" w:ascii="宋体" w:hAnsi="宋体" w:eastAsia="宋体" w:cs="宋体"/>
          <w:color w:val="auto"/>
          <w:w w:val="96"/>
          <w:sz w:val="21"/>
          <w:szCs w:val="21"/>
          <w:highlight w:val="none"/>
          <w:u w:val="single"/>
          <w:shd w:val="clear" w:color="auto" w:fill="auto"/>
        </w:rPr>
        <w:t>小型企业、微型企业）</w:t>
      </w:r>
      <w:r>
        <w:rPr>
          <w:rFonts w:hint="eastAsia" w:ascii="宋体" w:hAnsi="宋体" w:eastAsia="宋体" w:cs="宋体"/>
          <w:color w:val="auto"/>
          <w:w w:val="99"/>
          <w:sz w:val="21"/>
          <w:szCs w:val="21"/>
          <w:highlight w:val="none"/>
          <w:shd w:val="clear" w:color="auto" w:fill="auto"/>
        </w:rPr>
        <w:t>；</w:t>
      </w:r>
    </w:p>
    <w:p>
      <w:pPr>
        <w:pStyle w:val="39"/>
        <w:tabs>
          <w:tab w:val="left" w:pos="1243"/>
          <w:tab w:val="left" w:pos="1806"/>
          <w:tab w:val="left" w:pos="5005"/>
          <w:tab w:val="left" w:pos="7213"/>
        </w:tabs>
        <w:spacing w:line="360" w:lineRule="auto"/>
        <w:ind w:left="420" w:leftChars="200" w:right="258" w:firstLine="0" w:firstLineChars="0"/>
        <w:rPr>
          <w:rFonts w:hint="eastAsia" w:ascii="宋体" w:hAnsi="宋体" w:eastAsia="宋体" w:cs="宋体"/>
          <w:color w:val="auto"/>
          <w:sz w:val="21"/>
          <w:szCs w:val="21"/>
          <w:highlight w:val="none"/>
          <w:shd w:val="clear" w:color="auto" w:fill="auto"/>
        </w:rPr>
      </w:pPr>
    </w:p>
    <w:p>
      <w:pPr>
        <w:pStyle w:val="9"/>
        <w:spacing w:before="11" w:line="360" w:lineRule="auto"/>
        <w:ind w:left="86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p>
    <w:p>
      <w:pPr>
        <w:pStyle w:val="9"/>
        <w:spacing w:before="108" w:line="360" w:lineRule="auto"/>
        <w:ind w:right="417" w:firstLine="645"/>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以上企业，不属于大企业的分支机构，不存在控股股东</w:t>
      </w:r>
      <w:r>
        <w:rPr>
          <w:rFonts w:hint="eastAsia" w:ascii="宋体" w:hAnsi="宋体" w:eastAsia="宋体" w:cs="宋体"/>
          <w:color w:val="auto"/>
          <w:w w:val="95"/>
          <w:sz w:val="21"/>
          <w:szCs w:val="21"/>
          <w:highlight w:val="none"/>
          <w:shd w:val="clear" w:color="auto" w:fill="auto"/>
        </w:rPr>
        <w:t>为大企业的情形，也不存在与大企业的负责人为同一人的情</w:t>
      </w:r>
      <w:r>
        <w:rPr>
          <w:rFonts w:hint="eastAsia" w:ascii="宋体" w:hAnsi="宋体" w:eastAsia="宋体" w:cs="宋体"/>
          <w:color w:val="auto"/>
          <w:sz w:val="21"/>
          <w:szCs w:val="21"/>
          <w:highlight w:val="none"/>
          <w:shd w:val="clear" w:color="auto" w:fill="auto"/>
        </w:rPr>
        <w:t>形。</w:t>
      </w:r>
    </w:p>
    <w:p>
      <w:pPr>
        <w:pStyle w:val="9"/>
        <w:spacing w:line="360" w:lineRule="auto"/>
        <w:ind w:right="420" w:firstLine="64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w w:val="95"/>
          <w:sz w:val="21"/>
          <w:szCs w:val="21"/>
          <w:highlight w:val="none"/>
          <w:shd w:val="clear" w:color="auto" w:fill="auto"/>
        </w:rPr>
        <w:t>本企业对上述声明内容的真实性负责。如有虚假，将依</w:t>
      </w:r>
      <w:r>
        <w:rPr>
          <w:rFonts w:hint="eastAsia" w:ascii="宋体" w:hAnsi="宋体" w:eastAsia="宋体" w:cs="宋体"/>
          <w:color w:val="auto"/>
          <w:sz w:val="21"/>
          <w:szCs w:val="21"/>
          <w:highlight w:val="none"/>
          <w:shd w:val="clear" w:color="auto" w:fill="auto"/>
        </w:rPr>
        <w:t>法承担相应责任。</w:t>
      </w:r>
    </w:p>
    <w:p>
      <w:pPr>
        <w:pStyle w:val="9"/>
        <w:spacing w:before="29" w:line="360" w:lineRule="auto"/>
        <w:ind w:left="4060" w:right="2166"/>
        <w:rPr>
          <w:rFonts w:hint="eastAsia" w:ascii="宋体" w:hAnsi="宋体" w:eastAsia="宋体" w:cs="宋体"/>
          <w:color w:val="auto"/>
          <w:w w:val="99"/>
          <w:sz w:val="21"/>
          <w:szCs w:val="21"/>
          <w:highlight w:val="none"/>
          <w:shd w:val="clear" w:color="auto" w:fill="auto"/>
        </w:rPr>
      </w:pPr>
      <w:r>
        <w:rPr>
          <w:rFonts w:hint="eastAsia" w:ascii="宋体" w:hAnsi="宋体" w:eastAsia="宋体" w:cs="宋体"/>
          <w:color w:val="auto"/>
          <w:w w:val="99"/>
          <w:sz w:val="21"/>
          <w:szCs w:val="21"/>
          <w:highlight w:val="none"/>
          <w:shd w:val="clear" w:color="auto" w:fill="auto"/>
        </w:rPr>
        <w:t>企业名称：</w:t>
      </w:r>
      <w:r>
        <w:rPr>
          <w:rFonts w:hint="eastAsia" w:ascii="宋体" w:hAnsi="宋体" w:eastAsia="宋体" w:cs="宋体"/>
          <w:color w:val="auto"/>
          <w:sz w:val="21"/>
          <w:szCs w:val="21"/>
          <w:highlight w:val="none"/>
        </w:rPr>
        <w:t>（加盖CA电子公章）</w:t>
      </w:r>
    </w:p>
    <w:p>
      <w:pPr>
        <w:pStyle w:val="9"/>
        <w:spacing w:before="29" w:line="360" w:lineRule="auto"/>
        <w:ind w:left="4060" w:right="216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日 期：</w:t>
      </w:r>
    </w:p>
    <w:p>
      <w:pPr>
        <w:snapToGrid w:val="0"/>
        <w:spacing w:line="420" w:lineRule="exact"/>
        <w:rPr>
          <w:rStyle w:val="59"/>
          <w:rFonts w:hint="eastAsia" w:ascii="宋体" w:hAnsi="宋体" w:eastAsia="宋体" w:cs="宋体"/>
          <w:bCs/>
          <w:color w:val="auto"/>
          <w:sz w:val="21"/>
          <w:szCs w:val="21"/>
          <w:highlight w:val="none"/>
          <w:shd w:val="clear" w:color="auto" w:fill="auto"/>
          <w:lang w:val="en-US" w:eastAsia="zh-CN"/>
        </w:rPr>
      </w:pPr>
      <w:r>
        <w:rPr>
          <w:rStyle w:val="59"/>
          <w:rFonts w:hint="eastAsia" w:ascii="宋体" w:hAnsi="宋体" w:eastAsia="宋体" w:cs="宋体"/>
          <w:bCs/>
          <w:color w:val="auto"/>
          <w:sz w:val="21"/>
          <w:szCs w:val="21"/>
          <w:highlight w:val="none"/>
          <w:shd w:val="clear" w:color="auto" w:fill="auto"/>
          <w:lang w:val="en-US" w:eastAsia="zh-CN"/>
        </w:rPr>
        <w:t>注：</w:t>
      </w:r>
    </w:p>
    <w:p>
      <w:pPr>
        <w:numPr>
          <w:ilvl w:val="0"/>
          <w:numId w:val="0"/>
        </w:numPr>
        <w:snapToGrid w:val="0"/>
        <w:spacing w:line="420" w:lineRule="exact"/>
        <w:rPr>
          <w:rStyle w:val="59"/>
          <w:rFonts w:hint="default" w:ascii="宋体" w:hAnsi="宋体" w:eastAsia="宋体" w:cs="宋体"/>
          <w:bCs/>
          <w:color w:val="auto"/>
          <w:sz w:val="21"/>
          <w:szCs w:val="21"/>
          <w:highlight w:val="none"/>
          <w:shd w:val="clear" w:color="auto" w:fill="auto"/>
          <w:lang w:val="en-US" w:eastAsia="zh-CN"/>
        </w:rPr>
      </w:pPr>
      <w:r>
        <w:rPr>
          <w:rStyle w:val="59"/>
          <w:rFonts w:hint="eastAsia" w:ascii="宋体" w:hAnsi="宋体" w:cs="宋体"/>
          <w:bCs/>
          <w:color w:val="auto"/>
          <w:sz w:val="21"/>
          <w:szCs w:val="21"/>
          <w:highlight w:val="none"/>
          <w:shd w:val="clear" w:color="auto" w:fill="auto"/>
          <w:lang w:val="en-US" w:eastAsia="zh-CN"/>
        </w:rPr>
        <w:t>（1）</w:t>
      </w:r>
      <w:r>
        <w:rPr>
          <w:rStyle w:val="59"/>
          <w:rFonts w:hint="eastAsia" w:ascii="宋体" w:hAnsi="宋体" w:eastAsia="宋体" w:cs="宋体"/>
          <w:bCs/>
          <w:color w:val="auto"/>
          <w:sz w:val="21"/>
          <w:szCs w:val="21"/>
          <w:highlight w:val="none"/>
          <w:shd w:val="clear" w:color="auto" w:fill="auto"/>
          <w:lang w:val="en-US" w:eastAsia="zh-CN"/>
        </w:rPr>
        <w:t>从业人员、营业收入、资产总额填报上一年度数据，无上一年度数据的新成立企业可不填报</w:t>
      </w:r>
      <w:r>
        <w:rPr>
          <w:rStyle w:val="59"/>
          <w:rFonts w:hint="eastAsia" w:ascii="宋体" w:hAnsi="宋体" w:cs="宋体"/>
          <w:bCs/>
          <w:color w:val="auto"/>
          <w:sz w:val="21"/>
          <w:szCs w:val="21"/>
          <w:highlight w:val="none"/>
          <w:shd w:val="clear" w:color="auto" w:fill="auto"/>
          <w:lang w:val="en-US" w:eastAsia="zh-CN"/>
        </w:rPr>
        <w:t>。</w:t>
      </w:r>
    </w:p>
    <w:p>
      <w:pPr>
        <w:numPr>
          <w:ilvl w:val="0"/>
          <w:numId w:val="0"/>
        </w:numPr>
        <w:snapToGrid w:val="0"/>
        <w:spacing w:line="420" w:lineRule="exact"/>
        <w:rPr>
          <w:rStyle w:val="59"/>
          <w:rFonts w:hint="eastAsia" w:ascii="宋体" w:hAnsi="宋体" w:eastAsia="宋体" w:cs="宋体"/>
          <w:bCs/>
          <w:color w:val="auto"/>
          <w:sz w:val="21"/>
          <w:szCs w:val="21"/>
          <w:highlight w:val="none"/>
          <w:shd w:val="clear" w:color="auto" w:fill="auto"/>
          <w:lang w:val="en-US" w:eastAsia="zh-CN"/>
        </w:rPr>
      </w:pPr>
      <w:r>
        <w:rPr>
          <w:rStyle w:val="59"/>
          <w:rFonts w:hint="eastAsia" w:ascii="宋体" w:hAnsi="宋体" w:eastAsia="宋体" w:cs="宋体"/>
          <w:bCs/>
          <w:color w:val="auto"/>
          <w:sz w:val="21"/>
          <w:szCs w:val="21"/>
          <w:highlight w:val="none"/>
          <w:shd w:val="clear" w:color="auto" w:fill="auto"/>
          <w:lang w:val="en-US" w:eastAsia="zh-CN"/>
        </w:rPr>
        <w:t>（2）《关于印发中小企业划型标准规定的通知》中“其他未列明行业”中小企业划型标准规定：从业人员300人以下的为中小微型企业。其中，从业人员100人及以上的为中型企业；从业人员10人及以上的为小型企业；从业人员10人以下的为微型企业。</w:t>
      </w:r>
    </w:p>
    <w:p>
      <w:pPr>
        <w:rPr>
          <w:rFonts w:hint="eastAsia" w:ascii="宋体" w:hAnsi="宋体" w:eastAsia="宋体" w:cs="宋体"/>
          <w:b/>
          <w:bCs/>
          <w:color w:val="auto"/>
          <w:kern w:val="2"/>
          <w:sz w:val="24"/>
          <w:szCs w:val="24"/>
          <w:highlight w:val="none"/>
          <w:shd w:val="clear" w:color="auto" w:fill="auto"/>
        </w:rPr>
      </w:pPr>
      <w:r>
        <w:rPr>
          <w:rFonts w:hint="eastAsia" w:ascii="宋体" w:hAnsi="宋体" w:eastAsia="宋体" w:cs="宋体"/>
          <w:b/>
          <w:bCs/>
          <w:color w:val="auto"/>
          <w:kern w:val="2"/>
          <w:sz w:val="24"/>
          <w:szCs w:val="24"/>
          <w:highlight w:val="none"/>
          <w:shd w:val="clear" w:color="auto" w:fill="auto"/>
        </w:rPr>
        <w:br w:type="page"/>
      </w:r>
    </w:p>
    <w:p>
      <w:pPr>
        <w:spacing w:line="300" w:lineRule="auto"/>
        <w:jc w:val="center"/>
        <w:outlineLvl w:val="0"/>
        <w:rPr>
          <w:rFonts w:hint="eastAsia" w:ascii="宋体" w:hAnsi="宋体" w:eastAsia="宋体" w:cs="宋体"/>
          <w:b/>
          <w:bCs/>
          <w:color w:val="auto"/>
          <w:kern w:val="2"/>
          <w:sz w:val="24"/>
          <w:szCs w:val="24"/>
          <w:highlight w:val="none"/>
          <w:shd w:val="clear" w:color="auto" w:fill="auto"/>
        </w:rPr>
      </w:pPr>
      <w:r>
        <w:rPr>
          <w:rFonts w:hint="eastAsia" w:ascii="宋体" w:hAnsi="宋体" w:eastAsia="宋体" w:cs="宋体"/>
          <w:b/>
          <w:bCs/>
          <w:color w:val="auto"/>
          <w:kern w:val="2"/>
          <w:sz w:val="24"/>
          <w:szCs w:val="24"/>
          <w:highlight w:val="none"/>
          <w:shd w:val="clear" w:color="auto" w:fill="auto"/>
        </w:rPr>
        <w:t>残疾人福利性单位声明函</w:t>
      </w:r>
    </w:p>
    <w:p>
      <w:pPr>
        <w:jc w:val="center"/>
        <w:rPr>
          <w:rFonts w:hint="eastAsia" w:ascii="宋体" w:hAnsi="宋体" w:eastAsia="宋体" w:cs="宋体"/>
          <w:b/>
          <w:bCs/>
          <w:color w:val="auto"/>
          <w:kern w:val="2"/>
          <w:sz w:val="24"/>
          <w:szCs w:val="24"/>
          <w:highlight w:val="none"/>
          <w:shd w:val="clear" w:color="auto" w:fill="auto"/>
        </w:rPr>
      </w:pPr>
    </w:p>
    <w:p>
      <w:pPr>
        <w:widowControl/>
        <w:autoSpaceDE/>
        <w:autoSpaceDN/>
        <w:spacing w:line="360" w:lineRule="auto"/>
        <w:ind w:firstLine="420" w:firstLineChars="200"/>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项目采购活动由本单位提供服务，或者提供其他残疾人福利性单位制造的货物（不包括使用非残疾人福利性单位注册商标的货物）。</w:t>
      </w:r>
    </w:p>
    <w:p>
      <w:pPr>
        <w:widowControl/>
        <w:autoSpaceDE/>
        <w:autoSpaceDN/>
        <w:spacing w:line="360" w:lineRule="auto"/>
        <w:ind w:firstLine="420" w:firstLineChars="200"/>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本单位对上述声明的真实性负责。如有虚假，将依法承担相应责任。</w:t>
      </w:r>
    </w:p>
    <w:p>
      <w:pPr>
        <w:widowControl/>
        <w:autoSpaceDE/>
        <w:autoSpaceDN/>
        <w:spacing w:line="360" w:lineRule="auto"/>
        <w:ind w:firstLine="420" w:firstLineChars="200"/>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（备注：</w:t>
      </w:r>
      <w:r>
        <w:rPr>
          <w:rFonts w:hint="eastAsia" w:ascii="宋体" w:hAnsi="宋体" w:eastAsia="宋体" w:cs="宋体"/>
          <w:color w:val="auto"/>
          <w:sz w:val="21"/>
          <w:szCs w:val="21"/>
          <w:highlight w:val="none"/>
          <w:shd w:val="clear" w:color="auto" w:fill="auto"/>
          <w:lang w:eastAsia="zh-CN"/>
        </w:rPr>
        <w:t>成交供应商</w:t>
      </w:r>
      <w:r>
        <w:rPr>
          <w:rFonts w:hint="eastAsia" w:ascii="宋体" w:hAnsi="宋体" w:eastAsia="宋体" w:cs="宋体"/>
          <w:color w:val="auto"/>
          <w:sz w:val="21"/>
          <w:szCs w:val="21"/>
          <w:highlight w:val="none"/>
          <w:shd w:val="clear" w:color="auto" w:fill="auto"/>
        </w:rPr>
        <w:t>为残疾人福利单位的，此声明函将随</w:t>
      </w:r>
      <w:r>
        <w:rPr>
          <w:rFonts w:hint="eastAsia" w:ascii="宋体" w:hAnsi="宋体" w:eastAsia="宋体" w:cs="宋体"/>
          <w:color w:val="auto"/>
          <w:sz w:val="21"/>
          <w:szCs w:val="21"/>
          <w:highlight w:val="none"/>
          <w:shd w:val="clear" w:color="auto" w:fill="auto"/>
          <w:lang w:eastAsia="zh-CN"/>
        </w:rPr>
        <w:t>成交结果</w:t>
      </w:r>
      <w:r>
        <w:rPr>
          <w:rFonts w:hint="eastAsia" w:ascii="宋体" w:hAnsi="宋体" w:eastAsia="宋体" w:cs="宋体"/>
          <w:color w:val="auto"/>
          <w:sz w:val="21"/>
          <w:szCs w:val="21"/>
          <w:highlight w:val="none"/>
          <w:shd w:val="clear" w:color="auto" w:fill="auto"/>
        </w:rPr>
        <w:t>同时公告，接受社会监督）</w:t>
      </w:r>
    </w:p>
    <w:p>
      <w:pPr>
        <w:widowControl/>
        <w:autoSpaceDE/>
        <w:autoSpaceDN/>
        <w:spacing w:line="360" w:lineRule="auto"/>
        <w:ind w:firstLine="444" w:firstLineChars="200"/>
        <w:textAlignment w:val="baseline"/>
        <w:rPr>
          <w:rFonts w:hint="eastAsia" w:ascii="宋体" w:hAnsi="宋体" w:eastAsia="宋体" w:cs="宋体"/>
          <w:color w:val="auto"/>
          <w:spacing w:val="6"/>
          <w:sz w:val="21"/>
          <w:szCs w:val="21"/>
          <w:highlight w:val="none"/>
          <w:shd w:val="clear" w:color="auto" w:fill="auto"/>
        </w:rPr>
      </w:pPr>
    </w:p>
    <w:p>
      <w:pPr>
        <w:widowControl/>
        <w:autoSpaceDE/>
        <w:autoSpaceDN/>
        <w:snapToGrid w:val="0"/>
        <w:spacing w:line="360" w:lineRule="auto"/>
        <w:textAlignment w:val="baseline"/>
        <w:outlineLvl w:val="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bidi="zh-CN"/>
        </w:rPr>
        <w:t>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p>
    <w:p>
      <w:pPr>
        <w:widowControl/>
        <w:autoSpaceDE/>
        <w:autoSpaceDN/>
        <w:spacing w:line="360" w:lineRule="auto"/>
        <w:textAlignment w:val="baseline"/>
        <w:rPr>
          <w:rFonts w:hint="eastAsia" w:ascii="宋体" w:hAnsi="宋体" w:eastAsia="宋体" w:cs="宋体"/>
          <w:color w:val="auto"/>
          <w:spacing w:val="6"/>
          <w:sz w:val="21"/>
          <w:szCs w:val="21"/>
          <w:highlight w:val="none"/>
          <w:shd w:val="clear" w:color="auto" w:fill="auto"/>
        </w:rPr>
      </w:pPr>
    </w:p>
    <w:p>
      <w:pPr>
        <w:widowControl/>
        <w:tabs>
          <w:tab w:val="left" w:pos="4860"/>
        </w:tabs>
        <w:autoSpaceDE/>
        <w:autoSpaceDN/>
        <w:spacing w:line="360" w:lineRule="auto"/>
        <w:ind w:right="1560" w:firstLine="444" w:firstLineChars="200"/>
        <w:jc w:val="center"/>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企业名称</w:t>
      </w:r>
      <w:r>
        <w:rPr>
          <w:rFonts w:hint="eastAsia" w:ascii="宋体" w:hAnsi="宋体" w:eastAsia="宋体" w:cs="宋体"/>
          <w:color w:val="auto"/>
          <w:sz w:val="21"/>
          <w:szCs w:val="21"/>
          <w:highlight w:val="none"/>
        </w:rPr>
        <w:t>（加盖CA电子公章）</w:t>
      </w:r>
    </w:p>
    <w:p>
      <w:pPr>
        <w:widowControl/>
        <w:tabs>
          <w:tab w:val="left" w:pos="4860"/>
        </w:tabs>
        <w:autoSpaceDE/>
        <w:autoSpaceDN/>
        <w:spacing w:line="360" w:lineRule="auto"/>
        <w:ind w:right="1560" w:firstLine="420" w:firstLineChars="200"/>
        <w:jc w:val="center"/>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日  期：</w:t>
      </w:r>
    </w:p>
    <w:p>
      <w:pPr>
        <w:rPr>
          <w:rFonts w:hint="eastAsia" w:ascii="宋体" w:hAnsi="宋体" w:eastAsia="宋体" w:cs="宋体"/>
          <w:color w:val="auto"/>
          <w:highlight w:val="none"/>
          <w:shd w:val="clear" w:color="auto" w:fill="auto"/>
        </w:rPr>
      </w:pPr>
    </w:p>
    <w:p>
      <w:pPr>
        <w:jc w:val="center"/>
        <w:rPr>
          <w:rFonts w:hint="eastAsia" w:ascii="宋体" w:hAnsi="宋体" w:eastAsia="宋体" w:cs="宋体"/>
          <w:color w:val="auto"/>
          <w:sz w:val="32"/>
          <w:szCs w:val="32"/>
          <w:highlight w:val="none"/>
          <w:shd w:val="clear" w:color="auto" w:fill="auto"/>
        </w:rPr>
      </w:pPr>
    </w:p>
    <w:p>
      <w:pPr>
        <w:jc w:val="center"/>
        <w:rPr>
          <w:rFonts w:hint="eastAsia" w:ascii="宋体" w:hAnsi="宋体" w:eastAsia="宋体" w:cs="宋体"/>
          <w:color w:val="auto"/>
          <w:sz w:val="32"/>
          <w:szCs w:val="32"/>
          <w:highlight w:val="none"/>
          <w:shd w:val="clear" w:color="auto" w:fill="auto"/>
        </w:rPr>
      </w:pPr>
    </w:p>
    <w:p>
      <w:pPr>
        <w:jc w:val="center"/>
        <w:rPr>
          <w:rFonts w:hint="eastAsia" w:ascii="宋体" w:hAnsi="宋体" w:eastAsia="宋体" w:cs="宋体"/>
          <w:b/>
          <w:bCs/>
          <w:color w:val="auto"/>
          <w:kern w:val="2"/>
          <w:sz w:val="24"/>
          <w:szCs w:val="24"/>
          <w:highlight w:val="none"/>
          <w:shd w:val="clear" w:color="auto" w:fill="auto"/>
        </w:rPr>
      </w:pPr>
    </w:p>
    <w:p>
      <w:pPr>
        <w:spacing w:line="300" w:lineRule="auto"/>
        <w:jc w:val="center"/>
        <w:outlineLvl w:val="0"/>
        <w:rPr>
          <w:rFonts w:hint="eastAsia" w:ascii="宋体" w:hAnsi="宋体" w:eastAsia="宋体" w:cs="宋体"/>
          <w:b/>
          <w:bCs/>
          <w:color w:val="auto"/>
          <w:kern w:val="2"/>
          <w:sz w:val="24"/>
          <w:szCs w:val="24"/>
          <w:highlight w:val="none"/>
          <w:shd w:val="clear" w:color="auto" w:fill="auto"/>
        </w:rPr>
      </w:pPr>
      <w:r>
        <w:rPr>
          <w:rFonts w:hint="eastAsia" w:ascii="宋体" w:hAnsi="宋体" w:eastAsia="宋体" w:cs="宋体"/>
          <w:b/>
          <w:bCs/>
          <w:color w:val="auto"/>
          <w:kern w:val="2"/>
          <w:sz w:val="24"/>
          <w:szCs w:val="24"/>
          <w:highlight w:val="none"/>
          <w:shd w:val="clear" w:color="auto" w:fill="auto"/>
        </w:rPr>
        <w:t>监狱和戒毒企业证明材料</w:t>
      </w:r>
    </w:p>
    <w:p>
      <w:pPr>
        <w:jc w:val="center"/>
        <w:rPr>
          <w:rFonts w:hint="eastAsia" w:ascii="宋体" w:hAnsi="宋体" w:eastAsia="宋体" w:cs="宋体"/>
          <w:b/>
          <w:bCs/>
          <w:color w:val="auto"/>
          <w:kern w:val="2"/>
          <w:sz w:val="24"/>
          <w:szCs w:val="24"/>
          <w:highlight w:val="none"/>
          <w:shd w:val="clear" w:color="auto" w:fill="auto"/>
        </w:rPr>
      </w:pPr>
    </w:p>
    <w:p>
      <w:pPr>
        <w:widowControl/>
        <w:autoSpaceDE/>
        <w:autoSpaceDN/>
        <w:snapToGrid w:val="0"/>
        <w:spacing w:line="360" w:lineRule="auto"/>
        <w:ind w:firstLine="371" w:firstLineChars="177"/>
        <w:textAlignment w:val="baseline"/>
        <w:rPr>
          <w:rFonts w:hint="eastAsia" w:ascii="宋体" w:hAnsi="宋体" w:eastAsia="宋体" w:cs="宋体"/>
          <w:color w:val="auto"/>
          <w:sz w:val="21"/>
          <w:szCs w:val="21"/>
          <w:highlight w:val="none"/>
          <w:shd w:val="clear" w:color="auto" w:fill="auto"/>
        </w:rPr>
      </w:pPr>
    </w:p>
    <w:p>
      <w:pPr>
        <w:widowControl/>
        <w:autoSpaceDE/>
        <w:autoSpaceDN/>
        <w:snapToGrid w:val="0"/>
        <w:spacing w:line="360" w:lineRule="auto"/>
        <w:ind w:firstLine="373" w:firstLineChars="177"/>
        <w:jc w:val="center"/>
        <w:textAlignment w:val="baseline"/>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（格式自拟）</w:t>
      </w:r>
    </w:p>
    <w:p>
      <w:pPr>
        <w:widowControl/>
        <w:autoSpaceDE/>
        <w:autoSpaceDN/>
        <w:snapToGrid w:val="0"/>
        <w:spacing w:line="360" w:lineRule="auto"/>
        <w:ind w:firstLine="371" w:firstLineChars="177"/>
        <w:textAlignment w:val="baseline"/>
        <w:rPr>
          <w:rFonts w:hint="eastAsia" w:ascii="宋体" w:hAnsi="宋体" w:eastAsia="宋体" w:cs="宋体"/>
          <w:color w:val="auto"/>
          <w:sz w:val="21"/>
          <w:szCs w:val="21"/>
          <w:highlight w:val="none"/>
          <w:shd w:val="clear" w:color="auto" w:fill="auto"/>
        </w:rPr>
      </w:pPr>
    </w:p>
    <w:p>
      <w:pPr>
        <w:widowControl/>
        <w:autoSpaceDE/>
        <w:autoSpaceDN/>
        <w:snapToGrid w:val="0"/>
        <w:spacing w:line="360" w:lineRule="auto"/>
        <w:ind w:firstLine="495" w:firstLineChars="236"/>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widowControl/>
        <w:autoSpaceDE/>
        <w:autoSpaceDN/>
        <w:snapToGrid w:val="0"/>
        <w:spacing w:line="360" w:lineRule="auto"/>
        <w:textAlignment w:val="baseline"/>
        <w:outlineLvl w:val="0"/>
        <w:rPr>
          <w:rFonts w:hint="eastAsia" w:ascii="宋体" w:hAnsi="宋体" w:eastAsia="宋体" w:cs="宋体"/>
          <w:color w:val="auto"/>
          <w:sz w:val="21"/>
          <w:szCs w:val="21"/>
          <w:highlight w:val="none"/>
          <w:shd w:val="clear" w:color="auto" w:fill="auto"/>
        </w:rPr>
      </w:pPr>
    </w:p>
    <w:p>
      <w:pPr>
        <w:widowControl/>
        <w:autoSpaceDE/>
        <w:autoSpaceDN/>
        <w:snapToGrid w:val="0"/>
        <w:spacing w:line="360" w:lineRule="auto"/>
        <w:textAlignment w:val="baseline"/>
        <w:outlineLvl w:val="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bidi="zh-CN"/>
        </w:rPr>
        <w:t>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p>
    <w:p>
      <w:pPr>
        <w:widowControl/>
        <w:autoSpaceDE/>
        <w:autoSpaceDN/>
        <w:snapToGrid w:val="0"/>
        <w:spacing w:line="360" w:lineRule="auto"/>
        <w:textAlignment w:val="baseline"/>
        <w:outlineLvl w:val="0"/>
        <w:rPr>
          <w:rFonts w:hint="eastAsia" w:ascii="宋体" w:hAnsi="宋体" w:eastAsia="宋体" w:cs="宋体"/>
          <w:b/>
          <w:color w:val="auto"/>
          <w:szCs w:val="21"/>
          <w:highlight w:val="none"/>
          <w:shd w:val="clear" w:color="auto" w:fill="auto"/>
          <w:lang w:val="en-US" w:eastAsia="zh-CN"/>
        </w:rPr>
      </w:pPr>
    </w:p>
    <w:p>
      <w:pPr>
        <w:widowControl/>
        <w:autoSpaceDE/>
        <w:autoSpaceDN/>
        <w:snapToGrid w:val="0"/>
        <w:spacing w:line="360" w:lineRule="auto"/>
        <w:textAlignment w:val="baseline"/>
        <w:outlineLvl w:val="0"/>
        <w:rPr>
          <w:rFonts w:hint="eastAsia" w:ascii="宋体" w:hAnsi="宋体" w:eastAsia="宋体" w:cs="宋体"/>
          <w:b/>
          <w:bCs/>
          <w:i w:val="0"/>
          <w:iCs w:val="0"/>
          <w:color w:val="auto"/>
          <w:sz w:val="21"/>
          <w:szCs w:val="21"/>
          <w:highlight w:val="none"/>
          <w:u w:val="none"/>
          <w:shd w:val="clear" w:color="auto" w:fill="auto"/>
          <w:lang w:val="en-US" w:eastAsia="zh-CN"/>
        </w:rPr>
      </w:pPr>
      <w:r>
        <w:rPr>
          <w:rFonts w:hint="eastAsia" w:ascii="宋体" w:hAnsi="宋体" w:eastAsia="宋体" w:cs="宋体"/>
          <w:b/>
          <w:bCs/>
          <w:i w:val="0"/>
          <w:iCs w:val="0"/>
          <w:color w:val="auto"/>
          <w:sz w:val="21"/>
          <w:szCs w:val="21"/>
          <w:highlight w:val="none"/>
          <w:u w:val="none"/>
          <w:shd w:val="clear" w:color="auto" w:fill="auto"/>
          <w:lang w:val="en-US" w:eastAsia="zh-CN"/>
        </w:rPr>
        <w:br w:type="page"/>
      </w:r>
      <w:r>
        <w:rPr>
          <w:rFonts w:hint="eastAsia" w:ascii="宋体" w:hAnsi="宋体" w:eastAsia="宋体" w:cs="宋体"/>
          <w:b/>
          <w:bCs/>
          <w:i w:val="0"/>
          <w:iCs w:val="0"/>
          <w:color w:val="auto"/>
          <w:sz w:val="21"/>
          <w:szCs w:val="21"/>
          <w:highlight w:val="none"/>
          <w:u w:val="none"/>
          <w:shd w:val="clear" w:color="auto" w:fill="auto"/>
          <w:lang w:val="en-US" w:eastAsia="zh-CN"/>
        </w:rPr>
        <w:t>七、报价承诺函</w:t>
      </w:r>
    </w:p>
    <w:p>
      <w:pPr>
        <w:jc w:val="center"/>
        <w:rPr>
          <w:rFonts w:hint="eastAsia" w:ascii="宋体" w:hAnsi="宋体" w:eastAsia="宋体" w:cs="宋体"/>
          <w:b/>
          <w:bCs/>
          <w:color w:val="auto"/>
          <w:sz w:val="44"/>
          <w:szCs w:val="4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报价承诺函</w:t>
      </w:r>
    </w:p>
    <w:p>
      <w:pPr>
        <w:pStyle w:val="43"/>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0" w:firstLineChars="0"/>
        <w:jc w:val="left"/>
        <w:textAlignment w:val="auto"/>
        <w:rPr>
          <w:rFonts w:hint="eastAsia" w:ascii="宋体" w:hAnsi="宋体" w:eastAsia="宋体" w:cs="宋体"/>
          <w:color w:val="auto"/>
          <w:sz w:val="21"/>
          <w:szCs w:val="21"/>
          <w:highlight w:val="none"/>
          <w:shd w:val="clear" w:color="auto" w:fill="auto"/>
          <w:lang w:eastAsia="zh-CN"/>
        </w:rPr>
      </w:pPr>
    </w:p>
    <w:p>
      <w:pPr>
        <w:pStyle w:val="43"/>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0" w:firstLineChars="0"/>
        <w:jc w:val="left"/>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eastAsia="zh-CN"/>
        </w:rPr>
        <w:t>南通市商务局</w:t>
      </w:r>
      <w:r>
        <w:rPr>
          <w:rFonts w:hint="eastAsia" w:ascii="宋体" w:hAnsi="宋体" w:eastAsia="宋体" w:cs="宋体"/>
          <w:color w:val="auto"/>
          <w:sz w:val="21"/>
          <w:szCs w:val="21"/>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我单位郑重</w:t>
      </w:r>
      <w:r>
        <w:rPr>
          <w:rFonts w:hint="eastAsia" w:ascii="宋体" w:hAnsi="宋体" w:eastAsia="宋体" w:cs="宋体"/>
          <w:color w:val="auto"/>
          <w:szCs w:val="21"/>
          <w:highlight w:val="none"/>
          <w:shd w:val="clear" w:color="auto" w:fill="auto"/>
          <w:lang w:val="en-US" w:eastAsia="zh-CN"/>
        </w:rPr>
        <w:t>承诺：</w:t>
      </w:r>
    </w:p>
    <w:p>
      <w:pPr>
        <w:keepNext w:val="0"/>
        <w:keepLines w:val="0"/>
        <w:pageBreakBefore w:val="0"/>
        <w:widowControl w:val="0"/>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我单位报价</w:t>
      </w:r>
      <w:r>
        <w:rPr>
          <w:rFonts w:hint="eastAsia" w:ascii="宋体" w:hAnsi="宋体" w:eastAsia="宋体" w:cs="宋体"/>
          <w:color w:val="auto"/>
          <w:szCs w:val="21"/>
          <w:highlight w:val="none"/>
          <w:shd w:val="clear" w:color="auto" w:fill="auto"/>
          <w:lang w:val="en-US" w:eastAsia="zh-CN"/>
        </w:rPr>
        <w:t>未</w:t>
      </w:r>
      <w:r>
        <w:rPr>
          <w:rFonts w:hint="eastAsia" w:ascii="宋体" w:hAnsi="宋体" w:eastAsia="宋体" w:cs="宋体"/>
          <w:color w:val="auto"/>
          <w:szCs w:val="21"/>
          <w:highlight w:val="none"/>
          <w:shd w:val="clear" w:color="auto" w:fill="auto"/>
        </w:rPr>
        <w:t>超过最高限价。我单位报价（以人民币计价）包括但不限于场地、舞台搭建、</w:t>
      </w:r>
      <w:r>
        <w:rPr>
          <w:rFonts w:hint="eastAsia" w:ascii="宋体" w:hAnsi="宋体" w:eastAsia="宋体" w:cs="宋体"/>
          <w:color w:val="auto"/>
          <w:szCs w:val="21"/>
          <w:highlight w:val="none"/>
          <w:shd w:val="clear" w:color="auto" w:fill="auto"/>
          <w:lang w:val="en-US" w:eastAsia="zh-CN"/>
        </w:rPr>
        <w:t>现场</w:t>
      </w:r>
      <w:r>
        <w:rPr>
          <w:rFonts w:hint="eastAsia" w:ascii="宋体" w:hAnsi="宋体" w:eastAsia="宋体" w:cs="宋体"/>
          <w:color w:val="auto"/>
          <w:szCs w:val="21"/>
          <w:highlight w:val="none"/>
          <w:shd w:val="clear" w:color="auto" w:fill="auto"/>
        </w:rPr>
        <w:t>布置、策划执行、</w:t>
      </w:r>
      <w:r>
        <w:rPr>
          <w:rFonts w:hint="eastAsia" w:ascii="宋体" w:hAnsi="宋体" w:cs="宋体"/>
          <w:color w:val="auto"/>
          <w:szCs w:val="21"/>
          <w:highlight w:val="none"/>
        </w:rPr>
        <w:t>知识产权</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shd w:val="clear" w:color="auto" w:fill="auto"/>
        </w:rPr>
        <w:t>设备及物料、</w:t>
      </w:r>
      <w:r>
        <w:rPr>
          <w:rFonts w:hint="eastAsia" w:ascii="宋体" w:hAnsi="宋体" w:eastAsia="宋体" w:cs="宋体"/>
          <w:color w:val="auto"/>
          <w:szCs w:val="21"/>
          <w:highlight w:val="none"/>
          <w:shd w:val="clear" w:color="auto" w:fill="auto"/>
          <w:lang w:val="en-US" w:eastAsia="zh-CN"/>
        </w:rPr>
        <w:t>水电、</w:t>
      </w:r>
      <w:r>
        <w:rPr>
          <w:rFonts w:hint="eastAsia" w:ascii="宋体" w:hAnsi="宋体" w:eastAsia="宋体" w:cs="宋体"/>
          <w:color w:val="auto"/>
          <w:szCs w:val="21"/>
          <w:highlight w:val="none"/>
          <w:shd w:val="clear" w:color="auto" w:fill="auto"/>
        </w:rPr>
        <w:t>人员劳务、交通通讯、安保、</w:t>
      </w:r>
      <w:r>
        <w:rPr>
          <w:rFonts w:hint="eastAsia" w:ascii="宋体" w:hAnsi="宋体" w:eastAsia="宋体" w:cs="宋体"/>
          <w:color w:val="auto"/>
          <w:szCs w:val="21"/>
          <w:highlight w:val="none"/>
          <w:shd w:val="clear" w:color="auto" w:fill="auto"/>
          <w:lang w:val="en-US" w:eastAsia="zh-CN"/>
        </w:rPr>
        <w:t>保洁、</w:t>
      </w:r>
      <w:r>
        <w:rPr>
          <w:rFonts w:hint="eastAsia" w:ascii="宋体" w:hAnsi="宋体" w:eastAsia="宋体" w:cs="宋体"/>
          <w:color w:val="auto"/>
          <w:szCs w:val="21"/>
          <w:highlight w:val="none"/>
          <w:shd w:val="clear" w:color="auto" w:fill="auto"/>
        </w:rPr>
        <w:t>宣传</w:t>
      </w:r>
      <w:r>
        <w:rPr>
          <w:rFonts w:hint="eastAsia" w:ascii="宋体" w:hAnsi="宋体" w:eastAsia="宋体" w:cs="宋体"/>
          <w:color w:val="auto"/>
          <w:szCs w:val="21"/>
          <w:highlight w:val="none"/>
          <w:shd w:val="clear" w:color="auto" w:fill="auto"/>
          <w:lang w:val="en-US" w:eastAsia="zh-CN"/>
        </w:rPr>
        <w:t>引流</w:t>
      </w:r>
      <w:r>
        <w:rPr>
          <w:rFonts w:hint="eastAsia" w:ascii="宋体" w:hAnsi="宋体" w:eastAsia="宋体" w:cs="宋体"/>
          <w:color w:val="auto"/>
          <w:szCs w:val="21"/>
          <w:highlight w:val="none"/>
          <w:shd w:val="clear" w:color="auto" w:fill="auto"/>
        </w:rPr>
        <w:t>、</w:t>
      </w:r>
      <w:r>
        <w:rPr>
          <w:rFonts w:hint="eastAsia" w:ascii="宋体" w:hAnsi="宋体" w:eastAsia="宋体" w:cs="宋体"/>
          <w:color w:val="auto"/>
          <w:szCs w:val="21"/>
          <w:highlight w:val="none"/>
          <w:shd w:val="clear" w:color="auto" w:fill="auto"/>
          <w:lang w:val="en-US" w:eastAsia="zh-CN"/>
        </w:rPr>
        <w:t>工作餐、</w:t>
      </w:r>
      <w:r>
        <w:rPr>
          <w:rFonts w:hint="eastAsia" w:ascii="宋体" w:hAnsi="宋体" w:eastAsia="宋体" w:cs="宋体"/>
          <w:color w:val="auto"/>
          <w:szCs w:val="21"/>
          <w:highlight w:val="none"/>
          <w:shd w:val="clear" w:color="auto" w:fill="auto"/>
        </w:rPr>
        <w:t>保险（公共责任险及火灾险等各类保险费用）、</w:t>
      </w:r>
      <w:r>
        <w:rPr>
          <w:rFonts w:hint="eastAsia" w:ascii="宋体" w:hAnsi="宋体" w:eastAsia="宋体" w:cs="宋体"/>
          <w:color w:val="auto"/>
          <w:szCs w:val="21"/>
          <w:highlight w:val="none"/>
          <w:shd w:val="clear" w:color="auto" w:fill="auto"/>
          <w:lang w:val="en-US" w:eastAsia="zh-CN"/>
        </w:rPr>
        <w:t>招商、</w:t>
      </w:r>
      <w:r>
        <w:rPr>
          <w:rFonts w:hint="eastAsia" w:ascii="宋体" w:hAnsi="宋体" w:eastAsia="宋体" w:cs="宋体"/>
          <w:color w:val="auto"/>
          <w:szCs w:val="21"/>
          <w:highlight w:val="none"/>
          <w:shd w:val="clear" w:color="auto" w:fill="auto"/>
        </w:rPr>
        <w:t>管理费用、利润、税金等工作所发生的全部费用和政策性文件规定及合同包含的所有风险、责任，即响应磋商项目需求中的全部工作量和服务及完成本项目工作所需的一切费用。</w:t>
      </w:r>
    </w:p>
    <w:p>
      <w:pPr>
        <w:keepNext w:val="0"/>
        <w:keepLines w:val="0"/>
        <w:pageBreakBefore w:val="0"/>
        <w:widowControl w:val="0"/>
        <w:kinsoku/>
        <w:wordWrap/>
        <w:overflowPunct/>
        <w:topLinePunct w:val="0"/>
        <w:autoSpaceDE/>
        <w:autoSpaceDN/>
        <w:bidi w:val="0"/>
        <w:spacing w:line="360" w:lineRule="auto"/>
        <w:ind w:firstLine="492"/>
        <w:rPr>
          <w:rFonts w:hint="eastAsia" w:ascii="宋体" w:hAnsi="宋体" w:eastAsia="宋体" w:cs="宋体"/>
          <w:color w:val="auto"/>
          <w:sz w:val="21"/>
          <w:szCs w:val="21"/>
          <w:highlight w:val="none"/>
          <w:lang w:eastAsia="zh-CN"/>
        </w:rPr>
      </w:pPr>
    </w:p>
    <w:p>
      <w:pPr>
        <w:keepNext w:val="0"/>
        <w:keepLines w:val="0"/>
        <w:pageBreakBefore w:val="0"/>
        <w:widowControl w:val="0"/>
        <w:kinsoku/>
        <w:wordWrap/>
        <w:overflowPunct/>
        <w:topLinePunct w:val="0"/>
        <w:autoSpaceDE/>
        <w:autoSpaceDN/>
        <w:bidi w:val="0"/>
        <w:spacing w:line="360" w:lineRule="auto"/>
        <w:ind w:firstLine="492"/>
        <w:jc w:val="right"/>
        <w:rPr>
          <w:rFonts w:hint="eastAsia" w:ascii="宋体" w:hAnsi="宋体" w:eastAsia="宋体" w:cs="宋体"/>
          <w:b w:val="0"/>
          <w:bCs w:val="0"/>
          <w:color w:val="auto"/>
          <w:sz w:val="24"/>
          <w:szCs w:val="21"/>
          <w:highlight w:val="none"/>
          <w:shd w:val="clear" w:color="auto" w:fill="auto"/>
        </w:rPr>
      </w:pPr>
    </w:p>
    <w:p>
      <w:pPr>
        <w:keepNext w:val="0"/>
        <w:keepLines w:val="0"/>
        <w:pageBreakBefore w:val="0"/>
        <w:widowControl w:val="0"/>
        <w:kinsoku/>
        <w:wordWrap/>
        <w:overflowPunct/>
        <w:topLinePunct w:val="0"/>
        <w:autoSpaceDE/>
        <w:autoSpaceDN/>
        <w:bidi w:val="0"/>
        <w:spacing w:line="360" w:lineRule="auto"/>
        <w:ind w:firstLine="492"/>
        <w:jc w:val="right"/>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供应商：（加盖CA电子公章）</w:t>
      </w:r>
    </w:p>
    <w:p>
      <w:pPr>
        <w:pStyle w:val="7"/>
        <w:keepNext w:val="0"/>
        <w:keepLines w:val="0"/>
        <w:pageBreakBefore w:val="0"/>
        <w:widowControl w:val="0"/>
        <w:kinsoku/>
        <w:wordWrap/>
        <w:overflowPunct/>
        <w:topLinePunct w:val="0"/>
        <w:autoSpaceDE/>
        <w:autoSpaceDN/>
        <w:bidi w:val="0"/>
        <w:spacing w:line="360" w:lineRule="auto"/>
        <w:jc w:val="right"/>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w:t>
      </w:r>
    </w:p>
    <w:p>
      <w:pPr>
        <w:pStyle w:val="7"/>
        <w:keepNext w:val="0"/>
        <w:keepLines w:val="0"/>
        <w:pageBreakBefore w:val="0"/>
        <w:widowControl w:val="0"/>
        <w:kinsoku/>
        <w:wordWrap/>
        <w:overflowPunct/>
        <w:topLinePunct w:val="0"/>
        <w:autoSpaceDE/>
        <w:autoSpaceDN/>
        <w:bidi w:val="0"/>
        <w:spacing w:line="360" w:lineRule="auto"/>
        <w:jc w:val="right"/>
        <w:rPr>
          <w:rFonts w:hint="eastAsia" w:ascii="宋体" w:hAnsi="宋体" w:eastAsia="宋体" w:cs="宋体"/>
          <w:b w:val="0"/>
          <w:bCs w:val="0"/>
          <w:color w:val="auto"/>
          <w:kern w:val="2"/>
          <w:sz w:val="24"/>
          <w:szCs w:val="21"/>
          <w:highlight w:val="none"/>
          <w:shd w:val="clear" w:color="auto" w:fill="auto"/>
          <w:lang w:val="en-US" w:eastAsia="zh-CN" w:bidi="ar-SA"/>
        </w:rPr>
      </w:pPr>
      <w:r>
        <w:rPr>
          <w:rFonts w:hint="eastAsia" w:ascii="宋体" w:hAnsi="宋体" w:eastAsia="宋体" w:cs="宋体"/>
          <w:b w:val="0"/>
          <w:bCs w:val="0"/>
          <w:color w:val="auto"/>
          <w:kern w:val="2"/>
          <w:sz w:val="24"/>
          <w:szCs w:val="21"/>
          <w:highlight w:val="none"/>
          <w:shd w:val="clear" w:color="auto" w:fill="auto"/>
          <w:lang w:val="en-US" w:eastAsia="zh-CN" w:bidi="ar-SA"/>
        </w:rPr>
        <w:t xml:space="preserve">   年</w:t>
      </w:r>
      <w:r>
        <w:rPr>
          <w:rFonts w:hint="eastAsia" w:ascii="宋体" w:hAnsi="宋体" w:eastAsia="宋体" w:cs="宋体"/>
          <w:b w:val="0"/>
          <w:bCs w:val="0"/>
          <w:color w:val="auto"/>
          <w:kern w:val="2"/>
          <w:sz w:val="24"/>
          <w:szCs w:val="21"/>
          <w:highlight w:val="none"/>
          <w:shd w:val="clear" w:color="auto" w:fill="auto"/>
          <w:lang w:val="en-US" w:eastAsia="zh-CN" w:bidi="ar-SA"/>
        </w:rPr>
        <w:tab/>
      </w:r>
      <w:r>
        <w:rPr>
          <w:rFonts w:hint="eastAsia" w:ascii="宋体" w:hAnsi="宋体" w:eastAsia="宋体" w:cs="宋体"/>
          <w:b w:val="0"/>
          <w:bCs w:val="0"/>
          <w:color w:val="auto"/>
          <w:kern w:val="2"/>
          <w:sz w:val="24"/>
          <w:szCs w:val="21"/>
          <w:highlight w:val="none"/>
          <w:shd w:val="clear" w:color="auto" w:fill="auto"/>
          <w:lang w:val="en-US" w:eastAsia="zh-CN" w:bidi="ar-SA"/>
        </w:rPr>
        <w:t xml:space="preserve"> 月 </w:t>
      </w:r>
      <w:r>
        <w:rPr>
          <w:rFonts w:hint="eastAsia" w:ascii="宋体" w:hAnsi="宋体" w:eastAsia="宋体" w:cs="宋体"/>
          <w:b w:val="0"/>
          <w:bCs w:val="0"/>
          <w:color w:val="auto"/>
          <w:kern w:val="2"/>
          <w:sz w:val="24"/>
          <w:szCs w:val="21"/>
          <w:highlight w:val="none"/>
          <w:shd w:val="clear" w:color="auto" w:fill="auto"/>
          <w:lang w:val="en-US" w:eastAsia="zh-CN" w:bidi="ar-SA"/>
        </w:rPr>
        <w:tab/>
      </w:r>
      <w:r>
        <w:rPr>
          <w:rFonts w:hint="eastAsia" w:ascii="宋体" w:hAnsi="宋体" w:eastAsia="宋体" w:cs="宋体"/>
          <w:b w:val="0"/>
          <w:bCs w:val="0"/>
          <w:color w:val="auto"/>
          <w:kern w:val="2"/>
          <w:sz w:val="24"/>
          <w:szCs w:val="21"/>
          <w:highlight w:val="none"/>
          <w:shd w:val="clear" w:color="auto" w:fill="auto"/>
          <w:lang w:val="en-US" w:eastAsia="zh-CN" w:bidi="ar-SA"/>
        </w:rPr>
        <w:t>日</w:t>
      </w:r>
    </w:p>
    <w:p>
      <w:pPr>
        <w:spacing w:line="480" w:lineRule="auto"/>
        <w:rPr>
          <w:rFonts w:hint="eastAsia" w:ascii="宋体" w:hAnsi="宋体" w:eastAsia="宋体" w:cs="宋体"/>
          <w:b/>
          <w:bCs/>
          <w:color w:val="auto"/>
          <w:kern w:val="2"/>
          <w:szCs w:val="21"/>
          <w:highlight w:val="none"/>
          <w:shd w:val="clear" w:color="auto" w:fill="auto"/>
          <w:lang w:eastAsia="zh-CN"/>
        </w:rPr>
      </w:pPr>
      <w:r>
        <w:rPr>
          <w:rFonts w:hint="eastAsia" w:ascii="宋体" w:hAnsi="宋体" w:eastAsia="宋体" w:cs="宋体"/>
          <w:b/>
          <w:bCs/>
          <w:color w:val="auto"/>
          <w:kern w:val="2"/>
          <w:szCs w:val="21"/>
          <w:highlight w:val="none"/>
          <w:shd w:val="clear" w:color="auto" w:fill="auto"/>
          <w:lang w:val="en-US" w:eastAsia="zh-CN"/>
        </w:rPr>
        <w:br w:type="page"/>
      </w:r>
      <w:r>
        <w:rPr>
          <w:rFonts w:hint="eastAsia" w:ascii="宋体" w:hAnsi="宋体" w:eastAsia="宋体" w:cs="宋体"/>
          <w:b/>
          <w:bCs/>
          <w:color w:val="auto"/>
          <w:kern w:val="2"/>
          <w:szCs w:val="21"/>
          <w:highlight w:val="none"/>
          <w:shd w:val="clear" w:color="auto" w:fill="auto"/>
          <w:lang w:val="en-US" w:eastAsia="zh-CN"/>
        </w:rPr>
        <w:t>八</w:t>
      </w:r>
      <w:r>
        <w:rPr>
          <w:rFonts w:hint="eastAsia" w:ascii="宋体" w:hAnsi="宋体" w:eastAsia="宋体" w:cs="宋体"/>
          <w:b/>
          <w:bCs/>
          <w:color w:val="auto"/>
          <w:kern w:val="2"/>
          <w:szCs w:val="21"/>
          <w:highlight w:val="none"/>
          <w:shd w:val="clear" w:color="auto" w:fill="auto"/>
        </w:rPr>
        <w:t>、</w:t>
      </w:r>
      <w:r>
        <w:rPr>
          <w:rFonts w:hint="eastAsia" w:ascii="宋体" w:hAnsi="宋体" w:eastAsia="宋体" w:cs="宋体"/>
          <w:b/>
          <w:bCs/>
          <w:color w:val="auto"/>
          <w:kern w:val="2"/>
          <w:szCs w:val="21"/>
          <w:highlight w:val="none"/>
          <w:shd w:val="clear" w:color="auto" w:fill="auto"/>
          <w:lang w:eastAsia="zh-CN"/>
        </w:rPr>
        <w:t>竞争性磋商响应函</w:t>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竞争性磋商响应函</w:t>
      </w:r>
    </w:p>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南通市商务局</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依据贵单位委托代理机构组织的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（磋商项目名称</w:t>
      </w:r>
      <w:r>
        <w:rPr>
          <w:rFonts w:hint="eastAsia" w:ascii="宋体" w:hAnsi="宋体" w:eastAsia="宋体" w:cs="宋体"/>
          <w:color w:val="auto"/>
          <w:sz w:val="21"/>
          <w:szCs w:val="21"/>
          <w:highlight w:val="none"/>
          <w:lang w:val="en-US" w:eastAsia="zh-CN"/>
        </w:rPr>
        <w:t>及项目编号</w:t>
      </w:r>
      <w:r>
        <w:rPr>
          <w:rFonts w:hint="eastAsia" w:ascii="宋体" w:hAnsi="宋体" w:eastAsia="宋体" w:cs="宋体"/>
          <w:color w:val="auto"/>
          <w:sz w:val="21"/>
          <w:szCs w:val="21"/>
          <w:highlight w:val="none"/>
        </w:rPr>
        <w:t>)竞争性磋商的邀请，我方授权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（职务）为全权代表参加该项目的磋商工作，全权处理本次竞争性磋商的有关事宜。同时，我公司声明如下：</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1.同意并接受竞争性磋商文件的各项要求，遵守竞争性磋商文件中的各项规定，按竞争性磋商文件的要求提供报价。</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2.我公司已经详细阅读了竞争性磋商文件的全部内容，我方已完全清晰理解竞争性磋商文件的要求，不存在任何含糊不清和误解之处，同意放弃对竞争性磋商文件所表述的内容提出异议和质疑的权利。</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3.我公司已毫无保留地向贵方提供一切所需的证明材料。</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4.我公司承诺在本次磋商响应中提供的一切文件，无论是原件还是复印件均真实有效，绝无任何虚假、伪造和夸大的成份。否则，愿承担相应的后果和法律责任。</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b/>
          <w:color w:val="auto"/>
          <w:sz w:val="21"/>
          <w:szCs w:val="21"/>
          <w:highlight w:val="none"/>
        </w:rPr>
        <w:t>我公司尊重磋商小组所作的评定结果，同时清楚理解到报价最低并非意味着必定获得成交资格。</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6.一旦成交，我方承诺无正当理由拒绝签订合同，同意被贵方取消成交资格。</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b/>
          <w:color w:val="auto"/>
          <w:sz w:val="21"/>
          <w:szCs w:val="21"/>
          <w:highlight w:val="none"/>
        </w:rPr>
        <w:t>一旦成交，我方将根据竞争性磋商文件的规定，严格履行合同规定的责任和义务，并保证在合同约定的期限内完成全部合同项目。</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.我方与本磋商有关的正式通讯地址为：</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地址：</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邮编：</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电话：</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传真：</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供应商开户行：</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账号：</w:t>
      </w:r>
    </w:p>
    <w:p>
      <w:pPr>
        <w:spacing w:line="440" w:lineRule="exact"/>
        <w:jc w:val="right"/>
        <w:rPr>
          <w:rFonts w:hint="eastAsia" w:ascii="宋体" w:hAnsi="宋体" w:eastAsia="宋体" w:cs="宋体"/>
          <w:color w:val="auto"/>
          <w:szCs w:val="21"/>
          <w:highlight w:val="none"/>
          <w:shd w:val="clear" w:color="auto" w:fill="auto"/>
        </w:rPr>
      </w:pPr>
    </w:p>
    <w:p>
      <w:pPr>
        <w:spacing w:line="440" w:lineRule="exact"/>
        <w:jc w:val="right"/>
        <w:rPr>
          <w:rFonts w:hint="eastAsia" w:ascii="宋体" w:hAnsi="宋体" w:eastAsia="宋体" w:cs="宋体"/>
          <w:color w:val="auto"/>
          <w:szCs w:val="21"/>
          <w:highlight w:val="none"/>
          <w:shd w:val="clear" w:color="auto" w:fill="auto"/>
        </w:rPr>
      </w:pPr>
    </w:p>
    <w:p>
      <w:pPr>
        <w:spacing w:line="440" w:lineRule="exact"/>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 w:val="21"/>
          <w:szCs w:val="21"/>
          <w:highlight w:val="none"/>
        </w:rPr>
        <w:t>竞争性磋商响应单位</w:t>
      </w:r>
      <w:r>
        <w:rPr>
          <w:rFonts w:hint="eastAsia" w:ascii="宋体" w:hAnsi="宋体" w:eastAsia="宋体" w:cs="宋体"/>
          <w:color w:val="auto"/>
          <w:szCs w:val="21"/>
          <w:highlight w:val="none"/>
          <w:shd w:val="clear" w:color="auto" w:fill="auto"/>
        </w:rPr>
        <w:t>：（加盖CA电子公章）</w:t>
      </w:r>
    </w:p>
    <w:p>
      <w:pPr>
        <w:spacing w:line="440" w:lineRule="exact"/>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年      月     日</w:t>
      </w:r>
    </w:p>
    <w:p>
      <w:pPr>
        <w:spacing w:line="500" w:lineRule="exact"/>
        <w:rPr>
          <w:rFonts w:hint="eastAsia" w:ascii="宋体" w:hAnsi="宋体" w:eastAsia="宋体" w:cs="宋体"/>
          <w:bCs/>
          <w:color w:val="auto"/>
          <w:szCs w:val="21"/>
          <w:highlight w:val="none"/>
          <w:shd w:val="clear" w:color="auto" w:fill="auto"/>
        </w:rPr>
      </w:pPr>
    </w:p>
    <w:p>
      <w:pPr>
        <w:rPr>
          <w:rFonts w:hint="eastAsia" w:ascii="宋体" w:hAnsi="宋体" w:eastAsia="宋体" w:cs="宋体"/>
          <w:b/>
          <w:bCs/>
          <w:color w:val="auto"/>
          <w:kern w:val="2"/>
          <w:szCs w:val="21"/>
          <w:highlight w:val="none"/>
          <w:shd w:val="clear" w:color="auto" w:fill="auto"/>
        </w:rPr>
      </w:pPr>
      <w:r>
        <w:rPr>
          <w:rFonts w:hint="eastAsia" w:ascii="宋体" w:hAnsi="宋体" w:eastAsia="宋体" w:cs="宋体"/>
          <w:b/>
          <w:bCs/>
          <w:color w:val="auto"/>
          <w:kern w:val="2"/>
          <w:szCs w:val="21"/>
          <w:highlight w:val="none"/>
          <w:shd w:val="clear" w:color="auto" w:fill="auto"/>
        </w:rPr>
        <w:br w:type="page"/>
      </w:r>
    </w:p>
    <w:p>
      <w:pPr>
        <w:spacing w:line="360" w:lineRule="auto"/>
        <w:rPr>
          <w:rFonts w:hint="eastAsia" w:ascii="宋体" w:hAnsi="宋体" w:eastAsia="宋体" w:cs="宋体"/>
          <w:b/>
          <w:bCs/>
          <w:color w:val="auto"/>
          <w:kern w:val="2"/>
          <w:szCs w:val="21"/>
          <w:highlight w:val="none"/>
          <w:shd w:val="clear" w:color="auto" w:fill="auto"/>
        </w:rPr>
      </w:pPr>
      <w:r>
        <w:rPr>
          <w:rFonts w:hint="eastAsia" w:ascii="宋体" w:hAnsi="宋体" w:eastAsia="宋体" w:cs="宋体"/>
          <w:b/>
          <w:bCs/>
          <w:color w:val="auto"/>
          <w:kern w:val="2"/>
          <w:szCs w:val="21"/>
          <w:highlight w:val="none"/>
          <w:shd w:val="clear" w:color="auto" w:fill="auto"/>
          <w:lang w:val="en-US" w:eastAsia="zh-CN"/>
        </w:rPr>
        <w:t>九</w:t>
      </w:r>
      <w:r>
        <w:rPr>
          <w:rFonts w:hint="eastAsia" w:ascii="宋体" w:hAnsi="宋体" w:eastAsia="宋体" w:cs="宋体"/>
          <w:b/>
          <w:bCs/>
          <w:color w:val="auto"/>
          <w:kern w:val="2"/>
          <w:szCs w:val="21"/>
          <w:highlight w:val="none"/>
          <w:shd w:val="clear" w:color="auto" w:fill="auto"/>
        </w:rPr>
        <w:t>、实质性响应承诺函</w:t>
      </w:r>
    </w:p>
    <w:p>
      <w:pPr>
        <w:rPr>
          <w:rFonts w:hint="eastAsia" w:ascii="宋体" w:hAnsi="宋体" w:eastAsia="宋体" w:cs="宋体"/>
          <w:b/>
          <w:bCs/>
          <w:color w:val="auto"/>
          <w:kern w:val="2"/>
          <w:szCs w:val="21"/>
          <w:highlight w:val="none"/>
          <w:shd w:val="clear" w:color="auto" w:fill="auto"/>
        </w:rPr>
      </w:pPr>
    </w:p>
    <w:p>
      <w:pPr>
        <w:spacing w:line="400" w:lineRule="exact"/>
        <w:contextualSpacing/>
        <w:jc w:val="center"/>
        <w:rPr>
          <w:rFonts w:hint="eastAsia" w:ascii="宋体" w:hAnsi="宋体" w:eastAsia="宋体" w:cs="宋体"/>
          <w:b/>
          <w:color w:val="auto"/>
          <w:szCs w:val="21"/>
          <w:highlight w:val="none"/>
          <w:shd w:val="clear" w:color="auto" w:fill="auto"/>
        </w:rPr>
      </w:pPr>
      <w:r>
        <w:rPr>
          <w:rFonts w:hint="eastAsia" w:ascii="宋体" w:hAnsi="宋体" w:eastAsia="宋体" w:cs="宋体"/>
          <w:b/>
          <w:bCs/>
          <w:color w:val="auto"/>
          <w:kern w:val="2"/>
          <w:szCs w:val="21"/>
          <w:highlight w:val="none"/>
          <w:shd w:val="clear" w:color="auto" w:fill="auto"/>
        </w:rPr>
        <w:t>实质性响应承诺函</w:t>
      </w: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lang w:eastAsia="zh-CN"/>
        </w:rPr>
        <w:t>南通市商务局</w:t>
      </w:r>
      <w:r>
        <w:rPr>
          <w:rStyle w:val="59"/>
          <w:rFonts w:hint="eastAsia" w:ascii="宋体" w:hAnsi="宋体" w:eastAsia="宋体" w:cs="宋体"/>
          <w:color w:val="auto"/>
          <w:szCs w:val="21"/>
          <w:highlight w:val="none"/>
          <w:shd w:val="clear" w:color="auto" w:fill="auto"/>
        </w:rPr>
        <w:t>：</w:t>
      </w:r>
    </w:p>
    <w:p>
      <w:pPr>
        <w:snapToGrid w:val="0"/>
        <w:spacing w:line="500" w:lineRule="exact"/>
        <w:ind w:firstLine="420" w:firstLineChars="200"/>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我单位</w:t>
      </w:r>
      <w:r>
        <w:rPr>
          <w:rFonts w:hint="eastAsia" w:ascii="宋体" w:hAnsi="宋体" w:eastAsia="宋体" w:cs="宋体"/>
          <w:color w:val="auto"/>
          <w:sz w:val="21"/>
          <w:szCs w:val="21"/>
          <w:highlight w:val="none"/>
          <w:shd w:val="clear" w:color="auto" w:fill="auto"/>
        </w:rPr>
        <w:t>________</w:t>
      </w:r>
      <w:r>
        <w:rPr>
          <w:rStyle w:val="59"/>
          <w:rFonts w:hint="eastAsia" w:ascii="宋体" w:hAnsi="宋体" w:eastAsia="宋体" w:cs="宋体"/>
          <w:color w:val="auto"/>
          <w:szCs w:val="21"/>
          <w:highlight w:val="none"/>
          <w:shd w:val="clear" w:color="auto" w:fill="auto"/>
        </w:rPr>
        <w:t>（供应商名称）郑重承诺：</w:t>
      </w:r>
    </w:p>
    <w:p>
      <w:pPr>
        <w:snapToGrid w:val="0"/>
        <w:spacing w:line="500" w:lineRule="exact"/>
        <w:ind w:firstLine="420" w:firstLineChars="200"/>
        <w:rPr>
          <w:rStyle w:val="59"/>
          <w:rFonts w:hint="eastAsia" w:ascii="宋体" w:hAnsi="宋体" w:eastAsia="宋体" w:cs="宋体"/>
          <w:color w:val="auto"/>
          <w:szCs w:val="21"/>
          <w:highlight w:val="none"/>
          <w:shd w:val="clear" w:color="auto" w:fill="auto"/>
          <w:lang w:val="en-US" w:eastAsia="zh-CN"/>
        </w:rPr>
      </w:pPr>
      <w:r>
        <w:rPr>
          <w:rStyle w:val="59"/>
          <w:rFonts w:hint="eastAsia" w:ascii="宋体" w:hAnsi="宋体" w:eastAsia="宋体" w:cs="宋体"/>
          <w:color w:val="auto"/>
          <w:szCs w:val="21"/>
          <w:highlight w:val="none"/>
          <w:shd w:val="clear" w:color="auto" w:fill="auto"/>
          <w:lang w:val="en-US" w:eastAsia="zh-CN"/>
        </w:rPr>
        <w:t>我单位完全响应竞争性磋商文件项目需求的所有内容，无负偏离。</w:t>
      </w:r>
    </w:p>
    <w:p>
      <w:pPr>
        <w:pStyle w:val="9"/>
        <w:rPr>
          <w:rFonts w:hint="eastAsia" w:ascii="宋体" w:hAnsi="宋体" w:eastAsia="宋体" w:cs="宋体"/>
          <w:color w:val="auto"/>
          <w:highlight w:val="none"/>
          <w:shd w:val="clear" w:color="auto" w:fill="auto"/>
        </w:rPr>
      </w:pPr>
    </w:p>
    <w:p>
      <w:pPr>
        <w:pStyle w:val="2"/>
        <w:ind w:firstLine="560"/>
        <w:rPr>
          <w:rFonts w:hint="eastAsia" w:ascii="宋体" w:hAnsi="宋体" w:eastAsia="宋体" w:cs="宋体"/>
          <w:color w:val="auto"/>
          <w:highlight w:val="none"/>
          <w:shd w:val="clear" w:color="auto" w:fill="auto"/>
          <w:lang w:eastAsia="zh-CN"/>
        </w:rPr>
      </w:pPr>
      <w:r>
        <w:rPr>
          <w:rStyle w:val="59"/>
          <w:rFonts w:hint="eastAsia" w:ascii="宋体" w:hAnsi="宋体" w:eastAsia="宋体" w:cs="宋体"/>
          <w:color w:val="auto"/>
          <w:szCs w:val="21"/>
          <w:highlight w:val="none"/>
          <w:shd w:val="clear" w:color="auto" w:fill="auto"/>
          <w:lang w:val="en-US" w:eastAsia="zh-CN"/>
        </w:rPr>
        <w:t xml:space="preserve"> </w:t>
      </w:r>
    </w:p>
    <w:p>
      <w:pPr>
        <w:pStyle w:val="2"/>
        <w:ind w:firstLine="560"/>
        <w:rPr>
          <w:rFonts w:hint="eastAsia" w:ascii="宋体" w:hAnsi="宋体" w:eastAsia="宋体" w:cs="宋体"/>
          <w:color w:val="auto"/>
          <w:highlight w:val="none"/>
          <w:shd w:val="clear" w:color="auto" w:fill="auto"/>
        </w:rPr>
      </w:pPr>
    </w:p>
    <w:p>
      <w:pPr>
        <w:pStyle w:val="9"/>
        <w:rPr>
          <w:rFonts w:hint="eastAsia" w:ascii="宋体" w:hAnsi="宋体" w:eastAsia="宋体" w:cs="宋体"/>
          <w:color w:val="auto"/>
          <w:highlight w:val="none"/>
          <w:shd w:val="clear" w:color="auto" w:fill="auto"/>
        </w:rPr>
      </w:pPr>
    </w:p>
    <w:p>
      <w:pPr>
        <w:snapToGrid w:val="0"/>
        <w:spacing w:line="500" w:lineRule="exact"/>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（加盖CA电子公章）</w:t>
      </w:r>
    </w:p>
    <w:p>
      <w:pPr>
        <w:snapToGrid w:val="0"/>
        <w:spacing w:line="500" w:lineRule="exact"/>
        <w:jc w:val="center"/>
        <w:rPr>
          <w:rStyle w:val="59"/>
          <w:rFonts w:hint="eastAsia" w:ascii="宋体" w:hAnsi="宋体" w:eastAsia="宋体" w:cs="宋体"/>
          <w:color w:val="auto"/>
          <w:szCs w:val="21"/>
          <w:highlight w:val="none"/>
          <w:shd w:val="clear" w:color="auto" w:fill="auto"/>
        </w:rPr>
      </w:pPr>
      <w:r>
        <w:rPr>
          <w:rStyle w:val="59"/>
          <w:rFonts w:hint="eastAsia" w:ascii="宋体" w:hAnsi="宋体" w:eastAsia="宋体" w:cs="宋体"/>
          <w:color w:val="auto"/>
          <w:szCs w:val="21"/>
          <w:highlight w:val="none"/>
          <w:shd w:val="clear" w:color="auto" w:fill="auto"/>
        </w:rPr>
        <w:t xml:space="preserve">                                                  年     月    日</w:t>
      </w:r>
    </w:p>
    <w:p>
      <w:pPr>
        <w:rPr>
          <w:rFonts w:hint="eastAsia" w:ascii="宋体" w:hAnsi="宋体" w:eastAsia="宋体" w:cs="宋体"/>
          <w:b/>
          <w:bCs/>
          <w:color w:val="auto"/>
          <w:kern w:val="2"/>
          <w:szCs w:val="21"/>
          <w:highlight w:val="none"/>
          <w:shd w:val="clear" w:color="auto" w:fill="auto"/>
        </w:rPr>
      </w:pPr>
    </w:p>
    <w:p>
      <w:pPr>
        <w:pStyle w:val="2"/>
        <w:ind w:firstLine="560"/>
        <w:rPr>
          <w:rFonts w:hint="eastAsia" w:ascii="宋体" w:hAnsi="宋体" w:eastAsia="宋体" w:cs="宋体"/>
          <w:color w:val="auto"/>
          <w:highlight w:val="none"/>
          <w:shd w:val="clear" w:color="auto" w:fill="auto"/>
        </w:rPr>
      </w:pP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kern w:val="2"/>
          <w:szCs w:val="21"/>
          <w:highlight w:val="none"/>
          <w:shd w:val="clear" w:color="auto" w:fill="auto"/>
        </w:rPr>
        <w:br w:type="page"/>
      </w:r>
      <w:r>
        <w:rPr>
          <w:rFonts w:hint="eastAsia" w:ascii="宋体" w:hAnsi="宋体" w:eastAsia="宋体" w:cs="宋体"/>
          <w:b/>
          <w:bCs/>
          <w:color w:val="auto"/>
          <w:kern w:val="2"/>
          <w:szCs w:val="21"/>
          <w:highlight w:val="none"/>
          <w:shd w:val="clear" w:color="auto" w:fill="auto"/>
          <w:lang w:val="en-US" w:eastAsia="zh-CN"/>
        </w:rPr>
        <w:t>十</w:t>
      </w:r>
      <w:r>
        <w:rPr>
          <w:rFonts w:hint="eastAsia" w:ascii="宋体" w:hAnsi="宋体" w:eastAsia="宋体" w:cs="宋体"/>
          <w:b/>
          <w:bCs/>
          <w:color w:val="auto"/>
          <w:kern w:val="2"/>
          <w:szCs w:val="21"/>
          <w:highlight w:val="none"/>
          <w:shd w:val="clear" w:color="auto" w:fill="auto"/>
        </w:rPr>
        <w:t>、商务部分正负偏离表</w:t>
      </w:r>
    </w:p>
    <w:p>
      <w:pPr>
        <w:spacing w:line="300" w:lineRule="auto"/>
        <w:contextualSpacing/>
        <w:jc w:val="center"/>
        <w:rPr>
          <w:rFonts w:hint="eastAsia" w:ascii="宋体" w:hAnsi="宋体" w:eastAsia="宋体" w:cs="宋体"/>
          <w:b/>
          <w:color w:val="auto"/>
          <w:szCs w:val="21"/>
          <w:highlight w:val="none"/>
          <w:shd w:val="clear" w:color="auto" w:fill="auto"/>
        </w:rPr>
      </w:pPr>
    </w:p>
    <w:p>
      <w:pPr>
        <w:spacing w:line="480" w:lineRule="auto"/>
        <w:jc w:val="center"/>
        <w:rPr>
          <w:rFonts w:hint="eastAsia" w:ascii="宋体" w:hAnsi="宋体" w:eastAsia="宋体" w:cs="宋体"/>
          <w:b/>
          <w:bCs/>
          <w:color w:val="auto"/>
          <w:sz w:val="24"/>
          <w:highlight w:val="none"/>
          <w:u w:val="single"/>
          <w:shd w:val="clear" w:color="auto" w:fill="auto"/>
          <w:lang w:eastAsia="en-US"/>
        </w:rPr>
      </w:pPr>
      <w:r>
        <w:rPr>
          <w:rFonts w:hint="eastAsia" w:ascii="宋体" w:hAnsi="宋体" w:eastAsia="宋体" w:cs="宋体"/>
          <w:b/>
          <w:bCs/>
          <w:color w:val="auto"/>
          <w:kern w:val="2"/>
          <w:szCs w:val="21"/>
          <w:highlight w:val="none"/>
          <w:shd w:val="clear" w:color="auto" w:fill="auto"/>
        </w:rPr>
        <w:t>商务部分正负偏离表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序号</w:t>
            </w:r>
          </w:p>
        </w:tc>
        <w:tc>
          <w:tcPr>
            <w:tcW w:w="3291"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竞争性磋商文件</w:t>
            </w:r>
            <w:r>
              <w:rPr>
                <w:rFonts w:hint="eastAsia" w:ascii="宋体" w:hAnsi="宋体" w:eastAsia="宋体" w:cs="宋体"/>
                <w:color w:val="auto"/>
                <w:sz w:val="24"/>
                <w:highlight w:val="none"/>
                <w:shd w:val="clear" w:color="auto" w:fill="auto"/>
              </w:rPr>
              <w:t>要求</w:t>
            </w:r>
          </w:p>
        </w:tc>
        <w:tc>
          <w:tcPr>
            <w:tcW w:w="2852"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响应情况</w:t>
            </w:r>
          </w:p>
        </w:tc>
        <w:tc>
          <w:tcPr>
            <w:tcW w:w="1308"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超出、符合或偏离</w:t>
            </w:r>
          </w:p>
        </w:tc>
        <w:tc>
          <w:tcPr>
            <w:tcW w:w="1173"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证明</w:t>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注： 行数不够，可自行添加。</w:t>
      </w:r>
    </w:p>
    <w:p>
      <w:pPr>
        <w:spacing w:line="460" w:lineRule="exact"/>
        <w:ind w:firstLine="492"/>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p>
    <w:p>
      <w:pPr>
        <w:pStyle w:val="7"/>
        <w:rPr>
          <w:rFonts w:hint="eastAsia" w:ascii="宋体" w:hAnsi="宋体" w:eastAsia="宋体" w:cs="宋体"/>
          <w:color w:val="auto"/>
          <w:sz w:val="24"/>
          <w:szCs w:val="21"/>
          <w:highlight w:val="none"/>
          <w:shd w:val="clear" w:color="auto" w:fill="auto"/>
        </w:rPr>
      </w:pPr>
    </w:p>
    <w:p>
      <w:pPr>
        <w:pStyle w:val="2"/>
        <w:ind w:left="840" w:leftChars="400" w:firstLine="0" w:firstLineChars="0"/>
        <w:jc w:val="right"/>
        <w:rPr>
          <w:rFonts w:hint="eastAsia" w:ascii="宋体" w:hAnsi="宋体" w:eastAsia="宋体" w:cs="宋体"/>
          <w:color w:val="auto"/>
          <w:highlight w:val="none"/>
          <w:shd w:val="clear" w:color="auto" w:fill="auto"/>
        </w:rPr>
      </w:pPr>
      <w:r>
        <w:rPr>
          <w:rFonts w:hint="eastAsia" w:ascii="宋体" w:hAnsi="宋体" w:eastAsia="宋体" w:cs="宋体"/>
          <w:color w:val="auto"/>
          <w:kern w:val="2"/>
          <w:sz w:val="24"/>
          <w:szCs w:val="21"/>
          <w:highlight w:val="none"/>
          <w:shd w:val="clear" w:color="auto" w:fill="auto"/>
        </w:rPr>
        <w:t xml:space="preserve">   年</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 xml:space="preserve"> 月 </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日</w:t>
      </w: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rPr>
          <w:rFonts w:hint="eastAsia" w:ascii="宋体" w:hAnsi="宋体" w:eastAsia="宋体" w:cs="宋体"/>
          <w:b/>
          <w:bCs/>
          <w:color w:val="auto"/>
          <w:kern w:val="2"/>
          <w:szCs w:val="21"/>
          <w:highlight w:val="none"/>
          <w:shd w:val="clear" w:color="auto" w:fill="auto"/>
        </w:rPr>
      </w:pPr>
      <w:r>
        <w:rPr>
          <w:rFonts w:hint="eastAsia" w:ascii="宋体" w:hAnsi="宋体" w:eastAsia="宋体" w:cs="宋体"/>
          <w:b/>
          <w:bCs/>
          <w:color w:val="auto"/>
          <w:kern w:val="2"/>
          <w:szCs w:val="21"/>
          <w:highlight w:val="none"/>
          <w:shd w:val="clear" w:color="auto" w:fill="auto"/>
        </w:rPr>
        <w:br w:type="page"/>
      </w:r>
    </w:p>
    <w:p>
      <w:pPr>
        <w:rPr>
          <w:rFonts w:hint="eastAsia" w:ascii="宋体" w:hAnsi="宋体" w:eastAsia="宋体" w:cs="宋体"/>
          <w:bCs/>
          <w:color w:val="auto"/>
          <w:szCs w:val="21"/>
          <w:highlight w:val="none"/>
          <w:shd w:val="clear" w:color="auto" w:fill="auto"/>
        </w:rPr>
      </w:pPr>
      <w:r>
        <w:rPr>
          <w:rFonts w:hint="eastAsia" w:ascii="宋体" w:hAnsi="宋体" w:eastAsia="宋体" w:cs="宋体"/>
          <w:b/>
          <w:bCs/>
          <w:color w:val="auto"/>
          <w:kern w:val="2"/>
          <w:szCs w:val="21"/>
          <w:highlight w:val="none"/>
          <w:shd w:val="clear" w:color="auto" w:fill="auto"/>
        </w:rPr>
        <w:t>十</w:t>
      </w:r>
      <w:r>
        <w:rPr>
          <w:rFonts w:hint="eastAsia" w:ascii="宋体" w:hAnsi="宋体" w:eastAsia="宋体" w:cs="宋体"/>
          <w:b/>
          <w:bCs/>
          <w:color w:val="auto"/>
          <w:kern w:val="2"/>
          <w:szCs w:val="21"/>
          <w:highlight w:val="none"/>
          <w:shd w:val="clear" w:color="auto" w:fill="auto"/>
          <w:lang w:val="en-US" w:eastAsia="zh-CN"/>
        </w:rPr>
        <w:t>一</w:t>
      </w:r>
      <w:r>
        <w:rPr>
          <w:rFonts w:hint="eastAsia" w:ascii="宋体" w:hAnsi="宋体" w:eastAsia="宋体" w:cs="宋体"/>
          <w:b/>
          <w:bCs/>
          <w:color w:val="auto"/>
          <w:kern w:val="2"/>
          <w:szCs w:val="21"/>
          <w:highlight w:val="none"/>
          <w:shd w:val="clear" w:color="auto" w:fill="auto"/>
        </w:rPr>
        <w:t>、</w:t>
      </w:r>
      <w:r>
        <w:rPr>
          <w:rFonts w:hint="eastAsia" w:ascii="宋体" w:hAnsi="宋体" w:eastAsia="宋体" w:cs="宋体"/>
          <w:b/>
          <w:color w:val="auto"/>
          <w:szCs w:val="21"/>
          <w:highlight w:val="none"/>
          <w:shd w:val="clear" w:color="auto" w:fill="auto"/>
        </w:rPr>
        <w:t>技术</w:t>
      </w:r>
      <w:r>
        <w:rPr>
          <w:rFonts w:hint="eastAsia" w:ascii="宋体" w:hAnsi="宋体" w:eastAsia="宋体" w:cs="宋体"/>
          <w:b/>
          <w:bCs/>
          <w:color w:val="auto"/>
          <w:kern w:val="2"/>
          <w:szCs w:val="21"/>
          <w:highlight w:val="none"/>
          <w:shd w:val="clear" w:color="auto" w:fill="auto"/>
        </w:rPr>
        <w:t>部分正负偏离表</w:t>
      </w:r>
    </w:p>
    <w:p>
      <w:pPr>
        <w:spacing w:line="300" w:lineRule="auto"/>
        <w:contextualSpacing/>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技术部分正负偏离表</w:t>
      </w:r>
    </w:p>
    <w:p>
      <w:pPr>
        <w:rPr>
          <w:rFonts w:hint="eastAsia" w:ascii="宋体" w:hAnsi="宋体" w:eastAsia="宋体" w:cs="宋体"/>
          <w:b/>
          <w:bCs/>
          <w:color w:val="auto"/>
          <w:kern w:val="2"/>
          <w:szCs w:val="21"/>
          <w:highlight w:val="none"/>
          <w:shd w:val="clear" w:color="auto" w:fill="auto"/>
        </w:rPr>
      </w:pPr>
    </w:p>
    <w:tbl>
      <w:tblPr>
        <w:tblStyle w:val="24"/>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86" w:type="dxa"/>
            <w:noWrap/>
            <w:vAlign w:val="center"/>
          </w:tcPr>
          <w:p>
            <w:pPr>
              <w:spacing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kern w:val="2"/>
                <w:szCs w:val="21"/>
                <w:highlight w:val="none"/>
                <w:shd w:val="clear" w:color="auto" w:fill="auto"/>
              </w:rPr>
              <w:br w:type="page"/>
            </w:r>
            <w:r>
              <w:rPr>
                <w:rFonts w:hint="eastAsia" w:ascii="宋体" w:hAnsi="宋体" w:eastAsia="宋体" w:cs="宋体"/>
                <w:color w:val="auto"/>
                <w:sz w:val="24"/>
                <w:highlight w:val="none"/>
                <w:shd w:val="clear" w:color="auto" w:fill="auto"/>
              </w:rPr>
              <w:t>序号</w:t>
            </w:r>
          </w:p>
        </w:tc>
        <w:tc>
          <w:tcPr>
            <w:tcW w:w="3291"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竞争性磋商文件</w:t>
            </w:r>
            <w:r>
              <w:rPr>
                <w:rFonts w:hint="eastAsia" w:ascii="宋体" w:hAnsi="宋体" w:eastAsia="宋体" w:cs="宋体"/>
                <w:color w:val="auto"/>
                <w:sz w:val="24"/>
                <w:highlight w:val="none"/>
                <w:shd w:val="clear" w:color="auto" w:fill="auto"/>
              </w:rPr>
              <w:t>要求</w:t>
            </w:r>
          </w:p>
        </w:tc>
        <w:tc>
          <w:tcPr>
            <w:tcW w:w="2852"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响应情况</w:t>
            </w:r>
          </w:p>
        </w:tc>
        <w:tc>
          <w:tcPr>
            <w:tcW w:w="1308"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超出、符合或偏离</w:t>
            </w:r>
          </w:p>
        </w:tc>
        <w:tc>
          <w:tcPr>
            <w:tcW w:w="1173"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证明</w:t>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注： 行数不够，可自行添加。</w:t>
      </w:r>
    </w:p>
    <w:p>
      <w:pPr>
        <w:spacing w:line="460" w:lineRule="exact"/>
        <w:ind w:firstLine="492"/>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p>
    <w:p>
      <w:pPr>
        <w:pStyle w:val="7"/>
        <w:jc w:val="right"/>
        <w:rPr>
          <w:rFonts w:hint="eastAsia" w:ascii="宋体" w:hAnsi="宋体" w:eastAsia="宋体" w:cs="宋体"/>
          <w:color w:val="auto"/>
          <w:sz w:val="24"/>
          <w:szCs w:val="21"/>
          <w:highlight w:val="none"/>
          <w:shd w:val="clear" w:color="auto" w:fill="auto"/>
        </w:rPr>
      </w:pPr>
    </w:p>
    <w:p>
      <w:pPr>
        <w:pStyle w:val="7"/>
        <w:jc w:val="right"/>
        <w:rPr>
          <w:rFonts w:hint="eastAsia" w:ascii="宋体" w:hAnsi="宋体" w:eastAsia="宋体" w:cs="宋体"/>
          <w:color w:val="auto"/>
          <w:kern w:val="2"/>
          <w:sz w:val="24"/>
          <w:szCs w:val="21"/>
          <w:highlight w:val="none"/>
          <w:shd w:val="clear" w:color="auto" w:fill="auto"/>
        </w:rPr>
      </w:pPr>
      <w:r>
        <w:rPr>
          <w:rFonts w:hint="eastAsia" w:ascii="宋体" w:hAnsi="宋体" w:eastAsia="宋体" w:cs="宋体"/>
          <w:color w:val="auto"/>
          <w:kern w:val="2"/>
          <w:sz w:val="24"/>
          <w:szCs w:val="21"/>
          <w:highlight w:val="none"/>
          <w:shd w:val="clear" w:color="auto" w:fill="auto"/>
        </w:rPr>
        <w:t xml:space="preserve">   年</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 xml:space="preserve"> 月 </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日</w:t>
      </w:r>
    </w:p>
    <w:p>
      <w:pPr>
        <w:widowControl/>
        <w:autoSpaceDE/>
        <w:autoSpaceDN/>
        <w:snapToGrid w:val="0"/>
        <w:spacing w:line="360" w:lineRule="auto"/>
        <w:jc w:val="center"/>
        <w:textAlignment w:val="baseline"/>
        <w:outlineLvl w:val="0"/>
        <w:rPr>
          <w:rFonts w:hint="eastAsia" w:ascii="宋体" w:hAnsi="宋体" w:eastAsia="宋体" w:cs="宋体"/>
          <w:b/>
          <w:color w:val="auto"/>
          <w:sz w:val="28"/>
          <w:szCs w:val="28"/>
          <w:highlight w:val="none"/>
          <w:shd w:val="clear" w:color="auto" w:fill="auto"/>
        </w:rPr>
      </w:pPr>
      <w:r>
        <w:rPr>
          <w:rFonts w:hint="eastAsia" w:ascii="宋体" w:hAnsi="宋体" w:eastAsia="宋体" w:cs="宋体"/>
          <w:b/>
          <w:bCs/>
          <w:color w:val="auto"/>
          <w:kern w:val="2"/>
          <w:sz w:val="24"/>
          <w:szCs w:val="24"/>
          <w:highlight w:val="none"/>
          <w:shd w:val="clear" w:color="auto" w:fill="auto"/>
          <w:lang w:val="en-US" w:eastAsia="zh-CN" w:bidi="ar-SA"/>
        </w:rPr>
        <w:br w:type="page"/>
      </w:r>
      <w:r>
        <w:rPr>
          <w:rFonts w:hint="eastAsia" w:ascii="宋体" w:hAnsi="宋体" w:eastAsia="宋体" w:cs="宋体"/>
          <w:b/>
          <w:color w:val="auto"/>
          <w:sz w:val="28"/>
          <w:szCs w:val="28"/>
          <w:highlight w:val="none"/>
          <w:shd w:val="clear" w:color="auto" w:fill="auto"/>
        </w:rPr>
        <w:t>质疑函范本</w:t>
      </w:r>
    </w:p>
    <w:p>
      <w:pPr>
        <w:spacing w:before="312"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一、质疑供应商基本信息</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质疑供应商：</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地址：邮编：</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联系人：联系电话：</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授权代表：</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联系电话：</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地址：邮编：</w:t>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二、质疑项目基本情况</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质疑项目的名称：</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质疑项目的编号：包号：</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采购人名称：</w:t>
      </w:r>
    </w:p>
    <w:p>
      <w:pPr>
        <w:tabs>
          <w:tab w:val="left" w:pos="6839"/>
        </w:tabs>
        <w:spacing w:line="360" w:lineRule="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采购文件获取日期：</w:t>
      </w:r>
      <w:r>
        <w:rPr>
          <w:rFonts w:hint="eastAsia" w:ascii="宋体" w:hAnsi="宋体" w:eastAsia="宋体" w:cs="宋体"/>
          <w:color w:val="auto"/>
          <w:szCs w:val="21"/>
          <w:highlight w:val="none"/>
          <w:shd w:val="clear" w:color="auto" w:fill="auto"/>
          <w:lang w:eastAsia="zh-CN"/>
        </w:rPr>
        <w:tab/>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三、质疑事项具体内容</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质疑事项1：</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事实依据：</w:t>
      </w:r>
    </w:p>
    <w:p>
      <w:pPr>
        <w:spacing w:line="360" w:lineRule="auto"/>
        <w:rPr>
          <w:rFonts w:hint="eastAsia" w:ascii="宋体" w:hAnsi="宋体" w:eastAsia="宋体" w:cs="宋体"/>
          <w:color w:val="auto"/>
          <w:szCs w:val="21"/>
          <w:highlight w:val="none"/>
          <w:shd w:val="clear" w:color="auto" w:fill="auto"/>
        </w:rPr>
      </w:pP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法律依据：</w:t>
      </w:r>
    </w:p>
    <w:p>
      <w:pPr>
        <w:spacing w:line="360" w:lineRule="auto"/>
        <w:rPr>
          <w:rFonts w:hint="eastAsia" w:ascii="宋体" w:hAnsi="宋体" w:eastAsia="宋体" w:cs="宋体"/>
          <w:color w:val="auto"/>
          <w:szCs w:val="21"/>
          <w:highlight w:val="none"/>
          <w:u w:val="single"/>
          <w:shd w:val="clear" w:color="auto" w:fill="auto"/>
        </w:rPr>
      </w:pP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质疑事项2</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w:t>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四、与质疑事项相关的质疑请求</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请求：</w:t>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签字(签章)：                   公章：                      </w:t>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w:t>
      </w:r>
    </w:p>
    <w:p>
      <w:pPr>
        <w:spacing w:line="360" w:lineRule="auto"/>
        <w:rPr>
          <w:rFonts w:hint="eastAsia" w:ascii="宋体" w:hAnsi="宋体" w:eastAsia="宋体" w:cs="宋体"/>
          <w:color w:val="auto"/>
          <w:szCs w:val="21"/>
          <w:highlight w:val="none"/>
          <w:shd w:val="clear" w:color="auto" w:fill="auto"/>
        </w:rPr>
      </w:pPr>
    </w:p>
    <w:p>
      <w:pPr>
        <w:rPr>
          <w:rFonts w:hint="eastAsia" w:ascii="宋体" w:hAnsi="宋体" w:eastAsia="宋体" w:cs="宋体"/>
          <w:b/>
          <w:color w:val="auto"/>
          <w:szCs w:val="21"/>
          <w:highlight w:val="none"/>
          <w:shd w:val="clear" w:color="auto" w:fill="auto"/>
        </w:rPr>
      </w:pPr>
    </w:p>
    <w:p>
      <w:pP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质疑函制作说明：</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1.供应商提出质疑时，应提交质疑函和必要的证明材料。</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3.质疑供应商若对项目的某一分包进行质疑，质疑函中应列明具体分包号。</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4.质疑函的质疑事项应具体、明确，并有必要的事实依据和法律依据。</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5.质疑函的质疑请求应与质疑事项相关。</w:t>
      </w:r>
    </w:p>
    <w:p>
      <w:pPr>
        <w:widowControl/>
        <w:ind w:firstLine="64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Cs w:val="21"/>
          <w:highlight w:val="none"/>
          <w:shd w:val="clear" w:color="auto" w:fill="auto"/>
        </w:rPr>
        <w:t>6.质疑供应商为自然人的，质疑函应由本人签字；质疑供应商为法人或者其他组织的，质疑函应由法定代表人、主要负责人，或者其授权代表签字或者盖章，并加盖公章。</w:t>
      </w:r>
    </w:p>
    <w:p>
      <w:pPr>
        <w:pStyle w:val="14"/>
        <w:ind w:left="0" w:leftChars="0" w:firstLine="0" w:firstLineChars="0"/>
        <w:rPr>
          <w:rFonts w:hint="eastAsia" w:ascii="宋体" w:hAnsi="宋体" w:eastAsia="宋体" w:cs="宋体"/>
          <w:color w:val="auto"/>
          <w:highlight w:val="none"/>
        </w:rPr>
      </w:pPr>
    </w:p>
    <w:p>
      <w:pPr>
        <w:ind w:firstLine="420"/>
        <w:rPr>
          <w:rFonts w:hint="eastAsia" w:ascii="宋体" w:hAnsi="宋体" w:eastAsia="宋体" w:cs="宋体"/>
          <w:color w:val="auto"/>
          <w:sz w:val="24"/>
          <w:szCs w:val="24"/>
          <w:highlight w:val="none"/>
        </w:rPr>
      </w:pPr>
    </w:p>
    <w:p>
      <w:pPr>
        <w:ind w:firstLine="420"/>
        <w:rPr>
          <w:rFonts w:hint="eastAsia" w:ascii="宋体" w:hAnsi="宋体" w:eastAsia="宋体" w:cs="宋体"/>
          <w:color w:val="auto"/>
          <w:sz w:val="24"/>
          <w:szCs w:val="24"/>
          <w:highlight w:val="none"/>
        </w:rPr>
      </w:pPr>
    </w:p>
    <w:p>
      <w:pPr>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sectPr>
      <w:pgSz w:w="11906" w:h="16838"/>
      <w:pgMar w:top="1361" w:right="1361" w:bottom="1361" w:left="1361" w:header="851" w:footer="992" w:gutter="0"/>
      <w:cols w:space="720" w:num="1"/>
      <w:docGrid w:type="lines" w:linePitch="32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Trebuchet MS">
    <w:panose1 w:val="020B0603020202020204"/>
    <w:charset w:val="00"/>
    <w:family w:val="swiss"/>
    <w:pitch w:val="default"/>
    <w:sig w:usb0="00000687" w:usb1="00000000" w:usb2="00000000" w:usb3="00000000" w:csb0="2000009F" w:csb1="00000000"/>
  </w:font>
  <w:font w:name="FuturaA Bk BT">
    <w:altName w:val="Arial"/>
    <w:panose1 w:val="00000000000000000000"/>
    <w:charset w:val="00"/>
    <w:family w:val="auto"/>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Helvetica">
    <w:altName w:val="Arial"/>
    <w:panose1 w:val="00000000000000000000"/>
    <w:charset w:val="00"/>
    <w:family w:val="moder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UJ8kWxgEAAJsDAAAOAAAAAAAAAAEAIAAAAB4BAABkcnMvZTJvRG9jLnht&#10;bFBLBQYAAAAABgAGAFkBAABWBQAAAAA=&#10;">
              <v:fill on="f" focussize="0,0"/>
              <v:stroke on="f"/>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F25FC6"/>
    <w:multiLevelType w:val="singleLevel"/>
    <w:tmpl w:val="96F25FC6"/>
    <w:lvl w:ilvl="0" w:tentative="0">
      <w:start w:val="5"/>
      <w:numFmt w:val="decimal"/>
      <w:suff w:val="nothing"/>
      <w:lvlText w:val="（%1）"/>
      <w:lvlJc w:val="left"/>
    </w:lvl>
  </w:abstractNum>
  <w:abstractNum w:abstractNumId="1">
    <w:nsid w:val="C959152A"/>
    <w:multiLevelType w:val="singleLevel"/>
    <w:tmpl w:val="C959152A"/>
    <w:lvl w:ilvl="0" w:tentative="0">
      <w:start w:val="1"/>
      <w:numFmt w:val="bullet"/>
      <w:pStyle w:val="64"/>
      <w:lvlText w:val=""/>
      <w:lvlJc w:val="left"/>
      <w:pPr>
        <w:tabs>
          <w:tab w:val="left" w:pos="780"/>
        </w:tabs>
        <w:ind w:left="780" w:hanging="360"/>
      </w:pPr>
      <w:rPr>
        <w:rFonts w:ascii="Wingdings" w:hAnsi="Wingdings"/>
      </w:rPr>
    </w:lvl>
  </w:abstractNum>
  <w:abstractNum w:abstractNumId="2">
    <w:nsid w:val="55033CD0"/>
    <w:multiLevelType w:val="singleLevel"/>
    <w:tmpl w:val="55033CD0"/>
    <w:lvl w:ilvl="0" w:tentative="0">
      <w:start w:val="3"/>
      <w:numFmt w:val="decimal"/>
      <w:suff w:val="space"/>
      <w:lvlText w:val="%1."/>
      <w:lvlJc w:val="left"/>
    </w:lvl>
  </w:abstractNum>
  <w:abstractNum w:abstractNumId="3">
    <w:nsid w:val="677F0D88"/>
    <w:multiLevelType w:val="singleLevel"/>
    <w:tmpl w:val="677F0D88"/>
    <w:lvl w:ilvl="0" w:tentative="0">
      <w:start w:val="1"/>
      <w:numFmt w:val="decimal"/>
      <w:suff w:val="space"/>
      <w:lvlText w:val="%1."/>
      <w:lvlJc w:val="left"/>
    </w:lvl>
  </w:abstractNum>
  <w:abstractNum w:abstractNumId="4">
    <w:nsid w:val="6F974571"/>
    <w:multiLevelType w:val="singleLevel"/>
    <w:tmpl w:val="6F974571"/>
    <w:lvl w:ilvl="0" w:tentative="0">
      <w:start w:val="1"/>
      <w:numFmt w:val="decimal"/>
      <w:suff w:val="nothing"/>
      <w:lvlText w:val="（%1）"/>
      <w:lvlJc w:val="left"/>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RmYzkyZjk1OTNmZWU1NTliYjIzZWJmMjhhYzJkYWUifQ=="/>
  </w:docVars>
  <w:rsids>
    <w:rsidRoot w:val="00AB3F7C"/>
    <w:rsid w:val="00011BCA"/>
    <w:rsid w:val="00024F52"/>
    <w:rsid w:val="000719FA"/>
    <w:rsid w:val="0008321B"/>
    <w:rsid w:val="000A688C"/>
    <w:rsid w:val="000C1CC5"/>
    <w:rsid w:val="000D04EE"/>
    <w:rsid w:val="000D3A84"/>
    <w:rsid w:val="0012620F"/>
    <w:rsid w:val="0013194E"/>
    <w:rsid w:val="00142A22"/>
    <w:rsid w:val="00173BCA"/>
    <w:rsid w:val="00182652"/>
    <w:rsid w:val="001833A5"/>
    <w:rsid w:val="00196CB5"/>
    <w:rsid w:val="001976BF"/>
    <w:rsid w:val="001F14FE"/>
    <w:rsid w:val="00217C10"/>
    <w:rsid w:val="002568CE"/>
    <w:rsid w:val="00267D43"/>
    <w:rsid w:val="002B4399"/>
    <w:rsid w:val="002C6356"/>
    <w:rsid w:val="002F5435"/>
    <w:rsid w:val="0035543F"/>
    <w:rsid w:val="00362DEE"/>
    <w:rsid w:val="003743C3"/>
    <w:rsid w:val="00390A49"/>
    <w:rsid w:val="003B0A39"/>
    <w:rsid w:val="003B732E"/>
    <w:rsid w:val="003D6656"/>
    <w:rsid w:val="003F5800"/>
    <w:rsid w:val="00436FDE"/>
    <w:rsid w:val="00443F92"/>
    <w:rsid w:val="004B287D"/>
    <w:rsid w:val="00520D83"/>
    <w:rsid w:val="00574A92"/>
    <w:rsid w:val="00595799"/>
    <w:rsid w:val="005A3A03"/>
    <w:rsid w:val="0060234A"/>
    <w:rsid w:val="006134B7"/>
    <w:rsid w:val="006D229E"/>
    <w:rsid w:val="006D414A"/>
    <w:rsid w:val="006F616A"/>
    <w:rsid w:val="007432EE"/>
    <w:rsid w:val="00745641"/>
    <w:rsid w:val="0078519D"/>
    <w:rsid w:val="007C14CE"/>
    <w:rsid w:val="007D310A"/>
    <w:rsid w:val="007F59D1"/>
    <w:rsid w:val="00801CBD"/>
    <w:rsid w:val="008532E6"/>
    <w:rsid w:val="00854840"/>
    <w:rsid w:val="00867233"/>
    <w:rsid w:val="00867B76"/>
    <w:rsid w:val="00880D25"/>
    <w:rsid w:val="008814DD"/>
    <w:rsid w:val="008E2F01"/>
    <w:rsid w:val="008E771F"/>
    <w:rsid w:val="0090185E"/>
    <w:rsid w:val="00915366"/>
    <w:rsid w:val="0096562A"/>
    <w:rsid w:val="00A0172B"/>
    <w:rsid w:val="00A55121"/>
    <w:rsid w:val="00A8796D"/>
    <w:rsid w:val="00AA2FBD"/>
    <w:rsid w:val="00AA59FB"/>
    <w:rsid w:val="00AB3F7C"/>
    <w:rsid w:val="00AC3473"/>
    <w:rsid w:val="00AE5121"/>
    <w:rsid w:val="00B0251F"/>
    <w:rsid w:val="00B27CBB"/>
    <w:rsid w:val="00B3412C"/>
    <w:rsid w:val="00B37185"/>
    <w:rsid w:val="00B40917"/>
    <w:rsid w:val="00B65B3D"/>
    <w:rsid w:val="00B7343D"/>
    <w:rsid w:val="00B93F4A"/>
    <w:rsid w:val="00BA550F"/>
    <w:rsid w:val="00BB17DE"/>
    <w:rsid w:val="00C171E9"/>
    <w:rsid w:val="00C24708"/>
    <w:rsid w:val="00C27FFC"/>
    <w:rsid w:val="00C378DA"/>
    <w:rsid w:val="00CB1259"/>
    <w:rsid w:val="00CC66D6"/>
    <w:rsid w:val="00CD130D"/>
    <w:rsid w:val="00D202C1"/>
    <w:rsid w:val="00D20484"/>
    <w:rsid w:val="00D32B36"/>
    <w:rsid w:val="00D529EE"/>
    <w:rsid w:val="00DB30BA"/>
    <w:rsid w:val="00DC3FEA"/>
    <w:rsid w:val="00E12D8D"/>
    <w:rsid w:val="00E141A3"/>
    <w:rsid w:val="00E238A2"/>
    <w:rsid w:val="00E64F22"/>
    <w:rsid w:val="00EF5AEE"/>
    <w:rsid w:val="00F22F1A"/>
    <w:rsid w:val="00F47A99"/>
    <w:rsid w:val="00F76301"/>
    <w:rsid w:val="00F8627F"/>
    <w:rsid w:val="00F97F03"/>
    <w:rsid w:val="00FB7A22"/>
    <w:rsid w:val="00FC36C3"/>
    <w:rsid w:val="00FC3E24"/>
    <w:rsid w:val="0157690B"/>
    <w:rsid w:val="01723A2E"/>
    <w:rsid w:val="017B2F92"/>
    <w:rsid w:val="01EF649C"/>
    <w:rsid w:val="01F114A6"/>
    <w:rsid w:val="021A3989"/>
    <w:rsid w:val="02291994"/>
    <w:rsid w:val="025B1B72"/>
    <w:rsid w:val="028675E5"/>
    <w:rsid w:val="029307AF"/>
    <w:rsid w:val="02AD14F9"/>
    <w:rsid w:val="02BD0FA7"/>
    <w:rsid w:val="02D5599E"/>
    <w:rsid w:val="032A1FCA"/>
    <w:rsid w:val="03347A35"/>
    <w:rsid w:val="0361681B"/>
    <w:rsid w:val="03842EB7"/>
    <w:rsid w:val="038859C8"/>
    <w:rsid w:val="03A354CF"/>
    <w:rsid w:val="03B55D6F"/>
    <w:rsid w:val="03EA30DF"/>
    <w:rsid w:val="040F43D3"/>
    <w:rsid w:val="046353B0"/>
    <w:rsid w:val="04697A1A"/>
    <w:rsid w:val="04732BDB"/>
    <w:rsid w:val="04984897"/>
    <w:rsid w:val="04D7142F"/>
    <w:rsid w:val="04D77310"/>
    <w:rsid w:val="05101618"/>
    <w:rsid w:val="0526590B"/>
    <w:rsid w:val="052A15B3"/>
    <w:rsid w:val="05626BB5"/>
    <w:rsid w:val="056315D9"/>
    <w:rsid w:val="056D4738"/>
    <w:rsid w:val="05785B85"/>
    <w:rsid w:val="059B00A7"/>
    <w:rsid w:val="05E6209F"/>
    <w:rsid w:val="05F31C91"/>
    <w:rsid w:val="05FA54C3"/>
    <w:rsid w:val="062E4A77"/>
    <w:rsid w:val="06C82D74"/>
    <w:rsid w:val="06CB23C2"/>
    <w:rsid w:val="06E71703"/>
    <w:rsid w:val="06FF7F8B"/>
    <w:rsid w:val="07174993"/>
    <w:rsid w:val="0738545D"/>
    <w:rsid w:val="074E559D"/>
    <w:rsid w:val="07C13322"/>
    <w:rsid w:val="07D509C4"/>
    <w:rsid w:val="07E74256"/>
    <w:rsid w:val="07EC30C5"/>
    <w:rsid w:val="08410597"/>
    <w:rsid w:val="0854278F"/>
    <w:rsid w:val="08687D39"/>
    <w:rsid w:val="087F02DF"/>
    <w:rsid w:val="089B03BE"/>
    <w:rsid w:val="08AA7FC6"/>
    <w:rsid w:val="08AB1912"/>
    <w:rsid w:val="09166BC6"/>
    <w:rsid w:val="09175C96"/>
    <w:rsid w:val="09215687"/>
    <w:rsid w:val="093263D5"/>
    <w:rsid w:val="094A6B56"/>
    <w:rsid w:val="094E4847"/>
    <w:rsid w:val="095F0557"/>
    <w:rsid w:val="0977026E"/>
    <w:rsid w:val="099B6D4F"/>
    <w:rsid w:val="09A5289D"/>
    <w:rsid w:val="09AC10C0"/>
    <w:rsid w:val="09CC60BD"/>
    <w:rsid w:val="09E15AC5"/>
    <w:rsid w:val="09E67C96"/>
    <w:rsid w:val="09F12CBC"/>
    <w:rsid w:val="0A300C91"/>
    <w:rsid w:val="0A3B3BD5"/>
    <w:rsid w:val="0AD308D0"/>
    <w:rsid w:val="0AE075A5"/>
    <w:rsid w:val="0AEE1404"/>
    <w:rsid w:val="0B444954"/>
    <w:rsid w:val="0B767828"/>
    <w:rsid w:val="0BA27CA4"/>
    <w:rsid w:val="0BB6003C"/>
    <w:rsid w:val="0BDD2CC8"/>
    <w:rsid w:val="0BF216D1"/>
    <w:rsid w:val="0C262C9F"/>
    <w:rsid w:val="0C45423C"/>
    <w:rsid w:val="0C4B4C3A"/>
    <w:rsid w:val="0C601208"/>
    <w:rsid w:val="0C6351ED"/>
    <w:rsid w:val="0C670809"/>
    <w:rsid w:val="0CA041F5"/>
    <w:rsid w:val="0CC443C6"/>
    <w:rsid w:val="0CCF0636"/>
    <w:rsid w:val="0CEF6EA8"/>
    <w:rsid w:val="0D164155"/>
    <w:rsid w:val="0D482CC3"/>
    <w:rsid w:val="0D822738"/>
    <w:rsid w:val="0DB5640A"/>
    <w:rsid w:val="0DB77A48"/>
    <w:rsid w:val="0E172254"/>
    <w:rsid w:val="0E6D5B5A"/>
    <w:rsid w:val="0E9C2E85"/>
    <w:rsid w:val="0EB70D49"/>
    <w:rsid w:val="0EC96835"/>
    <w:rsid w:val="0F230715"/>
    <w:rsid w:val="0F2E78F8"/>
    <w:rsid w:val="0FCC4DE1"/>
    <w:rsid w:val="10001C1C"/>
    <w:rsid w:val="101A6B79"/>
    <w:rsid w:val="10201286"/>
    <w:rsid w:val="102E4A79"/>
    <w:rsid w:val="1060779A"/>
    <w:rsid w:val="10776075"/>
    <w:rsid w:val="108E6727"/>
    <w:rsid w:val="10A45ACB"/>
    <w:rsid w:val="10BD2C0A"/>
    <w:rsid w:val="10C3255D"/>
    <w:rsid w:val="10E85459"/>
    <w:rsid w:val="10ED01BD"/>
    <w:rsid w:val="11350259"/>
    <w:rsid w:val="116E3FA7"/>
    <w:rsid w:val="118C591C"/>
    <w:rsid w:val="11963E18"/>
    <w:rsid w:val="11BC5277"/>
    <w:rsid w:val="120D3FC5"/>
    <w:rsid w:val="12492C39"/>
    <w:rsid w:val="12835764"/>
    <w:rsid w:val="128A36F0"/>
    <w:rsid w:val="130C2A0B"/>
    <w:rsid w:val="131C0E17"/>
    <w:rsid w:val="136615A0"/>
    <w:rsid w:val="139B4F4D"/>
    <w:rsid w:val="13A94BFA"/>
    <w:rsid w:val="13AA1EF9"/>
    <w:rsid w:val="13C83DAA"/>
    <w:rsid w:val="13F310AE"/>
    <w:rsid w:val="1432003C"/>
    <w:rsid w:val="144D2D5B"/>
    <w:rsid w:val="149D04E2"/>
    <w:rsid w:val="14AF19D5"/>
    <w:rsid w:val="14C927DB"/>
    <w:rsid w:val="14CD23CA"/>
    <w:rsid w:val="14D964F6"/>
    <w:rsid w:val="150A1725"/>
    <w:rsid w:val="15206937"/>
    <w:rsid w:val="15537A4D"/>
    <w:rsid w:val="15AF6136"/>
    <w:rsid w:val="15ED4BEA"/>
    <w:rsid w:val="15FF5FA5"/>
    <w:rsid w:val="160C292B"/>
    <w:rsid w:val="164C18E8"/>
    <w:rsid w:val="16505471"/>
    <w:rsid w:val="1665451C"/>
    <w:rsid w:val="16922E71"/>
    <w:rsid w:val="16A301EA"/>
    <w:rsid w:val="16A67B30"/>
    <w:rsid w:val="16BF2B60"/>
    <w:rsid w:val="16E350EE"/>
    <w:rsid w:val="16F969DB"/>
    <w:rsid w:val="174E61CD"/>
    <w:rsid w:val="178C009B"/>
    <w:rsid w:val="17D84957"/>
    <w:rsid w:val="18131258"/>
    <w:rsid w:val="181E2472"/>
    <w:rsid w:val="18375C9D"/>
    <w:rsid w:val="18384F04"/>
    <w:rsid w:val="184612A5"/>
    <w:rsid w:val="18464F3B"/>
    <w:rsid w:val="18775734"/>
    <w:rsid w:val="189D765B"/>
    <w:rsid w:val="18E843D6"/>
    <w:rsid w:val="18F27B86"/>
    <w:rsid w:val="191B50C7"/>
    <w:rsid w:val="192D38C8"/>
    <w:rsid w:val="193263ED"/>
    <w:rsid w:val="193B23CF"/>
    <w:rsid w:val="19465387"/>
    <w:rsid w:val="19731DB3"/>
    <w:rsid w:val="197F0686"/>
    <w:rsid w:val="19840D69"/>
    <w:rsid w:val="199973C1"/>
    <w:rsid w:val="19EB3F91"/>
    <w:rsid w:val="1A7948E7"/>
    <w:rsid w:val="1A827944"/>
    <w:rsid w:val="1A8A0617"/>
    <w:rsid w:val="1A997F2F"/>
    <w:rsid w:val="1AC66FCC"/>
    <w:rsid w:val="1AC94164"/>
    <w:rsid w:val="1AFC17A8"/>
    <w:rsid w:val="1B380017"/>
    <w:rsid w:val="1B50786D"/>
    <w:rsid w:val="1B983F44"/>
    <w:rsid w:val="1B9A3CD7"/>
    <w:rsid w:val="1BA57F61"/>
    <w:rsid w:val="1BC149C2"/>
    <w:rsid w:val="1BE02053"/>
    <w:rsid w:val="1BF400B9"/>
    <w:rsid w:val="1C0C771B"/>
    <w:rsid w:val="1C0E207A"/>
    <w:rsid w:val="1C183CAB"/>
    <w:rsid w:val="1C1E62CA"/>
    <w:rsid w:val="1C4E40FF"/>
    <w:rsid w:val="1C4F246F"/>
    <w:rsid w:val="1CA072D0"/>
    <w:rsid w:val="1CFF5EFE"/>
    <w:rsid w:val="1D516D58"/>
    <w:rsid w:val="1D596764"/>
    <w:rsid w:val="1D6E3A19"/>
    <w:rsid w:val="1D79056D"/>
    <w:rsid w:val="1D8B05A9"/>
    <w:rsid w:val="1DB143E8"/>
    <w:rsid w:val="1DB97320"/>
    <w:rsid w:val="1DD51824"/>
    <w:rsid w:val="1DDF07A3"/>
    <w:rsid w:val="1E0B4A9B"/>
    <w:rsid w:val="1E0F7D4D"/>
    <w:rsid w:val="1E2A7DC2"/>
    <w:rsid w:val="1E816080"/>
    <w:rsid w:val="1E97435D"/>
    <w:rsid w:val="1EC315F9"/>
    <w:rsid w:val="1EC74CCC"/>
    <w:rsid w:val="1ED22EA2"/>
    <w:rsid w:val="1EDE54D8"/>
    <w:rsid w:val="1F106802"/>
    <w:rsid w:val="1F3548F1"/>
    <w:rsid w:val="1F3F113A"/>
    <w:rsid w:val="1F651169"/>
    <w:rsid w:val="1F880CAC"/>
    <w:rsid w:val="1F976C02"/>
    <w:rsid w:val="1F980517"/>
    <w:rsid w:val="1FC1525C"/>
    <w:rsid w:val="1FE53D46"/>
    <w:rsid w:val="1FFB53BA"/>
    <w:rsid w:val="20182BCD"/>
    <w:rsid w:val="202F20CE"/>
    <w:rsid w:val="20630CF5"/>
    <w:rsid w:val="20B16237"/>
    <w:rsid w:val="2100305C"/>
    <w:rsid w:val="21156E88"/>
    <w:rsid w:val="215D7F55"/>
    <w:rsid w:val="21660C7C"/>
    <w:rsid w:val="217A272F"/>
    <w:rsid w:val="217F21D3"/>
    <w:rsid w:val="218B22AA"/>
    <w:rsid w:val="21A02DB6"/>
    <w:rsid w:val="22091F8F"/>
    <w:rsid w:val="228269F2"/>
    <w:rsid w:val="22893EED"/>
    <w:rsid w:val="22B324D0"/>
    <w:rsid w:val="22C45A5A"/>
    <w:rsid w:val="22D07D33"/>
    <w:rsid w:val="22E24C9F"/>
    <w:rsid w:val="23017509"/>
    <w:rsid w:val="23212A2B"/>
    <w:rsid w:val="23395957"/>
    <w:rsid w:val="2343093D"/>
    <w:rsid w:val="234B2051"/>
    <w:rsid w:val="235C0A59"/>
    <w:rsid w:val="23865A9B"/>
    <w:rsid w:val="23A93537"/>
    <w:rsid w:val="23EB3371"/>
    <w:rsid w:val="23F638A8"/>
    <w:rsid w:val="243635E0"/>
    <w:rsid w:val="245F2657"/>
    <w:rsid w:val="247343DA"/>
    <w:rsid w:val="24885A80"/>
    <w:rsid w:val="249736EF"/>
    <w:rsid w:val="24AE1D3C"/>
    <w:rsid w:val="24B070F5"/>
    <w:rsid w:val="24D317AE"/>
    <w:rsid w:val="25466DC9"/>
    <w:rsid w:val="25DE1BBE"/>
    <w:rsid w:val="2647305C"/>
    <w:rsid w:val="26555BF8"/>
    <w:rsid w:val="26B45B5F"/>
    <w:rsid w:val="26B65FA1"/>
    <w:rsid w:val="26D00E43"/>
    <w:rsid w:val="26DD5434"/>
    <w:rsid w:val="273B094A"/>
    <w:rsid w:val="273D5DC0"/>
    <w:rsid w:val="274676FC"/>
    <w:rsid w:val="275350F1"/>
    <w:rsid w:val="27591E52"/>
    <w:rsid w:val="2765016B"/>
    <w:rsid w:val="27C941A8"/>
    <w:rsid w:val="28002E2C"/>
    <w:rsid w:val="281624A3"/>
    <w:rsid w:val="281B5C3A"/>
    <w:rsid w:val="2820204B"/>
    <w:rsid w:val="285C501C"/>
    <w:rsid w:val="28673056"/>
    <w:rsid w:val="28806EE8"/>
    <w:rsid w:val="288B6635"/>
    <w:rsid w:val="28A80261"/>
    <w:rsid w:val="28AF08E1"/>
    <w:rsid w:val="28CB1E80"/>
    <w:rsid w:val="28CD2D8F"/>
    <w:rsid w:val="290910F6"/>
    <w:rsid w:val="29257855"/>
    <w:rsid w:val="294B0130"/>
    <w:rsid w:val="296A1958"/>
    <w:rsid w:val="296F0F22"/>
    <w:rsid w:val="297C731B"/>
    <w:rsid w:val="29906649"/>
    <w:rsid w:val="29B769A0"/>
    <w:rsid w:val="29C664D0"/>
    <w:rsid w:val="29F9075D"/>
    <w:rsid w:val="2A1D3A87"/>
    <w:rsid w:val="2A627BB6"/>
    <w:rsid w:val="2A646E4D"/>
    <w:rsid w:val="2A861E7D"/>
    <w:rsid w:val="2AC031D1"/>
    <w:rsid w:val="2ADB79D1"/>
    <w:rsid w:val="2B5E730F"/>
    <w:rsid w:val="2B9433DF"/>
    <w:rsid w:val="2BEC66B7"/>
    <w:rsid w:val="2BFC0FF0"/>
    <w:rsid w:val="2C1A11BC"/>
    <w:rsid w:val="2CED35FB"/>
    <w:rsid w:val="2CF53AB4"/>
    <w:rsid w:val="2CF54547"/>
    <w:rsid w:val="2D066AAD"/>
    <w:rsid w:val="2D080BDB"/>
    <w:rsid w:val="2D157E8F"/>
    <w:rsid w:val="2D1D1A22"/>
    <w:rsid w:val="2D232BBE"/>
    <w:rsid w:val="2D260121"/>
    <w:rsid w:val="2D4B5297"/>
    <w:rsid w:val="2D753D36"/>
    <w:rsid w:val="2DDE6026"/>
    <w:rsid w:val="2E0C408C"/>
    <w:rsid w:val="2E822D5C"/>
    <w:rsid w:val="2EA47017"/>
    <w:rsid w:val="2F1D0AC1"/>
    <w:rsid w:val="2F2235C8"/>
    <w:rsid w:val="2F69380D"/>
    <w:rsid w:val="2F7E615E"/>
    <w:rsid w:val="2F8201B4"/>
    <w:rsid w:val="2F8416AB"/>
    <w:rsid w:val="2FB92659"/>
    <w:rsid w:val="2FBA6743"/>
    <w:rsid w:val="2FE522D8"/>
    <w:rsid w:val="2FEE1505"/>
    <w:rsid w:val="301A1DAD"/>
    <w:rsid w:val="301B756B"/>
    <w:rsid w:val="304C544B"/>
    <w:rsid w:val="30557FAA"/>
    <w:rsid w:val="307304C8"/>
    <w:rsid w:val="30920526"/>
    <w:rsid w:val="309A3FE2"/>
    <w:rsid w:val="30C344EA"/>
    <w:rsid w:val="30D034A6"/>
    <w:rsid w:val="30DA1A43"/>
    <w:rsid w:val="30E51345"/>
    <w:rsid w:val="30EC6463"/>
    <w:rsid w:val="31573BA5"/>
    <w:rsid w:val="31611710"/>
    <w:rsid w:val="31675453"/>
    <w:rsid w:val="31750EFD"/>
    <w:rsid w:val="31794FE3"/>
    <w:rsid w:val="31795183"/>
    <w:rsid w:val="31A46EF6"/>
    <w:rsid w:val="32435108"/>
    <w:rsid w:val="32502CD5"/>
    <w:rsid w:val="32893CB6"/>
    <w:rsid w:val="32A93927"/>
    <w:rsid w:val="335B4F2F"/>
    <w:rsid w:val="33707BCD"/>
    <w:rsid w:val="339A3AD8"/>
    <w:rsid w:val="33B32D68"/>
    <w:rsid w:val="34445626"/>
    <w:rsid w:val="34523C54"/>
    <w:rsid w:val="34D70E9F"/>
    <w:rsid w:val="34E533D1"/>
    <w:rsid w:val="34EC0CCB"/>
    <w:rsid w:val="352567D5"/>
    <w:rsid w:val="3561102F"/>
    <w:rsid w:val="35846425"/>
    <w:rsid w:val="358A2DE4"/>
    <w:rsid w:val="358E6299"/>
    <w:rsid w:val="35AD480C"/>
    <w:rsid w:val="35AE40E5"/>
    <w:rsid w:val="35BC26E7"/>
    <w:rsid w:val="35C437E7"/>
    <w:rsid w:val="35E27865"/>
    <w:rsid w:val="36154270"/>
    <w:rsid w:val="363921C0"/>
    <w:rsid w:val="368750E7"/>
    <w:rsid w:val="368F7A5A"/>
    <w:rsid w:val="37065534"/>
    <w:rsid w:val="37135440"/>
    <w:rsid w:val="37472BFE"/>
    <w:rsid w:val="374B0846"/>
    <w:rsid w:val="37BA487B"/>
    <w:rsid w:val="3806292F"/>
    <w:rsid w:val="385D71CE"/>
    <w:rsid w:val="38726920"/>
    <w:rsid w:val="38B80A57"/>
    <w:rsid w:val="38C2394A"/>
    <w:rsid w:val="38D4638D"/>
    <w:rsid w:val="38F815A1"/>
    <w:rsid w:val="3912437A"/>
    <w:rsid w:val="397C0C35"/>
    <w:rsid w:val="39861BF9"/>
    <w:rsid w:val="39CB28BC"/>
    <w:rsid w:val="39D6127A"/>
    <w:rsid w:val="3A0168E3"/>
    <w:rsid w:val="3A5C4E1B"/>
    <w:rsid w:val="3A771354"/>
    <w:rsid w:val="3A9416D3"/>
    <w:rsid w:val="3AE55ABC"/>
    <w:rsid w:val="3AF15A98"/>
    <w:rsid w:val="3AFE33DB"/>
    <w:rsid w:val="3B806E1C"/>
    <w:rsid w:val="3BC94BB0"/>
    <w:rsid w:val="3BCF4482"/>
    <w:rsid w:val="3BDC04F6"/>
    <w:rsid w:val="3C103466"/>
    <w:rsid w:val="3C596CB1"/>
    <w:rsid w:val="3C7829D7"/>
    <w:rsid w:val="3C8E4297"/>
    <w:rsid w:val="3CB46B63"/>
    <w:rsid w:val="3CC81A8C"/>
    <w:rsid w:val="3CD2194F"/>
    <w:rsid w:val="3CD26099"/>
    <w:rsid w:val="3CD73BC8"/>
    <w:rsid w:val="3D503E71"/>
    <w:rsid w:val="3D530714"/>
    <w:rsid w:val="3D9A0DD8"/>
    <w:rsid w:val="3D9B25C9"/>
    <w:rsid w:val="3E563029"/>
    <w:rsid w:val="3EC64E7D"/>
    <w:rsid w:val="3ED479A3"/>
    <w:rsid w:val="3EEE2901"/>
    <w:rsid w:val="3F2D2E17"/>
    <w:rsid w:val="3F2E45B6"/>
    <w:rsid w:val="3F3C0C4C"/>
    <w:rsid w:val="3F624392"/>
    <w:rsid w:val="3F6D5E71"/>
    <w:rsid w:val="3F79606E"/>
    <w:rsid w:val="3F9777DD"/>
    <w:rsid w:val="3FBE5473"/>
    <w:rsid w:val="40072F28"/>
    <w:rsid w:val="401510D0"/>
    <w:rsid w:val="402C2D8B"/>
    <w:rsid w:val="405A2B76"/>
    <w:rsid w:val="40EE09C1"/>
    <w:rsid w:val="41091789"/>
    <w:rsid w:val="411E6EBB"/>
    <w:rsid w:val="4122319A"/>
    <w:rsid w:val="41327968"/>
    <w:rsid w:val="41367C1A"/>
    <w:rsid w:val="413916CE"/>
    <w:rsid w:val="413D6C54"/>
    <w:rsid w:val="416D29DD"/>
    <w:rsid w:val="416D5C54"/>
    <w:rsid w:val="4186552B"/>
    <w:rsid w:val="41B24A2D"/>
    <w:rsid w:val="41C77552"/>
    <w:rsid w:val="41E40C0D"/>
    <w:rsid w:val="41FB1BEC"/>
    <w:rsid w:val="421A3603"/>
    <w:rsid w:val="422420A8"/>
    <w:rsid w:val="424415F8"/>
    <w:rsid w:val="42B50743"/>
    <w:rsid w:val="42E85A69"/>
    <w:rsid w:val="42FA5BB5"/>
    <w:rsid w:val="43210321"/>
    <w:rsid w:val="432543D8"/>
    <w:rsid w:val="43365584"/>
    <w:rsid w:val="43372AFC"/>
    <w:rsid w:val="43402BA9"/>
    <w:rsid w:val="43496898"/>
    <w:rsid w:val="435161F1"/>
    <w:rsid w:val="43532EFD"/>
    <w:rsid w:val="435E2B0D"/>
    <w:rsid w:val="43696F7C"/>
    <w:rsid w:val="43700C9C"/>
    <w:rsid w:val="43E5304D"/>
    <w:rsid w:val="44935CFC"/>
    <w:rsid w:val="44BF23F6"/>
    <w:rsid w:val="44CB735A"/>
    <w:rsid w:val="44E6688A"/>
    <w:rsid w:val="44E92525"/>
    <w:rsid w:val="450B0993"/>
    <w:rsid w:val="45625240"/>
    <w:rsid w:val="45767AC3"/>
    <w:rsid w:val="458E16D4"/>
    <w:rsid w:val="459A5C96"/>
    <w:rsid w:val="45C864B7"/>
    <w:rsid w:val="45E237EC"/>
    <w:rsid w:val="46795049"/>
    <w:rsid w:val="468452BE"/>
    <w:rsid w:val="46847CBF"/>
    <w:rsid w:val="46BA3A24"/>
    <w:rsid w:val="46D11BB7"/>
    <w:rsid w:val="46EF643C"/>
    <w:rsid w:val="47190BAA"/>
    <w:rsid w:val="471E10DF"/>
    <w:rsid w:val="472E597E"/>
    <w:rsid w:val="47342616"/>
    <w:rsid w:val="475E3869"/>
    <w:rsid w:val="476238CC"/>
    <w:rsid w:val="4779591A"/>
    <w:rsid w:val="477D6CE9"/>
    <w:rsid w:val="47824C89"/>
    <w:rsid w:val="47906638"/>
    <w:rsid w:val="47912EE9"/>
    <w:rsid w:val="47B65B13"/>
    <w:rsid w:val="47BA4AB8"/>
    <w:rsid w:val="47BC742D"/>
    <w:rsid w:val="47F45C2F"/>
    <w:rsid w:val="481E57AD"/>
    <w:rsid w:val="482A7828"/>
    <w:rsid w:val="483B0010"/>
    <w:rsid w:val="48485EF0"/>
    <w:rsid w:val="484A67E7"/>
    <w:rsid w:val="485559BC"/>
    <w:rsid w:val="48581F00"/>
    <w:rsid w:val="486A380D"/>
    <w:rsid w:val="48785881"/>
    <w:rsid w:val="48885E0A"/>
    <w:rsid w:val="48E3604A"/>
    <w:rsid w:val="49564BE1"/>
    <w:rsid w:val="495E0E82"/>
    <w:rsid w:val="496B2066"/>
    <w:rsid w:val="49F62B4C"/>
    <w:rsid w:val="4A6A13C3"/>
    <w:rsid w:val="4A6E6F66"/>
    <w:rsid w:val="4A85655A"/>
    <w:rsid w:val="4ACC6C89"/>
    <w:rsid w:val="4AD0232A"/>
    <w:rsid w:val="4AED3121"/>
    <w:rsid w:val="4AF92A09"/>
    <w:rsid w:val="4B513C7C"/>
    <w:rsid w:val="4B5F781B"/>
    <w:rsid w:val="4BA762A3"/>
    <w:rsid w:val="4C536E11"/>
    <w:rsid w:val="4C6E270F"/>
    <w:rsid w:val="4C723C26"/>
    <w:rsid w:val="4CD3159D"/>
    <w:rsid w:val="4CE87BAD"/>
    <w:rsid w:val="4D203FBB"/>
    <w:rsid w:val="4D7413B6"/>
    <w:rsid w:val="4D9C40DA"/>
    <w:rsid w:val="4DB8448E"/>
    <w:rsid w:val="4DC8296F"/>
    <w:rsid w:val="4E4C4D02"/>
    <w:rsid w:val="4E564138"/>
    <w:rsid w:val="4E5E1C70"/>
    <w:rsid w:val="4E644D42"/>
    <w:rsid w:val="4E6879C7"/>
    <w:rsid w:val="4E8A651C"/>
    <w:rsid w:val="4EB368C3"/>
    <w:rsid w:val="4F053468"/>
    <w:rsid w:val="4F120732"/>
    <w:rsid w:val="4F4C72E9"/>
    <w:rsid w:val="4FBE2721"/>
    <w:rsid w:val="4FCD042A"/>
    <w:rsid w:val="4FD04988"/>
    <w:rsid w:val="4FE20C61"/>
    <w:rsid w:val="4FFB4E59"/>
    <w:rsid w:val="501D4537"/>
    <w:rsid w:val="50373D7B"/>
    <w:rsid w:val="5055425E"/>
    <w:rsid w:val="505B67E0"/>
    <w:rsid w:val="507E34D2"/>
    <w:rsid w:val="50B530C1"/>
    <w:rsid w:val="5116436F"/>
    <w:rsid w:val="514254AB"/>
    <w:rsid w:val="51BF4B3D"/>
    <w:rsid w:val="52345885"/>
    <w:rsid w:val="523D0C8A"/>
    <w:rsid w:val="526238F8"/>
    <w:rsid w:val="526C2BC0"/>
    <w:rsid w:val="52A02559"/>
    <w:rsid w:val="5302663C"/>
    <w:rsid w:val="53112B15"/>
    <w:rsid w:val="53750BCC"/>
    <w:rsid w:val="53836951"/>
    <w:rsid w:val="53922F1F"/>
    <w:rsid w:val="53927594"/>
    <w:rsid w:val="53AA19D4"/>
    <w:rsid w:val="53AF5095"/>
    <w:rsid w:val="53F4561A"/>
    <w:rsid w:val="540231F6"/>
    <w:rsid w:val="54191677"/>
    <w:rsid w:val="542854B1"/>
    <w:rsid w:val="54656E9D"/>
    <w:rsid w:val="547F3B26"/>
    <w:rsid w:val="54D71FBA"/>
    <w:rsid w:val="54D74E67"/>
    <w:rsid w:val="55523196"/>
    <w:rsid w:val="55875082"/>
    <w:rsid w:val="55966914"/>
    <w:rsid w:val="560E4817"/>
    <w:rsid w:val="56410322"/>
    <w:rsid w:val="56701CE7"/>
    <w:rsid w:val="567C08F2"/>
    <w:rsid w:val="568F0CCC"/>
    <w:rsid w:val="56B11194"/>
    <w:rsid w:val="56CC0D73"/>
    <w:rsid w:val="56E20BE3"/>
    <w:rsid w:val="5707629C"/>
    <w:rsid w:val="576E3115"/>
    <w:rsid w:val="577B076B"/>
    <w:rsid w:val="578C0BCA"/>
    <w:rsid w:val="57A04676"/>
    <w:rsid w:val="57C57722"/>
    <w:rsid w:val="57E62B94"/>
    <w:rsid w:val="57E656CB"/>
    <w:rsid w:val="58132187"/>
    <w:rsid w:val="58337298"/>
    <w:rsid w:val="5886465D"/>
    <w:rsid w:val="58A12453"/>
    <w:rsid w:val="58B12EA6"/>
    <w:rsid w:val="58E80082"/>
    <w:rsid w:val="5972443C"/>
    <w:rsid w:val="59BF1E9E"/>
    <w:rsid w:val="59D0681A"/>
    <w:rsid w:val="59F4245E"/>
    <w:rsid w:val="5A0E58C7"/>
    <w:rsid w:val="5A231B3E"/>
    <w:rsid w:val="5A4A5F69"/>
    <w:rsid w:val="5A5D47AD"/>
    <w:rsid w:val="5A5D621A"/>
    <w:rsid w:val="5A915161"/>
    <w:rsid w:val="5AC16EF5"/>
    <w:rsid w:val="5B160B7D"/>
    <w:rsid w:val="5B457372"/>
    <w:rsid w:val="5B5475E4"/>
    <w:rsid w:val="5BB971D9"/>
    <w:rsid w:val="5BC6636F"/>
    <w:rsid w:val="5BC70423"/>
    <w:rsid w:val="5BC73E31"/>
    <w:rsid w:val="5BE3156A"/>
    <w:rsid w:val="5BF140D4"/>
    <w:rsid w:val="5C1A7D4C"/>
    <w:rsid w:val="5C777777"/>
    <w:rsid w:val="5C817DCF"/>
    <w:rsid w:val="5C8B6750"/>
    <w:rsid w:val="5CAB7CD3"/>
    <w:rsid w:val="5CB00EB7"/>
    <w:rsid w:val="5D0711EF"/>
    <w:rsid w:val="5D156F6C"/>
    <w:rsid w:val="5D5E3792"/>
    <w:rsid w:val="5DB360AD"/>
    <w:rsid w:val="5DBA077C"/>
    <w:rsid w:val="5E19246F"/>
    <w:rsid w:val="5E1D6403"/>
    <w:rsid w:val="5E2F64E9"/>
    <w:rsid w:val="5E575103"/>
    <w:rsid w:val="5EA42053"/>
    <w:rsid w:val="5ED00919"/>
    <w:rsid w:val="5ED363DD"/>
    <w:rsid w:val="5F0F3A2C"/>
    <w:rsid w:val="5F682C52"/>
    <w:rsid w:val="5F9C16B0"/>
    <w:rsid w:val="5FAE581A"/>
    <w:rsid w:val="5FB85EEA"/>
    <w:rsid w:val="5FB928D8"/>
    <w:rsid w:val="60234A74"/>
    <w:rsid w:val="603372EE"/>
    <w:rsid w:val="606F72DB"/>
    <w:rsid w:val="607C44DA"/>
    <w:rsid w:val="6082031C"/>
    <w:rsid w:val="60AA3E6F"/>
    <w:rsid w:val="60B7641A"/>
    <w:rsid w:val="60CB6D08"/>
    <w:rsid w:val="60E83378"/>
    <w:rsid w:val="60F20EED"/>
    <w:rsid w:val="61136531"/>
    <w:rsid w:val="612127B3"/>
    <w:rsid w:val="615F4C5A"/>
    <w:rsid w:val="616D622E"/>
    <w:rsid w:val="6196332D"/>
    <w:rsid w:val="62731D94"/>
    <w:rsid w:val="629118D9"/>
    <w:rsid w:val="629D48E3"/>
    <w:rsid w:val="62A2083F"/>
    <w:rsid w:val="62CE02E9"/>
    <w:rsid w:val="632F1B00"/>
    <w:rsid w:val="63646D18"/>
    <w:rsid w:val="636B6AA9"/>
    <w:rsid w:val="637970C3"/>
    <w:rsid w:val="637B1AF3"/>
    <w:rsid w:val="63826B99"/>
    <w:rsid w:val="63AF5E11"/>
    <w:rsid w:val="63E4198F"/>
    <w:rsid w:val="63FB3B1D"/>
    <w:rsid w:val="63FC35D3"/>
    <w:rsid w:val="6453115A"/>
    <w:rsid w:val="649E4E7E"/>
    <w:rsid w:val="64C41C77"/>
    <w:rsid w:val="64C547F0"/>
    <w:rsid w:val="650F4093"/>
    <w:rsid w:val="6542045B"/>
    <w:rsid w:val="6565559C"/>
    <w:rsid w:val="65B27536"/>
    <w:rsid w:val="65C41412"/>
    <w:rsid w:val="65C707E6"/>
    <w:rsid w:val="65CA5934"/>
    <w:rsid w:val="660035A4"/>
    <w:rsid w:val="66052A76"/>
    <w:rsid w:val="66303069"/>
    <w:rsid w:val="66325157"/>
    <w:rsid w:val="663C3C92"/>
    <w:rsid w:val="6642493F"/>
    <w:rsid w:val="66451116"/>
    <w:rsid w:val="66510A6B"/>
    <w:rsid w:val="665242EE"/>
    <w:rsid w:val="66587CA1"/>
    <w:rsid w:val="66884C53"/>
    <w:rsid w:val="66AE57C5"/>
    <w:rsid w:val="66DC3258"/>
    <w:rsid w:val="66E55C01"/>
    <w:rsid w:val="673501F2"/>
    <w:rsid w:val="673B7F17"/>
    <w:rsid w:val="674A015A"/>
    <w:rsid w:val="674D73DB"/>
    <w:rsid w:val="678A6545"/>
    <w:rsid w:val="67B21DFA"/>
    <w:rsid w:val="67CA7801"/>
    <w:rsid w:val="67CE0D8B"/>
    <w:rsid w:val="67D8123C"/>
    <w:rsid w:val="686D7280"/>
    <w:rsid w:val="687F6330"/>
    <w:rsid w:val="6897782A"/>
    <w:rsid w:val="68AF4719"/>
    <w:rsid w:val="68AF5A59"/>
    <w:rsid w:val="68FF5A2E"/>
    <w:rsid w:val="69007DCD"/>
    <w:rsid w:val="6904139D"/>
    <w:rsid w:val="690E1EEC"/>
    <w:rsid w:val="698F52A2"/>
    <w:rsid w:val="699C36C7"/>
    <w:rsid w:val="69A905E1"/>
    <w:rsid w:val="6A005991"/>
    <w:rsid w:val="6A087236"/>
    <w:rsid w:val="6A1F142A"/>
    <w:rsid w:val="6A257F8C"/>
    <w:rsid w:val="6A43692A"/>
    <w:rsid w:val="6A9619FD"/>
    <w:rsid w:val="6A9E7C87"/>
    <w:rsid w:val="6AC14A7E"/>
    <w:rsid w:val="6AC67CC2"/>
    <w:rsid w:val="6AF403FB"/>
    <w:rsid w:val="6B517D09"/>
    <w:rsid w:val="6BB96FD4"/>
    <w:rsid w:val="6BE75675"/>
    <w:rsid w:val="6BF04A9C"/>
    <w:rsid w:val="6C4031F9"/>
    <w:rsid w:val="6C4E159F"/>
    <w:rsid w:val="6C6A2BC9"/>
    <w:rsid w:val="6C790328"/>
    <w:rsid w:val="6CD607B4"/>
    <w:rsid w:val="6CF8796A"/>
    <w:rsid w:val="6D2277C6"/>
    <w:rsid w:val="6D4D7574"/>
    <w:rsid w:val="6D5E7E6C"/>
    <w:rsid w:val="6D605FE2"/>
    <w:rsid w:val="6D653C08"/>
    <w:rsid w:val="6D7777CF"/>
    <w:rsid w:val="6D927A63"/>
    <w:rsid w:val="6DA86676"/>
    <w:rsid w:val="6DAC6B49"/>
    <w:rsid w:val="6DE63BF3"/>
    <w:rsid w:val="6E105B11"/>
    <w:rsid w:val="6E244EEF"/>
    <w:rsid w:val="6E45030F"/>
    <w:rsid w:val="6E8B5BEF"/>
    <w:rsid w:val="6EBB0EBA"/>
    <w:rsid w:val="6EBC0947"/>
    <w:rsid w:val="6EBE1E3F"/>
    <w:rsid w:val="6EC539C8"/>
    <w:rsid w:val="6EED31AC"/>
    <w:rsid w:val="6F0F39C4"/>
    <w:rsid w:val="6F3053B9"/>
    <w:rsid w:val="6F991DEF"/>
    <w:rsid w:val="6FC309BE"/>
    <w:rsid w:val="6FCD1E88"/>
    <w:rsid w:val="6FCE24E1"/>
    <w:rsid w:val="6FDE635F"/>
    <w:rsid w:val="70465A19"/>
    <w:rsid w:val="705078C9"/>
    <w:rsid w:val="70786144"/>
    <w:rsid w:val="70A00DEB"/>
    <w:rsid w:val="70AC2BC9"/>
    <w:rsid w:val="70B66B83"/>
    <w:rsid w:val="70B861CC"/>
    <w:rsid w:val="712E2CE5"/>
    <w:rsid w:val="713C6D66"/>
    <w:rsid w:val="714653E3"/>
    <w:rsid w:val="72390278"/>
    <w:rsid w:val="727F1DE7"/>
    <w:rsid w:val="729B0618"/>
    <w:rsid w:val="72B5161E"/>
    <w:rsid w:val="72C70E4C"/>
    <w:rsid w:val="73623F5B"/>
    <w:rsid w:val="7389421A"/>
    <w:rsid w:val="73D02A72"/>
    <w:rsid w:val="73D9089C"/>
    <w:rsid w:val="74154C97"/>
    <w:rsid w:val="74527C2C"/>
    <w:rsid w:val="74717636"/>
    <w:rsid w:val="747A2501"/>
    <w:rsid w:val="749C18DF"/>
    <w:rsid w:val="74BB3999"/>
    <w:rsid w:val="74CF5F3E"/>
    <w:rsid w:val="74E02D5B"/>
    <w:rsid w:val="74F02632"/>
    <w:rsid w:val="74FE612C"/>
    <w:rsid w:val="753366D1"/>
    <w:rsid w:val="753F6E24"/>
    <w:rsid w:val="755D7303"/>
    <w:rsid w:val="758162C4"/>
    <w:rsid w:val="759519CF"/>
    <w:rsid w:val="75A77DC5"/>
    <w:rsid w:val="75AB6268"/>
    <w:rsid w:val="75C36217"/>
    <w:rsid w:val="761876D3"/>
    <w:rsid w:val="762E4BF5"/>
    <w:rsid w:val="768E4D91"/>
    <w:rsid w:val="76B63D34"/>
    <w:rsid w:val="76BE1C15"/>
    <w:rsid w:val="76F50FB2"/>
    <w:rsid w:val="77147E3D"/>
    <w:rsid w:val="77150CEF"/>
    <w:rsid w:val="77757DF4"/>
    <w:rsid w:val="778F6A10"/>
    <w:rsid w:val="77E96895"/>
    <w:rsid w:val="77F51CD5"/>
    <w:rsid w:val="78197298"/>
    <w:rsid w:val="781F5015"/>
    <w:rsid w:val="78B82856"/>
    <w:rsid w:val="78D157CF"/>
    <w:rsid w:val="78D2453A"/>
    <w:rsid w:val="78F3055F"/>
    <w:rsid w:val="79052133"/>
    <w:rsid w:val="79126D39"/>
    <w:rsid w:val="79280170"/>
    <w:rsid w:val="793A2466"/>
    <w:rsid w:val="79A72DAB"/>
    <w:rsid w:val="7A00682C"/>
    <w:rsid w:val="7A33148E"/>
    <w:rsid w:val="7A355FAE"/>
    <w:rsid w:val="7A527E3C"/>
    <w:rsid w:val="7AA10994"/>
    <w:rsid w:val="7B051593"/>
    <w:rsid w:val="7B083CC4"/>
    <w:rsid w:val="7B107DB1"/>
    <w:rsid w:val="7B174A92"/>
    <w:rsid w:val="7B823DB1"/>
    <w:rsid w:val="7B8721B4"/>
    <w:rsid w:val="7C3A0345"/>
    <w:rsid w:val="7C3D5053"/>
    <w:rsid w:val="7C82009F"/>
    <w:rsid w:val="7C9C6C82"/>
    <w:rsid w:val="7D4B34AC"/>
    <w:rsid w:val="7D634059"/>
    <w:rsid w:val="7D8B026F"/>
    <w:rsid w:val="7D9224DB"/>
    <w:rsid w:val="7DBA2FD1"/>
    <w:rsid w:val="7DE647DB"/>
    <w:rsid w:val="7E30316C"/>
    <w:rsid w:val="7EA56EF5"/>
    <w:rsid w:val="7EA97F5B"/>
    <w:rsid w:val="7EB8307F"/>
    <w:rsid w:val="7EDA355B"/>
    <w:rsid w:val="7EF57EC1"/>
    <w:rsid w:val="7F40264D"/>
    <w:rsid w:val="7F5E780F"/>
    <w:rsid w:val="7F6A65E9"/>
    <w:rsid w:val="7F8152F6"/>
    <w:rsid w:val="7F99476D"/>
    <w:rsid w:val="7FAA2E60"/>
    <w:rsid w:val="7FAC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楷体_GB2312"/>
      <w:b/>
      <w:kern w:val="44"/>
      <w:sz w:val="44"/>
    </w:rPr>
  </w:style>
  <w:style w:type="paragraph" w:styleId="4">
    <w:name w:val="heading 2"/>
    <w:basedOn w:val="1"/>
    <w:next w:val="1"/>
    <w:qFormat/>
    <w:uiPriority w:val="9"/>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qFormat/>
    <w:uiPriority w:val="9"/>
    <w:pPr>
      <w:ind w:left="220"/>
      <w:outlineLvl w:val="2"/>
    </w:pPr>
    <w:rPr>
      <w:rFonts w:ascii="仿宋" w:hAnsi="仿宋" w:eastAsia="仿宋" w:cs="仿宋"/>
      <w:b/>
      <w:bCs/>
      <w:sz w:val="28"/>
      <w:szCs w:val="28"/>
    </w:rPr>
  </w:style>
  <w:style w:type="paragraph" w:styleId="6">
    <w:name w:val="heading 4"/>
    <w:basedOn w:val="1"/>
    <w:next w:val="1"/>
    <w:qFormat/>
    <w:uiPriority w:val="0"/>
    <w:pPr>
      <w:keepNext/>
      <w:keepLines/>
      <w:spacing w:before="120" w:after="120"/>
      <w:outlineLvl w:val="3"/>
    </w:pPr>
    <w:rPr>
      <w:rFonts w:ascii="Arial" w:hAnsi="Arial" w:eastAsia="黑体"/>
      <w:b/>
      <w:kern w:val="0"/>
      <w:sz w:val="20"/>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unhideWhenUsed/>
    <w:qFormat/>
    <w:uiPriority w:val="99"/>
    <w:pPr>
      <w:ind w:firstLine="200" w:firstLineChars="200"/>
    </w:pPr>
  </w:style>
  <w:style w:type="paragraph" w:styleId="7">
    <w:name w:val="Normal Indent"/>
    <w:basedOn w:val="1"/>
    <w:next w:val="1"/>
    <w:qFormat/>
    <w:uiPriority w:val="0"/>
    <w:pPr>
      <w:adjustRightInd w:val="0"/>
      <w:ind w:firstLine="420"/>
      <w:jc w:val="left"/>
      <w:textAlignment w:val="baseline"/>
    </w:pPr>
    <w:rPr>
      <w:rFonts w:eastAsia="楷体_GB2312"/>
      <w:kern w:val="0"/>
      <w:sz w:val="24"/>
    </w:rPr>
  </w:style>
  <w:style w:type="paragraph" w:styleId="8">
    <w:name w:val="annotation text"/>
    <w:basedOn w:val="1"/>
    <w:qFormat/>
    <w:uiPriority w:val="0"/>
    <w:pPr>
      <w:jc w:val="left"/>
    </w:pPr>
  </w:style>
  <w:style w:type="paragraph" w:styleId="9">
    <w:name w:val="Body Text"/>
    <w:basedOn w:val="1"/>
    <w:next w:val="10"/>
    <w:qFormat/>
    <w:uiPriority w:val="0"/>
    <w:pPr>
      <w:spacing w:after="120"/>
    </w:pPr>
  </w:style>
  <w:style w:type="paragraph" w:customStyle="1" w:styleId="1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11">
    <w:name w:val="Body Text Indent"/>
    <w:basedOn w:val="1"/>
    <w:next w:val="12"/>
    <w:unhideWhenUsed/>
    <w:qFormat/>
    <w:uiPriority w:val="99"/>
    <w:pPr>
      <w:spacing w:after="120"/>
      <w:ind w:left="420" w:leftChars="200"/>
    </w:pPr>
    <w:rPr>
      <w:szCs w:val="24"/>
    </w:rPr>
  </w:style>
  <w:style w:type="paragraph" w:styleId="12">
    <w:name w:val="envelope return"/>
    <w:basedOn w:val="1"/>
    <w:unhideWhenUsed/>
    <w:qFormat/>
    <w:uiPriority w:val="99"/>
    <w:pPr>
      <w:snapToGrid w:val="0"/>
    </w:pPr>
    <w:rPr>
      <w:rFonts w:ascii="Arial" w:hAnsi="Arial"/>
    </w:rPr>
  </w:style>
  <w:style w:type="paragraph" w:styleId="13">
    <w:name w:val="Block Text"/>
    <w:basedOn w:val="1"/>
    <w:qFormat/>
    <w:uiPriority w:val="0"/>
    <w:pPr>
      <w:spacing w:after="120"/>
      <w:ind w:left="1440" w:leftChars="700" w:right="700" w:rightChars="700"/>
    </w:pPr>
  </w:style>
  <w:style w:type="paragraph" w:styleId="14">
    <w:name w:val="index 4"/>
    <w:basedOn w:val="1"/>
    <w:next w:val="1"/>
    <w:unhideWhenUsed/>
    <w:qFormat/>
    <w:uiPriority w:val="99"/>
    <w:pPr>
      <w:ind w:left="600" w:leftChars="600"/>
    </w:pPr>
  </w:style>
  <w:style w:type="paragraph" w:styleId="15">
    <w:name w:val="toc 3"/>
    <w:basedOn w:val="1"/>
    <w:next w:val="1"/>
    <w:qFormat/>
    <w:uiPriority w:val="0"/>
    <w:pPr>
      <w:ind w:left="840" w:leftChars="400"/>
    </w:pPr>
  </w:style>
  <w:style w:type="paragraph" w:styleId="16">
    <w:name w:val="Plain Text"/>
    <w:basedOn w:val="1"/>
    <w:qFormat/>
    <w:uiPriority w:val="99"/>
    <w:rPr>
      <w:rFonts w:ascii="宋体" w:hAnsi="Courier New"/>
      <w:kern w:val="0"/>
      <w:sz w:val="20"/>
      <w:szCs w:val="21"/>
    </w:rPr>
  </w:style>
  <w:style w:type="paragraph" w:styleId="17">
    <w:name w:val="footer"/>
    <w:basedOn w:val="1"/>
    <w:next w:val="1"/>
    <w:qFormat/>
    <w:uiPriority w:val="0"/>
    <w:pPr>
      <w:tabs>
        <w:tab w:val="center" w:pos="4153"/>
        <w:tab w:val="right" w:pos="8306"/>
      </w:tabs>
      <w:snapToGrid w:val="0"/>
      <w:jc w:val="left"/>
    </w:pPr>
    <w:rPr>
      <w:kern w:val="0"/>
      <w:sz w:val="18"/>
      <w:szCs w:val="18"/>
    </w:rPr>
  </w:style>
  <w:style w:type="paragraph" w:styleId="18">
    <w:name w:val="header"/>
    <w:basedOn w:val="1"/>
    <w:link w:val="38"/>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adjustRightInd w:val="0"/>
      <w:jc w:val="left"/>
      <w:textAlignment w:val="baseline"/>
    </w:pPr>
    <w:rPr>
      <w:rFonts w:eastAsia="楷体_GB2312"/>
      <w:sz w:val="24"/>
    </w:rPr>
  </w:style>
  <w:style w:type="paragraph" w:styleId="20">
    <w:name w:val="toc 6"/>
    <w:basedOn w:val="1"/>
    <w:next w:val="1"/>
    <w:qFormat/>
    <w:uiPriority w:val="0"/>
    <w:pPr>
      <w:ind w:left="1050"/>
      <w:jc w:val="left"/>
    </w:pPr>
    <w:rPr>
      <w:sz w:val="18"/>
    </w:rPr>
  </w:style>
  <w:style w:type="paragraph" w:styleId="21">
    <w:name w:val="Body Text Indent 3"/>
    <w:basedOn w:val="1"/>
    <w:qFormat/>
    <w:uiPriority w:val="0"/>
    <w:pPr>
      <w:spacing w:line="520" w:lineRule="exact"/>
      <w:ind w:firstLine="539" w:firstLineChars="184"/>
    </w:pPr>
    <w:rPr>
      <w:rFonts w:ascii="宋体"/>
      <w:b/>
      <w:spacing w:val="6"/>
      <w:sz w:val="28"/>
    </w:rPr>
  </w:style>
  <w:style w:type="paragraph" w:styleId="22">
    <w:name w:val="Normal (Web)"/>
    <w:basedOn w:val="1"/>
    <w:semiHidden/>
    <w:qFormat/>
    <w:uiPriority w:val="99"/>
    <w:pPr>
      <w:widowControl/>
      <w:spacing w:before="100" w:beforeAutospacing="1" w:after="100" w:afterAutospacing="1"/>
      <w:jc w:val="left"/>
    </w:pPr>
    <w:rPr>
      <w:rFonts w:ascii="宋体" w:hAnsi="宋体" w:cs="宋体"/>
      <w:kern w:val="0"/>
      <w:sz w:val="24"/>
      <w:szCs w:val="24"/>
    </w:rPr>
  </w:style>
  <w:style w:type="paragraph" w:styleId="23">
    <w:name w:val="Body Text First Indent"/>
    <w:basedOn w:val="9"/>
    <w:next w:val="2"/>
    <w:qFormat/>
    <w:uiPriority w:val="0"/>
    <w:pPr>
      <w:spacing w:line="360" w:lineRule="auto"/>
      <w:ind w:firstLine="482"/>
    </w:pPr>
    <w:rPr>
      <w:b/>
      <w:sz w:val="24"/>
    </w:rPr>
  </w:style>
  <w:style w:type="table" w:styleId="25">
    <w:name w:val="Table Grid"/>
    <w:basedOn w:val="24"/>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style>
  <w:style w:type="character" w:styleId="29">
    <w:name w:val="FollowedHyperlink"/>
    <w:qFormat/>
    <w:uiPriority w:val="0"/>
    <w:rPr>
      <w:color w:val="771CAA"/>
      <w:u w:val="none"/>
    </w:rPr>
  </w:style>
  <w:style w:type="character" w:styleId="30">
    <w:name w:val="Emphasis"/>
    <w:qFormat/>
    <w:uiPriority w:val="0"/>
    <w:rPr>
      <w:color w:val="F73131"/>
    </w:rPr>
  </w:style>
  <w:style w:type="character" w:styleId="31">
    <w:name w:val="Hyperlink"/>
    <w:qFormat/>
    <w:uiPriority w:val="0"/>
    <w:rPr>
      <w:color w:val="333333"/>
      <w:u w:val="none"/>
    </w:rPr>
  </w:style>
  <w:style w:type="character" w:styleId="32">
    <w:name w:val="annotation reference"/>
    <w:basedOn w:val="26"/>
    <w:qFormat/>
    <w:uiPriority w:val="0"/>
    <w:rPr>
      <w:sz w:val="21"/>
      <w:szCs w:val="21"/>
    </w:rPr>
  </w:style>
  <w:style w:type="character" w:styleId="33">
    <w:name w:val="HTML Cite"/>
    <w:qFormat/>
    <w:uiPriority w:val="0"/>
    <w:rPr>
      <w:color w:val="008000"/>
    </w:rPr>
  </w:style>
  <w:style w:type="paragraph" w:customStyle="1" w:styleId="34">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35">
    <w:name w:val="正文首行缩进 21"/>
    <w:basedOn w:val="36"/>
    <w:unhideWhenUsed/>
    <w:qFormat/>
    <w:uiPriority w:val="99"/>
    <w:pPr>
      <w:ind w:firstLine="200" w:firstLineChars="200"/>
    </w:pPr>
  </w:style>
  <w:style w:type="paragraph" w:customStyle="1" w:styleId="36">
    <w:name w:val="正文文本缩进1"/>
    <w:basedOn w:val="1"/>
    <w:unhideWhenUsed/>
    <w:qFormat/>
    <w:uiPriority w:val="99"/>
    <w:pPr>
      <w:spacing w:after="120"/>
      <w:ind w:left="420"/>
    </w:pPr>
  </w:style>
  <w:style w:type="paragraph" w:customStyle="1" w:styleId="37">
    <w:name w:val="表格文字"/>
    <w:basedOn w:val="1"/>
    <w:next w:val="9"/>
    <w:qFormat/>
    <w:uiPriority w:val="0"/>
    <w:pPr>
      <w:widowControl/>
      <w:adjustRightInd w:val="0"/>
      <w:spacing w:line="420" w:lineRule="atLeast"/>
      <w:jc w:val="left"/>
      <w:textAlignment w:val="baseline"/>
    </w:pPr>
    <w:rPr>
      <w:szCs w:val="24"/>
    </w:rPr>
  </w:style>
  <w:style w:type="character" w:customStyle="1" w:styleId="38">
    <w:name w:val="页眉 Char"/>
    <w:link w:val="18"/>
    <w:qFormat/>
    <w:uiPriority w:val="0"/>
    <w:rPr>
      <w:rFonts w:ascii="Times New Roman" w:hAnsi="Times New Roman"/>
      <w:kern w:val="2"/>
      <w:sz w:val="18"/>
      <w:szCs w:val="18"/>
    </w:rPr>
  </w:style>
  <w:style w:type="paragraph" w:styleId="39">
    <w:name w:val="List Paragraph"/>
    <w:basedOn w:val="1"/>
    <w:qFormat/>
    <w:uiPriority w:val="34"/>
    <w:pPr>
      <w:ind w:firstLine="420" w:firstLineChars="200"/>
    </w:pPr>
    <w:rPr>
      <w:szCs w:val="22"/>
    </w:rPr>
  </w:style>
  <w:style w:type="paragraph" w:customStyle="1" w:styleId="40">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41">
    <w:name w:val="Table Paragraph"/>
    <w:basedOn w:val="1"/>
    <w:qFormat/>
    <w:uiPriority w:val="1"/>
    <w:pPr>
      <w:spacing w:before="31"/>
      <w:ind w:left="107"/>
    </w:pPr>
    <w:rPr>
      <w:rFonts w:ascii="微软雅黑" w:hAnsi="微软雅黑" w:eastAsia="微软雅黑" w:cs="微软雅黑"/>
    </w:rPr>
  </w:style>
  <w:style w:type="table" w:customStyle="1" w:styleId="42">
    <w:name w:val="Table Normal"/>
    <w:unhideWhenUsed/>
    <w:qFormat/>
    <w:uiPriority w:val="2"/>
    <w:tblPr>
      <w:tblCellMar>
        <w:top w:w="0" w:type="dxa"/>
        <w:left w:w="0" w:type="dxa"/>
        <w:bottom w:w="0" w:type="dxa"/>
        <w:right w:w="0" w:type="dxa"/>
      </w:tblCellMar>
    </w:tblPr>
  </w:style>
  <w:style w:type="paragraph" w:customStyle="1" w:styleId="43">
    <w:name w:val="普通正文"/>
    <w:basedOn w:val="1"/>
    <w:qFormat/>
    <w:uiPriority w:val="99"/>
    <w:pPr>
      <w:adjustRightInd w:val="0"/>
      <w:spacing w:before="120" w:after="120" w:line="360" w:lineRule="auto"/>
      <w:ind w:firstLine="480"/>
      <w:jc w:val="left"/>
    </w:pPr>
    <w:rPr>
      <w:rFonts w:ascii="Arial" w:hAnsi="Arial" w:cs="Arial"/>
      <w:kern w:val="0"/>
      <w:sz w:val="24"/>
      <w:szCs w:val="24"/>
    </w:rPr>
  </w:style>
  <w:style w:type="character" w:customStyle="1" w:styleId="44">
    <w:name w:val="font12"/>
    <w:qFormat/>
    <w:uiPriority w:val="0"/>
    <w:rPr>
      <w:rFonts w:hint="default" w:ascii="方正仿宋_GBK" w:hAnsi="方正仿宋_GBK" w:eastAsia="方正仿宋_GBK" w:cs="方正仿宋_GBK"/>
      <w:b/>
      <w:bCs/>
      <w:color w:val="000000"/>
      <w:sz w:val="22"/>
      <w:szCs w:val="22"/>
      <w:u w:val="none"/>
    </w:rPr>
  </w:style>
  <w:style w:type="character" w:customStyle="1" w:styleId="45">
    <w:name w:val="font61"/>
    <w:qFormat/>
    <w:uiPriority w:val="0"/>
    <w:rPr>
      <w:rFonts w:hint="default" w:ascii="方正仿宋_GBK" w:hAnsi="方正仿宋_GBK" w:eastAsia="方正仿宋_GBK" w:cs="方正仿宋_GBK"/>
      <w:color w:val="000000"/>
      <w:sz w:val="22"/>
      <w:szCs w:val="22"/>
      <w:u w:val="none"/>
    </w:rPr>
  </w:style>
  <w:style w:type="character" w:customStyle="1" w:styleId="46">
    <w:name w:val="font71"/>
    <w:qFormat/>
    <w:uiPriority w:val="0"/>
    <w:rPr>
      <w:rFonts w:hint="default" w:ascii="Arial" w:hAnsi="Arial" w:cs="Arial"/>
      <w:color w:val="000000"/>
      <w:sz w:val="22"/>
      <w:szCs w:val="22"/>
      <w:u w:val="none"/>
    </w:rPr>
  </w:style>
  <w:style w:type="character" w:customStyle="1" w:styleId="47">
    <w:name w:val="font21"/>
    <w:qFormat/>
    <w:uiPriority w:val="0"/>
    <w:rPr>
      <w:rFonts w:hint="eastAsia" w:ascii="等线" w:hAnsi="等线" w:eastAsia="等线" w:cs="等线"/>
      <w:color w:val="000000"/>
      <w:sz w:val="22"/>
      <w:szCs w:val="22"/>
      <w:u w:val="none"/>
    </w:rPr>
  </w:style>
  <w:style w:type="character" w:customStyle="1" w:styleId="48">
    <w:name w:val="font31"/>
    <w:qFormat/>
    <w:uiPriority w:val="0"/>
    <w:rPr>
      <w:rFonts w:hint="default" w:ascii="方正仿宋_GBK" w:hAnsi="方正仿宋_GBK" w:eastAsia="方正仿宋_GBK" w:cs="方正仿宋_GBK"/>
      <w:color w:val="000000"/>
      <w:sz w:val="22"/>
      <w:szCs w:val="22"/>
      <w:u w:val="none"/>
    </w:rPr>
  </w:style>
  <w:style w:type="character" w:customStyle="1" w:styleId="49">
    <w:name w:val="font122"/>
    <w:qFormat/>
    <w:uiPriority w:val="0"/>
    <w:rPr>
      <w:rFonts w:hint="eastAsia" w:ascii="等线" w:hAnsi="等线" w:eastAsia="等线" w:cs="等线"/>
      <w:color w:val="000000"/>
      <w:sz w:val="22"/>
      <w:szCs w:val="22"/>
      <w:u w:val="none"/>
    </w:rPr>
  </w:style>
  <w:style w:type="character" w:customStyle="1" w:styleId="50">
    <w:name w:val="font51"/>
    <w:qFormat/>
    <w:uiPriority w:val="0"/>
    <w:rPr>
      <w:rFonts w:hint="default" w:ascii="Arial" w:hAnsi="Arial" w:cs="Arial"/>
      <w:b/>
      <w:bCs/>
      <w:color w:val="000000"/>
      <w:sz w:val="22"/>
      <w:szCs w:val="22"/>
      <w:u w:val="none"/>
    </w:rPr>
  </w:style>
  <w:style w:type="paragraph" w:customStyle="1" w:styleId="51">
    <w:name w:val="ZX-正文"/>
    <w:qFormat/>
    <w:uiPriority w:val="0"/>
    <w:pPr>
      <w:spacing w:beforeLines="50"/>
      <w:ind w:firstLine="480" w:firstLineChars="200"/>
    </w:pPr>
    <w:rPr>
      <w:rFonts w:ascii="Trebuchet MS" w:hAnsi="FuturaA Bk BT" w:eastAsia="宋体" w:cs="Times New Roman"/>
      <w:kern w:val="2"/>
      <w:sz w:val="24"/>
      <w:lang w:val="en-US" w:eastAsia="zh-CN" w:bidi="ar-SA"/>
    </w:rPr>
  </w:style>
  <w:style w:type="character" w:customStyle="1" w:styleId="52">
    <w:name w:val="c-icon"/>
    <w:qFormat/>
    <w:uiPriority w:val="0"/>
  </w:style>
  <w:style w:type="character" w:customStyle="1" w:styleId="53">
    <w:name w:val="ec_d20_recomm_link"/>
    <w:qFormat/>
    <w:uiPriority w:val="0"/>
    <w:rPr>
      <w:shd w:val="clear" w:color="auto" w:fill="F5F5F6"/>
    </w:rPr>
  </w:style>
  <w:style w:type="character" w:customStyle="1" w:styleId="54">
    <w:name w:val="hover28"/>
    <w:qFormat/>
    <w:uiPriority w:val="0"/>
    <w:rPr>
      <w:color w:val="315EFB"/>
    </w:rPr>
  </w:style>
  <w:style w:type="character" w:customStyle="1" w:styleId="55">
    <w:name w:val="hover29"/>
    <w:qFormat/>
    <w:uiPriority w:val="0"/>
  </w:style>
  <w:style w:type="character" w:customStyle="1" w:styleId="56">
    <w:name w:val="c-icon32"/>
    <w:qFormat/>
    <w:uiPriority w:val="0"/>
  </w:style>
  <w:style w:type="paragraph" w:customStyle="1" w:styleId="57">
    <w:name w:val="正文1"/>
    <w:basedOn w:val="1"/>
    <w:qFormat/>
    <w:uiPriority w:val="0"/>
    <w:pPr>
      <w:spacing w:line="360" w:lineRule="auto"/>
      <w:ind w:firstLine="361"/>
    </w:pPr>
    <w:rPr>
      <w:rFonts w:ascii="宋体" w:hAnsi="宋体"/>
      <w:szCs w:val="24"/>
    </w:rPr>
  </w:style>
  <w:style w:type="paragraph" w:customStyle="1" w:styleId="58">
    <w:name w:val="正文自设"/>
    <w:basedOn w:val="7"/>
    <w:qFormat/>
    <w:uiPriority w:val="0"/>
    <w:pPr>
      <w:spacing w:line="350" w:lineRule="exact"/>
      <w:ind w:firstLine="502" w:firstLineChars="200"/>
    </w:pPr>
    <w:rPr>
      <w:rFonts w:ascii="宋体" w:hAnsi="宋体"/>
      <w:b/>
      <w:bCs/>
      <w:sz w:val="25"/>
      <w:szCs w:val="25"/>
    </w:rPr>
  </w:style>
  <w:style w:type="character" w:customStyle="1" w:styleId="59">
    <w:name w:val="NormalCharacter"/>
    <w:qFormat/>
    <w:uiPriority w:val="0"/>
  </w:style>
  <w:style w:type="paragraph" w:customStyle="1" w:styleId="60">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61">
    <w:name w:val="普通(网站) Char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62">
    <w:name w:val="章正文"/>
    <w:basedOn w:val="1"/>
    <w:qFormat/>
    <w:uiPriority w:val="0"/>
    <w:pPr>
      <w:spacing w:beforeLines="50" w:after="120" w:line="300" w:lineRule="auto"/>
      <w:ind w:firstLine="480"/>
    </w:pPr>
    <w:rPr>
      <w:rFonts w:ascii="Helvetica" w:hAnsi="Helvetica"/>
      <w:kern w:val="0"/>
      <w:sz w:val="24"/>
    </w:rPr>
  </w:style>
  <w:style w:type="paragraph" w:customStyle="1" w:styleId="63">
    <w:name w:val="Body text|1"/>
    <w:basedOn w:val="1"/>
    <w:qFormat/>
    <w:uiPriority w:val="0"/>
    <w:pPr>
      <w:widowControl w:val="0"/>
      <w:shd w:val="clear" w:color="auto" w:fill="auto"/>
      <w:spacing w:line="360" w:lineRule="auto"/>
      <w:ind w:firstLine="400"/>
    </w:pPr>
    <w:rPr>
      <w:rFonts w:ascii="宋体" w:hAnsi="宋体" w:eastAsia="宋体" w:cs="宋体"/>
      <w:sz w:val="26"/>
      <w:szCs w:val="26"/>
      <w:u w:val="none"/>
      <w:shd w:val="clear" w:color="auto" w:fill="auto"/>
      <w:lang w:val="zh-TW" w:eastAsia="zh-TW" w:bidi="zh-TW"/>
    </w:rPr>
  </w:style>
  <w:style w:type="paragraph" w:customStyle="1" w:styleId="64">
    <w:name w:val="ListBullet2"/>
    <w:basedOn w:val="1"/>
    <w:qFormat/>
    <w:uiPriority w:val="99"/>
    <w:pPr>
      <w:numPr>
        <w:ilvl w:val="0"/>
        <w:numId w:val="1"/>
      </w:numPr>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57</Pages>
  <Words>33279</Words>
  <Characters>34515</Characters>
  <Lines>135</Lines>
  <Paragraphs>38</Paragraphs>
  <TotalTime>4</TotalTime>
  <ScaleCrop>false</ScaleCrop>
  <LinksUpToDate>false</LinksUpToDate>
  <CharactersWithSpaces>35447</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2022-10-24T06:54:00Z</dcterms:created>
  <dc:creator>Administrator</dc:creator>
  <cp:lastModifiedBy>L</cp:lastModifiedBy>
  <cp:lastPrinted>2022-08-08T01:26:00Z</cp:lastPrinted>
  <dcterms:modified xsi:type="dcterms:W3CDTF">2026-06-09T07:38:03Z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F7D7B1BCAE614450BBBCECC93B582BFF</vt:lpwstr>
  </property>
  <property fmtid="{D5CDD505-2E9C-101B-9397-08002B2CF9AE}" pid="4" name="KSOTemplateDocerSaveRecord">
    <vt:lpwstr>eyJoZGlkIjoiYmE4NWIzYWM5OWFkNWYxNzNmNzBkNmMzNDRkN2FiY2EiLCJ1c2VySWQiOiI3NTAxNjUwNjIifQ==</vt:lpwstr>
  </property>
</Properties>
</file>