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color w:val="auto"/>
          <w:sz w:val="84"/>
          <w:szCs w:val="84"/>
          <w:highlight w:val="none"/>
        </w:rPr>
      </w:pPr>
      <w:r>
        <w:rPr>
          <w:rFonts w:hint="eastAsia" w:ascii="宋体" w:hAnsi="宋体" w:cs="宋体"/>
          <w:color w:val="auto"/>
          <w:sz w:val="84"/>
          <w:szCs w:val="84"/>
          <w:highlight w:val="none"/>
        </w:rPr>
      </w:r>
      <w:r/>
    </w:p>
    <w:p>
      <w:pPr>
        <w:pStyle w:val="902"/>
        <w:rPr>
          <w:color w:val="auto"/>
          <w:highlight w:val="none"/>
        </w:rPr>
      </w:pPr>
      <w:r>
        <w:rPr>
          <w:color w:val="auto"/>
          <w:highlight w:val="none"/>
        </w:rPr>
      </w:r>
      <w:r/>
    </w:p>
    <w:p>
      <w:pPr>
        <w:jc w:val="center"/>
        <w:spacing w:line="360" w:lineRule="auto"/>
        <w:tabs>
          <w:tab w:val="left" w:pos="8930" w:leader="none"/>
          <w:tab w:val="left" w:pos="9306" w:leader="none"/>
        </w:tabs>
        <w:rPr>
          <w:rFonts w:hint="eastAsia" w:ascii="宋体" w:hAnsi="宋体"/>
          <w:b/>
          <w:color w:val="auto"/>
          <w:sz w:val="72"/>
          <w:szCs w:val="72"/>
          <w:highlight w:val="none"/>
        </w:rPr>
      </w:pPr>
      <w:r>
        <w:rPr>
          <w:rFonts w:hint="eastAsia" w:ascii="宋体" w:hAnsi="宋体"/>
          <w:b/>
          <w:color w:val="auto"/>
          <w:sz w:val="72"/>
          <w:szCs w:val="72"/>
          <w:highlight w:val="none"/>
        </w:rPr>
        <w:t xml:space="preserve">苏州市政府采购</w:t>
      </w:r>
      <w:r/>
    </w:p>
    <w:p>
      <w:pPr>
        <w:jc w:val="center"/>
        <w:spacing w:line="360" w:lineRule="auto"/>
        <w:tabs>
          <w:tab w:val="left" w:pos="8930" w:leader="none"/>
          <w:tab w:val="left" w:pos="9306" w:leader="none"/>
        </w:tabs>
        <w:rPr>
          <w:rFonts w:hint="eastAsia" w:ascii="宋体" w:hAnsi="宋体"/>
          <w:b/>
          <w:color w:val="auto"/>
          <w:sz w:val="72"/>
          <w:szCs w:val="72"/>
          <w:highlight w:val="none"/>
        </w:rPr>
      </w:pPr>
      <w:r>
        <w:rPr>
          <w:rFonts w:hint="eastAsia" w:ascii="宋体" w:hAnsi="宋体"/>
          <w:b/>
          <w:color w:val="auto"/>
          <w:sz w:val="72"/>
          <w:szCs w:val="72"/>
          <w:highlight w:val="none"/>
        </w:rPr>
        <w:t xml:space="preserve">竞争性磋商文件</w:t>
      </w:r>
      <w:r/>
    </w:p>
    <w:p>
      <w:pPr>
        <w:pStyle w:val="902"/>
        <w:ind w:firstLine="0"/>
        <w:rPr>
          <w:color w:val="auto"/>
          <w:highlight w:val="none"/>
        </w:rPr>
      </w:pPr>
      <w:r>
        <w:rPr>
          <w:color w:val="auto"/>
          <w:highlight w:val="none"/>
        </w:rPr>
      </w:r>
      <w:r/>
    </w:p>
    <w:p>
      <w:pPr>
        <w:pStyle w:val="902"/>
        <w:rPr>
          <w:color w:val="auto"/>
          <w:highlight w:val="none"/>
        </w:rPr>
      </w:pPr>
      <w:r>
        <w:rPr>
          <w:color w:val="auto"/>
          <w:highlight w:val="none"/>
        </w:rPr>
      </w:r>
      <w:r/>
    </w:p>
    <w:p>
      <w:pPr>
        <w:ind w:firstLine="720"/>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采购单位：苏州市应急管理局</w:t>
      </w:r>
      <w:r/>
    </w:p>
    <w:p>
      <w:pPr>
        <w:ind w:firstLine="720"/>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磋商编号：JSZC-320500-SZSC-C2026-0008</w:t>
      </w:r>
      <w:r/>
    </w:p>
    <w:p>
      <w:pPr>
        <w:ind w:firstLine="720"/>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磋商内容：</w:t>
      </w:r>
      <w:r>
        <w:rPr>
          <w:rFonts w:hint="eastAsia" w:ascii="宋体" w:hAnsi="宋体" w:cs="宋体"/>
          <w:color w:val="auto"/>
          <w:sz w:val="36"/>
          <w:szCs w:val="36"/>
          <w:highlight w:val="none"/>
        </w:rPr>
        <w:t xml:space="preserve">苏州市直升机综合应急应用服务</w:t>
      </w:r>
      <w:r/>
    </w:p>
    <w:p>
      <w:pPr>
        <w:ind w:firstLine="720"/>
        <w:spacing w:line="360" w:lineRule="auto"/>
        <w:rPr>
          <w:rFonts w:hint="eastAsia" w:ascii="宋体" w:hAnsi="宋体" w:cs="宋体"/>
          <w:color w:val="auto"/>
          <w:sz w:val="84"/>
          <w:szCs w:val="84"/>
          <w:highlight w:val="none"/>
        </w:rPr>
      </w:pPr>
      <w:r>
        <w:rPr>
          <w:rFonts w:hint="eastAsia" w:ascii="宋体" w:hAnsi="宋体" w:cs="宋体"/>
          <w:color w:val="auto"/>
          <w:sz w:val="36"/>
          <w:szCs w:val="36"/>
          <w:highlight w:val="none"/>
        </w:rPr>
        <w:t xml:space="preserve">磋商类别：服务类</w:t>
      </w:r>
      <w:r/>
    </w:p>
    <w:p>
      <w:pPr>
        <w:jc w:val="center"/>
        <w:rPr>
          <w:rFonts w:hint="eastAsia" w:ascii="宋体" w:hAnsi="宋体"/>
          <w:color w:val="auto"/>
          <w:sz w:val="84"/>
          <w:szCs w:val="84"/>
          <w:highlight w:val="none"/>
        </w:rPr>
      </w:pPr>
      <w:r>
        <w:rPr>
          <w:rFonts w:hint="eastAsia" w:ascii="宋体" w:hAnsi="宋体"/>
          <w:color w:val="auto"/>
          <w:sz w:val="84"/>
          <w:szCs w:val="84"/>
          <w:highlight w:val="none"/>
        </w:rPr>
      </w:r>
      <w:r/>
    </w:p>
    <w:p>
      <w:pPr>
        <w:pStyle w:val="904"/>
        <w:rPr>
          <w:color w:val="auto"/>
          <w:highlight w:val="none"/>
        </w:rPr>
      </w:pPr>
      <w:r>
        <w:rPr>
          <w:color w:val="auto"/>
          <w:highlight w:val="none"/>
        </w:rPr>
      </w:r>
      <w:r/>
    </w:p>
    <w:p>
      <w:pPr>
        <w:pStyle w:val="904"/>
        <w:jc w:val="center"/>
        <w:rPr>
          <w:rFonts w:hint="eastAsia" w:ascii="宋体" w:hAnsi="宋体"/>
          <w:color w:val="auto"/>
          <w:sz w:val="84"/>
          <w:szCs w:val="84"/>
          <w:highlight w:val="none"/>
        </w:rPr>
      </w:pPr>
      <w:r>
        <w:rPr>
          <w:rFonts w:hint="eastAsia" w:ascii="宋体" w:hAnsi="宋体"/>
          <w:color w:val="auto"/>
          <w:sz w:val="84"/>
          <w:szCs w:val="84"/>
          <w:highlight w:val="none"/>
        </w:rPr>
        <mc:AlternateContent>
          <mc:Choice Requires="wpg">
            <w:drawing>
              <wp:inline xmlns:wp="http://schemas.openxmlformats.org/drawingml/2006/wordprocessingDrawing" distT="0" distB="0" distL="0" distR="0">
                <wp:extent cx="1179830" cy="1211580"/>
                <wp:effectExtent l="0" t="0" r="1270" b="7620"/>
                <wp:docPr id="1" name="图片 1" descr="95d8383b1b860f24a1f8998ab276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5d8383b1b860f24a1f8998ab276439"/>
                        <pic:cNvPicPr>
                          <a:picLocks noChangeAspect="1"/>
                        </pic:cNvPicPr>
                        <pic:nvPr/>
                      </pic:nvPicPr>
                      <pic:blipFill>
                        <a:blip r:embed="rId16"/>
                        <a:stretch/>
                      </pic:blipFill>
                      <pic:spPr bwMode="auto">
                        <a:xfrm>
                          <a:off x="0" y="0"/>
                          <a:ext cx="1179830" cy="12115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2.9pt;height:95.4pt;mso-wrap-distance-left:0.0pt;mso-wrap-distance-top:0.0pt;mso-wrap-distance-right:0.0pt;mso-wrap-distance-bottom:0.0pt;" stroked="false">
                <v:path textboxrect="0,0,0,0"/>
                <v:imagedata r:id="rId16" o:title=""/>
              </v:shape>
            </w:pict>
          </mc:Fallback>
        </mc:AlternateContent>
      </w:r>
      <w:r/>
    </w:p>
    <w:p>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苏州市诚源招投标代理有限公司</w:t>
      </w:r>
      <w:r/>
    </w:p>
    <w:p>
      <w:pPr>
        <w:jc w:val="center"/>
        <w:spacing w:line="360" w:lineRule="auto"/>
        <w:rPr>
          <w:rFonts w:hint="eastAsia" w:ascii="宋体" w:hAnsi="宋体" w:cs="宋体"/>
          <w:color w:val="auto"/>
          <w:sz w:val="36"/>
          <w:szCs w:val="36"/>
          <w:highlight w:val="none"/>
        </w:rPr>
        <w:sectPr>
          <w:headerReference w:type="default" r:id="rId9"/>
          <w:footerReference w:type="first" r:id="rId13"/>
          <w:footnotePr/>
          <w:endnotePr/>
          <w:type w:val="nextPage"/>
          <w:pgSz w:w="11906" w:h="16838" w:orient="portrait"/>
          <w:pgMar w:top="1134" w:right="1134" w:bottom="1134" w:left="1701" w:header="850" w:footer="567" w:gutter="0"/>
          <w:cols w:num="1" w:sep="0" w:space="720" w:equalWidth="1"/>
          <w:docGrid w:linePitch="360"/>
        </w:sectPr>
      </w:pPr>
      <w:r>
        <w:rPr>
          <w:rFonts w:hint="eastAsia" w:ascii="宋体" w:hAnsi="宋体" w:cs="宋体"/>
          <w:color w:val="auto"/>
          <w:sz w:val="36"/>
          <w:szCs w:val="36"/>
          <w:highlight w:val="none"/>
        </w:rPr>
        <w:t xml:space="preserve">2026年6月</w:t>
      </w:r>
      <w:r/>
    </w:p>
    <w:p>
      <w:pPr>
        <w:rPr>
          <w:rFonts w:hint="eastAsia" w:ascii="宋体" w:hAnsi="宋体" w:cs="宋体"/>
          <w:color w:val="auto"/>
          <w:sz w:val="36"/>
          <w:szCs w:val="40"/>
          <w:highlight w:val="none"/>
        </w:rPr>
      </w:pPr>
      <w:r>
        <w:rPr>
          <w:rFonts w:hint="eastAsia" w:ascii="宋体" w:hAnsi="宋体" w:cs="宋体"/>
          <w:color w:val="auto"/>
          <w:sz w:val="36"/>
          <w:szCs w:val="40"/>
          <w:highlight w:val="none"/>
        </w:rPr>
      </w:r>
      <w:r/>
    </w:p>
    <w:p>
      <w:pPr>
        <w:ind w:left="840" w:firstLine="3022"/>
        <w:spacing w:line="360" w:lineRule="auto"/>
        <w:rPr>
          <w:rFonts w:hint="eastAsia" w:ascii="宋体" w:hAnsi="宋体" w:cs="宋体"/>
          <w:b/>
          <w:bCs/>
          <w:color w:val="auto"/>
          <w:sz w:val="43"/>
          <w:szCs w:val="43"/>
          <w:highlight w:val="none"/>
        </w:rPr>
      </w:pPr>
      <w:r>
        <w:rPr>
          <w:rFonts w:hint="eastAsia" w:ascii="宋体" w:hAnsi="宋体" w:cs="宋体"/>
          <w:b/>
          <w:bCs/>
          <w:color w:val="auto"/>
          <w:sz w:val="43"/>
          <w:szCs w:val="43"/>
          <w:highlight w:val="none"/>
        </w:rPr>
        <w:t xml:space="preserve">目    录</w:t>
      </w:r>
      <w:r/>
    </w:p>
    <w:p>
      <w:pPr>
        <w:ind w:left="840" w:firstLine="420"/>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一、磋商公告</w:t>
      </w:r>
      <w:r/>
    </w:p>
    <w:p>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二、磋商须知</w:t>
      </w:r>
      <w:r/>
    </w:p>
    <w:p>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三、采购需求</w:t>
      </w:r>
      <w:r/>
    </w:p>
    <w:p>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四、评审方法及评分标准</w:t>
      </w:r>
      <w:r/>
    </w:p>
    <w:p>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五、合同主要条款及格式</w:t>
      </w:r>
      <w:r/>
    </w:p>
    <w:p>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六、磋商响应文件格式</w:t>
      </w:r>
      <w:r/>
    </w:p>
    <w:p>
      <w:pPr>
        <w:pStyle w:val="920"/>
        <w:jc w:val="both"/>
        <w:rPr>
          <w:rFonts w:hint="eastAsia" w:ascii="宋体" w:hAnsi="宋体" w:cs="宋体"/>
          <w:color w:val="auto"/>
          <w:sz w:val="44"/>
          <w:szCs w:val="44"/>
          <w:highlight w:val="none"/>
        </w:rPr>
        <w:outlineLvl w:val="9"/>
      </w:pPr>
      <w:r>
        <w:rPr>
          <w:rFonts w:hint="eastAsia" w:ascii="宋体" w:hAnsi="宋体" w:cs="宋体"/>
          <w:color w:val="auto"/>
          <w:sz w:val="44"/>
          <w:szCs w:val="44"/>
          <w:highlight w:val="none"/>
        </w:rPr>
      </w:r>
      <w:r/>
    </w:p>
    <w:p>
      <w:pPr>
        <w:pStyle w:val="920"/>
        <w:numPr>
          <w:ilvl w:val="0"/>
          <w:numId w:val="1"/>
        </w:numPr>
        <w:ind w:left="1157" w:hanging="1157"/>
        <w:pageBreakBefore/>
        <w:spacing w:line="360" w:lineRule="auto"/>
        <w:rPr>
          <w:rFonts w:hint="eastAsia" w:ascii="宋体" w:hAnsi="宋体" w:cs="宋体"/>
          <w:color w:val="auto"/>
          <w:sz w:val="44"/>
          <w:szCs w:val="44"/>
          <w:highlight w:val="none"/>
        </w:rPr>
      </w:pPr>
      <w:r/>
      <w:bookmarkStart w:id="0" w:name="_Toc50"/>
      <w:r>
        <w:rPr>
          <w:rFonts w:hint="eastAsia" w:ascii="宋体" w:hAnsi="宋体" w:cs="宋体"/>
          <w:color w:val="auto"/>
          <w:sz w:val="44"/>
          <w:szCs w:val="44"/>
          <w:highlight w:val="none"/>
        </w:rPr>
        <w:t xml:space="preserve">磋商</w:t>
      </w:r>
      <w:bookmarkEnd w:id="0"/>
      <w:r>
        <w:rPr>
          <w:rStyle w:val="924"/>
          <w:rFonts w:hint="eastAsia" w:ascii="宋体" w:hAnsi="宋体" w:cs="宋体"/>
          <w:b/>
          <w:color w:val="auto"/>
          <w:sz w:val="43"/>
          <w:szCs w:val="43"/>
          <w:highlight w:val="none"/>
        </w:rPr>
        <w:t xml:space="preserve">公告</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fill="ffffff"/>
        <w:widowControl/>
        <w:rPr>
          <w:rFonts w:hint="eastAsia" w:ascii="宋体" w:hAnsi="宋体" w:cs="宋体"/>
          <w:color w:val="auto"/>
          <w:szCs w:val="21"/>
          <w:highlight w:val="none"/>
        </w:rPr>
        <w:pBdr>
          <w:top w:val="single" w:color="auto" w:sz="8" w:space="1"/>
          <w:left w:val="single" w:color="auto" w:sz="8" w:space="4"/>
          <w:bottom w:val="single" w:color="auto" w:sz="8" w:space="1"/>
          <w:right w:val="single" w:color="auto" w:sz="8" w:space="4"/>
        </w:pBdr>
      </w:pPr>
      <w:r>
        <w:rPr>
          <w:rFonts w:hint="eastAsia" w:ascii="宋体" w:hAnsi="宋体" w:cs="宋体"/>
          <w:color w:val="auto"/>
          <w:szCs w:val="21"/>
          <w:highlight w:val="none"/>
          <w:shd w:val="clear" w:color="auto" w:fill="ffffff"/>
        </w:rPr>
        <w:t xml:space="preserve">项目概况</w:t>
      </w:r>
      <w:r/>
    </w:p>
    <w:p>
      <w:pPr>
        <w:ind w:firstLine="480"/>
        <w:jc w:val="left"/>
        <w:spacing w:line="360" w:lineRule="auto"/>
        <w:shd w:val="clear" w:color="auto" w:fill="ffffff"/>
        <w:widowControl/>
        <w:rPr>
          <w:rFonts w:hint="eastAsia" w:ascii="宋体" w:hAnsi="宋体" w:cs="宋体"/>
          <w:color w:val="auto"/>
          <w:szCs w:val="21"/>
          <w:highlight w:val="none"/>
        </w:rPr>
        <w:pBdr>
          <w:top w:val="single" w:color="auto" w:sz="8" w:space="1"/>
          <w:left w:val="single" w:color="auto" w:sz="8" w:space="4"/>
          <w:bottom w:val="single" w:color="auto" w:sz="8" w:space="1"/>
          <w:right w:val="single" w:color="auto" w:sz="8" w:space="4"/>
        </w:pBdr>
      </w:pPr>
      <w:r>
        <w:rPr>
          <w:rFonts w:hint="eastAsia" w:ascii="宋体" w:hAnsi="宋体" w:cs="宋体"/>
          <w:color w:val="auto"/>
          <w:highlight w:val="none"/>
          <w:u w:val="single"/>
        </w:rPr>
        <w:t xml:space="preserve">苏州市直升机综合应急应用服务</w:t>
      </w:r>
      <w:r>
        <w:rPr>
          <w:rFonts w:hint="eastAsia" w:ascii="宋体" w:hAnsi="宋体" w:cs="宋体"/>
          <w:color w:val="auto"/>
          <w:szCs w:val="21"/>
          <w:highlight w:val="none"/>
          <w:u w:val="single"/>
          <w:shd w:val="clear" w:color="auto" w:fill="ffffff"/>
        </w:rPr>
        <w:t xml:space="preserve">项目</w:t>
      </w:r>
      <w:r>
        <w:rPr>
          <w:rFonts w:hint="eastAsia" w:ascii="宋体" w:hAnsi="宋体" w:cs="宋体"/>
          <w:color w:val="auto"/>
          <w:szCs w:val="21"/>
          <w:highlight w:val="none"/>
          <w:shd w:val="clear" w:color="auto" w:fill="ffffff"/>
        </w:rPr>
        <w:t xml:space="preserve">的潜在供应商应在</w:t>
      </w:r>
      <w:r>
        <w:rPr>
          <w:rFonts w:hint="eastAsia" w:ascii="宋体" w:hAnsi="宋体" w:cs="宋体"/>
          <w:color w:val="auto"/>
          <w:szCs w:val="21"/>
          <w:highlight w:val="none"/>
          <w:u w:val="single"/>
          <w:shd w:val="clear" w:color="auto" w:fill="ffffff"/>
        </w:rPr>
        <w:t xml:space="preserve">苏采云系统</w:t>
      </w:r>
      <w:r>
        <w:rPr>
          <w:rFonts w:hint="eastAsia" w:ascii="宋体" w:hAnsi="宋体" w:cs="宋体"/>
          <w:color w:val="auto"/>
          <w:szCs w:val="21"/>
          <w:highlight w:val="none"/>
          <w:shd w:val="clear" w:color="auto" w:fill="ffffff"/>
        </w:rPr>
        <w:t xml:space="preserve">获取采购文件，并于</w:t>
      </w:r>
      <w:r>
        <w:rPr>
          <w:rFonts w:hint="eastAsia" w:ascii="宋体" w:hAnsi="宋体" w:cs="宋体"/>
          <w:color w:val="auto"/>
          <w:szCs w:val="21"/>
          <w:highlight w:val="none"/>
          <w:u w:val="single"/>
          <w:shd w:val="clear" w:color="auto" w:fill="ffffff"/>
        </w:rPr>
        <w:t xml:space="preserve">2026年6月xx日13：30</w:t>
      </w:r>
      <w:r>
        <w:rPr>
          <w:rFonts w:hint="eastAsia" w:ascii="宋体" w:hAnsi="宋体" w:cs="宋体"/>
          <w:color w:val="auto"/>
          <w:szCs w:val="21"/>
          <w:highlight w:val="none"/>
          <w:shd w:val="clear" w:color="auto" w:fill="ffffff"/>
        </w:rPr>
        <w:t xml:space="preserve">（北京时间）前提交响应文件。</w:t>
      </w:r>
      <w:r/>
    </w:p>
    <w:p>
      <w:pPr>
        <w:ind w:left="0" w:right="0" w:firstLine="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一、采购项目概况</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1.磋商编号：JSZC-320500-SZSC-C2026-0008</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2.采购内容：苏州市直升机综合应急应用服务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3.采购预算：人民币叁佰柒拾伍万玖仟元整（¥：3759000.00元）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4.服务期限：一年（具体时间以甲方要求）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w:t>
      </w:r>
      <w:r>
        <w:rPr>
          <w:rFonts w:ascii="SimSun" w:hAnsi="SimSun" w:eastAsia="SimSun" w:cs="SimSun"/>
          <w:color w:val="000000"/>
          <w:sz w:val="21"/>
          <w:highlight w:val="white"/>
        </w:rPr>
        <w:t xml:space="preserve">苏州市应急管理局关于苏州市直升机综合应急应用服务（详见采购文件内容）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6.服务地点：苏州市行政区范围内，必要时根据采购人指令执行跨地区任务（甲方指定地点）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7.本项目接受联合体投标。</w:t>
      </w:r>
      <w:r/>
    </w:p>
    <w:p>
      <w:pPr>
        <w:ind w:left="0" w:right="0" w:firstLine="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二、磋商响应单位基本资格条件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（3）具有履行合同所必须的设备和专业技术能力；</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（5）参加采购活动前三年内，在经营活动中没有重大违法记录；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w:t>
      </w:r>
      <w:r>
        <w:rPr>
          <w:rFonts w:ascii="SimSun" w:hAnsi="SimSun" w:eastAsia="SimSun" w:cs="SimSun"/>
          <w:b/>
          <w:color w:val="000000"/>
          <w:sz w:val="21"/>
        </w:rPr>
        <w:t xml:space="preserve">本项目专门面向中小企业采购</w:t>
      </w:r>
      <w:r>
        <w:rPr>
          <w:rFonts w:ascii="SimSun" w:hAnsi="SimSun" w:eastAsia="SimSun" w:cs="SimSun"/>
          <w:color w:val="000000"/>
          <w:sz w:val="21"/>
        </w:rPr>
        <w:t xml:space="preserve">，所属行业为：交通运输业</w:t>
      </w:r>
      <w:r>
        <w:rPr>
          <w:rFonts w:ascii="SimSun" w:hAnsi="SimSun" w:eastAsia="SimSun" w:cs="SimSun"/>
          <w:b/>
          <w:color w:val="000000"/>
          <w:sz w:val="21"/>
        </w:rPr>
        <w:t xml:space="preserve">。</w:t>
      </w:r>
      <w:r>
        <w:rPr>
          <w:rFonts w:ascii="SimSun" w:hAnsi="SimSun" w:eastAsia="SimSun" w:cs="SimSun"/>
          <w:color w:val="000000"/>
          <w:sz w:val="21"/>
        </w:rPr>
        <w:t xml:space="preserve">供应商应为中小企业或监狱企业或残疾人福利性单位（三种企业类型满足其中一种即可）。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（1）依法注册的通用航空企业，具备有效的通用航空经营许可证；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（2）具备中国民用航空管理部门颁发的运行合格证，运行规范中包含直升机外载荷作业项目；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（3）投标机型具备有效的三证(中华人民共和国无线电台执照，航空器适航证，中华人民共和国民用航空器国籍登记证书)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（4）无重大安全责任事故,未被“信用中国”网站或“中国政府采购网”网站列入失信被执行人、重大税收违法案件当事人名单、政府采购严重失信行为记录名单；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（5）配备满足本项目要求的飞行员、机务等专业人员；</w:t>
      </w:r>
      <w:r/>
    </w:p>
    <w:p>
      <w:pPr>
        <w:ind w:left="0" w:right="0" w:firstLine="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三、报名及获取采购文件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1.时间：自招标公告发布之日起至2026年6月26日；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姑苏区平泷路251号政府服务中心4楼交易中心窗口，窗口电话：0512―69820834）</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在系统操作过程中如有疑问，请按以下方式联系：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注册咨询：18261002950；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CA技术咨询电话：400-608-6099；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签章使用问题：025-83633811、025-83633812、15380932027、15371015030；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系统使用指导与咨询：联系电话：18261002950；QQ：3048755361、1315179389、895706745。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四、提交响应文件截止时间、磋商时间和地点（上传）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截止时间：2026年7月2日13:30时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地点：“苏采云”政府采购交易系统网上开标大厅（网址：http://jszfcg.jsczt.cn/），响应文件网上递交，不需要现场参加采购活动。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评审地点：苏州市高新区邓尉路105号狮山科技馆8楼，苏州市公共资源交易中心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五、提交电子响应文件截止时间、开标时间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1.提交响应文件截止时间：2026年7月2日13:30（北京时间）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2.开标时间：2026年7月2日13:30（北京时间）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3.开标解密：苏采云政府采购一体化平台开标大厅（网上不见面开标）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1"/>
        </w:rPr>
        <w:t xml:space="preserve">本项目为不见面开标项目，开启阶段供应商在【供应商解密】环节必须使用CA证书解密电子响应文件，如在系统规定的解密时间内未能完成解密的视为放弃参与本项目。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请供应商确保电脑、系统及其他设备（视频输入输出设备等）无误，且开启直至项目结束始终保持系统在线状态。</w:t>
      </w:r>
      <w:r/>
    </w:p>
    <w:p>
      <w:pPr>
        <w:ind w:left="0" w:right="0" w:firstLine="0"/>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0"/>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1.政府采购监督电话：0512-68616651</w:t>
      </w:r>
      <w:r/>
    </w:p>
    <w:p>
      <w:pPr>
        <w:ind w:left="0" w:right="0" w:firstLine="420"/>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2.本次采购的有关信息将在以下网站上发布：江苏政府采购网；苏州政府采购网。</w:t>
      </w:r>
      <w:r/>
    </w:p>
    <w:p>
      <w:pPr>
        <w:ind w:left="0" w:right="0" w:firstLine="420"/>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3.有关该采购项目的澄清、修正及中标（成交）等信息亦在以上网站发布，请随时关注。</w:t>
      </w:r>
      <w:r/>
    </w:p>
    <w:p>
      <w:pPr>
        <w:ind w:left="0" w:right="0" w:firstLine="0"/>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名称：苏州市应急管理局</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地址：苏州市姑苏区虎丘路88号</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联系人:葛菲</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电话：0512-66096030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名称：苏州市诚源招投标代理有限公司</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地址：苏州市金门路1072号苏州金门国际商业广场A幢6楼C区(11/12号电梯直达）</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联系人：金兰浦沁杨莹</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电话：0512-69228578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项目联系人：金兰浦沁杨莹</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电话：0512-69228578</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苏州市诚源招投标代理有限公司</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2026年6月17日</w:t>
        <w:br w:type="page" w:clear="all"/>
      </w:r>
      <w:r>
        <w:rPr>
          <w:sz w:val="21"/>
        </w:rPr>
      </w:r>
      <w:r/>
    </w:p>
    <w:p>
      <w:pPr>
        <w:pStyle w:val="920"/>
        <w:numPr>
          <w:ilvl w:val="0"/>
          <w:numId w:val="1"/>
        </w:numPr>
        <w:spacing w:line="360" w:lineRule="auto"/>
        <w:rPr>
          <w:rFonts w:hint="eastAsia" w:ascii="宋体" w:hAnsi="宋体" w:cs="宋体"/>
          <w:color w:val="auto"/>
          <w:sz w:val="44"/>
          <w:szCs w:val="44"/>
          <w:highlight w:val="none"/>
        </w:rPr>
      </w:pPr>
      <w:r>
        <w:rPr>
          <w:rStyle w:val="924"/>
          <w:rFonts w:hint="eastAsia" w:ascii="宋体" w:hAnsi="宋体" w:cs="宋体"/>
          <w:b/>
          <w:color w:val="auto"/>
          <w:sz w:val="43"/>
          <w:szCs w:val="43"/>
          <w:highlight w:val="none"/>
        </w:rPr>
        <w:t xml:space="preserve">磋商须知</w:t>
      </w:r>
      <w:r/>
    </w:p>
    <w:p>
      <w:pPr>
        <w:spacing w:line="360" w:lineRule="auto"/>
        <w:tabs>
          <w:tab w:val="left" w:pos="851" w:leader="none"/>
        </w:tabs>
        <w:rPr>
          <w:rFonts w:hint="eastAsia" w:ascii="宋体" w:hAnsi="宋体"/>
          <w:b/>
          <w:bCs/>
          <w:color w:val="auto"/>
          <w:szCs w:val="21"/>
          <w:highlight w:val="none"/>
        </w:rPr>
        <w:outlineLvl w:val="1"/>
      </w:pPr>
      <w:r>
        <w:rPr>
          <w:rFonts w:hint="eastAsia" w:ascii="宋体" w:hAnsi="宋体"/>
          <w:b/>
          <w:bCs/>
          <w:color w:val="auto"/>
          <w:szCs w:val="21"/>
          <w:highlight w:val="none"/>
        </w:rPr>
        <w:t xml:space="preserve">1.总则</w:t>
      </w:r>
      <w:r/>
    </w:p>
    <w:p>
      <w:pPr>
        <w:spacing w:line="360" w:lineRule="auto"/>
        <w:tabs>
          <w:tab w:val="left" w:pos="851" w:leader="none"/>
        </w:tabs>
        <w:rPr>
          <w:rFonts w:hint="eastAsia" w:ascii="宋体" w:hAnsi="宋体"/>
          <w:color w:val="auto"/>
          <w:szCs w:val="21"/>
          <w:highlight w:val="none"/>
        </w:rPr>
        <w:outlineLvl w:val="1"/>
      </w:pPr>
      <w:r>
        <w:rPr>
          <w:rFonts w:hint="eastAsia" w:ascii="宋体" w:hAnsi="宋体"/>
          <w:color w:val="auto"/>
          <w:szCs w:val="21"/>
          <w:highlight w:val="none"/>
        </w:rPr>
        <w:t xml:space="preserve">1.1采购方式及定义</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本次采购采用竞争性磋商方式（以下简称磋商），本竞争性磋商文件仅适用于竞争性磋商公告中所述项目。</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采购人指本项目的需求方</w:t>
      </w:r>
      <w:r>
        <w:rPr>
          <w:rFonts w:hint="eastAsia" w:asciiTheme="minorEastAsia" w:hAnsiTheme="minorEastAsia" w:eastAsiaTheme="minorEastAsia" w:cstheme="minorEastAsia"/>
          <w:color w:val="auto"/>
          <w:szCs w:val="21"/>
          <w:highlight w:val="none"/>
        </w:rPr>
        <w:t xml:space="preserve">苏州市应急管理局</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采购代理机构指负责组织本次竞争性磋商的苏州市诚源招投标代理有限公司。</w:t>
      </w:r>
      <w:r/>
    </w:p>
    <w:p>
      <w:pPr>
        <w:spacing w:line="360" w:lineRule="auto"/>
        <w:tabs>
          <w:tab w:val="left" w:pos="851" w:leader="none"/>
        </w:tabs>
        <w:rPr>
          <w:rFonts w:hint="eastAsia" w:ascii="宋体" w:hAnsi="宋体"/>
          <w:color w:val="auto"/>
          <w:szCs w:val="21"/>
          <w:highlight w:val="none"/>
        </w:rPr>
        <w:outlineLvl w:val="1"/>
      </w:pPr>
      <w:r>
        <w:rPr>
          <w:rFonts w:hint="eastAsia" w:ascii="宋体" w:hAnsi="宋体"/>
          <w:color w:val="auto"/>
          <w:szCs w:val="21"/>
          <w:highlight w:val="none"/>
        </w:rPr>
        <w:t xml:space="preserve">1.2合格的供应商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1.2.1满足竞争性磋商公告中供应商的资格条件的规定。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1.2.2满足本文件实质性条款的规定。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1.3适用法律：本次竞争性磋商及由此产生的合同受中华人民共和国有关的法律法规制约和保护</w:t>
      </w:r>
      <w:r>
        <w:rPr>
          <w:rFonts w:ascii="宋体" w:hAnsi="宋体" w:cs="宋体"/>
          <w:color w:val="auto"/>
          <w:szCs w:val="21"/>
          <w:highlight w:val="none"/>
        </w:rPr>
        <w:t xml:space="preserve">。</w:t>
      </w:r>
      <w:r/>
    </w:p>
    <w:p>
      <w:pPr>
        <w:spacing w:line="360" w:lineRule="auto"/>
        <w:tabs>
          <w:tab w:val="left" w:pos="851" w:leader="none"/>
        </w:tabs>
        <w:rPr>
          <w:rFonts w:hint="eastAsia" w:ascii="宋体" w:hAnsi="宋体"/>
          <w:color w:val="auto"/>
          <w:szCs w:val="21"/>
          <w:highlight w:val="none"/>
        </w:rPr>
        <w:outlineLvl w:val="1"/>
      </w:pPr>
      <w:r>
        <w:rPr>
          <w:rFonts w:hint="eastAsia" w:ascii="宋体" w:hAnsi="宋体"/>
          <w:color w:val="auto"/>
          <w:szCs w:val="21"/>
          <w:highlight w:val="none"/>
        </w:rPr>
        <w:t xml:space="preserve">1.4磋商费用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1.4.1供应商应自行承担所有与参加磋商有关的费用，无论磋商过程中的做法和结果如何，采购代理机构在任何情况下均无义务和责任承担这些费用。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1.4.2本次竞争性磋商采购代理机构按前附表规定收取成交服务费。</w:t>
      </w:r>
      <w:r/>
    </w:p>
    <w:p>
      <w:pPr>
        <w:spacing w:line="360" w:lineRule="auto"/>
        <w:tabs>
          <w:tab w:val="left" w:pos="851" w:leader="none"/>
        </w:tabs>
        <w:rPr>
          <w:rFonts w:hint="eastAsia" w:ascii="宋体" w:hAnsi="宋体"/>
          <w:color w:val="auto"/>
          <w:szCs w:val="21"/>
          <w:highlight w:val="none"/>
        </w:rPr>
        <w:outlineLvl w:val="1"/>
      </w:pPr>
      <w:r>
        <w:rPr>
          <w:rFonts w:hint="eastAsia" w:ascii="宋体" w:hAnsi="宋体"/>
          <w:color w:val="auto"/>
          <w:szCs w:val="21"/>
          <w:highlight w:val="none"/>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hint="eastAsia" w:ascii="宋体" w:hAnsi="宋体"/>
          <w:b/>
          <w:bCs/>
          <w:color w:val="auto"/>
          <w:szCs w:val="21"/>
          <w:highlight w:val="none"/>
        </w:rPr>
        <w:outlineLvl w:val="1"/>
      </w:pPr>
      <w:r>
        <w:rPr>
          <w:rFonts w:hint="eastAsia" w:ascii="宋体" w:hAnsi="宋体"/>
          <w:b/>
          <w:bCs/>
          <w:color w:val="auto"/>
          <w:szCs w:val="21"/>
          <w:highlight w:val="none"/>
        </w:rPr>
        <w:t xml:space="preserve">2.竞争性磋商文件</w:t>
      </w:r>
      <w:r/>
    </w:p>
    <w:p>
      <w:pPr>
        <w:spacing w:line="360" w:lineRule="auto"/>
        <w:tabs>
          <w:tab w:val="left" w:pos="851" w:leader="none"/>
        </w:tabs>
        <w:rPr>
          <w:rFonts w:hint="eastAsia" w:ascii="宋体" w:hAnsi="宋体"/>
          <w:color w:val="auto"/>
          <w:szCs w:val="21"/>
          <w:highlight w:val="none"/>
        </w:rPr>
        <w:outlineLvl w:val="1"/>
      </w:pPr>
      <w:r>
        <w:rPr>
          <w:rFonts w:hint="eastAsia" w:ascii="宋体" w:hAnsi="宋体"/>
          <w:color w:val="auto"/>
          <w:szCs w:val="21"/>
          <w:highlight w:val="none"/>
        </w:rPr>
        <w:t xml:space="preserve">2.1竞争性磋商文件的澄清及修改</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对于补充通知（包括更正公告），报名成功的供应商通过“苏州市政府采购网”的“采购公告”自行查看所报项目的补充通知（包括更正公告）。补充通知（包括更正公告）将作为竞争性磋商文件的组成部分，对所有响应单位有约束力。</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2.1.3采购文件的澄清、修改、补充等内容均以苏州市政府采购网上发布的内容为准。</w:t>
      </w:r>
      <w:r/>
    </w:p>
    <w:p>
      <w:pPr>
        <w:spacing w:line="360" w:lineRule="auto"/>
        <w:tabs>
          <w:tab w:val="left" w:pos="851" w:leader="none"/>
        </w:tabs>
        <w:rPr>
          <w:rFonts w:hint="eastAsia" w:ascii="宋体" w:hAnsi="宋体"/>
          <w:b/>
          <w:bCs/>
          <w:color w:val="auto"/>
          <w:szCs w:val="21"/>
          <w:highlight w:val="none"/>
        </w:rPr>
        <w:outlineLvl w:val="1"/>
      </w:pPr>
      <w:r>
        <w:rPr>
          <w:rFonts w:hint="eastAsia" w:ascii="宋体" w:hAnsi="宋体"/>
          <w:b/>
          <w:bCs/>
          <w:color w:val="auto"/>
          <w:szCs w:val="21"/>
          <w:highlight w:val="none"/>
        </w:rPr>
        <w:t xml:space="preserve">2.2响应文件的提交及编制</w:t>
      </w:r>
      <w:r/>
    </w:p>
    <w:p>
      <w:pP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2.2.1电子响应文件要求</w:t>
      </w:r>
      <w:r/>
    </w:p>
    <w:p>
      <w:pPr>
        <w:spacing w:line="360" w:lineRule="auto"/>
        <w:tabs>
          <w:tab w:val="left" w:pos="851" w:leader="none"/>
        </w:tabs>
        <w:rPr>
          <w:rFonts w:hint="eastAsia" w:ascii="宋体" w:hAnsi="宋体"/>
          <w:color w:val="auto"/>
          <w:szCs w:val="21"/>
          <w:highlight w:val="none"/>
        </w:rPr>
        <w:outlineLvl w:val="1"/>
      </w:pPr>
      <w:r>
        <w:rPr>
          <w:rFonts w:hint="eastAsia" w:ascii="宋体" w:hAnsi="宋体"/>
          <w:color w:val="auto"/>
          <w:szCs w:val="21"/>
          <w:highlight w:val="none"/>
        </w:rPr>
        <w:t xml:space="preserve">2.2.1.1</w:t>
      </w:r>
      <w:r>
        <w:rPr>
          <w:rFonts w:hint="eastAsia" w:ascii="宋体" w:hAnsi="宋体" w:cs="宋体"/>
          <w:color w:val="auto"/>
          <w:szCs w:val="21"/>
          <w:highlight w:val="none"/>
        </w:rPr>
        <w:t xml:space="preserve">本项目采用电子招投标方式，</w:t>
      </w:r>
      <w:r>
        <w:rPr>
          <w:rFonts w:hint="eastAsia" w:ascii="宋体" w:hAnsi="宋体"/>
          <w:color w:val="auto"/>
          <w:szCs w:val="21"/>
          <w:highlight w:val="none"/>
        </w:rPr>
        <w:t xml:space="preserve">请</w:t>
      </w:r>
      <w:r>
        <w:rPr>
          <w:rFonts w:hint="eastAsia" w:ascii="宋体" w:hAnsi="宋体" w:cs="宋体"/>
          <w:color w:val="auto"/>
          <w:szCs w:val="21"/>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966"/>
          <w:rFonts w:hint="eastAsia" w:ascii="宋体" w:hAnsi="宋体" w:cs="宋体"/>
          <w:color w:val="auto"/>
          <w:szCs w:val="21"/>
          <w:highlight w:val="none"/>
        </w:rPr>
        <w:t xml:space="preserve">https://czju.suzhou.gov.cn/zfcg/html/content/20231220161910031.shtml</w:t>
      </w:r>
      <w:r>
        <w:rPr>
          <w:rStyle w:val="966"/>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）。请供应商按照《苏采云系统供应商操作手册》、采购文件要求进行制作、上传电子响应文件，响应单位无需提供纸质响应文件。</w:t>
      </w:r>
      <w:r>
        <w:rPr>
          <w:rFonts w:hint="eastAsia" w:ascii="宋体" w:hAnsi="宋体"/>
          <w:b/>
          <w:color w:val="auto"/>
          <w:szCs w:val="21"/>
          <w:highlight w:val="none"/>
        </w:rPr>
        <w:t xml:space="preserve">电子响应文件制作完成后请</w:t>
      </w:r>
      <w:r>
        <w:rPr>
          <w:rFonts w:hint="eastAsia" w:ascii="宋体" w:hAnsi="宋体" w:cs="宋体"/>
          <w:b/>
          <w:color w:val="auto"/>
          <w:szCs w:val="21"/>
          <w:highlight w:val="none"/>
        </w:rPr>
        <w:t xml:space="preserve">在截止时间前完成提交（上传）</w:t>
      </w:r>
      <w:r>
        <w:rPr>
          <w:rFonts w:hint="eastAsia" w:ascii="宋体" w:hAnsi="宋体"/>
          <w:b/>
          <w:color w:val="auto"/>
          <w:szCs w:val="21"/>
          <w:highlight w:val="none"/>
        </w:rPr>
        <w:t xml:space="preserve">，否则视为放弃参加该采购项目。</w:t>
      </w:r>
      <w:r>
        <w:rPr>
          <w:rFonts w:hint="eastAsia" w:ascii="宋体" w:hAnsi="宋体"/>
          <w:color w:val="auto"/>
          <w:szCs w:val="21"/>
          <w:highlight w:val="none"/>
        </w:rPr>
        <w:t xml:space="preserve">供应商应充分考虑到网络环境、网络带宽等风险因素，如因供应商自身原因造成的电子响应文件上传不成功由供应商自行承担全部责任。</w:t>
      </w:r>
      <w:r/>
    </w:p>
    <w:p>
      <w:pPr>
        <w:spacing w:line="360" w:lineRule="auto"/>
        <w:tabs>
          <w:tab w:val="left" w:pos="851" w:leader="none"/>
        </w:tabs>
        <w:rPr>
          <w:rFonts w:hint="eastAsia" w:ascii="宋体" w:hAnsi="宋体"/>
          <w:color w:val="auto"/>
          <w:szCs w:val="21"/>
          <w:highlight w:val="none"/>
        </w:rPr>
        <w:outlineLvl w:val="1"/>
      </w:pPr>
      <w:r>
        <w:rPr>
          <w:rFonts w:hint="eastAsia" w:ascii="宋体" w:hAnsi="宋体"/>
          <w:color w:val="auto"/>
          <w:szCs w:val="21"/>
          <w:highlight w:val="none"/>
        </w:rPr>
        <w:t xml:space="preserve">2.2.1.2电子响应文件材料中要求加盖公章的必须加盖响应单位电子公章。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3</w:t>
      </w:r>
      <w:r>
        <w:rPr>
          <w:rFonts w:hint="eastAsia" w:ascii="宋体" w:hAnsi="宋体" w:cs="宋体"/>
          <w:color w:val="auto"/>
          <w:szCs w:val="21"/>
          <w:highlight w:val="none"/>
        </w:rPr>
        <w:t xml:space="preserve">供应商应当在磋商文件要求的截止时间前，</w:t>
      </w:r>
      <w:r>
        <w:rPr>
          <w:rFonts w:hint="eastAsia" w:ascii="宋体" w:hAnsi="宋体" w:cs="宋体"/>
          <w:b/>
          <w:color w:val="auto"/>
          <w:szCs w:val="21"/>
          <w:highlight w:val="none"/>
        </w:rPr>
        <w:t xml:space="preserve">将响应文件上传苏釆云系统</w:t>
      </w:r>
      <w:r>
        <w:rPr>
          <w:rFonts w:hint="eastAsia" w:ascii="宋体" w:hAnsi="宋体"/>
          <w:b/>
          <w:color w:val="auto"/>
          <w:szCs w:val="21"/>
          <w:highlight w:val="none"/>
        </w:rPr>
        <w:t xml:space="preserve">，否则视为放弃参加该采购项目。</w:t>
      </w:r>
      <w:r>
        <w:rPr>
          <w:rFonts w:hint="eastAsia" w:ascii="宋体" w:hAnsi="宋体" w:cs="宋体"/>
          <w:color w:val="auto"/>
          <w:szCs w:val="21"/>
          <w:highlight w:val="none"/>
        </w:rPr>
        <w:t xml:space="preserve">供应商在提交响应文件截止时间前，可以对所提交的响应文件进行补充、修改或者撤回，并书面通知采购代理机构。补充、修改的内容作为响应文件的组成部分，必须与电子响应文件保持一致。</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4</w:t>
      </w:r>
      <w:r>
        <w:rPr>
          <w:rFonts w:hint="eastAsia" w:ascii="宋体" w:hAnsi="宋体" w:cs="宋体"/>
          <w:color w:val="auto"/>
          <w:szCs w:val="21"/>
          <w:highlight w:val="none"/>
        </w:rPr>
        <w:t xml:space="preserve">供应商应当按照磋商文件的要求编制响应文件，并对其提交的响应文件的真实性、合法性承担法律责任。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ascii="宋体" w:hAnsi="宋体" w:cs="宋体"/>
          <w:color w:val="auto"/>
          <w:szCs w:val="21"/>
          <w:highlight w:val="none"/>
        </w:rPr>
        <w:t xml:space="preserve">2</w:t>
      </w:r>
      <w:r>
        <w:rPr>
          <w:rFonts w:hint="eastAsia" w:ascii="宋体" w:hAnsi="宋体" w:cs="宋体"/>
          <w:color w:val="auto"/>
          <w:szCs w:val="21"/>
          <w:highlight w:val="none"/>
        </w:rPr>
        <w:t xml:space="preserve">响应文件的语言及度量衡单位。</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ascii="宋体" w:hAnsi="宋体" w:cs="宋体"/>
          <w:color w:val="auto"/>
          <w:szCs w:val="21"/>
          <w:highlight w:val="none"/>
        </w:rPr>
        <w:t xml:space="preserve">2</w:t>
      </w:r>
      <w:r>
        <w:rPr>
          <w:rFonts w:hint="eastAsia" w:ascii="宋体" w:hAnsi="宋体" w:cs="宋体"/>
          <w:color w:val="auto"/>
          <w:szCs w:val="21"/>
          <w:highlight w:val="none"/>
        </w:rPr>
        <w:t xml:space="preserve">.1供应商提交的响应文件以及供应商与采购代理机构就有关磋商的所有来往通知、函件和文件均应使用</w:t>
      </w:r>
      <w:r>
        <w:rPr>
          <w:rFonts w:hint="eastAsia" w:ascii="宋体" w:hAnsi="宋体" w:cs="宋体"/>
          <w:bCs/>
          <w:color w:val="auto"/>
          <w:szCs w:val="21"/>
          <w:highlight w:val="none"/>
        </w:rPr>
        <w:t xml:space="preserve">简体中文</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ascii="宋体" w:hAnsi="宋体" w:cs="宋体"/>
          <w:color w:val="auto"/>
          <w:szCs w:val="21"/>
          <w:highlight w:val="none"/>
        </w:rPr>
        <w:t xml:space="preserve">2</w:t>
      </w:r>
      <w:r>
        <w:rPr>
          <w:rFonts w:hint="eastAsia" w:ascii="宋体" w:hAnsi="宋体" w:cs="宋体"/>
          <w:color w:val="auto"/>
          <w:szCs w:val="21"/>
          <w:highlight w:val="none"/>
        </w:rPr>
        <w:t xml:space="preserve">.2除技术性能另有规定外，响应文件所使用的度量衡单位，均须采用国家法定计量单位。</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2.3响应文件的组成【所提交资料包含但不限于下列内容；排序按照苏釆云系统顺序】</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2.3.1响应文件（报价部分）：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w:t>
      </w:r>
      <w:r>
        <w:rPr>
          <w:rFonts w:ascii="宋体" w:hAnsi="宋体" w:cs="宋体"/>
          <w:color w:val="auto"/>
          <w:szCs w:val="21"/>
          <w:highlight w:val="none"/>
        </w:rPr>
        <w:t xml:space="preserve">1.1</w:t>
      </w:r>
      <w:r>
        <w:rPr>
          <w:rFonts w:hint="eastAsia" w:ascii="宋体" w:hAnsi="宋体" w:cs="宋体"/>
          <w:color w:val="auto"/>
          <w:szCs w:val="21"/>
          <w:highlight w:val="none"/>
        </w:rPr>
        <w:t xml:space="preserve">封面；</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2.3.1.2磋商响应函；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rPr>
        <w:t xml:space="preserve">3</w:t>
      </w:r>
      <w:r>
        <w:rPr>
          <w:rFonts w:ascii="宋体" w:hAnsi="宋体" w:cs="宋体"/>
          <w:color w:val="auto"/>
          <w:szCs w:val="21"/>
          <w:highlight w:val="none"/>
        </w:rPr>
        <w:t xml:space="preserve">.1.</w:t>
      </w:r>
      <w:r>
        <w:rPr>
          <w:rFonts w:hint="eastAsia" w:ascii="宋体" w:hAnsi="宋体" w:cs="宋体"/>
          <w:color w:val="auto"/>
          <w:szCs w:val="21"/>
          <w:highlight w:val="none"/>
        </w:rPr>
        <w:t xml:space="preserve">4投标人《营业执照》副本复印件；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rPr>
        <w:t xml:space="preserve">3</w:t>
      </w:r>
      <w:r>
        <w:rPr>
          <w:rFonts w:ascii="宋体" w:hAnsi="宋体" w:cs="宋体"/>
          <w:color w:val="auto"/>
          <w:szCs w:val="21"/>
          <w:highlight w:val="none"/>
        </w:rPr>
        <w:t xml:space="preserve">.1.</w:t>
      </w:r>
      <w:r>
        <w:rPr>
          <w:rFonts w:hint="eastAsia" w:ascii="宋体" w:hAnsi="宋体" w:cs="宋体"/>
          <w:color w:val="auto"/>
          <w:szCs w:val="21"/>
          <w:highlight w:val="none"/>
        </w:rPr>
        <w:t xml:space="preserve">5响应单位法定代表人身份证复印件；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2.3.1.6响应单位法定代表人授权委托书及代理人身份证复印件（如有授权）</w:t>
      </w:r>
      <w:r>
        <w:rPr>
          <w:rFonts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2.3.1.7磋商响应单位情况表；</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2.3.</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响应文件（资格及技术部分）：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w:t>
      </w:r>
      <w:r>
        <w:rPr>
          <w:rFonts w:ascii="宋体" w:hAnsi="宋体" w:cs="宋体"/>
          <w:color w:val="auto"/>
          <w:szCs w:val="21"/>
          <w:highlight w:val="none"/>
        </w:rPr>
        <w:t xml:space="preserve">.</w:t>
      </w:r>
      <w:r>
        <w:rPr>
          <w:rFonts w:hint="eastAsia" w:ascii="宋体" w:hAnsi="宋体" w:cs="宋体"/>
          <w:color w:val="auto"/>
          <w:szCs w:val="21"/>
          <w:highlight w:val="none"/>
        </w:rPr>
        <w:t xml:space="preserve">1供应商关于资格的声明函；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2.3.2.2具有独立承担民事责任的能力（包括法人或者其他组织的营业执照等证明文件，自然人的身份证明）；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w:t>
      </w:r>
      <w:r>
        <w:rPr>
          <w:rFonts w:ascii="宋体" w:hAnsi="宋体" w:cs="宋体"/>
          <w:color w:val="auto"/>
          <w:szCs w:val="21"/>
          <w:highlight w:val="none"/>
        </w:rPr>
        <w:t xml:space="preserve">.</w:t>
      </w:r>
      <w:r>
        <w:rPr>
          <w:rFonts w:hint="eastAsia" w:ascii="宋体" w:hAnsi="宋体" w:cs="宋体"/>
          <w:color w:val="auto"/>
          <w:szCs w:val="21"/>
          <w:highlight w:val="none"/>
        </w:rPr>
        <w:t xml:space="preserve">3具有良好的商业信誉和健全的财务会计制度（法人应提供最近一期财务报表或2</w:t>
      </w:r>
      <w:r>
        <w:rPr>
          <w:rFonts w:ascii="宋体" w:hAnsi="宋体" w:cs="宋体"/>
          <w:color w:val="auto"/>
          <w:szCs w:val="21"/>
          <w:highlight w:val="none"/>
        </w:rPr>
        <w:t xml:space="preserve">02</w:t>
      </w:r>
      <w:r>
        <w:rPr>
          <w:rFonts w:hint="eastAsia" w:ascii="宋体" w:hAnsi="宋体" w:cs="宋体"/>
          <w:color w:val="auto"/>
          <w:szCs w:val="21"/>
          <w:highlight w:val="none"/>
        </w:rPr>
        <w:t xml:space="preserve">5年度经会计师事务所审计的财务报告，其他组织、自然人及成立未满一年的法人应提供银行出具的资信证明）；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2.3.2.5具备履行合同所必需的设备和专业技术能力的证明材料；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2.3.2.6参加政府采购活动前三年内，在经营活动中没有重大违法记录的书面声明；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2.3.2.7</w:t>
      </w:r>
      <w:r>
        <w:rPr>
          <w:rFonts w:hint="eastAsia" w:ascii="宋体" w:hAnsi="宋体" w:cs="宋体"/>
          <w:b/>
          <w:bCs/>
          <w:color w:val="auto"/>
          <w:szCs w:val="21"/>
          <w:highlight w:val="none"/>
        </w:rPr>
        <w:t xml:space="preserve">《中小企业声明函》、《残疾人福利性单位声明函》及其附件资料（如属于）</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w:t>
      </w:r>
      <w:r>
        <w:rPr>
          <w:rFonts w:ascii="宋体" w:hAnsi="宋体" w:cs="宋体"/>
          <w:color w:val="auto"/>
          <w:szCs w:val="21"/>
          <w:highlight w:val="none"/>
        </w:rPr>
        <w:t xml:space="preserve">.</w:t>
      </w:r>
      <w:r>
        <w:rPr>
          <w:rFonts w:hint="eastAsia" w:ascii="宋体" w:hAnsi="宋体" w:cs="宋体"/>
          <w:color w:val="auto"/>
          <w:szCs w:val="21"/>
          <w:highlight w:val="none"/>
        </w:rPr>
        <w:t xml:space="preserve">8详细的服务管理方案；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w:t>
      </w:r>
      <w:r>
        <w:rPr>
          <w:rFonts w:ascii="宋体" w:hAnsi="宋体" w:cs="宋体"/>
          <w:color w:val="auto"/>
          <w:szCs w:val="21"/>
          <w:highlight w:val="none"/>
        </w:rPr>
        <w:t xml:space="preserve">.</w:t>
      </w:r>
      <w:r>
        <w:rPr>
          <w:rFonts w:hint="eastAsia" w:ascii="宋体" w:hAnsi="宋体" w:cs="宋体"/>
          <w:color w:val="auto"/>
          <w:szCs w:val="21"/>
          <w:highlight w:val="none"/>
        </w:rPr>
        <w:t xml:space="preserve">9《企业投入本项目主要设备一览表》；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w:t>
      </w:r>
      <w:r>
        <w:rPr>
          <w:rFonts w:ascii="宋体" w:hAnsi="宋体" w:cs="宋体"/>
          <w:color w:val="auto"/>
          <w:szCs w:val="21"/>
          <w:highlight w:val="none"/>
        </w:rPr>
        <w:t xml:space="preserve">.1</w:t>
      </w:r>
      <w:r>
        <w:rPr>
          <w:rFonts w:hint="eastAsia" w:ascii="宋体" w:hAnsi="宋体" w:cs="宋体"/>
          <w:color w:val="auto"/>
          <w:szCs w:val="21"/>
          <w:highlight w:val="none"/>
        </w:rPr>
        <w:t xml:space="preserve">0服务管理工作标准；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w:t>
      </w:r>
      <w:r>
        <w:rPr>
          <w:rFonts w:ascii="宋体" w:hAnsi="宋体" w:cs="宋体"/>
          <w:color w:val="auto"/>
          <w:szCs w:val="21"/>
          <w:highlight w:val="none"/>
        </w:rPr>
        <w:t xml:space="preserve">.1</w:t>
      </w:r>
      <w:r>
        <w:rPr>
          <w:rFonts w:hint="eastAsia" w:ascii="宋体" w:hAnsi="宋体" w:cs="宋体"/>
          <w:color w:val="auto"/>
          <w:szCs w:val="21"/>
          <w:highlight w:val="none"/>
        </w:rPr>
        <w:t xml:space="preserve">1服务保障承诺书。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w:t>
      </w:r>
      <w:r>
        <w:rPr>
          <w:rFonts w:ascii="宋体" w:hAnsi="宋体" w:cs="宋体"/>
          <w:color w:val="auto"/>
          <w:szCs w:val="21"/>
          <w:highlight w:val="none"/>
        </w:rPr>
        <w:t xml:space="preserve">.1</w:t>
      </w:r>
      <w:r>
        <w:rPr>
          <w:rFonts w:hint="eastAsia" w:ascii="宋体" w:hAnsi="宋体" w:cs="宋体"/>
          <w:color w:val="auto"/>
          <w:szCs w:val="21"/>
          <w:highlight w:val="none"/>
        </w:rPr>
        <w:t xml:space="preserve">2《服务要求偏离表》、《商务条款偏离表》；</w:t>
      </w:r>
      <w:r/>
    </w:p>
    <w:p>
      <w:pP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2.3.2</w:t>
      </w:r>
      <w:r>
        <w:rPr>
          <w:rFonts w:ascii="宋体" w:hAnsi="宋体" w:cs="宋体"/>
          <w:color w:val="auto"/>
          <w:szCs w:val="21"/>
          <w:highlight w:val="none"/>
        </w:rPr>
        <w:t xml:space="preserve">.1</w:t>
      </w:r>
      <w:r>
        <w:rPr>
          <w:rFonts w:hint="eastAsia" w:ascii="宋体" w:hAnsi="宋体" w:cs="宋体"/>
          <w:color w:val="auto"/>
          <w:szCs w:val="21"/>
          <w:highlight w:val="none"/>
        </w:rPr>
        <w:t xml:space="preserve">3《类似服务项目业绩一览表》</w:t>
      </w:r>
      <w:r>
        <w:rPr>
          <w:rFonts w:hint="eastAsia" w:ascii="宋体" w:hAnsi="宋体"/>
          <w:color w:val="auto"/>
          <w:szCs w:val="21"/>
          <w:highlight w:val="none"/>
        </w:rPr>
        <w:t xml:space="preserve">；</w:t>
      </w:r>
      <w:r/>
    </w:p>
    <w:p>
      <w:pPr>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2.3.2</w:t>
      </w:r>
      <w:r>
        <w:rPr>
          <w:rFonts w:ascii="宋体" w:hAnsi="宋体" w:cs="宋体"/>
          <w:color w:val="auto"/>
          <w:szCs w:val="21"/>
          <w:highlight w:val="none"/>
        </w:rPr>
        <w:t xml:space="preserve">.1</w:t>
      </w:r>
      <w:r>
        <w:rPr>
          <w:rFonts w:hint="eastAsia" w:ascii="宋体" w:hAnsi="宋体" w:cs="宋体"/>
          <w:color w:val="auto"/>
          <w:szCs w:val="21"/>
          <w:highlight w:val="none"/>
        </w:rPr>
        <w:t xml:space="preserve">4其他需投标人对本次投标的详细说明（招标采购单位视具体项目情况自行编制）；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w:t>
      </w:r>
      <w:r>
        <w:rPr>
          <w:rFonts w:ascii="宋体" w:hAnsi="宋体" w:cs="宋体"/>
          <w:color w:val="auto"/>
          <w:szCs w:val="21"/>
          <w:highlight w:val="none"/>
        </w:rPr>
        <w:t xml:space="preserve">.1</w:t>
      </w:r>
      <w:r>
        <w:rPr>
          <w:rFonts w:hint="eastAsia" w:ascii="宋体" w:hAnsi="宋体" w:cs="宋体"/>
          <w:color w:val="auto"/>
          <w:szCs w:val="21"/>
          <w:highlight w:val="none"/>
        </w:rPr>
        <w:t xml:space="preserve">5其他可以证明投标人资信、资质和货物、服务质量的证书、文件、推荐信等资料（评分标准中涉及的相关证书）。</w:t>
      </w:r>
      <w:r/>
    </w:p>
    <w:p>
      <w:pPr>
        <w:pStyle w:val="967"/>
        <w:ind w:firstLine="0"/>
        <w:spacing w:line="360" w:lineRule="auto"/>
        <w:rPr>
          <w:rFonts w:hint="eastAsia" w:ascii="宋体" w:hAnsi="宋体" w:eastAsia="宋体"/>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bCs/>
          <w:color w:val="auto"/>
          <w:sz w:val="21"/>
          <w:szCs w:val="21"/>
          <w:highlight w:val="none"/>
        </w:rPr>
        <w:t xml:space="preserve">投标文件由以上款</w:t>
      </w:r>
      <w:r>
        <w:rPr>
          <w:rFonts w:hint="eastAsia" w:ascii="宋体" w:hAnsi="宋体" w:eastAsia="宋体" w:cs="宋体"/>
          <w:b/>
          <w:color w:val="auto"/>
          <w:sz w:val="21"/>
          <w:szCs w:val="21"/>
          <w:highlight w:val="none"/>
          <w:lang w:bidi="ar"/>
        </w:rPr>
        <w:t xml:space="preserve">规定的内容共同组成。投标人必须提交上述规定的资料，并须按照“响应文件组成”将相关材料上传至相应模块。否则，投标文件将可能因资格性条件不符或未实质性响应招标文件而被拒绝。</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2.</w:t>
      </w: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zh-CN"/>
        </w:rPr>
        <w:t xml:space="preserve">磋商保证金：本项目</w:t>
      </w:r>
      <w:r>
        <w:rPr>
          <w:rFonts w:hint="eastAsia" w:ascii="宋体" w:hAnsi="宋体" w:cs="宋体"/>
          <w:b/>
          <w:bCs/>
          <w:color w:val="auto"/>
          <w:szCs w:val="21"/>
          <w:highlight w:val="none"/>
        </w:rPr>
        <w:t xml:space="preserve">不</w:t>
      </w:r>
      <w:r>
        <w:rPr>
          <w:rFonts w:hint="eastAsia" w:ascii="宋体" w:hAnsi="宋体" w:cs="宋体"/>
          <w:b/>
          <w:bCs/>
          <w:color w:val="auto"/>
          <w:szCs w:val="21"/>
          <w:highlight w:val="none"/>
          <w:lang w:val="zh-CN"/>
        </w:rPr>
        <w:t xml:space="preserve">收磋商保证金。</w:t>
      </w:r>
      <w:r/>
    </w:p>
    <w:p>
      <w:pPr>
        <w:spacing w:line="360" w:lineRule="auto"/>
        <w:tabs>
          <w:tab w:val="left" w:pos="851"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3.响应文件提交</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3.1采购代理机构收到响应文件的时间不得迟于竞争性磋商公告中规定的截止时间。</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4.磋商采购程序</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4.1采购代理机构按本须知规定的时间、地点主持磋商采购活动。</w:t>
      </w:r>
      <w:r/>
    </w:p>
    <w:p>
      <w:pP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4.2</w:t>
      </w:r>
      <w:r>
        <w:rPr>
          <w:rFonts w:hint="eastAsia" w:ascii="宋体" w:hAnsi="宋体" w:cs="创艺简仿宋"/>
          <w:bCs/>
          <w:color w:val="auto"/>
          <w:szCs w:val="21"/>
          <w:highlight w:val="none"/>
        </w:rPr>
        <w:t xml:space="preserve">供应商通过“苏采云”系统在线参与磋商活动。供应商应当按照《苏采云系统供应商操作手册》规定在“苏采云”系统规定的时间内对响应文件进行解密。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w:t>
      </w:r>
      <w:r>
        <w:rPr>
          <w:rFonts w:hint="eastAsia" w:ascii="宋体" w:hAnsi="宋体" w:cs="创艺简仿宋"/>
          <w:bCs/>
          <w:color w:val="auto"/>
          <w:szCs w:val="21"/>
          <w:highlight w:val="none"/>
        </w:rPr>
        <w:t xml:space="preserve">在磋商响应文件网上提交截止时间止成功解密的磋商供应商少于三家，则本次采购失败。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4.4由磋商小组审查供应商解密的响应文件。</w:t>
      </w:r>
      <w:r/>
    </w:p>
    <w:p>
      <w:pPr>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4.5</w:t>
      </w:r>
      <w:r>
        <w:rPr>
          <w:rFonts w:hint="eastAsia" w:ascii="宋体" w:hAnsi="宋体" w:cs="宋体"/>
          <w:color w:val="auto"/>
          <w:szCs w:val="21"/>
          <w:highlight w:val="none"/>
        </w:rPr>
        <w:t xml:space="preserve">磋商小组（磋商小组由评审专家及采购人代表组成）进行资格审查、对</w:t>
      </w:r>
      <w:r>
        <w:rPr>
          <w:rFonts w:ascii="宋体" w:hAnsi="宋体" w:cs="宋体"/>
          <w:color w:val="auto"/>
          <w:szCs w:val="21"/>
          <w:highlight w:val="none"/>
        </w:rPr>
        <w:t xml:space="preserve">供应商响应文件的有效性、完整性和响应程度</w:t>
      </w:r>
      <w:r>
        <w:rPr>
          <w:rFonts w:hint="eastAsia" w:ascii="宋体" w:hAnsi="宋体" w:cs="宋体"/>
          <w:color w:val="auto"/>
          <w:szCs w:val="21"/>
          <w:highlight w:val="none"/>
        </w:rPr>
        <w:t xml:space="preserve">进行</w:t>
      </w:r>
      <w:r>
        <w:rPr>
          <w:rFonts w:ascii="宋体" w:hAnsi="宋体" w:cs="宋体"/>
          <w:color w:val="auto"/>
          <w:szCs w:val="21"/>
          <w:highlight w:val="none"/>
        </w:rPr>
        <w:t xml:space="preserve">评审</w:t>
      </w:r>
      <w:r>
        <w:rPr>
          <w:rFonts w:hint="eastAsia" w:ascii="宋体" w:hAnsi="宋体" w:cs="宋体"/>
          <w:color w:val="auto"/>
          <w:szCs w:val="21"/>
          <w:highlight w:val="none"/>
        </w:rPr>
        <w:t xml:space="preserve">；</w:t>
      </w:r>
      <w:r>
        <w:rPr>
          <w:rFonts w:ascii="宋体" w:hAnsi="宋体" w:cs="宋体"/>
          <w:color w:val="auto"/>
          <w:szCs w:val="21"/>
          <w:highlight w:val="none"/>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auto"/>
          <w:szCs w:val="21"/>
          <w:highlight w:val="none"/>
        </w:rPr>
        <w:t xml:space="preserve">。</w:t>
      </w:r>
      <w:r>
        <w:rPr>
          <w:rFonts w:ascii="宋体" w:hAnsi="宋体" w:cs="宋体"/>
          <w:color w:val="auto"/>
          <w:szCs w:val="21"/>
          <w:highlight w:val="none"/>
        </w:rPr>
        <w:t xml:space="preserve">供应商的澄清、说明或者更正不得超出响应文件的范围或者改变响应文件的实质性内容。</w:t>
      </w:r>
      <w:r>
        <w:rPr>
          <w:rFonts w:hint="eastAsia" w:ascii="宋体" w:hAnsi="宋体" w:cs="宋体"/>
          <w:color w:val="auto"/>
          <w:szCs w:val="21"/>
          <w:highlight w:val="none"/>
        </w:rPr>
        <w:t xml:space="preserve">磋商小组要求供应商澄清、说明或者更正响应文件应当以书面形式做出。供应商的澄清、说明或者更正应当由其单位加盖电子公章。</w:t>
      </w:r>
      <w:r/>
    </w:p>
    <w:p>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auto"/>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hint="eastAsia" w:ascii="宋体" w:hAnsi="宋体"/>
          <w:color w:val="auto"/>
          <w:szCs w:val="21"/>
          <w:highlight w:val="none"/>
        </w:rPr>
      </w:pPr>
      <w:r>
        <w:rPr>
          <w:rFonts w:ascii="宋体" w:hAnsi="宋体"/>
          <w:color w:val="auto"/>
          <w:szCs w:val="21"/>
          <w:highlight w:val="none"/>
        </w:rPr>
        <w:t xml:space="preserve">4.6</w:t>
      </w:r>
      <w:r>
        <w:rPr>
          <w:rFonts w:hint="eastAsia" w:ascii="宋体" w:hAnsi="宋体"/>
          <w:color w:val="auto"/>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auto"/>
          <w:szCs w:val="21"/>
          <w:highlight w:val="none"/>
        </w:rPr>
        <w:t xml:space="preserve">磋商小组通过“苏采云”系统向供应商发布“磋商函”，供应商应当按照要求在“苏采云”系统提交“磋商响应函”并加盖CA电子公章。</w:t>
      </w:r>
      <w:r/>
    </w:p>
    <w:p>
      <w:pPr>
        <w:spacing w:line="360" w:lineRule="auto"/>
        <w:rPr>
          <w:rFonts w:hint="eastAsia" w:ascii="宋体" w:hAnsi="宋体"/>
          <w:color w:val="auto"/>
          <w:szCs w:val="21"/>
          <w:highlight w:val="none"/>
        </w:rPr>
      </w:pPr>
      <w:r>
        <w:rPr>
          <w:rFonts w:ascii="宋体" w:hAnsi="宋体"/>
          <w:color w:val="auto"/>
          <w:szCs w:val="21"/>
          <w:highlight w:val="none"/>
        </w:rPr>
        <w:t xml:space="preserve">4.7</w:t>
      </w:r>
      <w:r>
        <w:rPr>
          <w:rFonts w:hint="eastAsia" w:ascii="宋体" w:hAnsi="宋体"/>
          <w:color w:val="auto"/>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hint="eastAsia" w:ascii="宋体" w:hAnsi="宋体"/>
          <w:b/>
          <w:color w:val="auto"/>
          <w:szCs w:val="21"/>
          <w:highlight w:val="none"/>
        </w:rPr>
      </w:pPr>
      <w:r>
        <w:rPr>
          <w:rFonts w:ascii="宋体" w:hAnsi="宋体"/>
          <w:b/>
          <w:color w:val="auto"/>
          <w:szCs w:val="21"/>
          <w:highlight w:val="none"/>
        </w:rPr>
        <w:t xml:space="preserve">4.8</w:t>
      </w:r>
      <w:r>
        <w:rPr>
          <w:rFonts w:hint="eastAsia" w:ascii="宋体" w:hAnsi="宋体"/>
          <w:b/>
          <w:color w:val="auto"/>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hint="eastAsia" w:ascii="宋体" w:hAnsi="宋体"/>
          <w:color w:val="auto"/>
          <w:szCs w:val="21"/>
          <w:highlight w:val="none"/>
        </w:rPr>
      </w:pPr>
      <w:r>
        <w:rPr>
          <w:rFonts w:ascii="宋体" w:hAnsi="宋体"/>
          <w:b/>
          <w:color w:val="auto"/>
          <w:szCs w:val="21"/>
          <w:highlight w:val="none"/>
        </w:rPr>
        <w:t xml:space="preserve">4.9</w:t>
      </w:r>
      <w:r>
        <w:rPr>
          <w:rFonts w:hint="eastAsia" w:ascii="宋体" w:hAnsi="宋体"/>
          <w:b/>
          <w:color w:val="auto"/>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8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*进入项目评审流程后，建议各供应商法定代表人或授权委托人始终保持通讯顺畅，时刻关注不见面开标大厅，不离开不见面开标大厅。</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4.10经磋商确定最终采购需求和提交最后报价的供应商后，由磋商小组采用综合评分法对提交最后报价的供应商的响应文件和最后报价进行综合评分。</w:t>
      </w:r>
      <w:r/>
    </w:p>
    <w:p>
      <w:pPr>
        <w:spacing w:line="360" w:lineRule="auto"/>
        <w:rPr>
          <w:rFonts w:hint="eastAsia" w:ascii="宋体" w:hAnsi="宋体"/>
          <w:color w:val="auto"/>
          <w:szCs w:val="21"/>
          <w:highlight w:val="none"/>
        </w:rPr>
      </w:pPr>
      <w:r>
        <w:rPr>
          <w:rFonts w:ascii="宋体" w:hAnsi="宋体"/>
          <w:color w:val="auto"/>
          <w:szCs w:val="21"/>
          <w:highlight w:val="none"/>
        </w:rPr>
        <w:t xml:space="preserve">4.11</w:t>
      </w:r>
      <w:r>
        <w:rPr>
          <w:rFonts w:hint="eastAsia" w:ascii="宋体" w:hAnsi="宋体"/>
          <w:color w:val="auto"/>
          <w:szCs w:val="21"/>
          <w:highlight w:val="none"/>
        </w:rPr>
        <w:t xml:space="preserve">磋商小组根据磋商成交原则确定成交供应商，并将结果通知所有参加磋商的供应商。</w:t>
      </w:r>
      <w:r/>
    </w:p>
    <w:p>
      <w:pPr>
        <w:spacing w:line="360" w:lineRule="auto"/>
        <w:rPr>
          <w:rFonts w:hint="eastAsia" w:ascii="宋体" w:hAnsi="宋体"/>
          <w:color w:val="auto"/>
          <w:szCs w:val="21"/>
          <w:highlight w:val="none"/>
        </w:rPr>
      </w:pPr>
      <w:r>
        <w:rPr>
          <w:rFonts w:ascii="宋体" w:hAnsi="宋体"/>
          <w:color w:val="auto"/>
          <w:szCs w:val="21"/>
          <w:highlight w:val="none"/>
        </w:rPr>
        <w:t xml:space="preserve">4.12</w:t>
      </w:r>
      <w:r>
        <w:rPr>
          <w:rFonts w:hint="eastAsia" w:ascii="宋体" w:hAnsi="宋体"/>
          <w:color w:val="auto"/>
          <w:szCs w:val="21"/>
          <w:highlight w:val="none"/>
        </w:rPr>
        <w:t xml:space="preserve">如磋商过程中出现本采购文件未尽事宜，由磋商小组根据政府采购有关法律、法规讨论决定。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ascii="宋体" w:hAnsi="宋体" w:cs="宋体"/>
          <w:color w:val="auto"/>
          <w:szCs w:val="21"/>
          <w:highlight w:val="none"/>
        </w:rPr>
        <w:t xml:space="preserve">3</w:t>
      </w:r>
      <w:r>
        <w:rPr>
          <w:rFonts w:hint="eastAsia" w:ascii="宋体" w:hAnsi="宋体" w:cs="宋体"/>
          <w:color w:val="auto"/>
          <w:szCs w:val="21"/>
          <w:highlight w:val="none"/>
        </w:rPr>
        <w:t xml:space="preserve">响应无效和终止磋商活动条款</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ascii="宋体" w:hAnsi="宋体" w:cs="宋体"/>
          <w:color w:val="auto"/>
          <w:szCs w:val="21"/>
          <w:highlight w:val="none"/>
        </w:rPr>
        <w:t xml:space="preserve">3</w:t>
      </w:r>
      <w:r>
        <w:rPr>
          <w:rFonts w:hint="eastAsia" w:ascii="宋体" w:hAnsi="宋体" w:cs="宋体"/>
          <w:color w:val="auto"/>
          <w:szCs w:val="21"/>
          <w:highlight w:val="none"/>
        </w:rPr>
        <w:t xml:space="preserve">.1响应无效条款</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1）供应商不具备竞争性磋商文件中规定资格条件的；</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2）供应商未提供磋商代表的身份证明和法人授权委托书（法定代表人为磋商代表的可不提供）；</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w:t>
      </w:r>
      <w:r>
        <w:rPr>
          <w:rFonts w:hint="eastAsia" w:ascii="宋体" w:hAnsi="宋体" w:cs="宋体"/>
          <w:bCs/>
          <w:color w:val="auto"/>
          <w:szCs w:val="21"/>
          <w:highlight w:val="none"/>
        </w:rPr>
        <w:t xml:space="preserve">响应文件</w:t>
      </w:r>
      <w:r>
        <w:rPr>
          <w:rFonts w:hint="eastAsia" w:ascii="宋体" w:hAnsi="宋体"/>
          <w:bCs/>
          <w:color w:val="auto"/>
          <w:szCs w:val="21"/>
          <w:highlight w:val="none"/>
        </w:rPr>
        <w:t xml:space="preserve">签署不符合要求的；</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4）最终报价超过采购预算或最高限价的，不能成交；</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w:t>
      </w:r>
      <w:r>
        <w:rPr>
          <w:rFonts w:hint="eastAsia" w:ascii="宋体" w:hAnsi="宋体"/>
          <w:color w:val="auto"/>
          <w:szCs w:val="21"/>
          <w:highlight w:val="none"/>
        </w:rPr>
        <w:t xml:space="preserve">不符合法律、法规和竞争性磋商文件中规定的其他实质性要求的；</w:t>
      </w:r>
      <w:r/>
    </w:p>
    <w:p>
      <w:pPr>
        <w:spacing w:line="360" w:lineRule="auto"/>
        <w:rPr>
          <w:rFonts w:hint="eastAsia" w:ascii="宋体" w:hAnsi="宋体"/>
          <w:color w:val="auto"/>
          <w:szCs w:val="21"/>
          <w:highlight w:val="none"/>
        </w:rPr>
      </w:pPr>
      <w:r>
        <w:rPr>
          <w:rFonts w:ascii="宋体" w:hAnsi="宋体"/>
          <w:bCs/>
          <w:color w:val="auto"/>
          <w:szCs w:val="21"/>
          <w:highlight w:val="none"/>
        </w:rPr>
        <w:t xml:space="preserve">6</w:t>
      </w:r>
      <w:r>
        <w:rPr>
          <w:rFonts w:hint="eastAsia" w:ascii="宋体" w:hAnsi="宋体"/>
          <w:bCs/>
          <w:color w:val="auto"/>
          <w:szCs w:val="21"/>
          <w:highlight w:val="none"/>
        </w:rPr>
        <w:t xml:space="preserve">）</w:t>
      </w:r>
      <w:r>
        <w:rPr>
          <w:rFonts w:hint="eastAsia" w:ascii="宋体" w:hAnsi="宋体" w:cs="宋体"/>
          <w:color w:val="auto"/>
          <w:szCs w:val="21"/>
          <w:highlight w:val="none"/>
        </w:rPr>
        <w:t xml:space="preserve">其他法律、法规及本竞争性磋商文件规定的属响应无效的情形。</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ascii="宋体" w:hAnsi="宋体" w:cs="宋体"/>
          <w:color w:val="auto"/>
          <w:szCs w:val="21"/>
          <w:highlight w:val="none"/>
        </w:rPr>
        <w:t xml:space="preserve">3</w:t>
      </w:r>
      <w:r>
        <w:rPr>
          <w:rFonts w:hint="eastAsia" w:ascii="宋体" w:hAnsi="宋体" w:cs="宋体"/>
          <w:color w:val="auto"/>
          <w:szCs w:val="21"/>
          <w:highlight w:val="none"/>
        </w:rPr>
        <w:t xml:space="preserve">.2终止竞争性磋商采购活动的条款</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出现下列情形之一的，采购代理机构将终止竞争性磋商采购活动，发布项目终止公告并说明原因，重新开展采购活动：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ascii="宋体" w:hAnsi="宋体" w:cs="宋体"/>
          <w:color w:val="auto"/>
          <w:szCs w:val="21"/>
          <w:highlight w:val="none"/>
        </w:rPr>
        <w:t xml:space="preserve">3</w:t>
      </w:r>
      <w:r>
        <w:rPr>
          <w:rFonts w:hint="eastAsia" w:ascii="宋体" w:hAnsi="宋体" w:cs="宋体"/>
          <w:color w:val="auto"/>
          <w:szCs w:val="21"/>
          <w:highlight w:val="none"/>
        </w:rPr>
        <w:t xml:space="preserve">.2.1因情况变化，不再符合规定的竞争性磋商采购方式适用情形的；</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ascii="宋体" w:hAnsi="宋体" w:cs="宋体"/>
          <w:color w:val="auto"/>
          <w:szCs w:val="21"/>
          <w:highlight w:val="none"/>
        </w:rPr>
        <w:t xml:space="preserve">3</w:t>
      </w:r>
      <w:r>
        <w:rPr>
          <w:rFonts w:hint="eastAsia" w:ascii="宋体" w:hAnsi="宋体" w:cs="宋体"/>
          <w:color w:val="auto"/>
          <w:szCs w:val="21"/>
          <w:highlight w:val="none"/>
        </w:rPr>
        <w:t xml:space="preserve">.2.2出现影响采购公正的违法、违规行为的；</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ascii="宋体" w:hAnsi="宋体" w:cs="宋体"/>
          <w:color w:val="auto"/>
          <w:szCs w:val="21"/>
          <w:highlight w:val="none"/>
        </w:rPr>
        <w:t xml:space="preserve">3</w:t>
      </w:r>
      <w:r>
        <w:rPr>
          <w:rFonts w:hint="eastAsia" w:ascii="宋体" w:hAnsi="宋体" w:cs="宋体"/>
          <w:color w:val="auto"/>
          <w:szCs w:val="21"/>
          <w:highlight w:val="none"/>
        </w:rPr>
        <w:t xml:space="preserve">.2.3在采购过程中实质性响应磋商文件不满三家的。</w:t>
      </w:r>
      <w:r/>
    </w:p>
    <w:p>
      <w:pPr>
        <w:spacing w:line="360" w:lineRule="auto"/>
        <w:tabs>
          <w:tab w:val="left" w:pos="851"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4.1</w:t>
      </w:r>
      <w:r>
        <w:rPr>
          <w:rFonts w:ascii="宋体" w:hAnsi="宋体" w:cs="宋体"/>
          <w:color w:val="auto"/>
          <w:szCs w:val="21"/>
          <w:highlight w:val="none"/>
        </w:rPr>
        <w:t xml:space="preserve">4</w:t>
      </w:r>
      <w:r>
        <w:rPr>
          <w:rFonts w:hint="eastAsia" w:ascii="宋体" w:hAnsi="宋体" w:cs="宋体"/>
          <w:color w:val="auto"/>
          <w:szCs w:val="21"/>
          <w:highlight w:val="none"/>
        </w:rPr>
        <w:t xml:space="preserve">确定成交、询问及质疑</w:t>
      </w:r>
      <w:r/>
    </w:p>
    <w:p>
      <w:pPr>
        <w:spacing w:line="360" w:lineRule="auto"/>
        <w:tabs>
          <w:tab w:val="left" w:pos="851"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4.1</w:t>
      </w:r>
      <w:r>
        <w:rPr>
          <w:rFonts w:ascii="宋体" w:hAnsi="宋体" w:cs="宋体"/>
          <w:color w:val="auto"/>
          <w:szCs w:val="21"/>
          <w:highlight w:val="none"/>
        </w:rPr>
        <w:t xml:space="preserve">4</w:t>
      </w:r>
      <w:r>
        <w:rPr>
          <w:rFonts w:hint="eastAsia" w:ascii="宋体" w:hAnsi="宋体" w:cs="宋体"/>
          <w:color w:val="auto"/>
          <w:szCs w:val="21"/>
          <w:highlight w:val="none"/>
        </w:rPr>
        <w:t xml:space="preserve">.1确定成交供应商</w:t>
      </w:r>
      <w:r/>
    </w:p>
    <w:p>
      <w:pPr>
        <w:spacing w:line="360" w:lineRule="auto"/>
        <w:tabs>
          <w:tab w:val="left" w:pos="851"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4.1</w:t>
      </w:r>
      <w:r>
        <w:rPr>
          <w:rFonts w:ascii="宋体" w:hAnsi="宋体" w:cs="宋体"/>
          <w:color w:val="auto"/>
          <w:szCs w:val="21"/>
          <w:highlight w:val="none"/>
        </w:rPr>
        <w:t xml:space="preserve">4</w:t>
      </w:r>
      <w:r>
        <w:rPr>
          <w:rFonts w:hint="eastAsia" w:ascii="宋体" w:hAnsi="宋体" w:cs="宋体"/>
          <w:color w:val="auto"/>
          <w:szCs w:val="21"/>
          <w:highlight w:val="none"/>
        </w:rPr>
        <w:t xml:space="preserve">.1.1采购人在收到评审报告后，从评审报告提出的成交候选供应商中，按照排序由高到低的原则确定成交供应商。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4.1</w:t>
      </w:r>
      <w:r>
        <w:rPr>
          <w:rFonts w:ascii="宋体" w:hAnsi="宋体" w:cs="宋体"/>
          <w:color w:val="auto"/>
          <w:szCs w:val="21"/>
          <w:highlight w:val="none"/>
        </w:rPr>
        <w:t xml:space="preserve">4</w:t>
      </w:r>
      <w:r>
        <w:rPr>
          <w:rFonts w:hint="eastAsia" w:ascii="宋体" w:hAnsi="宋体" w:cs="宋体"/>
          <w:color w:val="auto"/>
          <w:szCs w:val="21"/>
          <w:highlight w:val="none"/>
        </w:rPr>
        <w:t xml:space="preserve">.1.2采购代理机构在成交供应商确定后2个工作日内在“江苏政府采购网”、“苏州市政府采购网”公告成交结果。</w:t>
      </w:r>
      <w:r/>
    </w:p>
    <w:p>
      <w:pPr>
        <w:spacing w:line="360" w:lineRule="auto"/>
        <w:tabs>
          <w:tab w:val="left" w:pos="851"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4.1</w:t>
      </w:r>
      <w:r>
        <w:rPr>
          <w:rFonts w:ascii="宋体" w:hAnsi="宋体" w:cs="宋体"/>
          <w:color w:val="auto"/>
          <w:szCs w:val="21"/>
          <w:highlight w:val="none"/>
        </w:rPr>
        <w:t xml:space="preserve">4</w:t>
      </w:r>
      <w:r>
        <w:rPr>
          <w:rFonts w:hint="eastAsia" w:ascii="宋体" w:hAnsi="宋体" w:cs="宋体"/>
          <w:color w:val="auto"/>
          <w:szCs w:val="21"/>
          <w:highlight w:val="none"/>
        </w:rPr>
        <w:t xml:space="preserve">.2询问及质疑</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4.1</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.2.1根据《政府采购质疑和投诉办法》财政部第94号令第十一条规定，提出质疑的供应商应当是参与所质疑项目采购活动的供应商。</w:t>
      </w:r>
      <w:r>
        <w:rPr>
          <w:rFonts w:hint="eastAsia" w:ascii="宋体" w:hAnsi="宋体"/>
          <w:color w:val="auto"/>
          <w:szCs w:val="21"/>
          <w:highlight w:val="none"/>
        </w:rPr>
        <w:t xml:space="preserve">因此凡是对采购文件提出质疑的供应商，必须是依法获取采购文件，并请将符合资格条件的证明材料及网上报名的《</w:t>
      </w:r>
      <w:r>
        <w:rPr>
          <w:rFonts w:hint="eastAsia" w:ascii="宋体" w:hAnsi="宋体" w:cs="宋体"/>
          <w:color w:val="auto"/>
          <w:szCs w:val="21"/>
          <w:highlight w:val="none"/>
        </w:rPr>
        <w:t xml:space="preserve">投标供应商确认函</w:t>
      </w:r>
      <w:r>
        <w:rPr>
          <w:rFonts w:hint="eastAsia" w:ascii="宋体" w:hAnsi="宋体"/>
          <w:color w:val="auto"/>
          <w:szCs w:val="21"/>
          <w:highlight w:val="none"/>
        </w:rPr>
        <w:t xml:space="preserve">》与质疑函一起递交，否则不予受理</w:t>
      </w:r>
      <w:r>
        <w:rPr>
          <w:rFonts w:hint="eastAsia" w:ascii="宋体" w:hAnsi="宋体" w:cs="宋体"/>
          <w:bCs/>
          <w:color w:val="auto"/>
          <w:szCs w:val="21"/>
          <w:highlight w:val="none"/>
        </w:rPr>
        <w:t xml:space="preserve">。</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4.1</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.2.2本次采购文件要求供应商在法定质疑期内一次性提出针对同一采购程序环节的质疑。</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4.1</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ascii="宋体" w:hAnsi="宋体" w:cs="宋体"/>
          <w:color w:val="auto"/>
          <w:szCs w:val="21"/>
          <w:highlight w:val="none"/>
        </w:rPr>
        <w:t xml:space="preserve">4</w:t>
      </w:r>
      <w:r>
        <w:rPr>
          <w:rFonts w:hint="eastAsia" w:ascii="宋体" w:hAnsi="宋体" w:cs="宋体"/>
          <w:color w:val="auto"/>
          <w:szCs w:val="21"/>
          <w:highlight w:val="none"/>
        </w:rPr>
        <w:t xml:space="preserve">.2.4供应商提出质疑应当提交质疑函和必要的证明材料（营业执照副本复印件、报名确认函等）。质疑函应当包括下列内容：</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ascii="宋体" w:hAnsi="宋体" w:cs="宋体"/>
          <w:color w:val="auto"/>
          <w:szCs w:val="21"/>
          <w:highlight w:val="none"/>
        </w:rPr>
        <w:t xml:space="preserve">4</w:t>
      </w:r>
      <w:r>
        <w:rPr>
          <w:rFonts w:hint="eastAsia" w:ascii="宋体" w:hAnsi="宋体" w:cs="宋体"/>
          <w:color w:val="auto"/>
          <w:szCs w:val="21"/>
          <w:highlight w:val="none"/>
        </w:rPr>
        <w:t xml:space="preserve">.2.4.1供应商的姓名或者名称、地址、邮编、联系人及联系电话；</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ascii="宋体" w:hAnsi="宋体" w:cs="宋体"/>
          <w:color w:val="auto"/>
          <w:szCs w:val="21"/>
          <w:highlight w:val="none"/>
        </w:rPr>
        <w:t xml:space="preserve">4</w:t>
      </w:r>
      <w:r>
        <w:rPr>
          <w:rFonts w:hint="eastAsia" w:ascii="宋体" w:hAnsi="宋体" w:cs="宋体"/>
          <w:color w:val="auto"/>
          <w:szCs w:val="21"/>
          <w:highlight w:val="none"/>
        </w:rPr>
        <w:t xml:space="preserve">.2.4.2质疑项目的名称、编号；</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ascii="宋体" w:hAnsi="宋体" w:cs="宋体"/>
          <w:color w:val="auto"/>
          <w:szCs w:val="21"/>
          <w:highlight w:val="none"/>
        </w:rPr>
        <w:t xml:space="preserve">4</w:t>
      </w:r>
      <w:r>
        <w:rPr>
          <w:rFonts w:hint="eastAsia" w:ascii="宋体" w:hAnsi="宋体" w:cs="宋体"/>
          <w:color w:val="auto"/>
          <w:szCs w:val="21"/>
          <w:highlight w:val="none"/>
        </w:rPr>
        <w:t xml:space="preserve">.2.4.3具体、明确的质疑事项和与质疑事项相关的请求；</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ascii="宋体" w:hAnsi="宋体" w:cs="宋体"/>
          <w:color w:val="auto"/>
          <w:szCs w:val="21"/>
          <w:highlight w:val="none"/>
        </w:rPr>
        <w:t xml:space="preserve">4</w:t>
      </w:r>
      <w:r>
        <w:rPr>
          <w:rFonts w:hint="eastAsia" w:ascii="宋体" w:hAnsi="宋体" w:cs="宋体"/>
          <w:color w:val="auto"/>
          <w:szCs w:val="21"/>
          <w:highlight w:val="none"/>
        </w:rPr>
        <w:t xml:space="preserve">.2.4.4事实依据；</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ascii="宋体" w:hAnsi="宋体" w:cs="宋体"/>
          <w:color w:val="auto"/>
          <w:szCs w:val="21"/>
          <w:highlight w:val="none"/>
        </w:rPr>
        <w:t xml:space="preserve">4</w:t>
      </w:r>
      <w:r>
        <w:rPr>
          <w:rFonts w:hint="eastAsia" w:ascii="宋体" w:hAnsi="宋体" w:cs="宋体"/>
          <w:color w:val="auto"/>
          <w:szCs w:val="21"/>
          <w:highlight w:val="none"/>
        </w:rPr>
        <w:t xml:space="preserve">.2.4.5必要的法律依据；</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ascii="宋体" w:hAnsi="宋体" w:cs="宋体"/>
          <w:color w:val="auto"/>
          <w:szCs w:val="21"/>
          <w:highlight w:val="none"/>
        </w:rPr>
        <w:t xml:space="preserve">4</w:t>
      </w:r>
      <w:r>
        <w:rPr>
          <w:rFonts w:hint="eastAsia" w:ascii="宋体" w:hAnsi="宋体" w:cs="宋体"/>
          <w:color w:val="auto"/>
          <w:szCs w:val="21"/>
          <w:highlight w:val="none"/>
        </w:rPr>
        <w:t xml:space="preserve">.2.4.6提出质疑的日期。</w:t>
      </w:r>
      <w:r/>
    </w:p>
    <w:p>
      <w:pPr>
        <w:ind w:firstLine="480"/>
        <w:spacing w:line="360" w:lineRule="auto"/>
        <w:tabs>
          <w:tab w:val="left" w:pos="851"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质疑递交地点：苏州市诚源招投标代理有限公司（联系地址：苏州市金门路1072号苏州金门国际商业广场C区6楼（11/12号电梯直达）；电话：0512-69228578；联系人：金兰 浦沁）</w:t>
      </w:r>
      <w:r/>
    </w:p>
    <w:p>
      <w:pPr>
        <w:jc w:val="left"/>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5. 联合投标（本次招标接受联合投标）</w:t>
      </w:r>
      <w:r/>
    </w:p>
    <w:p>
      <w:pPr>
        <w:ind w:firstLine="21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两个或两个以上单位组成的联合体投标时，除按本须知相关条款提供联合体每一成员的资料外，还应符合以下规定要求：</w:t>
      </w:r>
      <w:r/>
    </w:p>
    <w:p>
      <w:pPr>
        <w:ind w:firstLine="21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5.1联合体各成员之间应签订《联合体协议书》，投标人的投标文件及中标后签署的合同书，对联合体的每一成员均有法律约束力。</w:t>
      </w:r>
      <w:r/>
    </w:p>
    <w:p>
      <w:pPr>
        <w:ind w:firstLine="21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5.2由联合体各成员法定代表人签署提交一份授权委托书，委托投标人代表参加投标。</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5.3联合体投标人代表应被授权作为联合体各方的代表，承担责任和接受指令，并负责整个合同的全面履行和接收本项目款项的支付。</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5.4所有联合体成员应按合同条件的规定，为实施合同共同和分别承担责任。在联合体协议书和授权委托书中，以及在投标文件和中标后签署的合同书中应对此做出相应的声明。</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5.5联合体各成员之间签订的联合体协议书应与投标文件一起递交。</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5.6参加联合体的各成员不得再以自己名义单独投标，也不得同时参加两个或两个以上的联合体投标。如有违反将取消该联合体及联合体各成员的投标资格。</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6.成交通知书</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6.1成交通知书：确定出成交单位后，采购代理机构在法定时间内向成交单位发出成交通知书；</w:t>
      </w:r>
      <w:r>
        <w:rPr>
          <w:rFonts w:hint="eastAsia" w:ascii="宋体" w:hAnsi="宋体" w:cs="宋体"/>
          <w:b/>
          <w:color w:val="auto"/>
          <w:szCs w:val="21"/>
          <w:highlight w:val="none"/>
        </w:rPr>
        <w:t xml:space="preserve">请成交单位在成交结果公告届满之日起30日内,使用CA证书登录“苏采云”系统及时下载成交通知书。</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2</w:t>
      </w:r>
      <w:r>
        <w:rPr>
          <w:rFonts w:hint="eastAsia" w:ascii="宋体" w:hAnsi="宋体" w:cs="宋体"/>
          <w:color w:val="auto"/>
          <w:szCs w:val="21"/>
          <w:highlight w:val="none"/>
        </w:rPr>
        <w:t xml:space="preserve">成交通知书将成为合同的组成部分。</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3</w:t>
      </w:r>
      <w:r>
        <w:rPr>
          <w:rFonts w:hint="eastAsia" w:ascii="宋体" w:hAnsi="宋体" w:cs="宋体"/>
          <w:color w:val="auto"/>
          <w:szCs w:val="21"/>
          <w:highlight w:val="none"/>
        </w:rPr>
        <w:t xml:space="preserve">采购单位对未成交单位不承担解释未成交原因的义务。</w:t>
      </w:r>
      <w:r/>
    </w:p>
    <w:p>
      <w:pPr>
        <w:spacing w:line="360" w:lineRule="auto"/>
        <w:tabs>
          <w:tab w:val="left" w:pos="851"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7.授予合同</w:t>
      </w:r>
      <w:r/>
    </w:p>
    <w:p>
      <w:pPr>
        <w:spacing w:line="360" w:lineRule="auto"/>
        <w:tabs>
          <w:tab w:val="left" w:pos="851"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7.1签订合同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7.1.3成交供应商拒绝签订政府采购合同的，采购人可以重新开展采购活动。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7.1.4竞争性磋商文件、成交供应商的响应文件及竞争性磋商过程中有关澄清、承诺文件均应作为合同附件。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spacing w:line="360" w:lineRule="auto"/>
        <w:tabs>
          <w:tab w:val="left" w:pos="851"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7.2服务的追加、减少</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7.2.1采购结束后，采购人若由于各种客观原因，必须对采购项目所牵涉的服务进行适当地减少时，在双方协商一致的前提下，可以按照竞争性磋商采购时的价格水平做相应的调减，并据此签订补充合同。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8.服务费</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收费标准：中标供应商在领取成交通知书时成交单位向招标代理机构一次性付清。按照预算金额的如下比例进行计算：即100万元以内1.5%、100～500万元以1.1%、500~1000万元以0.8%，差额定率累进法计算并支付成交服务费</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本项目中标服务费：人民币肆万伍仟叁佰肆拾玖元整（￥：45349.00元）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账户名：苏州市诚源招投标代理有限公司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账  号：10553901040020646</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开户行：中国农业银行股份有限公司苏州国贸支行</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9.磋商说明：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（2）参加磋商的供应商必须</w:t>
      </w:r>
      <w:r>
        <w:rPr>
          <w:rFonts w:hint="eastAsia" w:ascii="宋体" w:hAnsi="宋体" w:cs="宋体"/>
          <w:color w:val="auto"/>
          <w:szCs w:val="21"/>
          <w:highlight w:val="none"/>
          <w:lang w:bidi="ar"/>
        </w:rPr>
        <w:t xml:space="preserve">法定代表人或授权委托人</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（3）响应文件签署不符合要求的，响应文件将被拒绝；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（4）最终报价超过采购预算的，不能成交；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（5）不实质性响应磋商文件的不能成交；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（6）实质性响应磋商文件不满三家或进入二次报价的不满三家或二次报价在采购预算内不满三家的，磋商采购失败。</w:t>
      </w:r>
      <w:r/>
    </w:p>
    <w:p>
      <w:pPr>
        <w:pStyle w:val="920"/>
        <w:jc w:val="both"/>
        <w:spacing w:line="360" w:lineRule="auto"/>
        <w:rPr>
          <w:rFonts w:hint="eastAsia" w:ascii="宋体" w:hAnsi="宋体" w:cs="宋体"/>
          <w:b w:val="0"/>
          <w:bCs w:val="0"/>
          <w:color w:val="auto"/>
          <w:sz w:val="21"/>
          <w:szCs w:val="21"/>
          <w:highlight w:val="none"/>
        </w:rPr>
      </w:pPr>
      <w:r>
        <w:rPr>
          <w:rFonts w:hint="eastAsia" w:ascii="宋体" w:hAnsi="宋体" w:cs="宋体"/>
          <w:color w:val="auto"/>
          <w:sz w:val="21"/>
          <w:szCs w:val="21"/>
          <w:highlight w:val="none"/>
        </w:rPr>
        <w:t xml:space="preserve">10.未尽事宜：</w:t>
      </w:r>
      <w:r>
        <w:rPr>
          <w:rFonts w:hint="eastAsia" w:ascii="宋体" w:hAnsi="宋体" w:cs="宋体"/>
          <w:b w:val="0"/>
          <w:bCs w:val="0"/>
          <w:color w:val="auto"/>
          <w:sz w:val="21"/>
          <w:szCs w:val="21"/>
          <w:highlight w:val="none"/>
        </w:rPr>
        <w:t xml:space="preserve">按《中华人民共和国政府采购法》及其他有关的法律法规的规定执行。</w:t>
      </w:r>
      <w:r/>
    </w:p>
    <w:p>
      <w:pPr>
        <w:pStyle w:val="920"/>
        <w:numPr>
          <w:ilvl w:val="0"/>
          <w:numId w:val="1"/>
        </w:numPr>
        <w:spacing w:line="360" w:lineRule="auto"/>
        <w:rPr>
          <w:rFonts w:hint="eastAsia" w:ascii="宋体" w:hAnsi="宋体" w:cs="宋体"/>
          <w:color w:val="auto"/>
          <w:sz w:val="44"/>
          <w:szCs w:val="44"/>
          <w:highlight w:val="none"/>
        </w:rPr>
      </w:pPr>
      <w:r/>
      <w:bookmarkStart w:id="1" w:name="_Toc31412"/>
      <w:r>
        <w:rPr>
          <w:rFonts w:hint="eastAsia" w:ascii="宋体" w:hAnsi="宋体" w:cs="宋体"/>
          <w:color w:val="auto"/>
          <w:sz w:val="44"/>
          <w:szCs w:val="44"/>
          <w:highlight w:val="none"/>
        </w:rPr>
        <w:br w:type="page" w:clear="all"/>
      </w:r>
      <w:r>
        <w:rPr>
          <w:rStyle w:val="924"/>
          <w:rFonts w:hint="eastAsia" w:ascii="宋体" w:hAnsi="宋体" w:cs="宋体"/>
          <w:b/>
          <w:color w:val="auto"/>
          <w:sz w:val="43"/>
          <w:szCs w:val="43"/>
          <w:highlight w:val="none"/>
        </w:rPr>
        <w:t xml:space="preserve">采购需求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受</w:t>
      </w:r>
      <w:r>
        <w:rPr>
          <w:rFonts w:hint="eastAsia" w:ascii="宋体" w:hAnsi="宋体" w:cs="宋体"/>
          <w:color w:val="auto"/>
          <w:highlight w:val="none"/>
          <w:u w:val="single"/>
        </w:rPr>
        <w:t xml:space="preserve">苏州市应急管理局</w:t>
      </w:r>
      <w:r>
        <w:rPr>
          <w:rFonts w:hint="eastAsia" w:ascii="宋体" w:hAnsi="宋体" w:cs="宋体"/>
          <w:color w:val="auto"/>
          <w:highlight w:val="none"/>
        </w:rPr>
        <w:t xml:space="preserve">之委托，苏州市诚源招投标代理有限公司对其需采购的</w:t>
      </w:r>
      <w:r>
        <w:rPr>
          <w:rFonts w:hint="eastAsia" w:ascii="宋体" w:hAnsi="宋体" w:cs="宋体"/>
          <w:color w:val="auto"/>
          <w:highlight w:val="none"/>
          <w:u w:val="single"/>
        </w:rPr>
        <w:t xml:space="preserve">苏州市直升机综合应急应用服务项</w:t>
      </w:r>
      <w:r>
        <w:rPr>
          <w:rFonts w:hint="eastAsia" w:ascii="宋体" w:hAnsi="宋体" w:cs="宋体"/>
          <w:color w:val="auto"/>
          <w:highlight w:val="none"/>
        </w:rPr>
        <w:t xml:space="preserve">目在国内组织竞争性磋商采购。欢迎符合资格条件的供应商前来报名参加磋商。</w:t>
      </w:r>
      <w:r/>
    </w:p>
    <w:p>
      <w:pPr>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一、磋商编号：</w:t>
      </w:r>
      <w:r>
        <w:rPr>
          <w:rFonts w:hint="eastAsia" w:ascii="宋体" w:hAnsi="宋体" w:cs="宋体"/>
          <w:bCs/>
          <w:color w:val="auto"/>
          <w:szCs w:val="21"/>
          <w:highlight w:val="none"/>
        </w:rPr>
        <w:t xml:space="preserve">JSZC-320500-SZSC-C2026-0008</w:t>
      </w:r>
      <w:r/>
    </w:p>
    <w:p>
      <w:pPr>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二、采购方式：</w:t>
      </w:r>
      <w:r>
        <w:rPr>
          <w:rFonts w:hint="eastAsia" w:ascii="宋体" w:hAnsi="宋体" w:cs="宋体"/>
          <w:bCs/>
          <w:color w:val="auto"/>
          <w:szCs w:val="21"/>
          <w:highlight w:val="none"/>
        </w:rPr>
        <w:t xml:space="preserve">竞争性磋商采购</w:t>
      </w:r>
      <w:r/>
    </w:p>
    <w:p>
      <w:pPr>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三、项目名称：</w:t>
      </w:r>
      <w:r>
        <w:rPr>
          <w:rFonts w:hint="eastAsia" w:ascii="宋体" w:hAnsi="宋体" w:cs="宋体"/>
          <w:bCs/>
          <w:color w:val="auto"/>
          <w:szCs w:val="21"/>
          <w:highlight w:val="none"/>
        </w:rPr>
        <w:t xml:space="preserve">苏州市直升机综合应急应用服务项目</w:t>
      </w:r>
      <w:r/>
    </w:p>
    <w:p>
      <w:pPr>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四、</w:t>
      </w:r>
      <w:r>
        <w:rPr>
          <w:rFonts w:hint="eastAsia" w:ascii="宋体" w:hAnsi="宋体" w:cs="宋体"/>
          <w:b/>
          <w:color w:val="auto"/>
          <w:highlight w:val="none"/>
        </w:rPr>
        <w:t xml:space="preserve">采购预算</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人民币叁佰柒拾伍万玖仟元整（¥：3759000.00元）</w:t>
      </w:r>
      <w:r/>
    </w:p>
    <w:p>
      <w:pPr>
        <w:spacing w:line="360" w:lineRule="auto"/>
        <w:rPr>
          <w:rFonts w:hint="eastAsia" w:asciiTheme="minorEastAsia" w:hAnsiTheme="minorEastAsia" w:eastAsiaTheme="minorEastAsia" w:cstheme="minorEastAsia"/>
          <w:bCs/>
          <w:color w:val="auto"/>
          <w:szCs w:val="21"/>
          <w:highlight w:val="none"/>
        </w:rPr>
      </w:pPr>
      <w:r>
        <w:rPr>
          <w:rFonts w:hint="eastAsia" w:ascii="宋体" w:hAnsi="宋体" w:cs="宋体"/>
          <w:b/>
          <w:color w:val="auto"/>
          <w:szCs w:val="21"/>
          <w:highlight w:val="none"/>
        </w:rPr>
        <w:t xml:space="preserve">五、</w:t>
      </w:r>
      <w:r>
        <w:rPr>
          <w:rFonts w:hint="eastAsia" w:ascii="宋体" w:hAnsi="宋体" w:cs="宋体"/>
          <w:b/>
          <w:color w:val="auto"/>
          <w:highlight w:val="none"/>
        </w:rPr>
        <w:t xml:space="preserve">服务期限</w:t>
      </w:r>
      <w:r>
        <w:rPr>
          <w:rFonts w:hint="eastAsia" w:asciiTheme="minorEastAsia" w:hAnsiTheme="minorEastAsia" w:eastAsiaTheme="minorEastAsia" w:cstheme="minorEastAsia"/>
          <w:b/>
          <w:color w:val="auto"/>
          <w:szCs w:val="21"/>
          <w:highlight w:val="none"/>
        </w:rPr>
        <w:t xml:space="preserve">：</w:t>
      </w:r>
      <w:r>
        <w:rPr>
          <w:rFonts w:hint="eastAsia" w:asciiTheme="minorEastAsia" w:hAnsiTheme="minorEastAsia" w:eastAsiaTheme="minorEastAsia" w:cstheme="minorEastAsia"/>
          <w:bCs/>
          <w:color w:val="auto"/>
          <w:szCs w:val="21"/>
          <w:highlight w:val="none"/>
        </w:rPr>
        <w:t xml:space="preserve">一年（具体时间以甲方要求）</w:t>
      </w:r>
      <w:r/>
    </w:p>
    <w:p>
      <w:pPr>
        <w:jc w:val="left"/>
        <w:spacing w:line="360" w:lineRule="auto"/>
        <w:widowControl/>
        <w:rPr>
          <w:rFonts w:hint="eastAsia" w:ascii="宋体" w:hAnsi="宋体" w:cs="宋体"/>
          <w:bCs/>
          <w:color w:val="auto"/>
          <w:szCs w:val="21"/>
          <w:highlight w:val="none"/>
          <w:shd w:val="clear" w:color="auto" w:fill="ffffff"/>
          <w:lang w:bidi="ar"/>
        </w:rPr>
      </w:pPr>
      <w:r>
        <w:rPr>
          <w:rFonts w:hint="eastAsia" w:asciiTheme="minorEastAsia" w:hAnsiTheme="minorEastAsia" w:eastAsiaTheme="minorEastAsia" w:cstheme="minorEastAsia"/>
          <w:b/>
          <w:color w:val="auto"/>
          <w:szCs w:val="21"/>
          <w:highlight w:val="none"/>
        </w:rPr>
        <w:t xml:space="preserve">六、</w:t>
      </w:r>
      <w:r>
        <w:rPr>
          <w:rFonts w:hint="eastAsia" w:ascii="宋体" w:hAnsi="宋体" w:cs="宋体"/>
          <w:b/>
          <w:color w:val="auto"/>
          <w:szCs w:val="21"/>
          <w:highlight w:val="none"/>
          <w:shd w:val="clear" w:color="auto" w:fill="ffffff"/>
          <w:lang w:bidi="ar"/>
        </w:rPr>
        <w:t xml:space="preserve">服务地点</w:t>
      </w:r>
      <w:r>
        <w:rPr>
          <w:rFonts w:hint="eastAsia" w:ascii="宋体" w:hAnsi="宋体" w:cs="宋体"/>
          <w:bCs/>
          <w:color w:val="auto"/>
          <w:szCs w:val="21"/>
          <w:highlight w:val="none"/>
          <w:shd w:val="clear" w:color="auto" w:fill="ffffff"/>
          <w:lang w:bidi="ar"/>
        </w:rPr>
        <w:t xml:space="preserve">：苏州市行政区范围内，必要时根据采购人指令执行跨地区任务（甲方指定地点）</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七、采购需求：</w:t>
      </w:r>
      <w:r/>
    </w:p>
    <w:p>
      <w:pPr>
        <w:pStyle w:val="973"/>
        <w:spacing w:line="480" w:lineRule="exact"/>
        <w:tabs>
          <w:tab w:val="left" w:pos="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（一）服务需求基本内容</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（1）项目金额与飞行小时：本项目采购直升机租赁飞行服务，服务内容包含不低于67飞行小时,含应急救援训练、演练及航空救援保障。供应商所提供的直升机及机组需具备吊桶灭火作业的能力。</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供应商提供飞行服务的单发/双发涡轴直升机总飞行小时少于2000小时，相应机型需具备运行手册、运行规范和航空器民航签发的三证（适航证、国籍登记证、电台执照）。投标直升机应具备良好的维护性，直升机适航供应商需提供投标直升机机型介绍、机载设备和主要性能参数，提供投标直升机的发动机寿命和主减速器的定检大修间隔时间。</w:t>
      </w:r>
      <w:r/>
    </w:p>
    <w:p>
      <w:pPr>
        <w:spacing w:line="4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（3）专业人员保障</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①机组数量要求</w:t>
      </w:r>
      <w:r/>
    </w:p>
    <w:p>
      <w:pPr>
        <w:ind w:firstLine="420"/>
        <w:spacing w:line="4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配备1套专业机组人员（包括机长、副驾驶、维修放行人员等）</w:t>
      </w:r>
      <w:r/>
    </w:p>
    <w:p>
      <w:pPr>
        <w:ind w:firstLine="420"/>
        <w:spacing w:line="4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供应商须提供机组人员情况配置一览表，与供应商签订的全职劳动合同或兼职合同等证明材料。</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②飞行人员要求</w:t>
      </w:r>
      <w:r/>
    </w:p>
    <w:p>
      <w:pPr>
        <w:ind w:firstLine="420"/>
        <w:spacing w:line="4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供应商需提供不少于2名所投机型的飞行驾驶员，其中至少1名飞行驾驶员具备所投机型的民航机长资质。</w:t>
      </w:r>
      <w:r/>
    </w:p>
    <w:p>
      <w:pPr>
        <w:ind w:firstLine="420"/>
        <w:spacing w:line="4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机长总飞行小时不得少于1000小时，，年龄60周岁以下；副驾驶总飞行小时不得少于500小时，年龄50周岁以下。</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③维修人员要求:</w:t>
      </w:r>
      <w:r/>
    </w:p>
    <w:p>
      <w:pPr>
        <w:ind w:firstLine="420"/>
        <w:spacing w:line="4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供应商需提供至少2名具备该机型维修人员执照的维修机组人员（其中至少1名具备放行人员资质），均需提供中国民航颁发的维修执照及所投机型的授权证明。</w:t>
      </w:r>
      <w:r/>
    </w:p>
    <w:p>
      <w:pPr>
        <w:ind w:firstLine="420"/>
        <w:spacing w:line="4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供应商提供的机组人员需相对固定，不得随意更换；如确需更换机组人员需提前3个日历日向采购人报备，经采购人同意后方可更换。</w:t>
      </w:r>
      <w:r/>
    </w:p>
    <w:p>
      <w:pPr>
        <w:pStyle w:val="922"/>
        <w:ind w:firstLine="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（4）运维保障</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中标供应商按照直升机机型维护手册规定的时限、内容和要求，完成周期性检修、维修工作，确保直升机寿命、寿命件完好状态，无超寿、超时、漏项。直升机的定检、改装、更换零部件及检修维修工作应向采购方提供方案。</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（5）运行保障</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中标供应商应在中标后一个月内，建立与空域管制单位飞行保障及应急飞行保障机制，并提供满足采购人应急救援需求的空域、航线、应急起降点等服务方案，负责飞行的申报及协调工作，保证飞行任务顺利实施。</w:t>
      </w:r>
      <w:r/>
    </w:p>
    <w:p>
      <w:pPr>
        <w:spacing w:line="4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（二）服务需求具体要求</w:t>
      </w:r>
      <w:r/>
    </w:p>
    <w:p>
      <w:pPr>
        <w:pStyle w:val="974"/>
        <w:ind w:firstLine="210"/>
        <w:jc w:val="both"/>
        <w:spacing w:after="0" w:line="480" w:lineRule="exact"/>
        <w:rPr>
          <w:rFonts w:hint="eastAsia" w:ascii="宋体" w:hAnsi="宋体" w:cs="宋体"/>
          <w:color w:val="auto"/>
          <w:sz w:val="21"/>
          <w:szCs w:val="21"/>
          <w:highlight w:val="none"/>
          <w:lang w:eastAsia="zh-CN" w:bidi="ar-SA"/>
        </w:rPr>
      </w:pPr>
      <w:r>
        <w:rPr>
          <w:rFonts w:hint="eastAsia" w:ascii="宋体" w:hAnsi="宋体" w:cs="宋体"/>
          <w:color w:val="auto"/>
          <w:sz w:val="21"/>
          <w:szCs w:val="21"/>
          <w:highlight w:val="none"/>
          <w:lang w:eastAsia="zh-CN"/>
        </w:rPr>
        <w:t xml:space="preserve">（1）飞行任务</w:t>
      </w:r>
      <w:r>
        <w:rPr>
          <w:rFonts w:hint="eastAsia" w:ascii="宋体" w:hAnsi="宋体" w:cs="宋体"/>
          <w:color w:val="auto"/>
          <w:sz w:val="21"/>
          <w:szCs w:val="21"/>
          <w:highlight w:val="none"/>
          <w:lang w:eastAsia="zh-CN" w:bidi="ar-SA"/>
        </w:rPr>
        <w:t xml:space="preserve">：</w:t>
      </w:r>
      <w:r>
        <w:rPr>
          <w:rFonts w:hint="eastAsia" w:ascii="宋体" w:hAnsi="宋体" w:cs="宋体"/>
          <w:color w:val="auto"/>
          <w:sz w:val="21"/>
          <w:szCs w:val="21"/>
          <w:highlight w:val="none"/>
          <w:lang w:eastAsia="zh-CN"/>
        </w:rPr>
        <w:t xml:space="preserve">采购人工作需求的相关飞行任务</w:t>
      </w:r>
      <w:r>
        <w:rPr>
          <w:rFonts w:hint="eastAsia" w:ascii="宋体" w:hAnsi="宋体" w:cs="宋体"/>
          <w:color w:val="auto"/>
          <w:sz w:val="21"/>
          <w:szCs w:val="21"/>
          <w:highlight w:val="none"/>
          <w:lang w:eastAsia="zh-CN" w:bidi="ar-SA"/>
        </w:rPr>
        <w:t xml:space="preserve">。</w:t>
      </w:r>
      <w:r/>
    </w:p>
    <w:p>
      <w:pPr>
        <w:ind w:firstLine="21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en-US"/>
        </w:rPr>
        <w:t xml:space="preserve">（2）服务地区：</w:t>
      </w:r>
      <w:r>
        <w:rPr>
          <w:rFonts w:hint="eastAsia" w:ascii="宋体" w:hAnsi="宋体" w:cs="宋体"/>
          <w:color w:val="auto"/>
          <w:szCs w:val="21"/>
          <w:highlight w:val="none"/>
        </w:rPr>
        <w:t xml:space="preserve">苏州市行政区范围内，必要时根据采购人指令执行跨地区任务。</w:t>
      </w:r>
      <w:r/>
    </w:p>
    <w:p>
      <w:pPr>
        <w:ind w:firstLine="21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基地及其他机场保障：供应商承诺在中标后一个月内服务地区自建或租赁具有运行、维修等能力的保障基地。基地、机场使用协议以供应商名义签署，供应商通过签署保障协议获得使用机场和基地各种保障设施和保障服务的权利，使用及保障费用包含于本项目预算费用当中。</w:t>
      </w:r>
      <w:r/>
    </w:p>
    <w:p>
      <w:pPr>
        <w:pStyle w:val="93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①其他机场为根据工作需要使用的民用机场、直升机起降场、飞行营地及临时起降点。</w:t>
      </w:r>
      <w:r/>
    </w:p>
    <w:p>
      <w:pPr>
        <w:pStyle w:val="93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②直升机飞行所需使用合同规定以外的其他机场或起降点的申请由采购人告知供应商，由供应商负责办理获得批准的具体工作。</w:t>
      </w:r>
      <w:r/>
    </w:p>
    <w:p>
      <w:pPr>
        <w:pStyle w:val="93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③临时起降点的申请、维护、保障、使用等费用由供应商负责。</w:t>
      </w:r>
      <w:r/>
    </w:p>
    <w:p>
      <w:pPr>
        <w:pStyle w:val="93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④其它机场的使用协议由供应商负责签署，并负责相关的办文、协调和机场使用费用。</w:t>
      </w:r>
      <w:r/>
    </w:p>
    <w:p>
      <w:pPr>
        <w:numPr>
          <w:ilvl w:val="0"/>
          <w:numId w:val="2"/>
        </w:numPr>
        <w:ind w:firstLine="210"/>
        <w:spacing w:line="480" w:lineRule="exact"/>
        <w:rPr>
          <w:rFonts w:hint="eastAsia" w:ascii="宋体" w:hAnsi="宋体" w:cs="宋体"/>
          <w:color w:val="auto"/>
          <w:szCs w:val="21"/>
          <w:highlight w:val="none"/>
          <w:lang w:bidi="en-US"/>
        </w:rPr>
      </w:pPr>
      <w:r>
        <w:rPr>
          <w:rFonts w:ascii="宋体" w:hAnsi="宋体" w:cs="宋体"/>
          <w:color w:val="auto"/>
          <w:szCs w:val="21"/>
          <w:highlight w:val="none"/>
          <w:lang w:bidi="en-US"/>
        </w:rPr>
        <w:t xml:space="preserve">油料保障：提供燃油保障，油料及加注等流程符合国家航空器加注相关标准。</w:t>
      </w:r>
      <w:r/>
    </w:p>
    <w:p>
      <w:pPr>
        <w:ind w:firstLine="21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（5）为保证采购人工作需求的执行，双方应当共同成立一个协调小组，负责组织、联络、管理和协调飞行服务的有关事务，以保证本项目的顺利执行。协调小组的人员组成由双方各自指派，其主要职责是：</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①制定双方合作的各种程序和规定；</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②定期召开会议，通报情况，研究解决问题；</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③每次飞行服务结束，双方代表签字确认飞行时间数确认书，该确认书一式两份，采购人和供应商各一份。</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（6）双方必须严格遵守国家有关航空器管理的法律、法规，定期或不定期召开协调会议，对服务项目执行情况进行总结、评估，协商解决飞行服务管理的相关事宜。</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（7）飞行需求由采购人提出，</w:t>
      </w:r>
      <w:r>
        <w:rPr>
          <w:rFonts w:hint="eastAsia" w:ascii="宋体" w:hAnsi="宋体" w:cs="宋体"/>
          <w:color w:val="auto"/>
          <w:szCs w:val="21"/>
          <w:highlight w:val="none"/>
        </w:rPr>
        <w:t xml:space="preserve">供应商需根据采购人提出的飞行需求向机组人员下达飞行任务。</w:t>
      </w:r>
      <w:r>
        <w:rPr>
          <w:rFonts w:hint="eastAsia" w:ascii="宋体" w:hAnsi="宋体" w:cs="宋体"/>
          <w:color w:val="auto"/>
          <w:szCs w:val="21"/>
          <w:highlight w:val="none"/>
        </w:rPr>
        <w:t xml:space="preserve">采购人依据</w:t>
      </w:r>
      <w:r>
        <w:rPr>
          <w:rFonts w:hint="eastAsia" w:ascii="宋体" w:hAnsi="宋体" w:cs="宋体"/>
          <w:color w:val="auto"/>
          <w:szCs w:val="21"/>
          <w:highlight w:val="none"/>
        </w:rPr>
        <w:t xml:space="preserve">工作需要可安排</w:t>
      </w:r>
      <w:r>
        <w:rPr>
          <w:rFonts w:hint="eastAsia" w:ascii="宋体" w:hAnsi="宋体" w:cs="宋体"/>
          <w:color w:val="auto"/>
          <w:szCs w:val="21"/>
          <w:highlight w:val="none"/>
        </w:rPr>
        <w:t xml:space="preserve">相关人员随机作业。双方人员在确保飞机安全的前提下，密切配合，完成各项任务。</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（8）双方共同制定飞行服务的工作规程，建立有关保障协同机制，供应商人员应遵守采购人的有关规定；直升机飞行实行机长负责制，在确保飞行安全的前提下，供应商须满足采购人提出的飞行服务要求。</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en-US"/>
        </w:rPr>
        <w:t xml:space="preserve">（9）报告程序：</w:t>
      </w:r>
      <w:r>
        <w:rPr>
          <w:rFonts w:hint="eastAsia" w:ascii="宋体" w:hAnsi="宋体" w:cs="宋体"/>
          <w:color w:val="auto"/>
          <w:szCs w:val="21"/>
          <w:highlight w:val="none"/>
        </w:rPr>
        <w:t xml:space="preserve">采购人和供应商应在每次飞行服务开始之前，对飞行情况报告的格式达成一致，报告信息包括：</w:t>
      </w:r>
      <w:r/>
    </w:p>
    <w:p>
      <w:pPr>
        <w:ind w:firstLine="63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①直升机的可用性。</w:t>
      </w:r>
      <w:r/>
    </w:p>
    <w:p>
      <w:pPr>
        <w:ind w:firstLine="63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②执行飞行训练的情况。</w:t>
      </w:r>
      <w:r/>
    </w:p>
    <w:p>
      <w:pPr>
        <w:ind w:firstLine="63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③完成服务需求的情况。</w:t>
      </w:r>
      <w:r/>
    </w:p>
    <w:p>
      <w:pPr>
        <w:ind w:firstLine="63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④预计飞行时间，特殊情况签订合同时约定。</w:t>
      </w:r>
      <w:r/>
    </w:p>
    <w:p>
      <w:pPr>
        <w:ind w:firstLine="63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⑤可能影响将来飞行服务的预计问题。</w:t>
      </w:r>
      <w:r/>
    </w:p>
    <w:p>
      <w:pPr>
        <w:ind w:firstLine="63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⑥影响直升机可用性的配件和设备的情况。</w:t>
      </w:r>
      <w:r/>
    </w:p>
    <w:p>
      <w:pPr>
        <w:ind w:firstLine="63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⑦机组人员适合飞行的情况。</w:t>
      </w:r>
      <w:r/>
    </w:p>
    <w:p>
      <w:pPr>
        <w:ind w:firstLine="63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⑧其他双方通过协商解决的情况。</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（10）供应商负责实施直升机的调机及遣返。</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（11）供应商负责办理飞行任务审批、机场使用和航管协调的具体工作。此过程产生的费用需包含在报价中。合同启算时间从飞机调机到达采购人指定地点之日起计算。</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（12）供应商负责向有关空管部门上报年度飞行计划和飞行日计划。</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（13）供应商需根据采购人提出的飞行需求向机组人员下达飞行任务。</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（14）供应商负责直升机的飞行安全和管理，维修、保养、换件、定检、排故等机务维修工作及费用，保证直升机的适航状态。</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（15）供应商负责制定并实施任务员以及上机作业人员的训练计划</w:t>
      </w:r>
      <w:r>
        <w:rPr>
          <w:rFonts w:hint="eastAsia" w:ascii="宋体" w:hAnsi="宋体" w:cs="宋体"/>
          <w:color w:val="auto"/>
          <w:szCs w:val="21"/>
          <w:highlight w:val="none"/>
        </w:rPr>
        <w:t xml:space="preserve">。该训练计划应在合同生效后10个工作日内会同相关部门完成制定，并提交采购人确认</w:t>
      </w:r>
      <w:r>
        <w:rPr>
          <w:rFonts w:hint="eastAsia" w:ascii="宋体" w:hAnsi="宋体" w:cs="宋体"/>
          <w:color w:val="auto"/>
          <w:szCs w:val="21"/>
          <w:highlight w:val="none"/>
        </w:rPr>
        <w:t xml:space="preserve">。</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（16）供应商负责承担直升机航空油料费用，保障基地使用费用等。</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（17）供应商依法承担支付本项目所得收入的税金义务。</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（18）为了安全执行飞行任务，必须进行充分的训练。双方将根据各类作业的实际要求，制定机组、乘员、设备操作员的独立操作和协同训练大纲和训练计划，并认真加以实施。</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（19）由于直升机维修保障的特殊要求，每个月平均有4天（日历天）的时间进行直升机的定检维修和排故工作。供应商需在定检和排故工作前5天（日历天）提前告知采购人。</w:t>
      </w:r>
      <w:r/>
    </w:p>
    <w:p>
      <w:pPr>
        <w:pStyle w:val="904"/>
        <w:ind w:firstLine="420"/>
        <w:spacing w:after="0"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（20）供应商将在保证采购人飞行服务需求的前提下安排直升机维护计划。如遇直升机大修或年检等需停场超过4天（日历天）的维护工作，应至少提前一周时间书面通知采购人，以</w:t>
      </w:r>
      <w:r>
        <w:rPr>
          <w:rFonts w:hint="eastAsia" w:ascii="宋体" w:hAnsi="宋体" w:cs="宋体"/>
          <w:color w:val="auto"/>
          <w:szCs w:val="21"/>
          <w:highlight w:val="none"/>
        </w:rPr>
        <w:t xml:space="preserve">便于采购人做好任务调整安排。</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正常的训练飞行计划应于飞行前5日由采购人通知供应商，由供应商负责申报;应急演练飞行计划应提前三日由采购人通知供应商;对于计划外的应急飞行，供应商在接到采购人飞行服务需求后，应积极协调相关部门尽量满足采购人飞行要求。</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（22）供应商进行的所有飞行训练应事先与采购人协调后进行，</w:t>
      </w:r>
      <w:r>
        <w:rPr>
          <w:rFonts w:ascii="宋体" w:hAnsi="宋体" w:cs="宋体"/>
          <w:color w:val="auto"/>
          <w:szCs w:val="21"/>
          <w:highlight w:val="none"/>
        </w:rPr>
        <w:t xml:space="preserve">在自身拥有的直升机不能够满足任务需求情况下，能够协调其他通航公司提供适配甲方任务需求的机型，提升直升机综合应急服</w:t>
      </w:r>
      <w:r>
        <w:rPr>
          <w:rFonts w:ascii="宋体" w:hAnsi="宋体" w:cs="宋体"/>
          <w:color w:val="auto"/>
          <w:szCs w:val="21"/>
          <w:highlight w:val="none"/>
        </w:rPr>
        <w:t xml:space="preserve">务能力。</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（23）为了保证飞行安全，飞行实行机长负责制，在确保飞行安全的前提下，供应商须满足采购人提出的飞行服务要求。</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（24）经采购人审查批准乘机人员的名单应以书面形式告知供应商，由双方共同对登机人员和随机物品进行身份确认和安全检查后方可乘机，无关人员严禁登机。</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（25）每次飞行前，供应商应严格按照民航标准对直升机有效载荷进行检查，不得出现违规超载情况，确保飞行安全。</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（26）在规定的租赁服务期内及调机遣返过程中，供应商负责</w:t>
      </w:r>
      <w:r>
        <w:rPr>
          <w:rFonts w:hint="eastAsia" w:ascii="宋体" w:hAnsi="宋体" w:cs="宋体"/>
          <w:color w:val="auto"/>
          <w:szCs w:val="21"/>
          <w:highlight w:val="none"/>
        </w:rPr>
        <w:t xml:space="preserve">投保所投飞机的机身险、第三责任险、乘客和机上工作人员（含机舱内、外）意外伤害险等，以应对意外事故发生。投标文件中提供承诺函或保单复印件加盖公章。</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（27）在服务期限内，因飞行服务发生的一切损失，由供应商负责赔偿。</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（28）飞行小时的统计方法</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以直升机旋翼开始转动至直升机旋翼停止转动之间的时间为统计飞行时间的依据，精确到分钟。直升机地面维护运转时间、直升机定检及大项工作运转时间、直升机规定停放运转时间及因航空管制等其他原因产生的待机时间等，不计入飞行收费时间。</w:t>
      </w:r>
      <w:r/>
    </w:p>
    <w:p>
      <w:pPr>
        <w:ind w:firstLine="420"/>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(29)本项目履行过程中，若遇不可抗力事件发生时，任何一方应及时通知对方并阐明原因。双方应尽力将损失减小到最小程度，双方可在不可抗力的情况下，通过协商以书面形式终止项目合同，对此双方不向对方承担任何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(30)双方在执行本项目过程中，因不可抗力而引起的干扰、受阻或延误等，不被视作违约。</w:t>
      </w:r>
      <w:r/>
    </w:p>
    <w:p>
      <w:pPr>
        <w:spacing w:line="360" w:lineRule="auto"/>
        <w:tabs>
          <w:tab w:val="left" w:pos="451"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八、综合说明：</w:t>
      </w:r>
      <w:r/>
    </w:p>
    <w:p>
      <w:pPr>
        <w:ind w:firstLine="411"/>
        <w:spacing w:line="360" w:lineRule="auto"/>
        <w:rPr>
          <w:rFonts w:hint="eastAsia" w:ascii="宋体" w:hAnsi="宋体"/>
          <w:color w:val="auto"/>
          <w:highlight w:val="none"/>
        </w:rPr>
      </w:pPr>
      <w:r>
        <w:rPr>
          <w:rFonts w:hint="eastAsia" w:ascii="宋体" w:hAnsi="宋体" w:cs="宋体"/>
          <w:color w:val="auto"/>
          <w:szCs w:val="21"/>
          <w:highlight w:val="none"/>
        </w:rPr>
        <w:t xml:space="preserve">1.本项目</w:t>
      </w:r>
      <w:r>
        <w:rPr>
          <w:rFonts w:hint="eastAsia" w:ascii="宋体" w:hAnsi="宋体"/>
          <w:color w:val="auto"/>
          <w:highlight w:val="none"/>
        </w:rPr>
        <w:t xml:space="preserve">除非因特殊原因并经买卖双方协商同意，投标人不得再要求追加任何费用。</w:t>
      </w:r>
      <w:r/>
    </w:p>
    <w:p>
      <w:pPr>
        <w:ind w:firstLine="411"/>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hint="eastAsia" w:ascii="宋体" w:hAnsi="宋体" w:cs="宋体"/>
          <w:b/>
          <w:bCs/>
          <w:color w:val="auto"/>
          <w:szCs w:val="21"/>
          <w:highlight w:val="none"/>
          <w:lang w:bidi="ar"/>
        </w:rPr>
      </w:pPr>
      <w:r>
        <w:rPr>
          <w:rFonts w:hint="eastAsia" w:ascii="宋体" w:hAnsi="宋体" w:cs="宋体"/>
          <w:bCs/>
          <w:color w:val="auto"/>
          <w:szCs w:val="21"/>
          <w:highlight w:val="none"/>
        </w:rPr>
        <w:t xml:space="preserve">3.根据《政府采购促进中小企业发展管理办法》（财库〔2020〕46号）及《中小企业划型标准规定》（工信部联企业〔2011〕300号），本采购标的对应的中小企业划分标准所属行业为: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lang w:bidi="ar"/>
        </w:rPr>
        <w:t xml:space="preserve">交通运输业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4.中标人派遣人员给采购人造成的经济损失，由中标人负责。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5.中标人派遣人员有以下情形之一的，采购人可立即通知并退回：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①在试用期内不符合采购人工作要求的。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②严重违反采购人劳动纪律、规章制度的。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③严重工作失职，营私舞弊，给采购人造成重大经济损失的。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④被依法追究刑事责任的。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⑤发生其他应退回的事宜。</w:t>
      </w:r>
      <w:r/>
    </w:p>
    <w:p>
      <w:pPr>
        <w:ind w:firstLine="411"/>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采购人按照项目考核规定内容，按季度对项目进行一次验收、分期考核，验收不合格或分期考核不达标的，采购人应当严格按约定条件，要求供应商整改或依约定解除合同，属于合同续签采购项目的，应当终止续签合同。</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九、信用查询</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（1）查询截止时点：响应文件递交截止时间。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查询渠道：通过苏州市公共资源交易中心“交易管理平台”实现,一是:信用苏州涉及政府采购数据无缝对接并嵌入到“交易管理平台”,在评标过程中,在线实时获取并生成各投标供应商的信用情况,对于失信投标供应商将展现‘其处罚行为信息,采购人(代理机构)、评审专家等即可根据获取信息进行评审；二是“交易管理平台”与中国政府采购网相对接,实现自动跳转至“中国政府采购失信行为信息记录”查询页面,采购人(代理机构)、评审专家等进一步审核各投标供应商的信用情况。</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（3）查询证据留存方式：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（4）信用记录使用规则：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（二）财政部门与法院、工商、税务等部门联合惩戒的失信信息，包括：</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（1）被列入失信被执行人名单；</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（2）被列入重大税收违法案件当事人名单；</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rPr>
        <w:t xml:space="preserve">（3）企业经营异常名录中被责令停产停业、暂扣或者吊销许可证或者执照，或者根据(苏财购〔2022〕4号)通知要求，对经营活动中的违法行为处以200万元以上数额罚款的信用记录。处罚生效日至递交（响应）文件日未满三年的。</w:t>
      </w:r>
      <w:r/>
    </w:p>
    <w:p>
      <w:pPr>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十、凡涉及招标文件的补充说明和修改，均以中国政府采购网中央主网、苏州政府采购网、江苏政府采购网上发布的补充通知为准。</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pStyle w:val="920"/>
        <w:numPr>
          <w:ilvl w:val="0"/>
          <w:numId w:val="1"/>
        </w:numPr>
        <w:spacing w:line="360" w:lineRule="auto"/>
        <w:rPr>
          <w:rStyle w:val="924"/>
          <w:rFonts w:hint="eastAsia" w:ascii="宋体" w:hAnsi="宋体" w:cs="宋体"/>
          <w:b/>
          <w:color w:val="auto"/>
          <w:sz w:val="43"/>
          <w:szCs w:val="43"/>
          <w:highlight w:val="none"/>
        </w:rPr>
      </w:pPr>
      <w:r>
        <w:rPr>
          <w:rStyle w:val="924"/>
          <w:rFonts w:hint="eastAsia" w:ascii="宋体" w:hAnsi="宋体" w:cs="宋体"/>
          <w:b/>
          <w:color w:val="auto"/>
          <w:sz w:val="43"/>
          <w:szCs w:val="43"/>
          <w:highlight w:val="none"/>
        </w:rPr>
        <w:t xml:space="preserve">评审方法及评分标准</w:t>
      </w:r>
      <w:r/>
    </w:p>
    <w:p>
      <w:pPr>
        <w:spacing w:line="360" w:lineRule="auto"/>
        <w:tabs>
          <w:tab w:val="left" w:pos="0" w:leader="none"/>
        </w:tabs>
        <w:rPr>
          <w:rFonts w:hint="eastAsia" w:ascii="宋体" w:hAnsi="宋体"/>
          <w:b/>
          <w:color w:val="auto"/>
          <w:highlight w:val="none"/>
        </w:rPr>
      </w:pPr>
      <w:r>
        <w:rPr>
          <w:rFonts w:hint="eastAsia" w:ascii="宋体" w:hAnsi="宋体"/>
          <w:b/>
          <w:color w:val="auto"/>
          <w:highlight w:val="none"/>
        </w:rPr>
        <w:t xml:space="preserve">一、评标办法</w:t>
      </w:r>
      <w:r/>
    </w:p>
    <w:p>
      <w:pPr>
        <w:ind w:left="424"/>
        <w:spacing w:line="360" w:lineRule="auto"/>
        <w:rPr>
          <w:rFonts w:hint="eastAsia" w:ascii="宋体" w:hAnsi="宋体" w:cs="宋体"/>
          <w:color w:val="auto"/>
          <w:highlight w:val="none"/>
        </w:rPr>
      </w:pPr>
      <w:r>
        <w:rPr>
          <w:rFonts w:hint="eastAsia" w:ascii="宋体" w:hAnsi="宋体" w:cs="宋体"/>
          <w:color w:val="auto"/>
          <w:highlight w:val="none"/>
        </w:rPr>
        <w:t xml:space="preserve">1.本项目采用综合评分法，即在投标文件满足招标文件全部实质性要求的前提下，按照评</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审因素的量化指标评审得分最高的投标人为中标人的评标方法。</w:t>
      </w:r>
      <w:r/>
    </w:p>
    <w:p>
      <w:pPr>
        <w:ind w:left="424"/>
        <w:spacing w:line="360" w:lineRule="auto"/>
        <w:rPr>
          <w:rFonts w:hint="eastAsia" w:ascii="宋体" w:hAnsi="宋体" w:cs="宋体"/>
          <w:color w:val="auto"/>
          <w:highlight w:val="none"/>
        </w:rPr>
      </w:pPr>
      <w:r>
        <w:rPr>
          <w:rFonts w:hint="eastAsia" w:ascii="宋体" w:hAnsi="宋体" w:cs="宋体"/>
          <w:color w:val="auto"/>
          <w:highlight w:val="none"/>
        </w:rPr>
        <w:t xml:space="preserve">2.评标时，评标委员会分别对每个有效投标人的投标书进行评价。评委的评分进行统计汇</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总后，按算术平均方法计算出每个投标人的得分；报价得分直接计算取得，二者相加为投标人的综合得分。</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3.如出现评标总得分最高的投标人有两个及以上的，以实际投标报价较低者优先作为中标人；如果投标报价也相同的，则由代理机构组织以抽签方式确定中标人</w:t>
      </w:r>
      <w:r>
        <w:rPr>
          <w:rFonts w:hint="eastAsia" w:ascii="宋体" w:hAnsi="宋体" w:cs="宋体"/>
          <w:color w:val="auto"/>
          <w:highlight w:val="none"/>
        </w:rPr>
        <w:t xml:space="preserve">。</w:t>
      </w:r>
      <w:r/>
    </w:p>
    <w:p>
      <w:pPr>
        <w:spacing w:line="360" w:lineRule="auto"/>
        <w:tabs>
          <w:tab w:val="left" w:pos="567" w:leader="none"/>
        </w:tabs>
        <w:rPr>
          <w:rFonts w:hint="eastAsia" w:ascii="宋体" w:hAnsi="宋体" w:cs="宋体"/>
          <w:bCs/>
          <w:color w:val="auto"/>
          <w:szCs w:val="21"/>
          <w:highlight w:val="none"/>
        </w:rPr>
      </w:pPr>
      <w:r>
        <w:rPr>
          <w:rFonts w:hint="eastAsia" w:ascii="宋体" w:hAnsi="宋体" w:cs="宋体"/>
          <w:b/>
          <w:color w:val="auto"/>
          <w:szCs w:val="21"/>
          <w:highlight w:val="none"/>
        </w:rPr>
        <w:t xml:space="preserve">二、政府采购政策</w:t>
      </w:r>
      <w:r/>
    </w:p>
    <w:p>
      <w:pPr>
        <w:ind w:firstLine="315"/>
        <w:spacing w:line="360" w:lineRule="auto"/>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（一）节能产品和环境标志产品</w:t>
      </w:r>
      <w:r/>
    </w:p>
    <w:p>
      <w:pPr>
        <w:ind w:firstLine="420"/>
        <w:spacing w:line="360" w:lineRule="auto"/>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根据</w:t>
      </w:r>
      <w:r>
        <w:rPr>
          <w:rFonts w:hint="eastAsia" w:ascii="宋体" w:hAnsi="宋体" w:cs="宋体"/>
          <w:bCs/>
          <w:color w:val="auto"/>
          <w:szCs w:val="21"/>
          <w:highlight w:val="none"/>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315"/>
        <w:spacing w:line="360" w:lineRule="auto"/>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（二）小微企业的价格分评审：</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根据财政部、工业和信息化部关于印发《政府采购促进中小企业发展管理办法》的通知要求执行。</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本项目专门面向中小企业采购，不允许大型及以上企业参与，响应单位不再享受价格分优惠。中小微企业在响应文件中，必须提供《中小企业声明函》。未在响应文件中提供《中小企业声明函》，其响应文件为不实质响应采购文件，为无效响应；</w:t>
      </w:r>
      <w:r/>
    </w:p>
    <w:p>
      <w:pPr>
        <w:ind w:firstLine="420"/>
        <w:spacing w:line="360" w:lineRule="auto"/>
        <w:rPr>
          <w:rFonts w:hint="eastAsia" w:ascii="宋体" w:hAnsi="宋体" w:cs="宋体"/>
          <w:b/>
          <w:color w:val="auto"/>
          <w:highlight w:val="none"/>
        </w:rPr>
      </w:pPr>
      <w:r>
        <w:rPr>
          <w:rFonts w:hint="eastAsia" w:ascii="宋体" w:hAnsi="宋体"/>
          <w:color w:val="auto"/>
          <w:highlight w:val="none"/>
        </w:rPr>
        <w:t xml:space="preserve">（特别说明：以上规定未尽事项，按《政府采购促进中小企业发展管理办法》（财库﹝</w:t>
      </w:r>
      <w:r>
        <w:rPr>
          <w:rFonts w:ascii="宋体" w:hAnsi="宋体"/>
          <w:color w:val="auto"/>
          <w:highlight w:val="none"/>
        </w:rPr>
        <w:t xml:space="preserve">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苏财购〔2020〕52号）《江苏省财政厅关于进一步加大政府采购支持中小企业力度的通知》（苏财购〔2022〕45号）等有关制度规定执行。</w:t>
      </w:r>
      <w:r/>
    </w:p>
    <w:p>
      <w:pPr>
        <w:spacing w:line="360" w:lineRule="auto"/>
        <w:tabs>
          <w:tab w:val="left" w:pos="851" w:leader="none"/>
        </w:tabs>
        <w:rPr>
          <w:rFonts w:hint="eastAsia" w:ascii="宋体" w:hAnsi="宋体" w:cs="宋体"/>
          <w:b/>
          <w:color w:val="auto"/>
          <w:highlight w:val="none"/>
        </w:rPr>
      </w:pPr>
      <w:r>
        <w:rPr>
          <w:rFonts w:hint="eastAsia" w:ascii="宋体" w:hAnsi="宋体" w:cs="宋体"/>
          <w:b/>
          <w:color w:val="auto"/>
          <w:highlight w:val="none"/>
        </w:rPr>
        <w:t xml:space="preserve">三、评分标准</w:t>
      </w:r>
      <w:r/>
    </w:p>
    <w:p>
      <w:pPr>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（一）价格基准分：（20分）</w:t>
      </w:r>
      <w:r/>
    </w:p>
    <w:p>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第一步：投标报价低于或等于财政预算价格的，为有效投标报价。超财政预算的投标报价为无效投标报价。</w:t>
      </w:r>
      <w:r/>
    </w:p>
    <w:p>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第二步：在所有有效投标报价中满足招标文件要求，且投标均价为评标基准价，其他投标单位的价格分按照下列公式计算（计算结果四舍五入保留两位小数）。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投标报价得分=（评标基准价/投标报价）×20％×100。</w:t>
      </w:r>
      <w:r/>
    </w:p>
    <w:p>
      <w:pPr>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（二）服务方案（22分）</w:t>
      </w:r>
      <w:r/>
    </w:p>
    <w:p>
      <w:pPr>
        <w:jc w:val="left"/>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1.服务团队实力综合比较</w:t>
      </w:r>
      <w:r>
        <w:rPr>
          <w:rFonts w:hint="eastAsia" w:ascii="宋体" w:hAnsi="宋体" w:cs="宋体"/>
          <w:b/>
          <w:color w:val="auto"/>
          <w:szCs w:val="21"/>
          <w:highlight w:val="none"/>
          <w:lang w:bidi="ar"/>
        </w:rPr>
        <w:t xml:space="preserve">（6分）</w:t>
      </w:r>
      <w:r/>
    </w:p>
    <w:p>
      <w:pPr>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服务团队人员配置合理，专业性强，满足项目需求，与项目需求完全贴合的得6分；</w:t>
      </w:r>
      <w:r/>
    </w:p>
    <w:p>
      <w:pPr>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服务团队人员配置合理，专业性强，满足项目需求，与项目需求较贴合的得3分；</w:t>
      </w:r>
      <w:r/>
    </w:p>
    <w:p>
      <w:pPr>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服务团队实力一般的得1分；提供或提供与本项目无关的不得分。</w:t>
      </w:r>
      <w:r/>
    </w:p>
    <w:p>
      <w:pPr>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2.特情处置预案综合比较（6分）</w:t>
      </w:r>
      <w:r/>
    </w:p>
    <w:p>
      <w:pPr>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特情处置预案全面、细致，处置流程规范、响应迅速的得6分；</w:t>
      </w:r>
      <w:r/>
    </w:p>
    <w:p>
      <w:pPr>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特情处置预案较完整，较细致，处置流程较规范、响应较迅速的得3分；</w:t>
      </w:r>
      <w:r/>
    </w:p>
    <w:p>
      <w:pPr>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特情处置预案及响应速度一般的得1分；提供或提供与本项目无关的不得分。</w:t>
      </w:r>
      <w:r/>
    </w:p>
    <w:p>
      <w:pPr>
        <w:jc w:val="left"/>
        <w:spacing w:line="360" w:lineRule="auto"/>
        <w:widowControl/>
        <w:rPr>
          <w:rFonts w:hint="eastAsia" w:ascii="宋体" w:hAnsi="宋体" w:cs="宋体"/>
          <w:bCs/>
          <w:color w:val="auto"/>
          <w:szCs w:val="21"/>
          <w:highlight w:val="none"/>
        </w:rPr>
      </w:pPr>
      <w:r>
        <w:rPr>
          <w:rFonts w:hint="eastAsia" w:ascii="宋体" w:hAnsi="宋体" w:cs="宋体"/>
          <w:b/>
          <w:color w:val="auto"/>
          <w:szCs w:val="21"/>
          <w:highlight w:val="none"/>
        </w:rPr>
        <w:t xml:space="preserve">3.项目实施方案综合比较（6分）</w:t>
      </w:r>
      <w:r/>
    </w:p>
    <w:p>
      <w:pPr>
        <w:jc w:val="left"/>
        <w:spacing w:line="360" w:lineRule="auto"/>
        <w:widowControl/>
        <w:rPr>
          <w:rFonts w:hint="eastAsia" w:ascii="宋体" w:hAnsi="宋体" w:cs="宋体"/>
          <w:bCs/>
          <w:color w:val="auto"/>
          <w:szCs w:val="21"/>
          <w:highlight w:val="none"/>
          <w:lang w:bidi="ar"/>
        </w:rPr>
      </w:pPr>
      <w:r>
        <w:rPr>
          <w:rFonts w:hint="eastAsia" w:ascii="宋体" w:hAnsi="宋体" w:cs="宋体"/>
          <w:bCs/>
          <w:color w:val="auto"/>
          <w:szCs w:val="21"/>
          <w:highlight w:val="none"/>
        </w:rPr>
        <w:t xml:space="preserve">项目实施方案</w:t>
      </w:r>
      <w:r>
        <w:rPr>
          <w:rFonts w:hint="eastAsia" w:ascii="宋体" w:hAnsi="宋体" w:cs="宋体"/>
          <w:bCs/>
          <w:color w:val="auto"/>
          <w:szCs w:val="21"/>
          <w:highlight w:val="none"/>
          <w:lang w:bidi="ar"/>
        </w:rPr>
        <w:t xml:space="preserve">涵盖现场管理、风险管理、安全保障相关内容全面健全的得6分；</w:t>
      </w:r>
      <w:r/>
    </w:p>
    <w:p>
      <w:pPr>
        <w:jc w:val="left"/>
        <w:spacing w:line="360" w:lineRule="auto"/>
        <w:widowControl/>
        <w:rPr>
          <w:rFonts w:hint="eastAsia" w:ascii="宋体" w:hAnsi="宋体" w:cs="宋体"/>
          <w:bCs/>
          <w:color w:val="auto"/>
          <w:szCs w:val="21"/>
          <w:highlight w:val="none"/>
          <w:lang w:bidi="ar"/>
        </w:rPr>
      </w:pPr>
      <w:r>
        <w:rPr>
          <w:rFonts w:hint="eastAsia" w:ascii="宋体" w:hAnsi="宋体" w:cs="宋体"/>
          <w:bCs/>
          <w:color w:val="auto"/>
          <w:szCs w:val="21"/>
          <w:highlight w:val="none"/>
        </w:rPr>
        <w:t xml:space="preserve">项目实施方案</w:t>
      </w:r>
      <w:r>
        <w:rPr>
          <w:rFonts w:hint="eastAsia" w:ascii="宋体" w:hAnsi="宋体" w:cs="宋体"/>
          <w:bCs/>
          <w:color w:val="auto"/>
          <w:szCs w:val="21"/>
          <w:highlight w:val="none"/>
          <w:lang w:bidi="ar"/>
        </w:rPr>
        <w:t xml:space="preserve">涵盖现场管理、风险管理、安全保障相关内容较全面健全的得4分；</w:t>
      </w:r>
      <w:r/>
    </w:p>
    <w:p>
      <w:pPr>
        <w:jc w:val="left"/>
        <w:spacing w:line="360" w:lineRule="auto"/>
        <w:widowControl/>
        <w:rPr>
          <w:rFonts w:hint="eastAsia" w:ascii="宋体" w:hAnsi="宋体" w:cs="宋体"/>
          <w:color w:val="auto"/>
          <w:szCs w:val="21"/>
          <w:highlight w:val="none"/>
          <w:lang w:bidi="ar"/>
        </w:rPr>
      </w:pPr>
      <w:r>
        <w:rPr>
          <w:rFonts w:hint="eastAsia" w:ascii="宋体" w:hAnsi="宋体" w:cs="宋体"/>
          <w:bCs/>
          <w:color w:val="auto"/>
          <w:szCs w:val="21"/>
          <w:highlight w:val="none"/>
        </w:rPr>
        <w:t xml:space="preserve">项目实施方案</w:t>
      </w:r>
      <w:r>
        <w:rPr>
          <w:rFonts w:hint="eastAsia" w:ascii="宋体" w:hAnsi="宋体" w:cs="宋体"/>
          <w:bCs/>
          <w:color w:val="auto"/>
          <w:szCs w:val="21"/>
          <w:highlight w:val="none"/>
          <w:lang w:bidi="ar"/>
        </w:rPr>
        <w:t xml:space="preserve">涵盖现场管理、风险管理、安全保障相关内容一般的</w:t>
      </w:r>
      <w:r>
        <w:rPr>
          <w:rFonts w:hint="eastAsia" w:ascii="宋体" w:hAnsi="宋体" w:cs="宋体"/>
          <w:color w:val="auto"/>
          <w:szCs w:val="21"/>
          <w:highlight w:val="none"/>
          <w:lang w:bidi="ar"/>
        </w:rPr>
        <w:t xml:space="preserve">的得2分；提供或提供与本项目无关的不得分。</w:t>
      </w:r>
      <w:r/>
    </w:p>
    <w:p>
      <w:pPr>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4.应急救援服务保障流程综合比较（4分）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应急救援服务保障流程详细、完善、可操作性强的得4分；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应急救援服务保障流程较详细完善，可操作性较强的得2分；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应急救援服务保障流程一般，可操作性一般</w:t>
      </w:r>
      <w:r>
        <w:rPr>
          <w:rFonts w:hint="eastAsia" w:ascii="宋体" w:hAnsi="宋体" w:cs="宋体"/>
          <w:color w:val="auto"/>
          <w:szCs w:val="21"/>
          <w:highlight w:val="none"/>
        </w:rPr>
        <w:t xml:space="preserve">的得1分；不提供或提供与本项无关的不得分</w:t>
      </w:r>
      <w:r/>
    </w:p>
    <w:p>
      <w:pPr>
        <w:pStyle w:val="906"/>
        <w:ind w:left="0" w:right="1470" w:firstLine="0"/>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（三）直升机参数（15分）</w:t>
      </w:r>
      <w:r/>
    </w:p>
    <w:p>
      <w:pPr>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1.最大起飞重量（3分）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投标直升机最大起飞重量≥2吨（含）的得3分；＜2吨的得1分；最高得3分。</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2.续航能力（3分）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投标直升机标准油箱（不考虑副油箱）航程</w:t>
      </w:r>
      <w:r>
        <w:rPr>
          <w:rFonts w:hint="eastAsia" w:ascii="宋体" w:hAnsi="宋体" w:cs="宋体"/>
          <w:bCs/>
          <w:color w:val="auto"/>
          <w:szCs w:val="21"/>
          <w:highlight w:val="none"/>
        </w:rPr>
        <w:t xml:space="preserve">≥</w:t>
      </w:r>
      <w:r>
        <w:rPr>
          <w:rFonts w:hint="eastAsia" w:ascii="宋体" w:hAnsi="宋体" w:cs="宋体"/>
          <w:bCs/>
          <w:color w:val="auto"/>
          <w:szCs w:val="21"/>
          <w:highlight w:val="none"/>
        </w:rPr>
        <w:t xml:space="preserve">500公里以上得3分；300公里≤航程＜500公里得2分；</w:t>
      </w:r>
      <w:r>
        <w:rPr>
          <w:rFonts w:hint="eastAsia" w:ascii="宋体" w:hAnsi="宋体" w:cs="宋体"/>
          <w:bCs/>
          <w:color w:val="auto"/>
          <w:szCs w:val="21"/>
          <w:highlight w:val="none"/>
        </w:rPr>
        <w:t xml:space="preserve">＜300公里的得1</w:t>
      </w:r>
      <w:r>
        <w:rPr>
          <w:rFonts w:hint="eastAsia" w:ascii="宋体" w:hAnsi="宋体" w:cs="宋体"/>
          <w:bCs/>
          <w:color w:val="auto"/>
          <w:szCs w:val="21"/>
          <w:highlight w:val="none"/>
        </w:rPr>
        <w:t xml:space="preserve">分；最高得3分。</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3.直升机在用状态(5分）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投标直升机，机龄测算以设备出厂时间作为计算起始日，以项目开标时间作为计算终止日；机龄在5年以内，得5分；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机龄5-10（不含）年，得3分；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机龄10年以上，得1分；最高得5分。</w:t>
      </w:r>
      <w:r/>
    </w:p>
    <w:p>
      <w:pPr>
        <w:pStyle w:val="906"/>
        <w:ind w:left="0" w:right="1470" w:firstLine="0"/>
        <w:rPr>
          <w:rFonts w:ascii="宋体" w:hAnsi="宋体" w:eastAsia="宋体" w:cs="宋体"/>
          <w:bCs/>
          <w:color w:val="auto"/>
          <w:sz w:val="21"/>
          <w:szCs w:val="21"/>
          <w:highlight w:val="none"/>
          <w:u w:val="single"/>
        </w:rPr>
      </w:pPr>
      <w:r>
        <w:rPr>
          <w:rFonts w:ascii="宋体" w:hAnsi="宋体" w:eastAsia="宋体" w:cs="宋体"/>
          <w:bCs/>
          <w:color w:val="auto"/>
          <w:sz w:val="21"/>
          <w:szCs w:val="21"/>
          <w:highlight w:val="none"/>
          <w:u w:val="single"/>
        </w:rPr>
        <w:t xml:space="preserve">注：以上1-3项须提供相关对应材料，不提供或提供不完整不清晰不得分。</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4.直升机配备（4分）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直升机配备执行灭火救援任务的吊桶（额定载荷400公斤及以上）的得4分；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直升机配备执行灭火救援任务的水袋（额定载荷400公斤及以上）的得2分；最高得4分。</w:t>
      </w:r>
      <w:r/>
    </w:p>
    <w:p>
      <w:pPr>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注：须提供改装记录、设备履历卡、设备装机照片或实际使用上述相关设备的案例照片等证明材料，不提供或提供不完整不清晰不得分。</w:t>
      </w:r>
      <w:r/>
    </w:p>
    <w:p>
      <w:pPr>
        <w:spacing w:line="360" w:lineRule="auto"/>
        <w:tabs>
          <w:tab w:val="left" w:pos="567"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（四）人员配备情况比较（26分）</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1.拟投入本项目飞行员飞行经历时间比较（8分）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飞行员“飞行经历时间”≥1000小时，每有一名得4分；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800小时≤“飞行经历时间”＜1000小时，每有一名得2分；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500小时≤“飞行经历时间”＜800小时，每有一名得1分；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“飞行经历时间”＜500小时的不得分；最高得8分。</w:t>
      </w:r>
      <w:r/>
    </w:p>
    <w:p>
      <w:pPr>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注：飞行经历时间须提供云执照时间证明（同一人员不重复得分），不提供或提供不清晰不得分。</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2.飞行员外载荷飞行经历（6分）</w:t>
      </w:r>
      <w:r/>
    </w:p>
    <w:p>
      <w:pPr>
        <w:ind w:firstLine="21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飞行员具备外载荷飞行经历的，每提供一名得3分，最高得6分。</w:t>
      </w:r>
      <w:r/>
    </w:p>
    <w:p>
      <w:pPr>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注：须提供投标单位证明包括但不限于外载荷作业记录等相关信息资料，不提供或提供不清晰不得分。</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3.飞行员资质要求（8分）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具有2名及以上飞行员均拥有基础教员资质得8分；</w:t>
      </w:r>
      <w:r/>
    </w:p>
    <w:p>
      <w:pPr>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注：需提供云执照资质证明，不提供或提供不清晰不得分。</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4.直升机维修保障能力（4分）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投标单位机务维修人员有对应直升机机型执照的每提供一名得2分，最高得4分。</w:t>
      </w:r>
      <w:r/>
    </w:p>
    <w:p>
      <w:pPr>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注：须提供培训合格证明或从业执照或授权证明，不提供或提供不清晰不得分。</w:t>
      </w:r>
      <w:r/>
    </w:p>
    <w:p>
      <w:pPr>
        <w:spacing w:line="360" w:lineRule="auto"/>
        <w:tabs>
          <w:tab w:val="left" w:pos="567"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（五）投标单位综合实力（17分）</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1.航空应急救援经验（6分）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投标单位近自2024年5月1日至今开展直升机航空应急服务（如巡视巡察、航空护林、应急救援等）相关经历，每提供一项得3分，最高的6分。</w:t>
      </w:r>
      <w:r/>
    </w:p>
    <w:p>
      <w:pPr>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注：需提供业务合同并加盖公章，不提供或提供不清晰不得分。</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2.投标单位应急救援综合能力运营经验（6分）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投标单位每运营一种型号应急救援飞机的得2分，最高得6分。</w:t>
      </w:r>
      <w:r/>
    </w:p>
    <w:p>
      <w:pPr>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注：须提供飞机介绍及国籍登记证或运营证明并加盖公章，不提供或提供不清晰不得分。</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3.安全运营记录（5分）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投标人近3年内（截止开标日）未发生CCAR-395《民用航空器事件技术调查规定》定义的通用航空事故、征候、一般事故的得5分，</w:t>
      </w:r>
      <w:r>
        <w:rPr>
          <w:rFonts w:hint="eastAsia" w:ascii="宋体" w:hAnsi="宋体" w:cs="宋体"/>
          <w:bCs/>
          <w:color w:val="auto"/>
          <w:szCs w:val="21"/>
          <w:highlight w:val="none"/>
        </w:rPr>
        <w:t xml:space="preserve">如发生事故不得分。</w:t>
      </w:r>
      <w:r/>
    </w:p>
    <w:p>
      <w:pPr>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注：（1）本项所称“发生事件”，仅指以投标人为责任单位的事件，不包括投标人所运营、管理或提供保障服务的机场/场地内，由其他独立通航单位发生的事件。</w:t>
      </w:r>
      <w:r/>
    </w:p>
    <w:p>
      <w:pPr>
        <w:ind w:firstLine="420"/>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2）依据以“中国民用航空安全信息系统”（https://safety.caac.gov.cn/）查询结果及民航监管部门公开发布信息为准。须提供近3年自身安全事件信息列表（无事件亦须声明）、完整网站查询截图，并加盖公章；未提供、提供不完整或截图无法辨认的，不得分。</w:t>
      </w:r>
      <w:r/>
    </w:p>
    <w:p>
      <w:pPr>
        <w:ind w:firstLine="210"/>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（3）联合体投标的，按各成员单位各自的安全记录分别判定，成员单位非民航运行单位无中国民用航空安全系统账号的，提供声明文件。</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931"/>
        <w:ind w:firstLine="0"/>
        <w:jc w:val="right"/>
        <w:spacing w:line="360" w:lineRule="auto"/>
        <w:rPr>
          <w:rFonts w:hint="eastAsia" w:ascii="宋体" w:hAnsi="宋体" w:cs="宋体"/>
          <w:b/>
          <w:bCs/>
          <w:color w:val="auto"/>
          <w:szCs w:val="21"/>
          <w:highlight w:val="none"/>
          <w:lang w:val="en-US"/>
        </w:rPr>
      </w:pPr>
      <w:r>
        <w:rPr>
          <w:rFonts w:hint="eastAsia" w:ascii="宋体" w:hAnsi="宋体" w:cs="宋体"/>
          <w:b/>
          <w:bCs/>
          <w:color w:val="auto"/>
          <w:szCs w:val="21"/>
          <w:highlight w:val="none"/>
          <w:lang w:val="en-US"/>
        </w:rPr>
        <w:t xml:space="preserve">（全文完）</w:t>
      </w:r>
      <w:r/>
    </w:p>
    <w:p>
      <w:pPr>
        <w:pStyle w:val="931"/>
        <w:ind w:firstLine="0"/>
        <w:jc w:val="right"/>
        <w:spacing w:line="360" w:lineRule="auto"/>
        <w:rPr>
          <w:rFonts w:hint="eastAsia" w:ascii="宋体" w:hAnsi="宋体" w:cs="宋体"/>
          <w:color w:val="auto"/>
          <w:szCs w:val="21"/>
          <w:highlight w:val="none"/>
          <w:lang w:val="en-US"/>
        </w:rPr>
      </w:pPr>
      <w:r>
        <w:rPr>
          <w:rFonts w:hint="eastAsia" w:ascii="宋体" w:hAnsi="宋体" w:cs="宋体"/>
          <w:color w:val="auto"/>
          <w:szCs w:val="21"/>
          <w:highlight w:val="none"/>
          <w:lang w:val="en-US"/>
        </w:rPr>
      </w:r>
      <w:r/>
    </w:p>
    <w:p>
      <w:pPr>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ascii="宋体" w:hAnsi="宋体" w:cs="宋体"/>
          <w:bCs/>
          <w:color w:val="auto"/>
          <w:szCs w:val="21"/>
          <w:highlight w:val="none"/>
        </w:rPr>
        <w:br w:type="page" w:clear="all"/>
      </w:r>
      <w:r/>
    </w:p>
    <w:p>
      <w:pPr>
        <w:pStyle w:val="920"/>
        <w:numPr>
          <w:ilvl w:val="0"/>
          <w:numId w:val="1"/>
        </w:numPr>
        <w:spacing w:line="360" w:lineRule="auto"/>
        <w:rPr>
          <w:rStyle w:val="924"/>
          <w:rFonts w:hint="eastAsia" w:ascii="宋体" w:hAnsi="宋体" w:cs="宋体"/>
          <w:b/>
          <w:color w:val="auto"/>
          <w:sz w:val="43"/>
          <w:szCs w:val="43"/>
          <w:highlight w:val="none"/>
        </w:rPr>
      </w:pPr>
      <w:r>
        <w:rPr>
          <w:rStyle w:val="924"/>
          <w:rFonts w:hint="eastAsia" w:ascii="宋体" w:hAnsi="宋体" w:cs="宋体"/>
          <w:b/>
          <w:color w:val="auto"/>
          <w:sz w:val="43"/>
          <w:szCs w:val="43"/>
          <w:highlight w:val="none"/>
        </w:rPr>
        <w:t xml:space="preserve"> 合同拟定条款</w:t>
      </w:r>
      <w:r/>
    </w:p>
    <w:p>
      <w:pPr>
        <w:ind w:firstLine="3158"/>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采购编号：</w:t>
      </w:r>
      <w:r/>
    </w:p>
    <w:p>
      <w:pPr>
        <w:pStyle w:val="904"/>
        <w:jc w:val="center"/>
        <w:spacing w:line="360" w:lineRule="auto"/>
        <w:rPr>
          <w:b/>
          <w:bCs/>
          <w:color w:val="auto"/>
          <w:sz w:val="44"/>
          <w:szCs w:val="44"/>
          <w:highlight w:val="none"/>
        </w:rPr>
      </w:pPr>
      <w:r>
        <w:rPr>
          <w:b/>
          <w:bCs/>
          <w:color w:val="auto"/>
          <w:sz w:val="44"/>
          <w:szCs w:val="44"/>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合同编号：__________</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甲方（采购方）：________________________</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乙方（供应商）：________________________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鉴于甲方就苏州市行政区域直升机应急救援训练、演练及航空救援保障飞行服务项目完成采购，乙方自愿承接本项目服务；依据《中华人民共和国民法典》《通用航空飞行管制条例》及民航相关法律法规，订立本合同。</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第一条 项目概况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（1）服务地点：苏州市</w:t>
      </w:r>
      <w:bookmarkStart w:id="2" w:name="OLE_LINK1"/>
      <w:r>
        <w:rPr>
          <w:rFonts w:hint="eastAsia" w:ascii="宋体" w:hAnsi="宋体" w:cs="宋体"/>
          <w:color w:val="auto"/>
          <w:szCs w:val="21"/>
          <w:highlight w:val="none"/>
        </w:rPr>
        <w:t xml:space="preserve">行政</w:t>
      </w:r>
      <w:bookmarkEnd w:id="2"/>
      <w:r>
        <w:rPr>
          <w:rFonts w:hint="eastAsia" w:ascii="宋体" w:hAnsi="宋体" w:cs="宋体"/>
          <w:color w:val="auto"/>
          <w:szCs w:val="21"/>
          <w:highlight w:val="none"/>
        </w:rPr>
        <w:t xml:space="preserve">区域范围内，根据甲方指令可执行跨地区飞行任务。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（2）服务期限：壹年（具体时间按甲方要求）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（3）合同总价款：人民币    元（大写：    元整），为固定总价包干。</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总价包含：场地基地租赁/建设费、起降点使用费、机场协调费、航空油料费、直升机使用费、机组人员薪酬、机务维修保养费、定检大修费、零部件更换费、保险费、税费、调机遣返费、人员培训费、应急保障费及完成本合同全部服务所需一切费用，甲方无需额外支付任何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（4）核心服务指标：服务期内提供67飞行小时飞行服务，包含应急救援训练、应急演练、常态化航空应急保障等飞行任务。</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第二条 乙方权责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（1）合同签订后30日历日内，自建或租赁具有运行、维修等能力的保障基地。通过签署保障协议获得使用机场和基地各种保障设施和保障服务的权利，使用及保障费用包含于本项目预算费用当中。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（2）负责提供燃油保障，油料及加注等流程符合国家航空器加注相关标准.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（3）负责常规机场、运营基地、临时起降点的申请、对接、维护、管理及承担全部费用；合同外新增起降点、跨区域起降点手续办理及费用。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（4）承担基地日常运维、场地安保、后勤配套、场地安全管理，配合甲方开展飞行现场秩序管控。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（5）配合对接属地场地、应急、属地管理部门，保障飞行场地使用合规。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（6）提供符合项目需求的直升机，直升机总飞行小时＜2000 小时，具备有效国籍登记证、适航证、电台执照（民航三证）、运行手册、运行规范；完整提供机型参数、机载设备、发动机寿命、主减速器定检大修间隔等技术资料。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配齐全套固定机组：不少于2名飞行驾驶员（至少1名民航在册机长，机长总飞行小时≥1000小时、年龄60周岁以下；副驾驶飞行小时≥500小时、年龄50周岁以下）；不少于2名持证维修人员（至少1名具备民航放行资质），所有人员持有合法民航执照、机型授权证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（8）机组人员实行固定管理，确需更换人员的，须提前3个日历日书面报备甲方，经甲方书面同意后方可更换，更换人员资质不得低于招标文件及本合同标准。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（9）全权负责直升机调机、进场、遣返；负责全年飞行计划、每日飞行计划、应急飞行计划向空管部门申报、空域协调、航线审批、飞行管制对接等全部工作。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（10）严格按照直升机原厂维护手册开展周期性定检、日常维修、故障排查、部件更换、年检、大修工作；每月平均预留4日历天作为定检维保时间，维保前 5 日书面告知甲方；如需停场超4天大修/年检，提前7日书面报备甲方。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全面负责飞行安全、机务安全、机载设备运维、飞行载荷管控，严禁超载、违规飞行；制定并实施任务员以及上机作业人员的训练计划，该训练计划应在合同生效后10个工作日内会同相关部门完成制定，并提交甲方确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统一购买并持续有效覆盖：直升机机身险、第三者责任险、机上人员及乘客意外伤害险，保单复印件加盖公章交甲方存档；服务期内飞行、调机、遣返全过程航空类安全事故、财产损失、第三方损失全部由乙方承担赔偿及法律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（13）严格执行机长负责制，在绝对保障飞行安全前提下，配合甲方合理飞行任务需求。</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第三条、甲方权责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（1）按需下达飞行任务指令，明确飞行时间、飞行区域、任务内容、乘机人员名单。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（2）与乙方共同成立协调小组，定期召开工作会议，核对飞行时长、处置履约问题、开展季度验收考核。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（3）审核确认乘机人员，开展人员安全管理，配合飞行任务落地。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（4）不得违反民航法规及其他安全管理规定，无视安全隐患指派直升机出动。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（5）按合同约定及时办理款项结算、季度履约验收考核。</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第四条 飞行执行与管理要求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（1）常规训练飞行：甲方应于飞行前5日下达通知。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（2）应急演练飞行：甲方提前3日下达任务通知，乙方协同完成方案制定与保障；如应急演练飞行空域超出驻场本场空域范围，需至少提前十天提出，以便办理空域批件；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（3）对于计划外的应急飞行，在接到甲方飞行服务需求后，应积极协调相关部门尽量满足采购人飞行要求；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飞行时长统计：以直升机旋翼开始转动至直升机旋翼停止转动之间的时间为统计飞行时间的依据，精确到分钟；直升机地面维护运转时间、直升机定检及大项工作运转时间、直升机规定停放运转时间及因航空管制等其他原因产生的待机时间等，不计入飞行收费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（5）每次飞行结束后，乙方现场核对飞行时长，签署飞行时间确认书，甲乙双方各留存一份，作为结算、验收依据。</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第五条 运行安全与应急保障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（1）合同签订后1个月内，乙方建立空域使用协同、应急飞行联动保障机制，完善苏州市域航线、起降点、应急救援保障专项方案并提交甲方备案。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（2）飞行乘机实行名单制管理，甲方书面提交获批乘机人员名单，甲乙双方共同开展人员、随身物品安检，严禁无关人员、违禁物品登机。</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第六条 维保、改装与设备管理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（1）所有定检、维修、改装、零部件更换、故障维修，须提前制定实施方案，书面报送甲方备案后方可实施。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（2）严禁直升机超寿件、超时运行、漏检漏修，全程保持航空器合法适航状态；建立单机健康档案、维修台账、寿命件台账，随时接受甲方抽查。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（3）维保、维修期间，乙方协同做好任务错峰安排，最大限度降低对甲方应急任务的影响。</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第七条 保险与安全责任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（1）乙方为飞机全程投保并维持保险有效，保险范围覆盖服务期、调机、返航全周期；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（2）因乙方机组操作不当、航空器故障、维保缺失、违规飞行、空管申报失误引发的安全事故、人身伤害、财产损毁、第三方索赔，全部由乙方独立承担赔偿、整改及法律责任；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（3）乙方自管辖人员违纪、失职、违法行为造成甲方损失的，由乙方全额赔偿；甲方有权要求违规人员立即退场更换。</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第八条 费用结算与支付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（1）付款方式：预付款与季度结算方式；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（2）合同签订后甲方向乙方支付合同60%预付款人民币    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（3）当年度任务完成80%，甲方支付30%合同款人民币     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（4）合同期满后10个工作日内，甲方按进度支付剩余10%合同款项；</w:t>
      </w:r>
      <w:r/>
    </w:p>
    <w:p>
      <w:pPr>
        <w:ind w:firstLine="42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第九条 履约验收与考核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（1）本项目服务期完成后，甲方在5个工作日内启动履约验收考核工作。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（2）甲方组建验收小组3名（含）以上的单数工作人员组成，并确定一名负责人，制定验收方案并组织验收，出具验收意见。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验收小组应当按照验收工作实施方案开展验收，对供应商提供的服务按照采购文件、投标（响应）文件，政府采购合同等进行逐一核对、验收，考核内容针对机组人员是否符合要求、场地油料保障条件是否达标、飞机适航合规性、安全管理、台账资料完整性、任务响应时效等情况内容进行考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（4）验收考核范围严格与政府采购合同约定服务内容保持一致，不遗漏、不缩减、不擅自扩大核查范围，全覆盖乙方全部履约事项。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（5）验收考核不合格的，验收小组在验收意见中列明全部问题清单，甲方书面告知乙方限期完成全面整改，整改仍不达标的，有权解除合同。</w:t>
      </w:r>
      <w:r>
        <w:rPr>
          <w:sz w:val="21"/>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第十条 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（1）乙方提供航空器、人员资质不符合约定、擅自更换机组、适航失效、违规飞行的，甲方有权责令整改，如造成重大损失的有权要求赔偿；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（2）因乙方原因造成安全事故、行政处罚、舆情负面影响的，甲方有权解除合同，乙方承担全部损失及违约金。</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第十一条 不可抗力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因地震、极端气象、空域管制、政策重大调整、疫情、战争等不可抗力导致无法履约的，受影响一方及时书面告知另外一方，双方互不承担违约责任，可协商顺延工期、调整任务或书面终止合同。</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第十二条 合同解除与终止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（1）合同期满自动终止；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（2）一方严重违约、整改无效、丧失履约能力、违法经营的，守约方有权单方书面解除合同；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（3）合同解除后，甲乙双方方完成台账、资料、资产交接。</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第十三条 争议解决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本合同履行过程中发生争议，甲乙双方优先友好协商解决；协商不成，提交项目所在地人民法院诉讼解决。</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第十四条 其他约定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（1）本合同未尽事宜，参照招标文件、投标文件、答疑纪要、承诺函执行，上述文件与本合同具有同等法律效力；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（2）甲乙双方协调小组常态化联络，定期例会，资料台账统一归档；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（3）本合同一式伍份，甲方执贰份，乙方执贰份，代理机构执壹份，双方签字盖章后生效，具有同等法律效力；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（4）补充协议、变更协议须经双方书面盖章确认后方可生效。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（以下无正文）</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甲方（盖章）：____________________</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 / 授权代表（签字）：______</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日期：______年____月____日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乙方（盖章）：____________________</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 / 授权代表（签字）：______</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日期：______年____月____日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olor w:val="auto"/>
          <w:highlight w:val="none"/>
        </w:rPr>
      </w:pPr>
      <w:r>
        <w:rPr>
          <w:rFonts w:hint="eastAsia" w:ascii="宋体" w:hAnsi="宋体" w:cs="宋体"/>
          <w:color w:val="auto"/>
          <w:szCs w:val="21"/>
          <w:highlight w:val="none"/>
        </w:rPr>
        <w:br w:type="page" w:clear="all"/>
      </w:r>
      <w:r/>
    </w:p>
    <w:p>
      <w:pPr>
        <w:pStyle w:val="920"/>
        <w:numPr>
          <w:ilvl w:val="0"/>
          <w:numId w:val="1"/>
        </w:numPr>
        <w:spacing w:line="360" w:lineRule="auto"/>
        <w:rPr>
          <w:rStyle w:val="924"/>
          <w:rFonts w:hint="eastAsia" w:ascii="宋体" w:hAnsi="宋体" w:cs="宋体"/>
          <w:b/>
          <w:color w:val="auto"/>
          <w:sz w:val="43"/>
          <w:szCs w:val="43"/>
          <w:highlight w:val="none"/>
        </w:rPr>
      </w:pPr>
      <w:r>
        <w:rPr>
          <w:rStyle w:val="924"/>
          <w:rFonts w:hint="eastAsia" w:ascii="宋体" w:hAnsi="宋体" w:cs="宋体"/>
          <w:b/>
          <w:color w:val="auto"/>
          <w:sz w:val="43"/>
          <w:szCs w:val="43"/>
          <w:highlight w:val="none"/>
        </w:rPr>
        <w:t xml:space="preserve">响应文件格式</w:t>
      </w:r>
      <w:bookmarkEnd w:id="1"/>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说明：对本章所有的格式及内容，磋商响应单位可根据自身情况进行补充和修改，但补充和修改部分不得造成与本章格式及内容实质性的违背，否则其磋商响应文件将被拒绝。</w:t>
      </w:r>
      <w:r/>
    </w:p>
    <w:p>
      <w:pP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420" w:hanging="420"/>
        <w:jc w:val="left"/>
        <w:spacing w:line="360" w:lineRule="auto"/>
        <w:rPr>
          <w:rFonts w:hint="eastAsia" w:ascii="宋体" w:hAnsi="宋体" w:cs="宋体"/>
          <w:b/>
          <w:color w:val="auto"/>
          <w:sz w:val="24"/>
          <w:szCs w:val="24"/>
          <w:highlight w:val="none"/>
        </w:rPr>
        <w:outlineLvl w:val="1"/>
      </w:pPr>
      <w:r>
        <w:rPr>
          <w:rFonts w:ascii="宋体" w:hAnsi="宋体" w:cs="宋体"/>
          <w:b/>
          <w:color w:val="auto"/>
          <w:sz w:val="24"/>
          <w:szCs w:val="24"/>
          <w:highlight w:val="none"/>
        </w:rPr>
        <w:t xml:space="preserve">一、</w:t>
      </w:r>
      <w:r>
        <w:rPr>
          <w:rFonts w:hint="eastAsia" w:ascii="宋体" w:hAnsi="宋体" w:cs="宋体"/>
          <w:b/>
          <w:color w:val="auto"/>
          <w:sz w:val="24"/>
          <w:szCs w:val="24"/>
          <w:highlight w:val="none"/>
        </w:rPr>
        <w:t xml:space="preserve">法定代表人授权委托书</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法定代表人授权委托书</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before="120" w:line="360" w:lineRule="auto"/>
        <w:rPr>
          <w:rFonts w:hint="eastAsia" w:ascii="宋体" w:hAnsi="宋体" w:cs="宋体"/>
          <w:color w:val="auto"/>
          <w:highlight w:val="none"/>
        </w:rPr>
      </w:pPr>
      <w:r>
        <w:rPr>
          <w:rFonts w:hint="eastAsia" w:ascii="宋体" w:hAnsi="宋体" w:cs="宋体"/>
          <w:color w:val="auto"/>
          <w:highlight w:val="none"/>
        </w:rPr>
      </w:r>
      <w:r/>
    </w:p>
    <w:p>
      <w:pPr>
        <w:pStyle w:val="918"/>
        <w:ind w:left="0" w:firstLine="420"/>
        <w:spacing w:before="120"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本授权委托书声明：我</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（姓名）系</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（单位名称）的法定代表人，现授权委托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（单位名称）的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（姓名）为我公司代理人，并以本公司的名义在</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号磋商项目的报名，磋商和合同签订过程中所签署的一切文件和处理与这有关的一切事务，我公司均予以承认。</w:t>
      </w:r>
      <w:r/>
    </w:p>
    <w:p>
      <w:pPr>
        <w:pStyle w:val="918"/>
        <w:ind w:left="0" w:firstLine="420"/>
        <w:spacing w:before="120"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代理人在授权委托书有效期内签署的所有文件不因授权委托的撤销而失效，除非有撤销授权委托的书面通知，本授权委托书有效期自磋商响应文件提交开始至合同履行完毕止。</w:t>
      </w:r>
      <w:r/>
    </w:p>
    <w:p>
      <w:pPr>
        <w:pStyle w:val="918"/>
        <w:ind w:left="0" w:firstLine="420"/>
        <w:spacing w:before="120"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代理人无转委托权。特此委托。</w:t>
      </w:r>
      <w:r/>
    </w:p>
    <w:p>
      <w:pPr>
        <w:pStyle w:val="91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18"/>
        <w:ind w:firstLine="173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磋商响应单位：（公章）</w:t>
      </w:r>
      <w:r/>
    </w:p>
    <w:p>
      <w:pPr>
        <w:rPr>
          <w:color w:val="auto"/>
          <w:highlight w:val="none"/>
        </w:rPr>
      </w:pPr>
      <w:r>
        <w:rPr>
          <w:color w:val="auto"/>
          <w:highlight w:val="none"/>
        </w:rPr>
      </w:r>
      <w:r/>
    </w:p>
    <w:p>
      <w:pPr>
        <w:pStyle w:val="918"/>
        <w:ind w:firstLine="173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法定代表人：（签字和盖章）</w:t>
      </w:r>
      <w:r/>
    </w:p>
    <w:p>
      <w:pPr>
        <w:rPr>
          <w:color w:val="auto"/>
          <w:highlight w:val="none"/>
        </w:rPr>
      </w:pPr>
      <w:r>
        <w:rPr>
          <w:color w:val="auto"/>
          <w:highlight w:val="none"/>
        </w:rPr>
      </w:r>
      <w:r/>
    </w:p>
    <w:p>
      <w:pPr>
        <w:pStyle w:val="918"/>
        <w:ind w:firstLine="173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代理人：（签字或盖章）</w:t>
      </w:r>
      <w:r/>
    </w:p>
    <w:p>
      <w:pPr>
        <w:rPr>
          <w:color w:val="auto"/>
          <w:highlight w:val="none"/>
        </w:rPr>
      </w:pPr>
      <w:r>
        <w:rPr>
          <w:color w:val="auto"/>
          <w:highlight w:val="none"/>
        </w:rPr>
      </w:r>
      <w:r/>
    </w:p>
    <w:p>
      <w:pPr>
        <w:pStyle w:val="918"/>
        <w:ind w:firstLine="173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ind w:left="420" w:hanging="420"/>
        <w:jc w:val="left"/>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r>
      <w:r/>
    </w:p>
    <w:p>
      <w:pPr>
        <w:ind w:left="420" w:hanging="420"/>
        <w:jc w:val="left"/>
        <w:spacing w:line="360" w:lineRule="auto"/>
        <w:rPr>
          <w:rFonts w:hint="eastAsia" w:ascii="宋体" w:hAnsi="宋体" w:cs="宋体"/>
          <w:b/>
          <w:color w:val="auto"/>
          <w:szCs w:val="21"/>
          <w:highlight w:val="none"/>
        </w:rPr>
        <w:outlineLvl w:val="1"/>
      </w:pPr>
      <w:r>
        <w:rPr>
          <w:rFonts w:hint="eastAsia" w:ascii="宋体" w:hAnsi="宋体" w:cs="宋体"/>
          <w:b/>
          <w:color w:val="auto"/>
          <w:sz w:val="30"/>
          <w:szCs w:val="30"/>
          <w:highlight w:val="none"/>
        </w:rPr>
        <w:br w:type="page" w:clear="all"/>
      </w:r>
      <w:r>
        <w:rPr>
          <w:rFonts w:ascii="宋体" w:hAnsi="宋体" w:cs="宋体"/>
          <w:b/>
          <w:color w:val="auto"/>
          <w:sz w:val="24"/>
          <w:szCs w:val="24"/>
          <w:highlight w:val="none"/>
        </w:rPr>
        <w:t xml:space="preserve">二、</w:t>
      </w:r>
      <w:r>
        <w:rPr>
          <w:rFonts w:hint="eastAsia" w:ascii="宋体" w:hAnsi="宋体" w:cs="宋体"/>
          <w:b/>
          <w:color w:val="auto"/>
          <w:sz w:val="24"/>
          <w:szCs w:val="24"/>
          <w:highlight w:val="none"/>
        </w:rPr>
        <w:t xml:space="preserve">磋商响应函</w:t>
      </w:r>
      <w:r/>
    </w:p>
    <w:p>
      <w:pPr>
        <w:ind w:firstLine="42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0"/>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磋商响应函</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号采购文件，经仔细阅读和研究，我们决定参加磋商活动。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1、我们愿意按照采购文件的一切要求，提供完成该项目的全部内容。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2、如果我们的磋商响应文件被接受，我们将严格履行采购文件中规定的每一项要求，按期、按质、按量履行合同的义务。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3、我们已详细审查全部采购文件，包括补充公告(如有)。我们完全理解并同意放弃对这方面有不明及误解的权力。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4、我们同意按采购文件中的规定，本磋商响应文件的有效期限为磋商文件递交之日起</w:t>
      </w:r>
      <w:r>
        <w:rPr>
          <w:rFonts w:hint="eastAsia" w:ascii="宋体" w:hAnsi="宋体" w:cs="宋体"/>
          <w:color w:val="auto"/>
          <w:szCs w:val="21"/>
          <w:highlight w:val="none"/>
          <w:u w:val="single"/>
        </w:rPr>
        <w:t xml:space="preserve">六十</w:t>
      </w:r>
      <w:r>
        <w:rPr>
          <w:rFonts w:hint="eastAsia" w:ascii="宋体" w:hAnsi="宋体" w:cs="宋体"/>
          <w:color w:val="auto"/>
          <w:szCs w:val="21"/>
          <w:highlight w:val="none"/>
        </w:rPr>
        <w:t xml:space="preserve">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5、我们愿意提供磋商采购单位在采购文件中要求的所有资料。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6、我们愿意遵守采购文件中所列的收费标准。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7、我们承诺该磋商响应文件在磋商开始后的全过程中保持有效，不作任何更改和变动。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8、我们承诺我公司符合采购文件中“合格磋商供应商的资格条件”的要求，若与真实情况不符，本公司愿意承担由此而产生的一切后果。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9、我们声明：我们在参加本次政府采购活动前3年内在经营活动中没有重大违法记录。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10、我们愿意按采购文件的规定交纳磋商保证金，并同意采购文件中关于不予退还磋商保证金的规定。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11、如果我们成交，我们愿意按采购文件的规定支付代理服务费；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12、综合说明：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（1）伴随服务及配合措施；（2）要求甲方提供的配合；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（3）对采购文件有不同意见的偏离说明；（4）其它说明。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所有有关磋商响应文件的函电，请按下列地址联系：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                         联系人：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                         邮政编码：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                     传真：</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3400"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磋商响应单位：（公章）</w:t>
      </w:r>
      <w:r/>
    </w:p>
    <w:p>
      <w:pPr>
        <w:ind w:left="38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left="3400" w:firstLine="425"/>
        <w:spacing w:line="360" w:lineRule="auto"/>
        <w:rPr>
          <w:rFonts w:hint="eastAsia" w:ascii="宋体" w:hAnsi="宋体" w:cs="宋体"/>
          <w:color w:val="auto"/>
          <w:szCs w:val="21"/>
          <w:highlight w:val="none"/>
        </w:rPr>
        <w:sectPr>
          <w:headerReference w:type="default" r:id="rId10"/>
          <w:headerReference w:type="first" r:id="rId11"/>
          <w:footerReference w:type="default" r:id="rId14"/>
          <w:footerReference w:type="first" r:id="rId15"/>
          <w:footnotePr/>
          <w:endnotePr/>
          <w:type w:val="nextPage"/>
          <w:pgSz w:w="11906" w:h="16838" w:orient="portrait"/>
          <w:pgMar w:top="1134" w:right="1134" w:bottom="1134" w:left="1701" w:header="510" w:footer="567" w:gutter="0"/>
          <w:cols w:num="1" w:sep="0" w:space="720" w:equalWidth="1"/>
          <w:docGrid w:linePitch="360"/>
        </w:sectPr>
      </w:pPr>
      <w:r>
        <w:rPr>
          <w:rFonts w:hint="eastAsia" w:ascii="宋体" w:hAnsi="宋体" w:cs="宋体"/>
          <w:color w:val="auto"/>
          <w:szCs w:val="21"/>
          <w:highlight w:val="none"/>
        </w:rPr>
        <w:t xml:space="preserve">日期：        年    月    日</w:t>
      </w:r>
      <w:r/>
    </w:p>
    <w:p>
      <w:pPr>
        <w:ind w:left="420" w:hanging="420"/>
        <w:jc w:val="left"/>
        <w:spacing w:line="360" w:lineRule="auto"/>
        <w:rPr>
          <w:rFonts w:hint="eastAsia" w:ascii="宋体" w:hAnsi="宋体" w:cs="宋体"/>
          <w:b/>
          <w:color w:val="auto"/>
          <w:sz w:val="24"/>
          <w:szCs w:val="24"/>
          <w:highlight w:val="none"/>
        </w:rPr>
        <w:outlineLvl w:val="1"/>
      </w:pPr>
      <w:r>
        <w:rPr>
          <w:rFonts w:ascii="宋体" w:hAnsi="宋体" w:cs="宋体"/>
          <w:b/>
          <w:color w:val="auto"/>
          <w:sz w:val="24"/>
          <w:szCs w:val="24"/>
          <w:highlight w:val="none"/>
        </w:rPr>
        <w:t xml:space="preserve">三、</w:t>
      </w:r>
      <w:r>
        <w:rPr>
          <w:rFonts w:hint="eastAsia" w:ascii="宋体" w:hAnsi="宋体" w:cs="宋体"/>
          <w:b/>
          <w:color w:val="auto"/>
          <w:sz w:val="24"/>
          <w:szCs w:val="24"/>
          <w:highlight w:val="none"/>
        </w:rPr>
        <w:t xml:space="preserve">磋商响应报价表</w:t>
      </w:r>
      <w:r/>
    </w:p>
    <w:p>
      <w:pP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磋商响应报价表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525"/>
        <w:jc w:val="left"/>
        <w:spacing w:line="360" w:lineRule="auto"/>
        <w:tabs>
          <w:tab w:val="left" w:pos="4678"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ab/>
      </w:r>
      <w:r>
        <w:rPr>
          <w:rFonts w:hint="eastAsia" w:ascii="宋体" w:hAnsi="宋体" w:cs="宋体"/>
          <w:color w:val="auto"/>
          <w:szCs w:val="21"/>
          <w:highlight w:val="none"/>
        </w:rPr>
        <w:t xml:space="preserve">招标编号：</w:t>
      </w:r>
      <w:r>
        <w:rPr>
          <w:rFonts w:hint="eastAsia" w:ascii="宋体" w:hAnsi="宋体" w:cs="宋体"/>
          <w:color w:val="auto"/>
          <w:szCs w:val="21"/>
          <w:highlight w:val="none"/>
          <w:u w:val="single"/>
        </w:rPr>
        <w:t xml:space="preserve">                </w:t>
      </w:r>
      <w:r/>
    </w:p>
    <w:tbl>
      <w:tblPr>
        <w:tblStyle w:val="9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1"/>
        <w:gridCol w:w="3116"/>
      </w:tblGrid>
      <w:tr>
        <w:trPr>
          <w:cantSplit/>
          <w:trHeight w:val="567"/>
        </w:trPr>
        <w:tc>
          <w:tcPr>
            <w:tcW w:w="6171"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项目名称</w:t>
            </w:r>
            <w:r/>
          </w:p>
        </w:tc>
        <w:tc>
          <w:tcPr>
            <w:tcW w:w="3116"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投标总报价(小写)</w:t>
            </w:r>
            <w:r/>
          </w:p>
        </w:tc>
      </w:tr>
      <w:tr>
        <w:trPr>
          <w:cantSplit/>
          <w:trHeight w:val="895"/>
        </w:trPr>
        <w:tc>
          <w:tcPr>
            <w:tcW w:w="6171" w:type="dxa"/>
            <w:vAlign w:val="center"/>
            <w:textDirection w:val="lrTb"/>
            <w:noWrap w:val="false"/>
          </w:tcPr>
          <w:p>
            <w:pPr>
              <w:jc w:val="center"/>
              <w:spacing w:line="400" w:lineRule="exact"/>
              <w:rPr>
                <w:rFonts w:hint="eastAsia" w:ascii="宋体" w:hAnsi="宋体" w:cs="宋体"/>
                <w:bCs/>
                <w:color w:val="auto"/>
                <w:szCs w:val="21"/>
                <w:highlight w:val="none"/>
              </w:rPr>
            </w:pPr>
            <w:r/>
            <w:bookmarkStart w:id="3" w:name="XMMC"/>
            <w:r/>
            <w:bookmarkEnd w:id="3"/>
            <w:r/>
            <w:r/>
          </w:p>
        </w:tc>
        <w:tc>
          <w:tcPr>
            <w:tcW w:w="3116" w:type="dxa"/>
            <w:vAlign w:val="center"/>
            <w:textDirection w:val="lrTb"/>
            <w:noWrap w:val="false"/>
          </w:tcPr>
          <w:p>
            <w:pPr>
              <w:rPr>
                <w:rFonts w:hint="eastAsia" w:ascii="宋体" w:hAnsi="宋体" w:cs="宋体"/>
                <w:b/>
                <w:color w:val="auto"/>
                <w:szCs w:val="21"/>
                <w:highlight w:val="none"/>
              </w:rPr>
            </w:pPr>
            <w:r/>
            <w:bookmarkStart w:id="4" w:name="JEXX"/>
            <w:r/>
            <w:bookmarkEnd w:id="4"/>
            <w:r/>
            <w:r/>
          </w:p>
        </w:tc>
      </w:tr>
      <w:tr>
        <w:trPr>
          <w:cantSplit/>
          <w:trHeight w:val="780"/>
        </w:trPr>
        <w:tc>
          <w:tcPr>
            <w:gridSpan w:val="2"/>
            <w:tcW w:w="9287" w:type="dxa"/>
            <w:vAlign w:val="center"/>
            <w:textDirection w:val="lrTb"/>
            <w:noWrap w:val="false"/>
          </w:tcPr>
          <w:p>
            <w:pPr>
              <w:rPr>
                <w:rFonts w:hint="eastAsia" w:ascii="宋体" w:hAnsi="宋体" w:cs="宋体"/>
                <w:bCs/>
                <w:color w:val="auto"/>
                <w:szCs w:val="21"/>
                <w:highlight w:val="none"/>
              </w:rPr>
            </w:pPr>
            <w:r>
              <w:rPr>
                <w:rFonts w:hint="eastAsia" w:ascii="宋体" w:hAnsi="宋体" w:cs="宋体"/>
                <w:color w:val="auto"/>
                <w:szCs w:val="21"/>
                <w:highlight w:val="none"/>
              </w:rPr>
              <w:t xml:space="preserve">投标总报价（大写）</w:t>
            </w:r>
            <w:r>
              <w:rPr>
                <w:rFonts w:hint="eastAsia" w:ascii="宋体" w:hAnsi="宋体" w:cs="宋体"/>
                <w:bCs/>
                <w:color w:val="auto"/>
                <w:szCs w:val="21"/>
                <w:highlight w:val="none"/>
              </w:rPr>
              <w:t xml:space="preserve">：</w:t>
            </w:r>
            <w:bookmarkStart w:id="5" w:name="JEDX"/>
            <w:r/>
            <w:bookmarkEnd w:id="5"/>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注：</w:t>
      </w:r>
      <w:r>
        <w:rPr>
          <w:rFonts w:hint="eastAsia" w:ascii="宋体" w:hAnsi="宋体" w:cs="宋体"/>
          <w:color w:val="auto"/>
          <w:highlight w:val="none"/>
        </w:rPr>
        <w:t xml:space="preserve">耗材（燃油费）、场地费、通讯、服装、胸卡、办公设备、各种税费、人工、保险、劳保、维护、利润、中标服务费、税金、政策性文件规定及合同包含的所有风险、责任等各项应有费用。不限于此，可自行添加。</w:t>
      </w:r>
      <w:r/>
    </w:p>
    <w:p>
      <w:pPr>
        <w:ind w:left="426"/>
        <w:spacing w:line="360" w:lineRule="auto"/>
        <w:rPr>
          <w:rFonts w:hint="eastAsia" w:ascii="宋体" w:hAnsi="宋体"/>
          <w:color w:val="auto"/>
          <w:highlight w:val="none"/>
        </w:rPr>
      </w:pPr>
      <w:r>
        <w:rPr>
          <w:rFonts w:hint="eastAsia" w:ascii="宋体" w:hAnsi="宋体"/>
          <w:color w:val="auto"/>
          <w:highlight w:val="none"/>
        </w:rPr>
      </w:r>
      <w:r/>
    </w:p>
    <w:p>
      <w:pPr>
        <w:pStyle w:val="905"/>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pStyle w:val="905"/>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ind w:left="38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pStyle w:val="905"/>
        <w:rPr>
          <w:color w:val="auto"/>
          <w:highlight w:val="none"/>
        </w:rPr>
      </w:pPr>
      <w:r>
        <w:rPr>
          <w:color w:val="auto"/>
          <w:highlight w:val="none"/>
        </w:rPr>
      </w:r>
      <w:r/>
    </w:p>
    <w:p>
      <w:pPr>
        <w:ind w:left="3400" w:firstLine="425"/>
        <w:spacing w:line="360" w:lineRule="auto"/>
        <w:rPr>
          <w:rFonts w:hint="eastAsia" w:ascii="宋体" w:hAnsi="宋体" w:cs="宋体"/>
          <w:color w:val="auto"/>
          <w:szCs w:val="21"/>
          <w:highlight w:val="none"/>
        </w:rPr>
        <w:sectPr>
          <w:footnotePr/>
          <w:endnotePr/>
          <w:type w:val="nextPage"/>
          <w:pgSz w:w="11906" w:h="16838" w:orient="portrait"/>
          <w:pgMar w:top="1134" w:right="1134" w:bottom="1134" w:left="1701" w:header="851" w:footer="567" w:gutter="0"/>
          <w:cols w:num="1" w:sep="0" w:space="720" w:equalWidth="1"/>
          <w:docGrid w:linePitch="360"/>
        </w:sectPr>
      </w:pPr>
      <w:r>
        <w:rPr>
          <w:rFonts w:hint="eastAsia" w:ascii="宋体" w:hAnsi="宋体" w:cs="宋体"/>
          <w:color w:val="auto"/>
          <w:szCs w:val="21"/>
          <w:highlight w:val="none"/>
        </w:rPr>
        <w:t xml:space="preserve">日期：        年    月    日</w:t>
      </w:r>
      <w:r/>
    </w:p>
    <w:p>
      <w:pPr>
        <w:jc w:val="left"/>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r>
      <w:r/>
    </w:p>
    <w:p>
      <w:pPr>
        <w:rPr>
          <w:rFonts w:hint="eastAsia" w:ascii="宋体" w:hAnsi="宋体" w:cs="宋体"/>
          <w:b/>
          <w:color w:val="auto"/>
          <w:sz w:val="24"/>
          <w:szCs w:val="24"/>
          <w:highlight w:val="none"/>
        </w:rPr>
      </w:pPr>
      <w:r>
        <w:rPr>
          <w:rFonts w:ascii="宋体" w:hAnsi="宋体" w:cs="宋体"/>
          <w:b/>
          <w:color w:val="auto"/>
          <w:sz w:val="24"/>
          <w:szCs w:val="24"/>
          <w:highlight w:val="none"/>
        </w:rPr>
        <w:br w:type="page" w:clear="all"/>
      </w:r>
      <w:r/>
    </w:p>
    <w:p>
      <w:pPr>
        <w:ind w:left="420" w:hanging="420"/>
        <w:jc w:val="left"/>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四</w:t>
      </w:r>
      <w:r>
        <w:rPr>
          <w:rFonts w:ascii="宋体" w:hAnsi="宋体" w:cs="宋体"/>
          <w:b/>
          <w:color w:val="auto"/>
          <w:sz w:val="24"/>
          <w:szCs w:val="24"/>
          <w:highlight w:val="none"/>
        </w:rPr>
        <w:t xml:space="preserve">、分项报价明细</w:t>
      </w:r>
      <w:r/>
    </w:p>
    <w:p>
      <w:pPr>
        <w:pStyle w:val="906"/>
        <w:ind w:left="1050" w:firstLine="0"/>
        <w:jc w:val="center"/>
        <w:rPr>
          <w:rFonts w:ascii="宋体" w:hAnsi="宋体" w:eastAsia="宋体" w:cs="宋体"/>
          <w:b/>
          <w:bCs/>
          <w:color w:val="auto"/>
          <w:sz w:val="22"/>
          <w:szCs w:val="21"/>
          <w:highlight w:val="none"/>
        </w:rPr>
      </w:pPr>
      <w:r>
        <w:rPr>
          <w:rFonts w:ascii="宋体" w:hAnsi="宋体" w:eastAsia="宋体" w:cs="宋体"/>
          <w:b/>
          <w:bCs/>
          <w:color w:val="auto"/>
          <w:sz w:val="22"/>
          <w:szCs w:val="21"/>
          <w:highlight w:val="none"/>
        </w:rPr>
      </w:r>
      <w:r/>
    </w:p>
    <w:p>
      <w:pPr>
        <w:pStyle w:val="906"/>
        <w:ind w:left="1050" w:firstLine="0"/>
        <w:jc w:val="center"/>
        <w:rPr>
          <w:rFonts w:ascii="宋体" w:hAnsi="宋体" w:eastAsia="宋体" w:cs="宋体"/>
          <w:b/>
          <w:bCs/>
          <w:color w:val="auto"/>
          <w:sz w:val="22"/>
          <w:szCs w:val="21"/>
          <w:highlight w:val="none"/>
        </w:rPr>
      </w:pPr>
      <w:r>
        <w:rPr>
          <w:rFonts w:ascii="宋体" w:hAnsi="宋体" w:eastAsia="宋体" w:cs="宋体"/>
          <w:b/>
          <w:bCs/>
          <w:color w:val="auto"/>
          <w:sz w:val="22"/>
          <w:szCs w:val="21"/>
          <w:highlight w:val="none"/>
        </w:rPr>
      </w:r>
      <w:r/>
    </w:p>
    <w:p>
      <w:pPr>
        <w:pStyle w:val="906"/>
        <w:ind w:left="1050" w:firstLine="0"/>
        <w:jc w:val="center"/>
        <w:rPr>
          <w:rFonts w:ascii="宋体" w:hAnsi="宋体" w:eastAsia="宋体" w:cs="宋体"/>
          <w:b/>
          <w:bCs/>
          <w:color w:val="auto"/>
          <w:sz w:val="22"/>
          <w:szCs w:val="21"/>
          <w:highlight w:val="none"/>
        </w:rPr>
      </w:pPr>
      <w:r>
        <w:rPr>
          <w:rFonts w:ascii="宋体" w:hAnsi="宋体" w:eastAsia="宋体" w:cs="宋体"/>
          <w:b/>
          <w:bCs/>
          <w:color w:val="auto"/>
          <w:sz w:val="22"/>
          <w:szCs w:val="21"/>
          <w:highlight w:val="none"/>
        </w:rPr>
      </w:r>
      <w:r/>
    </w:p>
    <w:p>
      <w:pPr>
        <w:ind w:firstLine="525"/>
        <w:jc w:val="left"/>
        <w:spacing w:line="360" w:lineRule="auto"/>
        <w:tabs>
          <w:tab w:val="left" w:pos="4678"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ab/>
      </w:r>
      <w:r>
        <w:rPr>
          <w:rFonts w:hint="eastAsia" w:ascii="宋体" w:hAnsi="宋体" w:cs="宋体"/>
          <w:color w:val="auto"/>
          <w:szCs w:val="21"/>
          <w:highlight w:val="none"/>
        </w:rPr>
        <w:t xml:space="preserve">招标编号：</w:t>
      </w:r>
      <w:r>
        <w:rPr>
          <w:rFonts w:hint="eastAsia" w:ascii="宋体" w:hAnsi="宋体" w:cs="宋体"/>
          <w:color w:val="auto"/>
          <w:szCs w:val="21"/>
          <w:highlight w:val="none"/>
          <w:u w:val="single"/>
        </w:rPr>
        <w:t xml:space="preserve">          </w:t>
      </w:r>
      <w:r/>
    </w:p>
    <w:tbl>
      <w:tblPr>
        <w:tblStyle w:val="901"/>
        <w:tblW w:w="4996"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16"/>
        <w:gridCol w:w="1567"/>
        <w:gridCol w:w="2770"/>
        <w:gridCol w:w="1203"/>
        <w:gridCol w:w="1545"/>
        <w:gridCol w:w="1279"/>
      </w:tblGrid>
      <w:tr>
        <w:trPr>
          <w:trHeight w:val="534"/>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直升机机型</w:t>
            </w:r>
            <w:r/>
          </w:p>
        </w:tc>
        <w:tc>
          <w:tcPr>
            <w:tcBorders>
              <w:top w:val="single" w:color="auto" w:sz="4" w:space="0"/>
              <w:left w:val="single" w:color="auto" w:sz="4" w:space="0"/>
              <w:bottom w:val="single" w:color="auto" w:sz="4" w:space="0"/>
              <w:right w:val="single" w:color="auto" w:sz="4" w:space="0"/>
            </w:tcBorders>
            <w:tcW w:w="1492" w:type="pct"/>
            <w:vAlign w:val="center"/>
            <w:textDirection w:val="lrTb"/>
            <w:noWrap w:val="false"/>
          </w:tcPr>
          <w:p>
            <w:pPr>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条目</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飞行小时数</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飞行小时费（万元）</w:t>
            </w:r>
            <w:r/>
          </w:p>
        </w:tc>
        <w:tc>
          <w:tcPr>
            <w:tcBorders>
              <w:top w:val="single" w:color="auto" w:sz="4" w:space="0"/>
              <w:left w:val="single" w:color="auto" w:sz="4" w:space="0"/>
              <w:bottom w:val="single" w:color="auto" w:sz="4" w:space="0"/>
              <w:right w:val="single" w:color="auto" w:sz="4" w:space="0"/>
            </w:tcBorders>
            <w:tcW w:w="689" w:type="pct"/>
            <w:vAlign w:val="center"/>
            <w:textDirection w:val="lrTb"/>
            <w:noWrap w:val="false"/>
          </w:tcPr>
          <w:p>
            <w:pPr>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备注</w:t>
            </w:r>
            <w:r/>
          </w:p>
        </w:tc>
      </w:tr>
      <w:tr>
        <w:trPr>
          <w:trHeight w:val="463"/>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92" w:type="pct"/>
            <w:vAlign w:val="center"/>
            <w:textDirection w:val="lrTb"/>
            <w:noWrap w:val="false"/>
          </w:tcPr>
          <w:p>
            <w:pPr>
              <w:jc w:val="center"/>
              <w:spacing w:line="440" w:lineRule="exact"/>
              <w:rPr>
                <w:rFonts w:hint="eastAsia" w:ascii="宋体" w:hAnsi="宋体"/>
                <w:bCs/>
                <w:strike/>
                <w:color w:val="auto"/>
                <w:szCs w:val="21"/>
                <w:highlight w:val="none"/>
              </w:rPr>
            </w:pPr>
            <w:r>
              <w:rPr>
                <w:rFonts w:hint="eastAsia" w:ascii="宋体" w:hAnsi="宋体"/>
                <w:bCs/>
                <w:strike/>
                <w:color w:val="auto"/>
                <w:szCs w:val="21"/>
                <w:highlight w:val="none"/>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firstLine="31"/>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31"/>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89" w:type="pct"/>
            <w:vAlign w:val="center"/>
            <w:textDirection w:val="lrTb"/>
            <w:noWrap w:val="false"/>
          </w:tcPr>
          <w:p>
            <w:pPr>
              <w:ind w:firstLine="31"/>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r>
            <w:r/>
          </w:p>
        </w:tc>
      </w:tr>
      <w:tr>
        <w:trPr>
          <w:trHeight w:val="360"/>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92" w:type="pct"/>
            <w:vAlign w:val="center"/>
            <w:textDirection w:val="lrTb"/>
            <w:noWrap w:val="false"/>
          </w:tcPr>
          <w:p>
            <w:pPr>
              <w:jc w:val="center"/>
              <w:spacing w:line="440" w:lineRule="exact"/>
              <w:rPr>
                <w:rFonts w:hint="eastAsia" w:ascii="宋体" w:hAnsi="宋体"/>
                <w:bCs/>
                <w:strike/>
                <w:color w:val="auto"/>
                <w:szCs w:val="21"/>
                <w:highlight w:val="none"/>
              </w:rPr>
            </w:pPr>
            <w:r>
              <w:rPr>
                <w:rFonts w:hint="eastAsia" w:ascii="宋体" w:hAnsi="宋体"/>
                <w:bCs/>
                <w:strike/>
                <w:color w:val="auto"/>
                <w:szCs w:val="21"/>
                <w:highlight w:val="none"/>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firstLine="31"/>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31"/>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89" w:type="pct"/>
            <w:vAlign w:val="center"/>
            <w:textDirection w:val="lrTb"/>
            <w:noWrap w:val="false"/>
          </w:tcPr>
          <w:p>
            <w:pPr>
              <w:ind w:firstLine="31"/>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r>
            <w:r/>
          </w:p>
        </w:tc>
      </w:tr>
      <w:tr>
        <w:trPr>
          <w:trHeight w:val="360"/>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44" w:type="pct"/>
            <w:vAlign w:val="center"/>
            <w:textDirection w:val="lrTb"/>
            <w:noWrap w:val="false"/>
          </w:tcPr>
          <w:p>
            <w:pPr>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92" w:type="pct"/>
            <w:vAlign w:val="center"/>
            <w:textDirection w:val="lrTb"/>
            <w:noWrap w:val="false"/>
          </w:tcPr>
          <w:p>
            <w:pPr>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firstLine="31"/>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ind w:firstLine="31"/>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689" w:type="pct"/>
            <w:vAlign w:val="center"/>
            <w:textDirection w:val="lrTb"/>
            <w:noWrap w:val="false"/>
          </w:tcPr>
          <w:p>
            <w:pPr>
              <w:ind w:firstLine="31"/>
              <w:jc w:val="center"/>
              <w:spacing w:line="440" w:lineRule="exact"/>
              <w:rPr>
                <w:rFonts w:hint="eastAsia" w:ascii="宋体" w:hAnsi="宋体"/>
                <w:bCs/>
                <w:color w:val="auto"/>
                <w:szCs w:val="21"/>
                <w:highlight w:val="none"/>
              </w:rPr>
            </w:pPr>
            <w:r>
              <w:rPr>
                <w:rFonts w:hint="eastAsia" w:ascii="宋体" w:hAnsi="宋体"/>
                <w:bCs/>
                <w:color w:val="auto"/>
                <w:szCs w:val="21"/>
                <w:highlight w:val="none"/>
              </w:rPr>
            </w:r>
            <w:r/>
          </w:p>
        </w:tc>
      </w:tr>
      <w:tr>
        <w:trPr>
          <w:trHeight w:val="622"/>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rPr>
                <w:rFonts w:hint="eastAsia" w:ascii="宋体" w:hAnsi="宋体"/>
                <w:b/>
                <w:bCs/>
                <w:color w:val="auto"/>
                <w:szCs w:val="21"/>
                <w:highlight w:val="none"/>
              </w:rPr>
            </w:pPr>
            <w:r>
              <w:rPr>
                <w:rFonts w:hint="eastAsia" w:ascii="宋体" w:hAnsi="宋体"/>
                <w:b/>
                <w:bCs/>
                <w:color w:val="auto"/>
                <w:szCs w:val="21"/>
                <w:highlight w:val="none"/>
              </w:rPr>
              <w:t xml:space="preserve">合计</w:t>
            </w:r>
            <w:r/>
          </w:p>
        </w:tc>
        <w:tc>
          <w:tcPr>
            <w:gridSpan w:val="5"/>
            <w:tcBorders>
              <w:top w:val="single" w:color="auto" w:sz="4" w:space="0"/>
              <w:left w:val="single" w:color="auto" w:sz="4" w:space="0"/>
              <w:bottom w:val="single" w:color="auto" w:sz="4" w:space="0"/>
              <w:right w:val="single" w:color="auto" w:sz="4" w:space="0"/>
            </w:tcBorders>
            <w:tcW w:w="4505" w:type="pct"/>
            <w:vAlign w:val="center"/>
            <w:textDirection w:val="lrTb"/>
            <w:noWrap w:val="false"/>
          </w:tcPr>
          <w:p>
            <w:pPr>
              <w:ind w:firstLine="420"/>
              <w:rPr>
                <w:rFonts w:hint="eastAsia" w:ascii="宋体" w:hAnsi="宋体"/>
                <w:b/>
                <w:bCs/>
                <w:color w:val="auto"/>
                <w:szCs w:val="21"/>
                <w:highlight w:val="none"/>
              </w:rPr>
            </w:pPr>
            <w:r>
              <w:rPr>
                <w:rFonts w:hint="eastAsia" w:ascii="宋体" w:hAnsi="宋体" w:cs="宋体"/>
                <w:color w:val="auto"/>
                <w:szCs w:val="21"/>
                <w:highlight w:val="none"/>
              </w:rPr>
              <w:t xml:space="preserve">投标总报价（大写）</w:t>
            </w:r>
            <w:r>
              <w:rPr>
                <w:rFonts w:hint="eastAsia" w:ascii="宋体" w:hAnsi="宋体" w:cs="宋体"/>
                <w:bCs/>
                <w:color w:val="auto"/>
                <w:szCs w:val="21"/>
                <w:highlight w:val="none"/>
              </w:rPr>
              <w:t xml:space="preserve">：</w:t>
            </w:r>
            <w:r/>
          </w:p>
        </w:tc>
      </w:tr>
    </w:tbl>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left="2520" w:right="420" w:firstLine="192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41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法定代表人或代理人：（签字或盖章）</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410"/>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年     月 </w:t>
      </w:r>
      <w:r/>
    </w:p>
    <w:p>
      <w:pPr>
        <w:spacing w:line="360" w:lineRule="auto"/>
        <w:rPr>
          <w:color w:val="auto"/>
          <w:highlight w:val="none"/>
        </w:rPr>
      </w:pPr>
      <w:r>
        <w:rPr>
          <w:rFonts w:hint="eastAsia"/>
          <w:color w:val="auto"/>
          <w:highlight w:val="none"/>
        </w:rPr>
        <w:t xml:space="preserve">说明：</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1.明细表包含投标单位各项成本核算和投入的成本明细，分项报价明细表的总金额应与磋商响应报价表的总报价一致。否则，以磋商响应报价表为准。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2.条目举例如下：耗材（燃油费）、场地费、通讯、服装、胸卡、办公设备、各种税费、人工、保险、劳保、维护、利润、中标服务费、税金、政策性文件规定及合同包含的所有风险、责任等各项应有费用。不限于此，可自行添加。</w:t>
      </w:r>
      <w:r/>
    </w:p>
    <w:p>
      <w:pPr>
        <w:spacing w:line="360" w:lineRule="auto"/>
        <w:rPr>
          <w:color w:val="auto"/>
          <w:highlight w:val="none"/>
        </w:rPr>
      </w:pPr>
      <w:r>
        <w:rPr>
          <w:rFonts w:hint="eastAsia" w:ascii="宋体" w:hAnsi="宋体" w:cs="宋体"/>
          <w:color w:val="auto"/>
          <w:highlight w:val="none"/>
        </w:rPr>
        <w:t xml:space="preserve">3.人工成本计算</w:t>
      </w:r>
      <w:r>
        <w:rPr>
          <w:rFonts w:hint="eastAsia"/>
          <w:color w:val="auto"/>
          <w:highlight w:val="none"/>
        </w:rPr>
        <w:t xml:space="preserve">法为总人数合计。</w:t>
      </w:r>
      <w:r/>
    </w:p>
    <w:p>
      <w:pPr>
        <w:jc w:val="left"/>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r>
      <w:r/>
    </w:p>
    <w:p>
      <w:pPr>
        <w:rPr>
          <w:rFonts w:hint="eastAsia" w:ascii="宋体" w:hAnsi="宋体" w:cs="宋体"/>
          <w:b/>
          <w:color w:val="auto"/>
          <w:sz w:val="24"/>
          <w:szCs w:val="24"/>
          <w:highlight w:val="none"/>
        </w:rPr>
      </w:pPr>
      <w:r>
        <w:rPr>
          <w:rFonts w:ascii="宋体" w:hAnsi="宋体" w:cs="宋体"/>
          <w:b/>
          <w:color w:val="auto"/>
          <w:sz w:val="24"/>
          <w:szCs w:val="24"/>
          <w:highlight w:val="none"/>
        </w:rPr>
        <w:br w:type="page" w:clear="all"/>
      </w:r>
      <w:r/>
    </w:p>
    <w:p>
      <w:pPr>
        <w:pStyle w:val="902"/>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bCs/>
          <w:color w:val="auto"/>
          <w:szCs w:val="21"/>
          <w:highlight w:val="none"/>
        </w:rPr>
        <w:t xml:space="preserve">五、</w:t>
      </w:r>
      <w:r>
        <w:rPr>
          <w:rFonts w:hint="eastAsia" w:ascii="宋体" w:hAnsi="宋体" w:eastAsia="宋体" w:cs="宋体"/>
          <w:b/>
          <w:color w:val="auto"/>
          <w:szCs w:val="24"/>
          <w:highlight w:val="none"/>
        </w:rPr>
        <w:t xml:space="preserve">拟投入本项目人员一览表</w:t>
      </w:r>
      <w:r/>
    </w:p>
    <w:p>
      <w:pPr>
        <w:pStyle w:val="972"/>
        <w:ind w:firstLine="0"/>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82"/>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服务人员配置一览表</w:t>
      </w:r>
      <w:r/>
    </w:p>
    <w:p>
      <w:pPr>
        <w:spacing w:line="360" w:lineRule="auto"/>
        <w:tabs>
          <w:tab w:val="left" w:pos="4680" w:leader="none"/>
        </w:tabs>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tabs>
          <w:tab w:val="left" w:pos="46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采购编号：                      </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采购内容： </w:t>
      </w:r>
      <w:r/>
    </w:p>
    <w:tbl>
      <w:tblPr>
        <w:tblStyle w:val="901"/>
        <w:tblW w:w="48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295"/>
        <w:gridCol w:w="1295"/>
        <w:gridCol w:w="1362"/>
        <w:gridCol w:w="1337"/>
        <w:gridCol w:w="659"/>
        <w:gridCol w:w="1177"/>
        <w:gridCol w:w="1050"/>
      </w:tblGrid>
      <w:tr>
        <w:trPr>
          <w:cantSplit/>
          <w:trHeight w:val="507"/>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工作经验/飞行时间</w:t>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相关证书</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507"/>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07"/>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07"/>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07"/>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507"/>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507"/>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pStyle w:val="936"/>
        <w:ind w:firstLine="42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36"/>
        <w:ind w:firstLine="42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36"/>
        <w:ind w:firstLine="462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磋商</w:t>
      </w:r>
      <w:r>
        <w:rPr>
          <w:rFonts w:ascii="Times New Roman" w:hAnsi="Times New Roman" w:eastAsia="宋体"/>
          <w:color w:val="auto"/>
          <w:sz w:val="21"/>
          <w:szCs w:val="21"/>
          <w:highlight w:val="none"/>
        </w:rPr>
        <w:t xml:space="preserve">响应单位：（</w:t>
      </w:r>
      <w:r>
        <w:rPr>
          <w:rFonts w:hint="eastAsia" w:ascii="Times New Roman" w:hAnsi="Times New Roman" w:eastAsia="宋体"/>
          <w:color w:val="auto"/>
          <w:sz w:val="21"/>
          <w:szCs w:val="21"/>
          <w:highlight w:val="none"/>
        </w:rPr>
        <w:t xml:space="preserve">公</w:t>
      </w:r>
      <w:r>
        <w:rPr>
          <w:rFonts w:ascii="Times New Roman" w:hAnsi="Times New Roman" w:eastAsia="宋体"/>
          <w:color w:val="auto"/>
          <w:sz w:val="21"/>
          <w:szCs w:val="21"/>
          <w:highlight w:val="none"/>
        </w:rPr>
        <w:t xml:space="preserve">章）</w:t>
      </w:r>
      <w:r/>
    </w:p>
    <w:p>
      <w:pPr>
        <w:pStyle w:val="936"/>
        <w:ind w:firstLine="441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36"/>
        <w:ind w:firstLine="462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法定代表人或代理人：（签字或盖章）</w:t>
      </w:r>
      <w:r/>
    </w:p>
    <w:p>
      <w:pPr>
        <w:pStyle w:val="936"/>
        <w:ind w:firstLine="441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ind w:firstLine="4620"/>
        <w:spacing w:line="360" w:lineRule="auto"/>
        <w:rPr>
          <w:color w:val="auto"/>
          <w:szCs w:val="21"/>
          <w:highlight w:val="none"/>
        </w:rPr>
      </w:pPr>
      <w:r>
        <w:rPr>
          <w:color w:val="auto"/>
          <w:szCs w:val="21"/>
          <w:highlight w:val="none"/>
        </w:rPr>
        <w:t xml:space="preserve">日期：   年   月   日</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jc w:val="left"/>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六、商务条款偏离表</w:t>
      </w:r>
      <w:r/>
    </w:p>
    <w:p>
      <w:pPr>
        <w:ind w:firstLine="525"/>
        <w:jc w:val="left"/>
        <w:spacing w:line="360" w:lineRule="auto"/>
        <w:tabs>
          <w:tab w:val="left" w:pos="4678"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527"/>
        <w:jc w:val="center"/>
        <w:spacing w:line="360" w:lineRule="auto"/>
        <w:tabs>
          <w:tab w:val="left" w:pos="4678"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商务条款偏离表</w:t>
      </w:r>
      <w:r/>
    </w:p>
    <w:p>
      <w:pPr>
        <w:ind w:firstLine="525"/>
        <w:jc w:val="center"/>
        <w:spacing w:line="360" w:lineRule="auto"/>
        <w:tabs>
          <w:tab w:val="left" w:pos="4678"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525"/>
        <w:jc w:val="left"/>
        <w:spacing w:line="360" w:lineRule="auto"/>
        <w:tabs>
          <w:tab w:val="left" w:pos="4678"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ab/>
      </w:r>
      <w:r>
        <w:rPr>
          <w:rFonts w:hint="eastAsia" w:ascii="宋体" w:hAnsi="宋体" w:cs="宋体"/>
          <w:color w:val="auto"/>
          <w:szCs w:val="21"/>
          <w:highlight w:val="none"/>
        </w:rPr>
        <w:t xml:space="preserve">采购编号：</w:t>
      </w:r>
      <w:r>
        <w:rPr>
          <w:rFonts w:hint="eastAsia" w:ascii="宋体" w:hAnsi="宋体" w:cs="宋体"/>
          <w:color w:val="auto"/>
          <w:szCs w:val="21"/>
          <w:highlight w:val="none"/>
          <w:u w:val="single"/>
        </w:rPr>
        <w:t xml:space="preserve">              </w:t>
      </w:r>
      <w:r/>
    </w:p>
    <w:tbl>
      <w:tblPr>
        <w:tblStyle w:val="901"/>
        <w:tblW w:w="928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091"/>
        <w:gridCol w:w="2613"/>
        <w:gridCol w:w="2613"/>
        <w:gridCol w:w="1195"/>
      </w:tblGrid>
      <w:tr>
        <w:trPr>
          <w:jc w:val="center"/>
        </w:trPr>
        <w:tc>
          <w:tcPr>
            <w:tcW w:w="771" w:type="dxa"/>
            <w:textDirection w:val="lrTb"/>
            <w:noWrap w:val="false"/>
          </w:tcPr>
          <w:p>
            <w:pPr>
              <w:jc w:val="cente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091" w:type="dxa"/>
            <w:textDirection w:val="lrTb"/>
            <w:noWrap w:val="false"/>
          </w:tcPr>
          <w:p>
            <w:pPr>
              <w:jc w:val="cente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采购文件条目号</w:t>
            </w:r>
            <w:r/>
          </w:p>
        </w:tc>
        <w:tc>
          <w:tcPr>
            <w:tcW w:w="2613" w:type="dxa"/>
            <w:textDirection w:val="lrTb"/>
            <w:noWrap w:val="false"/>
          </w:tcPr>
          <w:p>
            <w:pPr>
              <w:jc w:val="cente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采购文件的商务条款</w:t>
            </w:r>
            <w:r/>
          </w:p>
        </w:tc>
        <w:tc>
          <w:tcPr>
            <w:tcW w:w="2613" w:type="dxa"/>
            <w:textDirection w:val="lrTb"/>
            <w:noWrap w:val="false"/>
          </w:tcPr>
          <w:p>
            <w:pPr>
              <w:jc w:val="cente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响应文件的商务条款</w:t>
            </w:r>
            <w:r/>
          </w:p>
        </w:tc>
        <w:tc>
          <w:tcPr>
            <w:tcW w:w="1195" w:type="dxa"/>
            <w:textDirection w:val="lrTb"/>
            <w:noWrap w:val="false"/>
          </w:tcPr>
          <w:p>
            <w:pPr>
              <w:jc w:val="cente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771" w:type="dxa"/>
            <w:vAlign w:val="center"/>
            <w:textDirection w:val="lrTb"/>
            <w:noWrap w:val="false"/>
          </w:tcPr>
          <w:p>
            <w:pPr>
              <w:jc w:val="center"/>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091" w:type="dxa"/>
            <w:vAlign w:val="center"/>
            <w:textDirection w:val="lrTb"/>
            <w:noWrap w:val="false"/>
          </w:tcPr>
          <w:p>
            <w:pPr>
              <w:jc w:val="center"/>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服务期限</w:t>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95"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1" w:type="dxa"/>
            <w:vAlign w:val="center"/>
            <w:textDirection w:val="lrTb"/>
            <w:noWrap w:val="false"/>
          </w:tcPr>
          <w:p>
            <w:pPr>
              <w:jc w:val="center"/>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091" w:type="dxa"/>
            <w:vAlign w:val="center"/>
            <w:textDirection w:val="lrTb"/>
            <w:noWrap w:val="false"/>
          </w:tcPr>
          <w:p>
            <w:pPr>
              <w:jc w:val="center"/>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服务地点</w:t>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95"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1" w:type="dxa"/>
            <w:vAlign w:val="center"/>
            <w:textDirection w:val="lrTb"/>
            <w:noWrap w:val="false"/>
          </w:tcPr>
          <w:p>
            <w:pPr>
              <w:jc w:val="center"/>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091" w:type="dxa"/>
            <w:vAlign w:val="center"/>
            <w:textDirection w:val="lrTb"/>
            <w:noWrap w:val="false"/>
          </w:tcPr>
          <w:p>
            <w:pPr>
              <w:jc w:val="center"/>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95"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1" w:type="dxa"/>
            <w:vAlign w:val="center"/>
            <w:textDirection w:val="lrTb"/>
            <w:noWrap w:val="false"/>
          </w:tcPr>
          <w:p>
            <w:pPr>
              <w:jc w:val="center"/>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091" w:type="dxa"/>
            <w:vAlign w:val="center"/>
            <w:textDirection w:val="lrTb"/>
            <w:noWrap w:val="false"/>
          </w:tcPr>
          <w:p>
            <w:pPr>
              <w:jc w:val="center"/>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其他商务要求</w:t>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95"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1"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91"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95"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1"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91"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95"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1"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91"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95"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1"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91"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95"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1"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91"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613"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95"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4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4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410"/>
        <w:spacing w:line="360" w:lineRule="auto"/>
        <w:rPr>
          <w:rFonts w:hint="eastAsia" w:ascii="宋体" w:hAnsi="宋体" w:cs="宋体"/>
          <w:color w:val="auto"/>
          <w:sz w:val="44"/>
          <w:szCs w:val="44"/>
          <w:highlight w:val="none"/>
        </w:rPr>
        <w:sectPr>
          <w:footnotePr/>
          <w:endnotePr/>
          <w:type w:val="continuous"/>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auto"/>
          <w:szCs w:val="21"/>
          <w:highlight w:val="none"/>
        </w:rPr>
        <w:t xml:space="preserve">日期：        年     月    日</w:t>
      </w:r>
      <w:r/>
    </w:p>
    <w:p>
      <w:pPr>
        <w:spacing w:line="360" w:lineRule="auto"/>
        <w:rPr>
          <w:rFonts w:hint="eastAsia" w:ascii="宋体" w:hAnsi="宋体"/>
          <w:b/>
          <w:color w:val="auto"/>
          <w:spacing w:val="20"/>
          <w:sz w:val="24"/>
          <w:szCs w:val="24"/>
          <w:highlight w:val="none"/>
        </w:rPr>
      </w:pPr>
      <w:r>
        <w:rPr>
          <w:rFonts w:hint="eastAsia" w:ascii="宋体" w:hAnsi="宋体" w:cs="宋体"/>
          <w:b/>
          <w:color w:val="auto"/>
          <w:sz w:val="24"/>
          <w:szCs w:val="24"/>
          <w:highlight w:val="none"/>
        </w:rPr>
        <w:t xml:space="preserve">七、</w:t>
      </w:r>
      <w:r>
        <w:rPr>
          <w:rFonts w:hint="eastAsia" w:ascii="宋体" w:hAnsi="宋体"/>
          <w:b/>
          <w:color w:val="auto"/>
          <w:sz w:val="24"/>
          <w:szCs w:val="24"/>
          <w:highlight w:val="none"/>
        </w:rPr>
        <w:t xml:space="preserve">服务要求偏离</w:t>
      </w:r>
      <w:r>
        <w:rPr>
          <w:rFonts w:hint="eastAsia" w:ascii="宋体" w:hAnsi="宋体"/>
          <w:b/>
          <w:color w:val="auto"/>
          <w:spacing w:val="20"/>
          <w:sz w:val="24"/>
          <w:szCs w:val="24"/>
          <w:highlight w:val="none"/>
        </w:rPr>
        <w:t xml:space="preserve">表</w:t>
      </w:r>
      <w:r/>
    </w:p>
    <w:p>
      <w:pPr>
        <w:jc w:val="left"/>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r>
      <w:r/>
    </w:p>
    <w:p>
      <w:pPr>
        <w:jc w:val="center"/>
        <w:spacing w:line="360" w:lineRule="auto"/>
        <w:rPr>
          <w:rFonts w:hint="eastAsia" w:ascii="宋体" w:hAnsi="宋体"/>
          <w:b/>
          <w:color w:val="auto"/>
          <w:spacing w:val="20"/>
          <w:szCs w:val="21"/>
          <w:highlight w:val="none"/>
        </w:rPr>
      </w:pPr>
      <w:r>
        <w:rPr>
          <w:rFonts w:hint="eastAsia" w:ascii="宋体" w:hAnsi="宋体"/>
          <w:b/>
          <w:color w:val="auto"/>
          <w:szCs w:val="21"/>
          <w:highlight w:val="none"/>
        </w:rPr>
        <w:t xml:space="preserve">服务技术要求偏离</w:t>
      </w:r>
      <w:r>
        <w:rPr>
          <w:rFonts w:hint="eastAsia" w:ascii="宋体" w:hAnsi="宋体"/>
          <w:b/>
          <w:color w:val="auto"/>
          <w:spacing w:val="20"/>
          <w:szCs w:val="21"/>
          <w:highlight w:val="none"/>
        </w:rPr>
        <w:t xml:space="preserve">表</w:t>
      </w:r>
      <w:r/>
    </w:p>
    <w:tbl>
      <w:tblPr>
        <w:tblStyle w:val="901"/>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882"/>
        <w:gridCol w:w="1852"/>
        <w:gridCol w:w="2052"/>
        <w:gridCol w:w="2052"/>
      </w:tblGrid>
      <w:tr>
        <w:trPr>
          <w:jc w:val="center"/>
        </w:trPr>
        <w:tc>
          <w:tcPr>
            <w:tcW w:w="958" w:type="dxa"/>
            <w:vAlign w:val="center"/>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882" w:type="dxa"/>
            <w:vAlign w:val="center"/>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W w:w="1852" w:type="dxa"/>
            <w:vAlign w:val="center"/>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w:t>
            </w:r>
            <w:r>
              <w:rPr>
                <w:rFonts w:ascii="宋体" w:hAnsi="宋体" w:cs="宋体"/>
                <w:color w:val="auto"/>
                <w:szCs w:val="21"/>
                <w:highlight w:val="none"/>
              </w:rPr>
              <w:t xml:space="preserve">要求</w:t>
            </w:r>
            <w:r/>
          </w:p>
        </w:tc>
        <w:tc>
          <w:tcPr>
            <w:tcW w:w="2052" w:type="dxa"/>
            <w:vAlign w:val="center"/>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2052" w:type="dxa"/>
            <w:vAlign w:val="center"/>
            <w:textDirection w:val="lrTb"/>
            <w:noWrap w:val="false"/>
          </w:tcPr>
          <w:p>
            <w:pPr>
              <w:spacing w:before="240" w:after="240" w:line="360" w:lineRule="auto"/>
              <w:rPr>
                <w:rFonts w:hint="eastAsia" w:ascii="宋体" w:hAnsi="宋体" w:cs="宋体"/>
                <w:color w:val="auto"/>
                <w:szCs w:val="21"/>
                <w:highlight w:val="none"/>
              </w:rPr>
            </w:pPr>
            <w:r>
              <w:rPr>
                <w:rFonts w:ascii="宋体" w:hAnsi="宋体" w:cs="宋体"/>
                <w:color w:val="auto"/>
                <w:szCs w:val="21"/>
                <w:highlight w:val="none"/>
              </w:rPr>
              <w:t xml:space="preserve">偏离说明</w:t>
            </w:r>
            <w:r/>
          </w:p>
        </w:tc>
      </w:tr>
      <w:tr>
        <w:trPr>
          <w:jc w:val="center"/>
        </w:trPr>
        <w:tc>
          <w:tcPr>
            <w:tcW w:w="958" w:type="dxa"/>
            <w:vAlign w:val="center"/>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8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5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5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5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958" w:type="dxa"/>
            <w:vAlign w:val="center"/>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8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5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5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5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958" w:type="dxa"/>
            <w:vAlign w:val="center"/>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8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5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5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5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958" w:type="dxa"/>
            <w:vAlign w:val="center"/>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8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5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5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5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958" w:type="dxa"/>
            <w:vAlign w:val="center"/>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8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5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5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052" w:type="dxa"/>
            <w:textDirection w:val="lrTb"/>
            <w:noWrap w:val="false"/>
          </w:tcPr>
          <w:p>
            <w:pPr>
              <w:spacing w:before="240" w:after="24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各</w:t>
      </w:r>
      <w:r>
        <w:rPr>
          <w:rFonts w:hint="eastAsia" w:ascii="宋体" w:hAnsi="宋体"/>
          <w:color w:val="auto"/>
          <w:szCs w:val="21"/>
          <w:highlight w:val="none"/>
        </w:rPr>
        <w:t xml:space="preserve">响应</w:t>
      </w:r>
      <w:r>
        <w:rPr>
          <w:rFonts w:ascii="宋体" w:hAnsi="宋体"/>
          <w:color w:val="auto"/>
          <w:szCs w:val="21"/>
          <w:highlight w:val="none"/>
        </w:rPr>
        <w:t xml:space="preserve">单位可参照上述格式自制技术</w:t>
      </w:r>
      <w:r>
        <w:rPr>
          <w:rFonts w:hint="eastAsia" w:ascii="宋体" w:hAnsi="宋体"/>
          <w:color w:val="auto"/>
          <w:szCs w:val="21"/>
          <w:highlight w:val="none"/>
        </w:rPr>
        <w:t xml:space="preserve">响应</w:t>
      </w:r>
      <w:r>
        <w:rPr>
          <w:rFonts w:ascii="宋体" w:hAnsi="宋体"/>
          <w:color w:val="auto"/>
          <w:szCs w:val="21"/>
          <w:highlight w:val="none"/>
        </w:rPr>
        <w:t xml:space="preserve">对照表</w:t>
      </w:r>
      <w:r>
        <w:rPr>
          <w:rFonts w:hint="eastAsia" w:ascii="宋体" w:hAnsi="宋体"/>
          <w:color w:val="auto"/>
          <w:szCs w:val="21"/>
          <w:highlight w:val="none"/>
        </w:rPr>
        <w:t xml:space="preserve">。</w:t>
      </w:r>
      <w:r/>
    </w:p>
    <w:p>
      <w:pPr>
        <w:pStyle w:val="905"/>
        <w:rPr>
          <w:color w:val="auto"/>
          <w:highlight w:val="none"/>
        </w:rPr>
      </w:pPr>
      <w:r>
        <w:rPr>
          <w:color w:val="auto"/>
          <w:highlight w:val="none"/>
        </w:rPr>
      </w:r>
      <w:r/>
    </w:p>
    <w:p>
      <w:pPr>
        <w:ind w:firstLine="4410"/>
        <w:jc w:val="left"/>
        <w:spacing w:line="360" w:lineRule="auto"/>
        <w:rPr>
          <w:rFonts w:hint="eastAsia" w:ascii="宋体" w:hAnsi="宋体"/>
          <w:color w:val="auto"/>
          <w:szCs w:val="21"/>
          <w:highlight w:val="none"/>
        </w:rPr>
      </w:pPr>
      <w:r>
        <w:rPr>
          <w:rFonts w:hint="eastAsia" w:hAnsi="宋体"/>
          <w:color w:val="auto"/>
          <w:szCs w:val="21"/>
          <w:highlight w:val="none"/>
        </w:rPr>
        <w:t xml:space="preserve">磋商响应单位：（公章）</w:t>
      </w:r>
      <w:r>
        <w:rPr>
          <w:rFonts w:hint="eastAsia" w:ascii="宋体" w:hAnsi="宋体"/>
          <w:color w:val="auto"/>
          <w:szCs w:val="21"/>
          <w:highlight w:val="none"/>
        </w:rPr>
        <w:t xml:space="preserve">   </w:t>
      </w:r>
      <w:r/>
    </w:p>
    <w:p>
      <w:pPr>
        <w:ind w:firstLine="441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4410"/>
        <w:jc w:val="left"/>
        <w:spacing w:line="360" w:lineRule="auto"/>
        <w:rPr>
          <w:rFonts w:hint="eastAsia" w:ascii="宋体" w:hAnsi="宋体"/>
          <w:bCs/>
          <w:color w:val="auto"/>
          <w:szCs w:val="21"/>
          <w:highlight w:val="none"/>
        </w:rPr>
      </w:pPr>
      <w:r>
        <w:rPr>
          <w:rFonts w:hint="eastAsia" w:ascii="宋体" w:hAnsi="宋体"/>
          <w:color w:val="auto"/>
          <w:szCs w:val="21"/>
          <w:highlight w:val="none"/>
        </w:rPr>
        <w:t xml:space="preserve">法定代表人或代理人（签字或盖章）</w:t>
      </w:r>
      <w:r>
        <w:rPr>
          <w:rFonts w:hint="eastAsia" w:ascii="宋体" w:hAnsi="宋体"/>
          <w:bCs/>
          <w:color w:val="auto"/>
          <w:szCs w:val="21"/>
          <w:highlight w:val="none"/>
        </w:rPr>
        <w:t xml:space="preserve">：</w:t>
      </w:r>
      <w:r/>
    </w:p>
    <w:p>
      <w:pPr>
        <w:pStyle w:val="905"/>
        <w:rPr>
          <w:color w:val="auto"/>
          <w:highlight w:val="none"/>
        </w:rPr>
      </w:pPr>
      <w:r>
        <w:rPr>
          <w:color w:val="auto"/>
          <w:highlight w:val="none"/>
        </w:rPr>
      </w:r>
      <w:r/>
    </w:p>
    <w:p>
      <w:pPr>
        <w:ind w:firstLine="4410"/>
        <w:spacing w:line="360" w:lineRule="auto"/>
        <w:rPr>
          <w:rFonts w:hint="eastAsia" w:ascii="宋体" w:hAnsi="宋体" w:cs="宋体"/>
          <w:color w:val="auto"/>
          <w:sz w:val="44"/>
          <w:szCs w:val="44"/>
          <w:highlight w:val="none"/>
        </w:rPr>
        <w:sectPr>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bCs/>
          <w:color w:val="auto"/>
          <w:szCs w:val="21"/>
          <w:highlight w:val="none"/>
        </w:rPr>
        <w:t xml:space="preserve">日期</w:t>
      </w:r>
      <w:r>
        <w:rPr>
          <w:rFonts w:ascii="宋体" w:hAnsi="宋体"/>
          <w:bCs/>
          <w:color w:val="auto"/>
          <w:szCs w:val="21"/>
          <w:highlight w:val="none"/>
        </w:rPr>
        <w:t xml:space="preserve">:</w:t>
      </w:r>
      <w:r>
        <w:rPr>
          <w:rFonts w:hint="eastAsia" w:ascii="宋体" w:hAnsi="宋体" w:cs="宋体"/>
          <w:color w:val="auto"/>
          <w:szCs w:val="21"/>
          <w:highlight w:val="none"/>
        </w:rPr>
        <w:t xml:space="preserve">        年     月    日</w:t>
      </w:r>
      <w:r/>
    </w:p>
    <w:p>
      <w:pPr>
        <w:pStyle w:val="902"/>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bCs/>
          <w:color w:val="auto"/>
          <w:szCs w:val="21"/>
          <w:highlight w:val="none"/>
        </w:rPr>
        <w:t xml:space="preserve">八、</w:t>
      </w:r>
      <w:r>
        <w:rPr>
          <w:rFonts w:hint="eastAsia" w:ascii="宋体" w:hAnsi="宋体" w:eastAsia="宋体" w:cs="宋体"/>
          <w:b/>
          <w:bCs/>
          <w:color w:val="auto"/>
          <w:szCs w:val="24"/>
          <w:highlight w:val="none"/>
        </w:rPr>
        <w:t xml:space="preserve">服</w:t>
      </w:r>
      <w:r>
        <w:rPr>
          <w:rFonts w:hint="eastAsia" w:ascii="宋体" w:hAnsi="宋体" w:eastAsia="宋体" w:cs="宋体"/>
          <w:b/>
          <w:color w:val="auto"/>
          <w:szCs w:val="24"/>
          <w:highlight w:val="none"/>
        </w:rPr>
        <w:t xml:space="preserve">务方案说明</w:t>
      </w:r>
      <w:r/>
    </w:p>
    <w:p>
      <w:pPr>
        <w:pStyle w:val="902"/>
        <w:ind w:firstLine="0"/>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2"/>
        <w:ind w:firstLine="0"/>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服务方案说明</w:t>
      </w:r>
      <w:r/>
    </w:p>
    <w:tbl>
      <w:tblPr>
        <w:tblStyle w:val="901"/>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81"/>
      </w:tblGrid>
      <w:tr>
        <w:trPr>
          <w:jc w:val="center"/>
          <w:trHeight w:val="579"/>
        </w:trPr>
        <w:tc>
          <w:tcPr>
            <w:tcW w:w="9081" w:type="dxa"/>
            <w:textDirection w:val="lrTb"/>
            <w:noWrap w:val="false"/>
          </w:tcPr>
          <w:p>
            <w:pPr>
              <w:pStyle w:val="902"/>
              <w:ind w:firstLine="0"/>
              <w:jc w:val="both"/>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提示：</w:t>
            </w:r>
            <w:r/>
          </w:p>
          <w:p>
            <w:pPr>
              <w:pStyle w:val="902"/>
              <w:ind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1、磋商响应单位应根据本次采购项目要求，对本项目服务</w:t>
            </w:r>
            <w:r>
              <w:rPr>
                <w:rFonts w:hint="eastAsia" w:ascii="宋体" w:hAnsi="宋体" w:eastAsia="宋体" w:cs="宋体"/>
                <w:color w:val="auto"/>
                <w:sz w:val="21"/>
                <w:szCs w:val="21"/>
                <w:highlight w:val="none"/>
              </w:rPr>
              <w:t xml:space="preserve">方案</w:t>
            </w:r>
            <w:r>
              <w:rPr>
                <w:rFonts w:hint="eastAsia" w:ascii="宋体" w:hAnsi="宋体" w:eastAsia="宋体" w:cs="宋体"/>
                <w:bCs/>
                <w:color w:val="auto"/>
                <w:sz w:val="21"/>
                <w:szCs w:val="21"/>
                <w:highlight w:val="none"/>
              </w:rPr>
              <w:t xml:space="preserve">进行说明与描述。</w:t>
            </w:r>
            <w:r/>
          </w:p>
        </w:tc>
      </w:tr>
      <w:tr>
        <w:trPr>
          <w:jc w:val="center"/>
          <w:trHeight w:val="8775"/>
        </w:trPr>
        <w:tc>
          <w:tcPr>
            <w:tcW w:w="9081" w:type="dxa"/>
            <w:textDirection w:val="lrTb"/>
            <w:noWrap w:val="false"/>
          </w:tcPr>
          <w:p>
            <w:pPr>
              <w:pStyle w:val="902"/>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bl>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磋商响应单位</w:t>
      </w:r>
      <w:r>
        <w:rPr>
          <w:rFonts w:hint="eastAsia" w:ascii="宋体" w:hAnsi="宋体" w:cs="宋体"/>
          <w:bCs/>
          <w:color w:val="auto"/>
          <w:szCs w:val="21"/>
          <w:highlight w:val="none"/>
        </w:rPr>
        <w:t xml:space="preserve">：（公章）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法定代表人或代理人：（签字或盖章）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   年    月    日</w:t>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九、</w:t>
      </w:r>
      <w:r>
        <w:rPr>
          <w:rFonts w:ascii="宋体" w:hAnsi="宋体"/>
          <w:b/>
          <w:color w:val="auto"/>
          <w:sz w:val="24"/>
          <w:szCs w:val="24"/>
          <w:highlight w:val="none"/>
        </w:rPr>
        <w:t xml:space="preserve">设备配备一览表</w:t>
      </w:r>
      <w:r/>
    </w:p>
    <w:p>
      <w:pPr>
        <w:ind w:firstLine="525"/>
        <w:jc w:val="left"/>
        <w:spacing w:line="360" w:lineRule="auto"/>
        <w:tabs>
          <w:tab w:val="left" w:pos="4678"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525"/>
        <w:jc w:val="center"/>
        <w:spacing w:line="360" w:lineRule="auto"/>
        <w:tabs>
          <w:tab w:val="left" w:pos="4678"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527"/>
        <w:jc w:val="center"/>
        <w:spacing w:line="360" w:lineRule="auto"/>
        <w:tabs>
          <w:tab w:val="left" w:pos="4678"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设备配备一览表</w:t>
      </w:r>
      <w:r/>
    </w:p>
    <w:p>
      <w:pPr>
        <w:ind w:firstLine="525"/>
        <w:jc w:val="center"/>
        <w:spacing w:line="360" w:lineRule="auto"/>
        <w:tabs>
          <w:tab w:val="left" w:pos="4678"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525"/>
        <w:jc w:val="left"/>
        <w:spacing w:line="360" w:lineRule="auto"/>
        <w:tabs>
          <w:tab w:val="left" w:pos="4678"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ab/>
      </w:r>
      <w:r>
        <w:rPr>
          <w:rFonts w:hint="eastAsia" w:ascii="宋体" w:hAnsi="宋体" w:cs="宋体"/>
          <w:color w:val="auto"/>
          <w:szCs w:val="21"/>
          <w:highlight w:val="none"/>
        </w:rPr>
        <w:t xml:space="preserve">招标编号：</w:t>
      </w:r>
      <w:r>
        <w:rPr>
          <w:rFonts w:hint="eastAsia" w:ascii="宋体" w:hAnsi="宋体" w:cs="宋体"/>
          <w:color w:val="auto"/>
          <w:szCs w:val="21"/>
          <w:highlight w:val="none"/>
          <w:u w:val="single"/>
        </w:rPr>
        <w:t xml:space="preserve">          </w:t>
      </w:r>
      <w:r/>
    </w:p>
    <w:tbl>
      <w:tblPr>
        <w:tblStyle w:val="901"/>
        <w:tblW w:w="8376" w:type="dxa"/>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351"/>
        <w:gridCol w:w="1418"/>
        <w:gridCol w:w="1583"/>
        <w:gridCol w:w="767"/>
        <w:gridCol w:w="911"/>
        <w:gridCol w:w="1648"/>
      </w:tblGrid>
      <w:tr>
        <w:trPr>
          <w:cantSplit/>
          <w:trHeight w:val="477"/>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品牌规格</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477"/>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77"/>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77"/>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77"/>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477"/>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477"/>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left="2520" w:right="420" w:firstLine="1927"/>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520" w:right="420" w:firstLine="192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磋商响应单位：（公章）</w:t>
      </w:r>
      <w:r/>
    </w:p>
    <w:p>
      <w:pPr>
        <w:ind w:left="2520" w:right="420" w:firstLine="1927"/>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41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法定代表人或代理人：（签字或盖章）</w:t>
      </w:r>
      <w:r/>
    </w:p>
    <w:p>
      <w:pPr>
        <w:pStyle w:val="904"/>
        <w:spacing w:line="360" w:lineRule="auto"/>
        <w:rPr>
          <w:color w:val="auto"/>
          <w:highlight w:val="none"/>
        </w:rPr>
      </w:pPr>
      <w:r>
        <w:rPr>
          <w:color w:val="auto"/>
          <w:highlight w:val="none"/>
        </w:rPr>
      </w:r>
      <w:r/>
    </w:p>
    <w:p>
      <w:pPr>
        <w:ind w:firstLine="4410"/>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pStyle w:val="904"/>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02"/>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04"/>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68"/>
        <w:spacing w:line="360" w:lineRule="auto"/>
        <w:rPr>
          <w:rFonts w:hint="eastAsia" w:hAnsi="宋体" w:eastAsia="宋体"/>
          <w:b/>
          <w:color w:val="auto"/>
          <w:sz w:val="21"/>
          <w:szCs w:val="21"/>
          <w:highlight w:val="none"/>
        </w:rPr>
      </w:pPr>
      <w:r>
        <w:rPr>
          <w:rFonts w:hint="eastAsia" w:hAnsi="宋体" w:eastAsia="宋体" w:cs="宋体"/>
          <w:bCs/>
          <w:color w:val="auto"/>
          <w:szCs w:val="24"/>
          <w:highlight w:val="none"/>
        </w:rPr>
        <w:br w:type="page" w:clear="all"/>
      </w:r>
      <w:r/>
    </w:p>
    <w:p>
      <w:pPr>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十、类似业绩情况表</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类似业绩情况表</w:t>
      </w:r>
      <w:r/>
    </w:p>
    <w:p>
      <w:pPr>
        <w:ind w:firstLine="525"/>
        <w:jc w:val="left"/>
        <w:spacing w:line="360" w:lineRule="auto"/>
        <w:tabs>
          <w:tab w:val="left" w:pos="4678"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ab/>
      </w:r>
      <w:r>
        <w:rPr>
          <w:rFonts w:hint="eastAsia" w:ascii="宋体" w:hAnsi="宋体" w:cs="宋体"/>
          <w:color w:val="auto"/>
          <w:szCs w:val="21"/>
          <w:highlight w:val="none"/>
        </w:rPr>
        <w:t xml:space="preserve">招标编号：</w:t>
      </w:r>
      <w:r>
        <w:rPr>
          <w:rFonts w:hint="eastAsia" w:ascii="宋体" w:hAnsi="宋体" w:cs="宋体"/>
          <w:color w:val="auto"/>
          <w:szCs w:val="21"/>
          <w:highlight w:val="none"/>
          <w:u w:val="single"/>
        </w:rPr>
        <w:t xml:space="preserve">          </w:t>
      </w:r>
      <w:r/>
    </w:p>
    <w:tbl>
      <w:tblPr>
        <w:tblStyle w:val="901"/>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560"/>
        <w:gridCol w:w="1560"/>
        <w:gridCol w:w="1561"/>
        <w:gridCol w:w="1950"/>
        <w:gridCol w:w="1171"/>
      </w:tblGrid>
      <w:tr>
        <w:trPr>
          <w:cantSplit/>
          <w:trHeight w:val="597"/>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服务单位</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合同签订日期</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合同金额</w:t>
            </w:r>
            <w:r>
              <w:rPr>
                <w:rFonts w:hint="eastAsia" w:ascii="宋体" w:hAnsi="宋体" w:cs="宋体"/>
                <w:color w:val="auto"/>
                <w:szCs w:val="21"/>
                <w:highlight w:val="none"/>
              </w:rPr>
              <w:t xml:space="preserve">（</w:t>
            </w:r>
            <w:r>
              <w:rPr>
                <w:rFonts w:ascii="宋体" w:hAnsi="宋体" w:cs="宋体"/>
                <w:color w:val="auto"/>
                <w:szCs w:val="21"/>
                <w:highlight w:val="none"/>
              </w:rPr>
              <w:t xml:space="preserve">万元</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备注</w:t>
            </w:r>
            <w:r/>
          </w:p>
        </w:tc>
      </w:tr>
      <w:tr>
        <w:trPr>
          <w:cantSplit/>
          <w:trHeight w:val="597"/>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97"/>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97"/>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97"/>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597"/>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597"/>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41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注：提供证明材料</w:t>
      </w:r>
      <w:r/>
    </w:p>
    <w:p>
      <w:pPr>
        <w:pStyle w:val="943"/>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p>
      <w:pPr>
        <w:ind w:left="2520" w:right="420" w:firstLine="192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磋商响应单位：（公章）</w:t>
      </w:r>
      <w:r/>
    </w:p>
    <w:p>
      <w:pPr>
        <w:ind w:left="2520" w:right="420" w:firstLine="88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520" w:right="420" w:firstLine="192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pStyle w:val="905"/>
        <w:rPr>
          <w:color w:val="auto"/>
          <w:highlight w:val="none"/>
        </w:rPr>
      </w:pPr>
      <w:r>
        <w:rPr>
          <w:color w:val="auto"/>
          <w:highlight w:val="none"/>
        </w:rPr>
      </w:r>
      <w:r/>
    </w:p>
    <w:p>
      <w:pPr>
        <w:ind w:left="2520" w:right="420" w:firstLine="192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spacing w:line="360" w:lineRule="auto"/>
        <w:rPr>
          <w:rFonts w:hint="eastAsia" w:ascii="宋体" w:hAnsi="宋体" w:cs="宋体"/>
          <w:color w:val="auto"/>
          <w:sz w:val="44"/>
          <w:szCs w:val="44"/>
          <w:highlight w:val="none"/>
        </w:rPr>
        <w:sectPr>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auto"/>
          <w:sz w:val="44"/>
          <w:szCs w:val="44"/>
          <w:highlight w:val="none"/>
        </w:rPr>
      </w:r>
      <w:r/>
    </w:p>
    <w:p>
      <w:pPr>
        <w:ind w:firstLine="482"/>
        <w:jc w:val="left"/>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十一、关于资格文件的声明函</w:t>
      </w:r>
      <w:r/>
    </w:p>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527"/>
        <w:jc w:val="center"/>
        <w:spacing w:line="360" w:lineRule="auto"/>
        <w:tabs>
          <w:tab w:val="left" w:pos="4678"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spacing w:line="360" w:lineRule="auto"/>
        <w:rPr>
          <w:rFonts w:hint="eastAsia" w:ascii="宋体" w:hAnsi="宋体" w:cs="宋体"/>
          <w:color w:val="auto"/>
          <w:sz w:val="26"/>
          <w:szCs w:val="24"/>
          <w:highlight w:val="none"/>
        </w:rPr>
      </w:pPr>
      <w:r>
        <w:rPr>
          <w:rFonts w:hint="eastAsia" w:ascii="宋体" w:hAnsi="宋体" w:cs="宋体"/>
          <w:color w:val="auto"/>
          <w:sz w:val="26"/>
          <w:szCs w:val="24"/>
          <w:highlight w:val="none"/>
        </w:rPr>
      </w:r>
      <w:r/>
    </w:p>
    <w:p>
      <w:pPr>
        <w:spacing w:line="360" w:lineRule="auto"/>
        <w:rPr>
          <w:rFonts w:hint="eastAsia" w:ascii="宋体" w:hAnsi="宋体" w:cs="宋体"/>
          <w:color w:val="auto"/>
          <w:sz w:val="26"/>
          <w:szCs w:val="24"/>
          <w:highlight w:val="none"/>
        </w:rPr>
      </w:pPr>
      <w:r>
        <w:rPr>
          <w:rFonts w:hint="eastAsia" w:ascii="宋体" w:hAnsi="宋体" w:cs="宋体"/>
          <w:color w:val="auto"/>
          <w:sz w:val="26"/>
          <w:szCs w:val="24"/>
          <w:highlight w:val="none"/>
        </w:rPr>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苏州市诚源招投标代理有限公司：</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号的磋商活动进行商务磋商。本公司所提交的商务、技术及报价文件中所有关于资格的文件、证明和陈述均是真实的、准确的和有效的。若与事实情况不符，本公司愿意承担由此而产生的一切后果。</w:t>
      </w:r>
      <w:r/>
    </w:p>
    <w:p>
      <w:pPr>
        <w:ind w:left="2520" w:righ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520" w:righ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520" w:right="420" w:firstLine="213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磋商响应单位：（公章）</w:t>
      </w:r>
      <w:r/>
    </w:p>
    <w:p>
      <w:pPr>
        <w:ind w:left="2520" w:right="420" w:firstLine="88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520" w:right="420" w:firstLine="213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left="2520" w:right="420" w:firstLine="88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520" w:right="420" w:firstLine="213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885"/>
        <w:jc w:val="center"/>
        <w:spacing w:line="360" w:lineRule="auto"/>
        <w:tabs>
          <w:tab w:val="left" w:pos="4678" w:leader="none"/>
        </w:tabs>
        <w:rPr>
          <w:rFonts w:hint="eastAsia" w:ascii="宋体" w:hAnsi="宋体" w:cs="宋体"/>
          <w:b/>
          <w:color w:val="auto"/>
          <w:szCs w:val="21"/>
          <w:highlight w:val="none"/>
        </w:rPr>
      </w:pPr>
      <w:r>
        <w:rPr>
          <w:rFonts w:hint="eastAsia" w:ascii="宋体" w:hAnsi="宋体" w:cs="宋体"/>
          <w:b/>
          <w:color w:val="auto"/>
          <w:szCs w:val="21"/>
          <w:highlight w:val="none"/>
        </w:rPr>
      </w:r>
      <w:r/>
    </w:p>
    <w:p>
      <w:pPr>
        <w:pStyle w:val="904"/>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ascii="宋体" w:hAnsi="宋体" w:cs="宋体"/>
          <w:b/>
          <w:color w:val="auto"/>
          <w:szCs w:val="21"/>
          <w:highlight w:val="none"/>
        </w:rPr>
        <w:br w:type="page" w:clear="all"/>
      </w:r>
      <w:r/>
    </w:p>
    <w:p>
      <w:pPr>
        <w:ind w:firstLine="241"/>
        <w:jc w:val="left"/>
        <w:spacing w:line="360" w:lineRule="auto"/>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十二、</w:t>
      </w:r>
      <w:r>
        <w:rPr>
          <w:rFonts w:hint="eastAsia" w:ascii="宋体" w:hAnsi="宋体" w:cs="宋体"/>
          <w:b/>
          <w:color w:val="auto"/>
          <w:sz w:val="24"/>
          <w:szCs w:val="24"/>
          <w:highlight w:val="none"/>
        </w:rPr>
        <w:t xml:space="preserve">磋商响应单位基本情况表</w:t>
      </w:r>
      <w:r/>
    </w:p>
    <w:p>
      <w:pPr>
        <w:ind w:firstLine="527"/>
        <w:jc w:val="center"/>
        <w:spacing w:line="360" w:lineRule="auto"/>
        <w:tabs>
          <w:tab w:val="left" w:pos="4678" w:leader="none"/>
        </w:tabs>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widowControl/>
        <w:rPr>
          <w:rFonts w:hint="eastAsia" w:ascii="宋体" w:hAnsi="宋体" w:cs="宋体"/>
          <w:b/>
          <w:bCs/>
          <w:color w:val="auto"/>
          <w:szCs w:val="21"/>
          <w:highlight w:val="none"/>
        </w:rPr>
        <w:outlineLvl w:val="0"/>
      </w:pPr>
      <w:r>
        <w:rPr>
          <w:rFonts w:hint="eastAsia" w:ascii="宋体" w:hAnsi="宋体" w:cs="宋体"/>
          <w:b/>
          <w:bCs/>
          <w:color w:val="auto"/>
          <w:szCs w:val="21"/>
          <w:highlight w:val="none"/>
        </w:rPr>
        <w:t xml:space="preserve">磋商响应单位</w:t>
      </w:r>
      <w:r>
        <w:rPr>
          <w:rFonts w:ascii="宋体" w:hAnsi="宋体" w:cs="宋体"/>
          <w:b/>
          <w:bCs/>
          <w:color w:val="auto"/>
          <w:szCs w:val="21"/>
          <w:highlight w:val="none"/>
        </w:rPr>
        <w:t xml:space="preserve">基本情况表</w:t>
      </w:r>
      <w:r/>
    </w:p>
    <w:p>
      <w:pPr>
        <w:pStyle w:val="905"/>
        <w:spacing w:line="360" w:lineRule="auto"/>
        <w:rPr>
          <w:color w:val="auto"/>
          <w:highlight w:val="none"/>
        </w:rPr>
      </w:pPr>
      <w:r>
        <w:rPr>
          <w:color w:val="auto"/>
          <w:highlight w:val="none"/>
        </w:rPr>
      </w:r>
      <w:r/>
    </w:p>
    <w:tbl>
      <w:tblPr>
        <w:tblStyle w:val="901"/>
        <w:tblW w:w="4998" w:type="pct"/>
        <w:jc w:val="center"/>
        <w:tblLayout w:type="autofit"/>
        <w:tblCellMar>
          <w:left w:w="0" w:type="dxa"/>
          <w:top w:w="0" w:type="dxa"/>
          <w:right w:w="0" w:type="dxa"/>
          <w:bottom w:w="0" w:type="dxa"/>
        </w:tblCellMar>
        <w:tblLook w:val="04A0" w:firstRow="1" w:lastRow="0" w:firstColumn="1" w:lastColumn="0" w:noHBand="0" w:noVBand="1"/>
      </w:tblPr>
      <w:tblGrid>
        <w:gridCol w:w="2611"/>
        <w:gridCol w:w="2319"/>
        <w:gridCol w:w="1450"/>
        <w:gridCol w:w="2903"/>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49"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2"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49"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2" w:type="pct"/>
            <w:vAlign w:val="center"/>
            <w:textDirection w:val="lrTb"/>
            <w:noWrap w:val="false"/>
          </w:tcPr>
          <w:p>
            <w:pPr>
              <w:ind w:firstLine="2160"/>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93"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pct"/>
            <w:vAlign w:val="center"/>
            <w:textDirection w:val="lrTb"/>
            <w:noWrap w:val="false"/>
          </w:tcPr>
          <w:p>
            <w:pPr>
              <w:jc w:val="center"/>
              <w:spacing w:line="360" w:lineRule="auto"/>
              <w:widowControl/>
              <w:rPr>
                <w:rFonts w:ascii="Times New Roman" w:hAnsi="Times New Roman"/>
                <w:color w:val="auto"/>
                <w:szCs w:val="20"/>
                <w:highlight w:val="none"/>
              </w:rPr>
            </w:pPr>
            <w:r>
              <w:rPr>
                <w:rFonts w:hint="eastAsia" w:ascii="Times New Roman" w:hAnsi="Times New Roman"/>
                <w:color w:val="auto"/>
                <w:szCs w:val="20"/>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49" w:type="pct"/>
            <w:vAlign w:val="center"/>
            <w:textDirection w:val="lrTb"/>
            <w:noWrap w:val="false"/>
          </w:tcPr>
          <w:p>
            <w:pPr>
              <w:jc w:val="center"/>
              <w:spacing w:line="360" w:lineRule="auto"/>
              <w:widowControl/>
              <w:rPr>
                <w:rFonts w:ascii="Times New Roman" w:hAnsi="Times New Roman"/>
                <w:color w:val="auto"/>
                <w:szCs w:val="20"/>
                <w:highlight w:val="none"/>
              </w:rPr>
            </w:pPr>
            <w:r>
              <w:rPr>
                <w:rFonts w:hint="eastAsia" w:ascii="Times New Roman" w:hAnsi="Times New Roman"/>
                <w:color w:val="auto"/>
                <w:szCs w:val="20"/>
                <w:highlight w:val="none"/>
              </w:rPr>
              <w:t xml:space="preserve">年 </w:t>
            </w:r>
            <w:r>
              <w:rPr>
                <w:rFonts w:ascii="Times New Roman" w:hAnsi="Times New Roman"/>
                <w:color w:val="auto"/>
                <w:szCs w:val="20"/>
                <w:highlight w:val="none"/>
              </w:rPr>
              <w:t xml:space="preserve">  </w:t>
            </w:r>
            <w:r>
              <w:rPr>
                <w:rFonts w:hint="eastAsia" w:ascii="Times New Roman" w:hAnsi="Times New Roman"/>
                <w:color w:val="auto"/>
                <w:szCs w:val="20"/>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2"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49"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81"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2" w:type="pct"/>
            <w:vAlign w:val="center"/>
            <w:textDirection w:val="lrTb"/>
            <w:noWrap w:val="false"/>
          </w:tcPr>
          <w:p>
            <w:pPr>
              <w:ind w:firstLine="420"/>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93"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单位优势及</w:t>
            </w:r>
            <w:r>
              <w:rPr>
                <w:rFonts w:hint="eastAsia" w:ascii="Times New Roman" w:hAnsi="Times New Roman"/>
                <w:color w:val="auto"/>
                <w:szCs w:val="20"/>
                <w:highlight w:val="none"/>
              </w:rPr>
              <w:t xml:space="preserve">专</w:t>
            </w:r>
            <w:r>
              <w:rPr>
                <w:rFonts w:ascii="Times New Roman" w:hAnsi="Times New Roman"/>
                <w:color w:val="auto"/>
                <w:szCs w:val="20"/>
                <w:highlight w:val="none"/>
              </w:rPr>
              <w:t xml:space="preserve">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93"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93"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93"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93"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93"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593" w:type="pct"/>
            <w:vAlign w:val="center"/>
            <w:textDirection w:val="lrTb"/>
            <w:noWrap w:val="false"/>
          </w:tcPr>
          <w:p>
            <w:pPr>
              <w:jc w:val="center"/>
              <w:spacing w:line="360" w:lineRule="auto"/>
              <w:widowControl/>
              <w:rPr>
                <w:rFonts w:ascii="Times New Roman" w:hAnsi="Times New Roman"/>
                <w:color w:val="auto"/>
                <w:szCs w:val="20"/>
                <w:highlight w:val="none"/>
              </w:rPr>
            </w:pPr>
            <w:r>
              <w:rPr>
                <w:rFonts w:ascii="Times New Roman" w:hAnsi="Times New Roman"/>
                <w:color w:val="auto"/>
                <w:szCs w:val="20"/>
                <w:highlight w:val="none"/>
              </w:rPr>
            </w:r>
            <w:r/>
          </w:p>
        </w:tc>
      </w:tr>
    </w:tbl>
    <w:p>
      <w:pPr>
        <w:ind w:firstLine="315"/>
        <w:jc w:val="left"/>
        <w:spacing w:line="360" w:lineRule="auto"/>
        <w:widowControl/>
        <w:rPr>
          <w:rFonts w:ascii="Times New Roman" w:hAnsi="Times New Roman"/>
          <w:b/>
          <w:color w:val="auto"/>
          <w:szCs w:val="20"/>
          <w:highlight w:val="none"/>
        </w:rPr>
      </w:pPr>
      <w:r>
        <w:rPr>
          <w:rFonts w:hint="eastAsia" w:ascii="Times New Roman" w:hAnsi="Times New Roman"/>
          <w:color w:val="auto"/>
          <w:szCs w:val="20"/>
          <w:highlight w:val="none"/>
        </w:rPr>
        <w:t xml:space="preserve">注：</w:t>
      </w:r>
      <w:r>
        <w:rPr>
          <w:rFonts w:ascii="Times New Roman" w:hAnsi="Times New Roman"/>
          <w:color w:val="auto"/>
          <w:szCs w:val="20"/>
          <w:highlight w:val="none"/>
        </w:rPr>
        <w:t xml:space="preserve">若事项较多，供应商可根据实际情况另纸说明。</w:t>
      </w:r>
      <w:r/>
    </w:p>
    <w:p>
      <w:pPr>
        <w:ind w:firstLine="368"/>
        <w:jc w:val="left"/>
        <w:spacing w:line="360" w:lineRule="auto"/>
        <w:widowControl/>
        <w:rPr>
          <w:rFonts w:ascii="Times New Roman" w:hAnsi="Times New Roman"/>
          <w:color w:val="auto"/>
          <w:szCs w:val="20"/>
          <w:highlight w:val="none"/>
        </w:rPr>
      </w:pPr>
      <w:r>
        <w:rPr>
          <w:rFonts w:ascii="Times New Roman" w:hAnsi="Times New Roman"/>
          <w:color w:val="auto"/>
          <w:szCs w:val="20"/>
          <w:highlight w:val="none"/>
        </w:rPr>
      </w:r>
      <w:r/>
    </w:p>
    <w:p>
      <w:pPr>
        <w:ind w:left="2520" w:right="420" w:firstLine="213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磋商响应单位：（公章）</w:t>
      </w:r>
      <w:r/>
    </w:p>
    <w:p>
      <w:pPr>
        <w:ind w:left="2520" w:right="420" w:firstLine="213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left="2520" w:right="420" w:firstLine="88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520" w:right="420" w:firstLine="213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919"/>
        <w:spacing w:before="75" w:after="75" w:line="360" w:lineRule="auto"/>
        <w:widowControl/>
        <w:rPr>
          <w:rStyle w:val="924"/>
          <w:rFonts w:hint="eastAsia" w:ascii="宋体" w:hAnsi="宋体" w:cs="宋体"/>
          <w:bCs/>
          <w:color w:val="auto"/>
          <w:sz w:val="36"/>
          <w:szCs w:val="36"/>
          <w:highlight w:val="none"/>
        </w:rPr>
      </w:pPr>
      <w:r>
        <w:rPr>
          <w:rFonts w:hint="eastAsia" w:ascii="宋体" w:hAnsi="宋体" w:cs="宋体"/>
          <w:b/>
          <w:bCs/>
          <w:color w:val="auto"/>
          <w:szCs w:val="24"/>
          <w:highlight w:val="none"/>
        </w:rPr>
        <w:t xml:space="preserve">十三、资格文件声明</w:t>
      </w:r>
      <w:r/>
    </w:p>
    <w:p>
      <w:pPr>
        <w:pStyle w:val="919"/>
        <w:jc w:val="center"/>
        <w:spacing w:before="75" w:after="75" w:line="360" w:lineRule="auto"/>
        <w:widowControl/>
        <w:rPr>
          <w:rFonts w:hint="eastAsia" w:ascii="宋体" w:hAnsi="宋体" w:cs="宋体"/>
          <w:color w:val="auto"/>
          <w:sz w:val="21"/>
          <w:szCs w:val="21"/>
          <w:highlight w:val="none"/>
        </w:rPr>
      </w:pPr>
      <w:r>
        <w:rPr>
          <w:rStyle w:val="924"/>
          <w:rFonts w:hint="eastAsia" w:ascii="宋体" w:hAnsi="宋体" w:cs="宋体"/>
          <w:color w:val="auto"/>
          <w:sz w:val="21"/>
          <w:szCs w:val="21"/>
          <w:highlight w:val="none"/>
        </w:rPr>
        <w:t xml:space="preserve">供应商资格文件声明</w:t>
      </w:r>
      <w:r/>
    </w:p>
    <w:p>
      <w:pPr>
        <w:pStyle w:val="919"/>
        <w:spacing w:before="75" w:after="75"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19"/>
        <w:spacing w:before="75" w:after="75"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(采购人或采购代理机构)</w:t>
      </w:r>
      <w:r/>
    </w:p>
    <w:p>
      <w:pPr>
        <w:pStyle w:val="919"/>
        <w:spacing w:before="75" w:after="75" w:line="360" w:lineRule="auto"/>
        <w:widowControl/>
        <w:rPr>
          <w:rFonts w:hint="eastAsia" w:ascii="宋体" w:hAnsi="宋体" w:cs="宋体"/>
          <w:color w:val="auto"/>
          <w:sz w:val="21"/>
          <w:szCs w:val="21"/>
          <w:highlight w:val="none"/>
        </w:rPr>
      </w:pPr>
      <w:r>
        <w:rPr>
          <w:rStyle w:val="924"/>
          <w:rFonts w:hint="eastAsia" w:ascii="宋体" w:hAnsi="宋体" w:cs="宋体"/>
          <w:color w:val="auto"/>
          <w:sz w:val="21"/>
          <w:szCs w:val="21"/>
          <w:highlight w:val="none"/>
        </w:rPr>
        <w:t xml:space="preserve">1、</w:t>
      </w:r>
      <w:r>
        <w:rPr>
          <w:rFonts w:hint="eastAsia" w:ascii="宋体" w:hAnsi="宋体" w:cs="宋体"/>
          <w:color w:val="auto"/>
          <w:sz w:val="21"/>
          <w:szCs w:val="21"/>
          <w:highlight w:val="none"/>
        </w:rPr>
        <w:t xml:space="preserve">我方已知晓磋商文件要求并认真审核自身情况，在此郑重声明，我方具备并满足下列各项条款的规定。本声明如有虚假或不实之处，我方将失去合格供应商资格。</w:t>
      </w:r>
      <w:r/>
    </w:p>
    <w:tbl>
      <w:tblPr>
        <w:tblStyle w:val="901"/>
        <w:tblW w:w="499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6142"/>
        <w:gridCol w:w="3137"/>
      </w:tblGrid>
      <w:t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3309" w:type="pct"/>
            <w:vAlign w:val="center"/>
            <w:textDirection w:val="lrTb"/>
            <w:noWrap w:val="false"/>
          </w:tcPr>
          <w:p>
            <w:pPr>
              <w:pStyle w:val="919"/>
              <w:spacing w:line="360" w:lineRule="auto"/>
              <w:widowControl/>
              <w:rPr>
                <w:rFonts w:hint="eastAsia" w:ascii="宋体" w:hAnsi="宋体" w:cs="宋体"/>
                <w:color w:val="auto"/>
                <w:sz w:val="21"/>
                <w:szCs w:val="21"/>
                <w:highlight w:val="none"/>
              </w:rPr>
            </w:pPr>
            <w:r>
              <w:rPr>
                <w:rStyle w:val="924"/>
                <w:rFonts w:hint="eastAsia" w:ascii="宋体" w:hAnsi="宋体" w:cs="宋体"/>
                <w:color w:val="auto"/>
                <w:sz w:val="21"/>
                <w:szCs w:val="21"/>
                <w:highlight w:val="none"/>
              </w:rPr>
              <w:t xml:space="preserve">《中华人民共和国政府采购法》第二十二条对供应商的要求</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690" w:type="pct"/>
            <w:vAlign w:val="center"/>
            <w:textDirection w:val="lrTb"/>
            <w:noWrap w:val="false"/>
          </w:tcPr>
          <w:p>
            <w:pPr>
              <w:pStyle w:val="919"/>
              <w:spacing w:line="360" w:lineRule="auto"/>
              <w:widowControl/>
              <w:rPr>
                <w:rFonts w:hint="eastAsia" w:ascii="宋体" w:hAnsi="宋体" w:cs="宋体"/>
                <w:color w:val="auto"/>
                <w:sz w:val="21"/>
                <w:szCs w:val="21"/>
                <w:highlight w:val="none"/>
              </w:rPr>
            </w:pPr>
            <w:r>
              <w:rPr>
                <w:rStyle w:val="924"/>
                <w:rFonts w:hint="eastAsia" w:ascii="宋体" w:hAnsi="宋体" w:cs="宋体"/>
                <w:color w:val="auto"/>
                <w:sz w:val="21"/>
                <w:szCs w:val="21"/>
                <w:highlight w:val="none"/>
              </w:rPr>
              <w:t xml:space="preserve">供应商资格条件证明材料</w:t>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3309" w:type="pct"/>
            <w:vAlign w:val="center"/>
            <w:textDirection w:val="lrTb"/>
            <w:noWrap w:val="false"/>
          </w:tcPr>
          <w:p>
            <w:pPr>
              <w:pStyle w:val="919"/>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9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3309" w:type="pct"/>
            <w:vAlign w:val="center"/>
            <w:textDirection w:val="lrTb"/>
            <w:noWrap w:val="false"/>
          </w:tcPr>
          <w:p>
            <w:pPr>
              <w:pStyle w:val="919"/>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9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3309" w:type="pct"/>
            <w:vAlign w:val="center"/>
            <w:textDirection w:val="lrTb"/>
            <w:noWrap w:val="false"/>
          </w:tcPr>
          <w:p>
            <w:pPr>
              <w:pStyle w:val="919"/>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9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3309" w:type="pct"/>
            <w:vAlign w:val="center"/>
            <w:textDirection w:val="lrTb"/>
            <w:noWrap w:val="false"/>
          </w:tcPr>
          <w:p>
            <w:pPr>
              <w:pStyle w:val="919"/>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9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3309" w:type="pct"/>
            <w:vAlign w:val="center"/>
            <w:textDirection w:val="lrTb"/>
            <w:noWrap w:val="false"/>
          </w:tcPr>
          <w:p>
            <w:pPr>
              <w:pStyle w:val="919"/>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9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3309" w:type="pct"/>
            <w:vAlign w:val="center"/>
            <w:textDirection w:val="lrTb"/>
            <w:noWrap w:val="false"/>
          </w:tcPr>
          <w:p>
            <w:pPr>
              <w:pStyle w:val="919"/>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9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3309" w:type="pct"/>
            <w:vAlign w:val="center"/>
            <w:textDirection w:val="lrTb"/>
            <w:noWrap w:val="false"/>
          </w:tcPr>
          <w:p>
            <w:pPr>
              <w:pStyle w:val="919"/>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（7）其他（可选）</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9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3309" w:type="pct"/>
            <w:vAlign w:val="center"/>
            <w:textDirection w:val="lrTb"/>
            <w:noWrap w:val="false"/>
          </w:tcPr>
          <w:p>
            <w:pPr>
              <w:pStyle w:val="919"/>
              <w:spacing w:line="360" w:lineRule="auto"/>
              <w:widowControl/>
              <w:rPr>
                <w:rFonts w:hint="eastAsia" w:ascii="宋体" w:hAnsi="宋体" w:cs="宋体"/>
                <w:color w:val="auto"/>
                <w:sz w:val="21"/>
                <w:szCs w:val="21"/>
                <w:highlight w:val="none"/>
              </w:rPr>
            </w:pPr>
            <w:r>
              <w:rPr>
                <w:rStyle w:val="924"/>
                <w:rFonts w:hint="eastAsia" w:ascii="宋体" w:hAnsi="宋体" w:cs="宋体"/>
                <w:color w:val="auto"/>
                <w:sz w:val="21"/>
                <w:szCs w:val="21"/>
                <w:highlight w:val="none"/>
              </w:rPr>
              <w:t xml:space="preserve">磋商文件对合格供应商的一般规定</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90" w:type="pct"/>
            <w:vAlign w:val="center"/>
            <w:textDirection w:val="lrTb"/>
            <w:noWrap w:val="false"/>
          </w:tcPr>
          <w:p>
            <w:pPr>
              <w:pStyle w:val="919"/>
              <w:spacing w:line="360" w:lineRule="auto"/>
              <w:widowControl/>
              <w:rPr>
                <w:rFonts w:hint="eastAsia" w:ascii="宋体" w:hAnsi="宋体" w:cs="宋体"/>
                <w:color w:val="auto"/>
                <w:sz w:val="21"/>
                <w:szCs w:val="21"/>
                <w:highlight w:val="none"/>
              </w:rPr>
            </w:pPr>
            <w:r>
              <w:rPr>
                <w:rStyle w:val="924"/>
                <w:rFonts w:hint="eastAsia" w:ascii="宋体" w:hAnsi="宋体" w:cs="宋体"/>
                <w:color w:val="auto"/>
                <w:sz w:val="21"/>
                <w:szCs w:val="21"/>
                <w:highlight w:val="none"/>
              </w:rPr>
              <w:t xml:space="preserve">供应商对是否遵守一般规定做如实声明（是/否）</w:t>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3309" w:type="pct"/>
            <w:vAlign w:val="center"/>
            <w:textDirection w:val="lrTb"/>
            <w:noWrap w:val="false"/>
          </w:tcPr>
          <w:p>
            <w:pPr>
              <w:pStyle w:val="919"/>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9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3309" w:type="pct"/>
            <w:vAlign w:val="center"/>
            <w:textDirection w:val="lrTb"/>
            <w:noWrap w:val="false"/>
          </w:tcPr>
          <w:p>
            <w:pPr>
              <w:pStyle w:val="919"/>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9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3309" w:type="pct"/>
            <w:vAlign w:val="center"/>
            <w:textDirection w:val="lrTb"/>
            <w:noWrap w:val="false"/>
          </w:tcPr>
          <w:p>
            <w:pPr>
              <w:pStyle w:val="919"/>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69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919"/>
        <w:spacing w:before="75" w:after="75"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2、我方对上述声明的真实性、合法性、准确性、有效性负责，并愿意根据磋商文件和磋商过程中贵方要求提供全部现有资料、数据、文件等予以证实。</w:t>
      </w:r>
      <w:r/>
    </w:p>
    <w:p>
      <w:pPr>
        <w:pStyle w:val="919"/>
        <w:spacing w:before="75" w:after="75"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备注：对于接受联合体形式的磋商且供应商是联合体的，则联合体各成员都应当提交本资格证明文件。</w:t>
      </w:r>
      <w:r/>
    </w:p>
    <w:p>
      <w:pPr>
        <w:pStyle w:val="919"/>
        <w:ind w:firstLine="5460"/>
        <w:spacing w:before="75" w:after="75"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供应商签章：</w:t>
      </w:r>
      <w:r>
        <w:rPr>
          <w:rFonts w:hint="eastAsia" w:ascii="宋体" w:hAnsi="宋体" w:cs="宋体"/>
          <w:color w:val="auto"/>
          <w:sz w:val="21"/>
          <w:szCs w:val="21"/>
          <w:highlight w:val="none"/>
          <w:u w:val="single"/>
        </w:rPr>
        <w:t xml:space="preserve">         </w:t>
      </w:r>
      <w:r/>
    </w:p>
    <w:p>
      <w:pPr>
        <w:pStyle w:val="919"/>
        <w:ind w:firstLine="5460"/>
        <w:spacing w:before="75" w:after="75"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十四、中小企业声明函</w:t>
      </w:r>
      <w:r/>
    </w:p>
    <w:p>
      <w:pPr>
        <w:ind w:firstLine="527"/>
        <w:jc w:val="center"/>
        <w:spacing w:line="360" w:lineRule="auto"/>
        <w:tabs>
          <w:tab w:val="left" w:pos="4678" w:leader="none"/>
        </w:tabs>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中小企业声明函（服务）</w:t>
      </w:r>
      <w:r/>
    </w:p>
    <w:p>
      <w:pPr>
        <w:pStyle w:val="904"/>
        <w:spacing w:line="360" w:lineRule="auto"/>
        <w:rPr>
          <w:color w:val="auto"/>
          <w:highlight w:val="none"/>
        </w:rPr>
      </w:pPr>
      <w:r>
        <w:rPr>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万元（注1），属于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30"/>
        <w:ind w:firstLine="420"/>
        <w:rPr>
          <w:color w:val="auto"/>
          <w:highlight w:val="none"/>
        </w:rPr>
      </w:pPr>
      <w:r>
        <w:rPr>
          <w:color w:val="auto"/>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备注：</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1.从业人员、营业收入、资产总额填报上一年度数据，无上一年度数据的新成立企业可不填报。</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2.在在货物采购项目中，货物由中小企业制造，即货物由中小企业生产且使用该中小企业商号或者注册商标。供应商提供的货物既有中小企业制造货物，也有大型企业制造货物的，不享受相应扶持政策。</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4.如未对（中型企业、小型企业、微型企业）进行勾选，视同非中小微企业，不可享受相应扶持政策。</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5.中标单位为中小企业的，《中小企业声明函》将随成交结果同时公告。</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附：中小企业划型标准规定</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widowControl/>
        <w:rPr>
          <w:color w:val="auto"/>
          <w:highlight w:val="none"/>
        </w:rPr>
      </w:pPr>
      <w:r>
        <w:rPr>
          <w:rFonts w:hint="eastAsia"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b/>
          <w:bCs/>
          <w:color w:val="auto"/>
          <w:szCs w:val="20"/>
          <w:highlight w:val="none"/>
        </w:rPr>
      </w:pPr>
      <w:r>
        <w:rPr>
          <w:rFonts w:ascii="宋体" w:hAnsi="宋体" w:cs="宋体"/>
          <w:b/>
          <w:bCs/>
          <w:color w:val="auto"/>
          <w:szCs w:val="20"/>
          <w:highlight w:val="none"/>
        </w:rPr>
        <w:br w:type="page" w:clear="all"/>
      </w:r>
      <w:r/>
    </w:p>
    <w:p>
      <w:pPr>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十五、残疾人福利性单位声明函</w:t>
      </w:r>
      <w:r/>
    </w:p>
    <w:p>
      <w:pPr>
        <w:ind w:firstLine="527"/>
        <w:jc w:val="center"/>
        <w:spacing w:line="360" w:lineRule="auto"/>
        <w:tabs>
          <w:tab w:val="left" w:pos="4678" w:leader="none"/>
        </w:tabs>
        <w:rPr>
          <w:rFonts w:hint="eastAsia" w:ascii="宋体" w:hAnsi="宋体" w:cs="宋体"/>
          <w:b/>
          <w:color w:val="auto"/>
          <w:szCs w:val="21"/>
          <w:highlight w:val="none"/>
        </w:rPr>
      </w:pPr>
      <w:r>
        <w:rPr>
          <w:rFonts w:hint="eastAsia" w:ascii="宋体" w:hAnsi="宋体" w:cs="宋体"/>
          <w:b/>
          <w:color w:val="auto"/>
          <w:szCs w:val="21"/>
          <w:highlight w:val="none"/>
        </w:rPr>
      </w:r>
      <w:r/>
    </w:p>
    <w:p>
      <w:pPr>
        <w:pStyle w:val="936"/>
        <w:jc w:val="center"/>
        <w:spacing w:line="360" w:lineRule="auto"/>
        <w:rPr>
          <w:rFonts w:hint="eastAsia" w:hAnsi="宋体" w:cs="宋体"/>
          <w:b/>
          <w:color w:val="auto"/>
          <w:sz w:val="21"/>
          <w:szCs w:val="21"/>
          <w:highlight w:val="none"/>
        </w:rPr>
      </w:pPr>
      <w:r>
        <w:rPr>
          <w:rFonts w:hint="eastAsia" w:hAnsi="宋体" w:eastAsia="宋体" w:cs="宋体"/>
          <w:b/>
          <w:color w:val="auto"/>
          <w:sz w:val="21"/>
          <w:szCs w:val="21"/>
          <w:highlight w:val="none"/>
          <w:lang w:val="zh-CN"/>
        </w:rPr>
        <w:t xml:space="preserve">残疾人福利性单位声明函</w:t>
      </w:r>
      <w:r/>
    </w:p>
    <w:p>
      <w:pPr>
        <w:pStyle w:val="969"/>
        <w:spacing w:before="0" w:beforeAutospacing="0" w:after="0" w:afterAutospacing="0" w:line="360" w:lineRule="auto"/>
        <w:rPr>
          <w:rFonts w:hint="eastAsia"/>
          <w:color w:val="auto"/>
          <w:highlight w:val="none"/>
        </w:rPr>
      </w:pPr>
      <w:r>
        <w:rPr>
          <w:rFonts w:hint="eastAsia"/>
          <w:color w:val="auto"/>
          <w:highlight w:val="none"/>
        </w:rPr>
      </w:r>
      <w:r/>
    </w:p>
    <w:p>
      <w:pPr>
        <w:spacing w:line="48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苏州市诚源招投标代理有限公司</w:t>
      </w:r>
      <w:r/>
    </w:p>
    <w:p>
      <w:pPr>
        <w:ind w:firstLine="420"/>
        <w:spacing w:line="480" w:lineRule="auto"/>
        <w:rPr>
          <w:color w:val="auto"/>
          <w:szCs w:val="21"/>
          <w:highlight w:val="none"/>
        </w:rPr>
      </w:pPr>
      <w:r>
        <w:rPr>
          <w:rFonts w:hint="eastAsia"/>
          <w:color w:val="auto"/>
          <w:szCs w:val="21"/>
          <w:highlight w:val="none"/>
        </w:rPr>
        <w:t xml:space="preserve">本单位郑重声明，根据《财政部民政部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本公司对上述声明的真实性负责。如有虚假，将依法承担相应责任。</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48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r>
      <w:r/>
    </w:p>
    <w:p>
      <w:pPr>
        <w:ind w:left="2520" w:right="420" w:firstLine="213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磋商响应单位：（公章）</w:t>
      </w:r>
      <w:r/>
    </w:p>
    <w:p>
      <w:pPr>
        <w:ind w:left="2520" w:right="420" w:firstLine="2137"/>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520" w:right="420" w:firstLine="213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left="2520" w:right="420" w:firstLine="88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520" w:right="420" w:firstLine="213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color w:val="auto"/>
          <w:highlight w:val="none"/>
        </w:rPr>
      </w:pPr>
      <w:r>
        <w:rPr>
          <w:color w:val="auto"/>
          <w:highlight w:val="none"/>
        </w:rPr>
        <w:br w:type="page" w:clear="all"/>
      </w:r>
      <w:r/>
    </w:p>
    <w:p>
      <w:pPr>
        <w:pStyle w:val="905"/>
        <w:spacing w:line="360" w:lineRule="auto"/>
        <w:rPr>
          <w:b/>
          <w:bCs/>
          <w:color w:val="auto"/>
          <w:sz w:val="24"/>
          <w:szCs w:val="24"/>
          <w:highlight w:val="none"/>
        </w:rPr>
      </w:pPr>
      <w:r>
        <w:rPr>
          <w:rFonts w:hint="eastAsia"/>
          <w:b/>
          <w:bCs/>
          <w:color w:val="auto"/>
          <w:sz w:val="24"/>
          <w:szCs w:val="24"/>
          <w:highlight w:val="none"/>
        </w:rPr>
        <w:t xml:space="preserve">十六、监狱企业声明函</w:t>
      </w:r>
      <w:r/>
    </w:p>
    <w:p>
      <w:pPr>
        <w:pStyle w:val="936"/>
        <w:jc w:val="center"/>
        <w:spacing w:line="360" w:lineRule="auto"/>
        <w:rPr>
          <w:rFonts w:hint="eastAsia" w:hAnsi="宋体" w:eastAsia="宋体" w:cs="宋体"/>
          <w:b/>
          <w:iCs/>
          <w:color w:val="auto"/>
          <w:sz w:val="21"/>
          <w:szCs w:val="21"/>
          <w:highlight w:val="none"/>
          <w:lang w:val="zh-CN"/>
        </w:rPr>
      </w:pPr>
      <w:r>
        <w:rPr>
          <w:rFonts w:hint="eastAsia" w:hAnsi="宋体" w:eastAsia="宋体" w:cs="宋体"/>
          <w:b/>
          <w:iCs/>
          <w:color w:val="auto"/>
          <w:sz w:val="21"/>
          <w:szCs w:val="21"/>
          <w:highlight w:val="none"/>
          <w:lang w:val="zh-CN"/>
        </w:rPr>
      </w:r>
      <w:r/>
    </w:p>
    <w:p>
      <w:pPr>
        <w:pStyle w:val="936"/>
        <w:jc w:val="center"/>
        <w:spacing w:line="360" w:lineRule="auto"/>
        <w:rPr>
          <w:rFonts w:hint="eastAsia" w:hAnsi="宋体" w:cs="宋体"/>
          <w:b/>
          <w:iCs/>
          <w:color w:val="auto"/>
          <w:sz w:val="21"/>
          <w:szCs w:val="21"/>
          <w:highlight w:val="none"/>
        </w:rPr>
      </w:pPr>
      <w:r>
        <w:rPr>
          <w:rFonts w:hint="eastAsia" w:hAnsi="宋体" w:eastAsia="宋体" w:cs="宋体"/>
          <w:b/>
          <w:iCs/>
          <w:color w:val="auto"/>
          <w:sz w:val="21"/>
          <w:szCs w:val="21"/>
          <w:highlight w:val="none"/>
          <w:lang w:val="zh-CN"/>
        </w:rPr>
        <w:t xml:space="preserve">监狱企业声明函</w:t>
      </w:r>
      <w:r/>
    </w:p>
    <w:p>
      <w:pPr>
        <w:pStyle w:val="969"/>
        <w:ind w:firstLine="480"/>
        <w:spacing w:before="75" w:beforeAutospacing="0" w:after="75" w:afterAutospacing="0" w:line="360" w:lineRule="auto"/>
        <w:rPr>
          <w:rFonts w:hint="eastAsia"/>
          <w:iCs/>
          <w:color w:val="auto"/>
          <w:sz w:val="21"/>
          <w:szCs w:val="21"/>
          <w:highlight w:val="none"/>
        </w:rPr>
      </w:pPr>
      <w:r>
        <w:rPr>
          <w:rFonts w:hint="eastAsia"/>
          <w:iCs/>
          <w:color w:val="auto"/>
          <w:sz w:val="21"/>
          <w:szCs w:val="21"/>
          <w:highlight w:val="none"/>
        </w:rPr>
      </w:r>
      <w:r/>
    </w:p>
    <w:p>
      <w:pPr>
        <w:pStyle w:val="969"/>
        <w:ind w:firstLine="480"/>
        <w:spacing w:before="75" w:beforeAutospacing="0" w:after="75" w:afterAutospacing="0" w:line="480" w:lineRule="auto"/>
        <w:rPr>
          <w:rFonts w:hint="eastAsia"/>
          <w:iCs/>
          <w:color w:val="auto"/>
          <w:sz w:val="21"/>
          <w:szCs w:val="21"/>
          <w:highlight w:val="none"/>
        </w:rPr>
      </w:pPr>
      <w:r>
        <w:rPr>
          <w:rFonts w:hint="eastAsia"/>
          <w:iCs/>
          <w:color w:val="auto"/>
          <w:sz w:val="21"/>
          <w:szCs w:val="21"/>
          <w:highlight w:val="none"/>
        </w:rPr>
        <w:t xml:space="preserve">本企业（单位）郑重声明下列事项（按照实际情况勾选或填空）：</w:t>
      </w:r>
      <w:r/>
    </w:p>
    <w:p>
      <w:pPr>
        <w:pStyle w:val="969"/>
        <w:ind w:firstLine="480"/>
        <w:spacing w:before="75" w:beforeAutospacing="0" w:after="75" w:afterAutospacing="0" w:line="480" w:lineRule="auto"/>
        <w:rPr>
          <w:rFonts w:hint="eastAsia"/>
          <w:iCs/>
          <w:color w:val="auto"/>
          <w:sz w:val="21"/>
          <w:szCs w:val="21"/>
          <w:highlight w:val="none"/>
        </w:rPr>
      </w:pPr>
      <w:r>
        <w:rPr>
          <w:rFonts w:hint="eastAsia"/>
          <w:iCs/>
          <w:color w:val="auto"/>
          <w:sz w:val="21"/>
          <w:szCs w:val="21"/>
          <w:highlight w:val="none"/>
        </w:rPr>
        <w:t xml:space="preserve">本企业（单位）为直接响应单位提供本企业（单位）的服务。</w:t>
      </w:r>
      <w:r/>
    </w:p>
    <w:p>
      <w:pPr>
        <w:pStyle w:val="969"/>
        <w:ind w:firstLine="420"/>
        <w:spacing w:before="75" w:beforeAutospacing="0" w:after="75" w:afterAutospacing="0" w:line="480" w:lineRule="auto"/>
        <w:rPr>
          <w:rFonts w:hint="eastAsia"/>
          <w:iCs/>
          <w:color w:val="auto"/>
          <w:sz w:val="21"/>
          <w:szCs w:val="21"/>
          <w:highlight w:val="none"/>
        </w:rPr>
      </w:pPr>
      <w:r>
        <w:rPr>
          <w:rFonts w:hint="eastAsia"/>
          <w:iCs/>
          <w:color w:val="auto"/>
          <w:sz w:val="21"/>
          <w:szCs w:val="21"/>
          <w:highlight w:val="none"/>
        </w:rPr>
        <w:t xml:space="preserve">（1）本企业（单位）（请填写：是、不是）监狱企业。</w:t>
      </w:r>
      <w:r/>
    </w:p>
    <w:p>
      <w:pPr>
        <w:pStyle w:val="969"/>
        <w:ind w:firstLine="420"/>
        <w:spacing w:before="75" w:beforeAutospacing="0" w:after="75" w:afterAutospacing="0" w:line="480" w:lineRule="auto"/>
        <w:rPr>
          <w:rFonts w:hint="eastAsia"/>
          <w:iCs/>
          <w:color w:val="auto"/>
          <w:sz w:val="21"/>
          <w:szCs w:val="21"/>
          <w:highlight w:val="none"/>
        </w:rPr>
      </w:pPr>
      <w:r>
        <w:rPr>
          <w:rFonts w:hint="eastAsia"/>
          <w:iCs/>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969"/>
        <w:ind w:firstLine="420"/>
        <w:spacing w:before="75" w:beforeAutospacing="0" w:after="75" w:afterAutospacing="0" w:line="480" w:lineRule="auto"/>
        <w:rPr>
          <w:rFonts w:hint="eastAsia"/>
          <w:iCs/>
          <w:color w:val="auto"/>
          <w:sz w:val="21"/>
          <w:szCs w:val="21"/>
          <w:highlight w:val="none"/>
        </w:rPr>
      </w:pPr>
      <w:r>
        <w:rPr>
          <w:rFonts w:hint="eastAsia"/>
          <w:iCs/>
          <w:color w:val="auto"/>
          <w:sz w:val="21"/>
          <w:szCs w:val="21"/>
          <w:highlight w:val="none"/>
        </w:rPr>
        <w:t xml:space="preserve">本企业（单位）对上述声明的真实性负责。如有虚假，将依法承担相应责任。</w:t>
      </w:r>
      <w:r/>
    </w:p>
    <w:p>
      <w:pPr>
        <w:pStyle w:val="969"/>
        <w:ind w:firstLine="480"/>
        <w:spacing w:before="75" w:beforeAutospacing="0" w:after="75" w:afterAutospacing="0" w:line="480" w:lineRule="auto"/>
        <w:rPr>
          <w:rFonts w:hint="eastAsia"/>
          <w:iCs/>
          <w:color w:val="auto"/>
          <w:sz w:val="21"/>
          <w:szCs w:val="21"/>
          <w:highlight w:val="none"/>
        </w:rPr>
      </w:pPr>
      <w:r>
        <w:rPr>
          <w:rFonts w:hint="eastAsia"/>
          <w:iCs/>
          <w:color w:val="auto"/>
          <w:sz w:val="21"/>
          <w:szCs w:val="21"/>
          <w:highlight w:val="none"/>
        </w:rPr>
      </w:r>
      <w:r/>
    </w:p>
    <w:p>
      <w:pPr>
        <w:ind w:left="2520" w:right="420" w:firstLine="213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磋商响应单位：（公章）</w:t>
      </w:r>
      <w:r/>
    </w:p>
    <w:p>
      <w:pPr>
        <w:ind w:left="2520" w:right="420" w:firstLine="2137"/>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520" w:right="420" w:firstLine="213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left="2520" w:right="420" w:firstLine="882"/>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520" w:right="420" w:firstLine="213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969"/>
        <w:jc w:val="both"/>
        <w:spacing w:before="0" w:beforeAutospacing="0" w:after="0" w:afterAutospacing="0" w:line="360" w:lineRule="auto"/>
        <w:rPr>
          <w:rFonts w:hint="eastAsia"/>
          <w:b/>
          <w:bCs/>
          <w:iCs/>
          <w:color w:val="auto"/>
          <w:sz w:val="21"/>
          <w:szCs w:val="21"/>
          <w:highlight w:val="none"/>
        </w:rPr>
      </w:pPr>
      <w:r>
        <w:rPr>
          <w:rFonts w:hint="eastAsia"/>
          <w:b/>
          <w:bCs/>
          <w:iCs/>
          <w:color w:val="auto"/>
          <w:sz w:val="21"/>
          <w:szCs w:val="21"/>
          <w:highlight w:val="none"/>
        </w:rPr>
      </w:r>
      <w:r/>
    </w:p>
    <w:p>
      <w:pPr>
        <w:pStyle w:val="905"/>
        <w:spacing w:line="360" w:lineRule="auto"/>
        <w:rPr>
          <w:color w:val="auto"/>
          <w:highlight w:val="none"/>
        </w:rPr>
      </w:pPr>
      <w:r>
        <w:rPr>
          <w:color w:val="auto"/>
          <w:highlight w:val="none"/>
        </w:rPr>
      </w:r>
      <w:r/>
    </w:p>
    <w:p>
      <w:pPr>
        <w:pStyle w:val="905"/>
        <w:jc w:val="right"/>
        <w:spacing w:line="360" w:lineRule="auto"/>
        <w:rPr>
          <w:b/>
          <w:bCs/>
          <w:color w:val="auto"/>
          <w:highlight w:val="none"/>
        </w:rPr>
      </w:pPr>
      <w:r>
        <w:rPr>
          <w:rFonts w:hint="eastAsia"/>
          <w:color w:val="auto"/>
          <w:highlight w:val="none"/>
        </w:rPr>
        <w:t xml:space="preserve">                                                 </w:t>
      </w:r>
      <w:r>
        <w:rPr>
          <w:rFonts w:hint="eastAsia"/>
          <w:b/>
          <w:bCs/>
          <w:color w:val="auto"/>
          <w:highlight w:val="none"/>
        </w:rPr>
        <w:t xml:space="preserve">  （全文完）</w:t>
      </w:r>
      <w:r/>
    </w:p>
    <w:p>
      <w:pPr>
        <w:pStyle w:val="904"/>
        <w:spacing w:line="360" w:lineRule="auto"/>
        <w:rPr>
          <w:rFonts w:cs="宋体"/>
          <w:color w:val="auto"/>
          <w:szCs w:val="21"/>
          <w:highlight w:val="none"/>
        </w:rPr>
      </w:pPr>
      <w:r>
        <w:rPr>
          <w:rFonts w:cs="宋体"/>
          <w:color w:val="auto"/>
          <w:szCs w:val="21"/>
          <w:highlight w:val="none"/>
        </w:rPr>
      </w:r>
      <w:r/>
    </w:p>
    <w:p>
      <w:pPr>
        <w:ind w:right="420"/>
        <w:jc w:val="right"/>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r>
      <w:r/>
    </w:p>
    <w:sectPr>
      <w:headerReference w:type="default" r:id="rId12"/>
      <w:footnotePr/>
      <w:endnotePr/>
      <w:type w:val="nextPage"/>
      <w:pgSz w:w="11906" w:h="16838" w:orient="portrait"/>
      <w:pgMar w:top="1134" w:right="1701" w:bottom="1134" w:left="1134" w:header="851"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等线 Light">
    <w:panose1 w:val="02010600030101010101"/>
  </w:font>
  <w:font w:name="Courier New">
    <w:panose1 w:val="02070309020205020404"/>
  </w:font>
  <w:font w:name="黑体">
    <w:panose1 w:val="02010609060101010101"/>
  </w:font>
  <w:font w:name="仿宋_GB2312">
    <w:panose1 w:val="02010609060101010101"/>
  </w:font>
  <w:font w:name="楷体_GB2312">
    <w:panose1 w:val="02010609060101010101"/>
  </w:font>
  <w:font w:name="Cambria">
    <w:panose1 w:val="02040503050406030204"/>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framePr w:wrap="around" w:vAnchor="text" w:hAnchor="margin" w:xAlign="center" w:y="1"/>
    </w:pPr>
    <w:r>
      <w:rPr>
        <w:rStyle w:val="925"/>
      </w:rPr>
      <w:fldChar w:fldCharType="begin"/>
    </w:r>
    <w:r>
      <w:rPr>
        <w:rStyle w:val="925"/>
      </w:rPr>
      <w:instrText xml:space="preserve"> PAGE  </w:instrText>
    </w:r>
    <w:r>
      <w:rPr>
        <w:rStyle w:val="925"/>
      </w:rPr>
      <w:fldChar w:fldCharType="separate"/>
    </w:r>
    <w:r>
      <w:rPr>
        <w:rStyle w:val="925"/>
      </w:rPr>
      <w:t xml:space="preserve">1</w:t>
    </w:r>
    <w:r>
      <w:rPr>
        <w:rStyle w:val="925"/>
      </w:rPr>
      <w:fldChar w:fldCharType="end"/>
    </w:r>
    <w:r/>
  </w:p>
  <w:p>
    <w:pPr>
      <w:pStyle w:val="9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framePr w:wrap="around" w:vAnchor="text" w:hAnchor="margin" w:xAlign="center" w:y="1"/>
    </w:pPr>
    <w:r>
      <w:rPr>
        <w:rStyle w:val="925"/>
      </w:rPr>
      <w:fldChar w:fldCharType="begin"/>
    </w:r>
    <w:r>
      <w:rPr>
        <w:rStyle w:val="925"/>
      </w:rPr>
      <w:instrText xml:space="preserve"> PAGE  </w:instrText>
    </w:r>
    <w:r>
      <w:rPr>
        <w:rStyle w:val="925"/>
      </w:rPr>
      <w:fldChar w:fldCharType="separate"/>
    </w:r>
    <w:r>
      <w:rPr>
        <w:rStyle w:val="925"/>
      </w:rPr>
      <w:t xml:space="preserve">45</w:t>
    </w:r>
    <w:r>
      <w:rPr>
        <w:rStyle w:val="925"/>
      </w:rPr>
      <w:fldChar w:fldCharType="end"/>
    </w:r>
    <w:r/>
  </w:p>
  <w:p>
    <w:pPr>
      <w:pStyle w:val="912"/>
      <w:jc w:val="center"/>
    </w:pPr>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both"/>
    </w:pPr>
    <w:r>
      <w:rPr>
        <w:rFonts w:hint="eastAsia"/>
      </w:rPr>
      <w:t xml:space="preserve">苏州市诚源招投标代理有限公司  0512-69228578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both"/>
      <w:tabs>
        <w:tab w:val="clear" w:pos="4153" w:leader="none"/>
        <w:tab w:val="center" w:pos="4395" w:leader="none"/>
        <w:tab w:val="clear" w:pos="8306" w:leader="none"/>
        <w:tab w:val="right" w:pos="9072" w:leader="none"/>
      </w:tabs>
      <w:rPr>
        <w:color w:val="ff0000"/>
      </w:rPr>
    </w:pPr>
    <w:r>
      <w:rPr>
        <w:rFonts w:hint="eastAsia"/>
      </w:rPr>
      <w:t xml:space="preserve">苏州市诚源招投标代理有限公司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both"/>
      <w:tabs>
        <w:tab w:val="clear" w:pos="4153" w:leader="none"/>
        <w:tab w:val="center" w:pos="4535" w:leader="none"/>
        <w:tab w:val="clear" w:pos="8306" w:leader="none"/>
        <w:tab w:val="right" w:pos="9071" w:leader="none"/>
      </w:tabs>
      <w:rPr>
        <w:rFonts w:hint="eastAsia" w:ascii="宋体" w:hAnsi="宋体"/>
        <w:color w:val="ff0000"/>
      </w:rPr>
    </w:pPr>
    <w:r>
      <w:rPr>
        <w:rFonts w:hint="eastAsia" w:ascii="宋体" w:hAnsi="宋体"/>
      </w:rPr>
      <w:t xml:space="preserve">苏州市诚源招投标代理有限公司</w:t>
    </w:r>
    <w:r>
      <w:rPr>
        <w:rFonts w:ascii="宋体" w:hAnsi="宋体"/>
      </w:rPr>
      <w:tab/>
    </w:r>
    <w:r>
      <w:rPr>
        <w:rFonts w:ascii="宋体" w:hAnsi="宋体"/>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left"/>
      <w:tabs>
        <w:tab w:val="clear" w:pos="4153" w:leader="none"/>
        <w:tab w:val="center" w:pos="4395" w:leader="none"/>
        <w:tab w:val="clear" w:pos="8306" w:leader="none"/>
        <w:tab w:val="right" w:pos="9072" w:leader="none"/>
      </w:tabs>
    </w:pPr>
    <w:r>
      <w:rPr>
        <w:rFonts w:hint="eastAsia"/>
      </w:rPr>
      <w:t xml:space="preserve">政府采购文件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155" w:hanging="115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900"/>
    <w:link w:val="897"/>
    <w:uiPriority w:val="9"/>
    <w:rPr>
      <w:rFonts w:ascii="Arial" w:hAnsi="Arial" w:eastAsia="Arial" w:cs="Arial"/>
      <w:sz w:val="40"/>
      <w:szCs w:val="40"/>
    </w:rPr>
  </w:style>
  <w:style w:type="character" w:styleId="731">
    <w:name w:val="Heading 2 Char"/>
    <w:basedOn w:val="900"/>
    <w:link w:val="898"/>
    <w:uiPriority w:val="9"/>
    <w:rPr>
      <w:rFonts w:ascii="Arial" w:hAnsi="Arial" w:eastAsia="Arial" w:cs="Arial"/>
      <w:sz w:val="34"/>
    </w:rPr>
  </w:style>
  <w:style w:type="character" w:styleId="732">
    <w:name w:val="Heading 3 Char"/>
    <w:basedOn w:val="900"/>
    <w:link w:val="899"/>
    <w:uiPriority w:val="9"/>
    <w:rPr>
      <w:rFonts w:ascii="Arial" w:hAnsi="Arial" w:eastAsia="Arial" w:cs="Arial"/>
      <w:sz w:val="30"/>
      <w:szCs w:val="30"/>
    </w:rPr>
  </w:style>
  <w:style w:type="paragraph" w:styleId="733">
    <w:name w:val="Heading 4"/>
    <w:basedOn w:val="896"/>
    <w:next w:val="896"/>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basedOn w:val="900"/>
    <w:link w:val="733"/>
    <w:uiPriority w:val="9"/>
    <w:rPr>
      <w:rFonts w:ascii="Arial" w:hAnsi="Arial" w:eastAsia="Arial" w:cs="Arial"/>
      <w:b/>
      <w:bCs/>
      <w:sz w:val="26"/>
      <w:szCs w:val="26"/>
    </w:rPr>
  </w:style>
  <w:style w:type="paragraph" w:styleId="735">
    <w:name w:val="Heading 5"/>
    <w:basedOn w:val="896"/>
    <w:next w:val="896"/>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basedOn w:val="900"/>
    <w:link w:val="735"/>
    <w:uiPriority w:val="9"/>
    <w:rPr>
      <w:rFonts w:ascii="Arial" w:hAnsi="Arial" w:eastAsia="Arial" w:cs="Arial"/>
      <w:b/>
      <w:bCs/>
      <w:sz w:val="24"/>
      <w:szCs w:val="24"/>
    </w:rPr>
  </w:style>
  <w:style w:type="paragraph" w:styleId="737">
    <w:name w:val="Heading 6"/>
    <w:basedOn w:val="896"/>
    <w:next w:val="896"/>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basedOn w:val="900"/>
    <w:link w:val="737"/>
    <w:uiPriority w:val="9"/>
    <w:rPr>
      <w:rFonts w:ascii="Arial" w:hAnsi="Arial" w:eastAsia="Arial" w:cs="Arial"/>
      <w:b/>
      <w:bCs/>
      <w:sz w:val="22"/>
      <w:szCs w:val="22"/>
    </w:rPr>
  </w:style>
  <w:style w:type="paragraph" w:styleId="739">
    <w:name w:val="Heading 7"/>
    <w:basedOn w:val="896"/>
    <w:next w:val="896"/>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basedOn w:val="900"/>
    <w:link w:val="739"/>
    <w:uiPriority w:val="9"/>
    <w:rPr>
      <w:rFonts w:ascii="Arial" w:hAnsi="Arial" w:eastAsia="Arial" w:cs="Arial"/>
      <w:b/>
      <w:bCs/>
      <w:i/>
      <w:iCs/>
      <w:sz w:val="22"/>
      <w:szCs w:val="22"/>
    </w:rPr>
  </w:style>
  <w:style w:type="paragraph" w:styleId="741">
    <w:name w:val="Heading 8"/>
    <w:basedOn w:val="896"/>
    <w:next w:val="896"/>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basedOn w:val="900"/>
    <w:link w:val="741"/>
    <w:uiPriority w:val="9"/>
    <w:rPr>
      <w:rFonts w:ascii="Arial" w:hAnsi="Arial" w:eastAsia="Arial" w:cs="Arial"/>
      <w:i/>
      <w:iCs/>
      <w:sz w:val="22"/>
      <w:szCs w:val="22"/>
    </w:rPr>
  </w:style>
  <w:style w:type="paragraph" w:styleId="743">
    <w:name w:val="Heading 9"/>
    <w:basedOn w:val="896"/>
    <w:next w:val="896"/>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basedOn w:val="900"/>
    <w:link w:val="743"/>
    <w:uiPriority w:val="9"/>
    <w:rPr>
      <w:rFonts w:ascii="Arial" w:hAnsi="Arial" w:eastAsia="Arial" w:cs="Arial"/>
      <w:i/>
      <w:iCs/>
      <w:sz w:val="21"/>
      <w:szCs w:val="21"/>
    </w:rPr>
  </w:style>
  <w:style w:type="character" w:styleId="745">
    <w:name w:val="Title Char"/>
    <w:basedOn w:val="900"/>
    <w:link w:val="920"/>
    <w:uiPriority w:val="10"/>
    <w:rPr>
      <w:sz w:val="48"/>
      <w:szCs w:val="48"/>
    </w:rPr>
  </w:style>
  <w:style w:type="character" w:styleId="746">
    <w:name w:val="Subtitle Char"/>
    <w:basedOn w:val="900"/>
    <w:link w:val="916"/>
    <w:uiPriority w:val="11"/>
    <w:rPr>
      <w:sz w:val="24"/>
      <w:szCs w:val="24"/>
    </w:rPr>
  </w:style>
  <w:style w:type="paragraph" w:styleId="747">
    <w:name w:val="Quote"/>
    <w:basedOn w:val="896"/>
    <w:next w:val="896"/>
    <w:link w:val="748"/>
    <w:uiPriority w:val="29"/>
    <w:qFormat/>
    <w:pPr>
      <w:ind w:left="720" w:right="720"/>
    </w:pPr>
    <w:rPr>
      <w:i/>
    </w:rPr>
  </w:style>
  <w:style w:type="character" w:styleId="748">
    <w:name w:val="Quote Char"/>
    <w:link w:val="747"/>
    <w:uiPriority w:val="29"/>
    <w:rPr>
      <w:i/>
    </w:rPr>
  </w:style>
  <w:style w:type="paragraph" w:styleId="749">
    <w:name w:val="Intense Quote"/>
    <w:basedOn w:val="896"/>
    <w:next w:val="896"/>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900"/>
    <w:link w:val="914"/>
    <w:uiPriority w:val="99"/>
  </w:style>
  <w:style w:type="character" w:styleId="752">
    <w:name w:val="Footer Char"/>
    <w:basedOn w:val="900"/>
    <w:link w:val="912"/>
    <w:uiPriority w:val="99"/>
  </w:style>
  <w:style w:type="paragraph" w:styleId="753">
    <w:name w:val="Caption"/>
    <w:basedOn w:val="896"/>
    <w:next w:val="896"/>
    <w:uiPriority w:val="35"/>
    <w:semiHidden/>
    <w:unhideWhenUsed/>
    <w:qFormat/>
    <w:pPr>
      <w:spacing w:line="276" w:lineRule="auto"/>
    </w:pPr>
    <w:rPr>
      <w:b/>
      <w:bCs/>
      <w:color w:val="4f81bd" w:themeColor="accent1"/>
      <w:sz w:val="18"/>
      <w:szCs w:val="18"/>
    </w:rPr>
  </w:style>
  <w:style w:type="character" w:styleId="754">
    <w:name w:val="Caption Char"/>
    <w:basedOn w:val="753"/>
    <w:link w:val="912"/>
    <w:uiPriority w:val="99"/>
  </w:style>
  <w:style w:type="table" w:styleId="755">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0">
    <w:name w:val="footnote text"/>
    <w:basedOn w:val="896"/>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basedOn w:val="900"/>
    <w:uiPriority w:val="99"/>
    <w:unhideWhenUsed/>
    <w:rPr>
      <w:vertAlign w:val="superscript"/>
    </w:rPr>
  </w:style>
  <w:style w:type="paragraph" w:styleId="883">
    <w:name w:val="endnote text"/>
    <w:basedOn w:val="896"/>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basedOn w:val="900"/>
    <w:uiPriority w:val="99"/>
    <w:semiHidden/>
    <w:unhideWhenUsed/>
    <w:rPr>
      <w:vertAlign w:val="superscript"/>
    </w:rPr>
  </w:style>
  <w:style w:type="paragraph" w:styleId="886">
    <w:name w:val="toc 2"/>
    <w:basedOn w:val="896"/>
    <w:next w:val="896"/>
    <w:uiPriority w:val="39"/>
    <w:unhideWhenUsed/>
    <w:pPr>
      <w:ind w:left="283" w:right="0" w:firstLine="0"/>
      <w:spacing w:after="57"/>
    </w:pPr>
  </w:style>
  <w:style w:type="paragraph" w:styleId="887">
    <w:name w:val="toc 3"/>
    <w:basedOn w:val="896"/>
    <w:next w:val="896"/>
    <w:uiPriority w:val="39"/>
    <w:unhideWhenUsed/>
    <w:pPr>
      <w:ind w:left="567" w:right="0" w:firstLine="0"/>
      <w:spacing w:after="57"/>
    </w:pPr>
  </w:style>
  <w:style w:type="paragraph" w:styleId="888">
    <w:name w:val="toc 4"/>
    <w:basedOn w:val="896"/>
    <w:next w:val="896"/>
    <w:uiPriority w:val="39"/>
    <w:unhideWhenUsed/>
    <w:pPr>
      <w:ind w:left="850" w:right="0" w:firstLine="0"/>
      <w:spacing w:after="57"/>
    </w:pPr>
  </w:style>
  <w:style w:type="paragraph" w:styleId="889">
    <w:name w:val="toc 5"/>
    <w:basedOn w:val="896"/>
    <w:next w:val="896"/>
    <w:uiPriority w:val="39"/>
    <w:unhideWhenUsed/>
    <w:pPr>
      <w:ind w:left="1134" w:right="0" w:firstLine="0"/>
      <w:spacing w:after="57"/>
    </w:pPr>
  </w:style>
  <w:style w:type="paragraph" w:styleId="890">
    <w:name w:val="toc 6"/>
    <w:basedOn w:val="896"/>
    <w:next w:val="896"/>
    <w:uiPriority w:val="39"/>
    <w:unhideWhenUsed/>
    <w:pPr>
      <w:ind w:left="1417" w:right="0" w:firstLine="0"/>
      <w:spacing w:after="57"/>
    </w:pPr>
  </w:style>
  <w:style w:type="paragraph" w:styleId="891">
    <w:name w:val="toc 7"/>
    <w:basedOn w:val="896"/>
    <w:next w:val="896"/>
    <w:uiPriority w:val="39"/>
    <w:unhideWhenUsed/>
    <w:pPr>
      <w:ind w:left="1701" w:right="0" w:firstLine="0"/>
      <w:spacing w:after="57"/>
    </w:pPr>
  </w:style>
  <w:style w:type="paragraph" w:styleId="892">
    <w:name w:val="toc 8"/>
    <w:basedOn w:val="896"/>
    <w:next w:val="896"/>
    <w:uiPriority w:val="39"/>
    <w:unhideWhenUsed/>
    <w:pPr>
      <w:ind w:left="1984" w:right="0" w:firstLine="0"/>
      <w:spacing w:after="57"/>
    </w:pPr>
  </w:style>
  <w:style w:type="paragraph" w:styleId="893">
    <w:name w:val="toc 9"/>
    <w:basedOn w:val="896"/>
    <w:next w:val="896"/>
    <w:uiPriority w:val="39"/>
    <w:unhideWhenUsed/>
    <w:pPr>
      <w:ind w:left="2268" w:right="0" w:firstLine="0"/>
      <w:spacing w:after="57"/>
    </w:pPr>
  </w:style>
  <w:style w:type="paragraph" w:styleId="894">
    <w:name w:val="TOC Heading"/>
    <w:uiPriority w:val="39"/>
    <w:unhideWhenUsed/>
  </w:style>
  <w:style w:type="paragraph" w:styleId="895">
    <w:name w:val="table of figures"/>
    <w:basedOn w:val="896"/>
    <w:next w:val="896"/>
    <w:uiPriority w:val="99"/>
    <w:unhideWhenUsed/>
    <w:pPr>
      <w:spacing w:after="0" w:afterAutospacing="0"/>
    </w:pPr>
  </w:style>
  <w:style w:type="paragraph" w:styleId="89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97">
    <w:name w:val="Heading 1"/>
    <w:basedOn w:val="896"/>
    <w:next w:val="896"/>
    <w:link w:val="963"/>
    <w:uiPriority w:val="0"/>
    <w:qFormat/>
    <w:pPr>
      <w:keepLines/>
      <w:keepNext/>
      <w:spacing w:before="340" w:after="330" w:line="578" w:lineRule="auto"/>
      <w:outlineLvl w:val="0"/>
    </w:pPr>
    <w:rPr>
      <w:b/>
      <w:bCs/>
      <w:sz w:val="44"/>
      <w:szCs w:val="44"/>
    </w:rPr>
  </w:style>
  <w:style w:type="paragraph" w:styleId="898">
    <w:name w:val="Heading 2"/>
    <w:basedOn w:val="896"/>
    <w:next w:val="896"/>
    <w:link w:val="959"/>
    <w:uiPriority w:val="9"/>
    <w:qFormat/>
    <w:pPr>
      <w:keepLines/>
      <w:keepNext/>
      <w:spacing w:before="260" w:after="260" w:line="416" w:lineRule="auto"/>
      <w:outlineLvl w:val="1"/>
    </w:pPr>
    <w:rPr>
      <w:rFonts w:ascii="Cambria" w:hAnsi="Cambria"/>
      <w:b/>
      <w:bCs/>
      <w:sz w:val="32"/>
      <w:szCs w:val="32"/>
    </w:rPr>
  </w:style>
  <w:style w:type="paragraph" w:styleId="899">
    <w:name w:val="Heading 3"/>
    <w:basedOn w:val="896"/>
    <w:next w:val="896"/>
    <w:link w:val="962"/>
    <w:uiPriority w:val="9"/>
    <w:qFormat/>
    <w:pPr>
      <w:keepLines/>
      <w:keepNext/>
      <w:spacing w:before="260" w:after="260" w:line="416" w:lineRule="auto"/>
      <w:outlineLvl w:val="2"/>
    </w:pPr>
    <w:rPr>
      <w:b/>
      <w:bCs/>
      <w:sz w:val="32"/>
      <w:szCs w:val="32"/>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Normal Indent"/>
    <w:basedOn w:val="896"/>
    <w:next w:val="896"/>
    <w:link w:val="960"/>
    <w:uiPriority w:val="0"/>
    <w:qFormat/>
    <w:pPr>
      <w:ind w:firstLine="420"/>
      <w:jc w:val="left"/>
    </w:pPr>
    <w:rPr>
      <w:rFonts w:eastAsia="楷体_GB2312"/>
      <w:sz w:val="24"/>
      <w:szCs w:val="20"/>
    </w:rPr>
  </w:style>
  <w:style w:type="paragraph" w:styleId="903">
    <w:name w:val="annotation text"/>
    <w:basedOn w:val="896"/>
    <w:link w:val="955"/>
    <w:uiPriority w:val="99"/>
    <w:unhideWhenUsed/>
    <w:qFormat/>
    <w:pPr>
      <w:jc w:val="left"/>
    </w:pPr>
  </w:style>
  <w:style w:type="paragraph" w:styleId="904">
    <w:name w:val="Body Text"/>
    <w:basedOn w:val="896"/>
    <w:link w:val="950"/>
    <w:uiPriority w:val="99"/>
    <w:unhideWhenUsed/>
    <w:qFormat/>
    <w:pPr>
      <w:spacing w:after="120"/>
    </w:pPr>
  </w:style>
  <w:style w:type="paragraph" w:styleId="905">
    <w:name w:val="Body Text Indent"/>
    <w:basedOn w:val="896"/>
    <w:uiPriority w:val="99"/>
    <w:unhideWhenUsed/>
    <w:qFormat/>
    <w:pPr>
      <w:ind w:left="420"/>
      <w:spacing w:after="120"/>
    </w:pPr>
  </w:style>
  <w:style w:type="paragraph" w:styleId="906">
    <w:name w:val="Block Text"/>
    <w:basedOn w:val="896"/>
    <w:uiPriority w:val="0"/>
    <w:qFormat/>
    <w:pPr>
      <w:ind w:left="630" w:right="-609" w:firstLine="420"/>
      <w:jc w:val="left"/>
      <w:spacing w:line="360" w:lineRule="auto"/>
      <w:widowControl/>
    </w:pPr>
    <w:rPr>
      <w:rFonts w:hint="eastAsia" w:ascii="仿宋_GB2312" w:eastAsia="仿宋_GB2312"/>
      <w:sz w:val="24"/>
      <w:szCs w:val="20"/>
    </w:rPr>
  </w:style>
  <w:style w:type="paragraph" w:styleId="907">
    <w:name w:val="index 4"/>
    <w:basedOn w:val="896"/>
    <w:next w:val="896"/>
    <w:uiPriority w:val="99"/>
    <w:unhideWhenUsed/>
    <w:qFormat/>
    <w:pPr>
      <w:ind w:left="600"/>
    </w:pPr>
  </w:style>
  <w:style w:type="paragraph" w:styleId="908">
    <w:name w:val="Plain Text"/>
    <w:basedOn w:val="896"/>
    <w:uiPriority w:val="0"/>
    <w:qFormat/>
    <w:pPr>
      <w:jc w:val="left"/>
      <w:widowControl/>
    </w:pPr>
    <w:rPr>
      <w:rFonts w:ascii="宋体" w:hAnsi="Courier New" w:eastAsia="楷体_GB2312"/>
      <w:sz w:val="26"/>
    </w:rPr>
  </w:style>
  <w:style w:type="paragraph" w:styleId="909">
    <w:name w:val="Date"/>
    <w:basedOn w:val="897"/>
    <w:next w:val="896"/>
    <w:link w:val="954"/>
    <w:uiPriority w:val="99"/>
    <w:unhideWhenUsed/>
    <w:qFormat/>
    <w:pPr>
      <w:ind w:left="100"/>
    </w:pPr>
  </w:style>
  <w:style w:type="paragraph" w:styleId="910">
    <w:name w:val="Body Text Indent 2"/>
    <w:basedOn w:val="896"/>
    <w:uiPriority w:val="0"/>
    <w:qFormat/>
    <w:pPr>
      <w:ind w:left="420"/>
      <w:spacing w:after="120" w:line="480" w:lineRule="auto"/>
    </w:pPr>
    <w:rPr>
      <w:rFonts w:ascii="Times New Roman" w:hAnsi="Times New Roman"/>
      <w:szCs w:val="24"/>
    </w:rPr>
  </w:style>
  <w:style w:type="paragraph" w:styleId="911">
    <w:name w:val="Balloon Text"/>
    <w:basedOn w:val="896"/>
    <w:link w:val="949"/>
    <w:uiPriority w:val="99"/>
    <w:unhideWhenUsed/>
    <w:qFormat/>
    <w:rPr>
      <w:sz w:val="18"/>
      <w:szCs w:val="18"/>
    </w:rPr>
  </w:style>
  <w:style w:type="paragraph" w:styleId="912">
    <w:name w:val="Footer"/>
    <w:basedOn w:val="896"/>
    <w:link w:val="947"/>
    <w:uiPriority w:val="99"/>
    <w:unhideWhenUsed/>
    <w:qFormat/>
    <w:pPr>
      <w:jc w:val="left"/>
      <w:tabs>
        <w:tab w:val="center" w:pos="4153" w:leader="none"/>
        <w:tab w:val="right" w:pos="8306" w:leader="none"/>
      </w:tabs>
    </w:pPr>
    <w:rPr>
      <w:sz w:val="18"/>
      <w:szCs w:val="18"/>
    </w:rPr>
  </w:style>
  <w:style w:type="paragraph" w:styleId="913">
    <w:name w:val="envelope return"/>
    <w:basedOn w:val="896"/>
    <w:uiPriority w:val="0"/>
    <w:qFormat/>
    <w:pPr>
      <w:pageBreakBefore/>
    </w:pPr>
    <w:rPr>
      <w:rFonts w:ascii="宋体" w:hAnsi="宋体"/>
      <w:b/>
      <w:sz w:val="26"/>
      <w:szCs w:val="20"/>
    </w:rPr>
  </w:style>
  <w:style w:type="paragraph" w:styleId="914">
    <w:name w:val="Header"/>
    <w:basedOn w:val="896"/>
    <w:link w:val="95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5">
    <w:name w:val="toc 1"/>
    <w:basedOn w:val="896"/>
    <w:next w:val="896"/>
    <w:uiPriority w:val="39"/>
    <w:unhideWhenUsed/>
    <w:qFormat/>
    <w:pPr>
      <w:spacing w:line="360" w:lineRule="auto"/>
    </w:pPr>
    <w:rPr>
      <w:sz w:val="30"/>
    </w:rPr>
  </w:style>
  <w:style w:type="paragraph" w:styleId="916">
    <w:name w:val="Subtitle"/>
    <w:basedOn w:val="896"/>
    <w:next w:val="896"/>
    <w:link w:val="958"/>
    <w:uiPriority w:val="0"/>
    <w:qFormat/>
    <w:pPr>
      <w:ind w:firstLine="200"/>
      <w:jc w:val="center"/>
      <w:spacing w:before="240" w:after="60" w:line="312" w:lineRule="atLeast"/>
      <w:outlineLvl w:val="1"/>
    </w:pPr>
    <w:rPr>
      <w:rFonts w:ascii="等线 Light" w:hAnsi="等线 Light"/>
      <w:b/>
      <w:bCs/>
      <w:sz w:val="32"/>
      <w:szCs w:val="32"/>
    </w:rPr>
  </w:style>
  <w:style w:type="paragraph" w:styleId="917">
    <w:name w:val="Body Text Indent 3"/>
    <w:basedOn w:val="896"/>
    <w:link w:val="957"/>
    <w:uiPriority w:val="0"/>
    <w:qFormat/>
    <w:pPr>
      <w:ind w:firstLine="617"/>
      <w:spacing w:line="360" w:lineRule="auto"/>
    </w:pPr>
    <w:rPr>
      <w:sz w:val="24"/>
      <w:szCs w:val="24"/>
    </w:rPr>
  </w:style>
  <w:style w:type="paragraph" w:styleId="918">
    <w:name w:val="index 7"/>
    <w:basedOn w:val="896"/>
    <w:next w:val="896"/>
    <w:uiPriority w:val="0"/>
    <w:qFormat/>
    <w:pPr>
      <w:ind w:left="2520"/>
    </w:pPr>
    <w:rPr>
      <w:rFonts w:ascii="Times New Roman" w:hAnsi="Times New Roman"/>
      <w:sz w:val="26"/>
      <w:szCs w:val="20"/>
    </w:rPr>
  </w:style>
  <w:style w:type="paragraph" w:styleId="919">
    <w:name w:val="Normal (Web)"/>
    <w:basedOn w:val="896"/>
    <w:uiPriority w:val="99"/>
    <w:qFormat/>
    <w:rPr>
      <w:sz w:val="24"/>
    </w:rPr>
  </w:style>
  <w:style w:type="paragraph" w:styleId="920">
    <w:name w:val="Title"/>
    <w:basedOn w:val="896"/>
    <w:next w:val="896"/>
    <w:link w:val="951"/>
    <w:uiPriority w:val="10"/>
    <w:qFormat/>
    <w:pPr>
      <w:jc w:val="center"/>
      <w:spacing w:before="240" w:after="60"/>
      <w:outlineLvl w:val="0"/>
    </w:pPr>
    <w:rPr>
      <w:rFonts w:ascii="Cambria" w:hAnsi="Cambria"/>
      <w:b/>
      <w:bCs/>
      <w:sz w:val="32"/>
      <w:szCs w:val="32"/>
    </w:rPr>
  </w:style>
  <w:style w:type="paragraph" w:styleId="921">
    <w:name w:val="annotation subject"/>
    <w:basedOn w:val="903"/>
    <w:next w:val="903"/>
    <w:link w:val="956"/>
    <w:uiPriority w:val="99"/>
    <w:unhideWhenUsed/>
    <w:qFormat/>
    <w:rPr>
      <w:b/>
      <w:bCs/>
    </w:rPr>
  </w:style>
  <w:style w:type="paragraph" w:styleId="922">
    <w:name w:val="Body Text First Indent 2"/>
    <w:basedOn w:val="905"/>
    <w:next w:val="896"/>
    <w:uiPriority w:val="99"/>
    <w:unhideWhenUsed/>
    <w:qFormat/>
    <w:pPr>
      <w:ind w:firstLine="420"/>
    </w:pPr>
  </w:style>
  <w:style w:type="table" w:styleId="923">
    <w:name w:val="Table Grid"/>
    <w:basedOn w:val="9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4">
    <w:name w:val="Strong"/>
    <w:uiPriority w:val="0"/>
    <w:qFormat/>
    <w:rPr>
      <w:rFonts w:ascii="Times New Roman" w:hAnsi="Times New Roman" w:eastAsia="宋体" w:cs="Times New Roman"/>
      <w:b/>
    </w:rPr>
  </w:style>
  <w:style w:type="character" w:styleId="925">
    <w:name w:val="page number"/>
    <w:basedOn w:val="900"/>
    <w:uiPriority w:val="99"/>
    <w:semiHidden/>
    <w:unhideWhenUsed/>
    <w:qFormat/>
  </w:style>
  <w:style w:type="character" w:styleId="926">
    <w:name w:val="FollowedHyperlink"/>
    <w:basedOn w:val="900"/>
    <w:uiPriority w:val="99"/>
    <w:semiHidden/>
    <w:unhideWhenUsed/>
    <w:qFormat/>
    <w:rPr>
      <w:color w:val="333333"/>
      <w:u w:val="none"/>
    </w:rPr>
  </w:style>
  <w:style w:type="character" w:styleId="927">
    <w:name w:val="Emphasis"/>
    <w:basedOn w:val="900"/>
    <w:uiPriority w:val="20"/>
    <w:qFormat/>
  </w:style>
  <w:style w:type="character" w:styleId="928">
    <w:name w:val="Hyperlink"/>
    <w:basedOn w:val="900"/>
    <w:uiPriority w:val="99"/>
    <w:semiHidden/>
    <w:unhideWhenUsed/>
    <w:qFormat/>
    <w:rPr>
      <w:color w:val="333333"/>
      <w:u w:val="none"/>
    </w:rPr>
  </w:style>
  <w:style w:type="character" w:styleId="929">
    <w:name w:val="annotation reference"/>
    <w:uiPriority w:val="99"/>
    <w:unhideWhenUsed/>
    <w:qFormat/>
    <w:rPr>
      <w:sz w:val="21"/>
      <w:szCs w:val="21"/>
    </w:rPr>
  </w:style>
  <w:style w:type="paragraph" w:styleId="930" w:customStyle="1">
    <w:name w:val="段"/>
    <w:next w:val="896"/>
    <w:uiPriority w:val="0"/>
    <w:qFormat/>
    <w:pPr>
      <w:ind w:firstLine="200"/>
      <w:jc w:val="both"/>
    </w:pPr>
    <w:rPr>
      <w:rFonts w:ascii="宋体" w:hAnsi="Calibri" w:eastAsia="Times New Roman" w:cs="Times New Roman"/>
      <w:sz w:val="21"/>
      <w:szCs w:val="22"/>
      <w:lang w:val="en-US" w:eastAsia="zh-CN" w:bidi="ar-SA"/>
    </w:rPr>
  </w:style>
  <w:style w:type="paragraph" w:styleId="931" w:customStyle="1">
    <w:name w:val="首行缩进"/>
    <w:basedOn w:val="896"/>
    <w:uiPriority w:val="0"/>
    <w:qFormat/>
    <w:pPr>
      <w:ind w:firstLine="480"/>
    </w:pPr>
    <w:rPr>
      <w:lang w:val="zh-CN"/>
    </w:rPr>
  </w:style>
  <w:style w:type="paragraph" w:styleId="932" w:customStyle="1">
    <w:name w:val="【正文】"/>
    <w:basedOn w:val="896"/>
    <w:uiPriority w:val="0"/>
    <w:qFormat/>
    <w:pPr>
      <w:ind w:firstLine="480"/>
      <w:spacing w:line="360" w:lineRule="auto"/>
    </w:pPr>
    <w:rPr>
      <w:sz w:val="24"/>
    </w:rPr>
  </w:style>
  <w:style w:type="paragraph" w:styleId="933">
    <w:name w:val="List Paragraph"/>
    <w:basedOn w:val="896"/>
    <w:uiPriority w:val="34"/>
    <w:qFormat/>
    <w:pPr>
      <w:ind w:firstLine="420"/>
    </w:pPr>
  </w:style>
  <w:style w:type="paragraph" w:styleId="934" w:customStyle="1">
    <w:name w:val="p1"/>
    <w:basedOn w:val="896"/>
    <w:uiPriority w:val="0"/>
    <w:qFormat/>
    <w:pPr>
      <w:jc w:val="left"/>
      <w:spacing w:before="100" w:beforeAutospacing="1" w:after="100" w:afterAutospacing="1"/>
      <w:widowControl/>
    </w:pPr>
    <w:rPr>
      <w:rFonts w:ascii="宋体" w:hAnsi="宋体" w:cs="宋体"/>
      <w:sz w:val="24"/>
      <w:szCs w:val="24"/>
    </w:rPr>
  </w:style>
  <w:style w:type="paragraph" w:styleId="935" w:customStyle="1">
    <w:name w:val="No Spacing1"/>
    <w:uiPriority w:val="0"/>
    <w:qFormat/>
    <w:pPr>
      <w:jc w:val="both"/>
      <w:widowControl w:val="off"/>
    </w:pPr>
    <w:rPr>
      <w:rFonts w:ascii="Calibri" w:hAnsi="Calibri" w:eastAsia="宋体" w:cs="Times New Roman"/>
      <w:sz w:val="21"/>
      <w:szCs w:val="22"/>
      <w:lang w:val="en-US" w:eastAsia="zh-CN" w:bidi="ar-SA"/>
    </w:rPr>
  </w:style>
  <w:style w:type="paragraph" w:styleId="936" w:customStyle="1">
    <w:name w:val="纯文本1"/>
    <w:basedOn w:val="896"/>
    <w:uiPriority w:val="0"/>
    <w:qFormat/>
    <w:rPr>
      <w:rFonts w:ascii="宋体" w:hAnsi="Courier New" w:eastAsia="楷体_GB2312"/>
      <w:sz w:val="26"/>
      <w:szCs w:val="20"/>
    </w:rPr>
  </w:style>
  <w:style w:type="paragraph" w:styleId="937" w:customStyle="1">
    <w:name w:val="列出段落1"/>
    <w:basedOn w:val="896"/>
    <w:uiPriority w:val="0"/>
    <w:qFormat/>
    <w:pPr>
      <w:ind w:firstLine="420"/>
    </w:pPr>
  </w:style>
  <w:style w:type="paragraph" w:styleId="938" w:customStyle="1">
    <w:name w:val="纯文本11"/>
    <w:basedOn w:val="896"/>
    <w:uiPriority w:val="0"/>
    <w:qFormat/>
    <w:pPr>
      <w:jc w:val="left"/>
      <w:widowControl/>
    </w:pPr>
    <w:rPr>
      <w:rFonts w:ascii="宋体" w:hAnsi="Courier New" w:eastAsia="楷体_GB2312"/>
      <w:sz w:val="26"/>
      <w:szCs w:val="20"/>
    </w:rPr>
  </w:style>
  <w:style w:type="paragraph" w:styleId="939" w:customStyle="1">
    <w:name w:val="标题3"/>
    <w:basedOn w:val="899"/>
    <w:uiPriority w:val="0"/>
    <w:qFormat/>
    <w:pPr>
      <w:contextualSpacing/>
      <w:jc w:val="center"/>
      <w:spacing w:line="240" w:lineRule="auto"/>
    </w:pPr>
    <w:rPr>
      <w:rFonts w:ascii="Times New Roman" w:hAnsi="Times New Roman" w:eastAsia="黑体" w:cs="宋体"/>
      <w:sz w:val="28"/>
      <w:szCs w:val="20"/>
    </w:rPr>
  </w:style>
  <w:style w:type="paragraph" w:styleId="940" w:customStyle="1">
    <w:name w:val="WPSOffice手动目录 1"/>
    <w:uiPriority w:val="0"/>
    <w:qFormat/>
    <w:rPr>
      <w:rFonts w:ascii="Calibri" w:hAnsi="Calibri" w:eastAsia="宋体" w:cs="Times New Roman"/>
      <w:lang w:val="en-US" w:eastAsia="zh-CN" w:bidi="ar-SA"/>
    </w:rPr>
  </w:style>
  <w:style w:type="paragraph" w:styleId="941" w:customStyle="1">
    <w:name w:val="Plain Text1"/>
    <w:basedOn w:val="896"/>
    <w:uiPriority w:val="0"/>
    <w:qFormat/>
    <w:rPr>
      <w:rFonts w:ascii="宋体" w:hAnsi="Courier New" w:eastAsia="楷体_GB2312"/>
      <w:sz w:val="26"/>
      <w:szCs w:val="20"/>
    </w:rPr>
  </w:style>
  <w:style w:type="paragraph" w:styleId="942" w:customStyle="1">
    <w:name w:val="Andy_正文"/>
    <w:basedOn w:val="896"/>
    <w:uiPriority w:val="0"/>
    <w:qFormat/>
    <w:pPr>
      <w:ind w:firstLine="480"/>
      <w:spacing w:line="360" w:lineRule="auto"/>
    </w:pPr>
    <w:rPr>
      <w:sz w:val="24"/>
    </w:rPr>
  </w:style>
  <w:style w:type="paragraph" w:styleId="943" w:customStyle="1">
    <w:name w:val="纯文本3"/>
    <w:basedOn w:val="896"/>
    <w:link w:val="946"/>
    <w:uiPriority w:val="0"/>
    <w:qFormat/>
    <w:rPr>
      <w:rFonts w:ascii="宋体" w:hAnsi="Courier New" w:eastAsia="楷体_GB2312"/>
      <w:sz w:val="26"/>
      <w:szCs w:val="20"/>
    </w:rPr>
  </w:style>
  <w:style w:type="paragraph" w:styleId="944" w:customStyle="1">
    <w:name w:val="缩进正文"/>
    <w:basedOn w:val="896"/>
    <w:uiPriority w:val="0"/>
    <w:qFormat/>
    <w:pPr>
      <w:ind w:firstLine="200"/>
      <w:jc w:val="left"/>
      <w:spacing w:line="360" w:lineRule="auto"/>
    </w:pPr>
    <w:rPr>
      <w:rFonts w:hAnsi="宋体"/>
      <w:sz w:val="24"/>
      <w:szCs w:val="24"/>
    </w:rPr>
  </w:style>
  <w:style w:type="paragraph" w:styleId="945" w:customStyle="1">
    <w:name w:val="表中"/>
    <w:basedOn w:val="896"/>
    <w:uiPriority w:val="0"/>
    <w:qFormat/>
    <w:pPr>
      <w:jc w:val="center"/>
      <w:spacing w:line="360" w:lineRule="atLeast"/>
    </w:pPr>
    <w:rPr>
      <w:rFonts w:ascii="Times New Roman" w:hAnsi="Times New Roman"/>
      <w:szCs w:val="20"/>
    </w:rPr>
  </w:style>
  <w:style w:type="character" w:styleId="946" w:customStyle="1">
    <w:name w:val="Plain Text Char"/>
    <w:link w:val="943"/>
    <w:uiPriority w:val="0"/>
    <w:qFormat/>
    <w:rPr>
      <w:rFonts w:ascii="宋体" w:hAnsi="Courier New" w:eastAsia="楷体_GB2312"/>
      <w:sz w:val="26"/>
    </w:rPr>
  </w:style>
  <w:style w:type="character" w:styleId="947" w:customStyle="1">
    <w:name w:val="页脚 字符"/>
    <w:link w:val="912"/>
    <w:uiPriority w:val="99"/>
    <w:qFormat/>
    <w:rPr>
      <w:sz w:val="18"/>
      <w:szCs w:val="18"/>
    </w:rPr>
  </w:style>
  <w:style w:type="character" w:styleId="948" w:customStyle="1">
    <w:name w:val="p141"/>
    <w:uiPriority w:val="0"/>
    <w:qFormat/>
    <w:rPr>
      <w:color w:val="000000"/>
      <w:sz w:val="28"/>
      <w:szCs w:val="28"/>
      <w:u w:val="none"/>
    </w:rPr>
  </w:style>
  <w:style w:type="character" w:styleId="949" w:customStyle="1">
    <w:name w:val="批注框文本 字符"/>
    <w:link w:val="911"/>
    <w:uiPriority w:val="99"/>
    <w:semiHidden/>
    <w:qFormat/>
    <w:rPr>
      <w:sz w:val="18"/>
      <w:szCs w:val="18"/>
    </w:rPr>
  </w:style>
  <w:style w:type="character" w:styleId="950" w:customStyle="1">
    <w:name w:val="正文文本 字符"/>
    <w:link w:val="904"/>
    <w:uiPriority w:val="99"/>
    <w:semiHidden/>
    <w:qFormat/>
    <w:rPr>
      <w:sz w:val="21"/>
      <w:szCs w:val="22"/>
    </w:rPr>
  </w:style>
  <w:style w:type="character" w:styleId="951" w:customStyle="1">
    <w:name w:val="标题 字符"/>
    <w:link w:val="920"/>
    <w:uiPriority w:val="10"/>
    <w:qFormat/>
    <w:rPr>
      <w:rFonts w:ascii="Cambria" w:hAnsi="Cambria" w:cs="Times New Roman"/>
      <w:b/>
      <w:bCs/>
      <w:sz w:val="32"/>
      <w:szCs w:val="32"/>
    </w:rPr>
  </w:style>
  <w:style w:type="character" w:styleId="952" w:customStyle="1">
    <w:name w:val="标题 1 Char"/>
    <w:uiPriority w:val="9"/>
    <w:qFormat/>
    <w:rPr>
      <w:b/>
      <w:bCs/>
      <w:sz w:val="44"/>
      <w:szCs w:val="44"/>
    </w:rPr>
  </w:style>
  <w:style w:type="character" w:styleId="953" w:customStyle="1">
    <w:name w:val="页眉 字符"/>
    <w:link w:val="914"/>
    <w:uiPriority w:val="99"/>
    <w:qFormat/>
    <w:rPr>
      <w:sz w:val="18"/>
      <w:szCs w:val="18"/>
    </w:rPr>
  </w:style>
  <w:style w:type="character" w:styleId="954" w:customStyle="1">
    <w:name w:val="日期 字符"/>
    <w:link w:val="909"/>
    <w:uiPriority w:val="99"/>
    <w:semiHidden/>
    <w:qFormat/>
    <w:rPr>
      <w:sz w:val="21"/>
      <w:szCs w:val="22"/>
    </w:rPr>
  </w:style>
  <w:style w:type="character" w:styleId="955" w:customStyle="1">
    <w:name w:val="批注文字 字符"/>
    <w:link w:val="903"/>
    <w:uiPriority w:val="99"/>
    <w:semiHidden/>
    <w:qFormat/>
    <w:rPr>
      <w:sz w:val="21"/>
      <w:szCs w:val="22"/>
    </w:rPr>
  </w:style>
  <w:style w:type="character" w:styleId="956" w:customStyle="1">
    <w:name w:val="批注主题 字符"/>
    <w:link w:val="921"/>
    <w:uiPriority w:val="99"/>
    <w:semiHidden/>
    <w:qFormat/>
    <w:rPr>
      <w:b/>
      <w:bCs/>
      <w:sz w:val="21"/>
      <w:szCs w:val="22"/>
    </w:rPr>
  </w:style>
  <w:style w:type="character" w:styleId="957" w:customStyle="1">
    <w:name w:val="正文文本缩进 3 字符"/>
    <w:link w:val="917"/>
    <w:uiPriority w:val="0"/>
    <w:qFormat/>
    <w:rPr>
      <w:rFonts w:ascii="Times New Roman" w:hAnsi="Times New Roman"/>
      <w:sz w:val="24"/>
      <w:szCs w:val="24"/>
    </w:rPr>
  </w:style>
  <w:style w:type="character" w:styleId="958" w:customStyle="1">
    <w:name w:val="副标题 字符"/>
    <w:link w:val="916"/>
    <w:uiPriority w:val="0"/>
    <w:qFormat/>
    <w:rPr>
      <w:rFonts w:ascii="等线 Light" w:hAnsi="等线 Light"/>
      <w:b/>
      <w:bCs/>
      <w:sz w:val="32"/>
      <w:szCs w:val="32"/>
    </w:rPr>
  </w:style>
  <w:style w:type="character" w:styleId="959" w:customStyle="1">
    <w:name w:val="标题 2 字符"/>
    <w:link w:val="898"/>
    <w:uiPriority w:val="9"/>
    <w:qFormat/>
    <w:rPr>
      <w:rFonts w:ascii="Cambria" w:hAnsi="Cambria"/>
      <w:b/>
      <w:bCs/>
      <w:sz w:val="32"/>
      <w:szCs w:val="32"/>
    </w:rPr>
  </w:style>
  <w:style w:type="character" w:styleId="960" w:customStyle="1">
    <w:name w:val="正文缩进 字符"/>
    <w:link w:val="902"/>
    <w:uiPriority w:val="0"/>
    <w:qFormat/>
    <w:rPr>
      <w:rFonts w:ascii="Times New Roman" w:hAnsi="Times New Roman" w:eastAsia="楷体_GB2312"/>
      <w:sz w:val="24"/>
    </w:rPr>
  </w:style>
  <w:style w:type="character" w:styleId="961" w:customStyle="1">
    <w:name w:val="正文文本缩进 3 Char1"/>
    <w:uiPriority w:val="99"/>
    <w:semiHidden/>
    <w:qFormat/>
    <w:rPr>
      <w:sz w:val="16"/>
      <w:szCs w:val="16"/>
    </w:rPr>
  </w:style>
  <w:style w:type="character" w:styleId="962" w:customStyle="1">
    <w:name w:val="标题 3 字符"/>
    <w:link w:val="899"/>
    <w:uiPriority w:val="9"/>
    <w:semiHidden/>
    <w:qFormat/>
    <w:rPr>
      <w:b/>
      <w:bCs/>
      <w:sz w:val="32"/>
      <w:szCs w:val="32"/>
    </w:rPr>
  </w:style>
  <w:style w:type="character" w:styleId="963" w:customStyle="1">
    <w:name w:val="标题 1 字符"/>
    <w:link w:val="897"/>
    <w:uiPriority w:val="0"/>
    <w:qFormat/>
    <w:rPr>
      <w:rFonts w:ascii="Times New Roman" w:hAnsi="Times New Roman"/>
      <w:b/>
      <w:bCs/>
      <w:sz w:val="44"/>
      <w:szCs w:val="44"/>
    </w:rPr>
  </w:style>
  <w:style w:type="character" w:styleId="964" w:customStyle="1">
    <w:name w:val="font21"/>
    <w:basedOn w:val="900"/>
    <w:uiPriority w:val="0"/>
    <w:qFormat/>
    <w:rPr>
      <w:rFonts w:hint="eastAsia" w:ascii="宋体" w:hAnsi="宋体" w:eastAsia="宋体" w:cs="宋体"/>
      <w:color w:val="000000"/>
      <w:sz w:val="24"/>
      <w:szCs w:val="24"/>
      <w:u w:val="none"/>
    </w:rPr>
  </w:style>
  <w:style w:type="paragraph" w:styleId="965" w:customStyle="1">
    <w:name w:val="纯文本21"/>
    <w:basedOn w:val="896"/>
    <w:uiPriority w:val="0"/>
    <w:qFormat/>
    <w:rPr>
      <w:rFonts w:ascii="宋体" w:hAnsi="Courier New"/>
    </w:rPr>
  </w:style>
  <w:style w:type="character" w:styleId="966" w:customStyle="1">
    <w:name w:val="超链接1"/>
    <w:uiPriority w:val="0"/>
    <w:qFormat/>
    <w:rPr>
      <w:rFonts w:ascii="Calibri" w:hAnsi="Calibri" w:eastAsia="宋体" w:cs="Times New Roman"/>
      <w:sz w:val="21"/>
      <w:szCs w:val="22"/>
      <w:lang w:val="en-US" w:eastAsia="zh-CN" w:bidi="ar-SA"/>
    </w:rPr>
  </w:style>
  <w:style w:type="paragraph" w:styleId="967" w:customStyle="1">
    <w:name w:val="正文缩进1"/>
    <w:basedOn w:val="896"/>
    <w:uiPriority w:val="0"/>
    <w:qFormat/>
    <w:pPr>
      <w:ind w:firstLine="420"/>
      <w:jc w:val="left"/>
      <w:widowControl/>
    </w:pPr>
    <w:rPr>
      <w:rFonts w:ascii="Times New Roman" w:hAnsi="Times New Roman" w:eastAsia="楷体_GB2312"/>
      <w:sz w:val="24"/>
      <w:szCs w:val="20"/>
    </w:rPr>
  </w:style>
  <w:style w:type="paragraph" w:styleId="968" w:customStyle="1">
    <w:name w:val="纯文本2"/>
    <w:basedOn w:val="896"/>
    <w:uiPriority w:val="0"/>
    <w:qFormat/>
    <w:rPr>
      <w:rFonts w:ascii="宋体" w:hAnsi="Courier New" w:eastAsia="楷体_GB2312"/>
      <w:sz w:val="28"/>
      <w:szCs w:val="20"/>
    </w:rPr>
  </w:style>
  <w:style w:type="paragraph" w:styleId="969" w:customStyle="1">
    <w:name w:val="普通(网站)1"/>
    <w:basedOn w:val="896"/>
    <w:uiPriority w:val="0"/>
    <w:qFormat/>
    <w:pPr>
      <w:jc w:val="left"/>
      <w:spacing w:before="100" w:beforeAutospacing="1" w:after="100" w:afterAutospacing="1"/>
      <w:widowControl/>
    </w:pPr>
    <w:rPr>
      <w:rFonts w:ascii="宋体" w:hAnsi="宋体" w:cs="宋体"/>
      <w:sz w:val="24"/>
    </w:rPr>
  </w:style>
  <w:style w:type="paragraph" w:styleId="970">
    <w:name w:val="No Spacing"/>
    <w:uiPriority w:val="1"/>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paragraph" w:styleId="971" w:customStyle="1">
    <w:name w:val="修订1"/>
    <w:hidden/>
    <w:uiPriority w:val="99"/>
    <w:unhideWhenUsed/>
    <w:qFormat/>
    <w:rPr>
      <w:rFonts w:ascii="Calibri" w:hAnsi="Calibri" w:eastAsia="宋体" w:cs="Times New Roman"/>
      <w:sz w:val="21"/>
      <w:szCs w:val="22"/>
      <w:lang w:val="en-US" w:eastAsia="zh-CN" w:bidi="ar-SA"/>
    </w:rPr>
  </w:style>
  <w:style w:type="paragraph" w:styleId="972"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73" w:customStyle="1">
    <w:name w:val="Char Char Char Char"/>
    <w:basedOn w:val="896"/>
    <w:uiPriority w:val="0"/>
    <w:qFormat/>
    <w:rPr>
      <w:rFonts w:ascii="Tahoma" w:hAnsi="Tahoma"/>
    </w:rPr>
  </w:style>
  <w:style w:type="paragraph" w:styleId="974" w:customStyle="1">
    <w:name w:val="节标题"/>
    <w:basedOn w:val="896"/>
    <w:uiPriority w:val="0"/>
    <w:qFormat/>
    <w:pPr>
      <w:jc w:val="center"/>
      <w:spacing w:after="200" w:line="289" w:lineRule="atLeast"/>
    </w:pPr>
    <w:rPr>
      <w:color w:val="000000"/>
      <w:sz w:val="28"/>
      <w:lang w:eastAsia="en-US" w:bidi="en-US"/>
    </w:r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浦沁</cp:lastModifiedBy>
  <cp:revision>12</cp:revision>
  <dcterms:created xsi:type="dcterms:W3CDTF">2025-03-03T06:46:00Z</dcterms:created>
  <dcterms:modified xsi:type="dcterms:W3CDTF">2026-06-17T09:08:48Z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5C160216CBCE44D282C8AD981727A458_13</vt:lpwstr>
  </property>
  <property fmtid="{D5CDD505-2E9C-101B-9397-08002B2CF9AE}" pid="4" name="KSOTemplateDocerSaveRecord">
    <vt:lpwstr>eyJoZGlkIjoiYjBiMTM5ZWI1YzRmMDdmMTVmY2U3ZjIwNGViN2QxYzIiLCJ1c2VySWQiOiI2MTI4MDk1NjQifQ==</vt:lpwstr>
  </property>
</Properties>
</file>