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pageBreakBefore w:val="0"/>
        <w:spacing w:beforeAutospacing="0" w:after="0" w:afterAutospacing="0" w:line="360" w:lineRule="auto"/>
        <w:rPr>
          <w:rFonts w:hint="eastAsia" w:ascii="宋体" w:hAnsi="宋体" w:eastAsia="宋体" w:cs="宋体"/>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val="en-US" w:eastAsia="zh-CN"/>
        </w:rPr>
      </w:r>
      <w:r/>
    </w:p>
    <w:p>
      <w:pPr>
        <w:pStyle w:val="733"/>
        <w:rPr>
          <w:rFonts w:hint="eastAsia" w:ascii="宋体" w:hAnsi="宋体" w:eastAsia="宋体" w:cs="宋体"/>
          <w:color w:val="auto"/>
          <w:highlight w:val="none"/>
        </w:rPr>
      </w:pPr>
      <w:r>
        <w:rPr>
          <w:rFonts w:hint="eastAsia" w:ascii="宋体" w:hAnsi="宋体" w:cs="宋体"/>
          <w:b/>
          <w:color w:val="auto"/>
          <w:spacing w:val="20"/>
          <w:sz w:val="44"/>
          <w:highlight w:val="none"/>
          <w:lang w:eastAsia="zh-CN"/>
        </w:rPr>
        <w:t xml:space="preserve">南通大学启秀校区3号楼消防改造工程</w:t>
      </w:r>
      <w:r/>
    </w:p>
    <w:p>
      <w:pPr>
        <w:pStyle w:val="7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r>
      <w:r/>
    </w:p>
    <w:p>
      <w:pPr>
        <w:jc w:val="center"/>
        <w:spacing w:line="1000" w:lineRule="exact"/>
        <w:rPr>
          <w:rFonts w:hint="eastAsia" w:ascii="宋体" w:hAnsi="宋体" w:eastAsia="宋体" w:cs="宋体"/>
          <w:b/>
          <w:bCs/>
          <w:color w:val="auto"/>
          <w:sz w:val="100"/>
          <w:szCs w:val="100"/>
          <w:highlight w:val="none"/>
          <w:lang w:val="zh-CN"/>
        </w:rPr>
      </w:pPr>
      <w:r>
        <w:rPr>
          <w:rFonts w:hint="eastAsia" w:ascii="宋体" w:hAnsi="宋体" w:eastAsia="宋体" w:cs="宋体"/>
          <w:b/>
          <w:bCs/>
          <w:color w:val="auto"/>
          <w:sz w:val="100"/>
          <w:szCs w:val="100"/>
          <w:highlight w:val="none"/>
          <w:lang w:val="zh-CN"/>
        </w:rPr>
        <w:t xml:space="preserve">竞争性磋商文件</w:t>
      </w:r>
      <w:r/>
    </w:p>
    <w:p>
      <w:pPr>
        <w:pStyle w:val="727"/>
        <w:ind w:firstLine="964"/>
        <w:jc w:val="both"/>
        <w:spacing w:line="500" w:lineRule="exact"/>
        <w:rPr>
          <w:rFonts w:hint="eastAsia"/>
          <w:color w:val="auto"/>
          <w:sz w:val="32"/>
          <w:szCs w:val="32"/>
          <w:highlight w:val="none"/>
        </w:rPr>
      </w:pPr>
      <w:r>
        <w:rPr>
          <w:color w:val="auto"/>
          <w:sz w:val="32"/>
          <w:szCs w:val="32"/>
          <w:highlight w:val="none"/>
        </w:rPr>
        <w:t xml:space="preserve">项目编号：</w:t>
      </w:r>
      <w:r>
        <w:rPr>
          <w:rFonts w:hint="eastAsia"/>
          <w:color w:val="auto"/>
          <w:sz w:val="32"/>
          <w:szCs w:val="32"/>
          <w:highlight w:val="none"/>
        </w:rPr>
        <w:t xml:space="preserve">WT-320000-168041-2026-0003</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600"/>
        <w:jc w:val="both"/>
        <w:spacing w:line="500" w:lineRule="exact"/>
        <w:rPr>
          <w:rFonts w:hint="eastAsia" w:ascii="宋体" w:hAnsi="宋体" w:eastAsia="宋体" w:cs="宋体"/>
          <w:color w:val="auto"/>
          <w:spacing w:val="20"/>
          <w:sz w:val="28"/>
          <w:szCs w:val="28"/>
          <w:highlight w:val="none"/>
        </w:rPr>
      </w:pPr>
      <w:r>
        <w:rPr>
          <w:rFonts w:hint="eastAsia" w:ascii="宋体" w:hAnsi="宋体" w:eastAsia="宋体" w:cs="宋体"/>
          <w:color w:val="auto"/>
          <w:spacing w:val="20"/>
          <w:sz w:val="28"/>
          <w:szCs w:val="28"/>
          <w:highlight w:val="none"/>
        </w:rPr>
        <w:t xml:space="preserve">采购单位</w:t>
      </w:r>
      <w:r>
        <w:rPr>
          <w:rFonts w:hint="eastAsia" w:ascii="宋体" w:hAnsi="宋体" w:eastAsia="宋体" w:cs="宋体"/>
          <w:color w:val="auto"/>
          <w:spacing w:val="20"/>
          <w:sz w:val="28"/>
          <w:szCs w:val="28"/>
          <w:highlight w:val="none"/>
          <w:u w:val="none"/>
        </w:rPr>
        <w:t xml:space="preserve">：</w:t>
      </w:r>
      <w:r>
        <w:rPr>
          <w:rFonts w:hint="eastAsia" w:ascii="宋体" w:hAnsi="宋体" w:cs="宋体"/>
          <w:color w:val="auto"/>
          <w:spacing w:val="20"/>
          <w:sz w:val="28"/>
          <w:szCs w:val="28"/>
          <w:highlight w:val="none"/>
          <w:u w:val="single"/>
          <w:lang w:eastAsia="zh-CN"/>
        </w:rPr>
        <w:t xml:space="preserve">南通大学 </w:t>
      </w:r>
      <w:r/>
    </w:p>
    <w:p>
      <w:pPr>
        <w:jc w:val="center"/>
        <w:spacing w:line="500" w:lineRule="exact"/>
        <w:rPr>
          <w:rFonts w:hint="eastAsia" w:ascii="宋体" w:hAnsi="宋体" w:eastAsia="宋体" w:cs="宋体"/>
          <w:color w:val="auto"/>
          <w:spacing w:val="20"/>
          <w:sz w:val="28"/>
          <w:szCs w:val="28"/>
          <w:highlight w:val="none"/>
          <w:lang w:eastAsia="zh-CN"/>
        </w:rPr>
      </w:pPr>
      <w:r>
        <w:rPr>
          <w:rFonts w:hint="eastAsia" w:ascii="宋体" w:hAnsi="宋体" w:eastAsia="宋体" w:cs="宋体"/>
          <w:color w:val="auto"/>
          <w:spacing w:val="20"/>
          <w:sz w:val="28"/>
          <w:szCs w:val="28"/>
          <w:highlight w:val="none"/>
        </w:rPr>
        <w:t xml:space="preserve">代理单位</w:t>
      </w:r>
      <w:r>
        <w:rPr>
          <w:rFonts w:hint="eastAsia" w:ascii="宋体" w:hAnsi="宋体" w:eastAsia="宋体" w:cs="宋体"/>
          <w:color w:val="auto"/>
          <w:spacing w:val="20"/>
          <w:sz w:val="28"/>
          <w:szCs w:val="28"/>
          <w:highlight w:val="none"/>
          <w:u w:val="none"/>
        </w:rPr>
        <w:t xml:space="preserve">：</w:t>
      </w:r>
      <w:r>
        <w:rPr>
          <w:rFonts w:hint="eastAsia" w:ascii="宋体" w:hAnsi="宋体" w:eastAsia="宋体" w:cs="宋体"/>
          <w:color w:val="auto"/>
          <w:spacing w:val="20"/>
          <w:sz w:val="28"/>
          <w:szCs w:val="28"/>
          <w:highlight w:val="none"/>
          <w:u w:val="single"/>
          <w:lang w:eastAsia="zh-CN"/>
        </w:rPr>
        <w:t xml:space="preserve">江苏海审工程咨询有限公司</w:t>
      </w:r>
      <w:r/>
    </w:p>
    <w:p>
      <w:pPr>
        <w:ind w:firstLine="1600"/>
        <w:jc w:val="both"/>
        <w:spacing w:line="500" w:lineRule="exact"/>
        <w:rPr>
          <w:rFonts w:hint="eastAsia" w:ascii="宋体" w:hAnsi="宋体" w:eastAsia="宋体" w:cs="宋体"/>
          <w:color w:val="auto"/>
          <w:spacing w:val="20"/>
          <w:sz w:val="28"/>
          <w:szCs w:val="28"/>
          <w:highlight w:val="none"/>
          <w:lang w:val="en-US" w:eastAsia="zh-CN"/>
        </w:rPr>
      </w:pPr>
      <w:r>
        <w:rPr>
          <w:rFonts w:hint="eastAsia" w:ascii="宋体" w:hAnsi="宋体" w:eastAsia="宋体" w:cs="宋体"/>
          <w:color w:val="auto"/>
          <w:spacing w:val="20"/>
          <w:sz w:val="28"/>
          <w:szCs w:val="28"/>
          <w:highlight w:val="none"/>
        </w:rPr>
        <w:t xml:space="preserve">日期：</w:t>
      </w:r>
      <w:r>
        <w:rPr>
          <w:rFonts w:hint="eastAsia" w:ascii="宋体" w:hAnsi="宋体" w:eastAsia="宋体" w:cs="宋体"/>
          <w:color w:val="auto"/>
          <w:spacing w:val="20"/>
          <w:sz w:val="28"/>
          <w:szCs w:val="28"/>
          <w:highlight w:val="none"/>
          <w:u w:val="single"/>
        </w:rPr>
        <w:t xml:space="preserve">202</w:t>
      </w:r>
      <w:r>
        <w:rPr>
          <w:rFonts w:hint="eastAsia" w:ascii="宋体" w:hAnsi="宋体" w:cs="宋体"/>
          <w:color w:val="auto"/>
          <w:spacing w:val="20"/>
          <w:sz w:val="28"/>
          <w:szCs w:val="28"/>
          <w:highlight w:val="none"/>
          <w:u w:val="single"/>
          <w:lang w:val="en-US" w:eastAsia="zh-CN"/>
        </w:rPr>
        <w:t xml:space="preserve">6</w:t>
      </w:r>
      <w:r>
        <w:rPr>
          <w:rFonts w:hint="eastAsia" w:ascii="宋体" w:hAnsi="宋体" w:eastAsia="宋体" w:cs="宋体"/>
          <w:color w:val="auto"/>
          <w:spacing w:val="20"/>
          <w:sz w:val="28"/>
          <w:szCs w:val="28"/>
          <w:highlight w:val="none"/>
          <w:u w:val="single"/>
        </w:rPr>
        <w:t xml:space="preserve">年</w:t>
      </w:r>
      <w:r>
        <w:rPr>
          <w:rFonts w:hint="eastAsia" w:ascii="宋体" w:hAnsi="宋体" w:cs="宋体"/>
          <w:color w:val="auto"/>
          <w:spacing w:val="20"/>
          <w:sz w:val="28"/>
          <w:szCs w:val="28"/>
          <w:highlight w:val="none"/>
          <w:u w:val="single"/>
          <w:lang w:val="en-US" w:eastAsia="zh-CN"/>
        </w:rPr>
        <w:t xml:space="preserve">5</w:t>
      </w:r>
      <w:r>
        <w:rPr>
          <w:rFonts w:hint="eastAsia" w:ascii="宋体" w:hAnsi="宋体" w:eastAsia="宋体" w:cs="宋体"/>
          <w:color w:val="auto"/>
          <w:spacing w:val="20"/>
          <w:sz w:val="28"/>
          <w:szCs w:val="28"/>
          <w:highlight w:val="none"/>
          <w:u w:val="single"/>
        </w:rPr>
        <w:t xml:space="preserve">月</w:t>
      </w:r>
      <w:r>
        <w:rPr>
          <w:rFonts w:hint="eastAsia" w:ascii="宋体" w:hAnsi="宋体" w:eastAsia="宋体" w:cs="宋体"/>
          <w:color w:val="auto"/>
          <w:spacing w:val="20"/>
          <w:sz w:val="28"/>
          <w:szCs w:val="28"/>
          <w:highlight w:val="none"/>
          <w:u w:val="single"/>
          <w:lang w:val="en-US" w:eastAsia="zh-CN"/>
        </w:rPr>
        <w:t xml:space="preserve">28日 </w:t>
      </w:r>
      <w:r/>
    </w:p>
    <w:p>
      <w:pPr>
        <w:ind w:left="0" w:right="0" w:firstLine="562"/>
        <w:jc w:val="both"/>
        <w:keepLines w:val="0"/>
        <w:keepNext w:val="0"/>
        <w:pageBreakBefore w:val="0"/>
        <w:spacing w:beforeAutospacing="0" w:after="0" w:afterAutospacing="0" w:line="360" w:lineRule="auto"/>
        <w:widowControl w:val="off"/>
        <w:rPr>
          <w:rFonts w:hint="eastAsia" w:ascii="宋体" w:hAnsi="宋体" w:eastAsia="宋体" w:cs="宋体"/>
          <w:b/>
          <w:color w:val="auto"/>
          <w:spacing w:val="20"/>
          <w:sz w:val="24"/>
          <w:szCs w:val="24"/>
          <w:highlight w:val="none"/>
          <w:lang w:eastAsia="zh-CN"/>
        </w:rPr>
        <w:outlineLvl w:val="9"/>
      </w:pPr>
      <w:r>
        <w:rPr>
          <w:rFonts w:hint="eastAsia" w:ascii="宋体" w:hAnsi="宋体" w:eastAsia="宋体" w:cs="宋体"/>
          <w:b/>
          <w:color w:val="auto"/>
          <w:spacing w:val="20"/>
          <w:sz w:val="24"/>
          <w:szCs w:val="24"/>
          <w:highlight w:val="none"/>
          <w:lang w:eastAsia="zh-CN"/>
        </w:rPr>
        <w:br w:type="page" w:clear="all"/>
      </w:r>
      <w:r/>
    </w:p>
    <w:p>
      <w:pPr>
        <w:ind w:left="0" w:right="0" w:firstLine="480"/>
        <w:jc w:val="left"/>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目录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default" w:ascii="宋体" w:hAnsi="宋体" w:eastAsia="宋体" w:cs="宋体"/>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第一部分</w:t>
      </w:r>
      <w:r>
        <w:rPr>
          <w:rFonts w:hint="eastAsia" w:ascii="宋体" w:hAnsi="宋体" w:eastAsia="宋体" w:cs="宋体"/>
          <w:b/>
          <w:color w:val="auto"/>
          <w:sz w:val="36"/>
          <w:szCs w:val="36"/>
          <w:highlight w:val="none"/>
          <w:lang w:val="en-US" w:eastAsia="zh-CN"/>
        </w:rPr>
        <w:t xml:space="preserve"> 竞争性磋商公告</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rHeight w:val="13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项目概况</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南通大学启秀校区3号楼消防改造工程</w:t>
            </w:r>
            <w:r>
              <w:rPr>
                <w:rFonts w:hint="eastAsia" w:ascii="宋体" w:hAnsi="宋体" w:eastAsia="宋体" w:cs="宋体"/>
                <w:color w:val="auto"/>
                <w:sz w:val="24"/>
                <w:szCs w:val="24"/>
                <w:highlight w:val="none"/>
                <w:lang w:eastAsia="zh-CN"/>
              </w:rPr>
              <w:t xml:space="preserve">的潜在供应商应在</w:t>
            </w:r>
            <w:r>
              <w:rPr>
                <w:rFonts w:hint="eastAsia" w:ascii="宋体" w:hAnsi="宋体"/>
                <w:color w:val="auto"/>
                <w:sz w:val="24"/>
                <w:szCs w:val="24"/>
                <w:highlight w:val="none"/>
                <w:lang w:val="en-US" w:eastAsia="zh-CN"/>
              </w:rPr>
              <w:t xml:space="preserve">网上注册登记成功后系统内</w:t>
            </w:r>
            <w:r>
              <w:rPr>
                <w:rFonts w:hint="eastAsia" w:ascii="宋体" w:hAnsi="宋体" w:eastAsia="宋体" w:cs="宋体"/>
                <w:color w:val="auto"/>
                <w:sz w:val="24"/>
                <w:szCs w:val="24"/>
                <w:highlight w:val="none"/>
                <w:lang w:eastAsia="zh-CN"/>
              </w:rPr>
              <w:t xml:space="preserve">免费下载磋商文件，并于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时</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lang w:eastAsia="zh-CN"/>
              </w:rPr>
              <w:t xml:space="preserve">（北京时间）前提交响应文件。</w:t>
            </w:r>
            <w:r/>
          </w:p>
        </w:tc>
      </w:tr>
    </w:tbl>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一、项目基本情况</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1、项目编号：WT-320000-168041-2026-0003</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2、项目名称：南通大学启秀校区3号楼消防改造工程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3、项目类型：工程</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4、所属行业：建筑业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5、采购方式：竞争性磋商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6、预算金额：人民币</w:t>
      </w: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lang w:eastAsia="zh-CN"/>
        </w:rPr>
        <w:t xml:space="preserve">万元</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7、最高限价：人民币</w:t>
      </w:r>
      <w:r>
        <w:rPr>
          <w:rFonts w:hint="eastAsia" w:ascii="宋体" w:hAnsi="宋体" w:eastAsia="宋体" w:cs="宋体"/>
          <w:color w:val="auto"/>
          <w:sz w:val="24"/>
          <w:szCs w:val="24"/>
          <w:highlight w:val="none"/>
          <w:lang w:val="en-US" w:eastAsia="zh-CN"/>
        </w:rPr>
        <w:t xml:space="preserve">1499336.68元</w:t>
      </w:r>
      <w:r>
        <w:rPr>
          <w:rFonts w:hint="eastAsia" w:ascii="宋体" w:hAnsi="宋体" w:eastAsia="宋体" w:cs="宋体"/>
          <w:color w:val="auto"/>
          <w:sz w:val="24"/>
          <w:szCs w:val="24"/>
          <w:highlight w:val="none"/>
          <w:lang w:eastAsia="zh-CN"/>
        </w:rPr>
        <w:t xml:space="preserve">，响应报价超过最高限价的将作为无效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处理。</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8、采购需求：详见第三部分项目需求。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lang w:eastAsia="zh-CN"/>
        </w:rPr>
        <w:t xml:space="preserve">：详见第三部分项目需求。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二、供应商的资格要求：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3.落实政府采购政策需满足的资格要求：本项目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专门面向中小企业采购；</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4.本项目的特定资格要求：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具备建设主管部门颁发的消防设施工程专业承包二级及以上资质；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拟派项目负责人须具备有效的</w:t>
      </w:r>
      <w:r>
        <w:rPr>
          <w:rFonts w:hint="eastAsia" w:ascii="宋体" w:hAnsi="宋体" w:eastAsia="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eastAsia="zh-CN"/>
        </w:rPr>
        <w:t xml:space="preserve">工程二级及以上注册建造师，同时具有建筑施工企业安全生产考核合格证书（B证）。以上证书均须注册在供应商单位。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且必须满足下列条件：</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（1）项目负责人不得同时在两个或者两个以上单位受聘或者执业。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的工程属于同一工程项目、同一项目批文、同一施工地点分段发包或分期施工的情况且总的工程规模在项目负责人执业范围之内。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①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26号）文件要求使用并提供证书，如未按文件要求提供证书，该证书无效，视为项目负责人的资格不符合要求。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4.3拟派项目负责人必须为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企业正式人员，须提供拟派项目负责人与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企业双方签订的有效劳动合同书及社保机构出具的由供应商为其缴纳的近三个月（202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月至202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月）中任意一个月的社保缴费记录，</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4.4供应商具备安全生产条件，并取得安全生产许可证；</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4.5根据《关于在我省国有资金投资工程建设项目招标投标中应用建筑企业资质动态监管结果有关要求的通知》（苏建招办〔2022〕2号）文件要求，供应商在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文件递交截止时间当日，建筑业企业资质动态监管结果不处于不合格状态。注：供应商某项被核查为不合格的资质，不得参加该资质的招投标（</w:t>
      </w:r>
      <w:r>
        <w:rPr>
          <w:rFonts w:hint="eastAsia" w:ascii="宋体" w:hAnsi="宋体" w:eastAsia="宋体" w:cs="宋体"/>
          <w:color w:val="auto"/>
          <w:sz w:val="24"/>
          <w:szCs w:val="24"/>
          <w:highlight w:val="none"/>
          <w:lang w:val="en-US" w:eastAsia="zh-CN"/>
        </w:rPr>
        <w:t xml:space="preserve">采购、响应</w:t>
      </w:r>
      <w:r>
        <w:rPr>
          <w:rFonts w:hint="eastAsia" w:ascii="宋体" w:hAnsi="宋体" w:eastAsia="宋体" w:cs="宋体"/>
          <w:color w:val="auto"/>
          <w:sz w:val="24"/>
          <w:szCs w:val="24"/>
          <w:highlight w:val="none"/>
          <w:lang w:eastAsia="zh-CN"/>
        </w:rPr>
        <w:t xml:space="preserve">）、合同备案等经营活动。</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4.6供应商不得有以下规定的情形之一：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三、获取采购文件</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1、时间：自磋商文件公告发布之日起5个工作日</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2、地点：网上注册登记成功后系统内免费下载。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3、获取方式：本项目采用网上注册登记方式。</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3.1潜在供应商访问电子招标响应交易平台的网络地址和方法：</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3.3“CA数字证书”的获取：</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响应供应商需办理“CA 数字证书”，CA办理指南及“苏采云”操作手册可至江苏省政府采购网―办事指南-资料下载中心下载。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3.4采购文件（后缀名为“.kedt”）、供应商操作手册及政府采购客户端工具可通过“苏采云”系统--已报名项目--报名详情页面内相应链接进行下载。</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3.5采购单位或采购代理机构将数据电文形式的采购文件加载至“苏采云”系统，供潜在供应商下载或者查阅。</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3.6请潜在供应商提前安装相应的控件（详见《江苏省政府采购管理交易系统（苏采云）供应商操作手册》）并使用谷歌浏览器登录“苏采云”系统参与不见面开评标。</w:t>
      </w:r>
      <w:r/>
    </w:p>
    <w:p>
      <w:pPr>
        <w:ind w:left="0" w:right="0" w:firstLine="48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3.7开评标全过程中，磋商响应供应商一端参</w:t>
      </w:r>
      <w:r>
        <w:rPr>
          <w:rFonts w:hint="eastAsia" w:ascii="宋体" w:hAnsi="宋体" w:eastAsia="宋体" w:cs="宋体"/>
          <w:color w:val="auto"/>
          <w:sz w:val="24"/>
          <w:szCs w:val="24"/>
          <w:highlight w:val="none"/>
          <w:lang w:eastAsia="zh-CN"/>
        </w:rPr>
        <w:t xml:space="preserve">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注：如潜在供应商未按上述要求操作，将自行承担所产生的风险。</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四、响应文件的提交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1、响应文件提交截止时间：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17日14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rPr>
          <w:rFonts w:hint="eastAsia" w:ascii="宋体" w:hAnsi="宋体" w:eastAsia="宋体" w:cs="宋体"/>
          <w:color w:val="auto"/>
          <w:sz w:val="24"/>
          <w:szCs w:val="24"/>
          <w:highlight w:val="none"/>
          <w:lang w:eastAsia="zh-CN"/>
        </w:rPr>
        <w:t xml:space="preserve">。逾时，“苏采云”系统将拒绝接受上传响应文件电子文档。</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五、响应文件的开启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1、时间：</w:t>
      </w:r>
      <w:r>
        <w:rPr>
          <w:rFonts w:hint="eastAsia" w:ascii="宋体" w:hAnsi="宋体" w:eastAsia="宋体" w:cs="宋体"/>
          <w:b/>
          <w:bCs/>
          <w:color w:val="auto"/>
          <w:sz w:val="24"/>
          <w:szCs w:val="24"/>
          <w:highlight w:val="none"/>
          <w:lang w:eastAsia="zh-CN"/>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月</w:t>
      </w:r>
      <w:r>
        <w:rPr>
          <w:rFonts w:hint="eastAsia" w:ascii="宋体" w:hAnsi="宋体" w:eastAsia="宋体" w:cs="宋体"/>
          <w:b/>
          <w:bCs/>
          <w:color w:val="auto"/>
          <w:sz w:val="24"/>
          <w:szCs w:val="24"/>
          <w:highlight w:val="none"/>
          <w:lang w:val="en-US" w:eastAsia="zh-CN"/>
        </w:rPr>
        <w:t xml:space="preserve">17日14</w:t>
      </w:r>
      <w:r>
        <w:rPr>
          <w:rFonts w:hint="eastAsia" w:ascii="宋体" w:hAnsi="宋体" w:eastAsia="宋体" w:cs="宋体"/>
          <w:b/>
          <w:bCs/>
          <w:color w:val="auto"/>
          <w:sz w:val="24"/>
          <w:szCs w:val="24"/>
          <w:highlight w:val="none"/>
          <w:lang w:eastAsia="zh-CN"/>
        </w:rPr>
        <w:t xml:space="preserve">时</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color w:val="auto"/>
          <w:sz w:val="24"/>
          <w:szCs w:val="24"/>
          <w:highlight w:val="none"/>
          <w:lang w:eastAsia="zh-CN"/>
        </w:rPr>
        <w:t xml:space="preserve">（北京时间）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2、地点：“苏采云”系统（网址：http://jszfcg.jsczt.cn/）“开标大厅”</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 xml:space="preserve">，供应商解密限定在开标后30分钟之内完成。</w:t>
      </w:r>
      <w:r>
        <w:rPr>
          <w:rFonts w:hint="eastAsia" w:ascii="宋体" w:hAnsi="宋体" w:eastAsia="宋体" w:cs="宋体"/>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pStyle w:val="723"/>
        <w:ind w:left="0" w:right="0" w:firstLine="482"/>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六、公告期限</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七、其他补充事宜：</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1、磋商保证金：本项目不收磋商保证金，采购文件中涉及磋商保证金的事项，均按免收保证金执行。</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2、项目磋商活动模式：不见面远程磋商模式，供应商在各自地点通过不见面交易系统参加开标会。</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3、项目演示、样品、答辩等：</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val="0"/>
          <w:color w:val="auto"/>
          <w:sz w:val="24"/>
          <w:szCs w:val="24"/>
          <w:highlight w:val="none"/>
          <w:lang w:eastAsia="zh-CN"/>
        </w:rPr>
        <w:t xml:space="preserve">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五、综合评分评审标准</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4、对项目需求部分（供应商资格要求、项目需求、商务技术评分标准）的询问、质疑请向采购单位提出，由采购单位负责答复；对项目磋商文件其他部分的询问请向磋商代理机构提出。</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八、凡对本次采购提出询问，请按以下方式联系。</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1、采购人信息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称：南通大学</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513-85012109</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称：江苏海审工程咨询有限公司</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址：南通市崇川区星城路299号创源科技园3号楼501室</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联系方式：朱圣杰  18862913262</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采购文件制作人：朱圣杰</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话：18862913262</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本项目用户单位代表（技术咨询人、项目勘探人）：王老师（电话：</w:t>
      </w:r>
      <w:r>
        <w:rPr>
          <w:rFonts w:hint="eastAsia" w:ascii="宋体" w:hAnsi="宋体" w:eastAsia="宋体" w:cs="宋体"/>
          <w:color w:val="auto"/>
          <w:sz w:val="24"/>
          <w:szCs w:val="24"/>
          <w:highlight w:val="none"/>
          <w:lang w:val="en-US" w:eastAsia="zh-CN"/>
        </w:rPr>
        <w:t xml:space="preserve">0513-</w:t>
      </w:r>
      <w:r>
        <w:rPr>
          <w:rFonts w:hint="eastAsia" w:ascii="宋体" w:hAnsi="宋体" w:eastAsia="宋体" w:cs="宋体"/>
          <w:color w:val="auto"/>
          <w:sz w:val="24"/>
          <w:szCs w:val="24"/>
          <w:highlight w:val="none"/>
          <w:lang w:eastAsia="zh-CN"/>
        </w:rPr>
        <w:t xml:space="preserve">85012109）</w:t>
      </w:r>
      <w:r/>
    </w:p>
    <w:p>
      <w:pPr>
        <w:ind w:left="0" w:right="0" w:firstLine="480"/>
        <w:jc w:val="both"/>
        <w:pageBreakBefore w:val="0"/>
        <w:spacing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2026年6月8日下午14时-17时。</w:t>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firstLine="562"/>
        <w:rPr>
          <w:rFonts w:hint="default" w:ascii="宋体" w:hAnsi="宋体" w:eastAsia="宋体" w:cs="宋体"/>
          <w:b/>
          <w:color w:val="auto"/>
          <w:sz w:val="28"/>
          <w:szCs w:val="28"/>
          <w:highlight w:val="none"/>
          <w:lang w:val="en-US" w:eastAsia="zh-CN"/>
        </w:rPr>
      </w:pPr>
      <w:r>
        <w:rPr>
          <w:rFonts w:hint="default" w:ascii="宋体" w:hAnsi="宋体" w:eastAsia="宋体" w:cs="宋体"/>
          <w:b/>
          <w:color w:val="auto"/>
          <w:sz w:val="28"/>
          <w:szCs w:val="28"/>
          <w:highlight w:val="none"/>
          <w:lang w:val="en-US" w:eastAsia="zh-CN"/>
        </w:rPr>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第二部分 磋商须知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1、采购方式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1.1本次采取竞争性磋商方式，本磋商文件仅适用于采购邀请中所述项目。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2.1满足采购邀请中供应商的资格要求的规定。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2.2满足本文件实质性条款的规定。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3.1本次采购及由此产生的合同受中华人民共和国有关的法律法规制约和保护。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4.1供应商应自行承担所有与参加磋商有关的费用，无论磋商过程中的做法和结果如何，采购单位和采购代理机构在任何情况下均无义务和责任承担这些费用。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4.2采购代理费</w:t>
      </w:r>
      <w:r>
        <w:rPr>
          <w:rFonts w:hint="eastAsia" w:ascii="宋体" w:hAnsi="宋体" w:eastAsia="宋体" w:cs="宋体"/>
          <w:color w:val="auto"/>
          <w:sz w:val="24"/>
          <w:szCs w:val="24"/>
          <w:highlight w:val="none"/>
          <w:lang w:val="en-US" w:eastAsia="zh-CN"/>
        </w:rPr>
        <w:t xml:space="preserve">按下表进行计取：</w:t>
      </w:r>
      <w:r/>
    </w:p>
    <w:tbl>
      <w:tblPr>
        <w:tblStyle w:val="732"/>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货物采购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服务采购</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500-1000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0.45％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0.35％</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0.1％</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w:t>
            </w:r>
            <w:r/>
          </w:p>
        </w:tc>
      </w:tr>
      <w:tr>
        <w:trPr>
          <w:cantSplit/>
          <w:jc w:val="center"/>
          <w:trHeight w:val="567"/>
        </w:trPr>
        <w:tc>
          <w:tcPr>
            <w:tcW w:w="2865"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1亿以上</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c>
          <w:tcPr>
            <w:tcW w:w="1760" w:type="dxa"/>
            <w:vAlign w:val="center"/>
            <w:textDirection w:val="lrTb"/>
            <w:noWrap w:val="false"/>
          </w:tcPr>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bl>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进行计算，计算出的金额*30%为本项目采购代理服务费，如不足叁仟元按叁仟元收取，如超过壹万元，按壹万元收取。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4.3本项目编标费1000元由成交人承担，在领取成交通知书时向代理机构缴纳。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5、磋商文件的约束力</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5.1供应商一旦参加本项目采购活动，即被认为接受了本磋商文件的规定和约束。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6、磋商文件的解释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6.1磋商文件需求部分（供应商资格要求、项目需求、商务技术评分标准）由采购单位解释，其他部分由采购代理机构解释。</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二、磋商文件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1、磋商文件构成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1.1磋商文件由以下部分组成：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竞争性磋商公告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（2）磋商须知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（4）评审方法和评审标准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（5）合同条款</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（7）工程量清单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（8）图纸</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请仔细检查磋商文件是否齐全，如有缺漏请立即与采购单位或采购代理机构联系解决。</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2.1任何要求对磋商文件进行澄清的供应商，应在提交首次响应文件截止时间五日前按磋商公告中的通讯地址，以书面形式通知采购单位。采购单位有权对发出的磋商文件进行必要的澄清或修改。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2.2采购单位视情组织答疑会。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3.1在响应文件提交截止时间前，采购单位或采购代理机构可以对磋商文件进行修改, 澄清或者修改的内容作为磋商文件的组成部分。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3.2采购单位有权按照法定的要求推迟响应文件提交截止日期和磋商日期。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3.3磋商文件的修改将在“江苏省政府采购网”公布，补充文件将作为磋商文件的组成部分，并对供应商具有约束力。</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三、磋商项目涉及到的现场勘察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2、采购单位向供应商提供的有关现场的资料和数据，是采购单位现有的并认为能使供应商可利用的资料。采购单位对供应商由此而做出的推论、理解和结论概不负责。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3、经采购单位允许，供应商可为勘察目的进入采购单位的项目现场，但供应商不得因此使采购单位承担有关的责任和蒙受损失。供应商应承担勘察现场的责任和风险。</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1、响应文件的语言及度量衡单位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1.1供应商提交的响应文件以及供应商与采购代理机构及采购单位就有关磋商的所有来往通知、函件和文件均应使用简体中文。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1.2除技术性能另有规定外，响应文件所使用的度量衡单位，均须采用国家法定计量单位。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2、响应文件构成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2.1供应商编写的响应文件应包括资格审查证明材料文件、商务技术响应文件、价格响应文件。供应商按“第六部分 响应文件组成”要求编写响应文件。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3、磋商响应有效期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3.1磋商响应有效期为采购代理机构规定的响应文件提交截止时间后</w:t>
      </w:r>
      <w:r>
        <w:rPr>
          <w:rFonts w:hint="eastAsia" w:ascii="宋体" w:hAnsi="宋体" w:eastAsia="宋体" w:cs="宋体"/>
          <w:b/>
          <w:color w:val="auto"/>
          <w:sz w:val="24"/>
          <w:szCs w:val="24"/>
          <w:highlight w:val="none"/>
          <w:u w:val="single"/>
          <w:lang w:eastAsia="zh-CN"/>
        </w:rPr>
        <w:t xml:space="preserve">六十（60）天</w:t>
      </w:r>
      <w:r>
        <w:rPr>
          <w:rFonts w:hint="eastAsia" w:ascii="宋体" w:hAnsi="宋体" w:eastAsia="宋体" w:cs="宋体"/>
          <w:color w:val="auto"/>
          <w:sz w:val="24"/>
          <w:szCs w:val="24"/>
          <w:highlight w:val="none"/>
          <w:u w:val="single"/>
          <w:lang w:eastAsia="zh-CN"/>
        </w:rPr>
        <w:t xml:space="preserve">（质疑、投诉时间除外）</w:t>
      </w:r>
      <w:r>
        <w:rPr>
          <w:rFonts w:hint="eastAsia" w:ascii="宋体" w:hAnsi="宋体" w:eastAsia="宋体" w:cs="宋体"/>
          <w:color w:val="auto"/>
          <w:sz w:val="24"/>
          <w:szCs w:val="24"/>
          <w:highlight w:val="none"/>
          <w:lang w:eastAsia="zh-CN"/>
        </w:rPr>
        <w:t xml:space="preserve">。磋商响应有效期比规定短的将被视为非实质性响应而予以拒绝。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4、磋商响应有效期的延长</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5、电子响应文件其他要求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5.1电子招标投标交易平台（即“苏采云”系统）相关要求是本采购文件的组成部分。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5.2供应商应对CA证书妥善保管，如被他人盗用投标，因此带来的后果均由供应商自行承担。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5.3供应商应当对采购文件提出的实质性要求和条件作出实质性响应，并在电子投标系统逐条应答。</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1、响应文件的提交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1.1线上提交与接收地点：供应商应当通过“苏采云”系统提交数据电文形式的响应文件（即电子投标），“苏采云”系统自动接收。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2、提交响应文件截止日期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2.1供应商上传电子响应文件的时间不得迟于采购邀请中规定的响应文件提交截止时间。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3、响应文件的密封（加密）要求：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3.2供应商须通过“苏采云”系统提供的政府采购客户端工具（使用“CA数字证书”）加盖电子签章。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说明：供应商应用CA数字证书以及自备的能够登录“苏采云”系统的电脑，在达到开标时间后，使用CA数字证书解密各自响应文件。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3.3供应商未按规定加密的响应文件，“苏采云”系统将拒收并提示。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4、响应文件的拒收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4.1“苏采云”系统拒绝接收在规定的响应文件提交截止时间后上传的任何响应文件。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5、响应文件的撤回和修改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5.1.1电子响应文件的撤回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供应商可在响应文件提交截止时间前，撤回其电子响应文件，具体操作方法见“苏采云”系统供应商操作手册。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5.1.2供应商撤回电子响应文件，则认为其不再参与本项目竞争性磋商活动。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5.2响应文件的修改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5.3在响应文件提交截止时间之后，供应商不得对其电子响应文件作任何修改。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六、磋商与评审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1、磋商仪式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1.1采购代理机构将在采购邀请中规定的时间和地点组织磋商开始仪式。</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 xml:space="preserve">30分钟</w:t>
      </w:r>
      <w:r>
        <w:rPr>
          <w:rFonts w:hint="eastAsia" w:ascii="宋体" w:hAnsi="宋体" w:eastAsia="宋体" w:cs="宋体"/>
          <w:b/>
          <w:color w:val="auto"/>
          <w:sz w:val="24"/>
          <w:szCs w:val="24"/>
          <w:highlight w:val="none"/>
          <w:lang w:eastAsia="zh-CN"/>
        </w:rPr>
        <w:t xml:space="preserve">之内完成。</w:t>
      </w:r>
      <w:r>
        <w:rPr>
          <w:rFonts w:hint="eastAsia" w:ascii="宋体" w:hAnsi="宋体" w:eastAsia="宋体" w:cs="宋体"/>
          <w:b/>
          <w:color w:val="auto"/>
          <w:sz w:val="24"/>
          <w:szCs w:val="24"/>
          <w:highlight w:val="none"/>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 xml:space="preserve">因采购单位（或采购代理机构）原因或网上招投标平台发生故障，导致无法按时完成响应文件解密或开、评标工作无法进行的，可根据实际情况相应延迟解密时间或调整开、评标时间。</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 磋商活动的文件解密工作由采购代理机构组织。</w:t>
      </w:r>
      <w:r/>
    </w:p>
    <w:p>
      <w:pPr>
        <w:pStyle w:val="723"/>
        <w:ind w:left="0" w:right="0" w:firstLine="482"/>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分钟内填写并提交最后报价，</w:t>
      </w:r>
      <w:r>
        <w:rPr>
          <w:rFonts w:hint="eastAsia" w:ascii="宋体" w:hAnsi="宋体" w:eastAsia="宋体" w:cs="宋体"/>
          <w:b/>
          <w:color w:val="auto"/>
          <w:sz w:val="24"/>
          <w:szCs w:val="24"/>
          <w:highlight w:val="none"/>
          <w:u w:val="none"/>
          <w:lang w:eastAsia="zh-CN"/>
        </w:rPr>
        <w:t xml:space="preserve">总价不得高于第一次报价。供应商应提前做好准备。未在规定时间内提交最后报价的</w:t>
      </w:r>
      <w:r>
        <w:rPr>
          <w:rFonts w:hint="eastAsia" w:ascii="宋体" w:hAnsi="宋体" w:eastAsia="宋体" w:cs="宋体"/>
          <w:b/>
          <w:color w:val="auto"/>
          <w:sz w:val="24"/>
          <w:szCs w:val="24"/>
          <w:highlight w:val="none"/>
          <w:u w:val="none"/>
          <w:lang w:val="en-US" w:eastAsia="zh-CN"/>
        </w:rPr>
        <w:t xml:space="preserve">或最后报价高于第一次报价的</w:t>
      </w:r>
      <w:r>
        <w:rPr>
          <w:rFonts w:hint="eastAsia" w:ascii="宋体" w:hAnsi="宋体" w:eastAsia="宋体" w:cs="宋体"/>
          <w:b/>
          <w:color w:val="auto"/>
          <w:sz w:val="24"/>
          <w:szCs w:val="24"/>
          <w:highlight w:val="none"/>
          <w:u w:val="none"/>
          <w:lang w:eastAsia="zh-CN"/>
        </w:rPr>
        <w:t xml:space="preserve">，视作无效响应处理。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2.1磋商开始仪式结束后，采购单位将立即组织磋商小组进行评审。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2.3超过公开招标限额标准的项目，磋商小组应当由5人及以上单数组成。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2.5磋商小组独立工作，负责评审所有响应文件并确定成交候选人。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3、磋商评审过程的保密与公正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3.1磋商小组、采购单位和采购代理机构工作人员、相关监督人员等与评审工作有关的人员，对评审情况以及在评审过程中获悉的国家秘密、商业秘密负有保密责任。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3.2在磋商评审过程中，磋商供应商不得以任何行为影响磋商评审过程，否则其响应文件将被作为无效响应文件。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3.4评审开始后，直至向成交供应商授予合同时止，凡是与审查、澄清、评价和比较响应的有关资料以及授标建议等，采购单位、磋商小组、采购代理机构均不得向供应商或与评标无关的其他人员透露。</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3.5在评审期间，采购单位或采购代理机构将设专门人员与供应商联系。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3.6采购单位、采购代理机构和评审小组不向未成交的供应商解释未成交原因，也不公布评审过程中的相关细节。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4、评审过程的澄清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4.3 接到磋商小组澄清、说明和更正要求的供应商如未按规定做出澄清、说明和更正，其风险由供应商自行承担。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5、对响应文件的初审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5.1响应文件初审分为资格性审查和符合性审查。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 xml:space="preserve">，以确定供应商是否具备参加磋商的资格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4"/>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5.1.2符合性审查：依据磋商文件的规定，由磋商小组从响应文件的有效性、完整性和对磋商文件的响应程度进行审查，以确定是否对磋商文件的实质性要求作出响应。</w:t>
      </w:r>
      <w:r/>
    </w:p>
    <w:p>
      <w:pPr>
        <w:pStyle w:val="724"/>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5.1.3未通过资格审查或符合性审查的供应商，</w:t>
      </w:r>
      <w:r>
        <w:rPr>
          <w:rFonts w:hint="eastAsia" w:ascii="宋体" w:hAnsi="宋体" w:eastAsia="宋体" w:cs="宋体"/>
          <w:b/>
          <w:color w:val="auto"/>
          <w:sz w:val="24"/>
          <w:szCs w:val="24"/>
          <w:highlight w:val="none"/>
          <w:lang w:eastAsia="zh-CN"/>
        </w:rPr>
        <w:t xml:space="preserve">磋商小组将在苏采云系统中告知未通过资格审查或符合性审查的原因，评审结束后，磋商小组将不再告知未通过资格审查或符合性审查的原因。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5.4磋商小组将对确定为实质性响应的文件进行进一步审核，看其是否有计算上或累加上的算术错误，修正错误的原则如下：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（1）响应文件中报价总表内容与响应文件中相应内容不一致的，以报价总表为准。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（3）单价金额小数点或者百分比有明显错位的，以报价总表的总价为准，并修改单价。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5.5磋商小组将按上述修正错误的方法调整响应文件中的报价，通过“苏采云系统”</w:t>
      </w:r>
      <w:r>
        <w:rPr>
          <w:rFonts w:hint="eastAsia" w:ascii="宋体" w:hAnsi="宋体" w:eastAsia="宋体" w:cs="宋体"/>
          <w:b/>
          <w:color w:val="auto"/>
          <w:sz w:val="24"/>
          <w:szCs w:val="24"/>
          <w:highlight w:val="none"/>
          <w:lang w:eastAsia="zh-CN"/>
        </w:rPr>
        <w:t xml:space="preserve">开标大厅</w:t>
      </w:r>
      <w:r>
        <w:rPr>
          <w:rFonts w:hint="eastAsia" w:ascii="宋体" w:hAnsi="宋体" w:eastAsia="宋体" w:cs="宋体"/>
          <w:color w:val="auto"/>
          <w:sz w:val="24"/>
          <w:szCs w:val="24"/>
          <w:highlight w:val="none"/>
          <w:lang w:eastAsia="zh-CN"/>
        </w:rPr>
        <w:t xml:space="preserve">告知供应商，调整后的价格应对供应商具有约束力。如果供应商不接受修正后的价格，则其磋商响应文件将被拒绝。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非单一产品采购项目，磋商文件中将载明其中的核心产品。多家供应商提供的核心产品品牌相同的，按前款规定处理。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5.8供应商在评审全过程中应保持通讯畅通，并安排专人与采购单位或采购代理机构及磋商小组联系。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6、响应文件线上格式要求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6.1供应商应当通过“苏采云”系统提交数据电文形式的响应文件（即电子投标）。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通过“苏采云”系统提交政府采购客户端工具导出加密的响应文件（后缀名为zip）。响应文件不得超过150M！</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6.3 本项目采用线上投标，即供应商响应文件从政府采购客户端工具制作通过“苏采云”系统提交，未提供线上响应文件的，投标无效。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7.1出现下列情形之一的，作无效响应处理。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7.1.3 供应商在</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7.1.4供应商未按照磋商文件要求上传电子响应文件的,或上传的文件打不开的。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7.1.5供应商在规定的时间内未提交最终报价的。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7.1.6未通过符合性检查或不具备磋商文件中规定的资格要求的。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7.1.7磋商响应文件有重大漏项或重大不合理的。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7.1.8项目技术、方案不满足项目需求中的要求，有重大偏离或保留的。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7.1.9同一供应商提交两个（含两个）以上不同的响应报价的。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7.1.10磋商响应报价超过了最高限价的。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7.1.11供应商的商务技术部分得分相差异常悬殊，磋商小组一致认为得分畸低者有可能影响产品质量或者不能诚信履约的。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7.1.12评审小组启动异常低价响应审查后，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7.1.13除非在磋商中磋商小组对采购单位需求内容作了调整，或对采购内容作了实质性变更，供应商的磋商报价高于自己前一轮的。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7.1.14供应商被“信用中国”网站列入失信被执行人或重大税收违法案件当事人名单或政府采购严重失信行为记录名单，或查询“信用中国”网站后发现供应商存在其他不符合资格条件规定的信用记录的。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7.1.16磋商响应文件中已标价工程量清单与磋商文件规定的暂估价、暂列金额及甲供材料价格不一致的。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7.1.17磋商响应文件中已标价工程量清单与磋商文件明确列出的不可竞争费用项目或费率或计算基础不一致的。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7.1.18磋商响应文件中已标价工程量清单与磋商文件提供的工程量清单中的项目编码、项目名称、项目特征、计量单位、工程量不一致的。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7.1.19磋商响应文件载明的招标项目完成期限超过磋商文件规定的期限的。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7.1.20供应商在响应文件递交截止时间当日，建筑业企业资质（本项目要求的资质）动态监管结果处于不合格状态的。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7.1.21响应文件含有采购单位不能接受的附加条件的。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7.1.22不同的供应商响应文件制作机器码、文件创建标识码一致的。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7.1.23以他人的名义投标、串通投标、以行贿手段谋取成交或者以其他弄虚作假方式磋商响应的。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7.1.24磋商响应文件关键内容模糊、无法辨认。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未在规定时间内提交最后报价的或最后报价高于第一次报价的。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7.2出现下列情形之一的，磋商失败。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7.2.1在苏采云系统规定时间内成功解密电子响应文件的供应商不足3家的；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7.2.2出现影响采购公正的违法违规行为的；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7.2.3因重大变故，采购任务取消的。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7.2.4磋商小组认定磋商文件存在歧义、重大缺陷导致评审工作无法进行。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7.2.5供应商的报价均超出了最高限价，采购单位不能支付的；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7.2.6因情况变化，不再符合规定的竞争性磋商采购方式所适用情形的；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7.2.7因系统故障原因造成磋商无法继续进行的；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7.2.8磋商小组依据法律法规可以认定为废标的其他情况。</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七、成交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1、确定成交单位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1.1成交候选供应商的选取原则和数量见磋商文件第四部分规定。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1.2采购单位根据磋商小组推荐的成交候选供应商确定成交供应商。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1.3采购单位将在“江苏省政府采购网”发布成交结果公告，公告期限为1个工作日。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1.4若有充分证据证明，成交供应商出现下列情况之一的，一经查实，将被取消成交资格：</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1.4.1提供虚假材料谋取成交的。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1.4.2向采购单位、采购代理机构行贿或者评审专家提供其他不正当利益的。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1.4.3恶意竞争，最终总报价明显低于其自身合理成本且又无法提供证明的。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1.4.4属于本文件规定的无效条件，但在评审过程中又未被磋商小组发现的。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1.4.5与评审专家、采购单位或者其他供应商恶意串通的。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1.4.6采取不正当手段诋毁、排挤其他供应商的。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1.4.7成交后无正当理由拒不与采购单位签订政府采购合同或者未按照磋商文件确定的事项签订政府采购合同的。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1.4.8将政府采购合同转包的。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1.5.有下列情形之一的，视为供应商串通参与磋商，响应无效：</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1.5.1不同供应商的响应文件由同一单位或者个人编制；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1.5.2不同供应商委托同一单位或者个人办理磋商事宜；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1.5.3不同供应商的响应文件载明的项目管理成员或者联系人员为同一人；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1.5.4不同供应商的响应文件异常一致或者响应报价呈规律性差异。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2、质疑处理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2.1提出质疑的供应商应当是参与所质疑项目采购活动的供应商。潜在供应商依法获取其可质疑的磋商文件的，可以对磋商文件提出质疑。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2.2.1对可以质疑的磋商文件提出质疑的，为收到磋商文件之日或者采购邀请期限届满之日；</w:t>
      </w:r>
      <w:r/>
    </w:p>
    <w:p>
      <w:pPr>
        <w:ind w:left="480" w:right="0" w:firstLine="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2.2.2对采购过程提出质疑的，为各采购程序环节结束之日；</w:t>
      </w:r>
      <w:r>
        <w:rPr>
          <w:rFonts w:hint="eastAsia" w:ascii="宋体" w:hAnsi="宋体" w:eastAsia="宋体" w:cs="宋体"/>
          <w:color w:val="auto"/>
          <w:sz w:val="24"/>
          <w:szCs w:val="24"/>
          <w:highlight w:val="none"/>
          <w:lang w:eastAsia="zh-CN"/>
        </w:rPr>
        <w:br/>
      </w:r>
      <w:r>
        <w:rPr>
          <w:rFonts w:hint="eastAsia" w:ascii="宋体" w:hAnsi="宋体" w:eastAsia="宋体" w:cs="宋体"/>
          <w:b w:val="0"/>
          <w:bCs/>
          <w:color w:val="auto"/>
          <w:sz w:val="24"/>
          <w:szCs w:val="24"/>
          <w:highlight w:val="none"/>
          <w:lang w:eastAsia="zh-CN"/>
        </w:rPr>
        <w:t xml:space="preserve">其中：对评审过程中涉及到的身份核对、澄清等程序性事项，供应商如有异议</w:t>
      </w:r>
      <w:r/>
    </w:p>
    <w:p>
      <w:pPr>
        <w:ind w:right="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的，必须当场提出。否则，均视为供应商无异议。无论是否成交，供应商事后不得再就前述事项提出任何异议或质疑投诉。</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2.2.3对成交结果提出质疑的，为成交结果公告期限届满之日。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采购单位质疑接收人及联系方式，见磋商文件第一部分。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 以下情形的质疑不予受理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2.5.1 内容不符合《政府采购质疑和投诉办法》第十二条规定的质疑。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2.5.2 超出政府采购法定期限的质疑。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2.5.3 未参加磋商活动的供应商或在磋商活动中自身权益未受到损害的供应商所提出的质疑。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2.5.4供应商组成联合体参加磋商，联合体中任何一方或多方未按要求签字、盖章、加盖公章的质疑。</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3.l</w:t>
      </w: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成交结果确定后，采购单位将向成交供应商发出成交通知书。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2、成交通知书是合同的一个组成部分。对采购单位和成交供应商均具有法律效力。成交通知书发出后，采购单位改变成交结果的，或者成交供应商放弃成交项目的，应当依法承担法律责任。</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九、授予合同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1、签订合同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1.l成交供应商应当在成交通知书发出之日起三十日内，按照磋商文件确定的事项与采购单位签订采购合同。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1.2磋商文件、成交供应商的响应文件及磋商过程中有关澄清、承诺文件均应作为合同附件。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2、货物和服务的追加、减少和添购。</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2.1政府采购合同履行中，采购单位需追加与合同标的相同的货物和服务的，在不改变合同其他条款的前提下，可以与成交供应商协商签订补充合同，但所有补充合同的采购金额不超过原合同金额的10%。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2.2采购结束后，采购单位若由于各种客观原因，必须对采购项目所牵涉的服务进行适当的减少时，在双方协商一致的前提下，可以按照采购时的价格水平做相应的调减，并据此签订补充合同。</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十、电子招标投标交易平台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w:instrText>
      </w:r>
      <w:r>
        <w:rPr>
          <w:rFonts w:hint="eastAsia" w:ascii="宋体" w:hAnsi="宋体" w:eastAsia="宋体" w:cs="宋体"/>
          <w:color w:val="auto"/>
          <w:sz w:val="24"/>
          <w:szCs w:val="24"/>
          <w:highlight w:val="none"/>
        </w:rPr>
        <w:instrText xml:space="preserve">%E6%96%87%E4%BB%B6%E7%9A%84%E7%BB%84%E6%88%90%E9%83%A8%E5%88%86%E3%80%82"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766"/>
          <w:rFonts w:hint="eastAsia" w:ascii="宋体" w:hAnsi="宋体" w:eastAsia="宋体" w:cs="宋体"/>
          <w:color w:val="auto"/>
          <w:sz w:val="24"/>
          <w:szCs w:val="24"/>
          <w:highlight w:val="none"/>
        </w:rPr>
        <w:t xml:space="preserve">http://jszfcg.jsczt.cn/）相关要求是本采购文件的组成部分。</w:t>
      </w:r>
      <w:r>
        <w:rPr>
          <w:rStyle w:val="766"/>
          <w:rFonts w:hint="eastAsia" w:ascii="宋体" w:hAnsi="宋体" w:eastAsia="宋体" w:cs="宋体"/>
          <w:color w:val="auto"/>
          <w:sz w:val="24"/>
          <w:szCs w:val="24"/>
          <w:highlight w:val="none"/>
        </w:rPr>
        <w:fldChar w:fldCharType="end"/>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十一、未尽事宜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按照《中华人民共和国政府采购法》《政府采购竞争性磋商采购方式管理暂行办法》及其他有关法律法规的规定执行。</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第三部分 项目需求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80"/>
        <w:jc w:val="both"/>
        <w:keepLines w:val="0"/>
        <w:keepNext w:val="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r/>
    </w:p>
    <w:p>
      <w:pPr>
        <w:contextualSpacing/>
        <w:keepLines w:val="0"/>
        <w:keepNext w:val="0"/>
        <w:pageBreakBefore w:val="0"/>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一、项目具体需求说明</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1.建筑信息概况：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启秀3#教学楼由南通建筑设计研究院设计，建筑面积为7320.74平方米，共9层（地上8层、局部突出一层），高度27.55米，框架结构，属于二类高层公共建筑，本工程对启秀3#教学楼消防专项整改设计包括不仅限于应急照明工程、消火栓、喷淋、独立式感烟探测器、消防电源系统、防排烟系统等及对应的拆除及装修工程等。此项目于2021年实施了一期工程，建成了独立式消防一体化水箱并铺设管道至楼梯口。</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2.特别注意：</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本项目主体工程如应急照明工程、消火栓、喷淋、防排烟系统等为传统消防改造，分体联动及信号传输为智慧消防改造，3#楼不再设置消防报警主机，需将信号传输至南区邢白楼消防控制室并按国家相关规范要求实现消防设施设备的联动功能，所有智慧消防设施设备需满足10年质保并含10年的流量和电池，施工列表中所涉及未考虑的相关费用一并纳入总报价费用，请投标单位仔细研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（2）本项目已安装海康独立式烟感探测器227只；每层设置海康一体化声光消防广播共8个；中标供应商需无条件完成本项目系统与学校现有由江苏全讯安全科技有限公司运营的</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南通大学智慧消防平台</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全面对接、数据互通、业务协同，满足学校日常管理、数据汇总等一体化需求；本次项目中系统开发、与原平台施工单位对接所产生的调试、联调、技术适配等全部工作及相关费用，均包含在投标报价中，学校不再另行支付任何费用。</w:t>
      </w:r>
      <w:r/>
    </w:p>
    <w:p>
      <w:pPr>
        <w:ind w:left="0" w:right="0" w:firstLine="480"/>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（3）通用标准接口由原平台承建单位免费提供；但涉及新设备私有协议、定制开发部分，由中标单位自行与原平台承建单位对接协商解决。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南通大学启秀校区3号楼消防改造工程</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个包，具体内容如下</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7619"/>
      </w:tblGrid>
      <w:tr>
        <w:trPr>
          <w:trHeight w:val="850"/>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80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采购范围</w:t>
            </w:r>
            <w:r/>
          </w:p>
        </w:tc>
      </w:tr>
      <w:tr>
        <w:trPr>
          <w:trHeight w:val="850"/>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1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南通大学启秀校区3号楼消防改造工程</w:t>
            </w:r>
            <w:r>
              <w:rPr>
                <w:rFonts w:hint="eastAsia" w:ascii="宋体" w:hAnsi="宋体" w:eastAsia="宋体" w:cs="宋体"/>
                <w:color w:val="auto"/>
                <w:sz w:val="24"/>
                <w:szCs w:val="24"/>
                <w:highlight w:val="none"/>
              </w:rPr>
              <w:t xml:space="preserve">，具体详见施工图、工程量清单及</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tc>
      </w:tr>
    </w:tbl>
    <w:p>
      <w:pPr>
        <w:spacing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①《建筑工程工程量清单计价规范》GB50500-2013及配套的工程量清单计算规范</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②《江苏省建设工程工程量清单计价项目指引》（2014年）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③《江苏省建筑与装饰工程计价定额》（2014年）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④《江苏省安装工程计价定额》（2014年）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⑤《江苏省建设工程费用定额》（2014年）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⑥《江苏省市政工程计价表》（2014年）</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⑦《通用安装工程工程量计算规范》（GB50856-2013）</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⑧《省住房城乡建设厅关于建筑业实施营改增后江苏省建设工程计价依据调整的通知》（苏建价〔2016〕154号）</w:t>
      </w:r>
      <w:r/>
    </w:p>
    <w:p>
      <w:pPr>
        <w:ind w:firstLine="56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相应的补充规定和项目所在地现行的有关文件</w:t>
      </w:r>
      <w:r/>
    </w:p>
    <w:p>
      <w:pPr>
        <w:ind w:firstLine="562"/>
        <w:spacing w:line="460" w:lineRule="exact"/>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①施工期间要注意周边环境，尽量避免或减少对周围居民生活的影响。</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firstLine="562"/>
        <w:spacing w:line="46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spacing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firstLine="482"/>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1.招标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控制价</w:t>
      </w:r>
      <w:r/>
    </w:p>
    <w:p>
      <w:pPr>
        <w:ind w:firstLine="480"/>
        <w:jc w:val="left"/>
        <w:spacing w:line="400" w:lineRule="exact"/>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控制价，是</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控制价（最高限价）。供应商的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控制价编制依据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pStyle w:val="7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1.2.2《建设工程工程量清单计价规范》GB50500-2013；《江苏省安装工程计价定额》2014版；《通用安装工程工程量计算规范》（GB50856-2013）；《江苏省建设工程费用定额》(2014版)；《省住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城乡建设厅建筑业实施营改增后江苏省建设工程计价依据调整的通知》（苏建价</w:t>
      </w:r>
      <w:r>
        <w:rPr>
          <w:rFonts w:hint="eastAsia" w:ascii="宋体" w:hAnsi="宋体" w:eastAsia="宋体" w:cs="宋体"/>
          <w:color w:val="auto"/>
          <w:sz w:val="24"/>
          <w:szCs w:val="24"/>
          <w:highlight w:val="none"/>
          <w:lang w:eastAsia="zh-CN"/>
        </w:rPr>
        <w:t xml:space="preserve">〔2016〕154号</w:t>
      </w:r>
      <w:r>
        <w:rPr>
          <w:rFonts w:hint="eastAsia" w:ascii="宋体" w:hAnsi="宋体" w:eastAsia="宋体" w:cs="宋体"/>
          <w:color w:val="auto"/>
          <w:sz w:val="24"/>
          <w:szCs w:val="24"/>
          <w:highlight w:val="none"/>
        </w:rPr>
        <w:t xml:space="preserve">文）；省</w:t>
      </w:r>
      <w:r>
        <w:rPr>
          <w:rFonts w:hint="eastAsia" w:ascii="宋体" w:hAnsi="宋体" w:eastAsia="宋体" w:cs="宋体"/>
          <w:color w:val="auto"/>
          <w:sz w:val="24"/>
          <w:szCs w:val="24"/>
          <w:highlight w:val="none"/>
          <w:lang w:eastAsia="zh-CN"/>
        </w:rPr>
        <w:t xml:space="preserve">住房和城乡建设厅</w:t>
      </w:r>
      <w:r>
        <w:rPr>
          <w:rFonts w:hint="eastAsia" w:ascii="宋体" w:hAnsi="宋体" w:eastAsia="宋体" w:cs="宋体"/>
          <w:color w:val="auto"/>
          <w:sz w:val="24"/>
          <w:szCs w:val="24"/>
          <w:highlight w:val="none"/>
        </w:rPr>
        <w:t xml:space="preserve">关于调整建设工程计价增值税税率的通知（苏建函价</w:t>
      </w:r>
      <w:r>
        <w:rPr>
          <w:rFonts w:hint="eastAsia" w:ascii="宋体" w:hAnsi="宋体" w:eastAsia="宋体" w:cs="宋体"/>
          <w:color w:val="auto"/>
          <w:sz w:val="24"/>
          <w:szCs w:val="24"/>
          <w:highlight w:val="none"/>
          <w:lang w:eastAsia="zh-CN"/>
        </w:rPr>
        <w:t xml:space="preserve">〔2019〕178号</w:t>
      </w:r>
      <w:r>
        <w:rPr>
          <w:rFonts w:hint="eastAsia" w:ascii="宋体" w:hAnsi="宋体" w:eastAsia="宋体" w:cs="宋体"/>
          <w:color w:val="auto"/>
          <w:sz w:val="24"/>
          <w:szCs w:val="24"/>
          <w:highlight w:val="none"/>
        </w:rPr>
        <w:t xml:space="preserve">文）；省</w:t>
      </w:r>
      <w:r>
        <w:rPr>
          <w:rFonts w:hint="eastAsia" w:ascii="宋体" w:hAnsi="宋体" w:cs="宋体"/>
          <w:color w:val="auto"/>
          <w:sz w:val="24"/>
          <w:szCs w:val="24"/>
          <w:highlight w:val="none"/>
          <w:lang w:eastAsia="zh-CN"/>
        </w:rPr>
        <w:t xml:space="preserve">住房和城乡建设厅</w:t>
      </w:r>
      <w:r>
        <w:rPr>
          <w:rFonts w:hint="eastAsia" w:ascii="宋体" w:hAnsi="宋体" w:eastAsia="宋体" w:cs="宋体"/>
          <w:color w:val="auto"/>
          <w:sz w:val="24"/>
          <w:szCs w:val="24"/>
          <w:highlight w:val="none"/>
        </w:rPr>
        <w:t xml:space="preserve">关于调整建设工程按质论价等费用计取方法的公告（</w:t>
      </w:r>
      <w:r>
        <w:rPr>
          <w:rFonts w:hint="eastAsia" w:ascii="宋体" w:hAnsi="宋体" w:eastAsia="宋体" w:cs="宋体"/>
          <w:color w:val="auto"/>
          <w:sz w:val="24"/>
          <w:szCs w:val="24"/>
          <w:highlight w:val="none"/>
          <w:lang w:eastAsia="zh-CN"/>
        </w:rPr>
        <w:t xml:space="preserve">〔2018〕</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lang w:eastAsia="zh-CN"/>
        </w:rPr>
        <w:t xml:space="preserve">24号</w:t>
      </w:r>
      <w:r>
        <w:rPr>
          <w:rFonts w:hint="eastAsia" w:ascii="宋体" w:hAnsi="宋体" w:eastAsia="宋体" w:cs="宋体"/>
          <w:color w:val="auto"/>
          <w:sz w:val="24"/>
          <w:szCs w:val="24"/>
          <w:highlight w:val="none"/>
        </w:rPr>
        <w:t xml:space="preserve">）以及相应补充规定和现行省、市有关规定；国家和江苏省现行有关电气及建筑工程设计、施工</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验收规范和规定；江苏省南通市与本工程造价相关的计价文件等。</w:t>
      </w:r>
      <w:r/>
    </w:p>
    <w:p>
      <w:pPr>
        <w:pStyle w:val="736"/>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1.2.3人工工资执行《省住房和城乡建设厅关于发布2026年上半年建设工程人工价格指数的通知》（苏建函价〔2026〕27号）</w:t>
      </w:r>
      <w:r>
        <w:rPr>
          <w:rFonts w:hint="eastAsia" w:ascii="宋体" w:hAnsi="宋体" w:eastAsia="宋体" w:cs="宋体"/>
          <w:color w:val="auto"/>
          <w:sz w:val="24"/>
          <w:szCs w:val="24"/>
          <w:highlight w:val="none"/>
          <w:lang w:eastAsia="zh-CN"/>
        </w:rPr>
        <w:t xml:space="preserve">。</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1.2.4材料价格参照</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年第</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期</w:t>
      </w:r>
      <w:r>
        <w:rPr>
          <w:rFonts w:hint="eastAsia" w:ascii="宋体" w:hAnsi="宋体" w:eastAsia="宋体" w:cs="宋体"/>
          <w:color w:val="auto"/>
          <w:sz w:val="24"/>
          <w:szCs w:val="24"/>
          <w:highlight w:val="none"/>
        </w:rPr>
        <w:t xml:space="preserve">《南通建设工程造价信息》中的材料信息价，若以上无信息价的，则按市场价执行。</w:t>
      </w:r>
      <w:r/>
    </w:p>
    <w:p>
      <w:pPr>
        <w:pStyle w:val="736"/>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1.2.5本工程不可竞争费按以下费率计取：</w:t>
      </w:r>
      <w:r/>
    </w:p>
    <w:tbl>
      <w:tblPr>
        <w:tblStyle w:val="732"/>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449"/>
        <w:gridCol w:w="2186"/>
        <w:gridCol w:w="1762"/>
        <w:gridCol w:w="1460"/>
        <w:gridCol w:w="1205"/>
      </w:tblGrid>
      <w:tr>
        <w:trPr>
          <w:jc w:val="center"/>
          <w:trHeight w:val="81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费用类别</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计费基数</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装修</w:t>
            </w:r>
            <w:r>
              <w:rPr>
                <w:rFonts w:hint="eastAsia" w:ascii="宋体" w:hAnsi="宋体" w:eastAsia="宋体" w:cs="宋体"/>
                <w:color w:val="auto"/>
                <w:sz w:val="24"/>
                <w:szCs w:val="24"/>
                <w:highlight w:val="none"/>
              </w:rPr>
              <w:t xml:space="preserve">（%）</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9"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规费</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环境保护税</w:t>
            </w:r>
            <w:r/>
          </w:p>
        </w:tc>
        <w:tc>
          <w:tcPr>
            <w:tcBorders>
              <w:right w:val="single" w:color="auto" w:sz="4" w:space="0"/>
            </w:tcBorders>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Borders>
              <w:right w:val="single" w:color="auto" w:sz="4" w:space="0"/>
            </w:tcBorders>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right w:val="single" w:color="auto" w:sz="4" w:space="0"/>
            </w:tcBorders>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A+B+C-D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0.42</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0.42</w:t>
            </w:r>
            <w:r/>
          </w:p>
        </w:tc>
      </w:tr>
      <w:tr>
        <w:trPr>
          <w:jc w:val="center"/>
          <w:trHeight w:val="54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49"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现场安全文明施工措施费</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543"/>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标化增加费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500"/>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49"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扬尘污染防治增加费</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A+E-D</w:t>
            </w:r>
            <w:r/>
          </w:p>
        </w:tc>
        <w:tc>
          <w:tcPr>
            <w:tcW w:w="146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22</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0.21</w:t>
            </w:r>
            <w:r/>
          </w:p>
        </w:tc>
      </w:tr>
      <w:tr>
        <w:trPr>
          <w:jc w:val="center"/>
          <w:trHeight w:val="705"/>
        </w:trPr>
        <w:tc>
          <w:tcPr>
            <w:tcW w:w="92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4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218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W w:w="17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税前造价</w:t>
            </w:r>
            <w:r/>
          </w:p>
        </w:tc>
        <w:tc>
          <w:tcPr>
            <w:tcW w:w="1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2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bl>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left"/>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①计算基础：A为分部分项工程费， B 为措施项目清单费，C</w:t>
      </w:r>
      <w:r>
        <w:rPr>
          <w:rFonts w:hint="eastAsia" w:ascii="宋体" w:hAnsi="宋体" w:eastAsia="宋体" w:cs="宋体"/>
          <w:b/>
          <w:color w:val="auto"/>
          <w:sz w:val="24"/>
          <w:szCs w:val="24"/>
          <w:highlight w:val="none"/>
          <w:lang w:eastAsia="zh-CN"/>
        </w:rPr>
        <w:t xml:space="preserve">其他</w:t>
      </w:r>
      <w:r>
        <w:rPr>
          <w:rFonts w:hint="eastAsia" w:ascii="宋体" w:hAnsi="宋体" w:eastAsia="宋体" w:cs="宋体"/>
          <w:b/>
          <w:color w:val="auto"/>
          <w:sz w:val="24"/>
          <w:szCs w:val="24"/>
          <w:highlight w:val="none"/>
        </w:rPr>
        <w:t xml:space="preserve">项目费，D为除税工程设备费。E为单价措施项目费。 </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②本次</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所有单位工程的不可竞争费费率，无论其不可竞争费费率是否在上表中列明，</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时不可竞争费费率均以网上发布的13JZ格式的工程量清单为准。</w:t>
      </w:r>
      <w:r/>
    </w:p>
    <w:p>
      <w:pPr>
        <w:contextualSpacing/>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③暂列金额：15000.00元，具体以发布的13JZ格式工程量清单中的金额为准。投标时不得改变暂列金额，否则作无效标处理。</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其他有关费率：详见控制价文件。</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（1）《建设工程工程量清单计价规范》（GB50500-2013）、《房屋建筑与装饰工程工程量计算规范》（GB50854-2013）等9本工程量计算规范即“2013版计算规范”；</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（2）国家或省级、行业建设主管部门颁发的计价办法；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（3）企业定额，国家或省级行业建设主管部门颁发的计价定额和计价办法；</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（5）建设工程设计文件及相关资料；</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（6）施工现场情况、工程特点及</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（7）与建设项目相关的标准、规范、技术资料；</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（8）市场价格信息或工程造价管理机构发布的工程造价信息；</w:t>
      </w:r>
      <w:r/>
    </w:p>
    <w:p>
      <w:pPr>
        <w:contextualSpacing/>
        <w:ind w:firstLine="480"/>
        <w:spacing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（9）其他的相关资料。</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投标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时不可竞争费按招标</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控制价编制依据第1.2.5条中费率执行。</w:t>
      </w:r>
      <w:r/>
    </w:p>
    <w:p>
      <w:pPr>
        <w:contextualSpacing/>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注：★现场安全文明施工措施费结算时只计基本费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扬尘污染防治增加费，其它费率不计。供应商必须考虑除本</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文件明示的风险范围以外的各种因素，结合自身企业状况自主确定</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w:t>
      </w:r>
      <w:r/>
    </w:p>
    <w:p>
      <w:pPr>
        <w:contextualSpacing/>
        <w:ind w:firstLine="48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firstLine="480"/>
        <w:spacing w:line="360" w:lineRule="auto"/>
        <w:widowControl/>
        <w:rPr>
          <w:rFonts w:hint="eastAsia" w:ascii="宋体" w:hAnsi="宋体" w:eastAsia="宋体" w:cs="宋体"/>
          <w:color w:val="auto"/>
          <w:sz w:val="24"/>
          <w:szCs w:val="24"/>
          <w:highlight w:val="none"/>
        </w:rPr>
      </w:pPr>
      <w:r/>
      <w:bookmarkStart w:id="0" w:name="OLE_LINK49"/>
      <w:r/>
      <w:bookmarkStart w:id="1" w:name="OLE_LINK50"/>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0"/>
      <w:r/>
      <w:bookmarkEnd w:id="1"/>
      <w:r/>
      <w:r/>
    </w:p>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工程量清单明确列出的暂估价、暂列金、不可竞争费用项目及费率和计算基础。</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时应考虑该改造项目与原有配电、网络系统的连接与改造，保证其使用功能，该项费用包含在</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7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08"/>
        <w:jc w:val="left"/>
        <w:spacing w:line="480" w:lineRule="exact"/>
        <w:widowControl/>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详见网上发布的13JZ格式清单</w:t>
      </w:r>
      <w:r>
        <w:rPr>
          <w:rFonts w:hint="eastAsia" w:ascii="宋体" w:hAnsi="宋体" w:eastAsia="宋体" w:cs="宋体"/>
          <w:color w:val="auto"/>
          <w:spacing w:val="7"/>
          <w:sz w:val="24"/>
          <w:szCs w:val="24"/>
          <w:highlight w:val="none"/>
          <w:shd w:val="clear" w:color="auto" w:fill="ffffff"/>
        </w:rPr>
        <w:t xml:space="preserve">。</w:t>
      </w:r>
      <w:r/>
    </w:p>
    <w:p>
      <w:pPr>
        <w:ind w:firstLine="508"/>
        <w:jc w:val="left"/>
        <w:spacing w:line="480" w:lineRule="exact"/>
        <w:widowControl/>
        <w:rPr>
          <w:rFonts w:hint="eastAsia" w:ascii="宋体" w:hAnsi="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cs="宋体"/>
          <w:color w:val="auto"/>
          <w:spacing w:val="7"/>
          <w:sz w:val="24"/>
          <w:szCs w:val="24"/>
          <w:highlight w:val="none"/>
          <w:u w:val="single"/>
          <w:shd w:val="clear" w:color="auto" w:fill="ffffff"/>
          <w:lang w:val="en-US" w:eastAsia="zh-CN"/>
        </w:rPr>
        <w:t xml:space="preserve">90日历天。</w:t>
      </w:r>
      <w:r/>
    </w:p>
    <w:p>
      <w:pPr>
        <w:ind w:firstLine="508"/>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质量要求：合格。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内传统消防</w:t>
      </w:r>
      <w:r>
        <w:rPr>
          <w:rFonts w:hint="eastAsia" w:ascii="宋体" w:hAnsi="宋体" w:eastAsia="宋体" w:cs="宋体"/>
          <w:color w:val="auto"/>
          <w:sz w:val="24"/>
          <w:szCs w:val="24"/>
          <w:highlight w:val="none"/>
        </w:rPr>
        <w:t xml:space="preserve">质量保修期</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2年，所有智慧消防设施设备需满足10年质保并含10年的流量和电池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质量保修期自工程竣工验收合格之日起计算。</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743"/>
        <w:ind w:firstLine="508"/>
        <w:spacing w:before="120" w:after="120" w:line="480" w:lineRule="exact"/>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743"/>
        <w:numPr>
          <w:ilvl w:val="0"/>
          <w:numId w:val="0"/>
        </w:numPr>
        <w:ind w:firstLine="480"/>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竣工验收合格后经南通大学审计处审计完成（终审）后付</w:t>
      </w:r>
      <w:r>
        <w:rPr>
          <w:rFonts w:hint="eastAsia" w:hAnsi="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审计价的9</w:t>
      </w: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%，余款待</w:t>
      </w:r>
      <w:r>
        <w:rPr>
          <w:rFonts w:hint="eastAsia" w:hAnsi="宋体" w:cs="宋体"/>
          <w:color w:val="auto"/>
          <w:sz w:val="24"/>
          <w:szCs w:val="24"/>
          <w:highlight w:val="none"/>
          <w:lang w:val="en-US" w:eastAsia="zh-CN"/>
        </w:rPr>
        <w:t xml:space="preserve">整个项目</w:t>
      </w:r>
      <w:r>
        <w:rPr>
          <w:rFonts w:hint="eastAsia" w:ascii="宋体" w:hAnsi="宋体" w:cs="宋体"/>
          <w:color w:val="auto"/>
          <w:sz w:val="24"/>
          <w:szCs w:val="24"/>
          <w:highlight w:val="none"/>
          <w:lang w:val="en-US" w:eastAsia="zh-CN"/>
        </w:rPr>
        <w:t xml:space="preserve">保修期结束后视质保情况一次性支付。</w:t>
      </w:r>
      <w:r/>
    </w:p>
    <w:p>
      <w:pPr>
        <w:pStyle w:val="743"/>
        <w:numPr>
          <w:ilvl w:val="0"/>
          <w:numId w:val="0"/>
        </w:numPr>
        <w:ind w:firstLine="240"/>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九</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履约保证金是否收取：</w:t>
      </w:r>
      <w:r>
        <w:rPr>
          <w:rFonts w:hint="eastAsia" w:ascii="宋体" w:hAnsi="宋体" w:eastAsia="宋体" w:cs="宋体"/>
          <w:color w:val="auto"/>
          <w:sz w:val="24"/>
          <w:szCs w:val="24"/>
          <w:highlight w:val="none"/>
          <w:u w:val="single"/>
        </w:rPr>
        <w:t xml:space="preserve"> 是 </w:t>
      </w:r>
      <w:r/>
    </w:p>
    <w:p>
      <w:pPr>
        <w:ind w:firstLine="482"/>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履约保证金的数额：</w:t>
      </w:r>
      <w:r>
        <w:rPr>
          <w:rFonts w:hint="eastAsia" w:ascii="宋体" w:hAnsi="宋体" w:cs="宋体"/>
          <w:color w:val="auto"/>
          <w:sz w:val="24"/>
          <w:szCs w:val="24"/>
          <w:highlight w:val="none"/>
          <w:lang w:val="en-US" w:eastAsia="zh-CN"/>
        </w:rPr>
        <w:t xml:space="preserve">成交价的10%</w:t>
      </w:r>
      <w:r>
        <w:rPr>
          <w:rFonts w:hint="eastAsia" w:ascii="宋体" w:hAnsi="宋体" w:eastAsia="宋体" w:cs="宋体"/>
          <w:color w:val="auto"/>
          <w:sz w:val="24"/>
          <w:szCs w:val="24"/>
          <w:highlight w:val="none"/>
          <w:lang w:eastAsia="zh-CN"/>
        </w:rPr>
        <w:t xml:space="preserve">。</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缴纳履约保证金时间：</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供应商在</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u w:val="single"/>
        </w:rPr>
        <w:t xml:space="preserve">3个工作日</w:t>
      </w:r>
      <w:r>
        <w:rPr>
          <w:rFonts w:hint="eastAsia" w:ascii="宋体" w:hAnsi="宋体" w:eastAsia="宋体" w:cs="宋体"/>
          <w:color w:val="auto"/>
          <w:sz w:val="24"/>
          <w:szCs w:val="24"/>
          <w:highlight w:val="none"/>
        </w:rPr>
        <w:t xml:space="preserve">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缴纳履约保证金形式：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银行转账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形式。</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退还履约保证金时间：履约保证金在工程验收合格后等额退还。</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color w:val="auto"/>
          <w:sz w:val="24"/>
          <w:szCs w:val="24"/>
          <w:highlight w:val="none"/>
        </w:rPr>
        <w:t xml:space="preserve">退还履约保证金方式：原缴纳方式退还。</w:t>
      </w:r>
      <w:r/>
    </w:p>
    <w:p>
      <w:pPr>
        <w:pStyle w:val="743"/>
        <w:ind w:left="142"/>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本项目图纸、清单（工程造价专业软件格式）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品牌表</w:t>
      </w:r>
      <w:r>
        <w:rPr>
          <w:rFonts w:hint="eastAsia" w:ascii="宋体" w:hAnsi="宋体" w:eastAsia="宋体" w:cs="宋体"/>
          <w:b/>
          <w:bCs/>
          <w:color w:val="auto"/>
          <w:sz w:val="24"/>
          <w:szCs w:val="24"/>
          <w:highlight w:val="none"/>
        </w:rPr>
        <w:t xml:space="preserve">及其他有关资料详见</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p>
    <w:p>
      <w:pPr>
        <w:rPr>
          <w:rFonts w:hint="eastAsia"/>
          <w:color w:val="auto"/>
          <w:sz w:val="36"/>
          <w:szCs w:val="36"/>
          <w:highlight w:val="none"/>
        </w:rPr>
      </w:pPr>
      <w:r>
        <w:rPr>
          <w:rFonts w:hint="eastAsia"/>
          <w:color w:val="auto"/>
          <w:sz w:val="36"/>
          <w:szCs w:val="36"/>
          <w:highlight w:val="none"/>
        </w:rPr>
        <w:br w:type="page" w:clear="all"/>
      </w:r>
      <w:r/>
    </w:p>
    <w:p>
      <w:pPr>
        <w:ind w:left="0" w:right="0" w:firstLine="0"/>
        <w:jc w:val="center"/>
        <w:pageBreakBefore w:val="0"/>
        <w:spacing w:beforeAutospacing="0" w:after="0" w:afterAutospacing="0" w:line="240" w:lineRule="auto"/>
        <w:rPr>
          <w:rFonts w:hint="eastAsia" w:ascii="宋体" w:hAnsi="宋体" w:eastAsia="宋体" w:cs="宋体"/>
          <w:b/>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6"/>
          <w:szCs w:val="36"/>
          <w:highlight w:val="none"/>
          <w:lang w:eastAsia="zh-CN"/>
        </w:rPr>
        <w:t xml:space="preserve">第四部分</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 xml:space="preserve">评审方法和评审标准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一、磋商方式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不见面远程磋商模式：开标当天各供应商在各自地点通过苏采云系统及时登录不见面开标大厅，参加磋商活动。</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二、磋商组织及磋商小组职责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2、磋商小组的职责：</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（2）磋商文件内容违反国家有关强制性规定的，磋商小组应当停止评审并向采购单位或者采购代理机构说明情况。</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（3）磋商小组成员应当遵守评审工作纪律，不得泄露评审情况和评审中获悉的商业秘密，对个人的评审意见承担法律责任。</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（4）磋商小组成员在评审过程中发现供应商有行贿、提供虚假材料或者串通等违法行为的，应当及时向财政部门报告。</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（5）磋商小组成员在评审过程中受到非法干涉的，应当及时向财政、监察等部门举报。</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（6）配合采购单位答复供应商提出的质疑；配合财政部门的投诉处理和监督检查工作。</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3、评审有关记录由磋商小组成员签名，存档备查。</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三、磋商程序</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 xml:space="preserve">采购需求中的技术、服务要求以及合同草案条款。</w:t>
      </w:r>
      <w:r>
        <w:rPr>
          <w:rFonts w:hint="eastAsia" w:ascii="宋体" w:hAnsi="宋体" w:eastAsia="宋体" w:cs="宋体"/>
          <w:color w:val="auto"/>
          <w:sz w:val="24"/>
          <w:szCs w:val="24"/>
          <w:highlight w:val="none"/>
          <w:lang w:eastAsia="zh-CN"/>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分钟内</w:t>
      </w:r>
      <w:r>
        <w:rPr>
          <w:rFonts w:hint="eastAsia" w:ascii="宋体" w:hAnsi="宋体" w:eastAsia="宋体" w:cs="宋体"/>
          <w:color w:val="auto"/>
          <w:sz w:val="24"/>
          <w:szCs w:val="24"/>
          <w:highlight w:val="none"/>
          <w:lang w:eastAsia="zh-CN"/>
        </w:rPr>
        <w:t xml:space="preserve">提交最后报价。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 xml:space="preserve">采购单位不接受供应商高于自己前一轮的磋商报价</w:t>
      </w: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5、在磋商中，磋商的任何一方不得透露与磋商有关的其他响应磋商的供应商的技术资料、价格及其他信息。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四、评审方法</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1、评审方法：综合评分法。经磋商确定最终采购需求和提交最后报价的供应商后，由磋商小组采用综合评分法对系统提交最后报价的供应商的响应文件和最后报价进行综合评分。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3、本次项目磋商的商务技术和报价评审总分值为100分。两部分评审因素比重如下：</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商务技术分值占总分值的比重为</w:t>
      </w:r>
      <w:r>
        <w:rPr>
          <w:rFonts w:hint="eastAsia" w:ascii="宋体" w:hAnsi="宋体" w:eastAsia="宋体" w:cs="宋体"/>
          <w:b/>
          <w:color w:val="auto"/>
          <w:sz w:val="24"/>
          <w:szCs w:val="24"/>
          <w:highlight w:val="none"/>
          <w:u w:val="single"/>
          <w:lang w:val="en-US" w:eastAsia="zh-CN"/>
        </w:rPr>
        <w:t xml:space="preserve">40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价格分值占总分值的比重为</w:t>
      </w:r>
      <w:r>
        <w:rPr>
          <w:rFonts w:hint="eastAsia" w:ascii="宋体" w:hAnsi="宋体" w:eastAsia="宋体" w:cs="宋体"/>
          <w:b/>
          <w:color w:val="auto"/>
          <w:sz w:val="24"/>
          <w:szCs w:val="24"/>
          <w:highlight w:val="none"/>
          <w:u w:val="single"/>
          <w:lang w:val="en-US" w:eastAsia="zh-CN"/>
        </w:rPr>
        <w:t xml:space="preserve">60</w:t>
      </w:r>
      <w:r>
        <w:rPr>
          <w:rFonts w:hint="eastAsia" w:ascii="宋体" w:hAnsi="宋体" w:eastAsia="宋体" w:cs="宋体"/>
          <w:b/>
          <w:color w:val="auto"/>
          <w:sz w:val="24"/>
          <w:szCs w:val="24"/>
          <w:highlight w:val="none"/>
          <w:u w:val="single"/>
          <w:lang w:eastAsia="zh-CN"/>
        </w:rPr>
        <w:t xml:space="preserve">%（权重）</w:t>
      </w:r>
      <w:r>
        <w:rPr>
          <w:rFonts w:hint="eastAsia" w:ascii="宋体" w:hAnsi="宋体" w:eastAsia="宋体" w:cs="宋体"/>
          <w:color w:val="auto"/>
          <w:sz w:val="24"/>
          <w:szCs w:val="24"/>
          <w:highlight w:val="none"/>
          <w:lang w:eastAsia="zh-CN"/>
        </w:rPr>
        <w:t xml:space="preserve">（四舍五入保留两位小数）。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4、商务技术分按算术平均值计算，分值四舍五入保留两位小数。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5、供应商价格部分和商务技术部分的合计分值，为该供应商的评审总得分（四舍五入保留两位小数）。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6、评委在认真审阅响应文件的基础上，根据各响应文件的响应程度独立评判，不得统一打分。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7、确定成交候选人的特殊情况处理：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9、对落标的供应商不做落标原因的解释。</w:t>
      </w:r>
      <w:r/>
    </w:p>
    <w:p>
      <w:pPr>
        <w:ind w:left="0" w:right="0" w:firstLine="482"/>
        <w:jc w:val="both"/>
        <w:pageBreakBefore w:val="0"/>
        <w:spacing w:beforeAutospacing="0" w:after="0" w:afterAutospacing="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五、综合评分评审标准</w:t>
      </w:r>
      <w:r/>
    </w:p>
    <w:p>
      <w:pPr>
        <w:ind w:left="0" w:right="0" w:firstLine="482"/>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（一）商务技术分：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lang w:eastAsia="zh-CN"/>
        </w:rPr>
        <w:t xml:space="preserve">分</w:t>
      </w:r>
      <w:r/>
    </w:p>
    <w:p>
      <w:pPr>
        <w:pStyle w:val="724"/>
        <w:ind w:left="0" w:right="0"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各供应商得分为磋商小组成员评分的算术平均分，分值保留小数点后两位。</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504"/>
        <w:gridCol w:w="7279"/>
      </w:tblGrid>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评审因素</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分值</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color w:val="auto"/>
                <w:sz w:val="24"/>
                <w:szCs w:val="24"/>
                <w:highlight w:val="none"/>
              </w:rPr>
              <w:t xml:space="preserve">评分细则</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业绩</w:t>
            </w:r>
            <w:r/>
          </w:p>
        </w:tc>
        <w:tc>
          <w:tcPr>
            <w:tcW w:w="0" w:type="auto"/>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8</w:t>
            </w:r>
            <w:r/>
          </w:p>
        </w:tc>
        <w:tc>
          <w:tcPr>
            <w:tcW w:w="0" w:type="auto"/>
            <w:vAlign w:val="center"/>
            <w:textDirection w:val="lrTb"/>
            <w:noWrap w:val="false"/>
          </w:tcPr>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年1月1以来（以合同签订时间为准），具有类似</w:t>
            </w:r>
            <w:r>
              <w:rPr>
                <w:rFonts w:hint="eastAsia" w:ascii="宋体" w:hAnsi="宋体" w:cs="宋体"/>
                <w:color w:val="auto"/>
                <w:sz w:val="24"/>
                <w:szCs w:val="24"/>
                <w:highlight w:val="none"/>
                <w:lang w:val="en-US" w:eastAsia="zh-CN"/>
              </w:rPr>
              <w:t xml:space="preserve">消防工程（至少含喷淋、防排烟系统）</w:t>
            </w:r>
            <w:r>
              <w:rPr>
                <w:rFonts w:hint="eastAsia" w:ascii="宋体" w:hAnsi="宋体" w:eastAsia="宋体" w:cs="宋体"/>
                <w:color w:val="auto"/>
                <w:sz w:val="24"/>
                <w:szCs w:val="24"/>
                <w:highlight w:val="none"/>
              </w:rPr>
              <w:t xml:space="preserve">业绩的，每提供一项得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最多得6分；每提供一项智慧消防业绩得2分，最多得2分；此项满分8分。</w:t>
            </w:r>
            <w:r/>
          </w:p>
          <w:p>
            <w:pPr>
              <w:ind w:firstLine="480"/>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rPr>
              <w:t xml:space="preserve">注：同时提供完整的业绩合同、竣工验收报告扫描件，竣工验收报告须有原建设单位盖章或建设主管部门盖章，否则不予认可。如合同和竣工验收报告均无法体现喷淋、防排烟系统施工内容的，另须提供该项目工程量清单或其他能够证明喷淋、防排烟系统施工内容的证明材料。</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项目组人员配备</w:t>
            </w:r>
            <w:r/>
          </w:p>
        </w:tc>
        <w:tc>
          <w:tcPr>
            <w:tcW w:w="0" w:type="auto"/>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 xml:space="preserve">11</w:t>
            </w:r>
            <w:r/>
          </w:p>
        </w:tc>
        <w:tc>
          <w:tcPr>
            <w:tcW w:w="0" w:type="auto"/>
            <w:vAlign w:val="center"/>
            <w:textDirection w:val="lrTb"/>
            <w:noWrap w:val="false"/>
          </w:tcPr>
          <w:p>
            <w:pPr>
              <w:numPr>
                <w:ilvl w:val="0"/>
                <w:numId w:val="1"/>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供应商拟派人员中，持有有效的安全生产考核合格证（C证）的，每有一人得1分，本项满分2分。</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拟派项目技术负责人具有机电工程专业一级注册建造师资格，同时具有有效的建设行政主管部门颁发的安全生产考核合格证书（B证），得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分；具有一级注册消防工程师，得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此项最多3分。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、拟派项目组成员中（除项目负责人和项目技术负责人外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具有消防设施操作员（或建（构）筑物消防员）国家职业资格中级（即：四级）及以上证书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特种作业操作证（作业类别：焊接与热切割作业）、特种作业操作证（作业类别：电工作业）、特种作业操作证（作业类别：</w:t>
            </w:r>
            <w:r>
              <w:rPr>
                <w:rFonts w:hint="eastAsia" w:ascii="宋体" w:hAnsi="宋体" w:cs="宋体"/>
                <w:color w:val="auto"/>
                <w:sz w:val="24"/>
                <w:szCs w:val="24"/>
                <w:highlight w:val="none"/>
                <w:lang w:val="en-US" w:eastAsia="zh-CN"/>
              </w:rPr>
              <w:t xml:space="preserve">高处作业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有一人得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社保机构出具的由供应商为其缴纳的近三个月（指：202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月）中任意一个月的社保缴费记录</w:t>
            </w:r>
            <w:r>
              <w:rPr>
                <w:rFonts w:hint="eastAsia" w:ascii="宋体" w:hAnsi="宋体" w:eastAsia="宋体" w:cs="宋体"/>
                <w:color w:val="auto"/>
                <w:sz w:val="24"/>
                <w:szCs w:val="24"/>
                <w:highlight w:val="none"/>
                <w:lang w:val="en-US" w:eastAsia="zh-CN"/>
              </w:rPr>
              <w:t xml:space="preserve">扫描件；</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②对应人员</w:t>
            </w:r>
            <w:r>
              <w:rPr>
                <w:rFonts w:hint="eastAsia" w:ascii="宋体" w:hAnsi="宋体" w:eastAsia="宋体" w:cs="宋体"/>
                <w:color w:val="auto"/>
                <w:sz w:val="24"/>
                <w:szCs w:val="24"/>
                <w:highlight w:val="none"/>
                <w:lang w:val="en-US" w:eastAsia="zh-CN"/>
              </w:rPr>
              <w:t xml:space="preserve">提供对应相关证书扫描件</w:t>
            </w:r>
            <w:r>
              <w:rPr>
                <w:rFonts w:hint="eastAsia" w:ascii="宋体" w:hAnsi="宋体" w:cs="宋体"/>
                <w:color w:val="auto"/>
                <w:sz w:val="24"/>
                <w:szCs w:val="24"/>
                <w:highlight w:val="none"/>
                <w:lang w:val="en-US" w:eastAsia="zh-CN"/>
              </w:rPr>
              <w:t xml:space="preserve">，注册证书需要提供对应的注册证扫描件；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根据《国家职业技能标准》（消防设施操作员-2019版，职业代码：4-07-05-04）规定，“建（构）筑物消防员”职业名称调整为“消防设施操作员”，以上两种证书视为同一种证书，同时具有该两种证书的人员，不重复得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一级注册建造师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8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lang w:val="en-US" w:eastAsia="zh-CN"/>
              </w:rPr>
              <w:t xml:space="preserve">未提供或提供的佐证资料不满足要求的不得分。</w:t>
            </w:r>
            <w:r/>
          </w:p>
        </w:tc>
      </w:tr>
      <w:tr>
        <w:trPr/>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z w:val="24"/>
                <w:szCs w:val="24"/>
                <w:highlight w:val="none"/>
                <w:shd w:val="clear" w:color="auto" w:fill="ffffff"/>
              </w:rPr>
              <w:t xml:space="preserve">施工组织设计</w:t>
            </w:r>
            <w:r/>
          </w:p>
        </w:tc>
        <w:tc>
          <w:tcPr>
            <w:tcW w:w="0" w:type="auto"/>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0" w:type="auto"/>
            <w:vAlign w:val="center"/>
            <w:textDirection w:val="lrTb"/>
            <w:noWrap w:val="false"/>
          </w:tcPr>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pacing w:val="4"/>
                <w:sz w:val="24"/>
                <w:szCs w:val="24"/>
                <w:highlight w:val="none"/>
              </w:rPr>
              <w:t xml:space="preserve">提供施工组织设计：包括施工组织管理，项目班子配置；施工平面布置和临时设施布置：施工平面布置图等；施工进度计划、进度控制和保证措施、进度计划横道图、</w:t>
            </w:r>
            <w:r>
              <w:rPr>
                <w:rFonts w:hint="eastAsia" w:ascii="宋体" w:hAnsi="宋体" w:cs="宋体"/>
                <w:color w:val="auto"/>
                <w:spacing w:val="4"/>
                <w:sz w:val="24"/>
                <w:szCs w:val="24"/>
                <w:highlight w:val="none"/>
                <w:lang w:val="en-US" w:eastAsia="zh-CN"/>
              </w:rPr>
              <w:t xml:space="preserve">夏</w:t>
            </w:r>
            <w:r>
              <w:rPr>
                <w:rFonts w:hint="eastAsia" w:ascii="宋体" w:hAnsi="宋体" w:eastAsia="宋体" w:cs="宋体"/>
                <w:color w:val="auto"/>
                <w:spacing w:val="4"/>
                <w:sz w:val="24"/>
                <w:szCs w:val="24"/>
                <w:highlight w:val="none"/>
              </w:rPr>
              <w:t xml:space="preserve">雨季施工方案、养护方案和施工措施；施工方案及施工方法，各项工程的施工顺序，主要分项工程施工工艺图；关键施工技术、工艺及工程项目实施的重点、难点分析和解决；施工主要机械设备的配置，主要材料的使用计划，人力资源使用计划，质量保证措施，临时工程的设计、检验检测和跟踪观测的仪器、设备和测试计划，施工期环保、文明施工措施，安全管理及安全保证体系等。评标委员会根据</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pacing w:val="4"/>
                <w:sz w:val="24"/>
                <w:szCs w:val="24"/>
                <w:highlight w:val="none"/>
              </w:rPr>
              <w:t xml:space="preserve">提供的施工组织设计进行综合打分：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施工组织设计整体合理、方案可行性强、相关措施详细、明确、针对性强得1</w:t>
            </w:r>
            <w:r>
              <w:rPr>
                <w:rFonts w:hint="eastAsia" w:ascii="宋体" w:hAnsi="宋体" w:cs="宋体"/>
                <w:color w:val="auto"/>
                <w:spacing w:val="4"/>
                <w:sz w:val="24"/>
                <w:szCs w:val="24"/>
                <w:highlight w:val="none"/>
                <w:lang w:val="en-US" w:eastAsia="zh-CN"/>
              </w:rPr>
              <w:t xml:space="preserve">8</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施工组织设计整体较合理、方案可行性较强、相关措施较详细、较明确、针对性较强得</w:t>
            </w:r>
            <w:r>
              <w:rPr>
                <w:rFonts w:hint="eastAsia" w:ascii="宋体" w:hAnsi="宋体" w:cs="宋体"/>
                <w:color w:val="auto"/>
                <w:spacing w:val="4"/>
                <w:sz w:val="24"/>
                <w:szCs w:val="24"/>
                <w:highlight w:val="none"/>
                <w:lang w:val="en-US" w:eastAsia="zh-CN"/>
              </w:rPr>
              <w:t xml:space="preserve">12</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施工组织设计整体合理性一般、方案可行性不强、相关措施不太详细、不太明确、针对性不强得</w:t>
            </w:r>
            <w:r>
              <w:rPr>
                <w:rFonts w:hint="eastAsia" w:ascii="宋体" w:hAnsi="宋体" w:cs="宋体"/>
                <w:color w:val="auto"/>
                <w:spacing w:val="4"/>
                <w:sz w:val="24"/>
                <w:szCs w:val="24"/>
                <w:highlight w:val="none"/>
                <w:lang w:val="en-US" w:eastAsia="zh-CN"/>
              </w:rPr>
              <w:t xml:space="preserve">6</w:t>
            </w:r>
            <w:r>
              <w:rPr>
                <w:rFonts w:hint="eastAsia" w:ascii="宋体" w:hAnsi="宋体" w:eastAsia="宋体" w:cs="宋体"/>
                <w:color w:val="auto"/>
                <w:spacing w:val="4"/>
                <w:sz w:val="24"/>
                <w:szCs w:val="24"/>
                <w:highlight w:val="none"/>
              </w:rPr>
              <w:t xml:space="preserve">分；</w:t>
            </w:r>
            <w:r/>
          </w:p>
          <w:p>
            <w:pPr>
              <w:ind w:firstLine="496"/>
              <w:spacing w:line="360" w:lineRule="auto"/>
              <w:rPr>
                <w:rFonts w:hint="eastAsia" w:ascii="宋体" w:hAnsi="宋体" w:eastAsia="宋体" w:cs="宋体"/>
                <w:b w:val="0"/>
                <w:bCs w:val="0"/>
                <w:color w:val="auto"/>
                <w:sz w:val="24"/>
                <w:szCs w:val="24"/>
                <w:highlight w:val="none"/>
                <w:vertAlign w:val="baseline"/>
              </w:rPr>
            </w:pPr>
            <w:r>
              <w:rPr>
                <w:rFonts w:hint="eastAsia" w:ascii="宋体" w:hAnsi="宋体" w:eastAsia="宋体" w:cs="宋体"/>
                <w:color w:val="auto"/>
                <w:spacing w:val="4"/>
                <w:sz w:val="24"/>
                <w:szCs w:val="24"/>
                <w:highlight w:val="none"/>
              </w:rPr>
              <w:t xml:space="preserve">施工组织设计整体不合理、方案可行性差、相关措施不详细、不明确、针对性差得</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分</w:t>
            </w:r>
            <w:r>
              <w:rPr>
                <w:rFonts w:hint="eastAsia" w:ascii="宋体" w:hAnsi="宋体" w:cs="宋体"/>
                <w:color w:val="auto"/>
                <w:spacing w:val="4"/>
                <w:sz w:val="24"/>
                <w:szCs w:val="24"/>
                <w:highlight w:val="none"/>
                <w:lang w:eastAsia="zh-CN"/>
              </w:rPr>
              <w:t xml:space="preserve">，</w:t>
            </w:r>
            <w:r>
              <w:rPr>
                <w:rFonts w:hint="eastAsia" w:ascii="宋体" w:hAnsi="宋体" w:cs="宋体"/>
                <w:color w:val="auto"/>
                <w:spacing w:val="4"/>
                <w:sz w:val="24"/>
                <w:szCs w:val="24"/>
                <w:highlight w:val="none"/>
                <w:lang w:val="en-US" w:eastAsia="zh-CN"/>
              </w:rPr>
              <w:t xml:space="preserve">未提供不得分</w:t>
            </w:r>
            <w:r>
              <w:rPr>
                <w:rFonts w:hint="eastAsia" w:ascii="宋体" w:hAnsi="宋体" w:eastAsia="宋体" w:cs="宋体"/>
                <w:color w:val="auto"/>
                <w:spacing w:val="4"/>
                <w:sz w:val="24"/>
                <w:szCs w:val="24"/>
                <w:highlight w:val="none"/>
                <w:lang w:eastAsia="zh-CN"/>
              </w:rPr>
              <w:t xml:space="preserve">。</w:t>
            </w:r>
            <w:r/>
          </w:p>
        </w:tc>
      </w:tr>
      <w:tr>
        <w:trPr/>
        <w:tc>
          <w:tcPr>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质保</w:t>
            </w:r>
            <w:r/>
          </w:p>
        </w:tc>
        <w:tc>
          <w:tcPr>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0" w:type="auto"/>
            <w:vAlign w:val="center"/>
            <w:textDirection w:val="lrTb"/>
            <w:noWrap w:val="false"/>
          </w:tcPr>
          <w:p>
            <w:pPr>
              <w:ind w:firstLine="248"/>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在满足采购文件传统消防质量保修期2年要求的质保期基础上每延长1年，增加</w:t>
            </w:r>
            <w:r>
              <w:rPr>
                <w:rFonts w:hint="eastAsia" w:ascii="宋体" w:hAnsi="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val="en-US" w:eastAsia="zh-CN"/>
              </w:rPr>
              <w:t xml:space="preserve">分，最多</w:t>
            </w:r>
            <w:r>
              <w:rPr>
                <w:rFonts w:hint="eastAsia" w:ascii="宋体" w:hAnsi="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lang w:val="en-US" w:eastAsia="zh-CN"/>
              </w:rPr>
              <w:t xml:space="preserve">分。</w:t>
            </w:r>
            <w:r/>
          </w:p>
          <w:p>
            <w:pPr>
              <w:ind w:firstLine="248"/>
              <w:spacing w:line="360" w:lineRule="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 xml:space="preserve">注：提供承诺书（格式自拟）。</w:t>
            </w:r>
            <w:r/>
          </w:p>
        </w:tc>
      </w:tr>
    </w:tbl>
    <w:p>
      <w:pPr>
        <w:spacing w:after="0" w:line="360" w:lineRule="auto"/>
        <w:rPr>
          <w:rFonts w:hint="eastAsia" w:ascii="宋体" w:hAnsi="宋体" w:eastAsia="宋体" w:cs="宋体"/>
          <w:bCs/>
          <w:color w:val="auto"/>
          <w:sz w:val="24"/>
          <w:szCs w:val="24"/>
          <w:highlight w:val="none"/>
          <w:lang w:eastAsia="zh-CN"/>
        </w:rPr>
      </w:pPr>
      <w:r/>
      <w:bookmarkStart w:id="10" w:name="_GoBack"/>
      <w:r/>
      <w:bookmarkEnd w:id="10"/>
      <w:r/>
      <w:r/>
    </w:p>
    <w:p>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 xml:space="preserve">（二）价格分：</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磋商报价得分=（磋商基准价/最终磋商报价）×价格权值×100。</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评审过程中出列情形之一的，评审委员会应当启</w:t>
      </w:r>
      <w:r>
        <w:rPr>
          <w:rFonts w:hint="eastAsia" w:ascii="宋体" w:hAnsi="宋体" w:eastAsia="宋体" w:cs="宋体"/>
          <w:color w:val="auto"/>
          <w:sz w:val="24"/>
          <w:szCs w:val="24"/>
          <w:highlight w:val="none"/>
          <w:lang w:val="en-US" w:eastAsia="zh-CN"/>
        </w:rPr>
        <w:t xml:space="preserve">动异常低价投标（响应）审查程序：</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3.投标（响应）报价低于采购项目最高限价45%的，即投标（响应）报价&lt;采购项目最高限价×45%；</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4.评审委员会基于专业判断，认为供应商报价过低，有可能影响产品质量或者不能诚信履约的其他情形。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六、成交供应商的确定</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2、磋商评审时，评委对评审的细则若有争议，由磋商小组集体讨论确定，并对未尽情况有最终解释权。</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3、对落标的供应商不做落标原因的解释。</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4、采购单位根据磋商小组推荐的成交候选</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lang w:eastAsia="zh-CN"/>
        </w:rPr>
        <w:t xml:space="preserve">应商确定成交供应商。</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七、公告成交结果</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自确定成交供应商之日起2个工作日内，在“江苏省政府采购网”公告成交结果，公告期限为1个工作日。</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公告成交结果的同时，采购单位向成交供应商发放成交通知书。</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成交通知书发出后，采购单位不得违法改变成交结果，成交供应商无正当理由不得放弃成交。</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九、其他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rPr>
          <w:rFonts w:hint="eastAsia" w:ascii="宋体" w:hAnsi="宋体" w:eastAsia="宋体" w:cs="宋体"/>
          <w:color w:val="auto"/>
          <w:sz w:val="24"/>
          <w:szCs w:val="24"/>
          <w:highlight w:val="none"/>
          <w:lang w:eastAsia="zh-CN"/>
        </w:rPr>
        <w:br w:type="page" w:clear="all"/>
      </w:r>
      <w:r/>
    </w:p>
    <w:p>
      <w:pPr>
        <w:jc w:val="center"/>
        <w:spacing w:line="30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第五部分  合同签订与验收付款</w:t>
      </w:r>
      <w:r/>
    </w:p>
    <w:p>
      <w:pPr>
        <w:ind w:firstLine="480"/>
        <w:spacing w:line="480" w:lineRule="exact"/>
        <w:rPr>
          <w:color w:val="auto"/>
          <w:sz w:val="24"/>
          <w:highlight w:val="none"/>
          <w:lang w:val="zh-CN"/>
        </w:rPr>
      </w:pPr>
      <w:r>
        <w:rPr>
          <w:color w:val="auto"/>
          <w:sz w:val="24"/>
          <w:highlight w:val="none"/>
          <w:lang w:val="zh-CN"/>
        </w:rPr>
        <w:t xml:space="preserve">一、成交供应商和采购单位</w:t>
      </w:r>
      <w:r>
        <w:rPr>
          <w:rFonts w:hint="eastAsia" w:ascii="宋体" w:hAnsi="宋体"/>
          <w:color w:val="auto"/>
          <w:sz w:val="24"/>
          <w:highlight w:val="none"/>
        </w:rPr>
        <w:t xml:space="preserve">需在</w:t>
      </w:r>
      <w:r>
        <w:rPr>
          <w:color w:val="auto"/>
          <w:sz w:val="24"/>
          <w:highlight w:val="none"/>
          <w:lang w:val="zh-CN"/>
        </w:rPr>
        <w:t xml:space="preserve">《成交通知书》</w:t>
      </w:r>
      <w:r>
        <w:rPr>
          <w:rFonts w:hint="eastAsia"/>
          <w:color w:val="auto"/>
          <w:sz w:val="24"/>
          <w:highlight w:val="none"/>
        </w:rPr>
        <w:t xml:space="preserve">发出之日起</w:t>
      </w:r>
      <w:r>
        <w:rPr>
          <w:rFonts w:hint="eastAsia"/>
          <w:color w:val="auto"/>
          <w:sz w:val="24"/>
          <w:highlight w:val="none"/>
          <w:lang w:val="en-US" w:eastAsia="zh-CN"/>
        </w:rPr>
        <w:t xml:space="preserve">30</w:t>
      </w:r>
      <w:r>
        <w:rPr>
          <w:rFonts w:hint="eastAsia"/>
          <w:color w:val="auto"/>
          <w:sz w:val="24"/>
          <w:highlight w:val="none"/>
        </w:rPr>
        <w:t xml:space="preserve">日内</w:t>
      </w:r>
      <w:r>
        <w:rPr>
          <w:rFonts w:hint="eastAsia" w:ascii="宋体" w:hAnsi="宋体"/>
          <w:color w:val="auto"/>
          <w:sz w:val="24"/>
          <w:highlight w:val="none"/>
        </w:rPr>
        <w:t xml:space="preserve">签订合同</w:t>
      </w:r>
      <w:r>
        <w:rPr>
          <w:color w:val="auto"/>
          <w:sz w:val="24"/>
          <w:highlight w:val="none"/>
          <w:lang w:val="zh-CN"/>
        </w:rPr>
        <w:t xml:space="preserve">。合同签订后成交供应商方可履约，否则引起的一切后果由成交人自行承担。</w:t>
      </w:r>
      <w:r>
        <w:rPr>
          <w:bCs/>
          <w:color w:val="auto"/>
          <w:sz w:val="24"/>
          <w:highlight w:val="none"/>
        </w:rPr>
        <w:t xml:space="preserve">纸质合同一式</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陆</w:t>
      </w:r>
      <w:r>
        <w:rPr>
          <w:rFonts w:hint="eastAsia"/>
          <w:bCs/>
          <w:color w:val="auto"/>
          <w:sz w:val="24"/>
          <w:highlight w:val="none"/>
          <w:u w:val="single"/>
        </w:rPr>
        <w:t xml:space="preserve"> </w:t>
      </w:r>
      <w:r>
        <w:rPr>
          <w:bCs/>
          <w:color w:val="auto"/>
          <w:sz w:val="24"/>
          <w:highlight w:val="none"/>
        </w:rPr>
        <w:t xml:space="preserve">份，采购人、供应商各</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叁</w:t>
      </w:r>
      <w:r>
        <w:rPr>
          <w:rFonts w:hint="eastAsia"/>
          <w:bCs/>
          <w:color w:val="auto"/>
          <w:sz w:val="24"/>
          <w:highlight w:val="none"/>
          <w:u w:val="single"/>
        </w:rPr>
        <w:t xml:space="preserve"> </w:t>
      </w:r>
      <w:r>
        <w:rPr>
          <w:bCs/>
          <w:color w:val="auto"/>
          <w:sz w:val="24"/>
          <w:highlight w:val="none"/>
        </w:rPr>
        <w:t xml:space="preserve">份</w:t>
      </w:r>
      <w:r>
        <w:rPr>
          <w:rFonts w:hint="eastAsia"/>
          <w:color w:val="auto"/>
          <w:sz w:val="24"/>
          <w:highlight w:val="none"/>
          <w:lang w:val="zh-CN"/>
        </w:rPr>
        <w:t xml:space="preserve">；</w:t>
      </w:r>
      <w:r>
        <w:rPr>
          <w:b/>
          <w:bCs/>
          <w:color w:val="auto"/>
          <w:sz w:val="24"/>
          <w:highlight w:val="none"/>
          <w:lang w:val="zh-CN"/>
        </w:rPr>
        <w:t xml:space="preserve">同时，采购合同需在合同签订之日起2个工作日内进行合同公告。</w:t>
      </w:r>
      <w:r>
        <w:rPr>
          <w:color w:val="auto"/>
          <w:sz w:val="24"/>
          <w:highlight w:val="none"/>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color w:val="auto"/>
          <w:sz w:val="24"/>
          <w:highlight w:val="none"/>
        </w:rPr>
      </w:pPr>
      <w:r>
        <w:rPr>
          <w:b/>
          <w:color w:val="auto"/>
          <w:sz w:val="24"/>
          <w:highlight w:val="none"/>
        </w:rPr>
        <w:t xml:space="preserve">二</w:t>
      </w:r>
      <w:r>
        <w:rPr>
          <w:color w:val="auto"/>
          <w:sz w:val="24"/>
          <w:highlight w:val="none"/>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color w:val="auto"/>
          <w:sz w:val="24"/>
          <w:highlight w:val="none"/>
        </w:rPr>
      </w:pPr>
      <w:r>
        <w:rPr>
          <w:color w:val="auto"/>
          <w:sz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color w:val="auto"/>
          <w:sz w:val="24"/>
          <w:highlight w:val="none"/>
        </w:rPr>
      </w:pPr>
      <w:r>
        <w:rPr>
          <w:color w:val="auto"/>
          <w:sz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733"/>
        <w:contextualSpacing/>
        <w:ind w:right="210" w:firstLine="513"/>
        <w:spacing w:line="480" w:lineRule="exact"/>
        <w:rPr>
          <w:color w:val="auto"/>
          <w:sz w:val="24"/>
          <w:szCs w:val="24"/>
          <w:highlight w:val="none"/>
        </w:rPr>
      </w:pPr>
      <w:r>
        <w:rPr>
          <w:color w:val="auto"/>
          <w:sz w:val="24"/>
          <w:szCs w:val="24"/>
          <w:highlight w:val="none"/>
          <w:lang w:val="zh-CN"/>
        </w:rPr>
        <w:t xml:space="preserve">五、</w:t>
      </w:r>
      <w:r>
        <w:rPr>
          <w:b/>
          <w:color w:val="auto"/>
          <w:sz w:val="24"/>
          <w:szCs w:val="24"/>
          <w:highlight w:val="none"/>
        </w:rPr>
        <w:t xml:space="preserve">不响应付款方式的，视同响应文件无效处理。</w:t>
      </w:r>
      <w:r>
        <w:rPr>
          <w:rFonts w:hint="eastAsia"/>
          <w:b/>
          <w:color w:val="auto"/>
          <w:sz w:val="24"/>
          <w:highlight w:val="none"/>
        </w:rPr>
        <w:t xml:space="preserve">实际付款方式以最终签订采购合同为准。</w:t>
      </w:r>
      <w:r/>
    </w:p>
    <w:p>
      <w:pPr>
        <w:pStyle w:val="733"/>
        <w:contextualSpacing/>
        <w:ind w:right="210" w:firstLine="513"/>
        <w:spacing w:line="480" w:lineRule="exact"/>
        <w:rPr>
          <w:rFonts w:hint="eastAsia" w:ascii="仿宋_GB2312" w:eastAsia="仿宋_GB2312"/>
          <w:color w:val="auto"/>
          <w:sz w:val="28"/>
          <w:szCs w:val="28"/>
          <w:highlight w:val="none"/>
          <w:lang w:val="zh-CN"/>
        </w:rPr>
      </w:pPr>
      <w:r>
        <w:rPr>
          <w:color w:val="auto"/>
          <w:sz w:val="24"/>
          <w:szCs w:val="24"/>
          <w:highlight w:val="none"/>
        </w:rPr>
        <w:t xml:space="preserve">款项由采购</w:t>
      </w:r>
      <w:r>
        <w:rPr>
          <w:color w:val="auto"/>
          <w:sz w:val="24"/>
          <w:szCs w:val="24"/>
          <w:highlight w:val="none"/>
          <w:lang w:eastAsia="zh-CN"/>
        </w:rPr>
        <w:t xml:space="preserve">人</w:t>
      </w:r>
      <w:r>
        <w:rPr>
          <w:color w:val="auto"/>
          <w:sz w:val="24"/>
          <w:szCs w:val="24"/>
          <w:highlight w:val="none"/>
        </w:rPr>
        <w:t xml:space="preserve">按相关财务支付规定办理支付手续。不得故意拖延支付时间。</w:t>
      </w:r>
      <w:r/>
    </w:p>
    <w:p>
      <w:pPr>
        <w:pStyle w:val="733"/>
        <w:contextualSpacing/>
        <w:ind w:right="210" w:firstLine="513"/>
        <w:spacing w:line="480" w:lineRule="exact"/>
        <w:rPr>
          <w:rFonts w:hint="eastAsia"/>
          <w:color w:val="auto"/>
          <w:sz w:val="24"/>
          <w:szCs w:val="24"/>
          <w:highlight w:val="none"/>
          <w:lang w:eastAsia="zh-CN"/>
        </w:rPr>
      </w:pPr>
      <w:r>
        <w:rPr>
          <w:rFonts w:hint="eastAsia"/>
          <w:color w:val="auto"/>
          <w:sz w:val="24"/>
          <w:szCs w:val="24"/>
          <w:highlight w:val="none"/>
          <w:lang w:eastAsia="zh-CN"/>
        </w:rPr>
        <w:t xml:space="preserve">六、合同主要条款</w:t>
      </w:r>
      <w:r/>
    </w:p>
    <w:p>
      <w:pPr>
        <w:pStyle w:val="733"/>
        <w:contextualSpacing/>
        <w:ind w:right="210" w:firstLine="599"/>
        <w:spacing w:line="480" w:lineRule="exact"/>
        <w:rPr>
          <w:rFonts w:hint="eastAsia" w:ascii="仿宋_GB2312" w:eastAsia="仿宋_GB2312"/>
          <w:color w:val="auto"/>
          <w:sz w:val="28"/>
          <w:szCs w:val="28"/>
          <w:highlight w:val="none"/>
          <w:lang w:val="zh-CN" w:eastAsia="zh-CN"/>
        </w:rPr>
      </w:pPr>
      <w:r>
        <w:rPr>
          <w:rFonts w:hint="eastAsia" w:ascii="仿宋_GB2312" w:eastAsia="仿宋_GB2312"/>
          <w:color w:val="auto"/>
          <w:sz w:val="28"/>
          <w:szCs w:val="28"/>
          <w:highlight w:val="none"/>
          <w:lang w:val="zh-CN" w:eastAsia="zh-CN"/>
        </w:rPr>
      </w:r>
      <w:r/>
    </w:p>
    <w:p>
      <w:pPr>
        <w:numPr>
          <w:ilvl w:val="0"/>
          <w:numId w:val="2"/>
        </w:numPr>
        <w:contextualSpacing/>
        <w:ind w:firstLine="579"/>
        <w:spacing w:line="480" w:lineRule="exact"/>
        <w:rPr>
          <w:color w:val="auto"/>
          <w:highlight w:val="none"/>
        </w:rPr>
      </w:pPr>
      <w:r>
        <w:rPr>
          <w:b/>
          <w:bCs/>
          <w:color w:val="auto"/>
          <w:sz w:val="36"/>
          <w:szCs w:val="36"/>
          <w:highlight w:val="none"/>
        </w:rPr>
        <w:br w:type="page" w:clear="all"/>
      </w:r>
      <w:r/>
    </w:p>
    <w:p>
      <w:pPr>
        <w:ind w:firstLine="579"/>
        <w:jc w:val="center"/>
        <w:spacing w:line="400" w:lineRule="atLeast"/>
        <w:rPr>
          <w:rFonts w:hint="eastAsia" w:cs="宋体"/>
          <w:b/>
          <w:bCs/>
          <w:color w:val="auto"/>
          <w:sz w:val="36"/>
          <w:szCs w:val="36"/>
          <w:highlight w:val="none"/>
        </w:rPr>
        <w:outlineLvl w:val="0"/>
      </w:pPr>
      <w:r>
        <w:rPr>
          <w:rFonts w:hint="eastAsia" w:cs="宋体"/>
          <w:b/>
          <w:bCs/>
          <w:color w:val="auto"/>
          <w:sz w:val="36"/>
          <w:szCs w:val="36"/>
          <w:highlight w:val="none"/>
        </w:rPr>
      </w:r>
      <w:r/>
    </w:p>
    <w:p>
      <w:pPr>
        <w:contextualSpacing/>
        <w:ind w:right="210" w:firstLine="480"/>
        <w:jc w:val="center"/>
        <w:spacing w:line="48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合同主要条款</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2" w:name="_Toc176441550"/>
      <w:r/>
      <w:bookmarkStart w:id="3" w:name="_Hlk41943568"/>
      <w:r>
        <w:rPr>
          <w:rFonts w:hint="eastAsia" w:ascii="宋体" w:hAnsi="宋体" w:eastAsia="宋体" w:cs="宋体"/>
          <w:b/>
          <w:bCs/>
          <w:color w:val="auto"/>
          <w:sz w:val="24"/>
          <w:szCs w:val="24"/>
          <w:highlight w:val="none"/>
        </w:rPr>
        <w:t xml:space="preserve">1、质量标准</w:t>
      </w:r>
      <w:bookmarkEnd w:id="2"/>
      <w:r/>
      <w:bookmarkEnd w:id="3"/>
      <w:r/>
      <w:r/>
    </w:p>
    <w:p>
      <w:pPr>
        <w:pStyle w:val="740"/>
        <w:ind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w:t>
      </w:r>
      <w:r>
        <w:rPr>
          <w:rFonts w:hint="eastAsia" w:ascii="宋体" w:hAnsi="宋体" w:eastAsia="宋体" w:cs="宋体"/>
          <w:b/>
          <w:bCs/>
          <w:color w:val="auto"/>
          <w:sz w:val="24"/>
          <w:szCs w:val="24"/>
          <w:highlight w:val="none"/>
        </w:rPr>
        <w:t xml:space="preserve">合格</w:t>
      </w:r>
      <w:r>
        <w:rPr>
          <w:rFonts w:hint="eastAsia" w:ascii="宋体" w:hAnsi="宋体" w:eastAsia="宋体" w:cs="宋体"/>
          <w:color w:val="auto"/>
          <w:sz w:val="24"/>
          <w:szCs w:val="24"/>
          <w:highlight w:val="none"/>
        </w:rPr>
        <w:t xml:space="preserve">。</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4" w:name="_Toc176441551"/>
      <w:r>
        <w:rPr>
          <w:rFonts w:hint="eastAsia" w:ascii="宋体" w:hAnsi="宋体" w:eastAsia="宋体" w:cs="宋体"/>
          <w:b/>
          <w:bCs/>
          <w:color w:val="auto"/>
          <w:sz w:val="24"/>
          <w:szCs w:val="24"/>
          <w:highlight w:val="none"/>
        </w:rPr>
        <w:t xml:space="preserve">2、安全文明施工要求</w:t>
      </w:r>
      <w:bookmarkEnd w:id="4"/>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2.1施工防护工作的要求：</w:t>
      </w:r>
      <w:r>
        <w:rPr>
          <w:rFonts w:hint="eastAsia" w:ascii="宋体" w:hAnsi="宋体" w:eastAsia="宋体" w:cs="宋体"/>
          <w:b/>
          <w:bCs/>
          <w:color w:val="auto"/>
          <w:sz w:val="24"/>
          <w:szCs w:val="24"/>
          <w:highlight w:val="none"/>
          <w:u w:val="single"/>
        </w:rPr>
        <w:t xml:space="preserve">必须做好安全文明施工，并对施工过程中的安全责任负责；做好各项安全防护与措施，确保施工安全无事故；若涉及高空作业项目，高空作业人员须办理人身意外伤害险，如若发生安全责任事故，施工单位自行承担，与校方无关。</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2.2施工现场整洁卫生的要求：</w:t>
      </w:r>
      <w:r>
        <w:rPr>
          <w:rFonts w:hint="eastAsia" w:ascii="宋体" w:hAnsi="宋体" w:eastAsia="宋体" w:cs="宋体"/>
          <w:b/>
          <w:bCs/>
          <w:color w:val="auto"/>
          <w:sz w:val="24"/>
          <w:szCs w:val="24"/>
          <w:highlight w:val="none"/>
          <w:u w:val="single"/>
        </w:rPr>
        <w:t xml:space="preserve">保持场地整洁通畅</w:t>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2.3</w:t>
      </w:r>
      <w:r>
        <w:rPr>
          <w:rFonts w:hint="eastAsia" w:ascii="宋体" w:hAnsi="宋体" w:eastAsia="宋体" w:cs="宋体"/>
          <w:b/>
          <w:bCs/>
          <w:color w:val="auto"/>
          <w:sz w:val="24"/>
          <w:szCs w:val="24"/>
          <w:highlight w:val="none"/>
          <w:u w:val="single"/>
        </w:rPr>
        <w:t xml:space="preserve">必须严格遵守我校相关规章制度，及时办理入校登记手续。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2.4</w:t>
      </w:r>
      <w:r>
        <w:rPr>
          <w:rFonts w:hint="eastAsia" w:ascii="宋体" w:hAnsi="宋体" w:eastAsia="宋体" w:cs="宋体"/>
          <w:b/>
          <w:bCs/>
          <w:color w:val="auto"/>
          <w:sz w:val="24"/>
          <w:szCs w:val="24"/>
          <w:highlight w:val="none"/>
          <w:u w:val="single"/>
        </w:rPr>
        <w:t xml:space="preserve">项目负责人要求：负责现场工程管理、协调关系、听从发包人的指挥。工程开工后，施工期间，项目负责人须常驻现场，有事离开，必须向发包人请假，发包人同意后，方可离开工地。每缺勤一天或抽查发现擅自离开施工现场每次支付1000.00元违约金。</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5" w:name="_Toc176441552"/>
      <w:r>
        <w:rPr>
          <w:rFonts w:hint="eastAsia" w:ascii="宋体" w:hAnsi="宋体" w:eastAsia="宋体" w:cs="宋体"/>
          <w:b/>
          <w:bCs/>
          <w:color w:val="auto"/>
          <w:sz w:val="24"/>
          <w:szCs w:val="24"/>
          <w:highlight w:val="none"/>
        </w:rPr>
        <w:t xml:space="preserve">3、工期要求</w:t>
      </w:r>
      <w:bookmarkEnd w:id="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本工程合同工期，</w:t>
      </w:r>
      <w:r>
        <w:rPr>
          <w:rFonts w:hint="eastAsia" w:ascii="宋体" w:hAnsi="宋体" w:eastAsia="宋体" w:cs="宋体"/>
          <w:bCs/>
          <w:color w:val="auto"/>
          <w:sz w:val="24"/>
          <w:szCs w:val="24"/>
          <w:highlight w:val="none"/>
          <w:u w:val="single"/>
        </w:rPr>
        <w:t xml:space="preserve">为</w:t>
      </w:r>
      <w:r>
        <w:rPr>
          <w:rFonts w:hint="eastAsia" w:ascii="宋体" w:hAnsi="宋体" w:cs="宋体"/>
          <w:bCs/>
          <w:color w:val="auto"/>
          <w:sz w:val="24"/>
          <w:szCs w:val="24"/>
          <w:highlight w:val="none"/>
          <w:u w:val="single"/>
          <w:lang w:val="en-US" w:eastAsia="zh-CN"/>
        </w:rPr>
        <w:t xml:space="preserve">90</w:t>
      </w:r>
      <w:r>
        <w:rPr>
          <w:rFonts w:hint="eastAsia" w:ascii="宋体" w:hAnsi="宋体" w:eastAsia="宋体" w:cs="宋体"/>
          <w:b/>
          <w:color w:val="auto"/>
          <w:sz w:val="24"/>
          <w:szCs w:val="24"/>
          <w:highlight w:val="none"/>
          <w:u w:val="single"/>
        </w:rPr>
        <w:t xml:space="preserve">天</w:t>
      </w:r>
      <w:r>
        <w:rPr>
          <w:rFonts w:hint="eastAsia" w:ascii="宋体" w:hAnsi="宋体" w:eastAsia="宋体" w:cs="宋体"/>
          <w:bCs/>
          <w:color w:val="auto"/>
          <w:sz w:val="24"/>
          <w:szCs w:val="24"/>
          <w:highlight w:val="none"/>
        </w:rPr>
        <w:t xml:space="preserve">（日历天，从开工之日算起）；开工之日以</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人正式通知之日为准。</w:t>
      </w:r>
      <w:r>
        <w:rPr>
          <w:rFonts w:hint="eastAsia" w:ascii="宋体" w:hAnsi="宋体" w:eastAsia="宋体" w:cs="宋体"/>
          <w:color w:val="auto"/>
          <w:sz w:val="24"/>
          <w:szCs w:val="24"/>
          <w:highlight w:val="none"/>
        </w:rPr>
        <w:t xml:space="preserve">工期每延误一天，供应商按合同总价1%支付违约金。因非供应商原因造成的停电、停水或不可抗力因素影响，导致停工的，或因工程变更增加供应商工程量的工期相应顺延。</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6" w:name="_Toc176441553"/>
      <w:r>
        <w:rPr>
          <w:rFonts w:hint="eastAsia" w:ascii="宋体" w:hAnsi="宋体" w:eastAsia="宋体" w:cs="宋体"/>
          <w:b/>
          <w:bCs/>
          <w:color w:val="auto"/>
          <w:sz w:val="24"/>
          <w:szCs w:val="24"/>
          <w:highlight w:val="none"/>
        </w:rPr>
        <w:t xml:space="preserve">4、结算方式</w:t>
      </w:r>
      <w:bookmarkEnd w:id="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报价部分：施工单价按</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单价结算，工程量按实际工程量结算，以审计审核为准。</w:t>
      </w:r>
      <w:r/>
    </w:p>
    <w:p>
      <w:pPr>
        <w:ind w:firstLine="480"/>
        <w:spacing w:line="360" w:lineRule="auto"/>
        <w:rPr>
          <w:rFonts w:hint="eastAsia" w:ascii="宋体" w:hAnsi="宋体" w:eastAsia="宋体" w:cs="宋体"/>
          <w:b/>
          <w:bCs/>
          <w:color w:val="auto"/>
          <w:sz w:val="24"/>
          <w:szCs w:val="24"/>
          <w:highlight w:val="none"/>
        </w:rPr>
      </w:pPr>
      <w:r/>
      <w:bookmarkStart w:id="7" w:name="_Hlk41983849"/>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零星项目及因非承包人原因引起的新增工程内容，结算按2009年版《江苏省房屋修缮工程计价表》，2014年版《江苏省建筑与装饰工程计价定额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江苏省安装工程计价定额》，《江苏省建设工程费用定额》及202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年第</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期南通建设工程造价信息，按原</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控制价</w:t>
      </w:r>
      <w:r>
        <w:rPr>
          <w:rFonts w:hint="eastAsia" w:ascii="宋体" w:hAnsi="宋体" w:eastAsia="宋体" w:cs="宋体"/>
          <w:b/>
          <w:bCs/>
          <w:color w:val="auto"/>
          <w:sz w:val="24"/>
          <w:szCs w:val="24"/>
          <w:highlight w:val="none"/>
          <w:u w:val="single"/>
        </w:rPr>
        <w:t xml:space="preserve">同比例</w:t>
      </w:r>
      <w:r>
        <w:rPr>
          <w:rFonts w:hint="eastAsia" w:ascii="宋体" w:hAnsi="宋体" w:eastAsia="宋体" w:cs="宋体"/>
          <w:color w:val="auto"/>
          <w:sz w:val="24"/>
          <w:szCs w:val="24"/>
          <w:highlight w:val="none"/>
        </w:rPr>
        <w:t xml:space="preserve">下浮结算，甲方认质认价材料及签证独立费不予下浮，工程量以现场测量为准。</w:t>
      </w:r>
      <w:r/>
    </w:p>
    <w:p>
      <w:pPr>
        <w:ind w:firstLine="482"/>
        <w:keepLines/>
        <w:keepNext/>
        <w:spacing w:line="360" w:lineRule="auto"/>
        <w:rPr>
          <w:rFonts w:hint="eastAsia" w:ascii="宋体" w:hAnsi="宋体" w:eastAsia="宋体" w:cs="宋体"/>
          <w:b/>
          <w:bCs/>
          <w:color w:val="auto"/>
          <w:sz w:val="24"/>
          <w:szCs w:val="24"/>
          <w:highlight w:val="none"/>
        </w:rPr>
        <w:outlineLvl w:val="1"/>
      </w:pPr>
      <w:r/>
      <w:bookmarkStart w:id="8" w:name="_Toc176441554"/>
      <w:r>
        <w:rPr>
          <w:rFonts w:hint="eastAsia" w:ascii="宋体" w:hAnsi="宋体" w:eastAsia="宋体" w:cs="宋体"/>
          <w:b/>
          <w:bCs/>
          <w:color w:val="auto"/>
          <w:sz w:val="24"/>
          <w:szCs w:val="24"/>
          <w:highlight w:val="none"/>
        </w:rPr>
        <w:t xml:space="preserve">5、付款方式</w:t>
      </w:r>
      <w:bookmarkEnd w:id="7"/>
      <w:r/>
      <w:bookmarkEnd w:id="8"/>
      <w:r/>
      <w:r/>
    </w:p>
    <w:p>
      <w:pPr>
        <w:pStyle w:val="743"/>
        <w:numPr>
          <w:ilvl w:val="0"/>
          <w:numId w:val="0"/>
        </w:numPr>
        <w:ind w:firstLine="480"/>
        <w:spacing w:before="120" w:after="120" w:line="480" w:lineRule="exact"/>
        <w:tabs>
          <w:tab w:val="left" w:pos="0" w:leader="none"/>
        </w:tabs>
        <w:rPr>
          <w:rFonts w:hint="eastAsia" w:ascii="宋体" w:hAnsi="宋体" w:eastAsia="宋体" w:cs="宋体"/>
          <w:b/>
          <w:bCs/>
          <w:color w:val="auto"/>
          <w:sz w:val="24"/>
          <w:szCs w:val="24"/>
          <w:highlight w:val="none"/>
        </w:rPr>
      </w:pPr>
      <w:r/>
      <w:bookmarkStart w:id="9" w:name="_Toc176441555"/>
      <w:r>
        <w:rPr>
          <w:rFonts w:hint="eastAsia" w:ascii="宋体" w:hAnsi="宋体" w:cs="宋体"/>
          <w:color w:val="auto"/>
          <w:sz w:val="24"/>
          <w:szCs w:val="24"/>
          <w:highlight w:val="none"/>
          <w:lang w:val="en-US" w:eastAsia="zh-CN"/>
        </w:rPr>
        <w:t xml:space="preserve">竣工验收合格后经南通大学审计处审计完成（终审）后付</w:t>
      </w:r>
      <w:r>
        <w:rPr>
          <w:rFonts w:hint="eastAsia" w:hAnsi="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审计价的9</w:t>
      </w: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%，余款待</w:t>
      </w:r>
      <w:r>
        <w:rPr>
          <w:rFonts w:hint="eastAsia" w:hAnsi="宋体" w:cs="宋体"/>
          <w:color w:val="auto"/>
          <w:sz w:val="24"/>
          <w:szCs w:val="24"/>
          <w:highlight w:val="none"/>
          <w:lang w:val="en-US" w:eastAsia="zh-CN"/>
        </w:rPr>
        <w:t xml:space="preserve">整个项目</w:t>
      </w:r>
      <w:r>
        <w:rPr>
          <w:rFonts w:hint="eastAsia" w:ascii="宋体" w:hAnsi="宋体" w:cs="宋体"/>
          <w:color w:val="auto"/>
          <w:sz w:val="24"/>
          <w:szCs w:val="24"/>
          <w:highlight w:val="none"/>
          <w:lang w:val="en-US" w:eastAsia="zh-CN"/>
        </w:rPr>
        <w:t xml:space="preserve">保修期结束后视质保情况一次性支付。</w:t>
      </w:r>
      <w:r/>
    </w:p>
    <w:p>
      <w:pPr>
        <w:ind w:firstLine="482"/>
        <w:keepLines/>
        <w:keepNex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6、保修内容及期限</w:t>
      </w:r>
      <w:bookmarkEnd w:id="9"/>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凡乙方施工范围均在保修范围内，</w:t>
      </w:r>
      <w:r>
        <w:rPr>
          <w:rFonts w:hint="eastAsia" w:ascii="宋体" w:hAnsi="宋体" w:eastAsia="宋体" w:cs="宋体"/>
          <w:color w:val="auto"/>
          <w:sz w:val="24"/>
          <w:szCs w:val="24"/>
          <w:highlight w:val="none"/>
          <w:lang w:val="en-US" w:eastAsia="zh-CN"/>
        </w:rPr>
        <w:t xml:space="preserve">传统消防质量保修期为2年，所有智慧消防设施设备需满足10年质保并含10年的流量和电池，质量保修期自工程竣工验收合格之日起计算。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中标方</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szCs w:val="24"/>
          <w:highlight w:val="none"/>
          <w:lang w:val="zh-CN"/>
        </w:rPr>
        <w:t xml:space="preserve">免费为我校消防值班人员进行现场培训,</w:t>
      </w:r>
      <w:r>
        <w:rPr>
          <w:rFonts w:hint="eastAsia" w:ascii="宋体" w:hAnsi="宋体" w:eastAsia="宋体" w:cs="宋体"/>
          <w:color w:val="auto"/>
          <w:sz w:val="24"/>
          <w:szCs w:val="24"/>
          <w:highlight w:val="none"/>
        </w:rPr>
        <w:t xml:space="preserve">每年根据招标人要求组织项目管理部门相关人员学习智慧安消一体化管理平台（含移动端）新技术、新设备及管理理念</w:t>
      </w:r>
      <w:r>
        <w:rPr>
          <w:rFonts w:hint="eastAsia" w:ascii="宋体" w:hAnsi="宋体" w:eastAsia="宋体" w:cs="宋体"/>
          <w:color w:val="auto"/>
          <w:sz w:val="24"/>
          <w:szCs w:val="24"/>
          <w:highlight w:val="none"/>
          <w:lang w:val="en-US" w:eastAsia="zh-CN"/>
        </w:rPr>
        <w:t xml:space="preserve">一次。</w:t>
      </w:r>
      <w:r/>
    </w:p>
    <w:p>
      <w:pPr>
        <w:ind w:firstLine="482"/>
        <w:keepLines/>
        <w:keepNext/>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7、 合同生效及其他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1、本合同自签订之日起生效。</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2、甲乙方在合同签字、盖章完成后，乙方将合同扫描成PDF格式文件发给甲方，双方各自下载电子合同留存。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3、本合同应按照中华人民共和国的现行法律进行解释。</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4、甲方此项目的招标文件内相关内容具有同等法律效应。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第六部分  响应文件组成</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响  应  文  件</w:t>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 目 名 称：</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项 目 编 号：</w:t>
      </w:r>
      <w:r>
        <w:rPr>
          <w:rFonts w:hint="eastAsia" w:ascii="宋体" w:hAnsi="宋体" w:eastAsia="宋体" w:cs="宋体"/>
          <w:b/>
          <w:color w:val="auto"/>
          <w:sz w:val="24"/>
          <w:szCs w:val="24"/>
          <w:highlight w:val="none"/>
          <w:u w:val="single"/>
          <w:lang w:eastAsia="zh-CN"/>
        </w:rPr>
        <w:t xml:space="preserve">               </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 xml:space="preserve">（加盖CA电子公章）</w:t>
      </w:r>
      <w:r/>
    </w:p>
    <w:p>
      <w:pPr>
        <w:ind w:left="0" w:right="0" w:firstLine="482"/>
        <w:pageBreakBefore w:val="0"/>
        <w:spacing w:beforeAutospacing="0" w:after="0" w:afterAutospacing="0" w:line="360" w:lineRule="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jc w:val="center"/>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left="0" w:right="0" w:firstLine="482"/>
        <w:pageBreakBefore w:val="0"/>
        <w:spacing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724"/>
        <w:jc w:val="center"/>
        <w:rPr>
          <w:rFonts w:hint="eastAsia"/>
          <w:b/>
          <w:bCs/>
          <w:color w:val="auto"/>
          <w:highlight w:val="none"/>
          <w:lang w:eastAsia="zh-CN"/>
        </w:rPr>
      </w:pPr>
      <w:r>
        <w:rPr>
          <w:rFonts w:hint="eastAsia"/>
          <w:b/>
          <w:bCs/>
          <w:color w:val="auto"/>
          <w:highlight w:val="none"/>
          <w:lang w:eastAsia="zh-CN"/>
        </w:rPr>
        <w:t xml:space="preserve">响应文件目录</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1、磋商报价表；</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2、已标价工程量清单；</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eastAsia="zh-CN"/>
        </w:rPr>
        <w:t xml:space="preserve">资格审查文件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1、供应商符合《中华人民共和国政府采购法》第二十二条规定条件的承诺函（格式见附件）；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2、法定代表人身份证明书（格式见附件）；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3、法定代表人授权委托书原件，磋商代表本人身份证复印件（如有授权，格式见附件）；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4、未被“信用中国”网站（www.creditchina.gov.cn）、“中国政府采购网”（www.ccgp.gov.cn）列入失信被执行人、重大税收违法案件当事人名单、政府采购严重违法失信行为记录名单（代理机构现场查询，截图留存并归档）；</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5、诚信承诺书（格式见附件）；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6、供应商有效的营业执照；</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7、企业资质证书；</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8、企业安全生产许可证；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9、拟派项目负责人建造师注册证书、安全生产考核合格证（B证）；</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10、拟派项目负责人与供应商签订的有效的劳动合同；</w:t>
      </w:r>
      <w:r/>
    </w:p>
    <w:p>
      <w:pPr>
        <w:ind w:left="0" w:right="0" w:firstLine="480"/>
        <w:jc w:val="both"/>
        <w:keepLines w:val="0"/>
        <w:keepNext w:val="0"/>
        <w:pageBreakBefore w:val="0"/>
        <w:spacing w:beforeAutospacing="0" w:after="0" w:afterAutospacing="0" w:line="360" w:lineRule="auto"/>
        <w:widowControl/>
        <w:rPr>
          <w:rFonts w:hint="default"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11、现场勘察承诺函（格式见附件）；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12、根据《关于在我省国有资金投资工程建设项目招标投标中应用建筑企业资质动态监管结果有关要求的通知》（苏建招办〔2022〕2号）文件要求，供应商在响应文件递交截止时间当日，建筑企业资质动态监管结果不处于不合格状态。注：供应商某项被核查为不合格的资质，不得参加该资质的招投标（采购、响应）、合同备案等经营活动；</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在响应文件递交截止时间当日，采购人（或采购代理机构）登录“江苏省建筑市场监管与诚信信息一体化平台”，检查供应商的建筑业企业资质动态监管状态，对动态监管处于不合格状态的供应商进行截图保存，并提供给磋商小组；</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13、磋商公告资格要求提供相应的佐证材料；</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b w:val="0"/>
          <w:bCs w:val="0"/>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pacing w:val="0"/>
          <w:sz w:val="24"/>
          <w:szCs w:val="24"/>
          <w:highlight w:val="none"/>
          <w:lang w:val="en-US" w:eastAsia="zh-CN"/>
        </w:rPr>
        <w:t xml:space="preserve">14、其他需要提交的资格审查证明材料。</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符合性条件材料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商务部分正负偏离表（格式见附件）；</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2、技术部分正负偏离表（格式见附件）。</w:t>
      </w:r>
      <w:r/>
    </w:p>
    <w:p>
      <w:pPr>
        <w:ind w:left="0" w:right="0" w:firstLine="474"/>
        <w:jc w:val="both"/>
        <w:keepLines w:val="0"/>
        <w:keepNext w:val="0"/>
        <w:pageBreakBefore w:val="0"/>
        <w:spacing w:beforeAutospacing="0" w:after="0" w:afterAutospacing="0" w:line="360" w:lineRule="auto"/>
        <w:widowControl/>
        <w:rPr>
          <w:rFonts w:hint="eastAsia" w:ascii="宋体" w:hAnsi="宋体" w:eastAsia="宋体" w:cs="宋体"/>
          <w:b/>
          <w:bCs/>
          <w:color w:val="auto"/>
          <w:spacing w:val="-2"/>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2"/>
          <w:sz w:val="24"/>
          <w:szCs w:val="24"/>
          <w:highlight w:val="none"/>
          <w:lang w:val="zh-CN" w:eastAsia="zh-CN"/>
        </w:rPr>
        <w:t xml:space="preserve">商务技术文件</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t xml:space="preserve">1、供应商根据磋商文件打分项，提交的材料。</w:t>
      </w:r>
      <w:r/>
    </w:p>
    <w:p>
      <w:pPr>
        <w:ind w:left="0" w:right="0" w:firstLine="472"/>
        <w:jc w:val="both"/>
        <w:keepLines w:val="0"/>
        <w:keepNext w:val="0"/>
        <w:pageBreakBefore w:val="0"/>
        <w:spacing w:beforeAutospacing="0" w:after="0" w:afterAutospacing="0" w:line="360" w:lineRule="auto"/>
        <w:widowControl/>
        <w:rPr>
          <w:rFonts w:hint="eastAsia" w:ascii="宋体" w:hAnsi="宋体" w:eastAsia="宋体" w:cs="宋体"/>
          <w:color w:val="auto"/>
          <w:spacing w:val="-2"/>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lang w:eastAsia="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供应商符合《</w:t>
      </w:r>
      <w:r>
        <w:rPr>
          <w:rFonts w:hint="eastAsia" w:ascii="宋体" w:hAnsi="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（项目编号）磋商活动。针对《中华人民共和国政府采购法》第二十二条规定作出如下声明：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 年  月  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注：提供法定代表人的身份证</w:t>
      </w:r>
      <w:r>
        <w:rPr>
          <w:rFonts w:hint="eastAsia"/>
          <w:b/>
          <w:color w:val="auto"/>
          <w:sz w:val="24"/>
          <w:highlight w:val="none"/>
          <w:lang w:val="en-US" w:eastAsia="zh-CN"/>
        </w:rPr>
        <w:t xml:space="preserve">扫描件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463"/>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注：提供授权</w:t>
      </w:r>
      <w:r>
        <w:rPr>
          <w:rFonts w:ascii="宋体" w:hAnsi="宋体" w:cs="宋体"/>
          <w:b/>
          <w:color w:val="auto"/>
          <w:sz w:val="24"/>
          <w:szCs w:val="24"/>
          <w:highlight w:val="none"/>
        </w:rPr>
        <w:t xml:space="preserve">代表本人身份证</w:t>
      </w:r>
      <w:r>
        <w:rPr>
          <w:rFonts w:hint="eastAsia"/>
          <w:b/>
          <w:color w:val="auto"/>
          <w:sz w:val="24"/>
          <w:highlight w:val="none"/>
          <w:lang w:val="en-US" w:eastAsia="zh-CN"/>
        </w:rPr>
        <w:t xml:space="preserve">扫描件</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972"/>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 </w:t>
      </w:r>
      <w:r/>
    </w:p>
    <w:p>
      <w:pPr>
        <w:pStyle w:val="972"/>
        <w:jc w:val="center"/>
        <w:spacing w:line="560" w:lineRule="exact"/>
        <w:rPr>
          <w:rFonts w:ascii="Times New Roman"/>
          <w:b/>
          <w:color w:val="auto"/>
          <w:sz w:val="32"/>
          <w:szCs w:val="32"/>
          <w:highlight w:val="none"/>
          <w:lang w:bidi="ar"/>
        </w:rPr>
      </w:pPr>
      <w:r>
        <w:rPr>
          <w:rFonts w:hint="eastAsia" w:ascii="Times New Roman"/>
          <w:b/>
          <w:color w:val="auto"/>
          <w:sz w:val="32"/>
          <w:szCs w:val="32"/>
          <w:highlight w:val="none"/>
          <w:lang w:bidi="ar"/>
        </w:rPr>
        <w:t xml:space="preserve">诚信承诺书</w:t>
      </w:r>
      <w:r/>
    </w:p>
    <w:p>
      <w:pPr>
        <w:jc w:val="left"/>
        <w:keepLines w:val="0"/>
        <w:keepNext w:val="0"/>
        <w:pageBreakBefore w:val="0"/>
        <w:spacing w:line="312"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  </w:t>
      </w:r>
      <w:r>
        <w:rPr>
          <w:rFonts w:hint="eastAsia" w:ascii="宋体" w:hAnsi="宋体" w:eastAsia="宋体" w:cs="宋体"/>
          <w:b/>
          <w:bCs/>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我方已认真阅读了本项目的</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文件，现就本次</w:t>
      </w:r>
      <w:r>
        <w:rPr>
          <w:rFonts w:hint="eastAsia" w:ascii="宋体" w:hAnsi="宋体" w:cs="宋体"/>
          <w:color w:val="auto"/>
          <w:sz w:val="24"/>
          <w:szCs w:val="24"/>
          <w:highlight w:val="none"/>
          <w:lang w:val="en-US" w:eastAsia="zh-CN"/>
        </w:rPr>
        <w:t xml:space="preserve">采购活动</w:t>
      </w:r>
      <w:r>
        <w:rPr>
          <w:rFonts w:hint="eastAsia" w:ascii="宋体" w:hAnsi="宋体" w:eastAsia="宋体" w:cs="宋体"/>
          <w:color w:val="auto"/>
          <w:sz w:val="24"/>
          <w:szCs w:val="24"/>
          <w:highlight w:val="none"/>
        </w:rPr>
        <w:t xml:space="preserve">，作出如下承诺：</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1.我方拟派项目负责人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无在建工程，如果我方经本工程磋商</w:t>
      </w:r>
      <w:r>
        <w:rPr>
          <w:rFonts w:hint="eastAsia" w:ascii="宋体" w:hAnsi="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评定为</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人，在</w:t>
      </w:r>
      <w:r>
        <w:rPr>
          <w:rFonts w:hint="eastAsia" w:ascii="宋体" w:hAnsi="宋体" w:cs="宋体"/>
          <w:color w:val="auto"/>
          <w:sz w:val="24"/>
          <w:szCs w:val="24"/>
          <w:highlight w:val="none"/>
          <w:lang w:val="en-US" w:eastAsia="zh-CN"/>
        </w:rPr>
        <w:t xml:space="preserve">规定质疑、投诉时间</w:t>
      </w:r>
      <w:r>
        <w:rPr>
          <w:rFonts w:hint="eastAsia" w:ascii="宋体" w:hAnsi="宋体" w:eastAsia="宋体" w:cs="宋体"/>
          <w:color w:val="auto"/>
          <w:sz w:val="24"/>
          <w:szCs w:val="24"/>
          <w:highlight w:val="none"/>
        </w:rPr>
        <w:t xml:space="preserve">被他人举报并经核实，确认拟派项目负责人有在建工程，且不符合江苏省建设厅“苏建规字〔2017〕1号”《省住房和城乡建设厅关于改革和完善房屋建筑和市政基础设施工程招标投标制度的实施意见》附件二《江苏省房屋建筑和市政基础设施工程施工招标资格审查办法》第十条第五款的规定，你方即可取消我方</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人资格。</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2.我方承诺在本次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过程中无弄虚作假和串通投标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等违法、违规行为，并愿意承担因弄虚作假和串通投标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所引起的一切法律责任。</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3.我方不存在以下规定的情形之一：（1）为</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人不具有独立法人资格的附属机构（单位）；（2）为本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项目的监理人、代建人、项目管理人，以及为本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项目提供</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代理、设计服务的；（3）与本</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项目的监理人、代建人、</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代理机构同为一个法定代表人的，或者相互控股、参股的；（4）与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人存在利害关系可能影响</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公正性的；（5）单位负责人为同一人或者存在控股、管理关系的不同单位；（6）处于被责令停业、财产被接管、冻结和破产状态，以及投标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资格被取消或者被暂停且在暂停期内；（7）因拖欠工人工资或者发生质量安全事故被有关部门限制在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项目所在地承接工程的。</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5.我方承诺不向</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人或磋商</w:t>
      </w:r>
      <w:r>
        <w:rPr>
          <w:rFonts w:hint="eastAsia" w:ascii="宋体" w:hAnsi="宋体" w:cs="宋体"/>
          <w:color w:val="auto"/>
          <w:sz w:val="24"/>
          <w:szCs w:val="24"/>
          <w:highlight w:val="none"/>
          <w:lang w:val="en-US" w:eastAsia="zh-CN"/>
        </w:rPr>
        <w:t xml:space="preserve">小组</w:t>
      </w:r>
      <w:r>
        <w:rPr>
          <w:rFonts w:hint="eastAsia" w:ascii="宋体" w:hAnsi="宋体" w:eastAsia="宋体" w:cs="宋体"/>
          <w:color w:val="auto"/>
          <w:sz w:val="24"/>
          <w:szCs w:val="24"/>
          <w:highlight w:val="none"/>
        </w:rPr>
        <w:t xml:space="preserve">成员或相关人员行贿，以牟取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6.我方承诺不存在围标串标、借资质挂靠、恶意竞标等违法违规行为。</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7.如我方</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⑴我方承诺在收到</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通知书后，在</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文件规定的期限内与你方签订合同。</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⑵我方承诺按照</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文件规定向你方递交履约担保。</w:t>
      </w:r>
      <w:r/>
    </w:p>
    <w:p>
      <w:pPr>
        <w:ind w:firstLine="44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我方若违反上述承诺内容，自愿接受取消投标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资格、并作为不良行为记入本单位信用档案（公示），接受相关部门调查处理。</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响应供应商：（加盖公章）</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法定代表人或被授权人：（签字或盖章）</w:t>
      </w:r>
      <w:r/>
    </w:p>
    <w:p>
      <w:pPr>
        <w:jc w:val="left"/>
        <w:keepLines w:val="0"/>
        <w:keepNext w:val="0"/>
        <w:pageBreakBefore w:val="0"/>
        <w:spacing w:line="312" w:lineRule="auto"/>
        <w:widowControl w:val="off"/>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年  月  日</w:t>
      </w:r>
      <w:r/>
    </w:p>
    <w:p>
      <w:pPr>
        <w:keepLines w:val="0"/>
        <w:keepNext w:val="0"/>
        <w:pageBreakBefore w:val="0"/>
        <w:spacing w:line="312"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5</w:t>
      </w:r>
      <w:r/>
    </w:p>
    <w:p>
      <w:pPr>
        <w:contextualSpacing/>
        <w:jc w:val="center"/>
        <w:spacing w:line="300" w:lineRule="auto"/>
        <w:tabs>
          <w:tab w:val="left" w:pos="12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供应商情况一览表</w:t>
      </w:r>
      <w:r/>
    </w:p>
    <w:tbl>
      <w:tblPr>
        <w:tblStyle w:val="732"/>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固定资产</w:t>
            </w:r>
            <w:r/>
          </w:p>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33" w:hanging="48"/>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ind w:left="266" w:hanging="266"/>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本次响应</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上年</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产品技术</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曾获何级</w:t>
            </w:r>
            <w:r/>
          </w:p>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主要用户</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如有名称变更（非因该单位出现了与资格预审（如果经此程序）时的营业性质的根本改变以至不再满足本次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的要求），说明原名称因何种原因变更为现名称，并提供由工商管理部门出具的变更证明文件。</w:t>
            </w:r>
            <w:r/>
          </w:p>
        </w:tc>
      </w:tr>
      <w:tr>
        <w:trPr>
          <w:cantSplit/>
          <w:trHeight w:val="1739"/>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2"/>
        <w:spacing w:line="5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6</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文件第三部分“项目需求”中的商务部分的要求，应逐条填列在偏离表中。</w:t>
      </w:r>
      <w:r>
        <w:rPr>
          <w:rFonts w:hint="eastAsia" w:ascii="宋体" w:hAnsi="宋体" w:eastAsia="宋体" w:cs="宋体"/>
          <w:b/>
          <w:bCs/>
          <w:color w:val="auto"/>
          <w:sz w:val="24"/>
          <w:szCs w:val="24"/>
          <w:highlight w:val="none"/>
        </w:rPr>
        <w:t xml:space="preserve">（本项目不接受负偏离）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文件，由评委认定。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供应商若提供其他增值服务，可以在表中自行据实填写。</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未在此表明示的商务部分内容，视为完全响应</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6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80" w:lineRule="exact"/>
        <w:rPr>
          <w:bCs/>
          <w:color w:val="auto"/>
          <w:sz w:val="24"/>
          <w:highlight w:val="none"/>
        </w:rPr>
        <w:outlineLvl w:val="4"/>
      </w:pPr>
      <w:r>
        <w:rPr>
          <w:rFonts w:hint="eastAsia"/>
          <w:bCs/>
          <w:color w:val="auto"/>
          <w:sz w:val="24"/>
          <w:highlight w:val="none"/>
        </w:rPr>
        <w:t xml:space="preserve">响应</w:t>
      </w:r>
      <w:r>
        <w:rPr>
          <w:bCs/>
          <w:color w:val="auto"/>
          <w:sz w:val="24"/>
          <w:highlight w:val="none"/>
        </w:rPr>
        <w:t xml:space="preserve">供应商：（公章）</w:t>
      </w:r>
      <w:r/>
    </w:p>
    <w:p>
      <w:pPr>
        <w:jc w:val="left"/>
        <w:spacing w:line="480" w:lineRule="exact"/>
        <w:rPr>
          <w:bCs/>
          <w:color w:val="auto"/>
          <w:sz w:val="24"/>
          <w:highlight w:val="none"/>
        </w:rPr>
        <w:outlineLvl w:val="4"/>
      </w:pPr>
      <w:r>
        <w:rPr>
          <w:bCs/>
          <w:color w:val="auto"/>
          <w:sz w:val="24"/>
          <w:highlight w:val="none"/>
        </w:rPr>
        <w:t xml:space="preserve">法定代表人或被授权人：（签字或盖章）</w:t>
      </w:r>
      <w:r/>
    </w:p>
    <w:p>
      <w:pPr>
        <w:jc w:val="left"/>
        <w:spacing w:line="480" w:lineRule="exact"/>
        <w:rPr>
          <w:bCs/>
          <w:color w:val="auto"/>
          <w:sz w:val="24"/>
          <w:highlight w:val="none"/>
        </w:rPr>
        <w:outlineLvl w:val="4"/>
      </w:pPr>
      <w:r>
        <w:rPr>
          <w:bCs/>
          <w:color w:val="auto"/>
          <w:sz w:val="24"/>
          <w:highlight w:val="none"/>
        </w:rPr>
        <w:t xml:space="preserve">年  月  日</w:t>
      </w:r>
      <w:r/>
    </w:p>
    <w:p>
      <w:pPr>
        <w:pStyle w:val="762"/>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r>
      <w:r/>
    </w:p>
    <w:p>
      <w:pPr>
        <w:pStyle w:val="97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（由供应商据实填写，表格不够自行添加）</w:t>
      </w:r>
      <w:r/>
    </w:p>
    <w:tbl>
      <w:tblPr>
        <w:tblStyle w:val="7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文件第三部分“项目需求”中的技术部分的要求，应逐条填列在偏离表中。</w:t>
      </w:r>
      <w:r>
        <w:rPr>
          <w:rFonts w:hint="eastAsia" w:ascii="宋体" w:hAnsi="宋体" w:eastAsia="宋体" w:cs="宋体"/>
          <w:b/>
          <w:bCs/>
          <w:color w:val="auto"/>
          <w:sz w:val="24"/>
          <w:szCs w:val="24"/>
          <w:highlight w:val="none"/>
        </w:rPr>
        <w:t xml:space="preserve">（本项目不接受负偏离）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文件，由评委认定。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.供应商若提供其他增值服务，可以在表中自行据实填写。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未在此表明示的技术部分内容，视为完全响应</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w:t>
      </w:r>
      <w:r/>
    </w:p>
    <w:p>
      <w:pPr>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480" w:lineRule="exact"/>
        <w:rPr>
          <w:bCs/>
          <w:color w:val="auto"/>
          <w:sz w:val="24"/>
          <w:highlight w:val="none"/>
        </w:rPr>
        <w:outlineLvl w:val="4"/>
      </w:pPr>
      <w:r>
        <w:rPr>
          <w:rFonts w:hint="eastAsia"/>
          <w:bCs/>
          <w:color w:val="auto"/>
          <w:sz w:val="24"/>
          <w:highlight w:val="none"/>
        </w:rPr>
        <w:t xml:space="preserve">响应</w:t>
      </w:r>
      <w:r>
        <w:rPr>
          <w:bCs/>
          <w:color w:val="auto"/>
          <w:sz w:val="24"/>
          <w:highlight w:val="none"/>
        </w:rPr>
        <w:t xml:space="preserve">供应商：（公章）</w:t>
      </w:r>
      <w:r/>
    </w:p>
    <w:p>
      <w:pPr>
        <w:jc w:val="left"/>
        <w:spacing w:line="480" w:lineRule="exact"/>
        <w:rPr>
          <w:bCs/>
          <w:color w:val="auto"/>
          <w:sz w:val="24"/>
          <w:highlight w:val="none"/>
        </w:rPr>
        <w:outlineLvl w:val="4"/>
      </w:pPr>
      <w:r>
        <w:rPr>
          <w:bCs/>
          <w:color w:val="auto"/>
          <w:sz w:val="24"/>
          <w:highlight w:val="none"/>
        </w:rPr>
        <w:t xml:space="preserve">法定代表人或被授权人：（签字或盖章）</w:t>
      </w:r>
      <w:r/>
    </w:p>
    <w:p>
      <w:pPr>
        <w:jc w:val="left"/>
        <w:spacing w:line="480" w:lineRule="exact"/>
        <w:rPr>
          <w:bCs/>
          <w:color w:val="auto"/>
          <w:sz w:val="24"/>
          <w:highlight w:val="none"/>
        </w:rPr>
        <w:outlineLvl w:val="4"/>
      </w:pPr>
      <w:r>
        <w:rPr>
          <w:bCs/>
          <w:color w:val="auto"/>
          <w:sz w:val="24"/>
          <w:highlight w:val="none"/>
        </w:rPr>
        <w:t xml:space="preserve">年  月  日</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7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cs="宋体"/>
          <w:b/>
          <w:bCs/>
          <w:color w:val="auto"/>
          <w:sz w:val="32"/>
          <w:szCs w:val="32"/>
          <w:highlight w:val="none"/>
          <w:lang w:val="en-US" w:eastAsia="zh-CN"/>
        </w:rPr>
        <w:t xml:space="preserve">8</w:t>
      </w:r>
      <w:r/>
    </w:p>
    <w:p>
      <w:pPr>
        <w:contextualSpacing/>
        <w:jc w:val="both"/>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contextualSpacing/>
        <w:jc w:val="center"/>
        <w:spacing w:line="300" w:lineRule="auto"/>
        <w:rPr>
          <w:b/>
          <w:color w:val="auto"/>
          <w:sz w:val="32"/>
          <w:szCs w:val="32"/>
          <w:highlight w:val="none"/>
        </w:rPr>
      </w:pPr>
      <w:r>
        <w:rPr>
          <w:b/>
          <w:color w:val="auto"/>
          <w:sz w:val="32"/>
          <w:szCs w:val="32"/>
          <w:highlight w:val="none"/>
        </w:rPr>
        <w:t xml:space="preserve">现场勘察承诺函</w:t>
      </w:r>
      <w:r/>
    </w:p>
    <w:p>
      <w:pPr>
        <w:jc w:val="center"/>
        <w:spacing w:line="520" w:lineRule="exact"/>
        <w:rPr>
          <w:b/>
          <w:bCs/>
          <w:color w:val="auto"/>
          <w:sz w:val="24"/>
          <w:highlight w:val="none"/>
        </w:rPr>
        <w:outlineLvl w:val="4"/>
      </w:pPr>
      <w:r>
        <w:rPr>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default"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自行进行现场勘察，如现场勘察需要协助，请联系现场勘察联系人：王老师（电话：</w:t>
      </w:r>
      <w:r>
        <w:rPr>
          <w:rFonts w:hint="eastAsia" w:ascii="宋体" w:hAnsi="宋体" w:eastAsia="宋体" w:cs="宋体"/>
          <w:b/>
          <w:bCs/>
          <w:color w:val="auto"/>
          <w:sz w:val="24"/>
          <w:szCs w:val="24"/>
          <w:highlight w:val="none"/>
          <w:lang w:val="en-US" w:eastAsia="zh-CN"/>
        </w:rPr>
        <w:t xml:space="preserve">0513-</w:t>
      </w:r>
      <w:r>
        <w:rPr>
          <w:rFonts w:hint="eastAsia" w:ascii="宋体" w:hAnsi="宋体" w:eastAsia="宋体" w:cs="宋体"/>
          <w:b/>
          <w:bCs/>
          <w:color w:val="auto"/>
          <w:sz w:val="24"/>
          <w:szCs w:val="24"/>
          <w:highlight w:val="none"/>
        </w:rPr>
        <w:t xml:space="preserve">85012109）</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pStyle w:val="972"/>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附件</w:t>
      </w:r>
      <w:r>
        <w:rPr>
          <w:rFonts w:hint="eastAsia" w:ascii="宋体" w:hAnsi="宋体" w:eastAsia="宋体" w:cs="宋体"/>
          <w:b/>
          <w:bCs/>
          <w:color w:val="auto"/>
          <w:sz w:val="32"/>
          <w:szCs w:val="32"/>
          <w:highlight w:val="none"/>
          <w:lang w:val="en-US" w:eastAsia="zh-CN"/>
        </w:rPr>
        <w:t xml:space="preserve">9</w:t>
      </w:r>
      <w:r/>
    </w:p>
    <w:p>
      <w:pPr>
        <w:pStyle w:val="723"/>
        <w:ind w:left="0" w:right="0" w:firstLine="643"/>
        <w:jc w:val="center"/>
        <w:pageBreakBefore w:val="0"/>
        <w:spacing w:before="0" w:beforeAutospacing="0" w:after="0" w:afterAutospacing="0" w:line="360" w:lineRule="auto"/>
        <w:rPr>
          <w:rFonts w:hint="eastAsia" w:ascii="宋体" w:hAnsi="宋体" w:eastAsia="宋体" w:cs="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lang w:eastAsia="zh-CN"/>
        </w:rPr>
        <w:t xml:space="preserve">磋商报价表</w:t>
      </w:r>
      <w:r/>
    </w:p>
    <w:p>
      <w:pPr>
        <w:pStyle w:val="723"/>
        <w:ind w:left="0" w:right="0" w:firstLine="480"/>
        <w:jc w:val="center"/>
        <w:pageBreakBefore w:val="0"/>
        <w:spacing w:before="0"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本次为首次报价                货币单位：人民币元</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包号：</w:t>
      </w:r>
      <w:r>
        <w:rPr>
          <w:rFonts w:hint="eastAsia" w:ascii="宋体" w:hAnsi="宋体" w:eastAsia="宋体" w:cs="宋体"/>
          <w:color w:val="auto"/>
          <w:sz w:val="24"/>
          <w:szCs w:val="24"/>
          <w:highlight w:val="none"/>
        </w:rPr>
        <w:t xml:space="preserve">  </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8"/>
        <w:gridCol w:w="2485"/>
        <w:gridCol w:w="379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1、报价包括完成项目的所有费用。采购人不再支付报价以外的任何费用。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2、报价以总价为准，大小写不一致以大写为准；</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3、偏离说明：详见《偏离表》；</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4、如最后报价未列明单价，则最后所报各项单价计算方法为：（最后报价/最初报价）*各项最初报价的单价。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响应单位（公章）：</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rPr>
          <w:rFonts w:hint="eastAsia" w:eastAsia="方正黑体_GBK"/>
          <w:color w:val="auto"/>
          <w:sz w:val="32"/>
          <w:szCs w:val="32"/>
          <w:highlight w:val="none"/>
          <w:lang w:val="en-US" w:eastAsia="zh-CN"/>
        </w:rPr>
      </w:pPr>
      <w:r>
        <w:rPr>
          <w:rFonts w:asci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10</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t xml:space="preserve">中小企业声明函（工程）</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bidi="zh-CN"/>
        </w:rPr>
        <w:t xml:space="preserve">（单位名称）</w:t>
      </w:r>
      <w:r>
        <w:rPr>
          <w:rFonts w:hint="eastAsia" w:ascii="宋体" w:hAnsi="宋体" w:eastAsia="宋体" w:cs="宋体"/>
          <w:color w:val="auto"/>
          <w:sz w:val="24"/>
          <w:szCs w:val="24"/>
          <w:highlight w:val="none"/>
          <w:lang w:bidi="zh-CN"/>
        </w:rPr>
        <w:t xml:space="preserve">的</w:t>
      </w:r>
      <w:r>
        <w:rPr>
          <w:rFonts w:hint="eastAsia" w:ascii="宋体" w:hAnsi="宋体" w:eastAsia="宋体" w:cs="宋体"/>
          <w:color w:val="auto"/>
          <w:sz w:val="24"/>
          <w:szCs w:val="24"/>
          <w:highlight w:val="none"/>
          <w:u w:val="single"/>
          <w:lang w:bidi="zh-CN"/>
        </w:rPr>
        <w:t xml:space="preserve">（项目名称）</w:t>
      </w:r>
      <w:r>
        <w:rPr>
          <w:rFonts w:hint="eastAsia" w:ascii="宋体" w:hAnsi="宋体" w:eastAsia="宋体" w:cs="宋体"/>
          <w:color w:val="auto"/>
          <w:sz w:val="24"/>
          <w:szCs w:val="24"/>
          <w:highlight w:val="none"/>
          <w:lang w:bidi="zh-CN"/>
        </w:rPr>
        <w:t xml:space="preserve">采购活动，工程的施工单位全部为符合政策要求的中小企业。相关企业（含联合体中的中小企业、签订分包意向协议的中小企业）的具体情况如下：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ind w:firstLine="480"/>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u w:val="single"/>
          <w:lang w:bidi="zh-CN"/>
        </w:rPr>
        <w:t xml:space="preserve">（标的名称）</w:t>
      </w:r>
      <w:r>
        <w:rPr>
          <w:rFonts w:hint="eastAsia" w:ascii="宋体" w:hAnsi="宋体" w:eastAsia="宋体" w:cs="宋体"/>
          <w:color w:val="auto"/>
          <w:sz w:val="24"/>
          <w:szCs w:val="24"/>
          <w:highlight w:val="none"/>
          <w:lang w:bidi="zh-CN"/>
        </w:rPr>
        <w:t xml:space="preserve">，属于（</w:t>
      </w:r>
      <w:r>
        <w:rPr>
          <w:rFonts w:hint="eastAsia" w:ascii="宋体" w:hAnsi="宋体" w:eastAsia="宋体" w:cs="宋体"/>
          <w:color w:val="auto"/>
          <w:sz w:val="24"/>
          <w:szCs w:val="24"/>
          <w:highlight w:val="none"/>
          <w:u w:val="single"/>
          <w:lang w:bidi="zh-CN"/>
        </w:rPr>
        <w:t xml:space="preserve">采购文件中明确的所属行业）</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eastAsia="宋体" w:cs="宋体"/>
          <w:color w:val="auto"/>
          <w:sz w:val="24"/>
          <w:szCs w:val="24"/>
          <w:highlight w:val="none"/>
          <w:lang w:bidi="zh-CN"/>
        </w:rPr>
        <w:t xml:space="preserve">，从业人员</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人，营业收入为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万元，资产总额为</w:t>
      </w:r>
      <w:r>
        <w:rPr>
          <w:rFonts w:hint="eastAsia" w:ascii="宋体" w:hAnsi="宋体" w:eastAsia="宋体" w:cs="宋体"/>
          <w:color w:val="auto"/>
          <w:sz w:val="24"/>
          <w:szCs w:val="24"/>
          <w:highlight w:val="none"/>
          <w:u w:val="single"/>
          <w:lang w:bidi="zh-CN"/>
        </w:rPr>
        <w:t xml:space="preserve"> </w:t>
      </w:r>
      <w:r>
        <w:rPr>
          <w:rFonts w:hint="eastAsia" w:ascii="宋体" w:hAnsi="宋体" w:eastAsia="宋体" w:cs="宋体"/>
          <w:color w:val="auto"/>
          <w:sz w:val="24"/>
          <w:szCs w:val="24"/>
          <w:highlight w:val="none"/>
          <w:u w:val="single"/>
          <w:lang w:bidi="zh-CN"/>
        </w:rPr>
        <w:tab/>
      </w:r>
      <w:r>
        <w:rPr>
          <w:rFonts w:hint="eastAsia" w:ascii="宋体" w:hAnsi="宋体" w:eastAsia="宋体" w:cs="宋体"/>
          <w:color w:val="auto"/>
          <w:sz w:val="24"/>
          <w:szCs w:val="24"/>
          <w:highlight w:val="none"/>
          <w:lang w:bidi="zh-CN"/>
        </w:rPr>
        <w:t xml:space="preserve">万元，属于</w:t>
      </w:r>
      <w:r>
        <w:rPr>
          <w:rFonts w:hint="eastAsia" w:ascii="宋体" w:hAnsi="宋体" w:eastAsia="宋体" w:cs="宋体"/>
          <w:color w:val="auto"/>
          <w:sz w:val="24"/>
          <w:szCs w:val="24"/>
          <w:highlight w:val="none"/>
          <w:u w:val="single"/>
          <w:lang w:bidi="zh-CN"/>
        </w:rPr>
        <w:t xml:space="preserve">（中型企业、小型企业、微型企业）</w:t>
      </w:r>
      <w:r>
        <w:rPr>
          <w:rFonts w:hint="eastAsia" w:ascii="宋体" w:hAnsi="宋体" w:eastAsia="宋体" w:cs="宋体"/>
          <w:color w:val="auto"/>
          <w:sz w:val="24"/>
          <w:szCs w:val="24"/>
          <w:highlight w:val="none"/>
          <w:lang w:bidi="zh-CN"/>
        </w:rPr>
        <w:t xml:space="preserve">；</w:t>
      </w:r>
      <w:r/>
    </w:p>
    <w:p>
      <w:pPr>
        <w:jc w:val="left"/>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本企业对上述声明内容的真实性负责。如有虚假，将依法承担相应责任。</w:t>
      </w:r>
      <w:r/>
    </w:p>
    <w:p>
      <w:pPr>
        <w:spacing w:line="300" w:lineRule="auto"/>
        <w:rPr>
          <w:rFonts w:hint="eastAsia"/>
          <w:color w:val="auto"/>
          <w:sz w:val="28"/>
          <w:szCs w:val="28"/>
          <w:highlight w:val="none"/>
          <w:lang w:bidi="zh-CN"/>
        </w:rPr>
        <w:outlineLvl w:val="0"/>
      </w:pPr>
      <w:r>
        <w:rPr>
          <w:rFonts w:hint="eastAsia"/>
          <w:color w:val="auto"/>
          <w:sz w:val="28"/>
          <w:szCs w:val="28"/>
          <w:highlight w:val="none"/>
          <w:lang w:bidi="zh-CN"/>
        </w:rPr>
      </w:r>
      <w:r/>
    </w:p>
    <w:p>
      <w:pPr>
        <w:spacing w:line="300" w:lineRule="auto"/>
        <w:rPr>
          <w:rFonts w:hint="eastAsia"/>
          <w:color w:val="auto"/>
          <w:sz w:val="28"/>
          <w:szCs w:val="28"/>
          <w:highlight w:val="none"/>
          <w:lang w:bidi="zh-CN"/>
        </w:rPr>
        <w:outlineLvl w:val="0"/>
      </w:pPr>
      <w:r>
        <w:rPr>
          <w:rFonts w:hint="eastAsia"/>
          <w:color w:val="auto"/>
          <w:sz w:val="28"/>
          <w:szCs w:val="28"/>
          <w:highlight w:val="none"/>
          <w:lang w:bidi="zh-CN"/>
        </w:rPr>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企业名称（盖章）：</w:t>
      </w:r>
      <w:r/>
    </w:p>
    <w:p>
      <w:pPr>
        <w:ind w:firstLine="4200"/>
        <w:spacing w:line="300" w:lineRule="auto"/>
        <w:rPr>
          <w:rFonts w:hint="eastAsia" w:ascii="宋体" w:hAnsi="宋体" w:eastAsia="宋体" w:cs="宋体"/>
          <w:color w:val="auto"/>
          <w:sz w:val="24"/>
          <w:szCs w:val="24"/>
          <w:highlight w:val="none"/>
          <w:lang w:bidi="zh-CN"/>
        </w:rPr>
        <w:outlineLvl w:val="0"/>
      </w:pPr>
      <w:r>
        <w:rPr>
          <w:rFonts w:hint="eastAsia" w:ascii="宋体" w:hAnsi="宋体" w:eastAsia="宋体" w:cs="宋体"/>
          <w:color w:val="auto"/>
          <w:sz w:val="24"/>
          <w:szCs w:val="24"/>
          <w:highlight w:val="none"/>
          <w:lang w:bidi="zh-CN"/>
        </w:rPr>
        <w:t xml:space="preserve">日期：</w:t>
      </w:r>
      <w:r/>
    </w:p>
    <w:p>
      <w:pPr>
        <w:spacing w:line="300" w:lineRule="auto"/>
        <w:rPr>
          <w:color w:val="auto"/>
          <w:sz w:val="28"/>
          <w:szCs w:val="28"/>
          <w:highlight w:val="none"/>
          <w:lang w:bidi="zh-CN"/>
        </w:rPr>
        <w:outlineLvl w:val="0"/>
      </w:pPr>
      <w:r>
        <w:rPr>
          <w:color w:val="auto"/>
          <w:sz w:val="28"/>
          <w:szCs w:val="28"/>
          <w:highlight w:val="none"/>
          <w:lang w:bidi="zh-CN"/>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br w:type="page" w:clear="all"/>
      </w: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1</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480"/>
        <w:spacing w:line="588"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（备注：1、供应商如不提供此声明函，价格将不做相应扣除。2、供应商为残疾人福利单位的，此声明函将随</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结果同时公告，接受社会监督）</w:t>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ind w:right="1560" w:firstLine="504"/>
        <w:jc w:val="center"/>
        <w:spacing w:line="588" w:lineRule="exact"/>
        <w:tabs>
          <w:tab w:val="left" w:pos="4860" w:leader="none"/>
        </w:tabs>
        <w:rPr>
          <w:rFonts w:ascii="宋体" w:hAnsi="宋体"/>
          <w:color w:val="auto"/>
          <w:sz w:val="24"/>
          <w:szCs w:val="24"/>
          <w:highlight w:val="none"/>
        </w:rPr>
      </w:pPr>
      <w:r>
        <w:rPr>
          <w:rFonts w:hint="eastAsia" w:ascii="仿宋_GB2312" w:eastAsia="仿宋_GB2312"/>
          <w:color w:val="auto"/>
          <w:spacing w:val="6"/>
          <w:sz w:val="24"/>
          <w:szCs w:val="24"/>
          <w:highlight w:val="none"/>
        </w:rPr>
        <w:t xml:space="preserve">             </w:t>
      </w:r>
      <w:r>
        <w:rPr>
          <w:rFonts w:hint="eastAsia" w:ascii="宋体" w:hAnsi="宋体"/>
          <w:color w:val="auto"/>
          <w:sz w:val="24"/>
          <w:szCs w:val="24"/>
          <w:highlight w:val="none"/>
        </w:rPr>
        <w:t xml:space="preserve">           供应商全称（盖章）：</w:t>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00" w:lineRule="auto"/>
        <w:rPr>
          <w:rFonts w:eastAsia="方正黑体_GBK"/>
          <w:color w:val="auto"/>
          <w:sz w:val="32"/>
          <w:szCs w:val="32"/>
          <w:highlight w:val="none"/>
        </w:rPr>
        <w:sectPr>
          <w:footerReference w:type="default" r:id="rId12"/>
          <w:footnotePr/>
          <w:endnotePr/>
          <w:type w:val="nextPage"/>
          <w:pgSz w:w="11907" w:h="16839" w:orient="portrait"/>
          <w:pgMar w:top="1418" w:right="1588" w:bottom="1418" w:left="1588" w:header="851" w:footer="851" w:gutter="0"/>
          <w:cols w:num="1" w:sep="0" w:space="720" w:equalWidth="1"/>
          <w:docGrid w:linePitch="360"/>
        </w:sectPr>
        <w:outlineLvl w:val="0"/>
      </w:pPr>
      <w:r>
        <w:rPr>
          <w:rFonts w:eastAsia="方正黑体_GBK"/>
          <w:color w:val="auto"/>
          <w:sz w:val="32"/>
          <w:szCs w:val="32"/>
          <w:highlight w:val="none"/>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2</w:t>
      </w:r>
      <w:r/>
    </w:p>
    <w:p>
      <w:pPr>
        <w:jc w:val="center"/>
        <w:spacing w:line="420" w:lineRule="exact"/>
        <w:rPr>
          <w:rFonts w:ascii="Calibri" w:hAnsi="Calibri"/>
          <w:b/>
          <w:bCs/>
          <w:color w:val="auto"/>
          <w:sz w:val="32"/>
          <w:szCs w:val="32"/>
          <w:highlight w:val="none"/>
        </w:rPr>
        <w:outlineLvl w:val="3"/>
      </w:pPr>
      <w:r>
        <w:rPr>
          <w:rFonts w:hint="eastAsia" w:ascii="Calibri" w:hAnsi="Calibri"/>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spacing w:line="300" w:lineRule="auto"/>
        <w:rPr>
          <w:rFonts w:hint="eastAsia" w:eastAsia="方正黑体_GBK"/>
          <w:color w:val="auto"/>
          <w:sz w:val="32"/>
          <w:szCs w:val="32"/>
          <w:highlight w:val="none"/>
          <w:lang w:eastAsia="zh-CN"/>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3</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质疑函范本</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一、质疑供应商基本信息</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质疑供应商：</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授权代表：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联系电话：</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地址：邮编：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二、质疑项目基本情况</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质疑项目的编号：包号：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采购单位名称：</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采购文件获取日期：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三、质疑事项具体内容</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质疑事项1：</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事实依据：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法律依据：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质疑事项2</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四、与质疑事项相关的质疑请求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请求：</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签字(签章)：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公章：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p>
    <w:p>
      <w:pPr>
        <w:ind w:left="0" w:right="0" w:firstLine="482"/>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质疑函制作说明：</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1.供应商提出质疑时，应提交质疑函和必要的证明材料。</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3.质疑供应商若对项目的某一分包进行质疑，质疑函中应列明具体分包号。</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4.质疑函的质疑事项应具体、明确，并有必要的事实依据和法律依据。</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5.质疑函的质疑请求应与质疑事项相关。</w:t>
      </w:r>
      <w:r/>
    </w:p>
    <w:p>
      <w:pPr>
        <w:ind w:left="0" w:right="0" w:firstLine="480"/>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pageBreakBefore w:val="0"/>
        <w:spacing w:beforeAutospacing="0" w:after="0" w:afterAutospacing="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ind w:left="0" w:right="0" w:firstLine="723"/>
        <w:jc w:val="center"/>
        <w:pageBreakBefore w:val="0"/>
        <w:spacing w:beforeAutospacing="0" w:after="0" w:afterAutospacing="0" w:line="360" w:lineRule="auto"/>
        <w:rPr>
          <w:rFonts w:hint="eastAsia" w:ascii="宋体" w:hAnsi="宋体" w:eastAsia="宋体" w:cs="宋体"/>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第七部分 工程量清单</w:t>
      </w:r>
      <w:r/>
    </w:p>
    <w:p>
      <w:pPr>
        <w:ind w:left="0" w:right="0" w:firstLine="480"/>
        <w:jc w:val="center"/>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（详见附件）</w:t>
      </w:r>
      <w:r/>
    </w:p>
    <w:p>
      <w:pPr>
        <w:ind w:right="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sectPr>
      <w:headerReference w:type="default" r:id="rId10"/>
      <w:footerReference w:type="default" r:id="rId13"/>
      <w:footnotePr/>
      <w:endnotePr/>
      <w:type w:val="nextPage"/>
      <w:pgSz w:w="11906" w:h="16838" w:orient="portrait"/>
      <w:pgMar w:top="1701" w:right="1701" w:bottom="1701" w:left="1701"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_GB2312">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MS Mincho">
    <w:panose1 w:val="020206030504050903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22">
    <w:name w:val="Heading 1"/>
    <w:basedOn w:val="721"/>
    <w:next w:val="721"/>
    <w:link w:val="770"/>
    <w:uiPriority w:val="9"/>
    <w:qFormat/>
    <w:pPr>
      <w:keepLines/>
      <w:keepNext/>
      <w:spacing w:before="480"/>
      <w:outlineLvl w:val="0"/>
    </w:pPr>
    <w:rPr>
      <w:rFonts w:ascii="Arial" w:hAnsi="Arial" w:eastAsia="Arial" w:cs="Arial"/>
      <w:sz w:val="40"/>
      <w:szCs w:val="40"/>
    </w:rPr>
  </w:style>
  <w:style w:type="paragraph" w:styleId="723">
    <w:name w:val="Heading 2"/>
    <w:basedOn w:val="721"/>
    <w:next w:val="721"/>
    <w:link w:val="769"/>
    <w:uiPriority w:val="9"/>
    <w:unhideWhenUsed/>
    <w:qFormat/>
    <w:pPr>
      <w:keepLines/>
      <w:keepNext/>
      <w:spacing w:before="360"/>
      <w:outlineLvl w:val="1"/>
    </w:pPr>
    <w:rPr>
      <w:rFonts w:ascii="Arial" w:hAnsi="Arial" w:eastAsia="Arial" w:cs="Arial"/>
      <w:sz w:val="34"/>
    </w:rPr>
  </w:style>
  <w:style w:type="paragraph" w:styleId="724">
    <w:name w:val="Heading 3"/>
    <w:basedOn w:val="721"/>
    <w:next w:val="721"/>
    <w:link w:val="830"/>
    <w:uiPriority w:val="9"/>
    <w:unhideWhenUsed/>
    <w:qFormat/>
    <w:pPr>
      <w:keepLines/>
      <w:keepNext/>
      <w:spacing w:before="320"/>
      <w:outlineLvl w:val="2"/>
    </w:pPr>
    <w:rPr>
      <w:rFonts w:ascii="Arial" w:hAnsi="Arial" w:eastAsia="Arial" w:cs="Arial"/>
      <w:sz w:val="30"/>
      <w:szCs w:val="30"/>
    </w:rPr>
  </w:style>
  <w:style w:type="paragraph" w:styleId="725">
    <w:name w:val="Heading 4"/>
    <w:basedOn w:val="721"/>
    <w:next w:val="721"/>
    <w:link w:val="831"/>
    <w:uiPriority w:val="9"/>
    <w:unhideWhenUsed/>
    <w:qFormat/>
    <w:pPr>
      <w:keepLines/>
      <w:keepNext/>
      <w:spacing w:before="320"/>
      <w:outlineLvl w:val="3"/>
    </w:pPr>
    <w:rPr>
      <w:rFonts w:ascii="Arial" w:hAnsi="Arial" w:eastAsia="Arial" w:cs="Arial"/>
      <w:b/>
      <w:bCs/>
      <w:sz w:val="26"/>
      <w:szCs w:val="26"/>
    </w:rPr>
  </w:style>
  <w:style w:type="paragraph" w:styleId="726">
    <w:name w:val="Heading 5"/>
    <w:basedOn w:val="721"/>
    <w:next w:val="721"/>
    <w:link w:val="832"/>
    <w:uiPriority w:val="9"/>
    <w:unhideWhenUsed/>
    <w:qFormat/>
    <w:pPr>
      <w:keepLines/>
      <w:keepNext/>
      <w:spacing w:before="320"/>
      <w:outlineLvl w:val="4"/>
    </w:pPr>
    <w:rPr>
      <w:rFonts w:ascii="Arial" w:hAnsi="Arial" w:eastAsia="Arial" w:cs="Arial"/>
      <w:b/>
      <w:bCs/>
      <w:sz w:val="24"/>
      <w:szCs w:val="24"/>
    </w:rPr>
  </w:style>
  <w:style w:type="paragraph" w:styleId="727">
    <w:name w:val="Heading 6"/>
    <w:basedOn w:val="721"/>
    <w:next w:val="733"/>
    <w:link w:val="833"/>
    <w:uiPriority w:val="9"/>
    <w:unhideWhenUsed/>
    <w:qFormat/>
    <w:pPr>
      <w:keepLines/>
      <w:keepNext/>
      <w:spacing w:before="320"/>
      <w:outlineLvl w:val="5"/>
    </w:pPr>
    <w:rPr>
      <w:rFonts w:ascii="Arial" w:hAnsi="Arial" w:eastAsia="Arial" w:cs="Arial"/>
      <w:b/>
      <w:bCs/>
    </w:rPr>
  </w:style>
  <w:style w:type="paragraph" w:styleId="728">
    <w:name w:val="Heading 7"/>
    <w:basedOn w:val="721"/>
    <w:next w:val="721"/>
    <w:link w:val="834"/>
    <w:uiPriority w:val="9"/>
    <w:unhideWhenUsed/>
    <w:qFormat/>
    <w:pPr>
      <w:keepLines/>
      <w:keepNext/>
      <w:spacing w:before="320"/>
      <w:outlineLvl w:val="6"/>
    </w:pPr>
    <w:rPr>
      <w:rFonts w:ascii="Arial" w:hAnsi="Arial" w:eastAsia="Arial" w:cs="Arial"/>
      <w:b/>
      <w:bCs/>
      <w:i/>
      <w:iCs/>
    </w:rPr>
  </w:style>
  <w:style w:type="paragraph" w:styleId="729">
    <w:name w:val="Heading 8"/>
    <w:basedOn w:val="721"/>
    <w:next w:val="721"/>
    <w:link w:val="835"/>
    <w:uiPriority w:val="9"/>
    <w:unhideWhenUsed/>
    <w:qFormat/>
    <w:pPr>
      <w:keepLines/>
      <w:keepNext/>
      <w:spacing w:before="320"/>
      <w:outlineLvl w:val="7"/>
    </w:pPr>
    <w:rPr>
      <w:rFonts w:ascii="Arial" w:hAnsi="Arial" w:eastAsia="Arial" w:cs="Arial"/>
      <w:i/>
      <w:iCs/>
    </w:rPr>
  </w:style>
  <w:style w:type="paragraph" w:styleId="730">
    <w:name w:val="Heading 9"/>
    <w:basedOn w:val="721"/>
    <w:next w:val="721"/>
    <w:link w:val="836"/>
    <w:uiPriority w:val="9"/>
    <w:unhideWhenUsed/>
    <w:qFormat/>
    <w:pPr>
      <w:keepLines/>
      <w:keepNext/>
      <w:spacing w:before="32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0"/>
    <w:qFormat/>
    <w:pPr>
      <w:ind w:firstLine="420"/>
    </w:pPr>
    <w:rPr>
      <w:rFonts w:ascii="Times New Roman"/>
      <w:sz w:val="20"/>
    </w:rPr>
  </w:style>
  <w:style w:type="paragraph" w:styleId="734">
    <w:name w:val="toc 7"/>
    <w:basedOn w:val="721"/>
    <w:next w:val="721"/>
    <w:uiPriority w:val="39"/>
    <w:unhideWhenUsed/>
    <w:qFormat/>
    <w:pPr>
      <w:ind w:left="1701"/>
      <w:spacing w:after="57"/>
    </w:pPr>
  </w:style>
  <w:style w:type="paragraph" w:styleId="735">
    <w:name w:val="Caption"/>
    <w:basedOn w:val="721"/>
    <w:next w:val="721"/>
    <w:uiPriority w:val="35"/>
    <w:semiHidden/>
    <w:unhideWhenUsed/>
    <w:qFormat/>
    <w:rPr>
      <w:b/>
      <w:bCs/>
      <w:color w:val="5b9bd5" w:themeColor="accent1"/>
      <w:sz w:val="18"/>
      <w:szCs w:val="18"/>
      <w14:textFill>
        <w14:solidFill>
          <w14:schemeClr w14:val="accent1"/>
        </w14:solidFill>
      </w14:textFill>
    </w:rPr>
  </w:style>
  <w:style w:type="paragraph" w:styleId="736">
    <w:name w:val="annotation text"/>
    <w:basedOn w:val="721"/>
    <w:link w:val="961"/>
    <w:uiPriority w:val="99"/>
    <w:unhideWhenUsed/>
    <w:qFormat/>
  </w:style>
  <w:style w:type="paragraph" w:styleId="737">
    <w:name w:val="Body Text"/>
    <w:basedOn w:val="721"/>
    <w:next w:val="721"/>
    <w:uiPriority w:val="99"/>
    <w:qFormat/>
    <w:pPr>
      <w:spacing w:after="120"/>
    </w:pPr>
    <w:rPr>
      <w:szCs w:val="20"/>
    </w:rPr>
  </w:style>
  <w:style w:type="paragraph" w:styleId="738">
    <w:name w:val="Body Text Indent"/>
    <w:basedOn w:val="721"/>
    <w:next w:val="739"/>
    <w:uiPriority w:val="0"/>
    <w:qFormat/>
    <w:pPr>
      <w:ind w:left="420"/>
      <w:spacing w:after="120"/>
    </w:pPr>
  </w:style>
  <w:style w:type="paragraph" w:styleId="739">
    <w:name w:val="envelope return"/>
    <w:basedOn w:val="721"/>
    <w:uiPriority w:val="99"/>
    <w:unhideWhenUsed/>
    <w:qFormat/>
    <w:rPr>
      <w:rFonts w:ascii="Arial" w:hAnsi="Arial"/>
    </w:rPr>
  </w:style>
  <w:style w:type="paragraph" w:styleId="740">
    <w:name w:val="Block Text"/>
    <w:basedOn w:val="721"/>
    <w:next w:val="737"/>
    <w:uiPriority w:val="0"/>
    <w:qFormat/>
    <w:pPr>
      <w:ind w:right="210" w:firstLine="560"/>
      <w:spacing w:line="360" w:lineRule="auto"/>
    </w:pPr>
    <w:rPr>
      <w:rFonts w:hAnsi="宋体"/>
      <w:color w:val="000000"/>
      <w:spacing w:val="20"/>
      <w:szCs w:val="18"/>
    </w:rPr>
  </w:style>
  <w:style w:type="paragraph" w:styleId="741">
    <w:name w:val="toc 5"/>
    <w:basedOn w:val="721"/>
    <w:next w:val="721"/>
    <w:uiPriority w:val="39"/>
    <w:unhideWhenUsed/>
    <w:qFormat/>
    <w:pPr>
      <w:ind w:left="1134"/>
      <w:spacing w:after="57"/>
    </w:pPr>
  </w:style>
  <w:style w:type="paragraph" w:styleId="742">
    <w:name w:val="toc 3"/>
    <w:basedOn w:val="721"/>
    <w:next w:val="721"/>
    <w:uiPriority w:val="39"/>
    <w:unhideWhenUsed/>
    <w:qFormat/>
    <w:pPr>
      <w:ind w:left="567"/>
      <w:spacing w:after="57"/>
    </w:pPr>
  </w:style>
  <w:style w:type="paragraph" w:styleId="743">
    <w:name w:val="Plain Text"/>
    <w:basedOn w:val="721"/>
    <w:uiPriority w:val="99"/>
    <w:qFormat/>
    <w:rPr>
      <w:rFonts w:ascii="宋体" w:hAnsi="Courier New"/>
      <w:sz w:val="20"/>
      <w:szCs w:val="21"/>
    </w:rPr>
  </w:style>
  <w:style w:type="paragraph" w:styleId="744">
    <w:name w:val="toc 8"/>
    <w:basedOn w:val="721"/>
    <w:next w:val="721"/>
    <w:uiPriority w:val="39"/>
    <w:unhideWhenUsed/>
    <w:qFormat/>
    <w:pPr>
      <w:ind w:left="1984"/>
      <w:spacing w:after="57"/>
    </w:pPr>
  </w:style>
  <w:style w:type="paragraph" w:styleId="745">
    <w:name w:val="endnote text"/>
    <w:basedOn w:val="721"/>
    <w:link w:val="953"/>
    <w:uiPriority w:val="99"/>
    <w:semiHidden/>
    <w:unhideWhenUsed/>
    <w:qFormat/>
    <w:pPr>
      <w:spacing w:after="0" w:line="240" w:lineRule="auto"/>
    </w:pPr>
    <w:rPr>
      <w:sz w:val="20"/>
    </w:rPr>
  </w:style>
  <w:style w:type="paragraph" w:styleId="746">
    <w:name w:val="Footer"/>
    <w:basedOn w:val="721"/>
    <w:link w:val="845"/>
    <w:uiPriority w:val="99"/>
    <w:unhideWhenUsed/>
    <w:qFormat/>
    <w:pPr>
      <w:spacing w:after="0" w:line="240" w:lineRule="auto"/>
      <w:tabs>
        <w:tab w:val="center" w:pos="7143" w:leader="none"/>
        <w:tab w:val="right" w:pos="14287" w:leader="none"/>
      </w:tabs>
    </w:pPr>
  </w:style>
  <w:style w:type="paragraph" w:styleId="747">
    <w:name w:val="Header"/>
    <w:basedOn w:val="721"/>
    <w:link w:val="843"/>
    <w:uiPriority w:val="99"/>
    <w:unhideWhenUsed/>
    <w:qFormat/>
    <w:pPr>
      <w:spacing w:after="0" w:line="240" w:lineRule="auto"/>
      <w:tabs>
        <w:tab w:val="center" w:pos="7143" w:leader="none"/>
        <w:tab w:val="right" w:pos="14287" w:leader="none"/>
      </w:tabs>
    </w:pPr>
  </w:style>
  <w:style w:type="paragraph" w:styleId="748">
    <w:name w:val="toc 1"/>
    <w:basedOn w:val="721"/>
    <w:next w:val="721"/>
    <w:uiPriority w:val="39"/>
    <w:unhideWhenUsed/>
    <w:qFormat/>
    <w:pPr>
      <w:spacing w:after="57"/>
    </w:pPr>
  </w:style>
  <w:style w:type="paragraph" w:styleId="749">
    <w:name w:val="toc 4"/>
    <w:basedOn w:val="721"/>
    <w:next w:val="721"/>
    <w:uiPriority w:val="39"/>
    <w:unhideWhenUsed/>
    <w:qFormat/>
    <w:pPr>
      <w:ind w:left="850"/>
      <w:spacing w:after="57"/>
    </w:pPr>
  </w:style>
  <w:style w:type="paragraph" w:styleId="750">
    <w:name w:val="Subtitle"/>
    <w:basedOn w:val="721"/>
    <w:next w:val="721"/>
    <w:link w:val="838"/>
    <w:uiPriority w:val="11"/>
    <w:qFormat/>
    <w:pPr>
      <w:spacing w:before="200"/>
    </w:pPr>
    <w:rPr>
      <w:sz w:val="24"/>
      <w:szCs w:val="24"/>
    </w:rPr>
  </w:style>
  <w:style w:type="paragraph" w:styleId="751">
    <w:name w:val="footnote text"/>
    <w:basedOn w:val="721"/>
    <w:link w:val="952"/>
    <w:uiPriority w:val="99"/>
    <w:semiHidden/>
    <w:unhideWhenUsed/>
    <w:qFormat/>
    <w:pPr>
      <w:spacing w:after="40" w:line="240" w:lineRule="auto"/>
    </w:pPr>
    <w:rPr>
      <w:sz w:val="18"/>
    </w:rPr>
  </w:style>
  <w:style w:type="paragraph" w:styleId="752">
    <w:name w:val="toc 6"/>
    <w:basedOn w:val="721"/>
    <w:next w:val="721"/>
    <w:uiPriority w:val="39"/>
    <w:unhideWhenUsed/>
    <w:qFormat/>
    <w:pPr>
      <w:ind w:left="1417"/>
      <w:spacing w:after="57"/>
    </w:pPr>
  </w:style>
  <w:style w:type="paragraph" w:styleId="753">
    <w:name w:val="Body Text Indent 3"/>
    <w:basedOn w:val="721"/>
    <w:uiPriority w:val="0"/>
    <w:qFormat/>
    <w:pPr>
      <w:ind w:firstLine="539"/>
      <w:spacing w:line="520" w:lineRule="exact"/>
    </w:pPr>
    <w:rPr>
      <w:rFonts w:ascii="宋体"/>
      <w:b/>
      <w:spacing w:val="6"/>
      <w:sz w:val="28"/>
    </w:rPr>
  </w:style>
  <w:style w:type="paragraph" w:styleId="754">
    <w:name w:val="table of figures"/>
    <w:basedOn w:val="721"/>
    <w:next w:val="721"/>
    <w:uiPriority w:val="99"/>
    <w:unhideWhenUsed/>
    <w:qFormat/>
    <w:pPr>
      <w:spacing w:after="0"/>
    </w:pPr>
  </w:style>
  <w:style w:type="paragraph" w:styleId="755">
    <w:name w:val="toc 2"/>
    <w:basedOn w:val="721"/>
    <w:next w:val="721"/>
    <w:uiPriority w:val="39"/>
    <w:unhideWhenUsed/>
    <w:qFormat/>
    <w:pPr>
      <w:ind w:left="283"/>
      <w:spacing w:after="57"/>
    </w:pPr>
  </w:style>
  <w:style w:type="paragraph" w:styleId="756">
    <w:name w:val="toc 9"/>
    <w:basedOn w:val="721"/>
    <w:next w:val="721"/>
    <w:uiPriority w:val="39"/>
    <w:unhideWhenUsed/>
    <w:qFormat/>
    <w:pPr>
      <w:ind w:left="2268"/>
      <w:spacing w:after="57"/>
    </w:pPr>
  </w:style>
  <w:style w:type="paragraph" w:styleId="757">
    <w:name w:val="HTML Preformatted"/>
    <w:basedOn w:val="72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58">
    <w:name w:val="Normal (Web)"/>
    <w:basedOn w:val="721"/>
    <w:uiPriority w:val="99"/>
    <w:semiHidden/>
    <w:unhideWhenUsed/>
    <w:qFormat/>
    <w:pPr>
      <w:spacing w:beforeAutospacing="1" w:after="0" w:afterAutospacing="1"/>
    </w:pPr>
    <w:rPr>
      <w:rFonts w:cs="Times New Roman"/>
      <w:sz w:val="24"/>
      <w:lang w:eastAsia="zh-CN"/>
    </w:rPr>
  </w:style>
  <w:style w:type="paragraph" w:styleId="759">
    <w:name w:val="Title"/>
    <w:basedOn w:val="721"/>
    <w:next w:val="721"/>
    <w:link w:val="837"/>
    <w:uiPriority w:val="10"/>
    <w:qFormat/>
    <w:pPr>
      <w:contextualSpacing/>
      <w:spacing w:before="300"/>
    </w:pPr>
    <w:rPr>
      <w:sz w:val="48"/>
      <w:szCs w:val="48"/>
    </w:rPr>
  </w:style>
  <w:style w:type="paragraph" w:styleId="760">
    <w:name w:val="annotation subject"/>
    <w:basedOn w:val="736"/>
    <w:next w:val="736"/>
    <w:link w:val="962"/>
    <w:uiPriority w:val="99"/>
    <w:semiHidden/>
    <w:unhideWhenUsed/>
    <w:qFormat/>
    <w:rPr>
      <w:b/>
      <w:bCs/>
    </w:rPr>
  </w:style>
  <w:style w:type="paragraph" w:styleId="761">
    <w:name w:val="Body Text First Indent"/>
    <w:basedOn w:val="737"/>
    <w:uiPriority w:val="99"/>
    <w:unhideWhenUsed/>
    <w:qFormat/>
    <w:pPr>
      <w:ind w:firstLine="420"/>
    </w:pPr>
  </w:style>
  <w:style w:type="paragraph" w:styleId="762">
    <w:name w:val="Body Text First Indent 2"/>
    <w:basedOn w:val="738"/>
    <w:uiPriority w:val="99"/>
    <w:unhideWhenUsed/>
    <w:qFormat/>
    <w:pPr>
      <w:ind w:firstLine="420"/>
      <w:spacing w:line="360" w:lineRule="auto"/>
    </w:pPr>
    <w:rPr>
      <w:rFonts w:ascii="宋体" w:hAnsi="宋体" w:eastAsia="宋体"/>
      <w:sz w:val="21"/>
      <w:szCs w:val="20"/>
    </w:rPr>
  </w:style>
  <w:style w:type="table" w:styleId="763">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31"/>
    <w:uiPriority w:val="22"/>
    <w:qFormat/>
    <w:rPr>
      <w:b/>
    </w:r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563c1" w:themeColor="hyperlink"/>
      <w:u w:val="single"/>
      <w14:textFill>
        <w14:solidFill>
          <w14:schemeClr w14:val="hlink"/>
        </w14:solidFill>
      </w14:textFill>
    </w:rPr>
  </w:style>
  <w:style w:type="character" w:styleId="767">
    <w:name w:val="annotation reference"/>
    <w:basedOn w:val="731"/>
    <w:uiPriority w:val="99"/>
    <w:semiHidden/>
    <w:unhideWhenUsed/>
    <w:qFormat/>
    <w:rPr>
      <w:sz w:val="21"/>
      <w:szCs w:val="21"/>
    </w:rPr>
  </w:style>
  <w:style w:type="character" w:styleId="768">
    <w:name w:val="footnote reference"/>
    <w:uiPriority w:val="99"/>
    <w:unhideWhenUsed/>
    <w:qFormat/>
    <w:rPr>
      <w:vertAlign w:val="superscript"/>
    </w:rPr>
  </w:style>
  <w:style w:type="character" w:styleId="769" w:customStyle="1">
    <w:name w:val="标题 2 字符"/>
    <w:link w:val="723"/>
    <w:uiPriority w:val="9"/>
    <w:qFormat/>
    <w:rPr>
      <w:rFonts w:ascii="Arial" w:hAnsi="Arial" w:eastAsia="Arial" w:cs="Arial"/>
      <w:sz w:val="34"/>
    </w:rPr>
  </w:style>
  <w:style w:type="character" w:styleId="770" w:customStyle="1">
    <w:name w:val="标题 1 字符"/>
    <w:link w:val="722"/>
    <w:uiPriority w:val="9"/>
    <w:qFormat/>
    <w:rPr>
      <w:rFonts w:ascii="Arial" w:hAnsi="Arial" w:eastAsia="Arial" w:cs="Arial"/>
      <w:sz w:val="40"/>
      <w:szCs w:val="40"/>
    </w:rPr>
  </w:style>
  <w:style w:type="paragraph" w:styleId="771" w:customStyle="1">
    <w:name w:val="Default"/>
    <w:basedOn w:val="721"/>
    <w:uiPriority w:val="0"/>
    <w:qFormat/>
    <w:rPr>
      <w:color w:val="000000"/>
      <w:sz w:val="24"/>
      <w:szCs w:val="24"/>
    </w:rPr>
  </w:style>
  <w:style w:type="paragraph" w:styleId="772" w:customStyle="1">
    <w:name w:val="标题 111"/>
    <w:basedOn w:val="721"/>
    <w:next w:val="721"/>
    <w:uiPriority w:val="0"/>
    <w:qFormat/>
    <w:pPr>
      <w:ind w:left="0" w:right="0"/>
      <w:jc w:val="both"/>
      <w:keepLines/>
      <w:keepNext/>
      <w:spacing w:before="480" w:after="200"/>
      <w:widowControl w:val="off"/>
      <w:outlineLvl w:val="0"/>
    </w:pPr>
    <w:rPr>
      <w:rFonts w:ascii="Arial" w:hAnsi="Arial" w:eastAsia="Arial"/>
      <w:sz w:val="40"/>
      <w:szCs w:val="40"/>
    </w:rPr>
  </w:style>
  <w:style w:type="table" w:styleId="773"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Heading"/>
    <w:uiPriority w:val="39"/>
    <w:unhideWhenUsed/>
    <w:qFormat/>
    <w:rPr>
      <w:rFonts w:hint="default" w:ascii="Times New Roman" w:hAnsi="Times New Roman" w:eastAsia="宋体" w:cs="Times New Roman"/>
    </w:rPr>
  </w:style>
  <w:style w:type="character" w:styleId="793" w:customStyle="1">
    <w:name w:val="Heading 1 Char"/>
    <w:basedOn w:val="731"/>
    <w:uiPriority w:val="9"/>
    <w:qFormat/>
    <w:rPr>
      <w:rFonts w:ascii="Arial" w:hAnsi="Arial" w:eastAsia="Arial" w:cs="Arial"/>
      <w:sz w:val="40"/>
      <w:szCs w:val="40"/>
    </w:rPr>
  </w:style>
  <w:style w:type="character" w:styleId="794" w:customStyle="1">
    <w:name w:val="Heading 2 Char"/>
    <w:basedOn w:val="731"/>
    <w:uiPriority w:val="9"/>
    <w:qFormat/>
    <w:rPr>
      <w:rFonts w:ascii="Arial" w:hAnsi="Arial" w:eastAsia="Arial" w:cs="Arial"/>
      <w:sz w:val="34"/>
    </w:rPr>
  </w:style>
  <w:style w:type="character" w:styleId="795" w:customStyle="1">
    <w:name w:val="Heading 3 Char"/>
    <w:basedOn w:val="731"/>
    <w:uiPriority w:val="9"/>
    <w:qFormat/>
    <w:rPr>
      <w:rFonts w:ascii="Arial" w:hAnsi="Arial" w:eastAsia="Arial" w:cs="Arial"/>
      <w:sz w:val="30"/>
      <w:szCs w:val="30"/>
    </w:rPr>
  </w:style>
  <w:style w:type="character" w:styleId="796" w:customStyle="1">
    <w:name w:val="Heading 4 Char"/>
    <w:basedOn w:val="731"/>
    <w:uiPriority w:val="9"/>
    <w:qFormat/>
    <w:rPr>
      <w:rFonts w:ascii="Arial" w:hAnsi="Arial" w:eastAsia="Arial" w:cs="Arial"/>
      <w:b/>
      <w:bCs/>
      <w:sz w:val="26"/>
      <w:szCs w:val="26"/>
    </w:rPr>
  </w:style>
  <w:style w:type="character" w:styleId="797" w:customStyle="1">
    <w:name w:val="Heading 5 Char"/>
    <w:basedOn w:val="731"/>
    <w:uiPriority w:val="9"/>
    <w:qFormat/>
    <w:rPr>
      <w:rFonts w:ascii="Arial" w:hAnsi="Arial" w:eastAsia="Arial" w:cs="Arial"/>
      <w:b/>
      <w:bCs/>
      <w:sz w:val="24"/>
      <w:szCs w:val="24"/>
    </w:rPr>
  </w:style>
  <w:style w:type="character" w:styleId="798" w:customStyle="1">
    <w:name w:val="Heading 6 Char"/>
    <w:basedOn w:val="731"/>
    <w:uiPriority w:val="9"/>
    <w:qFormat/>
    <w:rPr>
      <w:rFonts w:ascii="Arial" w:hAnsi="Arial" w:eastAsia="Arial" w:cs="Arial"/>
      <w:b/>
      <w:bCs/>
      <w:sz w:val="22"/>
      <w:szCs w:val="22"/>
    </w:rPr>
  </w:style>
  <w:style w:type="character" w:styleId="799" w:customStyle="1">
    <w:name w:val="Heading 7 Char"/>
    <w:basedOn w:val="731"/>
    <w:uiPriority w:val="9"/>
    <w:qFormat/>
    <w:rPr>
      <w:rFonts w:ascii="Arial" w:hAnsi="Arial" w:eastAsia="Arial" w:cs="Arial"/>
      <w:b/>
      <w:bCs/>
      <w:i/>
      <w:iCs/>
      <w:sz w:val="22"/>
      <w:szCs w:val="22"/>
    </w:rPr>
  </w:style>
  <w:style w:type="character" w:styleId="800" w:customStyle="1">
    <w:name w:val="Heading 8 Char"/>
    <w:basedOn w:val="731"/>
    <w:uiPriority w:val="9"/>
    <w:qFormat/>
    <w:rPr>
      <w:rFonts w:ascii="Arial" w:hAnsi="Arial" w:eastAsia="Arial" w:cs="Arial"/>
      <w:i/>
      <w:iCs/>
      <w:sz w:val="22"/>
      <w:szCs w:val="22"/>
    </w:rPr>
  </w:style>
  <w:style w:type="character" w:styleId="801" w:customStyle="1">
    <w:name w:val="Heading 9 Char"/>
    <w:basedOn w:val="731"/>
    <w:uiPriority w:val="9"/>
    <w:qFormat/>
    <w:rPr>
      <w:rFonts w:ascii="Arial" w:hAnsi="Arial" w:eastAsia="Arial" w:cs="Arial"/>
      <w:i/>
      <w:iCs/>
      <w:sz w:val="21"/>
      <w:szCs w:val="21"/>
    </w:rPr>
  </w:style>
  <w:style w:type="character" w:styleId="802" w:customStyle="1">
    <w:name w:val="Title Char"/>
    <w:basedOn w:val="731"/>
    <w:uiPriority w:val="10"/>
    <w:qFormat/>
    <w:rPr>
      <w:sz w:val="48"/>
      <w:szCs w:val="48"/>
    </w:rPr>
  </w:style>
  <w:style w:type="character" w:styleId="803" w:customStyle="1">
    <w:name w:val="Subtitle Char"/>
    <w:basedOn w:val="731"/>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er Char"/>
    <w:basedOn w:val="731"/>
    <w:uiPriority w:val="99"/>
    <w:qFormat/>
  </w:style>
  <w:style w:type="character" w:styleId="807" w:customStyle="1">
    <w:name w:val="Caption Char"/>
    <w:uiPriority w:val="99"/>
    <w:qFormat/>
  </w:style>
  <w:style w:type="table" w:styleId="808"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unhideWhenUsed/>
    <w:qFormat/>
    <w:rPr>
      <w:rFonts w:hint="default" w:ascii="Times New Roman" w:hAnsi="Times New Roman" w:eastAsia="宋体" w:cs="Times New Roman"/>
      <w:lang w:val="en-US" w:eastAsia="zh-CN" w:bidi="ar-SA"/>
    </w:rPr>
  </w:style>
  <w:style w:type="character" w:styleId="830" w:customStyle="1">
    <w:name w:val="标题 3 字符"/>
    <w:link w:val="724"/>
    <w:uiPriority w:val="9"/>
    <w:qFormat/>
    <w:rPr>
      <w:rFonts w:ascii="Arial" w:hAnsi="Arial" w:eastAsia="Arial" w:cs="Arial"/>
      <w:sz w:val="30"/>
      <w:szCs w:val="30"/>
    </w:rPr>
  </w:style>
  <w:style w:type="character" w:styleId="831" w:customStyle="1">
    <w:name w:val="标题 4 字符"/>
    <w:link w:val="725"/>
    <w:uiPriority w:val="9"/>
    <w:qFormat/>
    <w:rPr>
      <w:rFonts w:ascii="Arial" w:hAnsi="Arial" w:eastAsia="Arial" w:cs="Arial"/>
      <w:b/>
      <w:bCs/>
      <w:sz w:val="26"/>
      <w:szCs w:val="26"/>
    </w:rPr>
  </w:style>
  <w:style w:type="character" w:styleId="832" w:customStyle="1">
    <w:name w:val="标题 5 字符"/>
    <w:link w:val="726"/>
    <w:uiPriority w:val="9"/>
    <w:qFormat/>
    <w:rPr>
      <w:rFonts w:ascii="Arial" w:hAnsi="Arial" w:eastAsia="Arial" w:cs="Arial"/>
      <w:b/>
      <w:bCs/>
      <w:sz w:val="24"/>
      <w:szCs w:val="24"/>
    </w:rPr>
  </w:style>
  <w:style w:type="character" w:styleId="833" w:customStyle="1">
    <w:name w:val="标题 6 字符"/>
    <w:link w:val="727"/>
    <w:uiPriority w:val="9"/>
    <w:qFormat/>
    <w:rPr>
      <w:rFonts w:ascii="Arial" w:hAnsi="Arial" w:eastAsia="Arial" w:cs="Arial"/>
      <w:b/>
      <w:bCs/>
      <w:sz w:val="22"/>
      <w:szCs w:val="22"/>
    </w:rPr>
  </w:style>
  <w:style w:type="character" w:styleId="834" w:customStyle="1">
    <w:name w:val="标题 7 字符"/>
    <w:link w:val="728"/>
    <w:uiPriority w:val="9"/>
    <w:qFormat/>
    <w:rPr>
      <w:rFonts w:ascii="Arial" w:hAnsi="Arial" w:eastAsia="Arial" w:cs="Arial"/>
      <w:b/>
      <w:bCs/>
      <w:i/>
      <w:iCs/>
      <w:sz w:val="22"/>
      <w:szCs w:val="22"/>
    </w:rPr>
  </w:style>
  <w:style w:type="character" w:styleId="835" w:customStyle="1">
    <w:name w:val="标题 8 字符"/>
    <w:link w:val="729"/>
    <w:uiPriority w:val="9"/>
    <w:qFormat/>
    <w:rPr>
      <w:rFonts w:ascii="Arial" w:hAnsi="Arial" w:eastAsia="Arial" w:cs="Arial"/>
      <w:i/>
      <w:iCs/>
      <w:sz w:val="22"/>
      <w:szCs w:val="22"/>
    </w:rPr>
  </w:style>
  <w:style w:type="character" w:styleId="836" w:customStyle="1">
    <w:name w:val="标题 9 字符"/>
    <w:link w:val="730"/>
    <w:uiPriority w:val="9"/>
    <w:qFormat/>
    <w:rPr>
      <w:rFonts w:ascii="Arial" w:hAnsi="Arial" w:eastAsia="Arial" w:cs="Arial"/>
      <w:i/>
      <w:iCs/>
      <w:sz w:val="21"/>
      <w:szCs w:val="21"/>
    </w:rPr>
  </w:style>
  <w:style w:type="character" w:styleId="837" w:customStyle="1">
    <w:name w:val="标题 字符"/>
    <w:link w:val="759"/>
    <w:uiPriority w:val="10"/>
    <w:qFormat/>
    <w:rPr>
      <w:sz w:val="48"/>
      <w:szCs w:val="48"/>
    </w:rPr>
  </w:style>
  <w:style w:type="character" w:styleId="838" w:customStyle="1">
    <w:name w:val="副标题 字符"/>
    <w:link w:val="750"/>
    <w:uiPriority w:val="11"/>
    <w:qFormat/>
    <w:rPr>
      <w:sz w:val="24"/>
      <w:szCs w:val="24"/>
    </w:rPr>
  </w:style>
  <w:style w:type="paragraph" w:styleId="839">
    <w:name w:val="Quote"/>
    <w:basedOn w:val="721"/>
    <w:next w:val="721"/>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21"/>
    <w:next w:val="72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47"/>
    <w:uiPriority w:val="99"/>
    <w:qFormat/>
  </w:style>
  <w:style w:type="character" w:styleId="844" w:customStyle="1">
    <w:name w:val="Footer Char"/>
    <w:uiPriority w:val="99"/>
    <w:qFormat/>
  </w:style>
  <w:style w:type="character" w:styleId="845" w:customStyle="1">
    <w:name w:val="页脚 字符"/>
    <w:link w:val="746"/>
    <w:uiPriority w:val="99"/>
    <w:qFormat/>
  </w:style>
  <w:style w:type="table" w:styleId="846"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7"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6"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7"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8"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9"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0"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1"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2"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6"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0"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2"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3"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6"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0"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8"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9"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0"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1"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2"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3"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7"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1"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脚注文本 字符"/>
    <w:link w:val="751"/>
    <w:uiPriority w:val="99"/>
    <w:qFormat/>
    <w:rPr>
      <w:sz w:val="18"/>
    </w:rPr>
  </w:style>
  <w:style w:type="character" w:styleId="953" w:customStyle="1">
    <w:name w:val="尾注文本 字符"/>
    <w:link w:val="745"/>
    <w:uiPriority w:val="99"/>
    <w:qFormat/>
    <w:rPr>
      <w:sz w:val="20"/>
    </w:rPr>
  </w:style>
  <w:style w:type="paragraph" w:styleId="954"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55">
    <w:name w:val="No Spacing"/>
    <w:basedOn w:val="721"/>
    <w:uiPriority w:val="1"/>
    <w:qFormat/>
    <w:pPr>
      <w:spacing w:after="0" w:line="240" w:lineRule="auto"/>
    </w:pPr>
  </w:style>
  <w:style w:type="paragraph" w:styleId="956">
    <w:name w:val="List Paragraph"/>
    <w:basedOn w:val="721"/>
    <w:uiPriority w:val="34"/>
    <w:qFormat/>
    <w:pPr>
      <w:contextualSpacing/>
      <w:ind w:left="720"/>
    </w:pPr>
  </w:style>
  <w:style w:type="paragraph" w:styleId="957" w:customStyle="1">
    <w:name w:val="正文首行缩进 21"/>
    <w:basedOn w:val="958"/>
    <w:next w:val="721"/>
    <w:uiPriority w:val="0"/>
    <w:qFormat/>
    <w:pPr>
      <w:ind w:left="0" w:firstLine="420"/>
      <w:spacing w:after="0" w:line="360" w:lineRule="auto"/>
    </w:pPr>
    <w:rPr>
      <w:rFonts w:ascii="宋体" w:hAnsi="宋体" w:eastAsia="宋体" w:cs="Times New Roman"/>
      <w:szCs w:val="20"/>
    </w:rPr>
  </w:style>
  <w:style w:type="paragraph" w:styleId="958" w:customStyle="1">
    <w:name w:val="正文文本缩进1"/>
    <w:basedOn w:val="721"/>
    <w:next w:val="959"/>
    <w:uiPriority w:val="0"/>
    <w:unhideWhenUsed/>
    <w:qFormat/>
    <w:pPr>
      <w:ind w:left="420"/>
      <w:spacing w:after="120"/>
    </w:pPr>
  </w:style>
  <w:style w:type="paragraph" w:styleId="959" w:customStyle="1">
    <w:name w:val="寄信人地址1"/>
    <w:basedOn w:val="721"/>
    <w:next w:val="960"/>
    <w:uiPriority w:val="99"/>
    <w:unhideWhenUsed/>
    <w:qFormat/>
    <w:rPr>
      <w:rFonts w:ascii="Arial" w:hAnsi="Arial"/>
    </w:rPr>
  </w:style>
  <w:style w:type="paragraph" w:styleId="960" w:customStyle="1">
    <w:name w:val="目录 71"/>
    <w:basedOn w:val="721"/>
    <w:next w:val="721"/>
    <w:uiPriority w:val="0"/>
    <w:semiHidden/>
    <w:qFormat/>
    <w:pPr>
      <w:ind w:left="1260"/>
    </w:pPr>
    <w:rPr>
      <w:rFonts w:ascii="Times New Roman" w:hAnsi="Times New Roman" w:eastAsia="宋体" w:cs="Times New Roman"/>
      <w:szCs w:val="21"/>
    </w:rPr>
  </w:style>
  <w:style w:type="character" w:styleId="961" w:customStyle="1">
    <w:name w:val="批注文字 字符"/>
    <w:basedOn w:val="731"/>
    <w:link w:val="736"/>
    <w:uiPriority w:val="99"/>
    <w:qFormat/>
    <w:rPr>
      <w:rFonts w:asciiTheme="minorHAnsi" w:hAnsiTheme="minorHAnsi" w:eastAsiaTheme="minorHAnsi" w:cstheme="minorBidi"/>
      <w:sz w:val="22"/>
      <w:szCs w:val="22"/>
      <w:lang w:eastAsia="en-US"/>
    </w:rPr>
  </w:style>
  <w:style w:type="character" w:styleId="962" w:customStyle="1">
    <w:name w:val="批注主题 字符"/>
    <w:basedOn w:val="961"/>
    <w:link w:val="760"/>
    <w:uiPriority w:val="99"/>
    <w:semiHidden/>
    <w:qFormat/>
    <w:rPr>
      <w:rFonts w:asciiTheme="minorHAnsi" w:hAnsiTheme="minorHAnsi" w:eastAsiaTheme="minorHAnsi" w:cstheme="minorBidi"/>
      <w:b/>
      <w:bCs/>
      <w:sz w:val="22"/>
      <w:szCs w:val="22"/>
      <w:lang w:eastAsia="en-US"/>
    </w:rPr>
  </w:style>
  <w:style w:type="paragraph" w:styleId="963" w:customStyle="1">
    <w:name w:val="正文文本11"/>
    <w:basedOn w:val="721"/>
    <w:next w:val="721"/>
    <w:uiPriority w:val="0"/>
    <w:qFormat/>
    <w:rPr>
      <w:rFonts w:ascii="楷体_GB2312" w:hAnsi="Arial" w:eastAsia="楷体_GB2312" w:cs="Times New Roman"/>
      <w:sz w:val="28"/>
      <w:szCs w:val="28"/>
    </w:rPr>
  </w:style>
  <w:style w:type="paragraph" w:styleId="964" w:customStyle="1">
    <w:name w:val="p0"/>
    <w:basedOn w:val="721"/>
    <w:uiPriority w:val="0"/>
    <w:qFormat/>
    <w:rPr>
      <w:szCs w:val="21"/>
    </w:rPr>
  </w:style>
  <w:style w:type="paragraph" w:styleId="965" w:customStyle="1">
    <w:name w:val="UserStyle_18"/>
    <w:uiPriority w:val="0"/>
    <w:qFormat/>
    <w:rPr>
      <w:rFonts w:ascii="MS Mincho" w:hAnsi="等线 Light" w:eastAsia="宋体" w:cs="Times New Roman"/>
      <w:color w:val="000000"/>
      <w:sz w:val="24"/>
      <w:szCs w:val="24"/>
      <w:lang w:val="en-US" w:eastAsia="zh-CN" w:bidi="ar-SA"/>
    </w:rPr>
  </w:style>
  <w:style w:type="character" w:styleId="966" w:customStyle="1">
    <w:name w:val="NormalCharacter"/>
    <w:uiPriority w:val="0"/>
    <w:qFormat/>
  </w:style>
  <w:style w:type="character" w:styleId="967" w:customStyle="1">
    <w:name w:val="font11"/>
    <w:basedOn w:val="731"/>
    <w:uiPriority w:val="0"/>
    <w:qFormat/>
    <w:rPr>
      <w:rFonts w:hint="eastAsia" w:ascii="仿宋" w:hAnsi="仿宋" w:eastAsia="仿宋" w:cs="仿宋"/>
      <w:b/>
      <w:bCs/>
      <w:color w:val="000000"/>
      <w:sz w:val="24"/>
      <w:szCs w:val="24"/>
      <w:u w:val="none"/>
    </w:rPr>
  </w:style>
  <w:style w:type="paragraph" w:styleId="968" w:customStyle="1">
    <w:name w:val="普通(网站) Char"/>
    <w:basedOn w:val="721"/>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69" w:customStyle="1">
    <w:name w:val="纯文本1"/>
    <w:basedOn w:val="721"/>
    <w:uiPriority w:val="0"/>
    <w:qFormat/>
    <w:rPr>
      <w:rFonts w:ascii="宋体" w:hAnsi="Courier New" w:eastAsia="宋体" w:cs="宋体"/>
      <w:szCs w:val="21"/>
    </w:rPr>
  </w:style>
  <w:style w:type="paragraph" w:styleId="970" w:customStyle="1">
    <w:name w:val="列出段落1"/>
    <w:basedOn w:val="721"/>
    <w:uiPriority w:val="99"/>
    <w:qFormat/>
    <w:pPr>
      <w:ind w:firstLine="420"/>
      <w:spacing w:line="420" w:lineRule="exact"/>
      <w:tabs>
        <w:tab w:val="left" w:pos="1004" w:leader="none"/>
      </w:tabs>
    </w:pPr>
    <w:rPr>
      <w:rFonts w:ascii="宋体" w:hAnsi="宋体" w:eastAsia="宋体"/>
      <w:bCs/>
      <w:sz w:val="24"/>
    </w:rPr>
  </w:style>
  <w:style w:type="paragraph" w:styleId="971" w:customStyle="1">
    <w:name w:val="列出段落"/>
    <w:basedOn w:val="721"/>
    <w:uiPriority w:val="0"/>
    <w:qFormat/>
    <w:pPr>
      <w:ind w:firstLine="420"/>
    </w:pPr>
  </w:style>
  <w:style w:type="paragraph" w:styleId="972" w:customStyle="1">
    <w:name w:val="正文_1_0"/>
    <w:uiPriority w:val="0"/>
    <w:qFormat/>
    <w:pPr>
      <w:jc w:val="both"/>
      <w:widowControl w:val="off"/>
    </w:pPr>
    <w:rPr>
      <w:rFonts w:hint="default" w:ascii="Times New Roman" w:hAnsi="Times New Roman" w:eastAsia="宋体" w:cs="Times New Roman"/>
      <w:sz w:val="21"/>
      <w:szCs w:val="24"/>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09255CE-9778-4C97-AB06-313B4516A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朱一仁</cp:lastModifiedBy>
  <cp:revision>27</cp:revision>
  <dcterms:created xsi:type="dcterms:W3CDTF">2024-06-09T09:02:00Z</dcterms:created>
  <dcterms:modified xsi:type="dcterms:W3CDTF">2026-06-12T07:16:33Z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B60FA78B0C814EAAB9FD31575F453E37_13</vt:lpwstr>
  </property>
  <property fmtid="{D5CDD505-2E9C-101B-9397-08002B2CF9AE}" pid="4" name="KSOTemplateDocerSaveRecord">
    <vt:lpwstr>eyJoZGlkIjoiNmFkM2Y3ZTNlMjZkYjVhZjcxMmZkMGNlMzY2NGY0M2UiLCJ1c2VySWQiOiI0Mzk4OTE0MjgifQ==</vt:lpwstr>
  </property>
</Properties>
</file>